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D979ADE" w:rsidR="000A7622" w:rsidRPr="00C04F25" w:rsidRDefault="00740CDA" w:rsidP="00D14423">
      <w:pPr>
        <w:autoSpaceDE w:val="0"/>
        <w:autoSpaceDN w:val="0"/>
        <w:adjustRightInd w:val="0"/>
        <w:rPr>
          <w:rFonts w:cstheme="minorHAnsi"/>
          <w:b/>
          <w:bCs/>
          <w:i/>
          <w:iCs/>
          <w:sz w:val="32"/>
          <w:szCs w:val="32"/>
        </w:rPr>
      </w:pPr>
      <w:r>
        <w:rPr>
          <w:rFonts w:cstheme="minorHAnsi"/>
          <w:b/>
          <w:bCs/>
          <w:i/>
          <w:iCs/>
          <w:sz w:val="32"/>
          <w:szCs w:val="32"/>
        </w:rPr>
        <w:t xml:space="preserve">Finance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68E6997" w:rsidR="000A7622" w:rsidRPr="00C04F25" w:rsidRDefault="004D21F9" w:rsidP="00D14423">
      <w:pPr>
        <w:rPr>
          <w:rFonts w:cstheme="minorHAnsi"/>
          <w:sz w:val="24"/>
          <w:szCs w:val="24"/>
        </w:rPr>
      </w:pPr>
      <w:proofErr w:type="spellStart"/>
      <w:r>
        <w:rPr>
          <w:rFonts w:cstheme="minorHAnsi"/>
          <w:i/>
          <w:sz w:val="24"/>
          <w:szCs w:val="24"/>
          <w:lang w:val="fr-FR"/>
        </w:rPr>
        <w:t>Accounting</w:t>
      </w:r>
      <w:proofErr w:type="spellEnd"/>
      <w:r>
        <w:rPr>
          <w:rFonts w:cstheme="minorHAnsi"/>
          <w:i/>
          <w:sz w:val="24"/>
          <w:szCs w:val="24"/>
          <w:lang w:val="fr-FR"/>
        </w:rPr>
        <w:t xml:space="preserve"> and Finance</w:t>
      </w:r>
      <w:r w:rsidR="000A7622" w:rsidRPr="00C04F25">
        <w:rPr>
          <w:rFonts w:cstheme="minorHAnsi"/>
          <w:sz w:val="24"/>
          <w:szCs w:val="24"/>
          <w:lang w:val="fr-FR"/>
        </w:rPr>
        <w:t xml:space="preserve">, Vol. </w:t>
      </w:r>
      <w:r>
        <w:rPr>
          <w:rFonts w:cstheme="minorHAnsi"/>
          <w:sz w:val="24"/>
          <w:szCs w:val="24"/>
          <w:lang w:val="fr-FR"/>
        </w:rPr>
        <w:t>61</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June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2759-2807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777C4">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777C4">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A777C4">
        <w:rPr>
          <w:rFonts w:cstheme="minorHAnsi"/>
          <w:sz w:val="24"/>
          <w:szCs w:val="24"/>
        </w:rPr>
        <w:t>Wiley</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281DE645" w14:textId="50774C2B" w:rsidR="000401DA" w:rsidRDefault="000401DA" w:rsidP="00E83C9E">
      <w:pPr>
        <w:pStyle w:val="Title"/>
      </w:pPr>
      <w:r w:rsidRPr="000401DA">
        <w:t xml:space="preserve">Corporate </w:t>
      </w:r>
      <w:r w:rsidR="00E83C9E" w:rsidRPr="000401DA">
        <w:t>Social Responsibility and Information Flow </w:t>
      </w:r>
    </w:p>
    <w:p w14:paraId="687052C2" w14:textId="77777777" w:rsidR="00E83C9E" w:rsidRPr="00E83C9E" w:rsidRDefault="00E83C9E" w:rsidP="00E83C9E"/>
    <w:p w14:paraId="73F08541" w14:textId="77777777" w:rsidR="00E83C9E" w:rsidRPr="007316A6" w:rsidRDefault="00C21535" w:rsidP="007316A6">
      <w:pPr>
        <w:pStyle w:val="NoSpacing"/>
        <w:rPr>
          <w:sz w:val="32"/>
          <w:szCs w:val="32"/>
        </w:rPr>
      </w:pPr>
      <w:r w:rsidRPr="007316A6">
        <w:rPr>
          <w:sz w:val="32"/>
          <w:szCs w:val="32"/>
        </w:rPr>
        <w:t>Gary Chen</w:t>
      </w:r>
    </w:p>
    <w:p w14:paraId="270D7F1B" w14:textId="1322156F" w:rsidR="00E83C9E" w:rsidRPr="007316A6" w:rsidRDefault="007316A6" w:rsidP="007316A6">
      <w:pPr>
        <w:pStyle w:val="NoSpacing"/>
        <w:rPr>
          <w:sz w:val="24"/>
          <w:szCs w:val="24"/>
        </w:rPr>
      </w:pPr>
      <w:r w:rsidRPr="007316A6">
        <w:rPr>
          <w:sz w:val="24"/>
          <w:szCs w:val="24"/>
        </w:rPr>
        <w:t>College of Business Administration, University of Illinois at Chicago, Chicago, IL</w:t>
      </w:r>
    </w:p>
    <w:p w14:paraId="1D792770" w14:textId="77777777" w:rsidR="00E83C9E" w:rsidRPr="007316A6" w:rsidRDefault="00C21535" w:rsidP="007316A6">
      <w:pPr>
        <w:pStyle w:val="NoSpacing"/>
        <w:rPr>
          <w:sz w:val="32"/>
          <w:szCs w:val="32"/>
        </w:rPr>
      </w:pPr>
      <w:r w:rsidRPr="007316A6">
        <w:rPr>
          <w:sz w:val="32"/>
          <w:szCs w:val="32"/>
        </w:rPr>
        <w:t>Bin Wang</w:t>
      </w:r>
    </w:p>
    <w:p w14:paraId="055AF095" w14:textId="4F1171C3" w:rsidR="00E83C9E" w:rsidRPr="007316A6" w:rsidRDefault="007316A6" w:rsidP="007316A6">
      <w:pPr>
        <w:pStyle w:val="NoSpacing"/>
        <w:rPr>
          <w:sz w:val="24"/>
          <w:szCs w:val="24"/>
        </w:rPr>
      </w:pPr>
      <w:r w:rsidRPr="007316A6">
        <w:rPr>
          <w:sz w:val="24"/>
          <w:szCs w:val="24"/>
        </w:rPr>
        <w:t>College of Business Administration, Marquette University, Milwaukee, WI</w:t>
      </w:r>
    </w:p>
    <w:p w14:paraId="16B6CE2C" w14:textId="4BEAAF7B" w:rsidR="00414591" w:rsidRPr="007316A6" w:rsidRDefault="00C21535" w:rsidP="007316A6">
      <w:pPr>
        <w:pStyle w:val="NoSpacing"/>
        <w:rPr>
          <w:sz w:val="32"/>
          <w:szCs w:val="32"/>
        </w:rPr>
      </w:pPr>
      <w:proofErr w:type="spellStart"/>
      <w:r w:rsidRPr="007316A6">
        <w:rPr>
          <w:sz w:val="32"/>
          <w:szCs w:val="32"/>
        </w:rPr>
        <w:t>Xiaohong</w:t>
      </w:r>
      <w:proofErr w:type="spellEnd"/>
      <w:r w:rsidRPr="007316A6">
        <w:rPr>
          <w:sz w:val="32"/>
          <w:szCs w:val="32"/>
        </w:rPr>
        <w:t xml:space="preserve"> Wang</w:t>
      </w:r>
    </w:p>
    <w:p w14:paraId="1081125D" w14:textId="7B83DD6A" w:rsidR="00E83C9E" w:rsidRPr="007316A6" w:rsidRDefault="007316A6" w:rsidP="007316A6">
      <w:pPr>
        <w:pStyle w:val="NoSpacing"/>
        <w:rPr>
          <w:sz w:val="24"/>
          <w:szCs w:val="24"/>
        </w:rPr>
      </w:pPr>
      <w:r w:rsidRPr="007316A6">
        <w:rPr>
          <w:sz w:val="24"/>
          <w:szCs w:val="24"/>
        </w:rPr>
        <w:t>College of Business and Management, Northeastern Illinois University, Chicago, IL</w:t>
      </w:r>
    </w:p>
    <w:p w14:paraId="1820D7C9" w14:textId="77777777" w:rsidR="00E83C9E" w:rsidRDefault="00E83C9E" w:rsidP="000A7622">
      <w:pPr>
        <w:rPr>
          <w:rFonts w:cstheme="minorHAnsi"/>
          <w:sz w:val="24"/>
          <w:szCs w:val="24"/>
        </w:rPr>
      </w:pPr>
    </w:p>
    <w:p w14:paraId="0F39DEAB" w14:textId="77777777" w:rsidR="00725BCE" w:rsidRDefault="007316A6" w:rsidP="00725BCE">
      <w:pPr>
        <w:pStyle w:val="Heading1"/>
      </w:pPr>
      <w:r>
        <w:t>Abs</w:t>
      </w:r>
      <w:r w:rsidR="00725BCE">
        <w:t>tract</w:t>
      </w:r>
    </w:p>
    <w:p w14:paraId="30563BA9" w14:textId="439A3D99" w:rsidR="00673F93" w:rsidRDefault="00673F93" w:rsidP="00673F93">
      <w:pPr>
        <w:rPr>
          <w:rFonts w:cstheme="minorHAnsi"/>
          <w:sz w:val="24"/>
          <w:szCs w:val="24"/>
        </w:rPr>
      </w:pPr>
      <w:r w:rsidRPr="00673F93">
        <w:rPr>
          <w:rFonts w:cstheme="minorHAnsi"/>
          <w:sz w:val="24"/>
          <w:szCs w:val="24"/>
        </w:rPr>
        <w:t xml:space="preserve">We find that a firm's greater commitment to corporate social responsibility (CSR) increases firm‐specific information incorporated into stock prices. We further show that information searches increase around major disclosure events for firms that are more socially responsible, as observed through requests for newly released annual (10‐K) filings on EDGAR and company ticker searches on Google around earnings announcements. Using alternative empirical specifications, we establish a robust and positive relation between CSR and stock price informativeness. Our results are consistent </w:t>
      </w:r>
      <w:r w:rsidRPr="00673F93">
        <w:rPr>
          <w:rFonts w:cstheme="minorHAnsi"/>
          <w:sz w:val="24"/>
          <w:szCs w:val="24"/>
        </w:rPr>
        <w:lastRenderedPageBreak/>
        <w:t>with the ethical and reputational view that a commitment to CSR encourages information acquisition and facilitates information flow into stock prices.</w:t>
      </w:r>
    </w:p>
    <w:p w14:paraId="2FB21231" w14:textId="77777777" w:rsidR="00725BCE" w:rsidRDefault="00725BCE" w:rsidP="00725BCE">
      <w:pPr>
        <w:pStyle w:val="Heading1"/>
      </w:pPr>
      <w:r w:rsidRPr="00725BCE">
        <w:t>Keywords</w:t>
      </w:r>
    </w:p>
    <w:p w14:paraId="2B7AFF11" w14:textId="171DD6F5" w:rsidR="00725BCE" w:rsidRPr="00725BCE" w:rsidRDefault="00725BCE" w:rsidP="00725BCE">
      <w:pPr>
        <w:rPr>
          <w:rFonts w:cstheme="minorHAnsi"/>
          <w:sz w:val="24"/>
          <w:szCs w:val="24"/>
        </w:rPr>
      </w:pPr>
      <w:r w:rsidRPr="00725BCE">
        <w:rPr>
          <w:rFonts w:cstheme="minorHAnsi"/>
          <w:sz w:val="24"/>
          <w:szCs w:val="24"/>
        </w:rPr>
        <w:t>Corporate social performance</w:t>
      </w:r>
      <w:r>
        <w:rPr>
          <w:rFonts w:cstheme="minorHAnsi"/>
          <w:sz w:val="24"/>
          <w:szCs w:val="24"/>
        </w:rPr>
        <w:t>,</w:t>
      </w:r>
      <w:r w:rsidRPr="00725BCE">
        <w:rPr>
          <w:rFonts w:cstheme="minorHAnsi"/>
          <w:sz w:val="24"/>
          <w:szCs w:val="24"/>
        </w:rPr>
        <w:t xml:space="preserve"> Corporate social responsibility</w:t>
      </w:r>
      <w:r>
        <w:rPr>
          <w:rFonts w:cstheme="minorHAnsi"/>
          <w:sz w:val="24"/>
          <w:szCs w:val="24"/>
        </w:rPr>
        <w:t xml:space="preserve">, </w:t>
      </w:r>
      <w:r w:rsidRPr="00725BCE">
        <w:rPr>
          <w:rFonts w:cstheme="minorHAnsi"/>
          <w:sz w:val="24"/>
          <w:szCs w:val="24"/>
        </w:rPr>
        <w:t>Idiosyncratic volatility</w:t>
      </w:r>
      <w:r>
        <w:rPr>
          <w:rFonts w:cstheme="minorHAnsi"/>
          <w:sz w:val="24"/>
          <w:szCs w:val="24"/>
        </w:rPr>
        <w:t>,</w:t>
      </w:r>
      <w:r w:rsidRPr="00725BCE">
        <w:rPr>
          <w:rFonts w:cstheme="minorHAnsi"/>
          <w:sz w:val="24"/>
          <w:szCs w:val="24"/>
        </w:rPr>
        <w:t xml:space="preserve"> Information acquisition</w:t>
      </w:r>
      <w:r>
        <w:rPr>
          <w:rFonts w:cstheme="minorHAnsi"/>
          <w:sz w:val="24"/>
          <w:szCs w:val="24"/>
        </w:rPr>
        <w:t>,</w:t>
      </w:r>
      <w:r w:rsidRPr="00725BCE">
        <w:rPr>
          <w:rFonts w:cstheme="minorHAnsi"/>
          <w:sz w:val="24"/>
          <w:szCs w:val="24"/>
        </w:rPr>
        <w:t xml:space="preserve"> Probability of informed</w:t>
      </w:r>
      <w:r w:rsidR="00661066">
        <w:rPr>
          <w:rFonts w:cstheme="minorHAnsi"/>
          <w:sz w:val="24"/>
          <w:szCs w:val="24"/>
        </w:rPr>
        <w:t xml:space="preserve"> </w:t>
      </w:r>
      <w:r w:rsidRPr="00725BCE">
        <w:rPr>
          <w:rFonts w:cstheme="minorHAnsi"/>
          <w:sz w:val="24"/>
          <w:szCs w:val="24"/>
        </w:rPr>
        <w:t>trading</w:t>
      </w:r>
      <w:r w:rsidR="00661066">
        <w:rPr>
          <w:rFonts w:cstheme="minorHAnsi"/>
          <w:sz w:val="24"/>
          <w:szCs w:val="24"/>
        </w:rPr>
        <w:t>,</w:t>
      </w:r>
      <w:r w:rsidRPr="00725BCE">
        <w:rPr>
          <w:rFonts w:cstheme="minorHAnsi"/>
          <w:sz w:val="24"/>
          <w:szCs w:val="24"/>
        </w:rPr>
        <w:t xml:space="preserve"> Stock price informativeness</w:t>
      </w:r>
    </w:p>
    <w:p w14:paraId="42789767" w14:textId="77777777" w:rsidR="00673F93" w:rsidRPr="00661066" w:rsidRDefault="00D71504" w:rsidP="00661066">
      <w:pPr>
        <w:pStyle w:val="Heading1"/>
      </w:pPr>
      <w:hyperlink r:id="rId10" w:anchor="toc" w:tooltip="Introduction" w:history="1">
        <w:r w:rsidR="00673F93" w:rsidRPr="00661066">
          <w:rPr>
            <w:rStyle w:val="Hyperlink"/>
            <w:color w:val="262626" w:themeColor="text1" w:themeTint="D9"/>
            <w:u w:val="none"/>
          </w:rPr>
          <w:t>Introduction</w:t>
        </w:r>
      </w:hyperlink>
    </w:p>
    <w:p w14:paraId="27552BC0" w14:textId="2AF455EA" w:rsidR="00673F93" w:rsidRPr="00673F93" w:rsidRDefault="00673F93" w:rsidP="00673F93">
      <w:pPr>
        <w:rPr>
          <w:rFonts w:cstheme="minorHAnsi"/>
          <w:sz w:val="24"/>
          <w:szCs w:val="24"/>
        </w:rPr>
      </w:pPr>
      <w:r w:rsidRPr="00673F93">
        <w:rPr>
          <w:rFonts w:cstheme="minorHAnsi"/>
          <w:sz w:val="24"/>
          <w:szCs w:val="24"/>
        </w:rPr>
        <w:t>Over the past three decades, corporate social responsibility (CSR) has drawn considerable interest from practitioners, regulators and academics as more managers incorporate CSR activities into their business operations. Demands from multiple stakeholders, including customers, investors, employees, suppliers, community organisations and governments have influenced managers to make greater commitments to CSR (McWilliams and Siegel, 2001).</w:t>
      </w:r>
      <w:r w:rsidR="005F2B37" w:rsidRPr="005F2B37">
        <w:rPr>
          <w:rFonts w:cstheme="minorHAnsi"/>
          <w:sz w:val="24"/>
          <w:szCs w:val="24"/>
          <w:vertAlign w:val="superscript"/>
        </w:rPr>
        <w:t>1</w:t>
      </w:r>
      <w:r w:rsidRPr="00673F93">
        <w:rPr>
          <w:rFonts w:cstheme="minorHAnsi"/>
          <w:sz w:val="24"/>
          <w:szCs w:val="24"/>
        </w:rPr>
        <w:t xml:space="preserve"> As the prevalence of CSR grows, there are calls for research into the measurable economic consequences from CSR activities (HBS, 2011). In this paper, we investigate whether and how CSR facilitates the incorporation of firm‐specific information into stock prices, or stock price informativeness. Understanding the processes through which information is impounded into stock price is fundamental to financial economics. As the seminal work by Fama (1970) states, stock prices can provide accurate signals about productivity and guide efficient capital allocation decisions in an efficient market.</w:t>
      </w:r>
    </w:p>
    <w:p w14:paraId="097C3CB8" w14:textId="7A90CC71" w:rsidR="00673F93" w:rsidRPr="00673F93" w:rsidRDefault="00673F93" w:rsidP="00673F93">
      <w:pPr>
        <w:rPr>
          <w:rFonts w:cstheme="minorHAnsi"/>
          <w:sz w:val="24"/>
          <w:szCs w:val="24"/>
        </w:rPr>
      </w:pPr>
      <w:r w:rsidRPr="00673F93">
        <w:rPr>
          <w:rFonts w:cstheme="minorHAnsi"/>
          <w:sz w:val="24"/>
          <w:szCs w:val="24"/>
        </w:rPr>
        <w:t xml:space="preserve">Ex ante, it is unclear whether a greater commitment to CSR can facilitate the incorporation of </w:t>
      </w:r>
      <w:proofErr w:type="gramStart"/>
      <w:r w:rsidRPr="00673F93">
        <w:rPr>
          <w:rFonts w:cstheme="minorHAnsi"/>
          <w:sz w:val="24"/>
          <w:szCs w:val="24"/>
        </w:rPr>
        <w:t>more or less information</w:t>
      </w:r>
      <w:proofErr w:type="gramEnd"/>
      <w:r w:rsidRPr="00673F93">
        <w:rPr>
          <w:rFonts w:cstheme="minorHAnsi"/>
          <w:sz w:val="24"/>
          <w:szCs w:val="24"/>
        </w:rPr>
        <w:t xml:space="preserve"> into stock prices. On one hand, CSR activities may encourage greater information acquisition and trading. A survey of US chief financial officers (CFO) shows that firms engage in CSR activities primarily to build their reputations and to act as good corporate citizens.</w:t>
      </w:r>
      <w:r w:rsidR="005F2B37" w:rsidRPr="005F2B37">
        <w:rPr>
          <w:rFonts w:cstheme="minorHAnsi"/>
          <w:sz w:val="24"/>
          <w:szCs w:val="24"/>
          <w:vertAlign w:val="superscript"/>
        </w:rPr>
        <w:t>2</w:t>
      </w:r>
      <w:r w:rsidRPr="00673F93">
        <w:rPr>
          <w:rFonts w:cstheme="minorHAnsi"/>
          <w:sz w:val="24"/>
          <w:szCs w:val="24"/>
        </w:rPr>
        <w:t xml:space="preserve"> These ethical and reputational concerns may restrain CSR firms from unethical behaviour such as the manipulation of accounting numbers and the exploitation of outside investors. Outside investors would have greater incentives to acquire and trade on information due to lower information acquisition costs and greater investor protection, leading to more informative stock prices. As a result, the ethical and reputational view suggests a positive association between CSR and price informativeness.</w:t>
      </w:r>
    </w:p>
    <w:p w14:paraId="7E321BC2" w14:textId="20001479" w:rsidR="00673F93" w:rsidRPr="00673F93" w:rsidRDefault="00673F93" w:rsidP="00673F93">
      <w:pPr>
        <w:rPr>
          <w:rFonts w:cstheme="minorHAnsi"/>
          <w:sz w:val="24"/>
          <w:szCs w:val="24"/>
        </w:rPr>
      </w:pPr>
      <w:r w:rsidRPr="00673F93">
        <w:rPr>
          <w:rFonts w:cstheme="minorHAnsi"/>
          <w:sz w:val="24"/>
          <w:szCs w:val="24"/>
        </w:rPr>
        <w:t xml:space="preserve">On the other hand, CSR activities may discourage information acquisition and trading. A line of literature argues that CSR is a manifestation of agency problems (Friedman, 1970). Self‐serving managers may engage in CSR activities to advance their personal interests, e.g., to achieve higher social status, at the expense of shareholders (Barnard, 1997; Cespa and Cestone, 2007). In addition, managers may be more likely to commit agency behaviours, such as asset diversion for personal gain, when they serve many masters (all stakeholders) and may not be held accountable (Jensen, 2001). Self‐interested managers may engage in complicated business transactions and accounting manipulation to mask a firm's true cash flows </w:t>
      </w:r>
      <w:proofErr w:type="gramStart"/>
      <w:r w:rsidRPr="00673F93">
        <w:rPr>
          <w:rFonts w:cstheme="minorHAnsi"/>
          <w:sz w:val="24"/>
          <w:szCs w:val="24"/>
        </w:rPr>
        <w:t>in order to</w:t>
      </w:r>
      <w:proofErr w:type="gramEnd"/>
      <w:r w:rsidRPr="00673F93">
        <w:rPr>
          <w:rFonts w:cstheme="minorHAnsi"/>
          <w:sz w:val="24"/>
          <w:szCs w:val="24"/>
        </w:rPr>
        <w:t xml:space="preserve"> disguise opportunistic behaviour (Desai and Dharmapala, 2009).</w:t>
      </w:r>
      <w:r w:rsidR="005F2B37" w:rsidRPr="005F2B37">
        <w:rPr>
          <w:rFonts w:cstheme="minorHAnsi"/>
          <w:sz w:val="24"/>
          <w:szCs w:val="24"/>
          <w:vertAlign w:val="superscript"/>
        </w:rPr>
        <w:t>3</w:t>
      </w:r>
      <w:r w:rsidRPr="00673F93">
        <w:rPr>
          <w:rFonts w:cstheme="minorHAnsi"/>
          <w:sz w:val="24"/>
          <w:szCs w:val="24"/>
        </w:rPr>
        <w:t xml:space="preserve"> These actions can result in greater information acquisition costs to investors. High information acquisition costs (Grossman and Stiglitz, 1980) and concerns regarding insider exploitation (Morck </w:t>
      </w:r>
      <w:r w:rsidR="005A3923">
        <w:rPr>
          <w:rFonts w:cstheme="minorHAnsi"/>
          <w:i/>
          <w:iCs/>
          <w:sz w:val="24"/>
          <w:szCs w:val="24"/>
        </w:rPr>
        <w:t xml:space="preserve">et al., </w:t>
      </w:r>
      <w:r w:rsidRPr="00673F93">
        <w:rPr>
          <w:rFonts w:cstheme="minorHAnsi"/>
          <w:sz w:val="24"/>
          <w:szCs w:val="24"/>
        </w:rPr>
        <w:t>2000) can discourage outside investors from doing research and trading on companies with greater CSR involvement, which results in less informative stock prices. Consequently, the agency view predicts that CSR is negatively associated with price informativeness.</w:t>
      </w:r>
    </w:p>
    <w:p w14:paraId="635FD52A" w14:textId="4B8D5A2F" w:rsidR="00673F93" w:rsidRPr="00673F93" w:rsidRDefault="00673F93" w:rsidP="00673F93">
      <w:pPr>
        <w:rPr>
          <w:rFonts w:cstheme="minorHAnsi"/>
          <w:sz w:val="24"/>
          <w:szCs w:val="24"/>
        </w:rPr>
      </w:pPr>
      <w:r w:rsidRPr="00673F93">
        <w:rPr>
          <w:rFonts w:cstheme="minorHAnsi"/>
          <w:sz w:val="24"/>
          <w:szCs w:val="24"/>
        </w:rPr>
        <w:lastRenderedPageBreak/>
        <w:t>Based on these arguments, we empirically examine the association between CSR activities and stock price informativeness. We use idiosyncratic volatility, the stock return variation unexplained by market movement, and the probability of informed trading (PIN) as our main measures of price informativeness. These two proxies are commonly used as measures of firm‐specific information captured in stock prices and have been validated in prior literature (Easley </w:t>
      </w:r>
      <w:r w:rsidR="005A3923">
        <w:rPr>
          <w:rFonts w:cstheme="minorHAnsi"/>
          <w:i/>
          <w:iCs/>
          <w:sz w:val="24"/>
          <w:szCs w:val="24"/>
        </w:rPr>
        <w:t xml:space="preserve">et al., </w:t>
      </w:r>
      <w:r w:rsidRPr="00673F93">
        <w:rPr>
          <w:rFonts w:cstheme="minorHAnsi"/>
          <w:sz w:val="24"/>
          <w:szCs w:val="24"/>
        </w:rPr>
        <w:t>1997a, 1997b; Morck </w:t>
      </w:r>
      <w:r w:rsidR="005A3923">
        <w:rPr>
          <w:rFonts w:cstheme="minorHAnsi"/>
          <w:i/>
          <w:iCs/>
          <w:sz w:val="24"/>
          <w:szCs w:val="24"/>
        </w:rPr>
        <w:t xml:space="preserve">et al., </w:t>
      </w:r>
      <w:r w:rsidRPr="00673F93">
        <w:rPr>
          <w:rFonts w:cstheme="minorHAnsi"/>
          <w:sz w:val="24"/>
          <w:szCs w:val="24"/>
        </w:rPr>
        <w:t>2000). Following the literature (Hong </w:t>
      </w:r>
      <w:r w:rsidR="005A3923">
        <w:rPr>
          <w:rFonts w:cstheme="minorHAnsi"/>
          <w:i/>
          <w:iCs/>
          <w:sz w:val="24"/>
          <w:szCs w:val="24"/>
        </w:rPr>
        <w:t xml:space="preserve">et al., </w:t>
      </w:r>
      <w:r w:rsidRPr="00673F93">
        <w:rPr>
          <w:rFonts w:cstheme="minorHAnsi"/>
          <w:sz w:val="24"/>
          <w:szCs w:val="24"/>
        </w:rPr>
        <w:t>2012; Deng </w:t>
      </w:r>
      <w:r w:rsidR="005A3923">
        <w:rPr>
          <w:rFonts w:cstheme="minorHAnsi"/>
          <w:i/>
          <w:iCs/>
          <w:sz w:val="24"/>
          <w:szCs w:val="24"/>
        </w:rPr>
        <w:t xml:space="preserve">et al., </w:t>
      </w:r>
      <w:r w:rsidRPr="00673F93">
        <w:rPr>
          <w:rFonts w:cstheme="minorHAnsi"/>
          <w:sz w:val="24"/>
          <w:szCs w:val="24"/>
        </w:rPr>
        <w:t>2013), we use the Kinder, Lydenberg, Domini, and Co. (KLD) database to measure a firm's commitment to CSR. We show that the stock prices of more socially responsible firms have higher levels of idiosyncratic volatility and PIN, consistent with the ethical and reputational view that greater CSR commitment facilitates more firm‐specific information incorporated into stock prices.</w:t>
      </w:r>
    </w:p>
    <w:p w14:paraId="6E81977A" w14:textId="24860034" w:rsidR="00673F93" w:rsidRPr="00673F93" w:rsidRDefault="00673F93" w:rsidP="00673F93">
      <w:pPr>
        <w:rPr>
          <w:rFonts w:cstheme="minorHAnsi"/>
          <w:sz w:val="24"/>
          <w:szCs w:val="24"/>
        </w:rPr>
      </w:pPr>
      <w:r w:rsidRPr="00673F93">
        <w:rPr>
          <w:rFonts w:cstheme="minorHAnsi"/>
          <w:sz w:val="24"/>
          <w:szCs w:val="24"/>
        </w:rPr>
        <w:t>We further provide direct evidence on the role of CSR in investors' search activities for firm‐specific information. While it would be ideal to study the association between CSR and investors' search for private information, it is inherently difficult to do so because private information searches are usually unobservable. To overcome this empirical challenge, we study the association between CSR and investors' searches on the SEC's Electronic Data Gathering, Analysis, and Retrieval (EDGAR) website for new 10‐K financial reports and on Google for firms around their earnings announcements.</w:t>
      </w:r>
      <w:r w:rsidR="005F2B37" w:rsidRPr="005F2B37">
        <w:rPr>
          <w:rFonts w:cstheme="minorHAnsi"/>
          <w:sz w:val="24"/>
          <w:szCs w:val="24"/>
          <w:vertAlign w:val="superscript"/>
        </w:rPr>
        <w:t>4</w:t>
      </w:r>
      <w:r w:rsidRPr="00673F93">
        <w:rPr>
          <w:rFonts w:cstheme="minorHAnsi"/>
          <w:sz w:val="24"/>
          <w:szCs w:val="24"/>
        </w:rPr>
        <w:t xml:space="preserve"> We believe that this empirical design is suitable for our study for the following reasons. First, both the 10‐K reports and earnings announcements are important public disclosures that can stimulate private information search </w:t>
      </w:r>
      <w:proofErr w:type="gramStart"/>
      <w:r w:rsidRPr="00673F93">
        <w:rPr>
          <w:rFonts w:cstheme="minorHAnsi"/>
          <w:sz w:val="24"/>
          <w:szCs w:val="24"/>
        </w:rPr>
        <w:t>in order to</w:t>
      </w:r>
      <w:proofErr w:type="gramEnd"/>
      <w:r w:rsidRPr="00673F93">
        <w:rPr>
          <w:rFonts w:cstheme="minorHAnsi"/>
          <w:sz w:val="24"/>
          <w:szCs w:val="24"/>
        </w:rPr>
        <w:t xml:space="preserve"> profit from the public disclosure events (McNichols and Trueman, 1994; Kim and Verrecchia, 1997). Furthermore, recent literature shows that new information contained in public disclosures is disseminated gradually due to investors' limited attention and the significant cost in information processing (Hirshleifer and Teoh, 2003; Drake </w:t>
      </w:r>
      <w:r w:rsidR="005A3923">
        <w:rPr>
          <w:rFonts w:cstheme="minorHAnsi"/>
          <w:i/>
          <w:iCs/>
          <w:sz w:val="24"/>
          <w:szCs w:val="24"/>
        </w:rPr>
        <w:t xml:space="preserve">et al., </w:t>
      </w:r>
      <w:r w:rsidRPr="00673F93">
        <w:rPr>
          <w:rFonts w:cstheme="minorHAnsi"/>
          <w:sz w:val="24"/>
          <w:szCs w:val="24"/>
        </w:rPr>
        <w:t>2012).</w:t>
      </w:r>
      <w:r w:rsidR="005F2B37" w:rsidRPr="005F2B37">
        <w:rPr>
          <w:rFonts w:cstheme="minorHAnsi"/>
          <w:sz w:val="24"/>
          <w:szCs w:val="24"/>
          <w:vertAlign w:val="superscript"/>
        </w:rPr>
        <w:t>5</w:t>
      </w:r>
      <w:r w:rsidRPr="00673F93">
        <w:rPr>
          <w:rFonts w:cstheme="minorHAnsi"/>
          <w:sz w:val="24"/>
          <w:szCs w:val="24"/>
        </w:rPr>
        <w:t xml:space="preserve"> We find that investors' searches for information around these major disclosure events is more pronounced for firms that are more socially responsible.</w:t>
      </w:r>
    </w:p>
    <w:p w14:paraId="7C9D20BF" w14:textId="3DA82B97" w:rsidR="00673F93" w:rsidRPr="00673F93" w:rsidRDefault="00673F93" w:rsidP="00673F93">
      <w:pPr>
        <w:rPr>
          <w:rFonts w:cstheme="minorHAnsi"/>
          <w:sz w:val="24"/>
          <w:szCs w:val="24"/>
        </w:rPr>
      </w:pPr>
      <w:r w:rsidRPr="00673F93">
        <w:rPr>
          <w:rFonts w:cstheme="minorHAnsi"/>
          <w:sz w:val="24"/>
          <w:szCs w:val="24"/>
        </w:rPr>
        <w:t>We further examine how CSR is associated with the ability of current stock prices to reflect future earnings. Stock prices are more informative when they incorporate more value‐relevant information including future earnings news (Kothari and Sloan, 1992; Choi </w:t>
      </w:r>
      <w:r w:rsidR="005A3923">
        <w:rPr>
          <w:rFonts w:cstheme="minorHAnsi"/>
          <w:i/>
          <w:iCs/>
          <w:sz w:val="24"/>
          <w:szCs w:val="24"/>
        </w:rPr>
        <w:t xml:space="preserve">et al., </w:t>
      </w:r>
      <w:r w:rsidRPr="00673F93">
        <w:rPr>
          <w:rFonts w:cstheme="minorHAnsi"/>
          <w:sz w:val="24"/>
          <w:szCs w:val="24"/>
        </w:rPr>
        <w:t>2011). If CSR incentivises (or discourages) information acquisition and trading, then current stock prices should be more (or less) predictive of future firm earnings. We use the future earnings response coefficient (or FERC) that relates current stock returns to lead firm earnings as an alternative measure for price informativeness. We find that the stock prices of socially responsible firms contain more information about firm future earnings.</w:t>
      </w:r>
    </w:p>
    <w:p w14:paraId="32FE424A" w14:textId="77777777" w:rsidR="00673F93" w:rsidRPr="00673F93" w:rsidRDefault="00673F93" w:rsidP="00673F93">
      <w:pPr>
        <w:rPr>
          <w:rFonts w:cstheme="minorHAnsi"/>
          <w:sz w:val="24"/>
          <w:szCs w:val="24"/>
        </w:rPr>
      </w:pPr>
      <w:r w:rsidRPr="00673F93">
        <w:rPr>
          <w:rFonts w:cstheme="minorHAnsi"/>
          <w:sz w:val="24"/>
          <w:szCs w:val="24"/>
        </w:rPr>
        <w:t>We conduct a series of robustness checks to verify our main findings. We conduct a lead‐lag analysis and find that the lagged (rather than lead or contemporaneous) levels of CSR is positively associated with price informativeness. The results from the lead‐lag analysis alleviate concerns about reverse causality and simultaneity. We further find results that are consistent with our main finding when using a propensity score matched sample. Furthermore, we find that CSR strengths, rather than concerns, are the primary drivers of our results. Finally, we investigate and show that our results are unlikely driven by several alternative explanations.</w:t>
      </w:r>
    </w:p>
    <w:p w14:paraId="5F41D0F2" w14:textId="1EC20E0E" w:rsidR="00673F93" w:rsidRPr="00673F93" w:rsidRDefault="00673F93" w:rsidP="00673F93">
      <w:pPr>
        <w:rPr>
          <w:rFonts w:cstheme="minorHAnsi"/>
          <w:sz w:val="24"/>
          <w:szCs w:val="24"/>
        </w:rPr>
      </w:pPr>
      <w:r w:rsidRPr="00673F93">
        <w:rPr>
          <w:rFonts w:cstheme="minorHAnsi"/>
          <w:sz w:val="24"/>
          <w:szCs w:val="24"/>
        </w:rPr>
        <w:t>This paper contributes to the growing body of literature on CSR. While an extensive body of work examines the relation between CSR and equilibrium firm value (Margolis </w:t>
      </w:r>
      <w:r w:rsidR="005A3923">
        <w:rPr>
          <w:rFonts w:cstheme="minorHAnsi"/>
          <w:i/>
          <w:iCs/>
          <w:sz w:val="24"/>
          <w:szCs w:val="24"/>
        </w:rPr>
        <w:t xml:space="preserve">et al., </w:t>
      </w:r>
      <w:r w:rsidRPr="00673F93">
        <w:rPr>
          <w:rFonts w:cstheme="minorHAnsi"/>
          <w:sz w:val="24"/>
          <w:szCs w:val="24"/>
        </w:rPr>
        <w:t xml:space="preserve">2007; Flammer, 2015; </w:t>
      </w:r>
      <w:r w:rsidRPr="00673F93">
        <w:rPr>
          <w:rFonts w:cstheme="minorHAnsi"/>
          <w:sz w:val="24"/>
          <w:szCs w:val="24"/>
        </w:rPr>
        <w:lastRenderedPageBreak/>
        <w:t>Lys </w:t>
      </w:r>
      <w:r w:rsidR="005A3923">
        <w:rPr>
          <w:rFonts w:cstheme="minorHAnsi"/>
          <w:i/>
          <w:iCs/>
          <w:sz w:val="24"/>
          <w:szCs w:val="24"/>
        </w:rPr>
        <w:t xml:space="preserve">et al., </w:t>
      </w:r>
      <w:r w:rsidRPr="00673F93">
        <w:rPr>
          <w:rFonts w:cstheme="minorHAnsi"/>
          <w:sz w:val="24"/>
          <w:szCs w:val="24"/>
        </w:rPr>
        <w:t>2015; Gregory </w:t>
      </w:r>
      <w:r w:rsidR="005A3923">
        <w:rPr>
          <w:rFonts w:cstheme="minorHAnsi"/>
          <w:i/>
          <w:iCs/>
          <w:sz w:val="24"/>
          <w:szCs w:val="24"/>
        </w:rPr>
        <w:t xml:space="preserve">et al., </w:t>
      </w:r>
      <w:r w:rsidRPr="00673F93">
        <w:rPr>
          <w:rFonts w:cstheme="minorHAnsi"/>
          <w:sz w:val="24"/>
          <w:szCs w:val="24"/>
        </w:rPr>
        <w:t>2016; Jones and Wright, 2016) and cost of capital (El Ghoul </w:t>
      </w:r>
      <w:r w:rsidR="005A3923">
        <w:rPr>
          <w:rFonts w:cstheme="minorHAnsi"/>
          <w:i/>
          <w:iCs/>
          <w:sz w:val="24"/>
          <w:szCs w:val="24"/>
        </w:rPr>
        <w:t xml:space="preserve">et al., </w:t>
      </w:r>
      <w:r w:rsidRPr="00673F93">
        <w:rPr>
          <w:rFonts w:cstheme="minorHAnsi"/>
          <w:sz w:val="24"/>
          <w:szCs w:val="24"/>
        </w:rPr>
        <w:t>2011; Goss and Roberts, 2011), few papers take a microstructure approach in examining how CSR relates to the process of price discovery. Given the vital role of stock prices in guiding efficient capital allocation decisions, our paper fills an important void in the literature. We provide a systematic study that examines CSR and stock price informativeness and find a robust positive relation.</w:t>
      </w:r>
    </w:p>
    <w:p w14:paraId="7AF9B95D" w14:textId="05C1A6B5" w:rsidR="00673F93" w:rsidRPr="00673F93" w:rsidRDefault="00673F93" w:rsidP="00673F93">
      <w:pPr>
        <w:rPr>
          <w:rFonts w:cstheme="minorHAnsi"/>
          <w:sz w:val="24"/>
          <w:szCs w:val="24"/>
        </w:rPr>
      </w:pPr>
      <w:r w:rsidRPr="00673F93">
        <w:rPr>
          <w:rFonts w:cstheme="minorHAnsi"/>
          <w:sz w:val="24"/>
          <w:szCs w:val="24"/>
        </w:rPr>
        <w:t>This paper complements but differs from prior studies that investigate the relation between CSR and a firm's information environment or CSR and managerial opportunism (Gelb and Strawser, 2001; Petrovits, 2006; Chih </w:t>
      </w:r>
      <w:r w:rsidR="005A3923">
        <w:rPr>
          <w:rFonts w:cstheme="minorHAnsi"/>
          <w:i/>
          <w:iCs/>
          <w:sz w:val="24"/>
          <w:szCs w:val="24"/>
        </w:rPr>
        <w:t xml:space="preserve">et al., </w:t>
      </w:r>
      <w:r w:rsidRPr="00673F93">
        <w:rPr>
          <w:rFonts w:cstheme="minorHAnsi"/>
          <w:sz w:val="24"/>
          <w:szCs w:val="24"/>
        </w:rPr>
        <w:t>2008; Kim </w:t>
      </w:r>
      <w:r w:rsidR="005A3923">
        <w:rPr>
          <w:rFonts w:cstheme="minorHAnsi"/>
          <w:i/>
          <w:iCs/>
          <w:sz w:val="24"/>
          <w:szCs w:val="24"/>
        </w:rPr>
        <w:t xml:space="preserve">et al., </w:t>
      </w:r>
      <w:r w:rsidRPr="00673F93">
        <w:rPr>
          <w:rFonts w:cstheme="minorHAnsi"/>
          <w:sz w:val="24"/>
          <w:szCs w:val="24"/>
        </w:rPr>
        <w:t>2012; Gao </w:t>
      </w:r>
      <w:r w:rsidR="005A3923">
        <w:rPr>
          <w:rFonts w:cstheme="minorHAnsi"/>
          <w:i/>
          <w:iCs/>
          <w:sz w:val="24"/>
          <w:szCs w:val="24"/>
        </w:rPr>
        <w:t xml:space="preserve">et al., </w:t>
      </w:r>
      <w:r w:rsidRPr="00673F93">
        <w:rPr>
          <w:rFonts w:cstheme="minorHAnsi"/>
          <w:sz w:val="24"/>
          <w:szCs w:val="24"/>
        </w:rPr>
        <w:t xml:space="preserve">2014). While these studies investigate the role of CSR on corporate policy and managerial behaviour, our paper extends the literature by exploring how CSR relates to investor information acquisition. To our knowledge, our work is the first to directly address the relation between CSR and investor information search activities. In addition, the role of CSR on a firm's information environment and managerial opportunism is still subject to debate. Our finding that greater CSR commitment, and CSR </w:t>
      </w:r>
      <w:proofErr w:type="gramStart"/>
      <w:r w:rsidRPr="00673F93">
        <w:rPr>
          <w:rFonts w:cstheme="minorHAnsi"/>
          <w:sz w:val="24"/>
          <w:szCs w:val="24"/>
        </w:rPr>
        <w:t>strength in particular, is</w:t>
      </w:r>
      <w:proofErr w:type="gramEnd"/>
      <w:r w:rsidRPr="00673F93">
        <w:rPr>
          <w:rFonts w:cstheme="minorHAnsi"/>
          <w:sz w:val="24"/>
          <w:szCs w:val="24"/>
        </w:rPr>
        <w:t xml:space="preserve"> associated with greater investor information acquisition and stock price informativeness suggests that CSR contributes to a better information and trading environment.</w:t>
      </w:r>
    </w:p>
    <w:p w14:paraId="594922BD" w14:textId="10C243F0" w:rsidR="00673F93" w:rsidRPr="00673F93" w:rsidRDefault="00673F93" w:rsidP="00673F93">
      <w:pPr>
        <w:rPr>
          <w:rFonts w:cstheme="minorHAnsi"/>
          <w:sz w:val="24"/>
          <w:szCs w:val="24"/>
        </w:rPr>
      </w:pPr>
      <w:r w:rsidRPr="00673F93">
        <w:rPr>
          <w:rFonts w:cstheme="minorHAnsi"/>
          <w:sz w:val="24"/>
          <w:szCs w:val="24"/>
        </w:rPr>
        <w:t>Our study also adds to the ongoing debate on the nature of CSR activities. While some academics and practitioners criticise CSR activities as a type of agency problem, our empirical results are consistent with the ethical and reputational motives for CSR. Our findings may also have broader implications for corporate policies on CSR. A growing line of research argues that stock prices can impact corporate decisions and firm value through managers' learning from information embedded in stock prices (Chen </w:t>
      </w:r>
      <w:r w:rsidR="005A3923">
        <w:rPr>
          <w:rFonts w:cstheme="minorHAnsi"/>
          <w:i/>
          <w:iCs/>
          <w:sz w:val="24"/>
          <w:szCs w:val="24"/>
        </w:rPr>
        <w:t xml:space="preserve">et al., </w:t>
      </w:r>
      <w:r w:rsidRPr="00673F93">
        <w:rPr>
          <w:rFonts w:cstheme="minorHAnsi"/>
          <w:sz w:val="24"/>
          <w:szCs w:val="24"/>
        </w:rPr>
        <w:t>2007; Bond </w:t>
      </w:r>
      <w:r w:rsidR="005A3923">
        <w:rPr>
          <w:rFonts w:cstheme="minorHAnsi"/>
          <w:i/>
          <w:iCs/>
          <w:sz w:val="24"/>
          <w:szCs w:val="24"/>
        </w:rPr>
        <w:t xml:space="preserve">et al., </w:t>
      </w:r>
      <w:r w:rsidRPr="00673F93">
        <w:rPr>
          <w:rFonts w:cstheme="minorHAnsi"/>
          <w:sz w:val="24"/>
          <w:szCs w:val="24"/>
        </w:rPr>
        <w:t>2012; Zuo, 2016) or being disciplined by stock performance to make value‐maximising decisions (Jensen, 1986; Ferreira </w:t>
      </w:r>
      <w:r w:rsidR="005A3923">
        <w:rPr>
          <w:rFonts w:cstheme="minorHAnsi"/>
          <w:i/>
          <w:iCs/>
          <w:sz w:val="24"/>
          <w:szCs w:val="24"/>
        </w:rPr>
        <w:t xml:space="preserve">et al., </w:t>
      </w:r>
      <w:r w:rsidRPr="00673F93">
        <w:rPr>
          <w:rFonts w:cstheme="minorHAnsi"/>
          <w:sz w:val="24"/>
          <w:szCs w:val="24"/>
        </w:rPr>
        <w:t>2011). If CSR activities promote greater stock price informativeness, then managers of more socially responsible firms may make better capital allocation decisions that enhance firm value.</w:t>
      </w:r>
    </w:p>
    <w:p w14:paraId="65C69389" w14:textId="1C9AF124" w:rsidR="00673F93" w:rsidRPr="00673F93" w:rsidRDefault="00673F93" w:rsidP="00673F93">
      <w:pPr>
        <w:rPr>
          <w:rFonts w:cstheme="minorHAnsi"/>
          <w:sz w:val="24"/>
          <w:szCs w:val="24"/>
        </w:rPr>
      </w:pPr>
      <w:r w:rsidRPr="00673F93">
        <w:rPr>
          <w:rFonts w:cstheme="minorHAnsi"/>
          <w:sz w:val="24"/>
          <w:szCs w:val="24"/>
        </w:rPr>
        <w:t xml:space="preserve">Lastly, our paper contributes to the literature on price informativeness. Prior studies have examined </w:t>
      </w:r>
      <w:proofErr w:type="gramStart"/>
      <w:r w:rsidRPr="00673F93">
        <w:rPr>
          <w:rFonts w:cstheme="minorHAnsi"/>
          <w:sz w:val="24"/>
          <w:szCs w:val="24"/>
        </w:rPr>
        <w:t>a number of</w:t>
      </w:r>
      <w:proofErr w:type="gramEnd"/>
      <w:r w:rsidRPr="00673F93">
        <w:rPr>
          <w:rFonts w:cstheme="minorHAnsi"/>
          <w:sz w:val="24"/>
          <w:szCs w:val="24"/>
        </w:rPr>
        <w:t xml:space="preserve"> determinants of price informativeness including corporate governance (Ferreira and Laux, 2007; Ferreira </w:t>
      </w:r>
      <w:r w:rsidR="005A3923">
        <w:rPr>
          <w:rFonts w:cstheme="minorHAnsi"/>
          <w:i/>
          <w:iCs/>
          <w:sz w:val="24"/>
          <w:szCs w:val="24"/>
        </w:rPr>
        <w:t xml:space="preserve">et al., </w:t>
      </w:r>
      <w:r w:rsidRPr="00673F93">
        <w:rPr>
          <w:rFonts w:cstheme="minorHAnsi"/>
          <w:sz w:val="24"/>
          <w:szCs w:val="24"/>
        </w:rPr>
        <w:t>2011), board composition (Gul </w:t>
      </w:r>
      <w:r w:rsidR="005A3923">
        <w:rPr>
          <w:rFonts w:cstheme="minorHAnsi"/>
          <w:i/>
          <w:iCs/>
          <w:sz w:val="24"/>
          <w:szCs w:val="24"/>
        </w:rPr>
        <w:t xml:space="preserve">et al., </w:t>
      </w:r>
      <w:r w:rsidRPr="00673F93">
        <w:rPr>
          <w:rFonts w:cstheme="minorHAnsi"/>
          <w:sz w:val="24"/>
          <w:szCs w:val="24"/>
        </w:rPr>
        <w:t>2011), disclosure activities (Gelb and Zarowin, 2002), analyst coverage (Piotroski and Roulstone, 2004), institutional ownership (Piotroski and Roulstone, 2004) and insider trading (Fernandes and Ferreira, 2009). Nonetheless, research on whether CSR activities affect stock price informativeness remains scarce. Grewal </w:t>
      </w:r>
      <w:r w:rsidR="005A3923">
        <w:rPr>
          <w:rFonts w:cstheme="minorHAnsi"/>
          <w:i/>
          <w:iCs/>
          <w:sz w:val="24"/>
          <w:szCs w:val="24"/>
        </w:rPr>
        <w:t xml:space="preserve">et al. </w:t>
      </w:r>
      <w:r w:rsidRPr="00673F93">
        <w:rPr>
          <w:rFonts w:cstheme="minorHAnsi"/>
          <w:sz w:val="24"/>
          <w:szCs w:val="24"/>
        </w:rPr>
        <w:t>(2020) show that material sustainability reports contain value‐relevant firm‐specific information and therefore increase stock price informativeness. Complementing Grewal </w:t>
      </w:r>
      <w:r w:rsidR="005A3923">
        <w:rPr>
          <w:rFonts w:cstheme="minorHAnsi"/>
          <w:i/>
          <w:iCs/>
          <w:sz w:val="24"/>
          <w:szCs w:val="24"/>
        </w:rPr>
        <w:t xml:space="preserve">et al. </w:t>
      </w:r>
      <w:r w:rsidRPr="00673F93">
        <w:rPr>
          <w:rFonts w:cstheme="minorHAnsi"/>
          <w:sz w:val="24"/>
          <w:szCs w:val="24"/>
        </w:rPr>
        <w:t xml:space="preserve">(2020), our study provides supportive evidence that holding CSR disclosure constant, higher CSR ratings further attract more investors to search for firm‐specific information due to socially responsible firms' commitment to a trustworthy information and trading environment. Our study of the impact of CSR on price informativeness is timely and important, as CSR has received increasing attention from business, </w:t>
      </w:r>
      <w:proofErr w:type="gramStart"/>
      <w:r w:rsidRPr="00673F93">
        <w:rPr>
          <w:rFonts w:cstheme="minorHAnsi"/>
          <w:sz w:val="24"/>
          <w:szCs w:val="24"/>
        </w:rPr>
        <w:t>policymakers</w:t>
      </w:r>
      <w:proofErr w:type="gramEnd"/>
      <w:r w:rsidRPr="00673F93">
        <w:rPr>
          <w:rFonts w:cstheme="minorHAnsi"/>
          <w:sz w:val="24"/>
          <w:szCs w:val="24"/>
        </w:rPr>
        <w:t xml:space="preserve"> and academia.</w:t>
      </w:r>
    </w:p>
    <w:p w14:paraId="0E16D7AC" w14:textId="77777777" w:rsidR="00673F93" w:rsidRPr="009E3777" w:rsidRDefault="00D71504" w:rsidP="009E3777">
      <w:pPr>
        <w:pStyle w:val="Heading1"/>
      </w:pPr>
      <w:hyperlink r:id="rId11" w:anchor="toc" w:tooltip="Literature review and hypothesis development" w:history="1">
        <w:r w:rsidR="00673F93" w:rsidRPr="009E3777">
          <w:rPr>
            <w:rStyle w:val="Hyperlink"/>
            <w:color w:val="262626" w:themeColor="text1" w:themeTint="D9"/>
            <w:u w:val="none"/>
          </w:rPr>
          <w:t>Literature review and hypothesis development</w:t>
        </w:r>
      </w:hyperlink>
    </w:p>
    <w:p w14:paraId="1D5CA05A" w14:textId="6A0245D1" w:rsidR="00673F93" w:rsidRPr="00673F93" w:rsidRDefault="00673F93" w:rsidP="00673F93">
      <w:pPr>
        <w:rPr>
          <w:rFonts w:cstheme="minorHAnsi"/>
          <w:sz w:val="24"/>
          <w:szCs w:val="24"/>
        </w:rPr>
      </w:pPr>
      <w:r w:rsidRPr="00673F93">
        <w:rPr>
          <w:rFonts w:cstheme="minorHAnsi"/>
          <w:sz w:val="24"/>
          <w:szCs w:val="24"/>
        </w:rPr>
        <w:t xml:space="preserve">Economic theory suggests that price informativeness is determined by frictions in information acquisition and trading. Traders pay a cost to become informed. These informed traders then trade in </w:t>
      </w:r>
      <w:r w:rsidRPr="00673F93">
        <w:rPr>
          <w:rFonts w:cstheme="minorHAnsi"/>
          <w:sz w:val="24"/>
          <w:szCs w:val="24"/>
        </w:rPr>
        <w:lastRenderedPageBreak/>
        <w:t>the market and, in doing so, incorporate their information into prices. In a frictionless market, a firm's CSR activities should have no impact on the informativeness of the firm's stock price. However, information acquisition costs (Grossman and Stiglitz, 1980; Diamond and Verrecchia, 1981) and poor investor protection (Fishman and Hagerty, 1992) discourage information collection and adversely affect the amount of firm‐specific information incorporated in equilibrium stock prices.</w:t>
      </w:r>
      <w:r w:rsidR="002F5B0A" w:rsidRPr="002F5B0A">
        <w:rPr>
          <w:rFonts w:cstheme="minorHAnsi"/>
          <w:sz w:val="24"/>
          <w:szCs w:val="24"/>
          <w:vertAlign w:val="superscript"/>
        </w:rPr>
        <w:t>6</w:t>
      </w:r>
      <w:r w:rsidRPr="00673F93">
        <w:rPr>
          <w:rFonts w:cstheme="minorHAnsi"/>
          <w:sz w:val="24"/>
          <w:szCs w:val="24"/>
        </w:rPr>
        <w:t xml:space="preserve"> Theories on costly information (Grossman and Stiglitz, 1980) predict that stock prices cannot perfectly incorporate all available information in equilibrium so that partially informed stock prices can provide investors enough compensation to offset their information acquisition cost. In our study, we maintain the same theoretical assumption. We argue that frictions related to information acquisition and trading can lead CSR activities to have a direct consequence on price informativeness and investor information acquisition, which we elaborate below.</w:t>
      </w:r>
    </w:p>
    <w:p w14:paraId="05805F63" w14:textId="77777777" w:rsidR="00673F93" w:rsidRPr="009E3777" w:rsidRDefault="00D71504" w:rsidP="009E3777">
      <w:pPr>
        <w:pStyle w:val="Heading2"/>
      </w:pPr>
      <w:hyperlink r:id="rId12" w:anchor="toc" w:tooltip="CSR and stock price informativeness" w:history="1">
        <w:r w:rsidR="00673F93" w:rsidRPr="009E3777">
          <w:rPr>
            <w:rStyle w:val="Hyperlink"/>
            <w:color w:val="262626" w:themeColor="text1" w:themeTint="D9"/>
            <w:u w:val="none"/>
          </w:rPr>
          <w:t>CSR and stock price informativeness</w:t>
        </w:r>
      </w:hyperlink>
    </w:p>
    <w:p w14:paraId="28D7FF68" w14:textId="77777777" w:rsidR="00673F93" w:rsidRPr="00673F93" w:rsidRDefault="00673F93" w:rsidP="00673F93">
      <w:pPr>
        <w:rPr>
          <w:rFonts w:cstheme="minorHAnsi"/>
          <w:sz w:val="24"/>
          <w:szCs w:val="24"/>
        </w:rPr>
      </w:pPr>
      <w:r w:rsidRPr="00673F93">
        <w:rPr>
          <w:rFonts w:cstheme="minorHAnsi"/>
          <w:sz w:val="24"/>
          <w:szCs w:val="24"/>
        </w:rPr>
        <w:t xml:space="preserve">Two schools of thought generate contrasting predictions on the relation between CSR and price informativeness. One line of research argues that CSR signals a commitment to ethical behaviour and enhances a firm's image and reputation for being a good corporate citizen (Carroll, 1979; Fombrun and Shanley, 1990; Jones, 1995). Advocates of CSR recognise that corporate actions affect </w:t>
      </w:r>
      <w:proofErr w:type="gramStart"/>
      <w:r w:rsidRPr="00673F93">
        <w:rPr>
          <w:rFonts w:cstheme="minorHAnsi"/>
          <w:sz w:val="24"/>
          <w:szCs w:val="24"/>
        </w:rPr>
        <w:t>all of</w:t>
      </w:r>
      <w:proofErr w:type="gramEnd"/>
      <w:r w:rsidRPr="00673F93">
        <w:rPr>
          <w:rFonts w:cstheme="minorHAnsi"/>
          <w:sz w:val="24"/>
          <w:szCs w:val="24"/>
        </w:rPr>
        <w:t xml:space="preserve"> the firm's stakeholders including employees, customers, shareholders, community, government and the society, and argue that companies should consider their economic, legal, ethical and philanthropic responsibilities in decision making (Carroll, 1979). Furthermore, some argue that a firm's CSR involvement helps build valuable trust and reputation among its stakeholders (Fombrun and Shanley, 1990; Economist, 2005).</w:t>
      </w:r>
    </w:p>
    <w:p w14:paraId="016DF33B" w14:textId="7CD6B1C7" w:rsidR="00673F93" w:rsidRPr="00673F93" w:rsidRDefault="00673F93" w:rsidP="00673F93">
      <w:pPr>
        <w:rPr>
          <w:rFonts w:cstheme="minorHAnsi"/>
          <w:sz w:val="24"/>
          <w:szCs w:val="24"/>
        </w:rPr>
      </w:pPr>
      <w:r w:rsidRPr="00673F93">
        <w:rPr>
          <w:rFonts w:cstheme="minorHAnsi"/>
          <w:sz w:val="24"/>
          <w:szCs w:val="24"/>
        </w:rPr>
        <w:t>The ethical and reputational motive for CSR can restrain managers from engaging in activities that are socially unacceptable. Agency problems arise due to the separation of ownership and control. An optimally designed compensation contract can only partially mitigate the agency problem due to unobserved managerial effort and information, managerial wealth constraints and managerial risk aversion (Murphy, 1999).</w:t>
      </w:r>
      <w:r w:rsidR="00EB3335" w:rsidRPr="00EB3335">
        <w:rPr>
          <w:rFonts w:cstheme="minorHAnsi"/>
          <w:sz w:val="24"/>
          <w:szCs w:val="24"/>
          <w:vertAlign w:val="superscript"/>
        </w:rPr>
        <w:t>7</w:t>
      </w:r>
      <w:r w:rsidRPr="00673F93">
        <w:rPr>
          <w:rFonts w:cstheme="minorHAnsi"/>
          <w:sz w:val="24"/>
          <w:szCs w:val="24"/>
        </w:rPr>
        <w:t xml:space="preserve"> However, moral and reputational motives can incentivise management to advance the interest of outside investors because self‐seeking behaviour of management damages the valuable social trust and reputation built up over time and impairs future economic benefits to the firm (Noreen, 1988; Diamond, 1989; Ensminger, 2001). The previous literature documents that CSR activities can foster trust from firms' stakeholders (Lins </w:t>
      </w:r>
      <w:r w:rsidR="005A3923">
        <w:rPr>
          <w:rFonts w:cstheme="minorHAnsi"/>
          <w:i/>
          <w:iCs/>
          <w:sz w:val="24"/>
          <w:szCs w:val="24"/>
        </w:rPr>
        <w:t xml:space="preserve">et al., </w:t>
      </w:r>
      <w:r w:rsidRPr="00673F93">
        <w:rPr>
          <w:rFonts w:cstheme="minorHAnsi"/>
          <w:sz w:val="24"/>
          <w:szCs w:val="24"/>
        </w:rPr>
        <w:t>2017) and generate economic benefits.</w:t>
      </w:r>
      <w:r w:rsidR="00EB3335" w:rsidRPr="00EB3335">
        <w:rPr>
          <w:rFonts w:cstheme="minorHAnsi"/>
          <w:sz w:val="24"/>
          <w:szCs w:val="24"/>
          <w:vertAlign w:val="superscript"/>
        </w:rPr>
        <w:t>8</w:t>
      </w:r>
      <w:r w:rsidRPr="00673F93">
        <w:rPr>
          <w:rFonts w:cstheme="minorHAnsi"/>
          <w:sz w:val="24"/>
          <w:szCs w:val="24"/>
        </w:rPr>
        <w:t xml:space="preserve"> Therefore, protecting a firm's reputation built from CSR can curtail managerial opportunism.</w:t>
      </w:r>
    </w:p>
    <w:p w14:paraId="7218C59E" w14:textId="536F1BE6" w:rsidR="00673F93" w:rsidRPr="00673F93" w:rsidRDefault="00673F93" w:rsidP="00673F93">
      <w:pPr>
        <w:rPr>
          <w:rFonts w:cstheme="minorHAnsi"/>
          <w:sz w:val="24"/>
          <w:szCs w:val="24"/>
        </w:rPr>
      </w:pPr>
      <w:proofErr w:type="gramStart"/>
      <w:r w:rsidRPr="00673F93">
        <w:rPr>
          <w:rFonts w:cstheme="minorHAnsi"/>
          <w:sz w:val="24"/>
          <w:szCs w:val="24"/>
        </w:rPr>
        <w:t>In particular, greater</w:t>
      </w:r>
      <w:proofErr w:type="gramEnd"/>
      <w:r w:rsidRPr="00673F93">
        <w:rPr>
          <w:rFonts w:cstheme="minorHAnsi"/>
          <w:sz w:val="24"/>
          <w:szCs w:val="24"/>
        </w:rPr>
        <w:t xml:space="preserve"> CSR involvement may discourage managerial information manipulation and exploitation of outside investors. Accounting quality and transparency in corporate dealings are considered important aspects of CSR by investors (Economist, 2005). Several empirical studies show that firms with greater CSR commitment have a better information environment. For instance, Kim </w:t>
      </w:r>
      <w:r w:rsidR="005A3923">
        <w:rPr>
          <w:rFonts w:cstheme="minorHAnsi"/>
          <w:i/>
          <w:iCs/>
          <w:sz w:val="24"/>
          <w:szCs w:val="24"/>
        </w:rPr>
        <w:t xml:space="preserve">et al. </w:t>
      </w:r>
      <w:r w:rsidRPr="00673F93">
        <w:rPr>
          <w:rFonts w:cstheme="minorHAnsi"/>
          <w:sz w:val="24"/>
          <w:szCs w:val="24"/>
        </w:rPr>
        <w:t>(2012) show that socially responsible firms do less accrual and real earnings management and are less likely to be the subject of Securities and Exchange Commission (SEC) enforcement action for financial misreporting. Kim </w:t>
      </w:r>
      <w:r w:rsidR="005A3923">
        <w:rPr>
          <w:rFonts w:cstheme="minorHAnsi"/>
          <w:i/>
          <w:iCs/>
          <w:sz w:val="24"/>
          <w:szCs w:val="24"/>
        </w:rPr>
        <w:t xml:space="preserve">et al. </w:t>
      </w:r>
      <w:r w:rsidRPr="00673F93">
        <w:rPr>
          <w:rFonts w:cstheme="minorHAnsi"/>
          <w:sz w:val="24"/>
          <w:szCs w:val="24"/>
        </w:rPr>
        <w:t>(2014) document that CSR performance is negatively associated with stock price crash risk, consistent with the view that CSR restrains firms from bad news hoarding. Furthermore, studies find that socially responsible firms provide greater investor protection. Ferrell </w:t>
      </w:r>
      <w:r w:rsidR="005A3923">
        <w:rPr>
          <w:rFonts w:cstheme="minorHAnsi"/>
          <w:i/>
          <w:iCs/>
          <w:sz w:val="24"/>
          <w:szCs w:val="24"/>
        </w:rPr>
        <w:t xml:space="preserve">et al. </w:t>
      </w:r>
      <w:r w:rsidRPr="00673F93">
        <w:rPr>
          <w:rFonts w:cstheme="minorHAnsi"/>
          <w:sz w:val="24"/>
          <w:szCs w:val="24"/>
        </w:rPr>
        <w:t xml:space="preserve">(2016) provide evidence of fewer agency problems, as reflected in a lower level of excess cash flow </w:t>
      </w:r>
      <w:r w:rsidRPr="00673F93">
        <w:rPr>
          <w:rFonts w:cstheme="minorHAnsi"/>
          <w:sz w:val="24"/>
          <w:szCs w:val="24"/>
        </w:rPr>
        <w:lastRenderedPageBreak/>
        <w:t>and better corporate governance among firms with higher CSR ratings. Gao </w:t>
      </w:r>
      <w:r w:rsidR="005A3923">
        <w:rPr>
          <w:rFonts w:cstheme="minorHAnsi"/>
          <w:i/>
          <w:iCs/>
          <w:sz w:val="24"/>
          <w:szCs w:val="24"/>
        </w:rPr>
        <w:t xml:space="preserve">et al. </w:t>
      </w:r>
      <w:r w:rsidRPr="00673F93">
        <w:rPr>
          <w:rFonts w:cstheme="minorHAnsi"/>
          <w:sz w:val="24"/>
          <w:szCs w:val="24"/>
        </w:rPr>
        <w:t>(2014) find lower insider trading profits for managers of socially responsible firms, suggesting that outside investors in high CSR firms have a lower probability of trading with corporate insiders who have an information advantage.</w:t>
      </w:r>
      <w:r w:rsidR="00EB3335" w:rsidRPr="00EB3335">
        <w:rPr>
          <w:rFonts w:cstheme="minorHAnsi"/>
          <w:sz w:val="24"/>
          <w:szCs w:val="24"/>
          <w:vertAlign w:val="superscript"/>
        </w:rPr>
        <w:t>9</w:t>
      </w:r>
    </w:p>
    <w:p w14:paraId="3B623E87" w14:textId="2FE50FB5" w:rsidR="00673F93" w:rsidRPr="00673F93" w:rsidRDefault="00673F93" w:rsidP="00673F93">
      <w:pPr>
        <w:rPr>
          <w:rFonts w:cstheme="minorHAnsi"/>
          <w:sz w:val="24"/>
          <w:szCs w:val="24"/>
        </w:rPr>
      </w:pPr>
      <w:r w:rsidRPr="00673F93">
        <w:rPr>
          <w:rFonts w:cstheme="minorHAnsi"/>
          <w:sz w:val="24"/>
          <w:szCs w:val="24"/>
        </w:rPr>
        <w:t>The perceived trustworthy information and trading environment can encourage outside investors to collect and trade on information of more socially responsible firms, leading to more informative stock prices. Grossman and Stiglitz (1980) argue that lower information acquisition costs encourage more investors to acquire and trade on information and result in more informative stock prices. If managers of socially responsible firms are more truthful with company news, investors would incur lower costs to collect value‐relevant information. For example, investors can save on costs from verifying the truthfulness of released information when they utilise the information to forecast future firm performance. As predicted by Grossman and Stiglitz (1980), investors may have greater incentive to acquire and trade on information of socially responsible firms, resulting in more informative stock prices.</w:t>
      </w:r>
      <w:r w:rsidR="00EB3335" w:rsidRPr="00EB3335">
        <w:rPr>
          <w:rFonts w:cstheme="minorHAnsi"/>
          <w:sz w:val="24"/>
          <w:szCs w:val="24"/>
          <w:vertAlign w:val="superscript"/>
        </w:rPr>
        <w:t>10</w:t>
      </w:r>
      <w:r w:rsidRPr="00673F93">
        <w:rPr>
          <w:rFonts w:cstheme="minorHAnsi"/>
          <w:sz w:val="24"/>
          <w:szCs w:val="24"/>
        </w:rPr>
        <w:t xml:space="preserve"> In addition, Fishman and Hagerty (1992) and Morck </w:t>
      </w:r>
      <w:r w:rsidR="005A3923">
        <w:rPr>
          <w:rFonts w:cstheme="minorHAnsi"/>
          <w:i/>
          <w:iCs/>
          <w:sz w:val="24"/>
          <w:szCs w:val="24"/>
        </w:rPr>
        <w:t xml:space="preserve">et al. </w:t>
      </w:r>
      <w:r w:rsidRPr="00673F93">
        <w:rPr>
          <w:rFonts w:cstheme="minorHAnsi"/>
          <w:sz w:val="24"/>
          <w:szCs w:val="24"/>
        </w:rPr>
        <w:t>(2000) contend that poor investor protection, such as opportunistic insider trading and diversion of assets, can deter outside investors from acquiring and trading on firm information due to fears of trading against and being exploited by insiders. If socially responsible firms provide greater investor protection, investors may devote more effort and resources into acquiring and trading on the information of these firms, leading to more information being impounded into stock prices.</w:t>
      </w:r>
    </w:p>
    <w:p w14:paraId="43059749" w14:textId="77777777" w:rsidR="00673F93" w:rsidRPr="00673F93" w:rsidRDefault="00673F93" w:rsidP="00673F93">
      <w:pPr>
        <w:rPr>
          <w:rFonts w:cstheme="minorHAnsi"/>
          <w:sz w:val="24"/>
          <w:szCs w:val="24"/>
        </w:rPr>
      </w:pPr>
      <w:r w:rsidRPr="00673F93">
        <w:rPr>
          <w:rFonts w:cstheme="minorHAnsi"/>
          <w:sz w:val="24"/>
          <w:szCs w:val="24"/>
        </w:rPr>
        <w:t>Another strand of literature advocates that CSR is a manifestation of agency problems (Levitt, 1958; Friedman, 1970). Friedman (1970) argues that the only social responsibility of business is to maximise profits and any deviation from this goal would hurt the foundations of a free society. Extending this view, some argue that managers engage in CSR activities to derive private benefits at the expense of shareholders. For example, managers may spend corporate resources to gain favour with board members through contributions to their preferred causes, to achieve higher social status, or to push their own political/ideological agendas (Barnard, 1997). Furthermore, Jensen (2001) argues that if a manager answers to many masters (</w:t>
      </w:r>
      <w:proofErr w:type="gramStart"/>
      <w:r w:rsidRPr="00673F93">
        <w:rPr>
          <w:rFonts w:cstheme="minorHAnsi"/>
          <w:sz w:val="24"/>
          <w:szCs w:val="24"/>
        </w:rPr>
        <w:t>i.e.</w:t>
      </w:r>
      <w:proofErr w:type="gramEnd"/>
      <w:r w:rsidRPr="00673F93">
        <w:rPr>
          <w:rFonts w:cstheme="minorHAnsi"/>
          <w:sz w:val="24"/>
          <w:szCs w:val="24"/>
        </w:rPr>
        <w:t xml:space="preserve"> all of the stakeholders in a firm instead of only shareholders), the manager may not be held accountable for the misuse of corporate resources and is more likely to engage in self‐serving activities such as asset diversion. To disguise their rent extraction behaviours, managers may intentionally structure complicated business transactions and manipulate their accounting numbers to obscure the true cash flows of the firm (Desai and Dharmapala, 2009).</w:t>
      </w:r>
    </w:p>
    <w:p w14:paraId="4889A7FB" w14:textId="0A3649ED" w:rsidR="00673F93" w:rsidRPr="00673F93" w:rsidRDefault="00673F93" w:rsidP="00673F93">
      <w:pPr>
        <w:rPr>
          <w:rFonts w:cstheme="minorHAnsi"/>
          <w:sz w:val="24"/>
          <w:szCs w:val="24"/>
        </w:rPr>
      </w:pPr>
      <w:r w:rsidRPr="00673F93">
        <w:rPr>
          <w:rFonts w:cstheme="minorHAnsi"/>
          <w:sz w:val="24"/>
          <w:szCs w:val="24"/>
        </w:rPr>
        <w:t xml:space="preserve">Several studies show supportive evidence for the agency motive of CSR. In line with the agency perspective, </w:t>
      </w:r>
      <w:proofErr w:type="gramStart"/>
      <w:r w:rsidRPr="00673F93">
        <w:rPr>
          <w:rFonts w:cstheme="minorHAnsi"/>
          <w:sz w:val="24"/>
          <w:szCs w:val="24"/>
        </w:rPr>
        <w:t>Barnea</w:t>
      </w:r>
      <w:proofErr w:type="gramEnd"/>
      <w:r w:rsidRPr="00673F93">
        <w:rPr>
          <w:rFonts w:cstheme="minorHAnsi"/>
          <w:sz w:val="24"/>
          <w:szCs w:val="24"/>
        </w:rPr>
        <w:t xml:space="preserve"> and Rubin (2010) show that managers overinvest in CSR when they bear little of the cost. Brown </w:t>
      </w:r>
      <w:r w:rsidR="005A3923">
        <w:rPr>
          <w:rFonts w:cstheme="minorHAnsi"/>
          <w:i/>
          <w:iCs/>
          <w:sz w:val="24"/>
          <w:szCs w:val="24"/>
        </w:rPr>
        <w:t xml:space="preserve">et al. </w:t>
      </w:r>
      <w:r w:rsidRPr="00673F93">
        <w:rPr>
          <w:rFonts w:cstheme="minorHAnsi"/>
          <w:sz w:val="24"/>
          <w:szCs w:val="24"/>
        </w:rPr>
        <w:t xml:space="preserve">(2006) provide evidence suggesting that firms with weak corporate governance or creditor monitoring give more cash to charities and are more likely to establish corporate foundations. Cespa and Cestone (2007) show that incumbent CEOs may strategically engage in CSR activities </w:t>
      </w:r>
      <w:proofErr w:type="gramStart"/>
      <w:r w:rsidRPr="00673F93">
        <w:rPr>
          <w:rFonts w:cstheme="minorHAnsi"/>
          <w:sz w:val="24"/>
          <w:szCs w:val="24"/>
        </w:rPr>
        <w:t>in order to</w:t>
      </w:r>
      <w:proofErr w:type="gramEnd"/>
      <w:r w:rsidRPr="00673F93">
        <w:rPr>
          <w:rFonts w:cstheme="minorHAnsi"/>
          <w:sz w:val="24"/>
          <w:szCs w:val="24"/>
        </w:rPr>
        <w:t xml:space="preserve"> gain favour from social and environmental activists and reduce their probability of future turnover. Furthermore, findings from several studies suggest greater managerial opportunism through earnings management among more socially responsible firms (Petrovits, 2006; Chih </w:t>
      </w:r>
      <w:r w:rsidR="005A3923">
        <w:rPr>
          <w:rFonts w:cstheme="minorHAnsi"/>
          <w:i/>
          <w:iCs/>
          <w:sz w:val="24"/>
          <w:szCs w:val="24"/>
        </w:rPr>
        <w:t xml:space="preserve">et al., </w:t>
      </w:r>
      <w:r w:rsidRPr="00673F93">
        <w:rPr>
          <w:rFonts w:cstheme="minorHAnsi"/>
          <w:sz w:val="24"/>
          <w:szCs w:val="24"/>
        </w:rPr>
        <w:t>2008; Prior </w:t>
      </w:r>
      <w:r w:rsidR="005A3923">
        <w:rPr>
          <w:rFonts w:cstheme="minorHAnsi"/>
          <w:i/>
          <w:iCs/>
          <w:sz w:val="24"/>
          <w:szCs w:val="24"/>
        </w:rPr>
        <w:t xml:space="preserve">et al., </w:t>
      </w:r>
      <w:r w:rsidRPr="00673F93">
        <w:rPr>
          <w:rFonts w:cstheme="minorHAnsi"/>
          <w:sz w:val="24"/>
          <w:szCs w:val="24"/>
        </w:rPr>
        <w:t xml:space="preserve">2008). For example, Petrovits (2006) shows that firms use their charitable </w:t>
      </w:r>
      <w:r w:rsidRPr="00673F93">
        <w:rPr>
          <w:rFonts w:cstheme="minorHAnsi"/>
          <w:sz w:val="24"/>
          <w:szCs w:val="24"/>
        </w:rPr>
        <w:lastRenderedPageBreak/>
        <w:t>foundations as off‐balance‐sheet reserves to manage earnings. In line with the agency view, Kruger (2015) finds that investors respond negatively to positive CSR news.</w:t>
      </w:r>
    </w:p>
    <w:p w14:paraId="63FE2791" w14:textId="6B0D18F6" w:rsidR="00673F93" w:rsidRPr="00673F93" w:rsidRDefault="00673F93" w:rsidP="00673F93">
      <w:pPr>
        <w:rPr>
          <w:rFonts w:cstheme="minorHAnsi"/>
          <w:sz w:val="24"/>
          <w:szCs w:val="24"/>
        </w:rPr>
      </w:pPr>
      <w:r w:rsidRPr="00673F93">
        <w:rPr>
          <w:rFonts w:cstheme="minorHAnsi"/>
          <w:sz w:val="24"/>
          <w:szCs w:val="24"/>
        </w:rPr>
        <w:t>If the agency view of CSR prevails, outside investors may be discouraged from acquiring information about firms with greater CSR involvement due to higher information acquisition costs and poorer investor protection. Even if the agency problem triggers some sophisticated investors to search for firm‐specific information and short sell the stock, the substantial effort and sophisticated skills needed to uncover the true value‐relevant information (masked through complicated business transactions and accounting manipulation) and the high transaction costs involved in short selling can deter a great majority of investors from acquiring information.</w:t>
      </w:r>
      <w:r w:rsidR="00422C7B" w:rsidRPr="00422C7B">
        <w:rPr>
          <w:rFonts w:cstheme="minorHAnsi"/>
          <w:sz w:val="24"/>
          <w:szCs w:val="24"/>
          <w:vertAlign w:val="superscript"/>
        </w:rPr>
        <w:t>11</w:t>
      </w:r>
      <w:r w:rsidRPr="00673F93">
        <w:rPr>
          <w:rFonts w:cstheme="minorHAnsi"/>
          <w:sz w:val="24"/>
          <w:szCs w:val="24"/>
        </w:rPr>
        <w:t xml:space="preserve"> According to Grossman and Stiglitz (1980), such higher information acquisition costs lead to less information flow into stock prices. In addition, Morck </w:t>
      </w:r>
      <w:r w:rsidR="005A3923">
        <w:rPr>
          <w:rFonts w:cstheme="minorHAnsi"/>
          <w:i/>
          <w:iCs/>
          <w:sz w:val="24"/>
          <w:szCs w:val="24"/>
        </w:rPr>
        <w:t xml:space="preserve">et al. </w:t>
      </w:r>
      <w:r w:rsidRPr="00673F93">
        <w:rPr>
          <w:rFonts w:cstheme="minorHAnsi"/>
          <w:sz w:val="24"/>
          <w:szCs w:val="24"/>
        </w:rPr>
        <w:t xml:space="preserve">(2000) argue that agency problems from a failure to protect outside investors from insiders can discourage firm‐specific information collection. For instance, insiders can shift income among a set of controlled companies through non‐arm's‐length transactions for products, </w:t>
      </w:r>
      <w:proofErr w:type="gramStart"/>
      <w:r w:rsidRPr="00673F93">
        <w:rPr>
          <w:rFonts w:cstheme="minorHAnsi"/>
          <w:sz w:val="24"/>
          <w:szCs w:val="24"/>
        </w:rPr>
        <w:t>services</w:t>
      </w:r>
      <w:proofErr w:type="gramEnd"/>
      <w:r w:rsidRPr="00673F93">
        <w:rPr>
          <w:rFonts w:cstheme="minorHAnsi"/>
          <w:sz w:val="24"/>
          <w:szCs w:val="24"/>
        </w:rPr>
        <w:t xml:space="preserve"> or capital at artificial prices. Rational investors, knowing that they cannot predict firms' future cash flow, invest fewer resources in acquiring firm‐specific information. Consequently, the agency view of CSR predicts that more socially responsible firms have less informative stock prices.</w:t>
      </w:r>
    </w:p>
    <w:p w14:paraId="2840C848" w14:textId="77777777" w:rsidR="00673F93" w:rsidRPr="00673F93" w:rsidRDefault="00673F93" w:rsidP="00673F93">
      <w:pPr>
        <w:rPr>
          <w:rFonts w:cstheme="minorHAnsi"/>
          <w:sz w:val="24"/>
          <w:szCs w:val="24"/>
        </w:rPr>
      </w:pPr>
      <w:r w:rsidRPr="00673F93">
        <w:rPr>
          <w:rFonts w:cstheme="minorHAnsi"/>
          <w:sz w:val="24"/>
          <w:szCs w:val="24"/>
        </w:rPr>
        <w:t>To summarise, the ethical and reputational motive and the agency motive of CSR leads to the following hypotheses, respectively:</w:t>
      </w:r>
    </w:p>
    <w:p w14:paraId="58504D7E" w14:textId="77777777" w:rsidR="00673F93" w:rsidRPr="00673F93" w:rsidRDefault="00673F93" w:rsidP="000E12F5">
      <w:pPr>
        <w:ind w:left="720"/>
        <w:rPr>
          <w:rFonts w:cstheme="minorHAnsi"/>
          <w:sz w:val="24"/>
          <w:szCs w:val="24"/>
        </w:rPr>
      </w:pPr>
      <w:r w:rsidRPr="00673F93">
        <w:rPr>
          <w:rFonts w:cstheme="minorHAnsi"/>
          <w:b/>
          <w:bCs/>
          <w:i/>
          <w:iCs/>
          <w:sz w:val="24"/>
          <w:szCs w:val="24"/>
        </w:rPr>
        <w:t>H1</w:t>
      </w:r>
      <w:proofErr w:type="gramStart"/>
      <w:r w:rsidRPr="00673F93">
        <w:rPr>
          <w:rFonts w:cstheme="minorHAnsi"/>
          <w:b/>
          <w:bCs/>
          <w:i/>
          <w:iCs/>
          <w:sz w:val="24"/>
          <w:szCs w:val="24"/>
        </w:rPr>
        <w:t>a</w:t>
      </w:r>
      <w:r w:rsidRPr="00673F93">
        <w:rPr>
          <w:rFonts w:cstheme="minorHAnsi"/>
          <w:i/>
          <w:iCs/>
          <w:sz w:val="24"/>
          <w:szCs w:val="24"/>
        </w:rPr>
        <w:t>(</w:t>
      </w:r>
      <w:proofErr w:type="gramEnd"/>
      <w:r w:rsidRPr="00673F93">
        <w:rPr>
          <w:rFonts w:cstheme="minorHAnsi"/>
          <w:i/>
          <w:iCs/>
          <w:sz w:val="24"/>
          <w:szCs w:val="24"/>
        </w:rPr>
        <w:t>Ethical and reputational motive): All else equal, CSR is positively related to the informativeness of stock prices.</w:t>
      </w:r>
    </w:p>
    <w:p w14:paraId="1BB9C4B9" w14:textId="77777777" w:rsidR="00673F93" w:rsidRPr="00673F93" w:rsidRDefault="00673F93" w:rsidP="000E12F5">
      <w:pPr>
        <w:ind w:left="720"/>
        <w:rPr>
          <w:rFonts w:cstheme="minorHAnsi"/>
          <w:sz w:val="24"/>
          <w:szCs w:val="24"/>
        </w:rPr>
      </w:pPr>
      <w:r w:rsidRPr="00673F93">
        <w:rPr>
          <w:rFonts w:cstheme="minorHAnsi"/>
          <w:b/>
          <w:bCs/>
          <w:i/>
          <w:iCs/>
          <w:sz w:val="24"/>
          <w:szCs w:val="24"/>
        </w:rPr>
        <w:t>H1</w:t>
      </w:r>
      <w:proofErr w:type="gramStart"/>
      <w:r w:rsidRPr="00673F93">
        <w:rPr>
          <w:rFonts w:cstheme="minorHAnsi"/>
          <w:b/>
          <w:bCs/>
          <w:i/>
          <w:iCs/>
          <w:sz w:val="24"/>
          <w:szCs w:val="24"/>
        </w:rPr>
        <w:t>b</w:t>
      </w:r>
      <w:r w:rsidRPr="00673F93">
        <w:rPr>
          <w:rFonts w:cstheme="minorHAnsi"/>
          <w:i/>
          <w:iCs/>
          <w:sz w:val="24"/>
          <w:szCs w:val="24"/>
        </w:rPr>
        <w:t>(</w:t>
      </w:r>
      <w:proofErr w:type="gramEnd"/>
      <w:r w:rsidRPr="00673F93">
        <w:rPr>
          <w:rFonts w:cstheme="minorHAnsi"/>
          <w:i/>
          <w:iCs/>
          <w:sz w:val="24"/>
          <w:szCs w:val="24"/>
        </w:rPr>
        <w:t>Agency motive): All else equal, CSR is negatively related to the informativeness of stock prices.</w:t>
      </w:r>
    </w:p>
    <w:p w14:paraId="40BCC0E7" w14:textId="77777777" w:rsidR="00673F93" w:rsidRPr="000E12F5" w:rsidRDefault="00D71504" w:rsidP="000E12F5">
      <w:pPr>
        <w:pStyle w:val="Heading2"/>
      </w:pPr>
      <w:hyperlink r:id="rId13" w:anchor="toc" w:tooltip="CSR and information acquisition" w:history="1">
        <w:r w:rsidR="00673F93" w:rsidRPr="000E12F5">
          <w:rPr>
            <w:rStyle w:val="Hyperlink"/>
            <w:color w:val="262626" w:themeColor="text1" w:themeTint="D9"/>
            <w:u w:val="none"/>
          </w:rPr>
          <w:t>CSR and information acquisition</w:t>
        </w:r>
      </w:hyperlink>
    </w:p>
    <w:p w14:paraId="244133A3" w14:textId="023EDD1A" w:rsidR="00673F93" w:rsidRPr="00673F93" w:rsidRDefault="00673F93" w:rsidP="00673F93">
      <w:pPr>
        <w:rPr>
          <w:rFonts w:cstheme="minorHAnsi"/>
          <w:sz w:val="24"/>
          <w:szCs w:val="24"/>
        </w:rPr>
      </w:pPr>
      <w:r w:rsidRPr="00673F93">
        <w:rPr>
          <w:rFonts w:cstheme="minorHAnsi"/>
          <w:sz w:val="24"/>
          <w:szCs w:val="24"/>
        </w:rPr>
        <w:t>We further examine the role of CSR on investor information acquisition decisions. Theories on costly information (Grossman and Stiglitz, 1980) predict that lower information acquisition cost attracts more investors to acquire information and become informed, leading to more informative stock prices.</w:t>
      </w:r>
      <w:r w:rsidR="00422C7B" w:rsidRPr="00422C7B">
        <w:rPr>
          <w:rFonts w:cstheme="minorHAnsi"/>
          <w:sz w:val="24"/>
          <w:szCs w:val="24"/>
          <w:vertAlign w:val="superscript"/>
        </w:rPr>
        <w:t>12</w:t>
      </w:r>
      <w:r w:rsidRPr="00673F93">
        <w:rPr>
          <w:rFonts w:cstheme="minorHAnsi"/>
          <w:sz w:val="24"/>
          <w:szCs w:val="24"/>
        </w:rPr>
        <w:t xml:space="preserve"> Therefore, if CSR affects stock price informativeness due to its impact on information acquisition cost, we should see a direct bearing of CSR on investor's search for firm‐specific information. The ethical and reputational motive of CSR suggests that socially responsible firms are more truthful with company news and provide greater investor protection, resulting in a lower cost of information acquisition. Accordingly, this view predicts that socially responsible firms attract more investors to acquire firm‐specific information. On the other hand, the agency motive of CSR argues that CSR is a manifestation of agency problems and may be associated with greater information manipulation and exploitation of outside investors, leading to a higher cost of information acquisition. Therefore, the agency view predicts that CSR deters investors from collecting firm‐specific information.</w:t>
      </w:r>
    </w:p>
    <w:p w14:paraId="7466C642" w14:textId="75C1F29D" w:rsidR="00673F93" w:rsidRPr="00673F93" w:rsidRDefault="00673F93" w:rsidP="00673F93">
      <w:pPr>
        <w:rPr>
          <w:rFonts w:cstheme="minorHAnsi"/>
          <w:sz w:val="24"/>
          <w:szCs w:val="24"/>
        </w:rPr>
      </w:pPr>
      <w:r w:rsidRPr="00673F93">
        <w:rPr>
          <w:rFonts w:cstheme="minorHAnsi"/>
          <w:sz w:val="24"/>
          <w:szCs w:val="24"/>
        </w:rPr>
        <w:t>While it would be ideal to study the association between CSR and investors' search for firm private information, it is inherently difficult to do so because private information searches are usually unobservable. To overcome this empirical challenge, we study the association between CSR and investors' searches for firm‐specific information on the SEC's EDGAR website for new 10‐K financial reports and on Google around firms' earnings announcements.</w:t>
      </w:r>
      <w:r w:rsidR="00422C7B" w:rsidRPr="00422C7B">
        <w:rPr>
          <w:rFonts w:cstheme="minorHAnsi"/>
          <w:sz w:val="24"/>
          <w:szCs w:val="24"/>
          <w:vertAlign w:val="superscript"/>
        </w:rPr>
        <w:t>13</w:t>
      </w:r>
      <w:r w:rsidRPr="00673F93">
        <w:rPr>
          <w:rFonts w:cstheme="minorHAnsi"/>
          <w:sz w:val="24"/>
          <w:szCs w:val="24"/>
        </w:rPr>
        <w:t xml:space="preserve"> We believe that this empirical design </w:t>
      </w:r>
      <w:r w:rsidRPr="00673F93">
        <w:rPr>
          <w:rFonts w:cstheme="minorHAnsi"/>
          <w:sz w:val="24"/>
          <w:szCs w:val="24"/>
        </w:rPr>
        <w:lastRenderedPageBreak/>
        <w:t>is suitable for our study for the following reasons. First, prior research shows that public disclosure events can stimulate private information search in anticipation of and in conjunction with the release of public information (Kim and Verrecchia, 1997; Altschuler </w:t>
      </w:r>
      <w:r w:rsidR="005A3923">
        <w:rPr>
          <w:rFonts w:cstheme="minorHAnsi"/>
          <w:i/>
          <w:iCs/>
          <w:sz w:val="24"/>
          <w:szCs w:val="24"/>
        </w:rPr>
        <w:t xml:space="preserve">et al., </w:t>
      </w:r>
      <w:r w:rsidRPr="00673F93">
        <w:rPr>
          <w:rFonts w:cstheme="minorHAnsi"/>
          <w:sz w:val="24"/>
          <w:szCs w:val="24"/>
        </w:rPr>
        <w:t>2015). In addition, research shows that information in newly released public disclosures is only gradually incorporated into stock prices due to investors' limited attention and the significant effort needed to process such information in a timely manner (Hirshleifer and Teoh, 2003; Drake </w:t>
      </w:r>
      <w:r w:rsidR="005A3923">
        <w:rPr>
          <w:rFonts w:cstheme="minorHAnsi"/>
          <w:i/>
          <w:iCs/>
          <w:sz w:val="24"/>
          <w:szCs w:val="24"/>
        </w:rPr>
        <w:t xml:space="preserve">et al., </w:t>
      </w:r>
      <w:r w:rsidRPr="00673F93">
        <w:rPr>
          <w:rFonts w:cstheme="minorHAnsi"/>
          <w:sz w:val="24"/>
          <w:szCs w:val="24"/>
        </w:rPr>
        <w:t>2012). Therefore, we directly test the link between CSR and information acquisition by investigating whether CSR involvement is associated with investor searches for new information around filing dates for 10‐K financial reports posted on the SEC's EDGAR website and Google searches for company information around earnings announcements. Both the filing of 10‐K financial reports and earnings announcements represent significant news events for investors and can dramatically drive investment values. Thus, investors have greater incentives to acquire information around these important events. These arguments lead to the following hypotheses:</w:t>
      </w:r>
    </w:p>
    <w:p w14:paraId="25D0CE36" w14:textId="77777777" w:rsidR="00673F93" w:rsidRPr="00673F93" w:rsidRDefault="00673F93" w:rsidP="000E12F5">
      <w:pPr>
        <w:ind w:left="720"/>
        <w:rPr>
          <w:rFonts w:cstheme="minorHAnsi"/>
          <w:sz w:val="24"/>
          <w:szCs w:val="24"/>
        </w:rPr>
      </w:pPr>
      <w:r w:rsidRPr="00673F93">
        <w:rPr>
          <w:rFonts w:cstheme="minorHAnsi"/>
          <w:b/>
          <w:bCs/>
          <w:i/>
          <w:iCs/>
          <w:sz w:val="24"/>
          <w:szCs w:val="24"/>
        </w:rPr>
        <w:t>H2</w:t>
      </w:r>
      <w:proofErr w:type="gramStart"/>
      <w:r w:rsidRPr="00673F93">
        <w:rPr>
          <w:rFonts w:cstheme="minorHAnsi"/>
          <w:b/>
          <w:bCs/>
          <w:i/>
          <w:iCs/>
          <w:sz w:val="24"/>
          <w:szCs w:val="24"/>
        </w:rPr>
        <w:t>a</w:t>
      </w:r>
      <w:r w:rsidRPr="00673F93">
        <w:rPr>
          <w:rFonts w:cstheme="minorHAnsi"/>
          <w:i/>
          <w:iCs/>
          <w:sz w:val="24"/>
          <w:szCs w:val="24"/>
        </w:rPr>
        <w:t>(</w:t>
      </w:r>
      <w:proofErr w:type="gramEnd"/>
      <w:r w:rsidRPr="00673F93">
        <w:rPr>
          <w:rFonts w:cstheme="minorHAnsi"/>
          <w:i/>
          <w:iCs/>
          <w:sz w:val="24"/>
          <w:szCs w:val="24"/>
        </w:rPr>
        <w:t>Ethical and reputational motive): All else equal, CSR is positively related to investors' information acquisition around major disclosure events.</w:t>
      </w:r>
    </w:p>
    <w:p w14:paraId="5683A763" w14:textId="77777777" w:rsidR="00673F93" w:rsidRPr="00673F93" w:rsidRDefault="00673F93" w:rsidP="000E12F5">
      <w:pPr>
        <w:ind w:left="720"/>
        <w:rPr>
          <w:rFonts w:cstheme="minorHAnsi"/>
          <w:sz w:val="24"/>
          <w:szCs w:val="24"/>
        </w:rPr>
      </w:pPr>
      <w:r w:rsidRPr="00673F93">
        <w:rPr>
          <w:rFonts w:cstheme="minorHAnsi"/>
          <w:b/>
          <w:bCs/>
          <w:i/>
          <w:iCs/>
          <w:sz w:val="24"/>
          <w:szCs w:val="24"/>
        </w:rPr>
        <w:t>H2</w:t>
      </w:r>
      <w:proofErr w:type="gramStart"/>
      <w:r w:rsidRPr="00673F93">
        <w:rPr>
          <w:rFonts w:cstheme="minorHAnsi"/>
          <w:b/>
          <w:bCs/>
          <w:i/>
          <w:iCs/>
          <w:sz w:val="24"/>
          <w:szCs w:val="24"/>
        </w:rPr>
        <w:t>b</w:t>
      </w:r>
      <w:r w:rsidRPr="00673F93">
        <w:rPr>
          <w:rFonts w:cstheme="minorHAnsi"/>
          <w:i/>
          <w:iCs/>
          <w:sz w:val="24"/>
          <w:szCs w:val="24"/>
        </w:rPr>
        <w:t>(</w:t>
      </w:r>
      <w:proofErr w:type="gramEnd"/>
      <w:r w:rsidRPr="00673F93">
        <w:rPr>
          <w:rFonts w:cstheme="minorHAnsi"/>
          <w:i/>
          <w:iCs/>
          <w:sz w:val="24"/>
          <w:szCs w:val="24"/>
        </w:rPr>
        <w:t>Agency motive): All else equal, CSR is negatively related investors' information acquisition around major disclosure events.</w:t>
      </w:r>
    </w:p>
    <w:p w14:paraId="13B95C88" w14:textId="77777777" w:rsidR="00673F93" w:rsidRPr="000E12F5" w:rsidRDefault="00D71504" w:rsidP="000E12F5">
      <w:pPr>
        <w:pStyle w:val="Heading2"/>
      </w:pPr>
      <w:hyperlink r:id="rId14" w:anchor="toc" w:tooltip="CSR and future earnings captured in stock prices" w:history="1">
        <w:r w:rsidR="00673F93" w:rsidRPr="000E12F5">
          <w:rPr>
            <w:rStyle w:val="Hyperlink"/>
            <w:color w:val="262626" w:themeColor="text1" w:themeTint="D9"/>
            <w:u w:val="none"/>
          </w:rPr>
          <w:t>CSR and future earnings captured in stock prices</w:t>
        </w:r>
      </w:hyperlink>
    </w:p>
    <w:p w14:paraId="491F7F88" w14:textId="2CCF77A2" w:rsidR="00673F93" w:rsidRPr="00673F93" w:rsidRDefault="00673F93" w:rsidP="00673F93">
      <w:pPr>
        <w:rPr>
          <w:rFonts w:cstheme="minorHAnsi"/>
          <w:sz w:val="24"/>
          <w:szCs w:val="24"/>
        </w:rPr>
      </w:pPr>
      <w:r w:rsidRPr="00673F93">
        <w:rPr>
          <w:rFonts w:cstheme="minorHAnsi"/>
          <w:sz w:val="24"/>
          <w:szCs w:val="24"/>
        </w:rPr>
        <w:t>To provide more evidence on the relation between CSR and stock price informativeness, we further examine how CSR is associated with the ability of current stock prices to reflect future earnings. Since current stock prices contain the market expectation of value‐relevant information (Kothari and Sloan, 1992; Choi </w:t>
      </w:r>
      <w:r w:rsidR="005A3923">
        <w:rPr>
          <w:rFonts w:cstheme="minorHAnsi"/>
          <w:i/>
          <w:iCs/>
          <w:sz w:val="24"/>
          <w:szCs w:val="24"/>
        </w:rPr>
        <w:t xml:space="preserve">et al., </w:t>
      </w:r>
      <w:r w:rsidRPr="00673F93">
        <w:rPr>
          <w:rFonts w:cstheme="minorHAnsi"/>
          <w:sz w:val="24"/>
          <w:szCs w:val="24"/>
        </w:rPr>
        <w:t>2011), the extent to which current stock prices reveal future earnings then indicates the informativeness of stock prices. To the extent that CSR can encourage or discourage information acquisition and trading, we argue that CSR can enhance (ethical and reputational view) or impair (agency view) the incorporation of future earnings information in stock prices. These predictions lead to the following hypotheses:</w:t>
      </w:r>
    </w:p>
    <w:p w14:paraId="586C721A" w14:textId="77777777" w:rsidR="00673F93" w:rsidRPr="00673F93" w:rsidRDefault="00673F93" w:rsidP="000E12F5">
      <w:pPr>
        <w:ind w:left="720"/>
        <w:rPr>
          <w:rFonts w:cstheme="minorHAnsi"/>
          <w:sz w:val="24"/>
          <w:szCs w:val="24"/>
        </w:rPr>
      </w:pPr>
      <w:r w:rsidRPr="00673F93">
        <w:rPr>
          <w:rFonts w:cstheme="minorHAnsi"/>
          <w:b/>
          <w:bCs/>
          <w:i/>
          <w:iCs/>
          <w:sz w:val="24"/>
          <w:szCs w:val="24"/>
        </w:rPr>
        <w:t>H3</w:t>
      </w:r>
      <w:proofErr w:type="gramStart"/>
      <w:r w:rsidRPr="00673F93">
        <w:rPr>
          <w:rFonts w:cstheme="minorHAnsi"/>
          <w:b/>
          <w:bCs/>
          <w:i/>
          <w:iCs/>
          <w:sz w:val="24"/>
          <w:szCs w:val="24"/>
        </w:rPr>
        <w:t>a</w:t>
      </w:r>
      <w:r w:rsidRPr="00673F93">
        <w:rPr>
          <w:rFonts w:cstheme="minorHAnsi"/>
          <w:i/>
          <w:iCs/>
          <w:sz w:val="24"/>
          <w:szCs w:val="24"/>
        </w:rPr>
        <w:t>(</w:t>
      </w:r>
      <w:proofErr w:type="gramEnd"/>
      <w:r w:rsidRPr="00673F93">
        <w:rPr>
          <w:rFonts w:cstheme="minorHAnsi"/>
          <w:i/>
          <w:iCs/>
          <w:sz w:val="24"/>
          <w:szCs w:val="24"/>
        </w:rPr>
        <w:t>Ethical and reputational motive): All else equal, CSR enhances the incorporation of future earnings news in contemporaneous stock prices.</w:t>
      </w:r>
    </w:p>
    <w:p w14:paraId="53622649" w14:textId="77777777" w:rsidR="00673F93" w:rsidRPr="00673F93" w:rsidRDefault="00673F93" w:rsidP="000E12F5">
      <w:pPr>
        <w:ind w:left="720"/>
        <w:rPr>
          <w:rFonts w:cstheme="minorHAnsi"/>
          <w:sz w:val="24"/>
          <w:szCs w:val="24"/>
        </w:rPr>
      </w:pPr>
      <w:r w:rsidRPr="00673F93">
        <w:rPr>
          <w:rFonts w:cstheme="minorHAnsi"/>
          <w:b/>
          <w:bCs/>
          <w:i/>
          <w:iCs/>
          <w:sz w:val="24"/>
          <w:szCs w:val="24"/>
        </w:rPr>
        <w:t>H3</w:t>
      </w:r>
      <w:proofErr w:type="gramStart"/>
      <w:r w:rsidRPr="00673F93">
        <w:rPr>
          <w:rFonts w:cstheme="minorHAnsi"/>
          <w:b/>
          <w:bCs/>
          <w:i/>
          <w:iCs/>
          <w:sz w:val="24"/>
          <w:szCs w:val="24"/>
        </w:rPr>
        <w:t>b</w:t>
      </w:r>
      <w:r w:rsidRPr="00673F93">
        <w:rPr>
          <w:rFonts w:cstheme="minorHAnsi"/>
          <w:i/>
          <w:iCs/>
          <w:sz w:val="24"/>
          <w:szCs w:val="24"/>
        </w:rPr>
        <w:t>(</w:t>
      </w:r>
      <w:proofErr w:type="gramEnd"/>
      <w:r w:rsidRPr="00673F93">
        <w:rPr>
          <w:rFonts w:cstheme="minorHAnsi"/>
          <w:i/>
          <w:iCs/>
          <w:sz w:val="24"/>
          <w:szCs w:val="24"/>
        </w:rPr>
        <w:t>Agency motive): All else equal, CSR impairs the incorporation of future earnings news in contemporaneous stock prices.</w:t>
      </w:r>
    </w:p>
    <w:p w14:paraId="7763AC5D" w14:textId="77777777" w:rsidR="00673F93" w:rsidRPr="00255803" w:rsidRDefault="00D71504" w:rsidP="00255803">
      <w:pPr>
        <w:pStyle w:val="Heading1"/>
      </w:pPr>
      <w:hyperlink r:id="rId15" w:anchor="toc" w:tooltip="Data, measures and descriptive statistics" w:history="1">
        <w:r w:rsidR="00673F93" w:rsidRPr="00255803">
          <w:rPr>
            <w:rStyle w:val="Hyperlink"/>
            <w:color w:val="262626" w:themeColor="text1" w:themeTint="D9"/>
            <w:u w:val="none"/>
          </w:rPr>
          <w:t xml:space="preserve">Data, </w:t>
        </w:r>
        <w:proofErr w:type="gramStart"/>
        <w:r w:rsidR="00673F93" w:rsidRPr="00255803">
          <w:rPr>
            <w:rStyle w:val="Hyperlink"/>
            <w:color w:val="262626" w:themeColor="text1" w:themeTint="D9"/>
            <w:u w:val="none"/>
          </w:rPr>
          <w:t>measures</w:t>
        </w:r>
        <w:proofErr w:type="gramEnd"/>
        <w:r w:rsidR="00673F93" w:rsidRPr="00255803">
          <w:rPr>
            <w:rStyle w:val="Hyperlink"/>
            <w:color w:val="262626" w:themeColor="text1" w:themeTint="D9"/>
            <w:u w:val="none"/>
          </w:rPr>
          <w:t xml:space="preserve"> and descriptive statistics</w:t>
        </w:r>
      </w:hyperlink>
    </w:p>
    <w:p w14:paraId="45D85090" w14:textId="77777777" w:rsidR="00673F93" w:rsidRPr="00255803" w:rsidRDefault="00D71504" w:rsidP="00255803">
      <w:pPr>
        <w:pStyle w:val="Heading2"/>
      </w:pPr>
      <w:hyperlink r:id="rId16" w:anchor="toc" w:tooltip="Data sources and sample selection" w:history="1">
        <w:r w:rsidR="00673F93" w:rsidRPr="00255803">
          <w:rPr>
            <w:rStyle w:val="Hyperlink"/>
            <w:color w:val="262626" w:themeColor="text1" w:themeTint="D9"/>
            <w:u w:val="none"/>
          </w:rPr>
          <w:t>Data sources and sample selection</w:t>
        </w:r>
      </w:hyperlink>
    </w:p>
    <w:p w14:paraId="169789FE" w14:textId="40AF53F8" w:rsidR="00673F93" w:rsidRPr="00673F93" w:rsidRDefault="00673F93" w:rsidP="00673F93">
      <w:pPr>
        <w:rPr>
          <w:rFonts w:cstheme="minorHAnsi"/>
          <w:sz w:val="24"/>
          <w:szCs w:val="24"/>
        </w:rPr>
      </w:pPr>
      <w:r w:rsidRPr="00673F93">
        <w:rPr>
          <w:rFonts w:cstheme="minorHAnsi"/>
          <w:sz w:val="24"/>
          <w:szCs w:val="24"/>
        </w:rPr>
        <w:t xml:space="preserve">We obtain the sample for our study from the KLD database on CSR. We combine this sample with the Merged Compustat‐CRSP database, the Investor Responsibility Research Center database, the Thomson‐Reuters 13F institutional holdings and insider trading databases, I/B/E/S analyst forecasts, Google search traffic, and SEC EDGAR filing request data. We exclude financial companies (SIC 6000–6999) and utilities (SIC 4900–4999) because the operation of these firms may be subject to regulatory supervision. As in Jegadeesh and Titman (2001), we further exclude stocks with a share price below $5 as of the end of the fiscal year to ensure that results are not driven by small, illiquid stocks or by the </w:t>
      </w:r>
      <w:r w:rsidRPr="00673F93">
        <w:rPr>
          <w:rFonts w:cstheme="minorHAnsi"/>
          <w:sz w:val="24"/>
          <w:szCs w:val="24"/>
        </w:rPr>
        <w:lastRenderedPageBreak/>
        <w:t>bid‐ask bounce. Panel A of Table 1 shows the sample selection procedure. The final sample of our main price informativeness regressions comes to 11,312 firm‐year observations belonging to 2,414 firms from 1995 to 2010.</w:t>
      </w:r>
      <w:r w:rsidR="003209F4" w:rsidRPr="003209F4">
        <w:rPr>
          <w:rFonts w:cstheme="minorHAnsi"/>
          <w:sz w:val="24"/>
          <w:szCs w:val="24"/>
          <w:vertAlign w:val="superscript"/>
        </w:rPr>
        <w:t>14</w:t>
      </w:r>
      <w:r w:rsidRPr="00673F93">
        <w:rPr>
          <w:rFonts w:cstheme="minorHAnsi"/>
          <w:sz w:val="24"/>
          <w:szCs w:val="24"/>
        </w:rPr>
        <w:t xml:space="preserve"> Our resulting sample of firms varies over time as shown in Panel B of Table 1, with a minimum of 224 firms in 1995 and a maximum of 1,330 firms in 2005 and 2006. Such variation is attributed to the fact that the KLD database expanded coverage over the sample </w:t>
      </w:r>
      <w:proofErr w:type="gramStart"/>
      <w:r w:rsidRPr="00673F93">
        <w:rPr>
          <w:rFonts w:cstheme="minorHAnsi"/>
          <w:sz w:val="24"/>
          <w:szCs w:val="24"/>
        </w:rPr>
        <w:t>time period</w:t>
      </w:r>
      <w:proofErr w:type="gramEnd"/>
      <w:r w:rsidRPr="00673F93">
        <w:rPr>
          <w:rFonts w:cstheme="minorHAnsi"/>
          <w:sz w:val="24"/>
          <w:szCs w:val="24"/>
        </w:rPr>
        <w:t>.</w:t>
      </w:r>
      <w:r w:rsidR="003209F4" w:rsidRPr="003209F4">
        <w:rPr>
          <w:rFonts w:cstheme="minorHAnsi"/>
          <w:sz w:val="24"/>
          <w:szCs w:val="24"/>
          <w:vertAlign w:val="superscript"/>
        </w:rPr>
        <w:t>15</w:t>
      </w:r>
      <w:r w:rsidRPr="00673F93">
        <w:rPr>
          <w:rFonts w:cstheme="minorHAnsi"/>
          <w:sz w:val="24"/>
          <w:szCs w:val="24"/>
        </w:rPr>
        <w:t xml:space="preserve"> Panel C of Table 1 presents the sample distribution by industry. As shown in the panel, our sample covers a wide range of industries. Business services and retail make up the largest proportion of firm‐year observations at 12.92 and 8.58 percent, respectively.</w:t>
      </w:r>
    </w:p>
    <w:p w14:paraId="4E959B68" w14:textId="74FC639D" w:rsidR="00673F93" w:rsidRPr="00673F93" w:rsidRDefault="00673F93" w:rsidP="00181DEA">
      <w:pPr>
        <w:spacing w:after="0"/>
        <w:rPr>
          <w:rFonts w:cstheme="minorHAnsi"/>
          <w:sz w:val="24"/>
          <w:szCs w:val="24"/>
        </w:rPr>
      </w:pPr>
      <w:r w:rsidRPr="00673F93">
        <w:rPr>
          <w:rFonts w:cstheme="minorHAnsi"/>
          <w:sz w:val="24"/>
          <w:szCs w:val="24"/>
        </w:rPr>
        <w:t>1 Table</w:t>
      </w:r>
      <w:r w:rsidR="00255803">
        <w:rPr>
          <w:rFonts w:cstheme="minorHAnsi"/>
          <w:sz w:val="24"/>
          <w:szCs w:val="24"/>
        </w:rPr>
        <w:t xml:space="preserve"> </w:t>
      </w:r>
      <w:r w:rsidRPr="00673F93">
        <w:rPr>
          <w:rFonts w:cstheme="minorHAnsi"/>
          <w:sz w:val="24"/>
          <w:szCs w:val="24"/>
        </w:rPr>
        <w:t>Sample selection and descriptive statistics</w:t>
      </w:r>
    </w:p>
    <w:tbl>
      <w:tblPr>
        <w:tblStyle w:val="TableGrid"/>
        <w:tblW w:w="5000" w:type="pct"/>
        <w:tblLook w:val="04A0" w:firstRow="1" w:lastRow="0" w:firstColumn="1" w:lastColumn="0" w:noHBand="0" w:noVBand="1"/>
      </w:tblPr>
      <w:tblGrid>
        <w:gridCol w:w="7658"/>
        <w:gridCol w:w="908"/>
        <w:gridCol w:w="1504"/>
      </w:tblGrid>
      <w:tr w:rsidR="00AA1CD0" w:rsidRPr="00185B32" w14:paraId="78EFAA65" w14:textId="77777777" w:rsidTr="0036439D">
        <w:tc>
          <w:tcPr>
            <w:tcW w:w="3854" w:type="pct"/>
          </w:tcPr>
          <w:p w14:paraId="1024F1BB" w14:textId="57E1C979" w:rsidR="00AA1CD0" w:rsidRPr="00185B32" w:rsidRDefault="00AA1CD0" w:rsidP="00AA1CD0">
            <w:pPr>
              <w:pStyle w:val="NoSpacing"/>
              <w:rPr>
                <w:b/>
                <w:bCs/>
                <w:sz w:val="24"/>
                <w:szCs w:val="24"/>
              </w:rPr>
            </w:pPr>
            <w:r w:rsidRPr="00185B32">
              <w:rPr>
                <w:b/>
                <w:bCs/>
                <w:sz w:val="24"/>
                <w:szCs w:val="24"/>
              </w:rPr>
              <w:t>Panel A: Sample selection</w:t>
            </w:r>
          </w:p>
        </w:tc>
        <w:tc>
          <w:tcPr>
            <w:tcW w:w="434" w:type="pct"/>
            <w:hideMark/>
          </w:tcPr>
          <w:p w14:paraId="36FDD83E" w14:textId="77777777" w:rsidR="00AA1CD0" w:rsidRPr="00185B32" w:rsidRDefault="00AA1CD0" w:rsidP="00AA1CD0">
            <w:pPr>
              <w:pStyle w:val="NoSpacing"/>
              <w:rPr>
                <w:b/>
                <w:bCs/>
                <w:sz w:val="24"/>
                <w:szCs w:val="24"/>
              </w:rPr>
            </w:pPr>
          </w:p>
        </w:tc>
        <w:tc>
          <w:tcPr>
            <w:tcW w:w="712" w:type="pct"/>
          </w:tcPr>
          <w:p w14:paraId="5C77BF38" w14:textId="456E63F7" w:rsidR="00AA1CD0" w:rsidRPr="00185B32" w:rsidRDefault="00AA1CD0" w:rsidP="00AA1CD0">
            <w:pPr>
              <w:pStyle w:val="NoSpacing"/>
              <w:rPr>
                <w:b/>
                <w:bCs/>
                <w:sz w:val="24"/>
                <w:szCs w:val="24"/>
              </w:rPr>
            </w:pPr>
          </w:p>
        </w:tc>
      </w:tr>
      <w:tr w:rsidR="00673F93" w:rsidRPr="00185B32" w14:paraId="08BEB35A" w14:textId="77777777" w:rsidTr="0036439D">
        <w:tc>
          <w:tcPr>
            <w:tcW w:w="3854" w:type="pct"/>
            <w:hideMark/>
          </w:tcPr>
          <w:p w14:paraId="1D68E9D7" w14:textId="77777777" w:rsidR="00673F93" w:rsidRPr="00185B32" w:rsidRDefault="00673F93" w:rsidP="00AA1CD0">
            <w:pPr>
              <w:pStyle w:val="NoSpacing"/>
              <w:rPr>
                <w:sz w:val="24"/>
                <w:szCs w:val="24"/>
              </w:rPr>
            </w:pPr>
          </w:p>
        </w:tc>
        <w:tc>
          <w:tcPr>
            <w:tcW w:w="434" w:type="pct"/>
            <w:hideMark/>
          </w:tcPr>
          <w:p w14:paraId="5CDFAE67" w14:textId="77777777" w:rsidR="00673F93" w:rsidRPr="00185B32" w:rsidRDefault="00673F93" w:rsidP="00AA1CD0">
            <w:pPr>
              <w:pStyle w:val="NoSpacing"/>
              <w:rPr>
                <w:sz w:val="24"/>
                <w:szCs w:val="24"/>
              </w:rPr>
            </w:pPr>
            <w:r w:rsidRPr="00185B32">
              <w:rPr>
                <w:sz w:val="24"/>
                <w:szCs w:val="24"/>
              </w:rPr>
              <w:t>Firms</w:t>
            </w:r>
          </w:p>
        </w:tc>
        <w:tc>
          <w:tcPr>
            <w:tcW w:w="712" w:type="pct"/>
            <w:hideMark/>
          </w:tcPr>
          <w:p w14:paraId="0C328255" w14:textId="77777777" w:rsidR="00673F93" w:rsidRPr="00185B32" w:rsidRDefault="00673F93" w:rsidP="00AA1CD0">
            <w:pPr>
              <w:pStyle w:val="NoSpacing"/>
              <w:rPr>
                <w:sz w:val="24"/>
                <w:szCs w:val="24"/>
              </w:rPr>
            </w:pPr>
            <w:r w:rsidRPr="00185B32">
              <w:rPr>
                <w:sz w:val="24"/>
                <w:szCs w:val="24"/>
              </w:rPr>
              <w:t>Observations</w:t>
            </w:r>
          </w:p>
        </w:tc>
      </w:tr>
      <w:tr w:rsidR="00673F93" w:rsidRPr="00185B32" w14:paraId="16CCF446" w14:textId="77777777" w:rsidTr="0036439D">
        <w:tc>
          <w:tcPr>
            <w:tcW w:w="3854" w:type="pct"/>
            <w:hideMark/>
          </w:tcPr>
          <w:p w14:paraId="16F32737" w14:textId="77777777" w:rsidR="00673F93" w:rsidRPr="00185B32" w:rsidRDefault="00673F93" w:rsidP="00AA1CD0">
            <w:pPr>
              <w:pStyle w:val="NoSpacing"/>
              <w:rPr>
                <w:sz w:val="24"/>
                <w:szCs w:val="24"/>
              </w:rPr>
            </w:pPr>
            <w:r w:rsidRPr="00185B32">
              <w:rPr>
                <w:sz w:val="24"/>
                <w:szCs w:val="24"/>
              </w:rPr>
              <w:t>KLD database</w:t>
            </w:r>
          </w:p>
        </w:tc>
        <w:tc>
          <w:tcPr>
            <w:tcW w:w="434" w:type="pct"/>
            <w:hideMark/>
          </w:tcPr>
          <w:p w14:paraId="09342035" w14:textId="77777777" w:rsidR="00673F93" w:rsidRPr="00185B32" w:rsidRDefault="00673F93" w:rsidP="00AA1CD0">
            <w:pPr>
              <w:pStyle w:val="NoSpacing"/>
              <w:rPr>
                <w:sz w:val="24"/>
                <w:szCs w:val="24"/>
              </w:rPr>
            </w:pPr>
            <w:r w:rsidRPr="00185B32">
              <w:rPr>
                <w:sz w:val="24"/>
                <w:szCs w:val="24"/>
              </w:rPr>
              <w:t>5,735</w:t>
            </w:r>
          </w:p>
        </w:tc>
        <w:tc>
          <w:tcPr>
            <w:tcW w:w="712" w:type="pct"/>
            <w:hideMark/>
          </w:tcPr>
          <w:p w14:paraId="2FC43FB6" w14:textId="77777777" w:rsidR="00673F93" w:rsidRPr="00185B32" w:rsidRDefault="00673F93" w:rsidP="00AA1CD0">
            <w:pPr>
              <w:pStyle w:val="NoSpacing"/>
              <w:rPr>
                <w:sz w:val="24"/>
                <w:szCs w:val="24"/>
              </w:rPr>
            </w:pPr>
            <w:r w:rsidRPr="00185B32">
              <w:rPr>
                <w:sz w:val="24"/>
                <w:szCs w:val="24"/>
              </w:rPr>
              <w:t>29,859</w:t>
            </w:r>
          </w:p>
        </w:tc>
      </w:tr>
      <w:tr w:rsidR="00673F93" w:rsidRPr="00185B32" w14:paraId="77DF6764" w14:textId="77777777" w:rsidTr="0036439D">
        <w:tc>
          <w:tcPr>
            <w:tcW w:w="3854" w:type="pct"/>
            <w:hideMark/>
          </w:tcPr>
          <w:p w14:paraId="4FC3DC06" w14:textId="77777777" w:rsidR="00673F93" w:rsidRPr="00185B32" w:rsidRDefault="00673F93" w:rsidP="00AA1CD0">
            <w:pPr>
              <w:pStyle w:val="NoSpacing"/>
              <w:rPr>
                <w:sz w:val="24"/>
                <w:szCs w:val="24"/>
              </w:rPr>
            </w:pPr>
            <w:r w:rsidRPr="00185B32">
              <w:rPr>
                <w:sz w:val="24"/>
                <w:szCs w:val="24"/>
              </w:rPr>
              <w:t>Intersection of observations in KLD, CRSP, and Compustat databases</w:t>
            </w:r>
          </w:p>
        </w:tc>
        <w:tc>
          <w:tcPr>
            <w:tcW w:w="434" w:type="pct"/>
            <w:hideMark/>
          </w:tcPr>
          <w:p w14:paraId="27DCADAB" w14:textId="77777777" w:rsidR="00673F93" w:rsidRPr="00185B32" w:rsidRDefault="00673F93" w:rsidP="00AA1CD0">
            <w:pPr>
              <w:pStyle w:val="NoSpacing"/>
              <w:rPr>
                <w:sz w:val="24"/>
                <w:szCs w:val="24"/>
              </w:rPr>
            </w:pPr>
            <w:r w:rsidRPr="00185B32">
              <w:rPr>
                <w:sz w:val="24"/>
                <w:szCs w:val="24"/>
              </w:rPr>
              <w:t>4,758</w:t>
            </w:r>
          </w:p>
        </w:tc>
        <w:tc>
          <w:tcPr>
            <w:tcW w:w="712" w:type="pct"/>
            <w:hideMark/>
          </w:tcPr>
          <w:p w14:paraId="57FF4AA4" w14:textId="77777777" w:rsidR="00673F93" w:rsidRPr="00185B32" w:rsidRDefault="00673F93" w:rsidP="00AA1CD0">
            <w:pPr>
              <w:pStyle w:val="NoSpacing"/>
              <w:rPr>
                <w:sz w:val="24"/>
                <w:szCs w:val="24"/>
              </w:rPr>
            </w:pPr>
            <w:r w:rsidRPr="00185B32">
              <w:rPr>
                <w:sz w:val="24"/>
                <w:szCs w:val="24"/>
              </w:rPr>
              <w:t>26,777</w:t>
            </w:r>
          </w:p>
        </w:tc>
      </w:tr>
      <w:tr w:rsidR="00673F93" w:rsidRPr="00185B32" w14:paraId="27123BEB" w14:textId="77777777" w:rsidTr="0036439D">
        <w:tc>
          <w:tcPr>
            <w:tcW w:w="3854" w:type="pct"/>
            <w:hideMark/>
          </w:tcPr>
          <w:p w14:paraId="508E6428" w14:textId="77777777" w:rsidR="00673F93" w:rsidRPr="00185B32" w:rsidRDefault="00673F93" w:rsidP="00AA1CD0">
            <w:pPr>
              <w:pStyle w:val="NoSpacing"/>
              <w:rPr>
                <w:sz w:val="24"/>
                <w:szCs w:val="24"/>
              </w:rPr>
            </w:pPr>
            <w:r w:rsidRPr="00185B32">
              <w:rPr>
                <w:sz w:val="24"/>
                <w:szCs w:val="24"/>
              </w:rPr>
              <w:t>Less:</w:t>
            </w:r>
          </w:p>
        </w:tc>
        <w:tc>
          <w:tcPr>
            <w:tcW w:w="434" w:type="pct"/>
            <w:hideMark/>
          </w:tcPr>
          <w:p w14:paraId="01A5440D" w14:textId="77777777" w:rsidR="00673F93" w:rsidRPr="00185B32" w:rsidRDefault="00673F93" w:rsidP="00AA1CD0">
            <w:pPr>
              <w:pStyle w:val="NoSpacing"/>
              <w:rPr>
                <w:sz w:val="24"/>
                <w:szCs w:val="24"/>
              </w:rPr>
            </w:pPr>
          </w:p>
        </w:tc>
        <w:tc>
          <w:tcPr>
            <w:tcW w:w="712" w:type="pct"/>
            <w:hideMark/>
          </w:tcPr>
          <w:p w14:paraId="3C306151" w14:textId="77777777" w:rsidR="00673F93" w:rsidRPr="00185B32" w:rsidRDefault="00673F93" w:rsidP="00AA1CD0">
            <w:pPr>
              <w:pStyle w:val="NoSpacing"/>
              <w:rPr>
                <w:sz w:val="24"/>
                <w:szCs w:val="24"/>
              </w:rPr>
            </w:pPr>
          </w:p>
        </w:tc>
      </w:tr>
      <w:tr w:rsidR="00673F93" w:rsidRPr="00185B32" w14:paraId="3095B8D2" w14:textId="77777777" w:rsidTr="0036439D">
        <w:tc>
          <w:tcPr>
            <w:tcW w:w="3854" w:type="pct"/>
            <w:hideMark/>
          </w:tcPr>
          <w:p w14:paraId="01915CFF" w14:textId="7584362A" w:rsidR="00673F93" w:rsidRPr="00185B32" w:rsidRDefault="00673F93" w:rsidP="00AA1CD0">
            <w:pPr>
              <w:pStyle w:val="NoSpacing"/>
              <w:rPr>
                <w:sz w:val="24"/>
                <w:szCs w:val="24"/>
              </w:rPr>
            </w:pPr>
            <w:r w:rsidRPr="00185B32">
              <w:rPr>
                <w:sz w:val="24"/>
                <w:szCs w:val="24"/>
              </w:rPr>
              <w:t>Firms in the financial sector (SIC 6000–6999) and</w:t>
            </w:r>
            <w:r w:rsidR="00A77432" w:rsidRPr="00185B32">
              <w:rPr>
                <w:sz w:val="24"/>
                <w:szCs w:val="24"/>
              </w:rPr>
              <w:t xml:space="preserve"> </w:t>
            </w:r>
            <w:r w:rsidRPr="00185B32">
              <w:rPr>
                <w:sz w:val="24"/>
                <w:szCs w:val="24"/>
              </w:rPr>
              <w:t>utilities (SIC 4900–4999)</w:t>
            </w:r>
          </w:p>
        </w:tc>
        <w:tc>
          <w:tcPr>
            <w:tcW w:w="434" w:type="pct"/>
            <w:hideMark/>
          </w:tcPr>
          <w:p w14:paraId="40A96613" w14:textId="77777777" w:rsidR="00673F93" w:rsidRPr="00185B32" w:rsidRDefault="00673F93" w:rsidP="00AA1CD0">
            <w:pPr>
              <w:pStyle w:val="NoSpacing"/>
              <w:rPr>
                <w:sz w:val="24"/>
                <w:szCs w:val="24"/>
              </w:rPr>
            </w:pPr>
            <w:r w:rsidRPr="00185B32">
              <w:rPr>
                <w:sz w:val="24"/>
                <w:szCs w:val="24"/>
              </w:rPr>
              <w:t>(1,190)</w:t>
            </w:r>
          </w:p>
        </w:tc>
        <w:tc>
          <w:tcPr>
            <w:tcW w:w="712" w:type="pct"/>
            <w:hideMark/>
          </w:tcPr>
          <w:p w14:paraId="3DBDACAA" w14:textId="77777777" w:rsidR="00673F93" w:rsidRPr="00185B32" w:rsidRDefault="00673F93" w:rsidP="00AA1CD0">
            <w:pPr>
              <w:pStyle w:val="NoSpacing"/>
              <w:rPr>
                <w:sz w:val="24"/>
                <w:szCs w:val="24"/>
              </w:rPr>
            </w:pPr>
            <w:r w:rsidRPr="00185B32">
              <w:rPr>
                <w:sz w:val="24"/>
                <w:szCs w:val="24"/>
              </w:rPr>
              <w:t>(6,536)</w:t>
            </w:r>
          </w:p>
        </w:tc>
      </w:tr>
      <w:tr w:rsidR="00673F93" w:rsidRPr="00185B32" w14:paraId="49CC794E" w14:textId="77777777" w:rsidTr="0036439D">
        <w:tc>
          <w:tcPr>
            <w:tcW w:w="3854" w:type="pct"/>
            <w:hideMark/>
          </w:tcPr>
          <w:p w14:paraId="7AE01991" w14:textId="3D8B50E2" w:rsidR="00673F93" w:rsidRPr="00185B32" w:rsidRDefault="00673F93" w:rsidP="00AA1CD0">
            <w:pPr>
              <w:pStyle w:val="NoSpacing"/>
              <w:rPr>
                <w:sz w:val="24"/>
                <w:szCs w:val="24"/>
              </w:rPr>
            </w:pPr>
            <w:r w:rsidRPr="00185B32">
              <w:rPr>
                <w:sz w:val="24"/>
                <w:szCs w:val="24"/>
              </w:rPr>
              <w:t>Observations with missing price informativeness (</w:t>
            </w:r>
            <m:oMath>
              <m:r>
                <m:rPr>
                  <m:sty m:val="p"/>
                </m:rPr>
                <w:rPr>
                  <w:rFonts w:ascii="Cambria Math" w:hAnsi="Cambria Math" w:cstheme="minorHAnsi"/>
                  <w:sz w:val="24"/>
                  <w:szCs w:val="24"/>
                </w:rPr>
                <m:t>Ψ</m:t>
              </m:r>
            </m:oMath>
            <w:r w:rsidRPr="00185B32">
              <w:rPr>
                <w:sz w:val="24"/>
                <w:szCs w:val="24"/>
              </w:rPr>
              <w:t xml:space="preserve"> and PIN)</w:t>
            </w:r>
          </w:p>
        </w:tc>
        <w:tc>
          <w:tcPr>
            <w:tcW w:w="434" w:type="pct"/>
            <w:hideMark/>
          </w:tcPr>
          <w:p w14:paraId="0241C23F" w14:textId="77777777" w:rsidR="00673F93" w:rsidRPr="00185B32" w:rsidRDefault="00673F93" w:rsidP="00AA1CD0">
            <w:pPr>
              <w:pStyle w:val="NoSpacing"/>
              <w:rPr>
                <w:sz w:val="24"/>
                <w:szCs w:val="24"/>
              </w:rPr>
            </w:pPr>
          </w:p>
        </w:tc>
        <w:tc>
          <w:tcPr>
            <w:tcW w:w="712" w:type="pct"/>
            <w:hideMark/>
          </w:tcPr>
          <w:p w14:paraId="2FC59406" w14:textId="77777777" w:rsidR="00673F93" w:rsidRPr="00185B32" w:rsidRDefault="00673F93" w:rsidP="00AA1CD0">
            <w:pPr>
              <w:pStyle w:val="NoSpacing"/>
              <w:rPr>
                <w:sz w:val="24"/>
                <w:szCs w:val="24"/>
              </w:rPr>
            </w:pPr>
            <w:r w:rsidRPr="00185B32">
              <w:rPr>
                <w:sz w:val="24"/>
                <w:szCs w:val="24"/>
              </w:rPr>
              <w:t>(5,929)</w:t>
            </w:r>
          </w:p>
        </w:tc>
      </w:tr>
      <w:tr w:rsidR="00673F93" w:rsidRPr="00185B32" w14:paraId="6535FA43" w14:textId="77777777" w:rsidTr="0036439D">
        <w:tc>
          <w:tcPr>
            <w:tcW w:w="3854" w:type="pct"/>
            <w:hideMark/>
          </w:tcPr>
          <w:p w14:paraId="44568EFC" w14:textId="77777777" w:rsidR="00673F93" w:rsidRPr="00185B32" w:rsidRDefault="00673F93" w:rsidP="00AA1CD0">
            <w:pPr>
              <w:pStyle w:val="NoSpacing"/>
              <w:rPr>
                <w:sz w:val="24"/>
                <w:szCs w:val="24"/>
              </w:rPr>
            </w:pPr>
            <w:r w:rsidRPr="00185B32">
              <w:rPr>
                <w:sz w:val="24"/>
                <w:szCs w:val="24"/>
              </w:rPr>
              <w:t>Observations with insufficient data for control variables or stock price less than $5</w:t>
            </w:r>
          </w:p>
        </w:tc>
        <w:tc>
          <w:tcPr>
            <w:tcW w:w="434" w:type="pct"/>
            <w:hideMark/>
          </w:tcPr>
          <w:p w14:paraId="47B837BB" w14:textId="77777777" w:rsidR="00673F93" w:rsidRPr="00185B32" w:rsidRDefault="00673F93" w:rsidP="00AA1CD0">
            <w:pPr>
              <w:pStyle w:val="NoSpacing"/>
              <w:rPr>
                <w:sz w:val="24"/>
                <w:szCs w:val="24"/>
              </w:rPr>
            </w:pPr>
          </w:p>
        </w:tc>
        <w:tc>
          <w:tcPr>
            <w:tcW w:w="712" w:type="pct"/>
            <w:hideMark/>
          </w:tcPr>
          <w:p w14:paraId="013EE724" w14:textId="77777777" w:rsidR="00673F93" w:rsidRPr="00185B32" w:rsidRDefault="00673F93" w:rsidP="00AA1CD0">
            <w:pPr>
              <w:pStyle w:val="NoSpacing"/>
              <w:rPr>
                <w:sz w:val="24"/>
                <w:szCs w:val="24"/>
              </w:rPr>
            </w:pPr>
            <w:r w:rsidRPr="00185B32">
              <w:rPr>
                <w:sz w:val="24"/>
                <w:szCs w:val="24"/>
              </w:rPr>
              <w:t>(3,000)</w:t>
            </w:r>
          </w:p>
        </w:tc>
      </w:tr>
      <w:tr w:rsidR="00673F93" w:rsidRPr="00185B32" w14:paraId="37C84F25" w14:textId="77777777" w:rsidTr="0036439D">
        <w:tc>
          <w:tcPr>
            <w:tcW w:w="3854" w:type="pct"/>
            <w:hideMark/>
          </w:tcPr>
          <w:p w14:paraId="62CEC04B" w14:textId="77777777" w:rsidR="00673F93" w:rsidRPr="00185B32" w:rsidRDefault="00673F93" w:rsidP="00AA1CD0">
            <w:pPr>
              <w:pStyle w:val="NoSpacing"/>
              <w:rPr>
                <w:sz w:val="24"/>
                <w:szCs w:val="24"/>
              </w:rPr>
            </w:pPr>
            <w:r w:rsidRPr="00185B32">
              <w:rPr>
                <w:sz w:val="24"/>
                <w:szCs w:val="24"/>
              </w:rPr>
              <w:t>Total</w:t>
            </w:r>
          </w:p>
        </w:tc>
        <w:tc>
          <w:tcPr>
            <w:tcW w:w="434" w:type="pct"/>
            <w:hideMark/>
          </w:tcPr>
          <w:p w14:paraId="30B3EE64" w14:textId="77777777" w:rsidR="00673F93" w:rsidRPr="00185B32" w:rsidRDefault="00673F93" w:rsidP="00AA1CD0">
            <w:pPr>
              <w:pStyle w:val="NoSpacing"/>
              <w:rPr>
                <w:sz w:val="24"/>
                <w:szCs w:val="24"/>
              </w:rPr>
            </w:pPr>
            <w:r w:rsidRPr="00185B32">
              <w:rPr>
                <w:sz w:val="24"/>
                <w:szCs w:val="24"/>
              </w:rPr>
              <w:t>2,414</w:t>
            </w:r>
          </w:p>
        </w:tc>
        <w:tc>
          <w:tcPr>
            <w:tcW w:w="712" w:type="pct"/>
            <w:hideMark/>
          </w:tcPr>
          <w:p w14:paraId="01CD3073" w14:textId="77777777" w:rsidR="00673F93" w:rsidRPr="00185B32" w:rsidRDefault="00673F93" w:rsidP="00AA1CD0">
            <w:pPr>
              <w:pStyle w:val="NoSpacing"/>
              <w:rPr>
                <w:sz w:val="24"/>
                <w:szCs w:val="24"/>
              </w:rPr>
            </w:pPr>
            <w:r w:rsidRPr="00185B32">
              <w:rPr>
                <w:sz w:val="24"/>
                <w:szCs w:val="24"/>
              </w:rPr>
              <w:t>11,312</w:t>
            </w:r>
          </w:p>
        </w:tc>
      </w:tr>
    </w:tbl>
    <w:p w14:paraId="1A910E18" w14:textId="6C1EDA2C" w:rsidR="00673F93" w:rsidRDefault="00673F93" w:rsidP="00673F93">
      <w:pPr>
        <w:rPr>
          <w:rFonts w:cstheme="minorHAnsi"/>
          <w:sz w:val="24"/>
          <w:szCs w:val="24"/>
        </w:rPr>
      </w:pPr>
    </w:p>
    <w:tbl>
      <w:tblPr>
        <w:tblStyle w:val="TableGrid"/>
        <w:tblW w:w="5000" w:type="pct"/>
        <w:tblLook w:val="04A0" w:firstRow="1" w:lastRow="0" w:firstColumn="1" w:lastColumn="0" w:noHBand="0" w:noVBand="1"/>
      </w:tblPr>
      <w:tblGrid>
        <w:gridCol w:w="4045"/>
        <w:gridCol w:w="2778"/>
        <w:gridCol w:w="3247"/>
      </w:tblGrid>
      <w:tr w:rsidR="00181DEA" w:rsidRPr="00185B32" w14:paraId="446FFC92" w14:textId="77777777" w:rsidTr="00FC3C58">
        <w:tc>
          <w:tcPr>
            <w:tcW w:w="2008" w:type="pct"/>
          </w:tcPr>
          <w:p w14:paraId="12FA84B0" w14:textId="3AC249A8" w:rsidR="00181DEA" w:rsidRPr="00185B32" w:rsidRDefault="00181DEA" w:rsidP="00185B32">
            <w:pPr>
              <w:pStyle w:val="NoSpacing"/>
              <w:rPr>
                <w:b/>
                <w:bCs/>
                <w:sz w:val="24"/>
                <w:szCs w:val="24"/>
              </w:rPr>
            </w:pPr>
            <w:r w:rsidRPr="00185B32">
              <w:rPr>
                <w:b/>
                <w:bCs/>
                <w:sz w:val="24"/>
                <w:szCs w:val="24"/>
              </w:rPr>
              <w:t>Panel B: Sample distribution by year</w:t>
            </w:r>
          </w:p>
        </w:tc>
        <w:tc>
          <w:tcPr>
            <w:tcW w:w="1379" w:type="pct"/>
          </w:tcPr>
          <w:p w14:paraId="23FF88BB" w14:textId="77777777" w:rsidR="00181DEA" w:rsidRPr="00185B32" w:rsidRDefault="00181DEA" w:rsidP="00185B32">
            <w:pPr>
              <w:pStyle w:val="NoSpacing"/>
              <w:rPr>
                <w:sz w:val="24"/>
                <w:szCs w:val="24"/>
              </w:rPr>
            </w:pPr>
          </w:p>
        </w:tc>
        <w:tc>
          <w:tcPr>
            <w:tcW w:w="1612" w:type="pct"/>
          </w:tcPr>
          <w:p w14:paraId="49D67C6B" w14:textId="6A7EF811" w:rsidR="00181DEA" w:rsidRPr="00185B32" w:rsidRDefault="00181DEA" w:rsidP="00185B32">
            <w:pPr>
              <w:pStyle w:val="NoSpacing"/>
              <w:rPr>
                <w:sz w:val="24"/>
                <w:szCs w:val="24"/>
              </w:rPr>
            </w:pPr>
          </w:p>
        </w:tc>
      </w:tr>
      <w:tr w:rsidR="00185B32" w:rsidRPr="00185B32" w14:paraId="14BD0E8D" w14:textId="77777777" w:rsidTr="00FC3C58">
        <w:tc>
          <w:tcPr>
            <w:tcW w:w="2008" w:type="pct"/>
            <w:hideMark/>
          </w:tcPr>
          <w:p w14:paraId="173955DE" w14:textId="77777777" w:rsidR="00181DEA" w:rsidRPr="00185B32" w:rsidRDefault="00181DEA" w:rsidP="00185B32">
            <w:pPr>
              <w:pStyle w:val="NoSpacing"/>
              <w:rPr>
                <w:sz w:val="24"/>
                <w:szCs w:val="24"/>
              </w:rPr>
            </w:pPr>
            <w:r w:rsidRPr="00185B32">
              <w:rPr>
                <w:sz w:val="24"/>
                <w:szCs w:val="24"/>
              </w:rPr>
              <w:t>Year</w:t>
            </w:r>
          </w:p>
        </w:tc>
        <w:tc>
          <w:tcPr>
            <w:tcW w:w="1379" w:type="pct"/>
            <w:hideMark/>
          </w:tcPr>
          <w:p w14:paraId="0D9FDD8C" w14:textId="77777777" w:rsidR="00181DEA" w:rsidRPr="00185B32" w:rsidRDefault="00181DEA" w:rsidP="00185B32">
            <w:pPr>
              <w:pStyle w:val="NoSpacing"/>
              <w:rPr>
                <w:sz w:val="24"/>
                <w:szCs w:val="24"/>
              </w:rPr>
            </w:pPr>
            <w:r w:rsidRPr="00185B32">
              <w:rPr>
                <w:sz w:val="24"/>
                <w:szCs w:val="24"/>
              </w:rPr>
              <w:t>No. of observations</w:t>
            </w:r>
          </w:p>
        </w:tc>
        <w:tc>
          <w:tcPr>
            <w:tcW w:w="1612" w:type="pct"/>
            <w:hideMark/>
          </w:tcPr>
          <w:p w14:paraId="49030AAB" w14:textId="77777777" w:rsidR="00181DEA" w:rsidRPr="00185B32" w:rsidRDefault="00181DEA" w:rsidP="00185B32">
            <w:pPr>
              <w:pStyle w:val="NoSpacing"/>
              <w:rPr>
                <w:sz w:val="24"/>
                <w:szCs w:val="24"/>
              </w:rPr>
            </w:pPr>
            <w:r w:rsidRPr="00185B32">
              <w:rPr>
                <w:sz w:val="24"/>
                <w:szCs w:val="24"/>
              </w:rPr>
              <w:t>Percent of total observations</w:t>
            </w:r>
          </w:p>
        </w:tc>
      </w:tr>
      <w:tr w:rsidR="00185B32" w:rsidRPr="00185B32" w14:paraId="0C41857D" w14:textId="77777777" w:rsidTr="00FC3C58">
        <w:tc>
          <w:tcPr>
            <w:tcW w:w="2008" w:type="pct"/>
            <w:hideMark/>
          </w:tcPr>
          <w:p w14:paraId="33E3F530" w14:textId="77777777" w:rsidR="00181DEA" w:rsidRPr="00185B32" w:rsidRDefault="00181DEA" w:rsidP="00185B32">
            <w:pPr>
              <w:pStyle w:val="NoSpacing"/>
              <w:rPr>
                <w:sz w:val="24"/>
                <w:szCs w:val="24"/>
              </w:rPr>
            </w:pPr>
            <w:r w:rsidRPr="00185B32">
              <w:rPr>
                <w:sz w:val="24"/>
                <w:szCs w:val="24"/>
              </w:rPr>
              <w:t>1995</w:t>
            </w:r>
          </w:p>
        </w:tc>
        <w:tc>
          <w:tcPr>
            <w:tcW w:w="1379" w:type="pct"/>
            <w:hideMark/>
          </w:tcPr>
          <w:p w14:paraId="4B421498" w14:textId="77777777" w:rsidR="00181DEA" w:rsidRPr="00185B32" w:rsidRDefault="00181DEA" w:rsidP="00185B32">
            <w:pPr>
              <w:pStyle w:val="NoSpacing"/>
              <w:rPr>
                <w:sz w:val="24"/>
                <w:szCs w:val="24"/>
              </w:rPr>
            </w:pPr>
            <w:r w:rsidRPr="00185B32">
              <w:rPr>
                <w:sz w:val="24"/>
                <w:szCs w:val="24"/>
              </w:rPr>
              <w:t>224</w:t>
            </w:r>
          </w:p>
        </w:tc>
        <w:tc>
          <w:tcPr>
            <w:tcW w:w="1612" w:type="pct"/>
            <w:hideMark/>
          </w:tcPr>
          <w:p w14:paraId="411CE31C" w14:textId="77777777" w:rsidR="00181DEA" w:rsidRPr="00185B32" w:rsidRDefault="00181DEA" w:rsidP="00185B32">
            <w:pPr>
              <w:pStyle w:val="NoSpacing"/>
              <w:rPr>
                <w:sz w:val="24"/>
                <w:szCs w:val="24"/>
              </w:rPr>
            </w:pPr>
            <w:r w:rsidRPr="00185B32">
              <w:rPr>
                <w:sz w:val="24"/>
                <w:szCs w:val="24"/>
              </w:rPr>
              <w:t>1.98</w:t>
            </w:r>
          </w:p>
        </w:tc>
      </w:tr>
      <w:tr w:rsidR="00185B32" w:rsidRPr="00185B32" w14:paraId="02223C54" w14:textId="77777777" w:rsidTr="00FC3C58">
        <w:tc>
          <w:tcPr>
            <w:tcW w:w="2008" w:type="pct"/>
            <w:hideMark/>
          </w:tcPr>
          <w:p w14:paraId="48AAB77E" w14:textId="77777777" w:rsidR="00181DEA" w:rsidRPr="00185B32" w:rsidRDefault="00181DEA" w:rsidP="00185B32">
            <w:pPr>
              <w:pStyle w:val="NoSpacing"/>
              <w:rPr>
                <w:sz w:val="24"/>
                <w:szCs w:val="24"/>
              </w:rPr>
            </w:pPr>
            <w:r w:rsidRPr="00185B32">
              <w:rPr>
                <w:sz w:val="24"/>
                <w:szCs w:val="24"/>
              </w:rPr>
              <w:t>1996</w:t>
            </w:r>
          </w:p>
        </w:tc>
        <w:tc>
          <w:tcPr>
            <w:tcW w:w="1379" w:type="pct"/>
            <w:hideMark/>
          </w:tcPr>
          <w:p w14:paraId="584E479F" w14:textId="77777777" w:rsidR="00181DEA" w:rsidRPr="00185B32" w:rsidRDefault="00181DEA" w:rsidP="00185B32">
            <w:pPr>
              <w:pStyle w:val="NoSpacing"/>
              <w:rPr>
                <w:sz w:val="24"/>
                <w:szCs w:val="24"/>
              </w:rPr>
            </w:pPr>
            <w:r w:rsidRPr="00185B32">
              <w:rPr>
                <w:sz w:val="24"/>
                <w:szCs w:val="24"/>
              </w:rPr>
              <w:t>280</w:t>
            </w:r>
          </w:p>
        </w:tc>
        <w:tc>
          <w:tcPr>
            <w:tcW w:w="1612" w:type="pct"/>
            <w:hideMark/>
          </w:tcPr>
          <w:p w14:paraId="4E1E7959" w14:textId="77777777" w:rsidR="00181DEA" w:rsidRPr="00185B32" w:rsidRDefault="00181DEA" w:rsidP="00185B32">
            <w:pPr>
              <w:pStyle w:val="NoSpacing"/>
              <w:rPr>
                <w:sz w:val="24"/>
                <w:szCs w:val="24"/>
              </w:rPr>
            </w:pPr>
            <w:r w:rsidRPr="00185B32">
              <w:rPr>
                <w:sz w:val="24"/>
                <w:szCs w:val="24"/>
              </w:rPr>
              <w:t>2.48</w:t>
            </w:r>
          </w:p>
        </w:tc>
      </w:tr>
      <w:tr w:rsidR="00185B32" w:rsidRPr="00185B32" w14:paraId="7A42A8E1" w14:textId="77777777" w:rsidTr="00FC3C58">
        <w:tc>
          <w:tcPr>
            <w:tcW w:w="2008" w:type="pct"/>
            <w:hideMark/>
          </w:tcPr>
          <w:p w14:paraId="767112B1" w14:textId="77777777" w:rsidR="00181DEA" w:rsidRPr="00185B32" w:rsidRDefault="00181DEA" w:rsidP="00185B32">
            <w:pPr>
              <w:pStyle w:val="NoSpacing"/>
              <w:rPr>
                <w:sz w:val="24"/>
                <w:szCs w:val="24"/>
              </w:rPr>
            </w:pPr>
            <w:r w:rsidRPr="00185B32">
              <w:rPr>
                <w:sz w:val="24"/>
                <w:szCs w:val="24"/>
              </w:rPr>
              <w:t>1997</w:t>
            </w:r>
          </w:p>
        </w:tc>
        <w:tc>
          <w:tcPr>
            <w:tcW w:w="1379" w:type="pct"/>
            <w:hideMark/>
          </w:tcPr>
          <w:p w14:paraId="6AE708A3" w14:textId="77777777" w:rsidR="00181DEA" w:rsidRPr="00185B32" w:rsidRDefault="00181DEA" w:rsidP="00185B32">
            <w:pPr>
              <w:pStyle w:val="NoSpacing"/>
              <w:rPr>
                <w:sz w:val="24"/>
                <w:szCs w:val="24"/>
              </w:rPr>
            </w:pPr>
            <w:r w:rsidRPr="00185B32">
              <w:rPr>
                <w:sz w:val="24"/>
                <w:szCs w:val="24"/>
              </w:rPr>
              <w:t>290</w:t>
            </w:r>
          </w:p>
        </w:tc>
        <w:tc>
          <w:tcPr>
            <w:tcW w:w="1612" w:type="pct"/>
            <w:hideMark/>
          </w:tcPr>
          <w:p w14:paraId="3C433B31" w14:textId="77777777" w:rsidR="00181DEA" w:rsidRPr="00185B32" w:rsidRDefault="00181DEA" w:rsidP="00185B32">
            <w:pPr>
              <w:pStyle w:val="NoSpacing"/>
              <w:rPr>
                <w:sz w:val="24"/>
                <w:szCs w:val="24"/>
              </w:rPr>
            </w:pPr>
            <w:r w:rsidRPr="00185B32">
              <w:rPr>
                <w:sz w:val="24"/>
                <w:szCs w:val="24"/>
              </w:rPr>
              <w:t>2.56</w:t>
            </w:r>
          </w:p>
        </w:tc>
      </w:tr>
      <w:tr w:rsidR="00185B32" w:rsidRPr="00185B32" w14:paraId="5EF7FB54" w14:textId="77777777" w:rsidTr="00FC3C58">
        <w:tc>
          <w:tcPr>
            <w:tcW w:w="2008" w:type="pct"/>
            <w:hideMark/>
          </w:tcPr>
          <w:p w14:paraId="6A55B706" w14:textId="77777777" w:rsidR="00181DEA" w:rsidRPr="00185B32" w:rsidRDefault="00181DEA" w:rsidP="00185B32">
            <w:pPr>
              <w:pStyle w:val="NoSpacing"/>
              <w:rPr>
                <w:sz w:val="24"/>
                <w:szCs w:val="24"/>
              </w:rPr>
            </w:pPr>
            <w:r w:rsidRPr="00185B32">
              <w:rPr>
                <w:sz w:val="24"/>
                <w:szCs w:val="24"/>
              </w:rPr>
              <w:t>1998</w:t>
            </w:r>
          </w:p>
        </w:tc>
        <w:tc>
          <w:tcPr>
            <w:tcW w:w="1379" w:type="pct"/>
            <w:hideMark/>
          </w:tcPr>
          <w:p w14:paraId="755B419C" w14:textId="77777777" w:rsidR="00181DEA" w:rsidRPr="00185B32" w:rsidRDefault="00181DEA" w:rsidP="00185B32">
            <w:pPr>
              <w:pStyle w:val="NoSpacing"/>
              <w:rPr>
                <w:sz w:val="24"/>
                <w:szCs w:val="24"/>
              </w:rPr>
            </w:pPr>
            <w:r w:rsidRPr="00185B32">
              <w:rPr>
                <w:sz w:val="24"/>
                <w:szCs w:val="24"/>
              </w:rPr>
              <w:t>294</w:t>
            </w:r>
          </w:p>
        </w:tc>
        <w:tc>
          <w:tcPr>
            <w:tcW w:w="1612" w:type="pct"/>
            <w:hideMark/>
          </w:tcPr>
          <w:p w14:paraId="48F0F51B" w14:textId="77777777" w:rsidR="00181DEA" w:rsidRPr="00185B32" w:rsidRDefault="00181DEA" w:rsidP="00185B32">
            <w:pPr>
              <w:pStyle w:val="NoSpacing"/>
              <w:rPr>
                <w:sz w:val="24"/>
                <w:szCs w:val="24"/>
              </w:rPr>
            </w:pPr>
            <w:r w:rsidRPr="00185B32">
              <w:rPr>
                <w:sz w:val="24"/>
                <w:szCs w:val="24"/>
              </w:rPr>
              <w:t>2.60</w:t>
            </w:r>
          </w:p>
        </w:tc>
      </w:tr>
      <w:tr w:rsidR="00185B32" w:rsidRPr="00185B32" w14:paraId="43AC9810" w14:textId="77777777" w:rsidTr="00FC3C58">
        <w:tc>
          <w:tcPr>
            <w:tcW w:w="2008" w:type="pct"/>
            <w:hideMark/>
          </w:tcPr>
          <w:p w14:paraId="6A719C48" w14:textId="77777777" w:rsidR="00181DEA" w:rsidRPr="00185B32" w:rsidRDefault="00181DEA" w:rsidP="00185B32">
            <w:pPr>
              <w:pStyle w:val="NoSpacing"/>
              <w:rPr>
                <w:sz w:val="24"/>
                <w:szCs w:val="24"/>
              </w:rPr>
            </w:pPr>
            <w:r w:rsidRPr="00185B32">
              <w:rPr>
                <w:sz w:val="24"/>
                <w:szCs w:val="24"/>
              </w:rPr>
              <w:t>1999</w:t>
            </w:r>
          </w:p>
        </w:tc>
        <w:tc>
          <w:tcPr>
            <w:tcW w:w="1379" w:type="pct"/>
            <w:hideMark/>
          </w:tcPr>
          <w:p w14:paraId="23855D09" w14:textId="77777777" w:rsidR="00181DEA" w:rsidRPr="00185B32" w:rsidRDefault="00181DEA" w:rsidP="00185B32">
            <w:pPr>
              <w:pStyle w:val="NoSpacing"/>
              <w:rPr>
                <w:sz w:val="24"/>
                <w:szCs w:val="24"/>
              </w:rPr>
            </w:pPr>
            <w:r w:rsidRPr="00185B32">
              <w:rPr>
                <w:sz w:val="24"/>
                <w:szCs w:val="24"/>
              </w:rPr>
              <w:t>284</w:t>
            </w:r>
          </w:p>
        </w:tc>
        <w:tc>
          <w:tcPr>
            <w:tcW w:w="1612" w:type="pct"/>
            <w:hideMark/>
          </w:tcPr>
          <w:p w14:paraId="4E4EE4CE" w14:textId="77777777" w:rsidR="00181DEA" w:rsidRPr="00185B32" w:rsidRDefault="00181DEA" w:rsidP="00185B32">
            <w:pPr>
              <w:pStyle w:val="NoSpacing"/>
              <w:rPr>
                <w:sz w:val="24"/>
                <w:szCs w:val="24"/>
              </w:rPr>
            </w:pPr>
            <w:r w:rsidRPr="00185B32">
              <w:rPr>
                <w:sz w:val="24"/>
                <w:szCs w:val="24"/>
              </w:rPr>
              <w:t>2.51</w:t>
            </w:r>
          </w:p>
        </w:tc>
      </w:tr>
      <w:tr w:rsidR="00185B32" w:rsidRPr="00185B32" w14:paraId="606CA306" w14:textId="77777777" w:rsidTr="00FC3C58">
        <w:tc>
          <w:tcPr>
            <w:tcW w:w="2008" w:type="pct"/>
            <w:hideMark/>
          </w:tcPr>
          <w:p w14:paraId="4F5286DD" w14:textId="77777777" w:rsidR="00181DEA" w:rsidRPr="00185B32" w:rsidRDefault="00181DEA" w:rsidP="00185B32">
            <w:pPr>
              <w:pStyle w:val="NoSpacing"/>
              <w:rPr>
                <w:sz w:val="24"/>
                <w:szCs w:val="24"/>
              </w:rPr>
            </w:pPr>
            <w:r w:rsidRPr="00185B32">
              <w:rPr>
                <w:sz w:val="24"/>
                <w:szCs w:val="24"/>
              </w:rPr>
              <w:t>2000</w:t>
            </w:r>
          </w:p>
        </w:tc>
        <w:tc>
          <w:tcPr>
            <w:tcW w:w="1379" w:type="pct"/>
            <w:hideMark/>
          </w:tcPr>
          <w:p w14:paraId="2C0C9917" w14:textId="77777777" w:rsidR="00181DEA" w:rsidRPr="00185B32" w:rsidRDefault="00181DEA" w:rsidP="00185B32">
            <w:pPr>
              <w:pStyle w:val="NoSpacing"/>
              <w:rPr>
                <w:sz w:val="24"/>
                <w:szCs w:val="24"/>
              </w:rPr>
            </w:pPr>
            <w:r w:rsidRPr="00185B32">
              <w:rPr>
                <w:sz w:val="24"/>
                <w:szCs w:val="24"/>
              </w:rPr>
              <w:t>272</w:t>
            </w:r>
          </w:p>
        </w:tc>
        <w:tc>
          <w:tcPr>
            <w:tcW w:w="1612" w:type="pct"/>
            <w:hideMark/>
          </w:tcPr>
          <w:p w14:paraId="7A59C1CC" w14:textId="77777777" w:rsidR="00181DEA" w:rsidRPr="00185B32" w:rsidRDefault="00181DEA" w:rsidP="00185B32">
            <w:pPr>
              <w:pStyle w:val="NoSpacing"/>
              <w:rPr>
                <w:sz w:val="24"/>
                <w:szCs w:val="24"/>
              </w:rPr>
            </w:pPr>
            <w:r w:rsidRPr="00185B32">
              <w:rPr>
                <w:sz w:val="24"/>
                <w:szCs w:val="24"/>
              </w:rPr>
              <w:t>2.40</w:t>
            </w:r>
          </w:p>
        </w:tc>
      </w:tr>
      <w:tr w:rsidR="00185B32" w:rsidRPr="00185B32" w14:paraId="69DAF6B2" w14:textId="77777777" w:rsidTr="00FC3C58">
        <w:tc>
          <w:tcPr>
            <w:tcW w:w="2008" w:type="pct"/>
            <w:hideMark/>
          </w:tcPr>
          <w:p w14:paraId="42B6F705" w14:textId="77777777" w:rsidR="00181DEA" w:rsidRPr="00185B32" w:rsidRDefault="00181DEA" w:rsidP="00185B32">
            <w:pPr>
              <w:pStyle w:val="NoSpacing"/>
              <w:rPr>
                <w:sz w:val="24"/>
                <w:szCs w:val="24"/>
              </w:rPr>
            </w:pPr>
            <w:r w:rsidRPr="00185B32">
              <w:rPr>
                <w:sz w:val="24"/>
                <w:szCs w:val="24"/>
              </w:rPr>
              <w:t>2001</w:t>
            </w:r>
          </w:p>
        </w:tc>
        <w:tc>
          <w:tcPr>
            <w:tcW w:w="1379" w:type="pct"/>
            <w:hideMark/>
          </w:tcPr>
          <w:p w14:paraId="002F4C7E" w14:textId="77777777" w:rsidR="00181DEA" w:rsidRPr="00185B32" w:rsidRDefault="00181DEA" w:rsidP="00185B32">
            <w:pPr>
              <w:pStyle w:val="NoSpacing"/>
              <w:rPr>
                <w:sz w:val="24"/>
                <w:szCs w:val="24"/>
              </w:rPr>
            </w:pPr>
            <w:r w:rsidRPr="00185B32">
              <w:rPr>
                <w:sz w:val="24"/>
                <w:szCs w:val="24"/>
              </w:rPr>
              <w:t>350</w:t>
            </w:r>
          </w:p>
        </w:tc>
        <w:tc>
          <w:tcPr>
            <w:tcW w:w="1612" w:type="pct"/>
            <w:hideMark/>
          </w:tcPr>
          <w:p w14:paraId="319630CD" w14:textId="77777777" w:rsidR="00181DEA" w:rsidRPr="00185B32" w:rsidRDefault="00181DEA" w:rsidP="00185B32">
            <w:pPr>
              <w:pStyle w:val="NoSpacing"/>
              <w:rPr>
                <w:sz w:val="24"/>
                <w:szCs w:val="24"/>
              </w:rPr>
            </w:pPr>
            <w:r w:rsidRPr="00185B32">
              <w:rPr>
                <w:sz w:val="24"/>
                <w:szCs w:val="24"/>
              </w:rPr>
              <w:t>3.09</w:t>
            </w:r>
          </w:p>
        </w:tc>
      </w:tr>
      <w:tr w:rsidR="00185B32" w:rsidRPr="00185B32" w14:paraId="11E922C0" w14:textId="77777777" w:rsidTr="00FC3C58">
        <w:tc>
          <w:tcPr>
            <w:tcW w:w="2008" w:type="pct"/>
            <w:hideMark/>
          </w:tcPr>
          <w:p w14:paraId="10370B2B" w14:textId="77777777" w:rsidR="00181DEA" w:rsidRPr="00185B32" w:rsidRDefault="00181DEA" w:rsidP="00185B32">
            <w:pPr>
              <w:pStyle w:val="NoSpacing"/>
              <w:rPr>
                <w:sz w:val="24"/>
                <w:szCs w:val="24"/>
              </w:rPr>
            </w:pPr>
            <w:r w:rsidRPr="00185B32">
              <w:rPr>
                <w:sz w:val="24"/>
                <w:szCs w:val="24"/>
              </w:rPr>
              <w:t>2002</w:t>
            </w:r>
          </w:p>
        </w:tc>
        <w:tc>
          <w:tcPr>
            <w:tcW w:w="1379" w:type="pct"/>
            <w:hideMark/>
          </w:tcPr>
          <w:p w14:paraId="2AB437CE" w14:textId="77777777" w:rsidR="00181DEA" w:rsidRPr="00185B32" w:rsidRDefault="00181DEA" w:rsidP="00185B32">
            <w:pPr>
              <w:pStyle w:val="NoSpacing"/>
              <w:rPr>
                <w:sz w:val="24"/>
                <w:szCs w:val="24"/>
              </w:rPr>
            </w:pPr>
            <w:r w:rsidRPr="00185B32">
              <w:rPr>
                <w:sz w:val="24"/>
                <w:szCs w:val="24"/>
              </w:rPr>
              <w:t>486</w:t>
            </w:r>
          </w:p>
        </w:tc>
        <w:tc>
          <w:tcPr>
            <w:tcW w:w="1612" w:type="pct"/>
            <w:hideMark/>
          </w:tcPr>
          <w:p w14:paraId="5ECDA2BD" w14:textId="77777777" w:rsidR="00181DEA" w:rsidRPr="00185B32" w:rsidRDefault="00181DEA" w:rsidP="00185B32">
            <w:pPr>
              <w:pStyle w:val="NoSpacing"/>
              <w:rPr>
                <w:sz w:val="24"/>
                <w:szCs w:val="24"/>
              </w:rPr>
            </w:pPr>
            <w:r w:rsidRPr="00185B32">
              <w:rPr>
                <w:sz w:val="24"/>
                <w:szCs w:val="24"/>
              </w:rPr>
              <w:t>4.30</w:t>
            </w:r>
          </w:p>
        </w:tc>
      </w:tr>
      <w:tr w:rsidR="00185B32" w:rsidRPr="00185B32" w14:paraId="540D474F" w14:textId="77777777" w:rsidTr="00FC3C58">
        <w:tc>
          <w:tcPr>
            <w:tcW w:w="2008" w:type="pct"/>
            <w:hideMark/>
          </w:tcPr>
          <w:p w14:paraId="37E6DD6B" w14:textId="77777777" w:rsidR="00181DEA" w:rsidRPr="00185B32" w:rsidRDefault="00181DEA" w:rsidP="00185B32">
            <w:pPr>
              <w:pStyle w:val="NoSpacing"/>
              <w:rPr>
                <w:sz w:val="24"/>
                <w:szCs w:val="24"/>
              </w:rPr>
            </w:pPr>
            <w:r w:rsidRPr="00185B32">
              <w:rPr>
                <w:sz w:val="24"/>
                <w:szCs w:val="24"/>
              </w:rPr>
              <w:t>2003</w:t>
            </w:r>
          </w:p>
        </w:tc>
        <w:tc>
          <w:tcPr>
            <w:tcW w:w="1379" w:type="pct"/>
            <w:hideMark/>
          </w:tcPr>
          <w:p w14:paraId="2EC91828" w14:textId="77777777" w:rsidR="00181DEA" w:rsidRPr="00185B32" w:rsidRDefault="00181DEA" w:rsidP="00185B32">
            <w:pPr>
              <w:pStyle w:val="NoSpacing"/>
              <w:rPr>
                <w:sz w:val="24"/>
                <w:szCs w:val="24"/>
              </w:rPr>
            </w:pPr>
            <w:r w:rsidRPr="00185B32">
              <w:rPr>
                <w:sz w:val="24"/>
                <w:szCs w:val="24"/>
              </w:rPr>
              <w:t>654</w:t>
            </w:r>
          </w:p>
        </w:tc>
        <w:tc>
          <w:tcPr>
            <w:tcW w:w="1612" w:type="pct"/>
            <w:hideMark/>
          </w:tcPr>
          <w:p w14:paraId="73B0788A" w14:textId="77777777" w:rsidR="00181DEA" w:rsidRPr="00185B32" w:rsidRDefault="00181DEA" w:rsidP="00185B32">
            <w:pPr>
              <w:pStyle w:val="NoSpacing"/>
              <w:rPr>
                <w:sz w:val="24"/>
                <w:szCs w:val="24"/>
              </w:rPr>
            </w:pPr>
            <w:r w:rsidRPr="00185B32">
              <w:rPr>
                <w:sz w:val="24"/>
                <w:szCs w:val="24"/>
              </w:rPr>
              <w:t>5.78</w:t>
            </w:r>
          </w:p>
        </w:tc>
      </w:tr>
      <w:tr w:rsidR="00185B32" w:rsidRPr="00185B32" w14:paraId="726244B4" w14:textId="77777777" w:rsidTr="00FC3C58">
        <w:tc>
          <w:tcPr>
            <w:tcW w:w="2008" w:type="pct"/>
            <w:hideMark/>
          </w:tcPr>
          <w:p w14:paraId="1C75813C" w14:textId="77777777" w:rsidR="00181DEA" w:rsidRPr="00185B32" w:rsidRDefault="00181DEA" w:rsidP="00185B32">
            <w:pPr>
              <w:pStyle w:val="NoSpacing"/>
              <w:rPr>
                <w:sz w:val="24"/>
                <w:szCs w:val="24"/>
              </w:rPr>
            </w:pPr>
            <w:r w:rsidRPr="00185B32">
              <w:rPr>
                <w:sz w:val="24"/>
                <w:szCs w:val="24"/>
              </w:rPr>
              <w:t>2004</w:t>
            </w:r>
          </w:p>
        </w:tc>
        <w:tc>
          <w:tcPr>
            <w:tcW w:w="1379" w:type="pct"/>
            <w:hideMark/>
          </w:tcPr>
          <w:p w14:paraId="62EBA4F9" w14:textId="77777777" w:rsidR="00181DEA" w:rsidRPr="00185B32" w:rsidRDefault="00181DEA" w:rsidP="00185B32">
            <w:pPr>
              <w:pStyle w:val="NoSpacing"/>
              <w:rPr>
                <w:sz w:val="24"/>
                <w:szCs w:val="24"/>
              </w:rPr>
            </w:pPr>
            <w:r w:rsidRPr="00185B32">
              <w:rPr>
                <w:sz w:val="24"/>
                <w:szCs w:val="24"/>
              </w:rPr>
              <w:t>1,318</w:t>
            </w:r>
          </w:p>
        </w:tc>
        <w:tc>
          <w:tcPr>
            <w:tcW w:w="1612" w:type="pct"/>
            <w:hideMark/>
          </w:tcPr>
          <w:p w14:paraId="0524DDEB" w14:textId="77777777" w:rsidR="00181DEA" w:rsidRPr="00185B32" w:rsidRDefault="00181DEA" w:rsidP="00185B32">
            <w:pPr>
              <w:pStyle w:val="NoSpacing"/>
              <w:rPr>
                <w:sz w:val="24"/>
                <w:szCs w:val="24"/>
              </w:rPr>
            </w:pPr>
            <w:r w:rsidRPr="00185B32">
              <w:rPr>
                <w:sz w:val="24"/>
                <w:szCs w:val="24"/>
              </w:rPr>
              <w:t>11.65</w:t>
            </w:r>
          </w:p>
        </w:tc>
      </w:tr>
      <w:tr w:rsidR="00185B32" w:rsidRPr="00185B32" w14:paraId="06A0A5ED" w14:textId="77777777" w:rsidTr="00FC3C58">
        <w:tc>
          <w:tcPr>
            <w:tcW w:w="2008" w:type="pct"/>
            <w:hideMark/>
          </w:tcPr>
          <w:p w14:paraId="3EF2A068" w14:textId="77777777" w:rsidR="00181DEA" w:rsidRPr="00185B32" w:rsidRDefault="00181DEA" w:rsidP="00185B32">
            <w:pPr>
              <w:pStyle w:val="NoSpacing"/>
              <w:rPr>
                <w:sz w:val="24"/>
                <w:szCs w:val="24"/>
              </w:rPr>
            </w:pPr>
            <w:r w:rsidRPr="00185B32">
              <w:rPr>
                <w:sz w:val="24"/>
                <w:szCs w:val="24"/>
              </w:rPr>
              <w:t>2005</w:t>
            </w:r>
          </w:p>
        </w:tc>
        <w:tc>
          <w:tcPr>
            <w:tcW w:w="1379" w:type="pct"/>
            <w:hideMark/>
          </w:tcPr>
          <w:p w14:paraId="7D0088B9" w14:textId="77777777" w:rsidR="00181DEA" w:rsidRPr="00185B32" w:rsidRDefault="00181DEA" w:rsidP="00185B32">
            <w:pPr>
              <w:pStyle w:val="NoSpacing"/>
              <w:rPr>
                <w:sz w:val="24"/>
                <w:szCs w:val="24"/>
              </w:rPr>
            </w:pPr>
            <w:r w:rsidRPr="00185B32">
              <w:rPr>
                <w:sz w:val="24"/>
                <w:szCs w:val="24"/>
              </w:rPr>
              <w:t>1,330</w:t>
            </w:r>
          </w:p>
        </w:tc>
        <w:tc>
          <w:tcPr>
            <w:tcW w:w="1612" w:type="pct"/>
            <w:hideMark/>
          </w:tcPr>
          <w:p w14:paraId="188A2456" w14:textId="77777777" w:rsidR="00181DEA" w:rsidRPr="00185B32" w:rsidRDefault="00181DEA" w:rsidP="00185B32">
            <w:pPr>
              <w:pStyle w:val="NoSpacing"/>
              <w:rPr>
                <w:sz w:val="24"/>
                <w:szCs w:val="24"/>
              </w:rPr>
            </w:pPr>
            <w:r w:rsidRPr="00185B32">
              <w:rPr>
                <w:sz w:val="24"/>
                <w:szCs w:val="24"/>
              </w:rPr>
              <w:t>11.76</w:t>
            </w:r>
          </w:p>
        </w:tc>
      </w:tr>
      <w:tr w:rsidR="00185B32" w:rsidRPr="00185B32" w14:paraId="78F9DF4C" w14:textId="77777777" w:rsidTr="00FC3C58">
        <w:tc>
          <w:tcPr>
            <w:tcW w:w="2008" w:type="pct"/>
            <w:hideMark/>
          </w:tcPr>
          <w:p w14:paraId="5C0A2ECB" w14:textId="77777777" w:rsidR="00181DEA" w:rsidRPr="00185B32" w:rsidRDefault="00181DEA" w:rsidP="00185B32">
            <w:pPr>
              <w:pStyle w:val="NoSpacing"/>
              <w:rPr>
                <w:sz w:val="24"/>
                <w:szCs w:val="24"/>
              </w:rPr>
            </w:pPr>
            <w:r w:rsidRPr="00185B32">
              <w:rPr>
                <w:sz w:val="24"/>
                <w:szCs w:val="24"/>
              </w:rPr>
              <w:t>2006</w:t>
            </w:r>
          </w:p>
        </w:tc>
        <w:tc>
          <w:tcPr>
            <w:tcW w:w="1379" w:type="pct"/>
            <w:hideMark/>
          </w:tcPr>
          <w:p w14:paraId="0DB1F658" w14:textId="77777777" w:rsidR="00181DEA" w:rsidRPr="00185B32" w:rsidRDefault="00181DEA" w:rsidP="00185B32">
            <w:pPr>
              <w:pStyle w:val="NoSpacing"/>
              <w:rPr>
                <w:sz w:val="24"/>
                <w:szCs w:val="24"/>
              </w:rPr>
            </w:pPr>
            <w:r w:rsidRPr="00185B32">
              <w:rPr>
                <w:sz w:val="24"/>
                <w:szCs w:val="24"/>
              </w:rPr>
              <w:t>1,330</w:t>
            </w:r>
          </w:p>
        </w:tc>
        <w:tc>
          <w:tcPr>
            <w:tcW w:w="1612" w:type="pct"/>
            <w:hideMark/>
          </w:tcPr>
          <w:p w14:paraId="7F444437" w14:textId="77777777" w:rsidR="00181DEA" w:rsidRPr="00185B32" w:rsidRDefault="00181DEA" w:rsidP="00185B32">
            <w:pPr>
              <w:pStyle w:val="NoSpacing"/>
              <w:rPr>
                <w:sz w:val="24"/>
                <w:szCs w:val="24"/>
              </w:rPr>
            </w:pPr>
            <w:r w:rsidRPr="00185B32">
              <w:rPr>
                <w:sz w:val="24"/>
                <w:szCs w:val="24"/>
              </w:rPr>
              <w:t>11.76</w:t>
            </w:r>
          </w:p>
        </w:tc>
      </w:tr>
      <w:tr w:rsidR="00185B32" w:rsidRPr="00185B32" w14:paraId="2572A92D" w14:textId="77777777" w:rsidTr="00FC3C58">
        <w:tc>
          <w:tcPr>
            <w:tcW w:w="2008" w:type="pct"/>
            <w:hideMark/>
          </w:tcPr>
          <w:p w14:paraId="24F8676A" w14:textId="77777777" w:rsidR="00181DEA" w:rsidRPr="00185B32" w:rsidRDefault="00181DEA" w:rsidP="00185B32">
            <w:pPr>
              <w:pStyle w:val="NoSpacing"/>
              <w:rPr>
                <w:sz w:val="24"/>
                <w:szCs w:val="24"/>
              </w:rPr>
            </w:pPr>
            <w:r w:rsidRPr="00185B32">
              <w:rPr>
                <w:sz w:val="24"/>
                <w:szCs w:val="24"/>
              </w:rPr>
              <w:t>2007</w:t>
            </w:r>
          </w:p>
        </w:tc>
        <w:tc>
          <w:tcPr>
            <w:tcW w:w="1379" w:type="pct"/>
            <w:hideMark/>
          </w:tcPr>
          <w:p w14:paraId="68A40A46" w14:textId="77777777" w:rsidR="00181DEA" w:rsidRPr="00185B32" w:rsidRDefault="00181DEA" w:rsidP="00185B32">
            <w:pPr>
              <w:pStyle w:val="NoSpacing"/>
              <w:rPr>
                <w:sz w:val="24"/>
                <w:szCs w:val="24"/>
              </w:rPr>
            </w:pPr>
            <w:r w:rsidRPr="00185B32">
              <w:rPr>
                <w:sz w:val="24"/>
                <w:szCs w:val="24"/>
              </w:rPr>
              <w:t>1,216</w:t>
            </w:r>
          </w:p>
        </w:tc>
        <w:tc>
          <w:tcPr>
            <w:tcW w:w="1612" w:type="pct"/>
            <w:hideMark/>
          </w:tcPr>
          <w:p w14:paraId="782B052E" w14:textId="77777777" w:rsidR="00181DEA" w:rsidRPr="00185B32" w:rsidRDefault="00181DEA" w:rsidP="00185B32">
            <w:pPr>
              <w:pStyle w:val="NoSpacing"/>
              <w:rPr>
                <w:sz w:val="24"/>
                <w:szCs w:val="24"/>
              </w:rPr>
            </w:pPr>
            <w:r w:rsidRPr="00185B32">
              <w:rPr>
                <w:sz w:val="24"/>
                <w:szCs w:val="24"/>
              </w:rPr>
              <w:t>10.75</w:t>
            </w:r>
          </w:p>
        </w:tc>
      </w:tr>
      <w:tr w:rsidR="00185B32" w:rsidRPr="00185B32" w14:paraId="18E9444A" w14:textId="77777777" w:rsidTr="00FC3C58">
        <w:tc>
          <w:tcPr>
            <w:tcW w:w="2008" w:type="pct"/>
            <w:hideMark/>
          </w:tcPr>
          <w:p w14:paraId="3AD0F9BE" w14:textId="77777777" w:rsidR="00181DEA" w:rsidRPr="00185B32" w:rsidRDefault="00181DEA" w:rsidP="00185B32">
            <w:pPr>
              <w:pStyle w:val="NoSpacing"/>
              <w:rPr>
                <w:sz w:val="24"/>
                <w:szCs w:val="24"/>
              </w:rPr>
            </w:pPr>
            <w:r w:rsidRPr="00185B32">
              <w:rPr>
                <w:sz w:val="24"/>
                <w:szCs w:val="24"/>
              </w:rPr>
              <w:t>2008</w:t>
            </w:r>
          </w:p>
        </w:tc>
        <w:tc>
          <w:tcPr>
            <w:tcW w:w="1379" w:type="pct"/>
            <w:hideMark/>
          </w:tcPr>
          <w:p w14:paraId="7E09B20E" w14:textId="77777777" w:rsidR="00181DEA" w:rsidRPr="00185B32" w:rsidRDefault="00181DEA" w:rsidP="00185B32">
            <w:pPr>
              <w:pStyle w:val="NoSpacing"/>
              <w:rPr>
                <w:sz w:val="24"/>
                <w:szCs w:val="24"/>
              </w:rPr>
            </w:pPr>
            <w:r w:rsidRPr="00185B32">
              <w:rPr>
                <w:sz w:val="24"/>
                <w:szCs w:val="24"/>
              </w:rPr>
              <w:t>753</w:t>
            </w:r>
          </w:p>
        </w:tc>
        <w:tc>
          <w:tcPr>
            <w:tcW w:w="1612" w:type="pct"/>
            <w:hideMark/>
          </w:tcPr>
          <w:p w14:paraId="5500C097" w14:textId="77777777" w:rsidR="00181DEA" w:rsidRPr="00185B32" w:rsidRDefault="00181DEA" w:rsidP="00185B32">
            <w:pPr>
              <w:pStyle w:val="NoSpacing"/>
              <w:rPr>
                <w:sz w:val="24"/>
                <w:szCs w:val="24"/>
              </w:rPr>
            </w:pPr>
            <w:r w:rsidRPr="00185B32">
              <w:rPr>
                <w:sz w:val="24"/>
                <w:szCs w:val="24"/>
              </w:rPr>
              <w:t>6.66</w:t>
            </w:r>
          </w:p>
        </w:tc>
      </w:tr>
      <w:tr w:rsidR="00185B32" w:rsidRPr="00185B32" w14:paraId="7D06873F" w14:textId="77777777" w:rsidTr="00FC3C58">
        <w:tc>
          <w:tcPr>
            <w:tcW w:w="2008" w:type="pct"/>
            <w:hideMark/>
          </w:tcPr>
          <w:p w14:paraId="47ED7FC8" w14:textId="77777777" w:rsidR="00181DEA" w:rsidRPr="00185B32" w:rsidRDefault="00181DEA" w:rsidP="00185B32">
            <w:pPr>
              <w:pStyle w:val="NoSpacing"/>
              <w:rPr>
                <w:sz w:val="24"/>
                <w:szCs w:val="24"/>
              </w:rPr>
            </w:pPr>
            <w:r w:rsidRPr="00185B32">
              <w:rPr>
                <w:sz w:val="24"/>
                <w:szCs w:val="24"/>
              </w:rPr>
              <w:t>2009</w:t>
            </w:r>
          </w:p>
        </w:tc>
        <w:tc>
          <w:tcPr>
            <w:tcW w:w="1379" w:type="pct"/>
            <w:hideMark/>
          </w:tcPr>
          <w:p w14:paraId="7D4BFEA2" w14:textId="77777777" w:rsidR="00181DEA" w:rsidRPr="00185B32" w:rsidRDefault="00181DEA" w:rsidP="00185B32">
            <w:pPr>
              <w:pStyle w:val="NoSpacing"/>
              <w:rPr>
                <w:sz w:val="24"/>
                <w:szCs w:val="24"/>
              </w:rPr>
            </w:pPr>
            <w:r w:rsidRPr="00185B32">
              <w:rPr>
                <w:sz w:val="24"/>
                <w:szCs w:val="24"/>
              </w:rPr>
              <w:t>1,215</w:t>
            </w:r>
          </w:p>
        </w:tc>
        <w:tc>
          <w:tcPr>
            <w:tcW w:w="1612" w:type="pct"/>
            <w:hideMark/>
          </w:tcPr>
          <w:p w14:paraId="67748B07" w14:textId="77777777" w:rsidR="00181DEA" w:rsidRPr="00185B32" w:rsidRDefault="00181DEA" w:rsidP="00185B32">
            <w:pPr>
              <w:pStyle w:val="NoSpacing"/>
              <w:rPr>
                <w:sz w:val="24"/>
                <w:szCs w:val="24"/>
              </w:rPr>
            </w:pPr>
            <w:r w:rsidRPr="00185B32">
              <w:rPr>
                <w:sz w:val="24"/>
                <w:szCs w:val="24"/>
              </w:rPr>
              <w:t>10.74</w:t>
            </w:r>
          </w:p>
        </w:tc>
      </w:tr>
      <w:tr w:rsidR="00185B32" w:rsidRPr="00185B32" w14:paraId="63237837" w14:textId="77777777" w:rsidTr="00FC3C58">
        <w:tc>
          <w:tcPr>
            <w:tcW w:w="2008" w:type="pct"/>
            <w:hideMark/>
          </w:tcPr>
          <w:p w14:paraId="7E7F77D1" w14:textId="77777777" w:rsidR="00181DEA" w:rsidRPr="00185B32" w:rsidRDefault="00181DEA" w:rsidP="00185B32">
            <w:pPr>
              <w:pStyle w:val="NoSpacing"/>
              <w:rPr>
                <w:sz w:val="24"/>
                <w:szCs w:val="24"/>
              </w:rPr>
            </w:pPr>
            <w:r w:rsidRPr="00185B32">
              <w:rPr>
                <w:sz w:val="24"/>
                <w:szCs w:val="24"/>
              </w:rPr>
              <w:t>2010</w:t>
            </w:r>
          </w:p>
        </w:tc>
        <w:tc>
          <w:tcPr>
            <w:tcW w:w="1379" w:type="pct"/>
            <w:hideMark/>
          </w:tcPr>
          <w:p w14:paraId="7B24778C" w14:textId="77777777" w:rsidR="00181DEA" w:rsidRPr="00185B32" w:rsidRDefault="00181DEA" w:rsidP="00185B32">
            <w:pPr>
              <w:pStyle w:val="NoSpacing"/>
              <w:rPr>
                <w:sz w:val="24"/>
                <w:szCs w:val="24"/>
              </w:rPr>
            </w:pPr>
            <w:r w:rsidRPr="00185B32">
              <w:rPr>
                <w:sz w:val="24"/>
                <w:szCs w:val="24"/>
              </w:rPr>
              <w:t>1,016</w:t>
            </w:r>
          </w:p>
        </w:tc>
        <w:tc>
          <w:tcPr>
            <w:tcW w:w="1612" w:type="pct"/>
            <w:hideMark/>
          </w:tcPr>
          <w:p w14:paraId="410B21FB" w14:textId="77777777" w:rsidR="00181DEA" w:rsidRPr="00185B32" w:rsidRDefault="00181DEA" w:rsidP="00185B32">
            <w:pPr>
              <w:pStyle w:val="NoSpacing"/>
              <w:rPr>
                <w:sz w:val="24"/>
                <w:szCs w:val="24"/>
              </w:rPr>
            </w:pPr>
            <w:r w:rsidRPr="00185B32">
              <w:rPr>
                <w:sz w:val="24"/>
                <w:szCs w:val="24"/>
              </w:rPr>
              <w:t>8.98</w:t>
            </w:r>
          </w:p>
        </w:tc>
      </w:tr>
      <w:tr w:rsidR="00185B32" w:rsidRPr="00185B32" w14:paraId="5AE38E42" w14:textId="77777777" w:rsidTr="00FC3C58">
        <w:tc>
          <w:tcPr>
            <w:tcW w:w="2008" w:type="pct"/>
            <w:hideMark/>
          </w:tcPr>
          <w:p w14:paraId="62C7D49C" w14:textId="77777777" w:rsidR="00181DEA" w:rsidRPr="00185B32" w:rsidRDefault="00181DEA" w:rsidP="00185B32">
            <w:pPr>
              <w:pStyle w:val="NoSpacing"/>
              <w:rPr>
                <w:sz w:val="24"/>
                <w:szCs w:val="24"/>
              </w:rPr>
            </w:pPr>
            <w:r w:rsidRPr="00185B32">
              <w:rPr>
                <w:sz w:val="24"/>
                <w:szCs w:val="24"/>
              </w:rPr>
              <w:t>Total</w:t>
            </w:r>
          </w:p>
        </w:tc>
        <w:tc>
          <w:tcPr>
            <w:tcW w:w="1379" w:type="pct"/>
            <w:hideMark/>
          </w:tcPr>
          <w:p w14:paraId="27343D77" w14:textId="77777777" w:rsidR="00181DEA" w:rsidRPr="00185B32" w:rsidRDefault="00181DEA" w:rsidP="00185B32">
            <w:pPr>
              <w:pStyle w:val="NoSpacing"/>
              <w:rPr>
                <w:sz w:val="24"/>
                <w:szCs w:val="24"/>
              </w:rPr>
            </w:pPr>
            <w:r w:rsidRPr="00185B32">
              <w:rPr>
                <w:sz w:val="24"/>
                <w:szCs w:val="24"/>
              </w:rPr>
              <w:t>11,312</w:t>
            </w:r>
          </w:p>
        </w:tc>
        <w:tc>
          <w:tcPr>
            <w:tcW w:w="1612" w:type="pct"/>
            <w:hideMark/>
          </w:tcPr>
          <w:p w14:paraId="1A26BB13" w14:textId="77777777" w:rsidR="00181DEA" w:rsidRPr="00185B32" w:rsidRDefault="00181DEA" w:rsidP="00185B32">
            <w:pPr>
              <w:pStyle w:val="NoSpacing"/>
              <w:rPr>
                <w:sz w:val="24"/>
                <w:szCs w:val="24"/>
              </w:rPr>
            </w:pPr>
            <w:r w:rsidRPr="00185B32">
              <w:rPr>
                <w:sz w:val="24"/>
                <w:szCs w:val="24"/>
              </w:rPr>
              <w:t>100</w:t>
            </w:r>
          </w:p>
        </w:tc>
      </w:tr>
    </w:tbl>
    <w:p w14:paraId="3B9CD64A" w14:textId="77777777" w:rsidR="00476310" w:rsidRDefault="00476310" w:rsidP="00673F93">
      <w:pPr>
        <w:rPr>
          <w:rFonts w:cstheme="minorHAnsi"/>
          <w:sz w:val="24"/>
          <w:szCs w:val="24"/>
        </w:rPr>
        <w:sectPr w:rsidR="00476310" w:rsidSect="00013176">
          <w:pgSz w:w="12240" w:h="15840"/>
          <w:pgMar w:top="1080" w:right="1080" w:bottom="1080" w:left="1080" w:header="720" w:footer="720" w:gutter="0"/>
          <w:cols w:space="720"/>
          <w:docGrid w:linePitch="360"/>
        </w:sectPr>
      </w:pPr>
    </w:p>
    <w:p w14:paraId="529E32A0" w14:textId="77777777" w:rsidR="0036439D" w:rsidRPr="00673F93" w:rsidRDefault="0036439D" w:rsidP="00673F93">
      <w:pPr>
        <w:rPr>
          <w:rFonts w:cstheme="minorHAnsi"/>
          <w:sz w:val="24"/>
          <w:szCs w:val="24"/>
        </w:rPr>
      </w:pPr>
    </w:p>
    <w:tbl>
      <w:tblPr>
        <w:tblStyle w:val="TableGrid"/>
        <w:tblW w:w="0" w:type="auto"/>
        <w:tblLook w:val="04A0" w:firstRow="1" w:lastRow="0" w:firstColumn="1" w:lastColumn="0" w:noHBand="0" w:noVBand="1"/>
      </w:tblPr>
      <w:tblGrid>
        <w:gridCol w:w="4206"/>
        <w:gridCol w:w="1504"/>
        <w:gridCol w:w="971"/>
        <w:gridCol w:w="4246"/>
        <w:gridCol w:w="1504"/>
        <w:gridCol w:w="971"/>
      </w:tblGrid>
      <w:tr w:rsidR="00C038FC" w:rsidRPr="00185B32" w14:paraId="51145F97" w14:textId="77777777" w:rsidTr="00C038FC">
        <w:tc>
          <w:tcPr>
            <w:tcW w:w="0" w:type="auto"/>
          </w:tcPr>
          <w:p w14:paraId="72BDEFD7" w14:textId="45999703" w:rsidR="0036439D" w:rsidRPr="00185B32" w:rsidRDefault="0036439D" w:rsidP="00476310">
            <w:pPr>
              <w:pStyle w:val="NoSpacing"/>
              <w:rPr>
                <w:b/>
                <w:bCs/>
                <w:sz w:val="24"/>
                <w:szCs w:val="24"/>
              </w:rPr>
            </w:pPr>
            <w:r w:rsidRPr="00185B32">
              <w:rPr>
                <w:b/>
                <w:bCs/>
                <w:sz w:val="24"/>
                <w:szCs w:val="24"/>
              </w:rPr>
              <w:t>Panel C: Sample distribution by industry</w:t>
            </w:r>
          </w:p>
        </w:tc>
        <w:tc>
          <w:tcPr>
            <w:tcW w:w="0" w:type="auto"/>
          </w:tcPr>
          <w:p w14:paraId="0BA9EEAB" w14:textId="77777777" w:rsidR="0036439D" w:rsidRPr="00185B32" w:rsidRDefault="0036439D" w:rsidP="00476310">
            <w:pPr>
              <w:pStyle w:val="NoSpacing"/>
              <w:rPr>
                <w:sz w:val="24"/>
                <w:szCs w:val="24"/>
              </w:rPr>
            </w:pPr>
          </w:p>
        </w:tc>
        <w:tc>
          <w:tcPr>
            <w:tcW w:w="0" w:type="auto"/>
          </w:tcPr>
          <w:p w14:paraId="1135BE83" w14:textId="77777777" w:rsidR="0036439D" w:rsidRPr="00185B32" w:rsidRDefault="0036439D" w:rsidP="00476310">
            <w:pPr>
              <w:pStyle w:val="NoSpacing"/>
              <w:rPr>
                <w:sz w:val="24"/>
                <w:szCs w:val="24"/>
              </w:rPr>
            </w:pPr>
          </w:p>
        </w:tc>
        <w:tc>
          <w:tcPr>
            <w:tcW w:w="0" w:type="auto"/>
          </w:tcPr>
          <w:p w14:paraId="55DA5765" w14:textId="77777777" w:rsidR="0036439D" w:rsidRPr="00185B32" w:rsidRDefault="0036439D" w:rsidP="00476310">
            <w:pPr>
              <w:pStyle w:val="NoSpacing"/>
              <w:rPr>
                <w:sz w:val="24"/>
                <w:szCs w:val="24"/>
              </w:rPr>
            </w:pPr>
          </w:p>
        </w:tc>
        <w:tc>
          <w:tcPr>
            <w:tcW w:w="0" w:type="auto"/>
          </w:tcPr>
          <w:p w14:paraId="34579330" w14:textId="77777777" w:rsidR="0036439D" w:rsidRPr="00185B32" w:rsidRDefault="0036439D" w:rsidP="00476310">
            <w:pPr>
              <w:pStyle w:val="NoSpacing"/>
              <w:rPr>
                <w:sz w:val="24"/>
                <w:szCs w:val="24"/>
              </w:rPr>
            </w:pPr>
          </w:p>
        </w:tc>
        <w:tc>
          <w:tcPr>
            <w:tcW w:w="0" w:type="auto"/>
          </w:tcPr>
          <w:p w14:paraId="2436457C" w14:textId="760A7EA8" w:rsidR="0036439D" w:rsidRPr="00185B32" w:rsidRDefault="0036439D" w:rsidP="00476310">
            <w:pPr>
              <w:pStyle w:val="NoSpacing"/>
              <w:rPr>
                <w:sz w:val="24"/>
                <w:szCs w:val="24"/>
              </w:rPr>
            </w:pPr>
          </w:p>
        </w:tc>
      </w:tr>
      <w:tr w:rsidR="00C038FC" w:rsidRPr="00185B32" w14:paraId="4131962B" w14:textId="77777777" w:rsidTr="00C038FC">
        <w:tc>
          <w:tcPr>
            <w:tcW w:w="0" w:type="auto"/>
            <w:hideMark/>
          </w:tcPr>
          <w:p w14:paraId="15A410E1" w14:textId="77777777" w:rsidR="0036439D" w:rsidRPr="00185B32" w:rsidRDefault="0036439D" w:rsidP="00476310">
            <w:pPr>
              <w:pStyle w:val="NoSpacing"/>
              <w:rPr>
                <w:sz w:val="24"/>
                <w:szCs w:val="24"/>
              </w:rPr>
            </w:pPr>
            <w:r w:rsidRPr="00185B32">
              <w:rPr>
                <w:sz w:val="24"/>
                <w:szCs w:val="24"/>
              </w:rPr>
              <w:t>Fama‐French 48‐Industry</w:t>
            </w:r>
          </w:p>
        </w:tc>
        <w:tc>
          <w:tcPr>
            <w:tcW w:w="0" w:type="auto"/>
            <w:hideMark/>
          </w:tcPr>
          <w:p w14:paraId="5228463A" w14:textId="77777777" w:rsidR="0036439D" w:rsidRPr="00185B32" w:rsidRDefault="0036439D" w:rsidP="00476310">
            <w:pPr>
              <w:pStyle w:val="NoSpacing"/>
              <w:rPr>
                <w:sz w:val="24"/>
                <w:szCs w:val="24"/>
              </w:rPr>
            </w:pPr>
            <w:r w:rsidRPr="00185B32">
              <w:rPr>
                <w:sz w:val="24"/>
                <w:szCs w:val="24"/>
              </w:rPr>
              <w:t>Observations</w:t>
            </w:r>
          </w:p>
        </w:tc>
        <w:tc>
          <w:tcPr>
            <w:tcW w:w="0" w:type="auto"/>
            <w:hideMark/>
          </w:tcPr>
          <w:p w14:paraId="6E1B0BA4" w14:textId="77777777" w:rsidR="0036439D" w:rsidRPr="00185B32" w:rsidRDefault="0036439D" w:rsidP="00476310">
            <w:pPr>
              <w:pStyle w:val="NoSpacing"/>
              <w:rPr>
                <w:sz w:val="24"/>
                <w:szCs w:val="24"/>
              </w:rPr>
            </w:pPr>
            <w:r w:rsidRPr="00185B32">
              <w:rPr>
                <w:sz w:val="24"/>
                <w:szCs w:val="24"/>
              </w:rPr>
              <w:t>Percent</w:t>
            </w:r>
          </w:p>
        </w:tc>
        <w:tc>
          <w:tcPr>
            <w:tcW w:w="0" w:type="auto"/>
            <w:hideMark/>
          </w:tcPr>
          <w:p w14:paraId="1E9A73FD" w14:textId="77777777" w:rsidR="0036439D" w:rsidRPr="00185B32" w:rsidRDefault="0036439D" w:rsidP="00476310">
            <w:pPr>
              <w:pStyle w:val="NoSpacing"/>
              <w:rPr>
                <w:sz w:val="24"/>
                <w:szCs w:val="24"/>
              </w:rPr>
            </w:pPr>
            <w:r w:rsidRPr="00185B32">
              <w:rPr>
                <w:sz w:val="24"/>
                <w:szCs w:val="24"/>
              </w:rPr>
              <w:t>Fama‐French 48‐Industry</w:t>
            </w:r>
          </w:p>
        </w:tc>
        <w:tc>
          <w:tcPr>
            <w:tcW w:w="0" w:type="auto"/>
            <w:hideMark/>
          </w:tcPr>
          <w:p w14:paraId="2660697C" w14:textId="77777777" w:rsidR="0036439D" w:rsidRPr="00185B32" w:rsidRDefault="0036439D" w:rsidP="00476310">
            <w:pPr>
              <w:pStyle w:val="NoSpacing"/>
              <w:rPr>
                <w:sz w:val="24"/>
                <w:szCs w:val="24"/>
              </w:rPr>
            </w:pPr>
            <w:r w:rsidRPr="00185B32">
              <w:rPr>
                <w:sz w:val="24"/>
                <w:szCs w:val="24"/>
              </w:rPr>
              <w:t>Observations</w:t>
            </w:r>
          </w:p>
        </w:tc>
        <w:tc>
          <w:tcPr>
            <w:tcW w:w="0" w:type="auto"/>
            <w:hideMark/>
          </w:tcPr>
          <w:p w14:paraId="5BBB72D7" w14:textId="77777777" w:rsidR="0036439D" w:rsidRPr="00185B32" w:rsidRDefault="0036439D" w:rsidP="00476310">
            <w:pPr>
              <w:pStyle w:val="NoSpacing"/>
              <w:rPr>
                <w:sz w:val="24"/>
                <w:szCs w:val="24"/>
              </w:rPr>
            </w:pPr>
            <w:r w:rsidRPr="00185B32">
              <w:rPr>
                <w:sz w:val="24"/>
                <w:szCs w:val="24"/>
              </w:rPr>
              <w:t>Percent</w:t>
            </w:r>
          </w:p>
        </w:tc>
      </w:tr>
      <w:tr w:rsidR="00C038FC" w:rsidRPr="00185B32" w14:paraId="52AD7158" w14:textId="77777777" w:rsidTr="00C038FC">
        <w:tc>
          <w:tcPr>
            <w:tcW w:w="0" w:type="auto"/>
            <w:hideMark/>
          </w:tcPr>
          <w:p w14:paraId="265AD753" w14:textId="77777777" w:rsidR="0036439D" w:rsidRPr="00185B32" w:rsidRDefault="0036439D" w:rsidP="00476310">
            <w:pPr>
              <w:pStyle w:val="NoSpacing"/>
              <w:rPr>
                <w:sz w:val="24"/>
                <w:szCs w:val="24"/>
              </w:rPr>
            </w:pPr>
            <w:r w:rsidRPr="00185B32">
              <w:rPr>
                <w:sz w:val="24"/>
                <w:szCs w:val="24"/>
              </w:rPr>
              <w:t>Aircraft</w:t>
            </w:r>
          </w:p>
        </w:tc>
        <w:tc>
          <w:tcPr>
            <w:tcW w:w="0" w:type="auto"/>
            <w:hideMark/>
          </w:tcPr>
          <w:p w14:paraId="06034D9E" w14:textId="77777777" w:rsidR="0036439D" w:rsidRPr="00185B32" w:rsidRDefault="0036439D" w:rsidP="00476310">
            <w:pPr>
              <w:pStyle w:val="NoSpacing"/>
              <w:rPr>
                <w:sz w:val="24"/>
                <w:szCs w:val="24"/>
              </w:rPr>
            </w:pPr>
            <w:r w:rsidRPr="00185B32">
              <w:rPr>
                <w:sz w:val="24"/>
                <w:szCs w:val="24"/>
              </w:rPr>
              <w:t>112</w:t>
            </w:r>
          </w:p>
        </w:tc>
        <w:tc>
          <w:tcPr>
            <w:tcW w:w="0" w:type="auto"/>
            <w:hideMark/>
          </w:tcPr>
          <w:p w14:paraId="47C55E4B" w14:textId="77777777" w:rsidR="0036439D" w:rsidRPr="00185B32" w:rsidRDefault="0036439D" w:rsidP="00476310">
            <w:pPr>
              <w:pStyle w:val="NoSpacing"/>
              <w:rPr>
                <w:sz w:val="24"/>
                <w:szCs w:val="24"/>
              </w:rPr>
            </w:pPr>
            <w:r w:rsidRPr="00185B32">
              <w:rPr>
                <w:sz w:val="24"/>
                <w:szCs w:val="24"/>
              </w:rPr>
              <w:t>0.99</w:t>
            </w:r>
          </w:p>
        </w:tc>
        <w:tc>
          <w:tcPr>
            <w:tcW w:w="0" w:type="auto"/>
            <w:hideMark/>
          </w:tcPr>
          <w:p w14:paraId="79BF506A" w14:textId="77777777" w:rsidR="0036439D" w:rsidRPr="00185B32" w:rsidRDefault="0036439D" w:rsidP="00476310">
            <w:pPr>
              <w:pStyle w:val="NoSpacing"/>
              <w:rPr>
                <w:sz w:val="24"/>
                <w:szCs w:val="24"/>
              </w:rPr>
            </w:pPr>
            <w:r w:rsidRPr="00185B32">
              <w:rPr>
                <w:sz w:val="24"/>
                <w:szCs w:val="24"/>
              </w:rPr>
              <w:t>Consumer Goods</w:t>
            </w:r>
          </w:p>
        </w:tc>
        <w:tc>
          <w:tcPr>
            <w:tcW w:w="0" w:type="auto"/>
            <w:hideMark/>
          </w:tcPr>
          <w:p w14:paraId="3B7CE54C" w14:textId="77777777" w:rsidR="0036439D" w:rsidRPr="00185B32" w:rsidRDefault="0036439D" w:rsidP="00476310">
            <w:pPr>
              <w:pStyle w:val="NoSpacing"/>
              <w:rPr>
                <w:sz w:val="24"/>
                <w:szCs w:val="24"/>
              </w:rPr>
            </w:pPr>
            <w:r w:rsidRPr="00185B32">
              <w:rPr>
                <w:sz w:val="24"/>
                <w:szCs w:val="24"/>
              </w:rPr>
              <w:t>260</w:t>
            </w:r>
          </w:p>
        </w:tc>
        <w:tc>
          <w:tcPr>
            <w:tcW w:w="0" w:type="auto"/>
            <w:hideMark/>
          </w:tcPr>
          <w:p w14:paraId="417578F0" w14:textId="77777777" w:rsidR="0036439D" w:rsidRPr="00185B32" w:rsidRDefault="0036439D" w:rsidP="00476310">
            <w:pPr>
              <w:pStyle w:val="NoSpacing"/>
              <w:rPr>
                <w:sz w:val="24"/>
                <w:szCs w:val="24"/>
              </w:rPr>
            </w:pPr>
            <w:r w:rsidRPr="00185B32">
              <w:rPr>
                <w:sz w:val="24"/>
                <w:szCs w:val="24"/>
              </w:rPr>
              <w:t>2.30</w:t>
            </w:r>
          </w:p>
        </w:tc>
      </w:tr>
      <w:tr w:rsidR="00C038FC" w:rsidRPr="00185B32" w14:paraId="53DEEE72" w14:textId="77777777" w:rsidTr="00C038FC">
        <w:tc>
          <w:tcPr>
            <w:tcW w:w="0" w:type="auto"/>
            <w:hideMark/>
          </w:tcPr>
          <w:p w14:paraId="62E214DC" w14:textId="77777777" w:rsidR="0036439D" w:rsidRPr="00185B32" w:rsidRDefault="0036439D" w:rsidP="00476310">
            <w:pPr>
              <w:pStyle w:val="NoSpacing"/>
              <w:rPr>
                <w:sz w:val="24"/>
                <w:szCs w:val="24"/>
              </w:rPr>
            </w:pPr>
            <w:r w:rsidRPr="00185B32">
              <w:rPr>
                <w:sz w:val="24"/>
                <w:szCs w:val="24"/>
              </w:rPr>
              <w:t>Agriculture</w:t>
            </w:r>
          </w:p>
        </w:tc>
        <w:tc>
          <w:tcPr>
            <w:tcW w:w="0" w:type="auto"/>
            <w:hideMark/>
          </w:tcPr>
          <w:p w14:paraId="1647183D" w14:textId="77777777" w:rsidR="0036439D" w:rsidRPr="00185B32" w:rsidRDefault="0036439D" w:rsidP="00476310">
            <w:pPr>
              <w:pStyle w:val="NoSpacing"/>
              <w:rPr>
                <w:sz w:val="24"/>
                <w:szCs w:val="24"/>
              </w:rPr>
            </w:pPr>
            <w:r w:rsidRPr="00185B32">
              <w:rPr>
                <w:sz w:val="24"/>
                <w:szCs w:val="24"/>
              </w:rPr>
              <w:t>44</w:t>
            </w:r>
          </w:p>
        </w:tc>
        <w:tc>
          <w:tcPr>
            <w:tcW w:w="0" w:type="auto"/>
            <w:hideMark/>
          </w:tcPr>
          <w:p w14:paraId="4079873F" w14:textId="77777777" w:rsidR="0036439D" w:rsidRPr="00185B32" w:rsidRDefault="0036439D" w:rsidP="00476310">
            <w:pPr>
              <w:pStyle w:val="NoSpacing"/>
              <w:rPr>
                <w:sz w:val="24"/>
                <w:szCs w:val="24"/>
              </w:rPr>
            </w:pPr>
            <w:r w:rsidRPr="00185B32">
              <w:rPr>
                <w:sz w:val="24"/>
                <w:szCs w:val="24"/>
              </w:rPr>
              <w:t>0.39</w:t>
            </w:r>
          </w:p>
        </w:tc>
        <w:tc>
          <w:tcPr>
            <w:tcW w:w="0" w:type="auto"/>
            <w:hideMark/>
          </w:tcPr>
          <w:p w14:paraId="11464060" w14:textId="77777777" w:rsidR="0036439D" w:rsidRPr="00185B32" w:rsidRDefault="0036439D" w:rsidP="00476310">
            <w:pPr>
              <w:pStyle w:val="NoSpacing"/>
              <w:rPr>
                <w:sz w:val="24"/>
                <w:szCs w:val="24"/>
              </w:rPr>
            </w:pPr>
            <w:r w:rsidRPr="00185B32">
              <w:rPr>
                <w:sz w:val="24"/>
                <w:szCs w:val="24"/>
              </w:rPr>
              <w:t>Measuring and Control Equipment</w:t>
            </w:r>
          </w:p>
        </w:tc>
        <w:tc>
          <w:tcPr>
            <w:tcW w:w="0" w:type="auto"/>
            <w:hideMark/>
          </w:tcPr>
          <w:p w14:paraId="4F205719" w14:textId="77777777" w:rsidR="0036439D" w:rsidRPr="00185B32" w:rsidRDefault="0036439D" w:rsidP="00476310">
            <w:pPr>
              <w:pStyle w:val="NoSpacing"/>
              <w:rPr>
                <w:sz w:val="24"/>
                <w:szCs w:val="24"/>
              </w:rPr>
            </w:pPr>
            <w:r w:rsidRPr="00185B32">
              <w:rPr>
                <w:sz w:val="24"/>
                <w:szCs w:val="24"/>
              </w:rPr>
              <w:t>312</w:t>
            </w:r>
          </w:p>
        </w:tc>
        <w:tc>
          <w:tcPr>
            <w:tcW w:w="0" w:type="auto"/>
            <w:hideMark/>
          </w:tcPr>
          <w:p w14:paraId="26BA4B13" w14:textId="77777777" w:rsidR="0036439D" w:rsidRPr="00185B32" w:rsidRDefault="0036439D" w:rsidP="00476310">
            <w:pPr>
              <w:pStyle w:val="NoSpacing"/>
              <w:rPr>
                <w:sz w:val="24"/>
                <w:szCs w:val="24"/>
              </w:rPr>
            </w:pPr>
            <w:r w:rsidRPr="00185B32">
              <w:rPr>
                <w:sz w:val="24"/>
                <w:szCs w:val="24"/>
              </w:rPr>
              <w:t>2.76</w:t>
            </w:r>
          </w:p>
        </w:tc>
      </w:tr>
      <w:tr w:rsidR="00C038FC" w:rsidRPr="00185B32" w14:paraId="6E21EB5F" w14:textId="77777777" w:rsidTr="00C038FC">
        <w:tc>
          <w:tcPr>
            <w:tcW w:w="0" w:type="auto"/>
            <w:hideMark/>
          </w:tcPr>
          <w:p w14:paraId="2A6E5D63" w14:textId="77777777" w:rsidR="0036439D" w:rsidRPr="00185B32" w:rsidRDefault="0036439D" w:rsidP="00476310">
            <w:pPr>
              <w:pStyle w:val="NoSpacing"/>
              <w:rPr>
                <w:sz w:val="24"/>
                <w:szCs w:val="24"/>
              </w:rPr>
            </w:pPr>
            <w:r w:rsidRPr="00185B32">
              <w:rPr>
                <w:sz w:val="24"/>
                <w:szCs w:val="24"/>
              </w:rPr>
              <w:t>Automobiles and Trucks</w:t>
            </w:r>
          </w:p>
        </w:tc>
        <w:tc>
          <w:tcPr>
            <w:tcW w:w="0" w:type="auto"/>
            <w:hideMark/>
          </w:tcPr>
          <w:p w14:paraId="67016DDD" w14:textId="77777777" w:rsidR="0036439D" w:rsidRPr="00185B32" w:rsidRDefault="0036439D" w:rsidP="00476310">
            <w:pPr>
              <w:pStyle w:val="NoSpacing"/>
              <w:rPr>
                <w:sz w:val="24"/>
                <w:szCs w:val="24"/>
              </w:rPr>
            </w:pPr>
            <w:r w:rsidRPr="00185B32">
              <w:rPr>
                <w:sz w:val="24"/>
                <w:szCs w:val="24"/>
              </w:rPr>
              <w:t>236</w:t>
            </w:r>
          </w:p>
        </w:tc>
        <w:tc>
          <w:tcPr>
            <w:tcW w:w="0" w:type="auto"/>
            <w:hideMark/>
          </w:tcPr>
          <w:p w14:paraId="3CE09B64" w14:textId="77777777" w:rsidR="0036439D" w:rsidRPr="00185B32" w:rsidRDefault="0036439D" w:rsidP="00476310">
            <w:pPr>
              <w:pStyle w:val="NoSpacing"/>
              <w:rPr>
                <w:sz w:val="24"/>
                <w:szCs w:val="24"/>
              </w:rPr>
            </w:pPr>
            <w:r w:rsidRPr="00185B32">
              <w:rPr>
                <w:sz w:val="24"/>
                <w:szCs w:val="24"/>
              </w:rPr>
              <w:t>2.09</w:t>
            </w:r>
          </w:p>
        </w:tc>
        <w:tc>
          <w:tcPr>
            <w:tcW w:w="0" w:type="auto"/>
            <w:hideMark/>
          </w:tcPr>
          <w:p w14:paraId="0FB61895" w14:textId="77777777" w:rsidR="0036439D" w:rsidRPr="00185B32" w:rsidRDefault="0036439D" w:rsidP="00476310">
            <w:pPr>
              <w:pStyle w:val="NoSpacing"/>
              <w:rPr>
                <w:sz w:val="24"/>
                <w:szCs w:val="24"/>
              </w:rPr>
            </w:pPr>
            <w:r w:rsidRPr="00185B32">
              <w:rPr>
                <w:sz w:val="24"/>
                <w:szCs w:val="24"/>
              </w:rPr>
              <w:t>Machinery</w:t>
            </w:r>
          </w:p>
        </w:tc>
        <w:tc>
          <w:tcPr>
            <w:tcW w:w="0" w:type="auto"/>
            <w:hideMark/>
          </w:tcPr>
          <w:p w14:paraId="57D9CA05" w14:textId="77777777" w:rsidR="0036439D" w:rsidRPr="00185B32" w:rsidRDefault="0036439D" w:rsidP="00476310">
            <w:pPr>
              <w:pStyle w:val="NoSpacing"/>
              <w:rPr>
                <w:sz w:val="24"/>
                <w:szCs w:val="24"/>
              </w:rPr>
            </w:pPr>
            <w:r w:rsidRPr="00185B32">
              <w:rPr>
                <w:sz w:val="24"/>
                <w:szCs w:val="24"/>
              </w:rPr>
              <w:t>602</w:t>
            </w:r>
          </w:p>
        </w:tc>
        <w:tc>
          <w:tcPr>
            <w:tcW w:w="0" w:type="auto"/>
            <w:hideMark/>
          </w:tcPr>
          <w:p w14:paraId="5927FD01" w14:textId="77777777" w:rsidR="0036439D" w:rsidRPr="00185B32" w:rsidRDefault="0036439D" w:rsidP="00476310">
            <w:pPr>
              <w:pStyle w:val="NoSpacing"/>
              <w:rPr>
                <w:sz w:val="24"/>
                <w:szCs w:val="24"/>
              </w:rPr>
            </w:pPr>
            <w:r w:rsidRPr="00185B32">
              <w:rPr>
                <w:sz w:val="24"/>
                <w:szCs w:val="24"/>
              </w:rPr>
              <w:t>5.32</w:t>
            </w:r>
          </w:p>
        </w:tc>
      </w:tr>
      <w:tr w:rsidR="00C038FC" w:rsidRPr="00185B32" w14:paraId="1296E06F" w14:textId="77777777" w:rsidTr="00C038FC">
        <w:tc>
          <w:tcPr>
            <w:tcW w:w="0" w:type="auto"/>
            <w:hideMark/>
          </w:tcPr>
          <w:p w14:paraId="264F9DD0" w14:textId="77777777" w:rsidR="0036439D" w:rsidRPr="00185B32" w:rsidRDefault="0036439D" w:rsidP="00476310">
            <w:pPr>
              <w:pStyle w:val="NoSpacing"/>
              <w:rPr>
                <w:sz w:val="24"/>
                <w:szCs w:val="24"/>
              </w:rPr>
            </w:pPr>
            <w:r w:rsidRPr="00185B32">
              <w:rPr>
                <w:sz w:val="24"/>
                <w:szCs w:val="24"/>
              </w:rPr>
              <w:t>Beer and Liquor</w:t>
            </w:r>
          </w:p>
        </w:tc>
        <w:tc>
          <w:tcPr>
            <w:tcW w:w="0" w:type="auto"/>
            <w:hideMark/>
          </w:tcPr>
          <w:p w14:paraId="5766099B" w14:textId="77777777" w:rsidR="0036439D" w:rsidRPr="00185B32" w:rsidRDefault="0036439D" w:rsidP="00476310">
            <w:pPr>
              <w:pStyle w:val="NoSpacing"/>
              <w:rPr>
                <w:sz w:val="24"/>
                <w:szCs w:val="24"/>
              </w:rPr>
            </w:pPr>
            <w:r w:rsidRPr="00185B32">
              <w:rPr>
                <w:sz w:val="24"/>
                <w:szCs w:val="24"/>
              </w:rPr>
              <w:t>59</w:t>
            </w:r>
          </w:p>
        </w:tc>
        <w:tc>
          <w:tcPr>
            <w:tcW w:w="0" w:type="auto"/>
            <w:hideMark/>
          </w:tcPr>
          <w:p w14:paraId="008B5F5F" w14:textId="77777777" w:rsidR="0036439D" w:rsidRPr="00185B32" w:rsidRDefault="0036439D" w:rsidP="00476310">
            <w:pPr>
              <w:pStyle w:val="NoSpacing"/>
              <w:rPr>
                <w:sz w:val="24"/>
                <w:szCs w:val="24"/>
              </w:rPr>
            </w:pPr>
            <w:r w:rsidRPr="00185B32">
              <w:rPr>
                <w:sz w:val="24"/>
                <w:szCs w:val="24"/>
              </w:rPr>
              <w:t>0.52</w:t>
            </w:r>
          </w:p>
        </w:tc>
        <w:tc>
          <w:tcPr>
            <w:tcW w:w="0" w:type="auto"/>
            <w:hideMark/>
          </w:tcPr>
          <w:p w14:paraId="7DD66DBD" w14:textId="77777777" w:rsidR="0036439D" w:rsidRPr="00185B32" w:rsidRDefault="0036439D" w:rsidP="00476310">
            <w:pPr>
              <w:pStyle w:val="NoSpacing"/>
              <w:rPr>
                <w:sz w:val="24"/>
                <w:szCs w:val="24"/>
              </w:rPr>
            </w:pPr>
            <w:r w:rsidRPr="00185B32">
              <w:rPr>
                <w:sz w:val="24"/>
                <w:szCs w:val="24"/>
              </w:rPr>
              <w:t>Restaurants, Hotels, Motels</w:t>
            </w:r>
          </w:p>
        </w:tc>
        <w:tc>
          <w:tcPr>
            <w:tcW w:w="0" w:type="auto"/>
            <w:hideMark/>
          </w:tcPr>
          <w:p w14:paraId="263CEEA3" w14:textId="77777777" w:rsidR="0036439D" w:rsidRPr="00185B32" w:rsidRDefault="0036439D" w:rsidP="00476310">
            <w:pPr>
              <w:pStyle w:val="NoSpacing"/>
              <w:rPr>
                <w:sz w:val="24"/>
                <w:szCs w:val="24"/>
              </w:rPr>
            </w:pPr>
            <w:r w:rsidRPr="00185B32">
              <w:rPr>
                <w:sz w:val="24"/>
                <w:szCs w:val="24"/>
              </w:rPr>
              <w:t>237</w:t>
            </w:r>
          </w:p>
        </w:tc>
        <w:tc>
          <w:tcPr>
            <w:tcW w:w="0" w:type="auto"/>
            <w:hideMark/>
          </w:tcPr>
          <w:p w14:paraId="0A9BB5B7" w14:textId="77777777" w:rsidR="0036439D" w:rsidRPr="00185B32" w:rsidRDefault="0036439D" w:rsidP="00476310">
            <w:pPr>
              <w:pStyle w:val="NoSpacing"/>
              <w:rPr>
                <w:sz w:val="24"/>
                <w:szCs w:val="24"/>
              </w:rPr>
            </w:pPr>
            <w:r w:rsidRPr="00185B32">
              <w:rPr>
                <w:sz w:val="24"/>
                <w:szCs w:val="24"/>
              </w:rPr>
              <w:t>2.10</w:t>
            </w:r>
          </w:p>
        </w:tc>
      </w:tr>
      <w:tr w:rsidR="00C038FC" w:rsidRPr="00185B32" w14:paraId="1D1AD240" w14:textId="77777777" w:rsidTr="00C038FC">
        <w:tc>
          <w:tcPr>
            <w:tcW w:w="0" w:type="auto"/>
            <w:hideMark/>
          </w:tcPr>
          <w:p w14:paraId="412CC995" w14:textId="77777777" w:rsidR="0036439D" w:rsidRPr="00185B32" w:rsidRDefault="0036439D" w:rsidP="00476310">
            <w:pPr>
              <w:pStyle w:val="NoSpacing"/>
              <w:rPr>
                <w:sz w:val="24"/>
                <w:szCs w:val="24"/>
              </w:rPr>
            </w:pPr>
            <w:r w:rsidRPr="00185B32">
              <w:rPr>
                <w:sz w:val="24"/>
                <w:szCs w:val="24"/>
              </w:rPr>
              <w:t>Construction Materials</w:t>
            </w:r>
          </w:p>
        </w:tc>
        <w:tc>
          <w:tcPr>
            <w:tcW w:w="0" w:type="auto"/>
            <w:hideMark/>
          </w:tcPr>
          <w:p w14:paraId="6E3E2900" w14:textId="77777777" w:rsidR="0036439D" w:rsidRPr="00185B32" w:rsidRDefault="0036439D" w:rsidP="00476310">
            <w:pPr>
              <w:pStyle w:val="NoSpacing"/>
              <w:rPr>
                <w:sz w:val="24"/>
                <w:szCs w:val="24"/>
              </w:rPr>
            </w:pPr>
            <w:r w:rsidRPr="00185B32">
              <w:rPr>
                <w:sz w:val="24"/>
                <w:szCs w:val="24"/>
              </w:rPr>
              <w:t>224</w:t>
            </w:r>
          </w:p>
        </w:tc>
        <w:tc>
          <w:tcPr>
            <w:tcW w:w="0" w:type="auto"/>
            <w:hideMark/>
          </w:tcPr>
          <w:p w14:paraId="61B7D6F7" w14:textId="77777777" w:rsidR="0036439D" w:rsidRPr="00185B32" w:rsidRDefault="0036439D" w:rsidP="00476310">
            <w:pPr>
              <w:pStyle w:val="NoSpacing"/>
              <w:rPr>
                <w:sz w:val="24"/>
                <w:szCs w:val="24"/>
              </w:rPr>
            </w:pPr>
            <w:r w:rsidRPr="00185B32">
              <w:rPr>
                <w:sz w:val="24"/>
                <w:szCs w:val="24"/>
              </w:rPr>
              <w:t>1.98</w:t>
            </w:r>
          </w:p>
        </w:tc>
        <w:tc>
          <w:tcPr>
            <w:tcW w:w="0" w:type="auto"/>
            <w:hideMark/>
          </w:tcPr>
          <w:p w14:paraId="64BEA635" w14:textId="77777777" w:rsidR="0036439D" w:rsidRPr="00185B32" w:rsidRDefault="0036439D" w:rsidP="00476310">
            <w:pPr>
              <w:pStyle w:val="NoSpacing"/>
              <w:rPr>
                <w:sz w:val="24"/>
                <w:szCs w:val="24"/>
              </w:rPr>
            </w:pPr>
            <w:r w:rsidRPr="00185B32">
              <w:rPr>
                <w:sz w:val="24"/>
                <w:szCs w:val="24"/>
              </w:rPr>
              <w:t>Medical Equipment</w:t>
            </w:r>
          </w:p>
        </w:tc>
        <w:tc>
          <w:tcPr>
            <w:tcW w:w="0" w:type="auto"/>
            <w:hideMark/>
          </w:tcPr>
          <w:p w14:paraId="00FB2F5A" w14:textId="77777777" w:rsidR="0036439D" w:rsidRPr="00185B32" w:rsidRDefault="0036439D" w:rsidP="00476310">
            <w:pPr>
              <w:pStyle w:val="NoSpacing"/>
              <w:rPr>
                <w:sz w:val="24"/>
                <w:szCs w:val="24"/>
              </w:rPr>
            </w:pPr>
            <w:r w:rsidRPr="00185B32">
              <w:rPr>
                <w:sz w:val="24"/>
                <w:szCs w:val="24"/>
              </w:rPr>
              <w:t>467</w:t>
            </w:r>
          </w:p>
        </w:tc>
        <w:tc>
          <w:tcPr>
            <w:tcW w:w="0" w:type="auto"/>
            <w:hideMark/>
          </w:tcPr>
          <w:p w14:paraId="3F5438FB" w14:textId="77777777" w:rsidR="0036439D" w:rsidRPr="00185B32" w:rsidRDefault="0036439D" w:rsidP="00476310">
            <w:pPr>
              <w:pStyle w:val="NoSpacing"/>
              <w:rPr>
                <w:sz w:val="24"/>
                <w:szCs w:val="24"/>
              </w:rPr>
            </w:pPr>
            <w:r w:rsidRPr="00185B32">
              <w:rPr>
                <w:sz w:val="24"/>
                <w:szCs w:val="24"/>
              </w:rPr>
              <w:t>4.13</w:t>
            </w:r>
          </w:p>
        </w:tc>
      </w:tr>
      <w:tr w:rsidR="00C038FC" w:rsidRPr="00185B32" w14:paraId="270EE63A" w14:textId="77777777" w:rsidTr="00C038FC">
        <w:tc>
          <w:tcPr>
            <w:tcW w:w="0" w:type="auto"/>
            <w:hideMark/>
          </w:tcPr>
          <w:p w14:paraId="290090C2" w14:textId="77777777" w:rsidR="0036439D" w:rsidRPr="00185B32" w:rsidRDefault="0036439D" w:rsidP="00476310">
            <w:pPr>
              <w:pStyle w:val="NoSpacing"/>
              <w:rPr>
                <w:sz w:val="24"/>
                <w:szCs w:val="24"/>
              </w:rPr>
            </w:pPr>
            <w:r w:rsidRPr="00185B32">
              <w:rPr>
                <w:sz w:val="24"/>
                <w:szCs w:val="24"/>
              </w:rPr>
              <w:t>Printing and Publishing</w:t>
            </w:r>
          </w:p>
        </w:tc>
        <w:tc>
          <w:tcPr>
            <w:tcW w:w="0" w:type="auto"/>
            <w:hideMark/>
          </w:tcPr>
          <w:p w14:paraId="15BE1C19" w14:textId="77777777" w:rsidR="0036439D" w:rsidRPr="00185B32" w:rsidRDefault="0036439D" w:rsidP="00476310">
            <w:pPr>
              <w:pStyle w:val="NoSpacing"/>
              <w:rPr>
                <w:sz w:val="24"/>
                <w:szCs w:val="24"/>
              </w:rPr>
            </w:pPr>
            <w:r w:rsidRPr="00185B32">
              <w:rPr>
                <w:sz w:val="24"/>
                <w:szCs w:val="24"/>
              </w:rPr>
              <w:t>177</w:t>
            </w:r>
          </w:p>
        </w:tc>
        <w:tc>
          <w:tcPr>
            <w:tcW w:w="0" w:type="auto"/>
            <w:hideMark/>
          </w:tcPr>
          <w:p w14:paraId="3948B8B5" w14:textId="77777777" w:rsidR="0036439D" w:rsidRPr="00185B32" w:rsidRDefault="0036439D" w:rsidP="00476310">
            <w:pPr>
              <w:pStyle w:val="NoSpacing"/>
              <w:rPr>
                <w:sz w:val="24"/>
                <w:szCs w:val="24"/>
              </w:rPr>
            </w:pPr>
            <w:r w:rsidRPr="00185B32">
              <w:rPr>
                <w:sz w:val="24"/>
                <w:szCs w:val="24"/>
              </w:rPr>
              <w:t>1.56</w:t>
            </w:r>
          </w:p>
        </w:tc>
        <w:tc>
          <w:tcPr>
            <w:tcW w:w="0" w:type="auto"/>
            <w:hideMark/>
          </w:tcPr>
          <w:p w14:paraId="35E2D87D" w14:textId="77777777" w:rsidR="0036439D" w:rsidRPr="00185B32" w:rsidRDefault="0036439D" w:rsidP="00476310">
            <w:pPr>
              <w:pStyle w:val="NoSpacing"/>
              <w:rPr>
                <w:sz w:val="24"/>
                <w:szCs w:val="24"/>
              </w:rPr>
            </w:pPr>
            <w:r w:rsidRPr="00185B32">
              <w:rPr>
                <w:sz w:val="24"/>
                <w:szCs w:val="24"/>
              </w:rPr>
              <w:t>Non‐Metallic and Industrial Metal Mining</w:t>
            </w:r>
          </w:p>
        </w:tc>
        <w:tc>
          <w:tcPr>
            <w:tcW w:w="0" w:type="auto"/>
            <w:hideMark/>
          </w:tcPr>
          <w:p w14:paraId="5A97F9FE" w14:textId="77777777" w:rsidR="0036439D" w:rsidRPr="00185B32" w:rsidRDefault="0036439D" w:rsidP="00476310">
            <w:pPr>
              <w:pStyle w:val="NoSpacing"/>
              <w:rPr>
                <w:sz w:val="24"/>
                <w:szCs w:val="24"/>
              </w:rPr>
            </w:pPr>
            <w:r w:rsidRPr="00185B32">
              <w:rPr>
                <w:sz w:val="24"/>
                <w:szCs w:val="24"/>
              </w:rPr>
              <w:t>51</w:t>
            </w:r>
          </w:p>
        </w:tc>
        <w:tc>
          <w:tcPr>
            <w:tcW w:w="0" w:type="auto"/>
            <w:hideMark/>
          </w:tcPr>
          <w:p w14:paraId="135E6329" w14:textId="77777777" w:rsidR="0036439D" w:rsidRPr="00185B32" w:rsidRDefault="0036439D" w:rsidP="00476310">
            <w:pPr>
              <w:pStyle w:val="NoSpacing"/>
              <w:rPr>
                <w:sz w:val="24"/>
                <w:szCs w:val="24"/>
              </w:rPr>
            </w:pPr>
            <w:r w:rsidRPr="00185B32">
              <w:rPr>
                <w:sz w:val="24"/>
                <w:szCs w:val="24"/>
              </w:rPr>
              <w:t>0.45</w:t>
            </w:r>
          </w:p>
        </w:tc>
      </w:tr>
      <w:tr w:rsidR="00C038FC" w:rsidRPr="00185B32" w14:paraId="5B34DFA8" w14:textId="77777777" w:rsidTr="00C038FC">
        <w:tc>
          <w:tcPr>
            <w:tcW w:w="0" w:type="auto"/>
            <w:hideMark/>
          </w:tcPr>
          <w:p w14:paraId="01A2F9BE" w14:textId="77777777" w:rsidR="0036439D" w:rsidRPr="00185B32" w:rsidRDefault="0036439D" w:rsidP="00476310">
            <w:pPr>
              <w:pStyle w:val="NoSpacing"/>
              <w:rPr>
                <w:sz w:val="24"/>
                <w:szCs w:val="24"/>
              </w:rPr>
            </w:pPr>
            <w:r w:rsidRPr="00185B32">
              <w:rPr>
                <w:sz w:val="24"/>
                <w:szCs w:val="24"/>
              </w:rPr>
              <w:t>Shipping Containers</w:t>
            </w:r>
          </w:p>
        </w:tc>
        <w:tc>
          <w:tcPr>
            <w:tcW w:w="0" w:type="auto"/>
            <w:hideMark/>
          </w:tcPr>
          <w:p w14:paraId="6453AA1D" w14:textId="77777777" w:rsidR="0036439D" w:rsidRPr="00185B32" w:rsidRDefault="0036439D" w:rsidP="00476310">
            <w:pPr>
              <w:pStyle w:val="NoSpacing"/>
              <w:rPr>
                <w:sz w:val="24"/>
                <w:szCs w:val="24"/>
              </w:rPr>
            </w:pPr>
            <w:r w:rsidRPr="00185B32">
              <w:rPr>
                <w:sz w:val="24"/>
                <w:szCs w:val="24"/>
              </w:rPr>
              <w:t>59</w:t>
            </w:r>
          </w:p>
        </w:tc>
        <w:tc>
          <w:tcPr>
            <w:tcW w:w="0" w:type="auto"/>
            <w:hideMark/>
          </w:tcPr>
          <w:p w14:paraId="78B20E4C" w14:textId="77777777" w:rsidR="0036439D" w:rsidRPr="00185B32" w:rsidRDefault="0036439D" w:rsidP="00476310">
            <w:pPr>
              <w:pStyle w:val="NoSpacing"/>
              <w:rPr>
                <w:sz w:val="24"/>
                <w:szCs w:val="24"/>
              </w:rPr>
            </w:pPr>
            <w:r w:rsidRPr="00185B32">
              <w:rPr>
                <w:sz w:val="24"/>
                <w:szCs w:val="24"/>
              </w:rPr>
              <w:t>0.52</w:t>
            </w:r>
          </w:p>
        </w:tc>
        <w:tc>
          <w:tcPr>
            <w:tcW w:w="0" w:type="auto"/>
            <w:hideMark/>
          </w:tcPr>
          <w:p w14:paraId="61DB7743" w14:textId="77777777" w:rsidR="0036439D" w:rsidRPr="00185B32" w:rsidRDefault="0036439D" w:rsidP="00476310">
            <w:pPr>
              <w:pStyle w:val="NoSpacing"/>
              <w:rPr>
                <w:sz w:val="24"/>
                <w:szCs w:val="24"/>
              </w:rPr>
            </w:pPr>
            <w:r w:rsidRPr="00185B32">
              <w:rPr>
                <w:sz w:val="24"/>
                <w:szCs w:val="24"/>
              </w:rPr>
              <w:t>Petroleum and Natural Gas</w:t>
            </w:r>
          </w:p>
        </w:tc>
        <w:tc>
          <w:tcPr>
            <w:tcW w:w="0" w:type="auto"/>
            <w:hideMark/>
          </w:tcPr>
          <w:p w14:paraId="3B7B36B5" w14:textId="77777777" w:rsidR="0036439D" w:rsidRPr="00185B32" w:rsidRDefault="0036439D" w:rsidP="00476310">
            <w:pPr>
              <w:pStyle w:val="NoSpacing"/>
              <w:rPr>
                <w:sz w:val="24"/>
                <w:szCs w:val="24"/>
              </w:rPr>
            </w:pPr>
            <w:r w:rsidRPr="00185B32">
              <w:rPr>
                <w:sz w:val="24"/>
                <w:szCs w:val="24"/>
              </w:rPr>
              <w:t>611</w:t>
            </w:r>
          </w:p>
        </w:tc>
        <w:tc>
          <w:tcPr>
            <w:tcW w:w="0" w:type="auto"/>
            <w:hideMark/>
          </w:tcPr>
          <w:p w14:paraId="00EE90C7" w14:textId="77777777" w:rsidR="0036439D" w:rsidRPr="00185B32" w:rsidRDefault="0036439D" w:rsidP="00476310">
            <w:pPr>
              <w:pStyle w:val="NoSpacing"/>
              <w:rPr>
                <w:sz w:val="24"/>
                <w:szCs w:val="24"/>
              </w:rPr>
            </w:pPr>
            <w:r w:rsidRPr="00185B32">
              <w:rPr>
                <w:sz w:val="24"/>
                <w:szCs w:val="24"/>
              </w:rPr>
              <w:t>5.40</w:t>
            </w:r>
          </w:p>
        </w:tc>
      </w:tr>
      <w:tr w:rsidR="00C038FC" w:rsidRPr="00185B32" w14:paraId="0BF0A81B" w14:textId="77777777" w:rsidTr="00C038FC">
        <w:tc>
          <w:tcPr>
            <w:tcW w:w="0" w:type="auto"/>
            <w:hideMark/>
          </w:tcPr>
          <w:p w14:paraId="1675272C" w14:textId="77777777" w:rsidR="0036439D" w:rsidRPr="00185B32" w:rsidRDefault="0036439D" w:rsidP="00476310">
            <w:pPr>
              <w:pStyle w:val="NoSpacing"/>
              <w:rPr>
                <w:sz w:val="24"/>
                <w:szCs w:val="24"/>
              </w:rPr>
            </w:pPr>
            <w:r w:rsidRPr="00185B32">
              <w:rPr>
                <w:sz w:val="24"/>
                <w:szCs w:val="24"/>
              </w:rPr>
              <w:t>Business Services</w:t>
            </w:r>
          </w:p>
        </w:tc>
        <w:tc>
          <w:tcPr>
            <w:tcW w:w="0" w:type="auto"/>
            <w:hideMark/>
          </w:tcPr>
          <w:p w14:paraId="276C7A95" w14:textId="77777777" w:rsidR="0036439D" w:rsidRPr="00185B32" w:rsidRDefault="0036439D" w:rsidP="00476310">
            <w:pPr>
              <w:pStyle w:val="NoSpacing"/>
              <w:rPr>
                <w:sz w:val="24"/>
                <w:szCs w:val="24"/>
              </w:rPr>
            </w:pPr>
            <w:r w:rsidRPr="00185B32">
              <w:rPr>
                <w:sz w:val="24"/>
                <w:szCs w:val="24"/>
              </w:rPr>
              <w:t>1,461</w:t>
            </w:r>
          </w:p>
        </w:tc>
        <w:tc>
          <w:tcPr>
            <w:tcW w:w="0" w:type="auto"/>
            <w:hideMark/>
          </w:tcPr>
          <w:p w14:paraId="07A7776E" w14:textId="77777777" w:rsidR="0036439D" w:rsidRPr="00185B32" w:rsidRDefault="0036439D" w:rsidP="00476310">
            <w:pPr>
              <w:pStyle w:val="NoSpacing"/>
              <w:rPr>
                <w:sz w:val="24"/>
                <w:szCs w:val="24"/>
              </w:rPr>
            </w:pPr>
            <w:r w:rsidRPr="00185B32">
              <w:rPr>
                <w:sz w:val="24"/>
                <w:szCs w:val="24"/>
              </w:rPr>
              <w:t>12.92</w:t>
            </w:r>
          </w:p>
        </w:tc>
        <w:tc>
          <w:tcPr>
            <w:tcW w:w="0" w:type="auto"/>
            <w:hideMark/>
          </w:tcPr>
          <w:p w14:paraId="3E9D6D82" w14:textId="77777777" w:rsidR="0036439D" w:rsidRPr="00185B32" w:rsidRDefault="0036439D" w:rsidP="00476310">
            <w:pPr>
              <w:pStyle w:val="NoSpacing"/>
              <w:rPr>
                <w:sz w:val="24"/>
                <w:szCs w:val="24"/>
              </w:rPr>
            </w:pPr>
            <w:r w:rsidRPr="00185B32">
              <w:rPr>
                <w:sz w:val="24"/>
                <w:szCs w:val="24"/>
              </w:rPr>
              <w:t>Business Supplies</w:t>
            </w:r>
          </w:p>
        </w:tc>
        <w:tc>
          <w:tcPr>
            <w:tcW w:w="0" w:type="auto"/>
            <w:hideMark/>
          </w:tcPr>
          <w:p w14:paraId="387EF70F" w14:textId="77777777" w:rsidR="0036439D" w:rsidRPr="00185B32" w:rsidRDefault="0036439D" w:rsidP="00476310">
            <w:pPr>
              <w:pStyle w:val="NoSpacing"/>
              <w:rPr>
                <w:sz w:val="24"/>
                <w:szCs w:val="24"/>
              </w:rPr>
            </w:pPr>
            <w:r w:rsidRPr="00185B32">
              <w:rPr>
                <w:sz w:val="24"/>
                <w:szCs w:val="24"/>
              </w:rPr>
              <w:t>263</w:t>
            </w:r>
          </w:p>
        </w:tc>
        <w:tc>
          <w:tcPr>
            <w:tcW w:w="0" w:type="auto"/>
            <w:hideMark/>
          </w:tcPr>
          <w:p w14:paraId="79D8C453" w14:textId="77777777" w:rsidR="0036439D" w:rsidRPr="00185B32" w:rsidRDefault="0036439D" w:rsidP="00476310">
            <w:pPr>
              <w:pStyle w:val="NoSpacing"/>
              <w:rPr>
                <w:sz w:val="24"/>
                <w:szCs w:val="24"/>
              </w:rPr>
            </w:pPr>
            <w:r w:rsidRPr="00185B32">
              <w:rPr>
                <w:sz w:val="24"/>
                <w:szCs w:val="24"/>
              </w:rPr>
              <w:t>2.32</w:t>
            </w:r>
          </w:p>
        </w:tc>
      </w:tr>
      <w:tr w:rsidR="00C038FC" w:rsidRPr="00185B32" w14:paraId="7C0A442D" w14:textId="77777777" w:rsidTr="00C038FC">
        <w:tc>
          <w:tcPr>
            <w:tcW w:w="0" w:type="auto"/>
            <w:hideMark/>
          </w:tcPr>
          <w:p w14:paraId="2A6DC257" w14:textId="77777777" w:rsidR="0036439D" w:rsidRPr="00185B32" w:rsidRDefault="0036439D" w:rsidP="00476310">
            <w:pPr>
              <w:pStyle w:val="NoSpacing"/>
              <w:rPr>
                <w:sz w:val="24"/>
                <w:szCs w:val="24"/>
              </w:rPr>
            </w:pPr>
            <w:r w:rsidRPr="00185B32">
              <w:rPr>
                <w:sz w:val="24"/>
                <w:szCs w:val="24"/>
              </w:rPr>
              <w:t>Electronic Equipment</w:t>
            </w:r>
          </w:p>
        </w:tc>
        <w:tc>
          <w:tcPr>
            <w:tcW w:w="0" w:type="auto"/>
            <w:hideMark/>
          </w:tcPr>
          <w:p w14:paraId="4FC555BA" w14:textId="77777777" w:rsidR="0036439D" w:rsidRPr="00185B32" w:rsidRDefault="0036439D" w:rsidP="00476310">
            <w:pPr>
              <w:pStyle w:val="NoSpacing"/>
              <w:rPr>
                <w:sz w:val="24"/>
                <w:szCs w:val="24"/>
              </w:rPr>
            </w:pPr>
            <w:r w:rsidRPr="00185B32">
              <w:rPr>
                <w:sz w:val="24"/>
                <w:szCs w:val="24"/>
              </w:rPr>
              <w:t>811</w:t>
            </w:r>
          </w:p>
        </w:tc>
        <w:tc>
          <w:tcPr>
            <w:tcW w:w="0" w:type="auto"/>
            <w:hideMark/>
          </w:tcPr>
          <w:p w14:paraId="60769D68" w14:textId="77777777" w:rsidR="0036439D" w:rsidRPr="00185B32" w:rsidRDefault="0036439D" w:rsidP="00476310">
            <w:pPr>
              <w:pStyle w:val="NoSpacing"/>
              <w:rPr>
                <w:sz w:val="24"/>
                <w:szCs w:val="24"/>
              </w:rPr>
            </w:pPr>
            <w:r w:rsidRPr="00185B32">
              <w:rPr>
                <w:sz w:val="24"/>
                <w:szCs w:val="24"/>
              </w:rPr>
              <w:t>7.17</w:t>
            </w:r>
          </w:p>
        </w:tc>
        <w:tc>
          <w:tcPr>
            <w:tcW w:w="0" w:type="auto"/>
            <w:hideMark/>
          </w:tcPr>
          <w:p w14:paraId="41817AA5" w14:textId="77777777" w:rsidR="0036439D" w:rsidRPr="00185B32" w:rsidRDefault="0036439D" w:rsidP="00476310">
            <w:pPr>
              <w:pStyle w:val="NoSpacing"/>
              <w:rPr>
                <w:sz w:val="24"/>
                <w:szCs w:val="24"/>
              </w:rPr>
            </w:pPr>
            <w:r w:rsidRPr="00185B32">
              <w:rPr>
                <w:sz w:val="24"/>
                <w:szCs w:val="24"/>
              </w:rPr>
              <w:t>Personal Services</w:t>
            </w:r>
          </w:p>
        </w:tc>
        <w:tc>
          <w:tcPr>
            <w:tcW w:w="0" w:type="auto"/>
            <w:hideMark/>
          </w:tcPr>
          <w:p w14:paraId="1F4AD9F2" w14:textId="77777777" w:rsidR="0036439D" w:rsidRPr="00185B32" w:rsidRDefault="0036439D" w:rsidP="00476310">
            <w:pPr>
              <w:pStyle w:val="NoSpacing"/>
              <w:rPr>
                <w:sz w:val="24"/>
                <w:szCs w:val="24"/>
              </w:rPr>
            </w:pPr>
            <w:r w:rsidRPr="00185B32">
              <w:rPr>
                <w:sz w:val="24"/>
                <w:szCs w:val="24"/>
              </w:rPr>
              <w:t>193</w:t>
            </w:r>
          </w:p>
        </w:tc>
        <w:tc>
          <w:tcPr>
            <w:tcW w:w="0" w:type="auto"/>
            <w:hideMark/>
          </w:tcPr>
          <w:p w14:paraId="1597CFC4" w14:textId="77777777" w:rsidR="0036439D" w:rsidRPr="00185B32" w:rsidRDefault="0036439D" w:rsidP="00476310">
            <w:pPr>
              <w:pStyle w:val="NoSpacing"/>
              <w:rPr>
                <w:sz w:val="24"/>
                <w:szCs w:val="24"/>
              </w:rPr>
            </w:pPr>
            <w:r w:rsidRPr="00185B32">
              <w:rPr>
                <w:sz w:val="24"/>
                <w:szCs w:val="24"/>
              </w:rPr>
              <w:t>1.71</w:t>
            </w:r>
          </w:p>
        </w:tc>
      </w:tr>
      <w:tr w:rsidR="00C038FC" w:rsidRPr="00185B32" w14:paraId="1ADB9A08" w14:textId="77777777" w:rsidTr="00C038FC">
        <w:tc>
          <w:tcPr>
            <w:tcW w:w="0" w:type="auto"/>
            <w:hideMark/>
          </w:tcPr>
          <w:p w14:paraId="30E67878" w14:textId="77777777" w:rsidR="0036439D" w:rsidRPr="00185B32" w:rsidRDefault="0036439D" w:rsidP="00476310">
            <w:pPr>
              <w:pStyle w:val="NoSpacing"/>
              <w:rPr>
                <w:sz w:val="24"/>
                <w:szCs w:val="24"/>
              </w:rPr>
            </w:pPr>
            <w:r w:rsidRPr="00185B32">
              <w:rPr>
                <w:sz w:val="24"/>
                <w:szCs w:val="24"/>
              </w:rPr>
              <w:t>Apparel</w:t>
            </w:r>
          </w:p>
        </w:tc>
        <w:tc>
          <w:tcPr>
            <w:tcW w:w="0" w:type="auto"/>
            <w:hideMark/>
          </w:tcPr>
          <w:p w14:paraId="14A872D5" w14:textId="77777777" w:rsidR="0036439D" w:rsidRPr="00185B32" w:rsidRDefault="0036439D" w:rsidP="00476310">
            <w:pPr>
              <w:pStyle w:val="NoSpacing"/>
              <w:rPr>
                <w:sz w:val="24"/>
                <w:szCs w:val="24"/>
              </w:rPr>
            </w:pPr>
            <w:r w:rsidRPr="00185B32">
              <w:rPr>
                <w:sz w:val="24"/>
                <w:szCs w:val="24"/>
              </w:rPr>
              <w:t>209</w:t>
            </w:r>
          </w:p>
        </w:tc>
        <w:tc>
          <w:tcPr>
            <w:tcW w:w="0" w:type="auto"/>
            <w:hideMark/>
          </w:tcPr>
          <w:p w14:paraId="1D4A03B0" w14:textId="77777777" w:rsidR="0036439D" w:rsidRPr="00185B32" w:rsidRDefault="0036439D" w:rsidP="00476310">
            <w:pPr>
              <w:pStyle w:val="NoSpacing"/>
              <w:rPr>
                <w:sz w:val="24"/>
                <w:szCs w:val="24"/>
              </w:rPr>
            </w:pPr>
            <w:r w:rsidRPr="00185B32">
              <w:rPr>
                <w:sz w:val="24"/>
                <w:szCs w:val="24"/>
              </w:rPr>
              <w:t>1.85</w:t>
            </w:r>
          </w:p>
        </w:tc>
        <w:tc>
          <w:tcPr>
            <w:tcW w:w="0" w:type="auto"/>
            <w:hideMark/>
          </w:tcPr>
          <w:p w14:paraId="3B7C3428" w14:textId="77777777" w:rsidR="0036439D" w:rsidRPr="00185B32" w:rsidRDefault="0036439D" w:rsidP="00476310">
            <w:pPr>
              <w:pStyle w:val="NoSpacing"/>
              <w:rPr>
                <w:sz w:val="24"/>
                <w:szCs w:val="24"/>
              </w:rPr>
            </w:pPr>
            <w:r w:rsidRPr="00185B32">
              <w:rPr>
                <w:sz w:val="24"/>
                <w:szCs w:val="24"/>
              </w:rPr>
              <w:t>Retail</w:t>
            </w:r>
          </w:p>
        </w:tc>
        <w:tc>
          <w:tcPr>
            <w:tcW w:w="0" w:type="auto"/>
            <w:hideMark/>
          </w:tcPr>
          <w:p w14:paraId="26E9A55F" w14:textId="77777777" w:rsidR="0036439D" w:rsidRPr="00185B32" w:rsidRDefault="0036439D" w:rsidP="00476310">
            <w:pPr>
              <w:pStyle w:val="NoSpacing"/>
              <w:rPr>
                <w:sz w:val="24"/>
                <w:szCs w:val="24"/>
              </w:rPr>
            </w:pPr>
            <w:r w:rsidRPr="00185B32">
              <w:rPr>
                <w:sz w:val="24"/>
                <w:szCs w:val="24"/>
              </w:rPr>
              <w:t>971</w:t>
            </w:r>
          </w:p>
        </w:tc>
        <w:tc>
          <w:tcPr>
            <w:tcW w:w="0" w:type="auto"/>
            <w:hideMark/>
          </w:tcPr>
          <w:p w14:paraId="6C79E1E2" w14:textId="77777777" w:rsidR="0036439D" w:rsidRPr="00185B32" w:rsidRDefault="0036439D" w:rsidP="00476310">
            <w:pPr>
              <w:pStyle w:val="NoSpacing"/>
              <w:rPr>
                <w:sz w:val="24"/>
                <w:szCs w:val="24"/>
              </w:rPr>
            </w:pPr>
            <w:r w:rsidRPr="00185B32">
              <w:rPr>
                <w:sz w:val="24"/>
                <w:szCs w:val="24"/>
              </w:rPr>
              <w:t>8.58</w:t>
            </w:r>
          </w:p>
        </w:tc>
      </w:tr>
      <w:tr w:rsidR="00C038FC" w:rsidRPr="00185B32" w14:paraId="7F41B028" w14:textId="77777777" w:rsidTr="00C038FC">
        <w:tc>
          <w:tcPr>
            <w:tcW w:w="0" w:type="auto"/>
            <w:hideMark/>
          </w:tcPr>
          <w:p w14:paraId="75B0F35A" w14:textId="77777777" w:rsidR="0036439D" w:rsidRPr="00185B32" w:rsidRDefault="0036439D" w:rsidP="00476310">
            <w:pPr>
              <w:pStyle w:val="NoSpacing"/>
              <w:rPr>
                <w:sz w:val="24"/>
                <w:szCs w:val="24"/>
              </w:rPr>
            </w:pPr>
            <w:r w:rsidRPr="00185B32">
              <w:rPr>
                <w:sz w:val="24"/>
                <w:szCs w:val="24"/>
              </w:rPr>
              <w:t>Construction</w:t>
            </w:r>
          </w:p>
        </w:tc>
        <w:tc>
          <w:tcPr>
            <w:tcW w:w="0" w:type="auto"/>
            <w:hideMark/>
          </w:tcPr>
          <w:p w14:paraId="2074CAB8" w14:textId="77777777" w:rsidR="0036439D" w:rsidRPr="00185B32" w:rsidRDefault="0036439D" w:rsidP="00476310">
            <w:pPr>
              <w:pStyle w:val="NoSpacing"/>
              <w:rPr>
                <w:sz w:val="24"/>
                <w:szCs w:val="24"/>
              </w:rPr>
            </w:pPr>
            <w:r w:rsidRPr="00185B32">
              <w:rPr>
                <w:sz w:val="24"/>
                <w:szCs w:val="24"/>
              </w:rPr>
              <w:t>141</w:t>
            </w:r>
          </w:p>
        </w:tc>
        <w:tc>
          <w:tcPr>
            <w:tcW w:w="0" w:type="auto"/>
            <w:hideMark/>
          </w:tcPr>
          <w:p w14:paraId="3B91B49C" w14:textId="77777777" w:rsidR="0036439D" w:rsidRPr="00185B32" w:rsidRDefault="0036439D" w:rsidP="00476310">
            <w:pPr>
              <w:pStyle w:val="NoSpacing"/>
              <w:rPr>
                <w:sz w:val="24"/>
                <w:szCs w:val="24"/>
              </w:rPr>
            </w:pPr>
            <w:r w:rsidRPr="00185B32">
              <w:rPr>
                <w:sz w:val="24"/>
                <w:szCs w:val="24"/>
              </w:rPr>
              <w:t>1.25</w:t>
            </w:r>
          </w:p>
        </w:tc>
        <w:tc>
          <w:tcPr>
            <w:tcW w:w="0" w:type="auto"/>
            <w:hideMark/>
          </w:tcPr>
          <w:p w14:paraId="5FCA8E40" w14:textId="77777777" w:rsidR="0036439D" w:rsidRPr="00185B32" w:rsidRDefault="0036439D" w:rsidP="00476310">
            <w:pPr>
              <w:pStyle w:val="NoSpacing"/>
              <w:rPr>
                <w:sz w:val="24"/>
                <w:szCs w:val="24"/>
              </w:rPr>
            </w:pPr>
            <w:r w:rsidRPr="00185B32">
              <w:rPr>
                <w:sz w:val="24"/>
                <w:szCs w:val="24"/>
              </w:rPr>
              <w:t>Rubber and Plastic Products</w:t>
            </w:r>
          </w:p>
        </w:tc>
        <w:tc>
          <w:tcPr>
            <w:tcW w:w="0" w:type="auto"/>
            <w:hideMark/>
          </w:tcPr>
          <w:p w14:paraId="78C01552" w14:textId="77777777" w:rsidR="0036439D" w:rsidRPr="00185B32" w:rsidRDefault="0036439D" w:rsidP="00476310">
            <w:pPr>
              <w:pStyle w:val="NoSpacing"/>
              <w:rPr>
                <w:sz w:val="24"/>
                <w:szCs w:val="24"/>
              </w:rPr>
            </w:pPr>
            <w:r w:rsidRPr="00185B32">
              <w:rPr>
                <w:sz w:val="24"/>
                <w:szCs w:val="24"/>
              </w:rPr>
              <w:t>74</w:t>
            </w:r>
          </w:p>
        </w:tc>
        <w:tc>
          <w:tcPr>
            <w:tcW w:w="0" w:type="auto"/>
            <w:hideMark/>
          </w:tcPr>
          <w:p w14:paraId="7BFEF674" w14:textId="77777777" w:rsidR="0036439D" w:rsidRPr="00185B32" w:rsidRDefault="0036439D" w:rsidP="00476310">
            <w:pPr>
              <w:pStyle w:val="NoSpacing"/>
              <w:rPr>
                <w:sz w:val="24"/>
                <w:szCs w:val="24"/>
              </w:rPr>
            </w:pPr>
            <w:r w:rsidRPr="00185B32">
              <w:rPr>
                <w:sz w:val="24"/>
                <w:szCs w:val="24"/>
              </w:rPr>
              <w:t>0.65</w:t>
            </w:r>
          </w:p>
        </w:tc>
      </w:tr>
      <w:tr w:rsidR="00C038FC" w:rsidRPr="00185B32" w14:paraId="3BD042BE" w14:textId="77777777" w:rsidTr="00C038FC">
        <w:tc>
          <w:tcPr>
            <w:tcW w:w="0" w:type="auto"/>
            <w:hideMark/>
          </w:tcPr>
          <w:p w14:paraId="160FDDA7" w14:textId="77777777" w:rsidR="0036439D" w:rsidRPr="00185B32" w:rsidRDefault="0036439D" w:rsidP="00476310">
            <w:pPr>
              <w:pStyle w:val="NoSpacing"/>
              <w:rPr>
                <w:sz w:val="24"/>
                <w:szCs w:val="24"/>
              </w:rPr>
            </w:pPr>
            <w:r w:rsidRPr="00185B32">
              <w:rPr>
                <w:sz w:val="24"/>
                <w:szCs w:val="24"/>
              </w:rPr>
              <w:t>Coal</w:t>
            </w:r>
          </w:p>
        </w:tc>
        <w:tc>
          <w:tcPr>
            <w:tcW w:w="0" w:type="auto"/>
            <w:hideMark/>
          </w:tcPr>
          <w:p w14:paraId="79B71187" w14:textId="77777777" w:rsidR="0036439D" w:rsidRPr="00185B32" w:rsidRDefault="0036439D" w:rsidP="00476310">
            <w:pPr>
              <w:pStyle w:val="NoSpacing"/>
              <w:rPr>
                <w:sz w:val="24"/>
                <w:szCs w:val="24"/>
              </w:rPr>
            </w:pPr>
            <w:r w:rsidRPr="00185B32">
              <w:rPr>
                <w:sz w:val="24"/>
                <w:szCs w:val="24"/>
              </w:rPr>
              <w:t>46</w:t>
            </w:r>
          </w:p>
        </w:tc>
        <w:tc>
          <w:tcPr>
            <w:tcW w:w="0" w:type="auto"/>
            <w:hideMark/>
          </w:tcPr>
          <w:p w14:paraId="7F285B47" w14:textId="77777777" w:rsidR="0036439D" w:rsidRPr="00185B32" w:rsidRDefault="0036439D" w:rsidP="00476310">
            <w:pPr>
              <w:pStyle w:val="NoSpacing"/>
              <w:rPr>
                <w:sz w:val="24"/>
                <w:szCs w:val="24"/>
              </w:rPr>
            </w:pPr>
            <w:r w:rsidRPr="00185B32">
              <w:rPr>
                <w:sz w:val="24"/>
                <w:szCs w:val="24"/>
              </w:rPr>
              <w:t>0.41</w:t>
            </w:r>
          </w:p>
        </w:tc>
        <w:tc>
          <w:tcPr>
            <w:tcW w:w="0" w:type="auto"/>
            <w:hideMark/>
          </w:tcPr>
          <w:p w14:paraId="4A42C115" w14:textId="77777777" w:rsidR="0036439D" w:rsidRPr="00185B32" w:rsidRDefault="0036439D" w:rsidP="00476310">
            <w:pPr>
              <w:pStyle w:val="NoSpacing"/>
              <w:rPr>
                <w:sz w:val="24"/>
                <w:szCs w:val="24"/>
              </w:rPr>
            </w:pPr>
            <w:r w:rsidRPr="00185B32">
              <w:rPr>
                <w:sz w:val="24"/>
                <w:szCs w:val="24"/>
              </w:rPr>
              <w:t>Shipbuilding, Railroad Equipment</w:t>
            </w:r>
          </w:p>
        </w:tc>
        <w:tc>
          <w:tcPr>
            <w:tcW w:w="0" w:type="auto"/>
            <w:hideMark/>
          </w:tcPr>
          <w:p w14:paraId="7DF61A11" w14:textId="77777777" w:rsidR="0036439D" w:rsidRPr="00185B32" w:rsidRDefault="0036439D" w:rsidP="00476310">
            <w:pPr>
              <w:pStyle w:val="NoSpacing"/>
              <w:rPr>
                <w:sz w:val="24"/>
                <w:szCs w:val="24"/>
              </w:rPr>
            </w:pPr>
            <w:r w:rsidRPr="00185B32">
              <w:rPr>
                <w:sz w:val="24"/>
                <w:szCs w:val="24"/>
              </w:rPr>
              <w:t>31</w:t>
            </w:r>
          </w:p>
        </w:tc>
        <w:tc>
          <w:tcPr>
            <w:tcW w:w="0" w:type="auto"/>
            <w:hideMark/>
          </w:tcPr>
          <w:p w14:paraId="6552FD67" w14:textId="77777777" w:rsidR="0036439D" w:rsidRPr="00185B32" w:rsidRDefault="0036439D" w:rsidP="00476310">
            <w:pPr>
              <w:pStyle w:val="NoSpacing"/>
              <w:rPr>
                <w:sz w:val="24"/>
                <w:szCs w:val="24"/>
              </w:rPr>
            </w:pPr>
            <w:r w:rsidRPr="00185B32">
              <w:rPr>
                <w:sz w:val="24"/>
                <w:szCs w:val="24"/>
              </w:rPr>
              <w:t>0.27</w:t>
            </w:r>
          </w:p>
        </w:tc>
      </w:tr>
      <w:tr w:rsidR="00C038FC" w:rsidRPr="00185B32" w14:paraId="39716230" w14:textId="77777777" w:rsidTr="00C038FC">
        <w:tc>
          <w:tcPr>
            <w:tcW w:w="0" w:type="auto"/>
            <w:hideMark/>
          </w:tcPr>
          <w:p w14:paraId="3F9D4332" w14:textId="77777777" w:rsidR="0036439D" w:rsidRPr="00185B32" w:rsidRDefault="0036439D" w:rsidP="00476310">
            <w:pPr>
              <w:pStyle w:val="NoSpacing"/>
              <w:rPr>
                <w:sz w:val="24"/>
                <w:szCs w:val="24"/>
              </w:rPr>
            </w:pPr>
            <w:r w:rsidRPr="00185B32">
              <w:rPr>
                <w:sz w:val="24"/>
                <w:szCs w:val="24"/>
              </w:rPr>
              <w:t>Computers</w:t>
            </w:r>
          </w:p>
        </w:tc>
        <w:tc>
          <w:tcPr>
            <w:tcW w:w="0" w:type="auto"/>
            <w:hideMark/>
          </w:tcPr>
          <w:p w14:paraId="0F27BCA5" w14:textId="77777777" w:rsidR="0036439D" w:rsidRPr="00185B32" w:rsidRDefault="0036439D" w:rsidP="00476310">
            <w:pPr>
              <w:pStyle w:val="NoSpacing"/>
              <w:rPr>
                <w:sz w:val="24"/>
                <w:szCs w:val="24"/>
              </w:rPr>
            </w:pPr>
            <w:r w:rsidRPr="00185B32">
              <w:rPr>
                <w:sz w:val="24"/>
                <w:szCs w:val="24"/>
              </w:rPr>
              <w:t>481</w:t>
            </w:r>
          </w:p>
        </w:tc>
        <w:tc>
          <w:tcPr>
            <w:tcW w:w="0" w:type="auto"/>
            <w:hideMark/>
          </w:tcPr>
          <w:p w14:paraId="027CB380" w14:textId="77777777" w:rsidR="0036439D" w:rsidRPr="00185B32" w:rsidRDefault="0036439D" w:rsidP="00476310">
            <w:pPr>
              <w:pStyle w:val="NoSpacing"/>
              <w:rPr>
                <w:sz w:val="24"/>
                <w:szCs w:val="24"/>
              </w:rPr>
            </w:pPr>
            <w:r w:rsidRPr="00185B32">
              <w:rPr>
                <w:sz w:val="24"/>
                <w:szCs w:val="24"/>
              </w:rPr>
              <w:t>4.25</w:t>
            </w:r>
          </w:p>
        </w:tc>
        <w:tc>
          <w:tcPr>
            <w:tcW w:w="0" w:type="auto"/>
            <w:hideMark/>
          </w:tcPr>
          <w:p w14:paraId="04FEF9C3" w14:textId="77777777" w:rsidR="0036439D" w:rsidRPr="00185B32" w:rsidRDefault="0036439D" w:rsidP="00476310">
            <w:pPr>
              <w:pStyle w:val="NoSpacing"/>
              <w:rPr>
                <w:sz w:val="24"/>
                <w:szCs w:val="24"/>
              </w:rPr>
            </w:pPr>
            <w:r w:rsidRPr="00185B32">
              <w:rPr>
                <w:sz w:val="24"/>
                <w:szCs w:val="24"/>
              </w:rPr>
              <w:t>Tobacco Products</w:t>
            </w:r>
          </w:p>
        </w:tc>
        <w:tc>
          <w:tcPr>
            <w:tcW w:w="0" w:type="auto"/>
            <w:hideMark/>
          </w:tcPr>
          <w:p w14:paraId="44C07387" w14:textId="77777777" w:rsidR="0036439D" w:rsidRPr="00185B32" w:rsidRDefault="0036439D" w:rsidP="00476310">
            <w:pPr>
              <w:pStyle w:val="NoSpacing"/>
              <w:rPr>
                <w:sz w:val="24"/>
                <w:szCs w:val="24"/>
              </w:rPr>
            </w:pPr>
            <w:r w:rsidRPr="00185B32">
              <w:rPr>
                <w:sz w:val="24"/>
                <w:szCs w:val="24"/>
              </w:rPr>
              <w:t>28</w:t>
            </w:r>
          </w:p>
        </w:tc>
        <w:tc>
          <w:tcPr>
            <w:tcW w:w="0" w:type="auto"/>
            <w:hideMark/>
          </w:tcPr>
          <w:p w14:paraId="261CC9AB" w14:textId="77777777" w:rsidR="0036439D" w:rsidRPr="00185B32" w:rsidRDefault="0036439D" w:rsidP="00476310">
            <w:pPr>
              <w:pStyle w:val="NoSpacing"/>
              <w:rPr>
                <w:sz w:val="24"/>
                <w:szCs w:val="24"/>
              </w:rPr>
            </w:pPr>
            <w:r w:rsidRPr="00185B32">
              <w:rPr>
                <w:sz w:val="24"/>
                <w:szCs w:val="24"/>
              </w:rPr>
              <w:t>0.25</w:t>
            </w:r>
          </w:p>
        </w:tc>
      </w:tr>
      <w:tr w:rsidR="00C038FC" w:rsidRPr="00185B32" w14:paraId="5FEA1F1D" w14:textId="77777777" w:rsidTr="00C038FC">
        <w:tc>
          <w:tcPr>
            <w:tcW w:w="0" w:type="auto"/>
            <w:hideMark/>
          </w:tcPr>
          <w:p w14:paraId="4DD0A6B3" w14:textId="77777777" w:rsidR="0036439D" w:rsidRPr="00185B32" w:rsidRDefault="0036439D" w:rsidP="00476310">
            <w:pPr>
              <w:pStyle w:val="NoSpacing"/>
              <w:rPr>
                <w:sz w:val="24"/>
                <w:szCs w:val="24"/>
              </w:rPr>
            </w:pPr>
            <w:r w:rsidRPr="00185B32">
              <w:rPr>
                <w:sz w:val="24"/>
                <w:szCs w:val="24"/>
              </w:rPr>
              <w:t>Pharmaceutical Products</w:t>
            </w:r>
          </w:p>
        </w:tc>
        <w:tc>
          <w:tcPr>
            <w:tcW w:w="0" w:type="auto"/>
            <w:hideMark/>
          </w:tcPr>
          <w:p w14:paraId="58980402" w14:textId="77777777" w:rsidR="0036439D" w:rsidRPr="00185B32" w:rsidRDefault="0036439D" w:rsidP="00476310">
            <w:pPr>
              <w:pStyle w:val="NoSpacing"/>
              <w:rPr>
                <w:sz w:val="24"/>
                <w:szCs w:val="24"/>
              </w:rPr>
            </w:pPr>
            <w:r w:rsidRPr="00185B32">
              <w:rPr>
                <w:sz w:val="24"/>
                <w:szCs w:val="24"/>
              </w:rPr>
              <w:t>716</w:t>
            </w:r>
          </w:p>
        </w:tc>
        <w:tc>
          <w:tcPr>
            <w:tcW w:w="0" w:type="auto"/>
            <w:hideMark/>
          </w:tcPr>
          <w:p w14:paraId="5ADE988B" w14:textId="77777777" w:rsidR="0036439D" w:rsidRPr="00185B32" w:rsidRDefault="0036439D" w:rsidP="00476310">
            <w:pPr>
              <w:pStyle w:val="NoSpacing"/>
              <w:rPr>
                <w:sz w:val="24"/>
                <w:szCs w:val="24"/>
              </w:rPr>
            </w:pPr>
            <w:r w:rsidRPr="00185B32">
              <w:rPr>
                <w:sz w:val="24"/>
                <w:szCs w:val="24"/>
              </w:rPr>
              <w:t>6.33</w:t>
            </w:r>
          </w:p>
        </w:tc>
        <w:tc>
          <w:tcPr>
            <w:tcW w:w="0" w:type="auto"/>
            <w:hideMark/>
          </w:tcPr>
          <w:p w14:paraId="288EE1D7" w14:textId="77777777" w:rsidR="0036439D" w:rsidRPr="00185B32" w:rsidRDefault="0036439D" w:rsidP="00476310">
            <w:pPr>
              <w:pStyle w:val="NoSpacing"/>
              <w:rPr>
                <w:sz w:val="24"/>
                <w:szCs w:val="24"/>
              </w:rPr>
            </w:pPr>
            <w:r w:rsidRPr="00185B32">
              <w:rPr>
                <w:sz w:val="24"/>
                <w:szCs w:val="24"/>
              </w:rPr>
              <w:t>Candy and Soda</w:t>
            </w:r>
          </w:p>
        </w:tc>
        <w:tc>
          <w:tcPr>
            <w:tcW w:w="0" w:type="auto"/>
            <w:hideMark/>
          </w:tcPr>
          <w:p w14:paraId="0C7ACAAD" w14:textId="77777777" w:rsidR="0036439D" w:rsidRPr="00185B32" w:rsidRDefault="0036439D" w:rsidP="00476310">
            <w:pPr>
              <w:pStyle w:val="NoSpacing"/>
              <w:rPr>
                <w:sz w:val="24"/>
                <w:szCs w:val="24"/>
              </w:rPr>
            </w:pPr>
            <w:r w:rsidRPr="00185B32">
              <w:rPr>
                <w:sz w:val="24"/>
                <w:szCs w:val="24"/>
              </w:rPr>
              <w:t>21</w:t>
            </w:r>
          </w:p>
        </w:tc>
        <w:tc>
          <w:tcPr>
            <w:tcW w:w="0" w:type="auto"/>
            <w:hideMark/>
          </w:tcPr>
          <w:p w14:paraId="5DBE12F5" w14:textId="77777777" w:rsidR="0036439D" w:rsidRPr="00185B32" w:rsidRDefault="0036439D" w:rsidP="00476310">
            <w:pPr>
              <w:pStyle w:val="NoSpacing"/>
              <w:rPr>
                <w:sz w:val="24"/>
                <w:szCs w:val="24"/>
              </w:rPr>
            </w:pPr>
            <w:r w:rsidRPr="00185B32">
              <w:rPr>
                <w:sz w:val="24"/>
                <w:szCs w:val="24"/>
              </w:rPr>
              <w:t>0.19</w:t>
            </w:r>
          </w:p>
        </w:tc>
      </w:tr>
      <w:tr w:rsidR="00C038FC" w:rsidRPr="00185B32" w14:paraId="30EA89BE" w14:textId="77777777" w:rsidTr="00C038FC">
        <w:tc>
          <w:tcPr>
            <w:tcW w:w="0" w:type="auto"/>
            <w:hideMark/>
          </w:tcPr>
          <w:p w14:paraId="33B87AC5" w14:textId="77777777" w:rsidR="0036439D" w:rsidRPr="00185B32" w:rsidRDefault="0036439D" w:rsidP="00476310">
            <w:pPr>
              <w:pStyle w:val="NoSpacing"/>
              <w:rPr>
                <w:sz w:val="24"/>
                <w:szCs w:val="24"/>
              </w:rPr>
            </w:pPr>
            <w:r w:rsidRPr="00185B32">
              <w:rPr>
                <w:sz w:val="24"/>
                <w:szCs w:val="24"/>
              </w:rPr>
              <w:t>Electrical Equipment</w:t>
            </w:r>
          </w:p>
        </w:tc>
        <w:tc>
          <w:tcPr>
            <w:tcW w:w="0" w:type="auto"/>
            <w:hideMark/>
          </w:tcPr>
          <w:p w14:paraId="474AAC3C" w14:textId="77777777" w:rsidR="0036439D" w:rsidRPr="00185B32" w:rsidRDefault="0036439D" w:rsidP="00476310">
            <w:pPr>
              <w:pStyle w:val="NoSpacing"/>
              <w:rPr>
                <w:sz w:val="24"/>
                <w:szCs w:val="24"/>
              </w:rPr>
            </w:pPr>
            <w:r w:rsidRPr="00185B32">
              <w:rPr>
                <w:sz w:val="24"/>
                <w:szCs w:val="24"/>
              </w:rPr>
              <w:t>213</w:t>
            </w:r>
          </w:p>
        </w:tc>
        <w:tc>
          <w:tcPr>
            <w:tcW w:w="0" w:type="auto"/>
            <w:hideMark/>
          </w:tcPr>
          <w:p w14:paraId="16BE5D61" w14:textId="77777777" w:rsidR="0036439D" w:rsidRPr="00185B32" w:rsidRDefault="0036439D" w:rsidP="00476310">
            <w:pPr>
              <w:pStyle w:val="NoSpacing"/>
              <w:rPr>
                <w:sz w:val="24"/>
                <w:szCs w:val="24"/>
              </w:rPr>
            </w:pPr>
            <w:r w:rsidRPr="00185B32">
              <w:rPr>
                <w:sz w:val="24"/>
                <w:szCs w:val="24"/>
              </w:rPr>
              <w:t>1.88</w:t>
            </w:r>
          </w:p>
        </w:tc>
        <w:tc>
          <w:tcPr>
            <w:tcW w:w="0" w:type="auto"/>
            <w:hideMark/>
          </w:tcPr>
          <w:p w14:paraId="20111514" w14:textId="77777777" w:rsidR="0036439D" w:rsidRPr="00185B32" w:rsidRDefault="0036439D" w:rsidP="00476310">
            <w:pPr>
              <w:pStyle w:val="NoSpacing"/>
              <w:rPr>
                <w:sz w:val="24"/>
                <w:szCs w:val="24"/>
              </w:rPr>
            </w:pPr>
            <w:r w:rsidRPr="00185B32">
              <w:rPr>
                <w:sz w:val="24"/>
                <w:szCs w:val="24"/>
              </w:rPr>
              <w:t>Steel Works Etc.</w:t>
            </w:r>
          </w:p>
        </w:tc>
        <w:tc>
          <w:tcPr>
            <w:tcW w:w="0" w:type="auto"/>
            <w:hideMark/>
          </w:tcPr>
          <w:p w14:paraId="4A6254A4" w14:textId="77777777" w:rsidR="0036439D" w:rsidRPr="00185B32" w:rsidRDefault="0036439D" w:rsidP="00476310">
            <w:pPr>
              <w:pStyle w:val="NoSpacing"/>
              <w:rPr>
                <w:sz w:val="24"/>
                <w:szCs w:val="24"/>
              </w:rPr>
            </w:pPr>
            <w:r w:rsidRPr="00185B32">
              <w:rPr>
                <w:sz w:val="24"/>
                <w:szCs w:val="24"/>
              </w:rPr>
              <w:t>187</w:t>
            </w:r>
          </w:p>
        </w:tc>
        <w:tc>
          <w:tcPr>
            <w:tcW w:w="0" w:type="auto"/>
            <w:hideMark/>
          </w:tcPr>
          <w:p w14:paraId="3955F025" w14:textId="77777777" w:rsidR="0036439D" w:rsidRPr="00185B32" w:rsidRDefault="0036439D" w:rsidP="00476310">
            <w:pPr>
              <w:pStyle w:val="NoSpacing"/>
              <w:rPr>
                <w:sz w:val="24"/>
                <w:szCs w:val="24"/>
              </w:rPr>
            </w:pPr>
            <w:r w:rsidRPr="00185B32">
              <w:rPr>
                <w:sz w:val="24"/>
                <w:szCs w:val="24"/>
              </w:rPr>
              <w:t>1.65</w:t>
            </w:r>
          </w:p>
        </w:tc>
      </w:tr>
      <w:tr w:rsidR="00C038FC" w:rsidRPr="00185B32" w14:paraId="34181F0D" w14:textId="77777777" w:rsidTr="00C038FC">
        <w:tc>
          <w:tcPr>
            <w:tcW w:w="0" w:type="auto"/>
            <w:hideMark/>
          </w:tcPr>
          <w:p w14:paraId="30B310BF" w14:textId="77777777" w:rsidR="0036439D" w:rsidRPr="00185B32" w:rsidRDefault="0036439D" w:rsidP="00476310">
            <w:pPr>
              <w:pStyle w:val="NoSpacing"/>
              <w:rPr>
                <w:sz w:val="24"/>
                <w:szCs w:val="24"/>
              </w:rPr>
            </w:pPr>
            <w:r w:rsidRPr="00185B32">
              <w:rPr>
                <w:sz w:val="24"/>
                <w:szCs w:val="24"/>
              </w:rPr>
              <w:t>Fabricated Products</w:t>
            </w:r>
          </w:p>
        </w:tc>
        <w:tc>
          <w:tcPr>
            <w:tcW w:w="0" w:type="auto"/>
            <w:hideMark/>
          </w:tcPr>
          <w:p w14:paraId="6096373E" w14:textId="77777777" w:rsidR="0036439D" w:rsidRPr="00185B32" w:rsidRDefault="0036439D" w:rsidP="00476310">
            <w:pPr>
              <w:pStyle w:val="NoSpacing"/>
              <w:rPr>
                <w:sz w:val="24"/>
                <w:szCs w:val="24"/>
              </w:rPr>
            </w:pPr>
            <w:r w:rsidRPr="00185B32">
              <w:rPr>
                <w:sz w:val="24"/>
                <w:szCs w:val="24"/>
              </w:rPr>
              <w:t>12</w:t>
            </w:r>
          </w:p>
        </w:tc>
        <w:tc>
          <w:tcPr>
            <w:tcW w:w="0" w:type="auto"/>
            <w:hideMark/>
          </w:tcPr>
          <w:p w14:paraId="7DD226C7" w14:textId="77777777" w:rsidR="0036439D" w:rsidRPr="00185B32" w:rsidRDefault="0036439D" w:rsidP="00476310">
            <w:pPr>
              <w:pStyle w:val="NoSpacing"/>
              <w:rPr>
                <w:sz w:val="24"/>
                <w:szCs w:val="24"/>
              </w:rPr>
            </w:pPr>
            <w:r w:rsidRPr="00185B32">
              <w:rPr>
                <w:sz w:val="24"/>
                <w:szCs w:val="24"/>
              </w:rPr>
              <w:t>0.11</w:t>
            </w:r>
          </w:p>
        </w:tc>
        <w:tc>
          <w:tcPr>
            <w:tcW w:w="0" w:type="auto"/>
            <w:hideMark/>
          </w:tcPr>
          <w:p w14:paraId="022697A8" w14:textId="77777777" w:rsidR="0036439D" w:rsidRPr="00185B32" w:rsidRDefault="0036439D" w:rsidP="00476310">
            <w:pPr>
              <w:pStyle w:val="NoSpacing"/>
              <w:rPr>
                <w:sz w:val="24"/>
                <w:szCs w:val="24"/>
              </w:rPr>
            </w:pPr>
            <w:r w:rsidRPr="00185B32">
              <w:rPr>
                <w:sz w:val="24"/>
                <w:szCs w:val="24"/>
              </w:rPr>
              <w:t>Communication</w:t>
            </w:r>
          </w:p>
        </w:tc>
        <w:tc>
          <w:tcPr>
            <w:tcW w:w="0" w:type="auto"/>
            <w:hideMark/>
          </w:tcPr>
          <w:p w14:paraId="1D94C925" w14:textId="77777777" w:rsidR="0036439D" w:rsidRPr="00185B32" w:rsidRDefault="0036439D" w:rsidP="00476310">
            <w:pPr>
              <w:pStyle w:val="NoSpacing"/>
              <w:rPr>
                <w:sz w:val="24"/>
                <w:szCs w:val="24"/>
              </w:rPr>
            </w:pPr>
            <w:r w:rsidRPr="00185B32">
              <w:rPr>
                <w:sz w:val="24"/>
                <w:szCs w:val="24"/>
              </w:rPr>
              <w:t>348</w:t>
            </w:r>
          </w:p>
        </w:tc>
        <w:tc>
          <w:tcPr>
            <w:tcW w:w="0" w:type="auto"/>
            <w:hideMark/>
          </w:tcPr>
          <w:p w14:paraId="6FF5645C" w14:textId="77777777" w:rsidR="0036439D" w:rsidRPr="00185B32" w:rsidRDefault="0036439D" w:rsidP="00476310">
            <w:pPr>
              <w:pStyle w:val="NoSpacing"/>
              <w:rPr>
                <w:sz w:val="24"/>
                <w:szCs w:val="24"/>
              </w:rPr>
            </w:pPr>
            <w:r w:rsidRPr="00185B32">
              <w:rPr>
                <w:sz w:val="24"/>
                <w:szCs w:val="24"/>
              </w:rPr>
              <w:t>3.08</w:t>
            </w:r>
          </w:p>
        </w:tc>
      </w:tr>
      <w:tr w:rsidR="00C038FC" w:rsidRPr="00185B32" w14:paraId="0CAEA1A9" w14:textId="77777777" w:rsidTr="00C038FC">
        <w:tc>
          <w:tcPr>
            <w:tcW w:w="0" w:type="auto"/>
            <w:hideMark/>
          </w:tcPr>
          <w:p w14:paraId="1C6BF27E" w14:textId="77777777" w:rsidR="0036439D" w:rsidRPr="00185B32" w:rsidRDefault="0036439D" w:rsidP="00476310">
            <w:pPr>
              <w:pStyle w:val="NoSpacing"/>
              <w:rPr>
                <w:sz w:val="24"/>
                <w:szCs w:val="24"/>
              </w:rPr>
            </w:pPr>
            <w:r w:rsidRPr="00185B32">
              <w:rPr>
                <w:sz w:val="24"/>
                <w:szCs w:val="24"/>
              </w:rPr>
              <w:t>Food Products</w:t>
            </w:r>
          </w:p>
        </w:tc>
        <w:tc>
          <w:tcPr>
            <w:tcW w:w="0" w:type="auto"/>
            <w:hideMark/>
          </w:tcPr>
          <w:p w14:paraId="74428B29" w14:textId="77777777" w:rsidR="0036439D" w:rsidRPr="00185B32" w:rsidRDefault="0036439D" w:rsidP="00476310">
            <w:pPr>
              <w:pStyle w:val="NoSpacing"/>
              <w:rPr>
                <w:sz w:val="24"/>
                <w:szCs w:val="24"/>
              </w:rPr>
            </w:pPr>
            <w:r w:rsidRPr="00185B32">
              <w:rPr>
                <w:sz w:val="24"/>
                <w:szCs w:val="24"/>
              </w:rPr>
              <w:t>266</w:t>
            </w:r>
          </w:p>
        </w:tc>
        <w:tc>
          <w:tcPr>
            <w:tcW w:w="0" w:type="auto"/>
            <w:hideMark/>
          </w:tcPr>
          <w:p w14:paraId="37E1975C" w14:textId="77777777" w:rsidR="0036439D" w:rsidRPr="00185B32" w:rsidRDefault="0036439D" w:rsidP="00476310">
            <w:pPr>
              <w:pStyle w:val="NoSpacing"/>
              <w:rPr>
                <w:sz w:val="24"/>
                <w:szCs w:val="24"/>
              </w:rPr>
            </w:pPr>
            <w:r w:rsidRPr="00185B32">
              <w:rPr>
                <w:sz w:val="24"/>
                <w:szCs w:val="24"/>
              </w:rPr>
              <w:t>2.35</w:t>
            </w:r>
          </w:p>
        </w:tc>
        <w:tc>
          <w:tcPr>
            <w:tcW w:w="0" w:type="auto"/>
            <w:hideMark/>
          </w:tcPr>
          <w:p w14:paraId="64787AD0" w14:textId="77777777" w:rsidR="0036439D" w:rsidRPr="00185B32" w:rsidRDefault="0036439D" w:rsidP="00476310">
            <w:pPr>
              <w:pStyle w:val="NoSpacing"/>
              <w:rPr>
                <w:sz w:val="24"/>
                <w:szCs w:val="24"/>
              </w:rPr>
            </w:pPr>
            <w:r w:rsidRPr="00185B32">
              <w:rPr>
                <w:sz w:val="24"/>
                <w:szCs w:val="24"/>
              </w:rPr>
              <w:t>Recreation</w:t>
            </w:r>
          </w:p>
        </w:tc>
        <w:tc>
          <w:tcPr>
            <w:tcW w:w="0" w:type="auto"/>
            <w:hideMark/>
          </w:tcPr>
          <w:p w14:paraId="7D0C67F5" w14:textId="77777777" w:rsidR="0036439D" w:rsidRPr="00185B32" w:rsidRDefault="0036439D" w:rsidP="00476310">
            <w:pPr>
              <w:pStyle w:val="NoSpacing"/>
              <w:rPr>
                <w:sz w:val="24"/>
                <w:szCs w:val="24"/>
              </w:rPr>
            </w:pPr>
            <w:r w:rsidRPr="00185B32">
              <w:rPr>
                <w:sz w:val="24"/>
                <w:szCs w:val="24"/>
              </w:rPr>
              <w:t>89</w:t>
            </w:r>
          </w:p>
        </w:tc>
        <w:tc>
          <w:tcPr>
            <w:tcW w:w="0" w:type="auto"/>
            <w:hideMark/>
          </w:tcPr>
          <w:p w14:paraId="5FFD1F82" w14:textId="77777777" w:rsidR="0036439D" w:rsidRPr="00185B32" w:rsidRDefault="0036439D" w:rsidP="00476310">
            <w:pPr>
              <w:pStyle w:val="NoSpacing"/>
              <w:rPr>
                <w:sz w:val="24"/>
                <w:szCs w:val="24"/>
              </w:rPr>
            </w:pPr>
            <w:r w:rsidRPr="00185B32">
              <w:rPr>
                <w:sz w:val="24"/>
                <w:szCs w:val="24"/>
              </w:rPr>
              <w:t>0.79</w:t>
            </w:r>
          </w:p>
        </w:tc>
      </w:tr>
      <w:tr w:rsidR="00C038FC" w:rsidRPr="00185B32" w14:paraId="0E865BF6" w14:textId="77777777" w:rsidTr="00C038FC">
        <w:tc>
          <w:tcPr>
            <w:tcW w:w="0" w:type="auto"/>
            <w:hideMark/>
          </w:tcPr>
          <w:p w14:paraId="227C854C" w14:textId="77777777" w:rsidR="0036439D" w:rsidRPr="00185B32" w:rsidRDefault="0036439D" w:rsidP="00476310">
            <w:pPr>
              <w:pStyle w:val="NoSpacing"/>
              <w:rPr>
                <w:sz w:val="24"/>
                <w:szCs w:val="24"/>
              </w:rPr>
            </w:pPr>
            <w:r w:rsidRPr="00185B32">
              <w:rPr>
                <w:sz w:val="24"/>
                <w:szCs w:val="24"/>
              </w:rPr>
              <w:t>Entertainment</w:t>
            </w:r>
          </w:p>
        </w:tc>
        <w:tc>
          <w:tcPr>
            <w:tcW w:w="0" w:type="auto"/>
            <w:hideMark/>
          </w:tcPr>
          <w:p w14:paraId="1E12713B" w14:textId="77777777" w:rsidR="0036439D" w:rsidRPr="00185B32" w:rsidRDefault="0036439D" w:rsidP="00476310">
            <w:pPr>
              <w:pStyle w:val="NoSpacing"/>
              <w:rPr>
                <w:sz w:val="24"/>
                <w:szCs w:val="24"/>
              </w:rPr>
            </w:pPr>
            <w:r w:rsidRPr="00185B32">
              <w:rPr>
                <w:sz w:val="24"/>
                <w:szCs w:val="24"/>
              </w:rPr>
              <w:t>172</w:t>
            </w:r>
          </w:p>
        </w:tc>
        <w:tc>
          <w:tcPr>
            <w:tcW w:w="0" w:type="auto"/>
            <w:hideMark/>
          </w:tcPr>
          <w:p w14:paraId="448E95E3" w14:textId="77777777" w:rsidR="0036439D" w:rsidRPr="00185B32" w:rsidRDefault="0036439D" w:rsidP="00476310">
            <w:pPr>
              <w:pStyle w:val="NoSpacing"/>
              <w:rPr>
                <w:sz w:val="24"/>
                <w:szCs w:val="24"/>
              </w:rPr>
            </w:pPr>
            <w:r w:rsidRPr="00185B32">
              <w:rPr>
                <w:sz w:val="24"/>
                <w:szCs w:val="24"/>
              </w:rPr>
              <w:t>1.52</w:t>
            </w:r>
          </w:p>
        </w:tc>
        <w:tc>
          <w:tcPr>
            <w:tcW w:w="0" w:type="auto"/>
            <w:hideMark/>
          </w:tcPr>
          <w:p w14:paraId="2D18FACF" w14:textId="77777777" w:rsidR="0036439D" w:rsidRPr="00185B32" w:rsidRDefault="0036439D" w:rsidP="00476310">
            <w:pPr>
              <w:pStyle w:val="NoSpacing"/>
              <w:rPr>
                <w:sz w:val="24"/>
                <w:szCs w:val="24"/>
              </w:rPr>
            </w:pPr>
            <w:r w:rsidRPr="00185B32">
              <w:rPr>
                <w:sz w:val="24"/>
                <w:szCs w:val="24"/>
              </w:rPr>
              <w:t>Transportation</w:t>
            </w:r>
          </w:p>
        </w:tc>
        <w:tc>
          <w:tcPr>
            <w:tcW w:w="0" w:type="auto"/>
            <w:hideMark/>
          </w:tcPr>
          <w:p w14:paraId="325AACC5" w14:textId="77777777" w:rsidR="0036439D" w:rsidRPr="00185B32" w:rsidRDefault="0036439D" w:rsidP="00476310">
            <w:pPr>
              <w:pStyle w:val="NoSpacing"/>
              <w:rPr>
                <w:sz w:val="24"/>
                <w:szCs w:val="24"/>
              </w:rPr>
            </w:pPr>
            <w:r w:rsidRPr="00185B32">
              <w:rPr>
                <w:sz w:val="24"/>
                <w:szCs w:val="24"/>
              </w:rPr>
              <w:t>387</w:t>
            </w:r>
          </w:p>
        </w:tc>
        <w:tc>
          <w:tcPr>
            <w:tcW w:w="0" w:type="auto"/>
            <w:hideMark/>
          </w:tcPr>
          <w:p w14:paraId="5BA2C5AD" w14:textId="77777777" w:rsidR="0036439D" w:rsidRPr="00185B32" w:rsidRDefault="0036439D" w:rsidP="00476310">
            <w:pPr>
              <w:pStyle w:val="NoSpacing"/>
              <w:rPr>
                <w:sz w:val="24"/>
                <w:szCs w:val="24"/>
              </w:rPr>
            </w:pPr>
            <w:r w:rsidRPr="00185B32">
              <w:rPr>
                <w:sz w:val="24"/>
                <w:szCs w:val="24"/>
              </w:rPr>
              <w:t>3.42</w:t>
            </w:r>
          </w:p>
        </w:tc>
      </w:tr>
      <w:tr w:rsidR="00C038FC" w:rsidRPr="00185B32" w14:paraId="3E822F76" w14:textId="77777777" w:rsidTr="00C038FC">
        <w:tc>
          <w:tcPr>
            <w:tcW w:w="0" w:type="auto"/>
            <w:hideMark/>
          </w:tcPr>
          <w:p w14:paraId="5382A53D" w14:textId="77777777" w:rsidR="0036439D" w:rsidRPr="00185B32" w:rsidRDefault="0036439D" w:rsidP="00476310">
            <w:pPr>
              <w:pStyle w:val="NoSpacing"/>
              <w:rPr>
                <w:sz w:val="24"/>
                <w:szCs w:val="24"/>
              </w:rPr>
            </w:pPr>
            <w:r w:rsidRPr="00185B32">
              <w:rPr>
                <w:sz w:val="24"/>
                <w:szCs w:val="24"/>
              </w:rPr>
              <w:t>Precious Metals</w:t>
            </w:r>
          </w:p>
        </w:tc>
        <w:tc>
          <w:tcPr>
            <w:tcW w:w="0" w:type="auto"/>
            <w:hideMark/>
          </w:tcPr>
          <w:p w14:paraId="5609E9D4" w14:textId="77777777" w:rsidR="0036439D" w:rsidRPr="00185B32" w:rsidRDefault="0036439D" w:rsidP="00476310">
            <w:pPr>
              <w:pStyle w:val="NoSpacing"/>
              <w:rPr>
                <w:sz w:val="24"/>
                <w:szCs w:val="24"/>
              </w:rPr>
            </w:pPr>
            <w:r w:rsidRPr="00185B32">
              <w:rPr>
                <w:sz w:val="24"/>
                <w:szCs w:val="24"/>
              </w:rPr>
              <w:t>22</w:t>
            </w:r>
          </w:p>
        </w:tc>
        <w:tc>
          <w:tcPr>
            <w:tcW w:w="0" w:type="auto"/>
            <w:hideMark/>
          </w:tcPr>
          <w:p w14:paraId="555C4D98" w14:textId="77777777" w:rsidR="0036439D" w:rsidRPr="00185B32" w:rsidRDefault="0036439D" w:rsidP="00476310">
            <w:pPr>
              <w:pStyle w:val="NoSpacing"/>
              <w:rPr>
                <w:sz w:val="24"/>
                <w:szCs w:val="24"/>
              </w:rPr>
            </w:pPr>
            <w:r w:rsidRPr="00185B32">
              <w:rPr>
                <w:sz w:val="24"/>
                <w:szCs w:val="24"/>
              </w:rPr>
              <w:t>0.19</w:t>
            </w:r>
          </w:p>
        </w:tc>
        <w:tc>
          <w:tcPr>
            <w:tcW w:w="0" w:type="auto"/>
            <w:hideMark/>
          </w:tcPr>
          <w:p w14:paraId="5119A96B" w14:textId="77777777" w:rsidR="0036439D" w:rsidRPr="00185B32" w:rsidRDefault="0036439D" w:rsidP="00476310">
            <w:pPr>
              <w:pStyle w:val="NoSpacing"/>
              <w:rPr>
                <w:sz w:val="24"/>
                <w:szCs w:val="24"/>
              </w:rPr>
            </w:pPr>
            <w:r w:rsidRPr="00185B32">
              <w:rPr>
                <w:sz w:val="24"/>
                <w:szCs w:val="24"/>
              </w:rPr>
              <w:t>Textiles</w:t>
            </w:r>
          </w:p>
        </w:tc>
        <w:tc>
          <w:tcPr>
            <w:tcW w:w="0" w:type="auto"/>
            <w:hideMark/>
          </w:tcPr>
          <w:p w14:paraId="6085489C" w14:textId="77777777" w:rsidR="0036439D" w:rsidRPr="00185B32" w:rsidRDefault="0036439D" w:rsidP="00476310">
            <w:pPr>
              <w:pStyle w:val="NoSpacing"/>
              <w:rPr>
                <w:sz w:val="24"/>
                <w:szCs w:val="24"/>
              </w:rPr>
            </w:pPr>
            <w:r w:rsidRPr="00185B32">
              <w:rPr>
                <w:sz w:val="24"/>
                <w:szCs w:val="24"/>
              </w:rPr>
              <w:t>32</w:t>
            </w:r>
          </w:p>
        </w:tc>
        <w:tc>
          <w:tcPr>
            <w:tcW w:w="0" w:type="auto"/>
            <w:hideMark/>
          </w:tcPr>
          <w:p w14:paraId="743F613C" w14:textId="77777777" w:rsidR="0036439D" w:rsidRPr="00185B32" w:rsidRDefault="0036439D" w:rsidP="00476310">
            <w:pPr>
              <w:pStyle w:val="NoSpacing"/>
              <w:rPr>
                <w:sz w:val="24"/>
                <w:szCs w:val="24"/>
              </w:rPr>
            </w:pPr>
            <w:r w:rsidRPr="00185B32">
              <w:rPr>
                <w:sz w:val="24"/>
                <w:szCs w:val="24"/>
              </w:rPr>
              <w:t>0.28</w:t>
            </w:r>
          </w:p>
        </w:tc>
      </w:tr>
      <w:tr w:rsidR="00C038FC" w:rsidRPr="00185B32" w14:paraId="7E7D9E58" w14:textId="77777777" w:rsidTr="00C038FC">
        <w:tc>
          <w:tcPr>
            <w:tcW w:w="0" w:type="auto"/>
            <w:hideMark/>
          </w:tcPr>
          <w:p w14:paraId="236394AA" w14:textId="77777777" w:rsidR="0036439D" w:rsidRPr="00185B32" w:rsidRDefault="0036439D" w:rsidP="00476310">
            <w:pPr>
              <w:pStyle w:val="NoSpacing"/>
              <w:rPr>
                <w:sz w:val="24"/>
                <w:szCs w:val="24"/>
              </w:rPr>
            </w:pPr>
            <w:r w:rsidRPr="00185B32">
              <w:rPr>
                <w:sz w:val="24"/>
                <w:szCs w:val="24"/>
              </w:rPr>
              <w:t>Defense</w:t>
            </w:r>
          </w:p>
        </w:tc>
        <w:tc>
          <w:tcPr>
            <w:tcW w:w="0" w:type="auto"/>
            <w:hideMark/>
          </w:tcPr>
          <w:p w14:paraId="3E4B0C95" w14:textId="77777777" w:rsidR="0036439D" w:rsidRPr="00185B32" w:rsidRDefault="0036439D" w:rsidP="00476310">
            <w:pPr>
              <w:pStyle w:val="NoSpacing"/>
              <w:rPr>
                <w:sz w:val="24"/>
                <w:szCs w:val="24"/>
              </w:rPr>
            </w:pPr>
            <w:r w:rsidRPr="00185B32">
              <w:rPr>
                <w:sz w:val="24"/>
                <w:szCs w:val="24"/>
              </w:rPr>
              <w:t>35</w:t>
            </w:r>
          </w:p>
        </w:tc>
        <w:tc>
          <w:tcPr>
            <w:tcW w:w="0" w:type="auto"/>
            <w:hideMark/>
          </w:tcPr>
          <w:p w14:paraId="602E8D43" w14:textId="77777777" w:rsidR="0036439D" w:rsidRPr="00185B32" w:rsidRDefault="0036439D" w:rsidP="00476310">
            <w:pPr>
              <w:pStyle w:val="NoSpacing"/>
              <w:rPr>
                <w:sz w:val="24"/>
                <w:szCs w:val="24"/>
              </w:rPr>
            </w:pPr>
            <w:r w:rsidRPr="00185B32">
              <w:rPr>
                <w:sz w:val="24"/>
                <w:szCs w:val="24"/>
              </w:rPr>
              <w:t>0.31</w:t>
            </w:r>
          </w:p>
        </w:tc>
        <w:tc>
          <w:tcPr>
            <w:tcW w:w="0" w:type="auto"/>
            <w:hideMark/>
          </w:tcPr>
          <w:p w14:paraId="74EE3B13" w14:textId="77777777" w:rsidR="0036439D" w:rsidRPr="00185B32" w:rsidRDefault="0036439D" w:rsidP="00476310">
            <w:pPr>
              <w:pStyle w:val="NoSpacing"/>
              <w:rPr>
                <w:sz w:val="24"/>
                <w:szCs w:val="24"/>
              </w:rPr>
            </w:pPr>
            <w:r w:rsidRPr="00185B32">
              <w:rPr>
                <w:sz w:val="24"/>
                <w:szCs w:val="24"/>
              </w:rPr>
              <w:t>Wholesale</w:t>
            </w:r>
          </w:p>
        </w:tc>
        <w:tc>
          <w:tcPr>
            <w:tcW w:w="0" w:type="auto"/>
            <w:hideMark/>
          </w:tcPr>
          <w:p w14:paraId="725D2BC7" w14:textId="77777777" w:rsidR="0036439D" w:rsidRPr="00185B32" w:rsidRDefault="0036439D" w:rsidP="00476310">
            <w:pPr>
              <w:pStyle w:val="NoSpacing"/>
              <w:rPr>
                <w:sz w:val="24"/>
                <w:szCs w:val="24"/>
              </w:rPr>
            </w:pPr>
            <w:r w:rsidRPr="00185B32">
              <w:rPr>
                <w:sz w:val="24"/>
                <w:szCs w:val="24"/>
              </w:rPr>
              <w:t>440</w:t>
            </w:r>
          </w:p>
        </w:tc>
        <w:tc>
          <w:tcPr>
            <w:tcW w:w="0" w:type="auto"/>
            <w:hideMark/>
          </w:tcPr>
          <w:p w14:paraId="7B657670" w14:textId="77777777" w:rsidR="0036439D" w:rsidRPr="00185B32" w:rsidRDefault="0036439D" w:rsidP="00476310">
            <w:pPr>
              <w:pStyle w:val="NoSpacing"/>
              <w:rPr>
                <w:sz w:val="24"/>
                <w:szCs w:val="24"/>
              </w:rPr>
            </w:pPr>
            <w:r w:rsidRPr="00185B32">
              <w:rPr>
                <w:sz w:val="24"/>
                <w:szCs w:val="24"/>
              </w:rPr>
              <w:t>3.89</w:t>
            </w:r>
          </w:p>
        </w:tc>
      </w:tr>
      <w:tr w:rsidR="00C038FC" w:rsidRPr="00185B32" w14:paraId="4D3F3BF0" w14:textId="77777777" w:rsidTr="00C038FC">
        <w:tc>
          <w:tcPr>
            <w:tcW w:w="0" w:type="auto"/>
            <w:hideMark/>
          </w:tcPr>
          <w:p w14:paraId="34309952" w14:textId="77777777" w:rsidR="0036439D" w:rsidRPr="00185B32" w:rsidRDefault="0036439D" w:rsidP="00476310">
            <w:pPr>
              <w:pStyle w:val="NoSpacing"/>
              <w:rPr>
                <w:sz w:val="24"/>
                <w:szCs w:val="24"/>
              </w:rPr>
            </w:pPr>
            <w:r w:rsidRPr="00185B32">
              <w:rPr>
                <w:sz w:val="24"/>
                <w:szCs w:val="24"/>
              </w:rPr>
              <w:t>Healthcare</w:t>
            </w:r>
          </w:p>
        </w:tc>
        <w:tc>
          <w:tcPr>
            <w:tcW w:w="0" w:type="auto"/>
            <w:hideMark/>
          </w:tcPr>
          <w:p w14:paraId="4776A24D" w14:textId="77777777" w:rsidR="0036439D" w:rsidRPr="00185B32" w:rsidRDefault="0036439D" w:rsidP="00476310">
            <w:pPr>
              <w:pStyle w:val="NoSpacing"/>
              <w:rPr>
                <w:sz w:val="24"/>
                <w:szCs w:val="24"/>
              </w:rPr>
            </w:pPr>
            <w:r w:rsidRPr="00185B32">
              <w:rPr>
                <w:sz w:val="24"/>
                <w:szCs w:val="24"/>
              </w:rPr>
              <w:t>212</w:t>
            </w:r>
          </w:p>
        </w:tc>
        <w:tc>
          <w:tcPr>
            <w:tcW w:w="0" w:type="auto"/>
            <w:hideMark/>
          </w:tcPr>
          <w:p w14:paraId="2D3D30B3" w14:textId="77777777" w:rsidR="0036439D" w:rsidRPr="00185B32" w:rsidRDefault="0036439D" w:rsidP="00476310">
            <w:pPr>
              <w:pStyle w:val="NoSpacing"/>
              <w:rPr>
                <w:sz w:val="24"/>
                <w:szCs w:val="24"/>
              </w:rPr>
            </w:pPr>
            <w:r w:rsidRPr="00185B32">
              <w:rPr>
                <w:sz w:val="24"/>
                <w:szCs w:val="24"/>
              </w:rPr>
              <w:t>1.87</w:t>
            </w:r>
          </w:p>
        </w:tc>
        <w:tc>
          <w:tcPr>
            <w:tcW w:w="0" w:type="auto"/>
            <w:hideMark/>
          </w:tcPr>
          <w:p w14:paraId="1F821CDE" w14:textId="77777777" w:rsidR="0036439D" w:rsidRPr="00185B32" w:rsidRDefault="0036439D" w:rsidP="00476310">
            <w:pPr>
              <w:pStyle w:val="NoSpacing"/>
              <w:rPr>
                <w:sz w:val="24"/>
                <w:szCs w:val="24"/>
              </w:rPr>
            </w:pPr>
          </w:p>
        </w:tc>
        <w:tc>
          <w:tcPr>
            <w:tcW w:w="0" w:type="auto"/>
            <w:hideMark/>
          </w:tcPr>
          <w:p w14:paraId="5D9A4252" w14:textId="77777777" w:rsidR="0036439D" w:rsidRPr="00185B32" w:rsidRDefault="0036439D" w:rsidP="00476310">
            <w:pPr>
              <w:pStyle w:val="NoSpacing"/>
              <w:rPr>
                <w:sz w:val="24"/>
                <w:szCs w:val="24"/>
              </w:rPr>
            </w:pPr>
          </w:p>
        </w:tc>
        <w:tc>
          <w:tcPr>
            <w:tcW w:w="0" w:type="auto"/>
            <w:hideMark/>
          </w:tcPr>
          <w:p w14:paraId="01EF1D2F" w14:textId="77777777" w:rsidR="0036439D" w:rsidRPr="00185B32" w:rsidRDefault="0036439D" w:rsidP="00476310">
            <w:pPr>
              <w:pStyle w:val="NoSpacing"/>
              <w:rPr>
                <w:sz w:val="24"/>
                <w:szCs w:val="24"/>
              </w:rPr>
            </w:pPr>
          </w:p>
        </w:tc>
      </w:tr>
      <w:tr w:rsidR="00C038FC" w:rsidRPr="00185B32" w14:paraId="72DA182A" w14:textId="77777777" w:rsidTr="00C038FC">
        <w:tc>
          <w:tcPr>
            <w:tcW w:w="0" w:type="auto"/>
            <w:hideMark/>
          </w:tcPr>
          <w:p w14:paraId="0DEB31F2" w14:textId="77777777" w:rsidR="0036439D" w:rsidRPr="00185B32" w:rsidRDefault="0036439D" w:rsidP="00476310">
            <w:pPr>
              <w:pStyle w:val="NoSpacing"/>
              <w:rPr>
                <w:sz w:val="24"/>
                <w:szCs w:val="24"/>
              </w:rPr>
            </w:pPr>
          </w:p>
        </w:tc>
        <w:tc>
          <w:tcPr>
            <w:tcW w:w="0" w:type="auto"/>
            <w:hideMark/>
          </w:tcPr>
          <w:p w14:paraId="12E7CD89" w14:textId="77777777" w:rsidR="0036439D" w:rsidRPr="00185B32" w:rsidRDefault="0036439D" w:rsidP="00476310">
            <w:pPr>
              <w:pStyle w:val="NoSpacing"/>
              <w:rPr>
                <w:sz w:val="24"/>
                <w:szCs w:val="24"/>
              </w:rPr>
            </w:pPr>
          </w:p>
        </w:tc>
        <w:tc>
          <w:tcPr>
            <w:tcW w:w="0" w:type="auto"/>
            <w:hideMark/>
          </w:tcPr>
          <w:p w14:paraId="61C4B238" w14:textId="77777777" w:rsidR="0036439D" w:rsidRPr="00185B32" w:rsidRDefault="0036439D" w:rsidP="00476310">
            <w:pPr>
              <w:pStyle w:val="NoSpacing"/>
              <w:rPr>
                <w:sz w:val="24"/>
                <w:szCs w:val="24"/>
              </w:rPr>
            </w:pPr>
          </w:p>
        </w:tc>
        <w:tc>
          <w:tcPr>
            <w:tcW w:w="0" w:type="auto"/>
            <w:hideMark/>
          </w:tcPr>
          <w:p w14:paraId="51F60A0D" w14:textId="77777777" w:rsidR="0036439D" w:rsidRPr="00185B32" w:rsidRDefault="0036439D" w:rsidP="00476310">
            <w:pPr>
              <w:pStyle w:val="NoSpacing"/>
              <w:rPr>
                <w:sz w:val="24"/>
                <w:szCs w:val="24"/>
              </w:rPr>
            </w:pPr>
            <w:r w:rsidRPr="00185B32">
              <w:rPr>
                <w:sz w:val="24"/>
                <w:szCs w:val="24"/>
              </w:rPr>
              <w:t>Total</w:t>
            </w:r>
          </w:p>
        </w:tc>
        <w:tc>
          <w:tcPr>
            <w:tcW w:w="0" w:type="auto"/>
            <w:hideMark/>
          </w:tcPr>
          <w:p w14:paraId="66EC6A4A" w14:textId="77777777" w:rsidR="0036439D" w:rsidRPr="00185B32" w:rsidRDefault="0036439D" w:rsidP="00476310">
            <w:pPr>
              <w:pStyle w:val="NoSpacing"/>
              <w:rPr>
                <w:sz w:val="24"/>
                <w:szCs w:val="24"/>
              </w:rPr>
            </w:pPr>
            <w:r w:rsidRPr="00185B32">
              <w:rPr>
                <w:sz w:val="24"/>
                <w:szCs w:val="24"/>
              </w:rPr>
              <w:t>11,312</w:t>
            </w:r>
          </w:p>
        </w:tc>
        <w:tc>
          <w:tcPr>
            <w:tcW w:w="0" w:type="auto"/>
            <w:hideMark/>
          </w:tcPr>
          <w:p w14:paraId="16B6835C" w14:textId="77777777" w:rsidR="0036439D" w:rsidRPr="00185B32" w:rsidRDefault="0036439D" w:rsidP="00476310">
            <w:pPr>
              <w:pStyle w:val="NoSpacing"/>
              <w:rPr>
                <w:sz w:val="24"/>
                <w:szCs w:val="24"/>
              </w:rPr>
            </w:pPr>
            <w:r w:rsidRPr="00185B32">
              <w:rPr>
                <w:sz w:val="24"/>
                <w:szCs w:val="24"/>
              </w:rPr>
              <w:t>100</w:t>
            </w:r>
          </w:p>
        </w:tc>
      </w:tr>
    </w:tbl>
    <w:p w14:paraId="27A60EA2" w14:textId="77777777" w:rsidR="005D3ED5" w:rsidRPr="00673F93" w:rsidRDefault="005D3ED5" w:rsidP="00673F93">
      <w:pPr>
        <w:rPr>
          <w:rFonts w:cstheme="minorHAnsi"/>
          <w:sz w:val="24"/>
          <w:szCs w:val="24"/>
        </w:rPr>
      </w:pPr>
    </w:p>
    <w:tbl>
      <w:tblPr>
        <w:tblStyle w:val="TableGrid"/>
        <w:tblW w:w="5000" w:type="pct"/>
        <w:tblLook w:val="04A0" w:firstRow="1" w:lastRow="0" w:firstColumn="1" w:lastColumn="0" w:noHBand="0" w:noVBand="1"/>
      </w:tblPr>
      <w:tblGrid>
        <w:gridCol w:w="5539"/>
        <w:gridCol w:w="1627"/>
        <w:gridCol w:w="8"/>
        <w:gridCol w:w="1818"/>
        <w:gridCol w:w="1413"/>
        <w:gridCol w:w="14"/>
        <w:gridCol w:w="1627"/>
        <w:gridCol w:w="1624"/>
      </w:tblGrid>
      <w:tr w:rsidR="006E13B1" w:rsidRPr="00C038FC" w14:paraId="5E8E0A85" w14:textId="77777777" w:rsidTr="006E13B1">
        <w:tc>
          <w:tcPr>
            <w:tcW w:w="2026" w:type="pct"/>
          </w:tcPr>
          <w:p w14:paraId="6D968023" w14:textId="6CD793DE" w:rsidR="006E13B1" w:rsidRPr="00C038FC" w:rsidRDefault="006E13B1" w:rsidP="005D3ED5">
            <w:pPr>
              <w:pStyle w:val="NoSpacing"/>
              <w:rPr>
                <w:b/>
                <w:bCs/>
                <w:sz w:val="24"/>
                <w:szCs w:val="24"/>
              </w:rPr>
            </w:pPr>
            <w:r w:rsidRPr="00C038FC">
              <w:rPr>
                <w:b/>
                <w:bCs/>
                <w:sz w:val="24"/>
                <w:szCs w:val="24"/>
              </w:rPr>
              <w:t>Panel D: Summary Statistics</w:t>
            </w:r>
          </w:p>
        </w:tc>
        <w:tc>
          <w:tcPr>
            <w:tcW w:w="595" w:type="pct"/>
            <w:hideMark/>
          </w:tcPr>
          <w:p w14:paraId="06593753" w14:textId="77777777" w:rsidR="006E13B1" w:rsidRPr="00C038FC" w:rsidRDefault="006E13B1" w:rsidP="005D3ED5">
            <w:pPr>
              <w:pStyle w:val="NoSpacing"/>
              <w:rPr>
                <w:sz w:val="24"/>
                <w:szCs w:val="24"/>
              </w:rPr>
            </w:pPr>
          </w:p>
        </w:tc>
        <w:tc>
          <w:tcPr>
            <w:tcW w:w="668" w:type="pct"/>
            <w:gridSpan w:val="2"/>
          </w:tcPr>
          <w:p w14:paraId="27AC22AD" w14:textId="77777777" w:rsidR="006E13B1" w:rsidRPr="00C038FC" w:rsidRDefault="006E13B1" w:rsidP="005D3ED5">
            <w:pPr>
              <w:pStyle w:val="NoSpacing"/>
              <w:rPr>
                <w:sz w:val="24"/>
                <w:szCs w:val="24"/>
              </w:rPr>
            </w:pPr>
          </w:p>
        </w:tc>
        <w:tc>
          <w:tcPr>
            <w:tcW w:w="522" w:type="pct"/>
            <w:gridSpan w:val="2"/>
          </w:tcPr>
          <w:p w14:paraId="11BB112E" w14:textId="77777777" w:rsidR="006E13B1" w:rsidRPr="00C038FC" w:rsidRDefault="006E13B1" w:rsidP="005D3ED5">
            <w:pPr>
              <w:pStyle w:val="NoSpacing"/>
              <w:rPr>
                <w:sz w:val="24"/>
                <w:szCs w:val="24"/>
              </w:rPr>
            </w:pPr>
          </w:p>
        </w:tc>
        <w:tc>
          <w:tcPr>
            <w:tcW w:w="595" w:type="pct"/>
          </w:tcPr>
          <w:p w14:paraId="508ECC61" w14:textId="77777777" w:rsidR="006E13B1" w:rsidRPr="00C038FC" w:rsidRDefault="006E13B1" w:rsidP="005D3ED5">
            <w:pPr>
              <w:pStyle w:val="NoSpacing"/>
              <w:rPr>
                <w:sz w:val="24"/>
                <w:szCs w:val="24"/>
              </w:rPr>
            </w:pPr>
          </w:p>
        </w:tc>
        <w:tc>
          <w:tcPr>
            <w:tcW w:w="594" w:type="pct"/>
          </w:tcPr>
          <w:p w14:paraId="68068E4D" w14:textId="0A980DE1" w:rsidR="006E13B1" w:rsidRPr="00C038FC" w:rsidRDefault="006E13B1" w:rsidP="005D3ED5">
            <w:pPr>
              <w:pStyle w:val="NoSpacing"/>
              <w:rPr>
                <w:sz w:val="24"/>
                <w:szCs w:val="24"/>
              </w:rPr>
            </w:pPr>
          </w:p>
        </w:tc>
      </w:tr>
      <w:tr w:rsidR="00C038FC" w:rsidRPr="00C038FC" w14:paraId="06547D53" w14:textId="77777777" w:rsidTr="006E13B1">
        <w:tc>
          <w:tcPr>
            <w:tcW w:w="2026" w:type="pct"/>
            <w:hideMark/>
          </w:tcPr>
          <w:p w14:paraId="0A367566" w14:textId="77777777" w:rsidR="00673F93" w:rsidRPr="00C038FC" w:rsidRDefault="00673F93" w:rsidP="005D3ED5">
            <w:pPr>
              <w:pStyle w:val="NoSpacing"/>
              <w:rPr>
                <w:sz w:val="24"/>
                <w:szCs w:val="24"/>
              </w:rPr>
            </w:pPr>
            <w:r w:rsidRPr="00C038FC">
              <w:rPr>
                <w:sz w:val="24"/>
                <w:szCs w:val="24"/>
              </w:rPr>
              <w:t>Variables</w:t>
            </w:r>
          </w:p>
        </w:tc>
        <w:tc>
          <w:tcPr>
            <w:tcW w:w="598" w:type="pct"/>
            <w:gridSpan w:val="2"/>
            <w:hideMark/>
          </w:tcPr>
          <w:p w14:paraId="66427ECD" w14:textId="77777777" w:rsidR="00673F93" w:rsidRPr="00C038FC" w:rsidRDefault="00673F93" w:rsidP="005D3ED5">
            <w:pPr>
              <w:pStyle w:val="NoSpacing"/>
              <w:rPr>
                <w:sz w:val="24"/>
                <w:szCs w:val="24"/>
              </w:rPr>
            </w:pPr>
            <w:r w:rsidRPr="00C038FC">
              <w:rPr>
                <w:sz w:val="24"/>
                <w:szCs w:val="24"/>
              </w:rPr>
              <w:t>Mean</w:t>
            </w:r>
          </w:p>
        </w:tc>
        <w:tc>
          <w:tcPr>
            <w:tcW w:w="665" w:type="pct"/>
            <w:hideMark/>
          </w:tcPr>
          <w:p w14:paraId="200779E2" w14:textId="77777777" w:rsidR="00673F93" w:rsidRPr="00C038FC" w:rsidRDefault="00673F93" w:rsidP="005D3ED5">
            <w:pPr>
              <w:pStyle w:val="NoSpacing"/>
              <w:rPr>
                <w:sz w:val="24"/>
                <w:szCs w:val="24"/>
              </w:rPr>
            </w:pPr>
            <w:r w:rsidRPr="00C038FC">
              <w:rPr>
                <w:sz w:val="24"/>
                <w:szCs w:val="24"/>
              </w:rPr>
              <w:t>Median</w:t>
            </w:r>
          </w:p>
        </w:tc>
        <w:tc>
          <w:tcPr>
            <w:tcW w:w="517" w:type="pct"/>
            <w:hideMark/>
          </w:tcPr>
          <w:p w14:paraId="59DB8CCC" w14:textId="77777777" w:rsidR="00673F93" w:rsidRPr="00C038FC" w:rsidRDefault="00673F93" w:rsidP="005D3ED5">
            <w:pPr>
              <w:pStyle w:val="NoSpacing"/>
              <w:rPr>
                <w:sz w:val="24"/>
                <w:szCs w:val="24"/>
              </w:rPr>
            </w:pPr>
            <w:r w:rsidRPr="00C038FC">
              <w:rPr>
                <w:sz w:val="24"/>
                <w:szCs w:val="24"/>
              </w:rPr>
              <w:t>SD</w:t>
            </w:r>
          </w:p>
        </w:tc>
        <w:tc>
          <w:tcPr>
            <w:tcW w:w="600" w:type="pct"/>
            <w:gridSpan w:val="2"/>
            <w:hideMark/>
          </w:tcPr>
          <w:p w14:paraId="56B542B4" w14:textId="77777777" w:rsidR="00673F93" w:rsidRPr="00C038FC" w:rsidRDefault="00673F93" w:rsidP="005D3ED5">
            <w:pPr>
              <w:pStyle w:val="NoSpacing"/>
              <w:rPr>
                <w:sz w:val="24"/>
                <w:szCs w:val="24"/>
              </w:rPr>
            </w:pPr>
            <w:r w:rsidRPr="00C038FC">
              <w:rPr>
                <w:sz w:val="24"/>
                <w:szCs w:val="24"/>
              </w:rPr>
              <w:t>P25</w:t>
            </w:r>
          </w:p>
        </w:tc>
        <w:tc>
          <w:tcPr>
            <w:tcW w:w="594" w:type="pct"/>
            <w:hideMark/>
          </w:tcPr>
          <w:p w14:paraId="02CCD002" w14:textId="77777777" w:rsidR="00673F93" w:rsidRPr="00C038FC" w:rsidRDefault="00673F93" w:rsidP="005D3ED5">
            <w:pPr>
              <w:pStyle w:val="NoSpacing"/>
              <w:rPr>
                <w:sz w:val="24"/>
                <w:szCs w:val="24"/>
              </w:rPr>
            </w:pPr>
            <w:r w:rsidRPr="00C038FC">
              <w:rPr>
                <w:sz w:val="24"/>
                <w:szCs w:val="24"/>
              </w:rPr>
              <w:t>P75</w:t>
            </w:r>
          </w:p>
        </w:tc>
      </w:tr>
      <w:tr w:rsidR="00C038FC" w:rsidRPr="00C038FC" w14:paraId="164F86D0" w14:textId="77777777" w:rsidTr="006E13B1">
        <w:tc>
          <w:tcPr>
            <w:tcW w:w="2026" w:type="pct"/>
            <w:hideMark/>
          </w:tcPr>
          <w:p w14:paraId="72588D27" w14:textId="46803D54" w:rsidR="00673F93" w:rsidRPr="003617AD" w:rsidRDefault="00D7331A" w:rsidP="005D3ED5">
            <w:pPr>
              <w:pStyle w:val="NoSpacing"/>
              <w:rPr>
                <w:sz w:val="24"/>
                <w:szCs w:val="24"/>
              </w:rPr>
            </w:pPr>
            <m:oMathPara>
              <m:oMathParaPr>
                <m:jc m:val="left"/>
              </m:oMathParaPr>
              <m:oMath>
                <m:r>
                  <m:rPr>
                    <m:sty m:val="p"/>
                  </m:rPr>
                  <w:rPr>
                    <w:rFonts w:ascii="Cambria Math" w:hAnsi="Cambria Math" w:cstheme="minorHAnsi"/>
                    <w:sz w:val="24"/>
                    <w:szCs w:val="24"/>
                  </w:rPr>
                  <m:t>Ψ</m:t>
                </m:r>
              </m:oMath>
            </m:oMathPara>
          </w:p>
        </w:tc>
        <w:tc>
          <w:tcPr>
            <w:tcW w:w="598" w:type="pct"/>
            <w:gridSpan w:val="2"/>
            <w:hideMark/>
          </w:tcPr>
          <w:p w14:paraId="4A2C0440" w14:textId="77777777" w:rsidR="00673F93" w:rsidRPr="00C038FC" w:rsidRDefault="00673F93" w:rsidP="005D3ED5">
            <w:pPr>
              <w:pStyle w:val="NoSpacing"/>
              <w:rPr>
                <w:sz w:val="24"/>
                <w:szCs w:val="24"/>
              </w:rPr>
            </w:pPr>
            <w:r w:rsidRPr="00C038FC">
              <w:rPr>
                <w:sz w:val="24"/>
                <w:szCs w:val="24"/>
              </w:rPr>
              <w:t>0.949</w:t>
            </w:r>
          </w:p>
        </w:tc>
        <w:tc>
          <w:tcPr>
            <w:tcW w:w="665" w:type="pct"/>
            <w:hideMark/>
          </w:tcPr>
          <w:p w14:paraId="15ABD5F5" w14:textId="77777777" w:rsidR="00673F93" w:rsidRPr="00C038FC" w:rsidRDefault="00673F93" w:rsidP="005D3ED5">
            <w:pPr>
              <w:pStyle w:val="NoSpacing"/>
              <w:rPr>
                <w:sz w:val="24"/>
                <w:szCs w:val="24"/>
              </w:rPr>
            </w:pPr>
            <w:r w:rsidRPr="00C038FC">
              <w:rPr>
                <w:sz w:val="24"/>
                <w:szCs w:val="24"/>
              </w:rPr>
              <w:t>0.922</w:t>
            </w:r>
          </w:p>
        </w:tc>
        <w:tc>
          <w:tcPr>
            <w:tcW w:w="517" w:type="pct"/>
            <w:hideMark/>
          </w:tcPr>
          <w:p w14:paraId="7C3BCF26" w14:textId="77777777" w:rsidR="00673F93" w:rsidRPr="00C038FC" w:rsidRDefault="00673F93" w:rsidP="005D3ED5">
            <w:pPr>
              <w:pStyle w:val="NoSpacing"/>
              <w:rPr>
                <w:sz w:val="24"/>
                <w:szCs w:val="24"/>
              </w:rPr>
            </w:pPr>
            <w:r w:rsidRPr="00C038FC">
              <w:rPr>
                <w:sz w:val="24"/>
                <w:szCs w:val="24"/>
              </w:rPr>
              <w:t>1.155</w:t>
            </w:r>
          </w:p>
        </w:tc>
        <w:tc>
          <w:tcPr>
            <w:tcW w:w="600" w:type="pct"/>
            <w:gridSpan w:val="2"/>
            <w:hideMark/>
          </w:tcPr>
          <w:p w14:paraId="1D86D905" w14:textId="77777777" w:rsidR="00673F93" w:rsidRPr="00C038FC" w:rsidRDefault="00673F93" w:rsidP="005D3ED5">
            <w:pPr>
              <w:pStyle w:val="NoSpacing"/>
              <w:rPr>
                <w:sz w:val="24"/>
                <w:szCs w:val="24"/>
              </w:rPr>
            </w:pPr>
            <w:r w:rsidRPr="00C038FC">
              <w:rPr>
                <w:sz w:val="24"/>
                <w:szCs w:val="24"/>
              </w:rPr>
              <w:t>0.240</w:t>
            </w:r>
          </w:p>
        </w:tc>
        <w:tc>
          <w:tcPr>
            <w:tcW w:w="594" w:type="pct"/>
            <w:hideMark/>
          </w:tcPr>
          <w:p w14:paraId="5940642A" w14:textId="77777777" w:rsidR="00673F93" w:rsidRPr="00C038FC" w:rsidRDefault="00673F93" w:rsidP="005D3ED5">
            <w:pPr>
              <w:pStyle w:val="NoSpacing"/>
              <w:rPr>
                <w:sz w:val="24"/>
                <w:szCs w:val="24"/>
              </w:rPr>
            </w:pPr>
            <w:r w:rsidRPr="00C038FC">
              <w:rPr>
                <w:sz w:val="24"/>
                <w:szCs w:val="24"/>
              </w:rPr>
              <w:t>1.605</w:t>
            </w:r>
          </w:p>
        </w:tc>
      </w:tr>
      <w:tr w:rsidR="00C038FC" w:rsidRPr="00C038FC" w14:paraId="6A887062" w14:textId="77777777" w:rsidTr="006E13B1">
        <w:tc>
          <w:tcPr>
            <w:tcW w:w="2026" w:type="pct"/>
            <w:hideMark/>
          </w:tcPr>
          <w:p w14:paraId="03F38E17" w14:textId="77777777" w:rsidR="00673F93" w:rsidRPr="00800841" w:rsidRDefault="00673F93" w:rsidP="005D3ED5">
            <w:pPr>
              <w:pStyle w:val="NoSpacing"/>
              <w:rPr>
                <w:i/>
                <w:iCs/>
                <w:sz w:val="24"/>
                <w:szCs w:val="24"/>
              </w:rPr>
            </w:pPr>
            <w:r w:rsidRPr="00800841">
              <w:rPr>
                <w:i/>
                <w:iCs/>
                <w:sz w:val="24"/>
                <w:szCs w:val="24"/>
              </w:rPr>
              <w:t>PIN</w:t>
            </w:r>
          </w:p>
        </w:tc>
        <w:tc>
          <w:tcPr>
            <w:tcW w:w="598" w:type="pct"/>
            <w:gridSpan w:val="2"/>
            <w:hideMark/>
          </w:tcPr>
          <w:p w14:paraId="319EC87F" w14:textId="77777777" w:rsidR="00673F93" w:rsidRPr="00C038FC" w:rsidRDefault="00673F93" w:rsidP="005D3ED5">
            <w:pPr>
              <w:pStyle w:val="NoSpacing"/>
              <w:rPr>
                <w:sz w:val="24"/>
                <w:szCs w:val="24"/>
              </w:rPr>
            </w:pPr>
            <w:r w:rsidRPr="00C038FC">
              <w:rPr>
                <w:sz w:val="24"/>
                <w:szCs w:val="24"/>
              </w:rPr>
              <w:t>0.114</w:t>
            </w:r>
          </w:p>
        </w:tc>
        <w:tc>
          <w:tcPr>
            <w:tcW w:w="665" w:type="pct"/>
            <w:hideMark/>
          </w:tcPr>
          <w:p w14:paraId="337E7632" w14:textId="77777777" w:rsidR="00673F93" w:rsidRPr="00C038FC" w:rsidRDefault="00673F93" w:rsidP="005D3ED5">
            <w:pPr>
              <w:pStyle w:val="NoSpacing"/>
              <w:rPr>
                <w:sz w:val="24"/>
                <w:szCs w:val="24"/>
              </w:rPr>
            </w:pPr>
            <w:r w:rsidRPr="00C038FC">
              <w:rPr>
                <w:sz w:val="24"/>
                <w:szCs w:val="24"/>
              </w:rPr>
              <w:t>0.107</w:t>
            </w:r>
          </w:p>
        </w:tc>
        <w:tc>
          <w:tcPr>
            <w:tcW w:w="517" w:type="pct"/>
            <w:hideMark/>
          </w:tcPr>
          <w:p w14:paraId="15892FA3" w14:textId="77777777" w:rsidR="00673F93" w:rsidRPr="00C038FC" w:rsidRDefault="00673F93" w:rsidP="005D3ED5">
            <w:pPr>
              <w:pStyle w:val="NoSpacing"/>
              <w:rPr>
                <w:sz w:val="24"/>
                <w:szCs w:val="24"/>
              </w:rPr>
            </w:pPr>
            <w:r w:rsidRPr="00C038FC">
              <w:rPr>
                <w:sz w:val="24"/>
                <w:szCs w:val="24"/>
              </w:rPr>
              <w:t>0.050</w:t>
            </w:r>
          </w:p>
        </w:tc>
        <w:tc>
          <w:tcPr>
            <w:tcW w:w="600" w:type="pct"/>
            <w:gridSpan w:val="2"/>
            <w:hideMark/>
          </w:tcPr>
          <w:p w14:paraId="4AF54107" w14:textId="77777777" w:rsidR="00673F93" w:rsidRPr="00C038FC" w:rsidRDefault="00673F93" w:rsidP="005D3ED5">
            <w:pPr>
              <w:pStyle w:val="NoSpacing"/>
              <w:rPr>
                <w:sz w:val="24"/>
                <w:szCs w:val="24"/>
              </w:rPr>
            </w:pPr>
            <w:r w:rsidRPr="00C038FC">
              <w:rPr>
                <w:sz w:val="24"/>
                <w:szCs w:val="24"/>
              </w:rPr>
              <w:t>0.083</w:t>
            </w:r>
          </w:p>
        </w:tc>
        <w:tc>
          <w:tcPr>
            <w:tcW w:w="594" w:type="pct"/>
            <w:hideMark/>
          </w:tcPr>
          <w:p w14:paraId="3DCC87F4" w14:textId="77777777" w:rsidR="00673F93" w:rsidRPr="00C038FC" w:rsidRDefault="00673F93" w:rsidP="005D3ED5">
            <w:pPr>
              <w:pStyle w:val="NoSpacing"/>
              <w:rPr>
                <w:sz w:val="24"/>
                <w:szCs w:val="24"/>
              </w:rPr>
            </w:pPr>
            <w:r w:rsidRPr="00C038FC">
              <w:rPr>
                <w:sz w:val="24"/>
                <w:szCs w:val="24"/>
              </w:rPr>
              <w:t>0.137</w:t>
            </w:r>
          </w:p>
        </w:tc>
      </w:tr>
      <w:tr w:rsidR="00C038FC" w:rsidRPr="00C038FC" w14:paraId="33B8D6BA" w14:textId="77777777" w:rsidTr="006E13B1">
        <w:tc>
          <w:tcPr>
            <w:tcW w:w="2026" w:type="pct"/>
            <w:hideMark/>
          </w:tcPr>
          <w:p w14:paraId="0F4C4A27" w14:textId="77777777" w:rsidR="00673F93" w:rsidRPr="00800841" w:rsidRDefault="00673F93" w:rsidP="005D3ED5">
            <w:pPr>
              <w:pStyle w:val="NoSpacing"/>
              <w:rPr>
                <w:i/>
                <w:iCs/>
                <w:sz w:val="24"/>
                <w:szCs w:val="24"/>
              </w:rPr>
            </w:pPr>
            <w:r w:rsidRPr="00800841">
              <w:rPr>
                <w:i/>
                <w:iCs/>
                <w:sz w:val="24"/>
                <w:szCs w:val="24"/>
              </w:rPr>
              <w:t>CSR</w:t>
            </w:r>
          </w:p>
        </w:tc>
        <w:tc>
          <w:tcPr>
            <w:tcW w:w="598" w:type="pct"/>
            <w:gridSpan w:val="2"/>
            <w:hideMark/>
          </w:tcPr>
          <w:p w14:paraId="7CC578E1" w14:textId="77777777" w:rsidR="00673F93" w:rsidRPr="00C038FC" w:rsidRDefault="00673F93" w:rsidP="005D3ED5">
            <w:pPr>
              <w:pStyle w:val="NoSpacing"/>
              <w:rPr>
                <w:sz w:val="24"/>
                <w:szCs w:val="24"/>
              </w:rPr>
            </w:pPr>
            <w:r w:rsidRPr="00C038FC">
              <w:rPr>
                <w:sz w:val="24"/>
                <w:szCs w:val="24"/>
              </w:rPr>
              <w:t>−0.126</w:t>
            </w:r>
          </w:p>
        </w:tc>
        <w:tc>
          <w:tcPr>
            <w:tcW w:w="665" w:type="pct"/>
            <w:hideMark/>
          </w:tcPr>
          <w:p w14:paraId="3EBB5137" w14:textId="77777777" w:rsidR="00673F93" w:rsidRPr="00C038FC" w:rsidRDefault="00673F93" w:rsidP="005D3ED5">
            <w:pPr>
              <w:pStyle w:val="NoSpacing"/>
              <w:rPr>
                <w:sz w:val="24"/>
                <w:szCs w:val="24"/>
              </w:rPr>
            </w:pPr>
            <w:r w:rsidRPr="00C038FC">
              <w:rPr>
                <w:sz w:val="24"/>
                <w:szCs w:val="24"/>
              </w:rPr>
              <w:t>−0.161</w:t>
            </w:r>
          </w:p>
        </w:tc>
        <w:tc>
          <w:tcPr>
            <w:tcW w:w="517" w:type="pct"/>
            <w:hideMark/>
          </w:tcPr>
          <w:p w14:paraId="33278006" w14:textId="77777777" w:rsidR="00673F93" w:rsidRPr="00C038FC" w:rsidRDefault="00673F93" w:rsidP="005D3ED5">
            <w:pPr>
              <w:pStyle w:val="NoSpacing"/>
              <w:rPr>
                <w:sz w:val="24"/>
                <w:szCs w:val="24"/>
              </w:rPr>
            </w:pPr>
            <w:r w:rsidRPr="00C038FC">
              <w:rPr>
                <w:sz w:val="24"/>
                <w:szCs w:val="24"/>
              </w:rPr>
              <w:t>0.501</w:t>
            </w:r>
          </w:p>
        </w:tc>
        <w:tc>
          <w:tcPr>
            <w:tcW w:w="600" w:type="pct"/>
            <w:gridSpan w:val="2"/>
            <w:hideMark/>
          </w:tcPr>
          <w:p w14:paraId="0D67463E" w14:textId="77777777" w:rsidR="00673F93" w:rsidRPr="00C038FC" w:rsidRDefault="00673F93" w:rsidP="005D3ED5">
            <w:pPr>
              <w:pStyle w:val="NoSpacing"/>
              <w:rPr>
                <w:sz w:val="24"/>
                <w:szCs w:val="24"/>
              </w:rPr>
            </w:pPr>
            <w:r w:rsidRPr="00C038FC">
              <w:rPr>
                <w:sz w:val="24"/>
                <w:szCs w:val="24"/>
              </w:rPr>
              <w:t>−0.375</w:t>
            </w:r>
          </w:p>
        </w:tc>
        <w:tc>
          <w:tcPr>
            <w:tcW w:w="594" w:type="pct"/>
            <w:hideMark/>
          </w:tcPr>
          <w:p w14:paraId="4DFE66C1" w14:textId="77777777" w:rsidR="00673F93" w:rsidRPr="00C038FC" w:rsidRDefault="00673F93" w:rsidP="005D3ED5">
            <w:pPr>
              <w:pStyle w:val="NoSpacing"/>
              <w:rPr>
                <w:sz w:val="24"/>
                <w:szCs w:val="24"/>
              </w:rPr>
            </w:pPr>
            <w:r w:rsidRPr="00C038FC">
              <w:rPr>
                <w:sz w:val="24"/>
                <w:szCs w:val="24"/>
              </w:rPr>
              <w:t>0.125</w:t>
            </w:r>
          </w:p>
        </w:tc>
      </w:tr>
      <w:tr w:rsidR="00C038FC" w:rsidRPr="00C038FC" w14:paraId="08C5DABB" w14:textId="77777777" w:rsidTr="006E13B1">
        <w:tc>
          <w:tcPr>
            <w:tcW w:w="2026" w:type="pct"/>
            <w:hideMark/>
          </w:tcPr>
          <w:p w14:paraId="55126487" w14:textId="77777777" w:rsidR="00673F93" w:rsidRPr="00800841" w:rsidRDefault="00673F93" w:rsidP="005D3ED5">
            <w:pPr>
              <w:pStyle w:val="NoSpacing"/>
              <w:rPr>
                <w:i/>
                <w:iCs/>
                <w:sz w:val="24"/>
                <w:szCs w:val="24"/>
              </w:rPr>
            </w:pPr>
            <w:r w:rsidRPr="00800841">
              <w:rPr>
                <w:i/>
                <w:iCs/>
                <w:sz w:val="24"/>
                <w:szCs w:val="24"/>
              </w:rPr>
              <w:t>CSR_STR</w:t>
            </w:r>
          </w:p>
        </w:tc>
        <w:tc>
          <w:tcPr>
            <w:tcW w:w="598" w:type="pct"/>
            <w:gridSpan w:val="2"/>
            <w:hideMark/>
          </w:tcPr>
          <w:p w14:paraId="3DA76968" w14:textId="77777777" w:rsidR="00673F93" w:rsidRPr="00C038FC" w:rsidRDefault="00673F93" w:rsidP="005D3ED5">
            <w:pPr>
              <w:pStyle w:val="NoSpacing"/>
              <w:rPr>
                <w:sz w:val="24"/>
                <w:szCs w:val="24"/>
              </w:rPr>
            </w:pPr>
            <w:r w:rsidRPr="00C038FC">
              <w:rPr>
                <w:sz w:val="24"/>
                <w:szCs w:val="24"/>
              </w:rPr>
              <w:t>0.261</w:t>
            </w:r>
          </w:p>
        </w:tc>
        <w:tc>
          <w:tcPr>
            <w:tcW w:w="665" w:type="pct"/>
            <w:hideMark/>
          </w:tcPr>
          <w:p w14:paraId="5A8396DE" w14:textId="77777777" w:rsidR="00673F93" w:rsidRPr="00C038FC" w:rsidRDefault="00673F93" w:rsidP="005D3ED5">
            <w:pPr>
              <w:pStyle w:val="NoSpacing"/>
              <w:rPr>
                <w:sz w:val="24"/>
                <w:szCs w:val="24"/>
              </w:rPr>
            </w:pPr>
            <w:r w:rsidRPr="00C038FC">
              <w:rPr>
                <w:sz w:val="24"/>
                <w:szCs w:val="24"/>
              </w:rPr>
              <w:t>0.125</w:t>
            </w:r>
          </w:p>
        </w:tc>
        <w:tc>
          <w:tcPr>
            <w:tcW w:w="517" w:type="pct"/>
            <w:hideMark/>
          </w:tcPr>
          <w:p w14:paraId="053FA58F" w14:textId="77777777" w:rsidR="00673F93" w:rsidRPr="00C038FC" w:rsidRDefault="00673F93" w:rsidP="005D3ED5">
            <w:pPr>
              <w:pStyle w:val="NoSpacing"/>
              <w:rPr>
                <w:sz w:val="24"/>
                <w:szCs w:val="24"/>
              </w:rPr>
            </w:pPr>
            <w:r w:rsidRPr="00C038FC">
              <w:rPr>
                <w:sz w:val="24"/>
                <w:szCs w:val="24"/>
              </w:rPr>
              <w:t>0.428</w:t>
            </w:r>
          </w:p>
        </w:tc>
        <w:tc>
          <w:tcPr>
            <w:tcW w:w="600" w:type="pct"/>
            <w:gridSpan w:val="2"/>
            <w:hideMark/>
          </w:tcPr>
          <w:p w14:paraId="75BF096E" w14:textId="77777777" w:rsidR="00673F93" w:rsidRPr="00C038FC" w:rsidRDefault="00673F93" w:rsidP="005D3ED5">
            <w:pPr>
              <w:pStyle w:val="NoSpacing"/>
              <w:rPr>
                <w:sz w:val="24"/>
                <w:szCs w:val="24"/>
              </w:rPr>
            </w:pPr>
            <w:r w:rsidRPr="00C038FC">
              <w:rPr>
                <w:sz w:val="24"/>
                <w:szCs w:val="24"/>
              </w:rPr>
              <w:t>0.000</w:t>
            </w:r>
          </w:p>
        </w:tc>
        <w:tc>
          <w:tcPr>
            <w:tcW w:w="594" w:type="pct"/>
            <w:hideMark/>
          </w:tcPr>
          <w:p w14:paraId="3CD9C0CA" w14:textId="77777777" w:rsidR="00673F93" w:rsidRPr="00C038FC" w:rsidRDefault="00673F93" w:rsidP="005D3ED5">
            <w:pPr>
              <w:pStyle w:val="NoSpacing"/>
              <w:rPr>
                <w:sz w:val="24"/>
                <w:szCs w:val="24"/>
              </w:rPr>
            </w:pPr>
            <w:r w:rsidRPr="00C038FC">
              <w:rPr>
                <w:sz w:val="24"/>
                <w:szCs w:val="24"/>
              </w:rPr>
              <w:t>0.333</w:t>
            </w:r>
          </w:p>
        </w:tc>
      </w:tr>
      <w:tr w:rsidR="00C038FC" w:rsidRPr="00C038FC" w14:paraId="3627F696" w14:textId="77777777" w:rsidTr="006E13B1">
        <w:tc>
          <w:tcPr>
            <w:tcW w:w="2026" w:type="pct"/>
            <w:hideMark/>
          </w:tcPr>
          <w:p w14:paraId="2964E724" w14:textId="77777777" w:rsidR="00673F93" w:rsidRPr="00800841" w:rsidRDefault="00673F93" w:rsidP="005D3ED5">
            <w:pPr>
              <w:pStyle w:val="NoSpacing"/>
              <w:rPr>
                <w:i/>
                <w:iCs/>
                <w:sz w:val="24"/>
                <w:szCs w:val="24"/>
              </w:rPr>
            </w:pPr>
            <w:r w:rsidRPr="00800841">
              <w:rPr>
                <w:i/>
                <w:iCs/>
                <w:sz w:val="24"/>
                <w:szCs w:val="24"/>
              </w:rPr>
              <w:lastRenderedPageBreak/>
              <w:t>CSR_CON</w:t>
            </w:r>
          </w:p>
        </w:tc>
        <w:tc>
          <w:tcPr>
            <w:tcW w:w="598" w:type="pct"/>
            <w:gridSpan w:val="2"/>
            <w:hideMark/>
          </w:tcPr>
          <w:p w14:paraId="1F041431" w14:textId="77777777" w:rsidR="00673F93" w:rsidRPr="00C038FC" w:rsidRDefault="00673F93" w:rsidP="005D3ED5">
            <w:pPr>
              <w:pStyle w:val="NoSpacing"/>
              <w:rPr>
                <w:sz w:val="24"/>
                <w:szCs w:val="24"/>
              </w:rPr>
            </w:pPr>
            <w:r w:rsidRPr="00C038FC">
              <w:rPr>
                <w:sz w:val="24"/>
                <w:szCs w:val="24"/>
              </w:rPr>
              <w:t>0.387</w:t>
            </w:r>
          </w:p>
        </w:tc>
        <w:tc>
          <w:tcPr>
            <w:tcW w:w="665" w:type="pct"/>
            <w:hideMark/>
          </w:tcPr>
          <w:p w14:paraId="7A87538B" w14:textId="77777777" w:rsidR="00673F93" w:rsidRPr="00C038FC" w:rsidRDefault="00673F93" w:rsidP="005D3ED5">
            <w:pPr>
              <w:pStyle w:val="NoSpacing"/>
              <w:rPr>
                <w:sz w:val="24"/>
                <w:szCs w:val="24"/>
              </w:rPr>
            </w:pPr>
            <w:r w:rsidRPr="00C038FC">
              <w:rPr>
                <w:sz w:val="24"/>
                <w:szCs w:val="24"/>
              </w:rPr>
              <w:t>0.333</w:t>
            </w:r>
          </w:p>
        </w:tc>
        <w:tc>
          <w:tcPr>
            <w:tcW w:w="517" w:type="pct"/>
            <w:hideMark/>
          </w:tcPr>
          <w:p w14:paraId="349D0118" w14:textId="77777777" w:rsidR="00673F93" w:rsidRPr="00C038FC" w:rsidRDefault="00673F93" w:rsidP="005D3ED5">
            <w:pPr>
              <w:pStyle w:val="NoSpacing"/>
              <w:rPr>
                <w:sz w:val="24"/>
                <w:szCs w:val="24"/>
              </w:rPr>
            </w:pPr>
            <w:r w:rsidRPr="00C038FC">
              <w:rPr>
                <w:sz w:val="24"/>
                <w:szCs w:val="24"/>
              </w:rPr>
              <w:t>0.403</w:t>
            </w:r>
          </w:p>
        </w:tc>
        <w:tc>
          <w:tcPr>
            <w:tcW w:w="600" w:type="pct"/>
            <w:gridSpan w:val="2"/>
            <w:hideMark/>
          </w:tcPr>
          <w:p w14:paraId="063FCA77" w14:textId="77777777" w:rsidR="00673F93" w:rsidRPr="00C038FC" w:rsidRDefault="00673F93" w:rsidP="005D3ED5">
            <w:pPr>
              <w:pStyle w:val="NoSpacing"/>
              <w:rPr>
                <w:sz w:val="24"/>
                <w:szCs w:val="24"/>
              </w:rPr>
            </w:pPr>
            <w:r w:rsidRPr="00C038FC">
              <w:rPr>
                <w:sz w:val="24"/>
                <w:szCs w:val="24"/>
              </w:rPr>
              <w:t>0.000</w:t>
            </w:r>
          </w:p>
        </w:tc>
        <w:tc>
          <w:tcPr>
            <w:tcW w:w="594" w:type="pct"/>
            <w:hideMark/>
          </w:tcPr>
          <w:p w14:paraId="5846FB6A" w14:textId="77777777" w:rsidR="00673F93" w:rsidRPr="00C038FC" w:rsidRDefault="00673F93" w:rsidP="005D3ED5">
            <w:pPr>
              <w:pStyle w:val="NoSpacing"/>
              <w:rPr>
                <w:sz w:val="24"/>
                <w:szCs w:val="24"/>
              </w:rPr>
            </w:pPr>
            <w:r w:rsidRPr="00C038FC">
              <w:rPr>
                <w:sz w:val="24"/>
                <w:szCs w:val="24"/>
              </w:rPr>
              <w:t>0.533</w:t>
            </w:r>
          </w:p>
        </w:tc>
      </w:tr>
      <w:tr w:rsidR="00C038FC" w:rsidRPr="00C038FC" w14:paraId="0586452D" w14:textId="77777777" w:rsidTr="006E13B1">
        <w:tc>
          <w:tcPr>
            <w:tcW w:w="2026" w:type="pct"/>
            <w:hideMark/>
          </w:tcPr>
          <w:p w14:paraId="362BB39B" w14:textId="77777777" w:rsidR="00673F93" w:rsidRPr="00800841" w:rsidRDefault="00673F93" w:rsidP="005D3ED5">
            <w:pPr>
              <w:pStyle w:val="NoSpacing"/>
              <w:rPr>
                <w:i/>
                <w:iCs/>
                <w:sz w:val="24"/>
                <w:szCs w:val="24"/>
              </w:rPr>
            </w:pPr>
            <w:r w:rsidRPr="00800841">
              <w:rPr>
                <w:i/>
                <w:iCs/>
                <w:sz w:val="24"/>
                <w:szCs w:val="24"/>
              </w:rPr>
              <w:t>LOG(EDGAR_1)</w:t>
            </w:r>
          </w:p>
        </w:tc>
        <w:tc>
          <w:tcPr>
            <w:tcW w:w="598" w:type="pct"/>
            <w:gridSpan w:val="2"/>
            <w:hideMark/>
          </w:tcPr>
          <w:p w14:paraId="4596165A" w14:textId="77777777" w:rsidR="00673F93" w:rsidRPr="00C038FC" w:rsidRDefault="00673F93" w:rsidP="005D3ED5">
            <w:pPr>
              <w:pStyle w:val="NoSpacing"/>
              <w:rPr>
                <w:sz w:val="24"/>
                <w:szCs w:val="24"/>
              </w:rPr>
            </w:pPr>
            <w:r w:rsidRPr="00C038FC">
              <w:rPr>
                <w:sz w:val="24"/>
                <w:szCs w:val="24"/>
              </w:rPr>
              <w:t>2.595</w:t>
            </w:r>
          </w:p>
        </w:tc>
        <w:tc>
          <w:tcPr>
            <w:tcW w:w="665" w:type="pct"/>
            <w:hideMark/>
          </w:tcPr>
          <w:p w14:paraId="29E45AC1" w14:textId="77777777" w:rsidR="00673F93" w:rsidRPr="00C038FC" w:rsidRDefault="00673F93" w:rsidP="005D3ED5">
            <w:pPr>
              <w:pStyle w:val="NoSpacing"/>
              <w:rPr>
                <w:sz w:val="24"/>
                <w:szCs w:val="24"/>
              </w:rPr>
            </w:pPr>
            <w:r w:rsidRPr="00C038FC">
              <w:rPr>
                <w:sz w:val="24"/>
                <w:szCs w:val="24"/>
              </w:rPr>
              <w:t>2.773</w:t>
            </w:r>
          </w:p>
        </w:tc>
        <w:tc>
          <w:tcPr>
            <w:tcW w:w="517" w:type="pct"/>
            <w:hideMark/>
          </w:tcPr>
          <w:p w14:paraId="387A72B5" w14:textId="77777777" w:rsidR="00673F93" w:rsidRPr="00C038FC" w:rsidRDefault="00673F93" w:rsidP="005D3ED5">
            <w:pPr>
              <w:pStyle w:val="NoSpacing"/>
              <w:rPr>
                <w:sz w:val="24"/>
                <w:szCs w:val="24"/>
              </w:rPr>
            </w:pPr>
            <w:r w:rsidRPr="00C038FC">
              <w:rPr>
                <w:sz w:val="24"/>
                <w:szCs w:val="24"/>
              </w:rPr>
              <w:t>1.524</w:t>
            </w:r>
          </w:p>
        </w:tc>
        <w:tc>
          <w:tcPr>
            <w:tcW w:w="600" w:type="pct"/>
            <w:gridSpan w:val="2"/>
            <w:hideMark/>
          </w:tcPr>
          <w:p w14:paraId="4C8F665D" w14:textId="77777777" w:rsidR="00673F93" w:rsidRPr="00C038FC" w:rsidRDefault="00673F93" w:rsidP="005D3ED5">
            <w:pPr>
              <w:pStyle w:val="NoSpacing"/>
              <w:rPr>
                <w:sz w:val="24"/>
                <w:szCs w:val="24"/>
              </w:rPr>
            </w:pPr>
            <w:r w:rsidRPr="00C038FC">
              <w:rPr>
                <w:sz w:val="24"/>
                <w:szCs w:val="24"/>
              </w:rPr>
              <w:t>1.609</w:t>
            </w:r>
          </w:p>
        </w:tc>
        <w:tc>
          <w:tcPr>
            <w:tcW w:w="594" w:type="pct"/>
            <w:hideMark/>
          </w:tcPr>
          <w:p w14:paraId="3456EB1B" w14:textId="77777777" w:rsidR="00673F93" w:rsidRPr="00C038FC" w:rsidRDefault="00673F93" w:rsidP="005D3ED5">
            <w:pPr>
              <w:pStyle w:val="NoSpacing"/>
              <w:rPr>
                <w:sz w:val="24"/>
                <w:szCs w:val="24"/>
              </w:rPr>
            </w:pPr>
            <w:r w:rsidRPr="00C038FC">
              <w:rPr>
                <w:sz w:val="24"/>
                <w:szCs w:val="24"/>
              </w:rPr>
              <w:t>3.584</w:t>
            </w:r>
          </w:p>
        </w:tc>
      </w:tr>
      <w:tr w:rsidR="00C038FC" w:rsidRPr="00C038FC" w14:paraId="3390C37C" w14:textId="77777777" w:rsidTr="006E13B1">
        <w:tc>
          <w:tcPr>
            <w:tcW w:w="2026" w:type="pct"/>
            <w:hideMark/>
          </w:tcPr>
          <w:p w14:paraId="0B188513" w14:textId="77777777" w:rsidR="00673F93" w:rsidRPr="00800841" w:rsidRDefault="00673F93" w:rsidP="005D3ED5">
            <w:pPr>
              <w:pStyle w:val="NoSpacing"/>
              <w:rPr>
                <w:i/>
                <w:iCs/>
                <w:sz w:val="24"/>
                <w:szCs w:val="24"/>
              </w:rPr>
            </w:pPr>
            <w:r w:rsidRPr="00800841">
              <w:rPr>
                <w:i/>
                <w:iCs/>
                <w:sz w:val="24"/>
                <w:szCs w:val="24"/>
              </w:rPr>
              <w:t>LOG(EDGAR_3)</w:t>
            </w:r>
          </w:p>
        </w:tc>
        <w:tc>
          <w:tcPr>
            <w:tcW w:w="598" w:type="pct"/>
            <w:gridSpan w:val="2"/>
            <w:hideMark/>
          </w:tcPr>
          <w:p w14:paraId="46B5E672" w14:textId="77777777" w:rsidR="00673F93" w:rsidRPr="00C038FC" w:rsidRDefault="00673F93" w:rsidP="005D3ED5">
            <w:pPr>
              <w:pStyle w:val="NoSpacing"/>
              <w:rPr>
                <w:sz w:val="24"/>
                <w:szCs w:val="24"/>
              </w:rPr>
            </w:pPr>
            <w:r w:rsidRPr="00C038FC">
              <w:rPr>
                <w:sz w:val="24"/>
                <w:szCs w:val="24"/>
              </w:rPr>
              <w:t>3.293</w:t>
            </w:r>
          </w:p>
        </w:tc>
        <w:tc>
          <w:tcPr>
            <w:tcW w:w="665" w:type="pct"/>
            <w:hideMark/>
          </w:tcPr>
          <w:p w14:paraId="4B567443" w14:textId="77777777" w:rsidR="00673F93" w:rsidRPr="00C038FC" w:rsidRDefault="00673F93" w:rsidP="005D3ED5">
            <w:pPr>
              <w:pStyle w:val="NoSpacing"/>
              <w:rPr>
                <w:sz w:val="24"/>
                <w:szCs w:val="24"/>
              </w:rPr>
            </w:pPr>
            <w:r w:rsidRPr="00C038FC">
              <w:rPr>
                <w:sz w:val="24"/>
                <w:szCs w:val="24"/>
              </w:rPr>
              <w:t>3.555</w:t>
            </w:r>
          </w:p>
        </w:tc>
        <w:tc>
          <w:tcPr>
            <w:tcW w:w="517" w:type="pct"/>
            <w:hideMark/>
          </w:tcPr>
          <w:p w14:paraId="4EB707CE" w14:textId="77777777" w:rsidR="00673F93" w:rsidRPr="00C038FC" w:rsidRDefault="00673F93" w:rsidP="005D3ED5">
            <w:pPr>
              <w:pStyle w:val="NoSpacing"/>
              <w:rPr>
                <w:sz w:val="24"/>
                <w:szCs w:val="24"/>
              </w:rPr>
            </w:pPr>
            <w:r w:rsidRPr="00C038FC">
              <w:rPr>
                <w:sz w:val="24"/>
                <w:szCs w:val="24"/>
              </w:rPr>
              <w:t>1.693</w:t>
            </w:r>
          </w:p>
        </w:tc>
        <w:tc>
          <w:tcPr>
            <w:tcW w:w="600" w:type="pct"/>
            <w:gridSpan w:val="2"/>
            <w:hideMark/>
          </w:tcPr>
          <w:p w14:paraId="5EB33F07" w14:textId="77777777" w:rsidR="00673F93" w:rsidRPr="00C038FC" w:rsidRDefault="00673F93" w:rsidP="005D3ED5">
            <w:pPr>
              <w:pStyle w:val="NoSpacing"/>
              <w:rPr>
                <w:sz w:val="24"/>
                <w:szCs w:val="24"/>
              </w:rPr>
            </w:pPr>
            <w:r w:rsidRPr="00C038FC">
              <w:rPr>
                <w:sz w:val="24"/>
                <w:szCs w:val="24"/>
              </w:rPr>
              <w:t>2.639</w:t>
            </w:r>
          </w:p>
        </w:tc>
        <w:tc>
          <w:tcPr>
            <w:tcW w:w="594" w:type="pct"/>
            <w:hideMark/>
          </w:tcPr>
          <w:p w14:paraId="1D85DD8A" w14:textId="77777777" w:rsidR="00673F93" w:rsidRPr="00C038FC" w:rsidRDefault="00673F93" w:rsidP="005D3ED5">
            <w:pPr>
              <w:pStyle w:val="NoSpacing"/>
              <w:rPr>
                <w:sz w:val="24"/>
                <w:szCs w:val="24"/>
              </w:rPr>
            </w:pPr>
            <w:r w:rsidRPr="00C038FC">
              <w:rPr>
                <w:sz w:val="24"/>
                <w:szCs w:val="24"/>
              </w:rPr>
              <w:t>4.317</w:t>
            </w:r>
          </w:p>
        </w:tc>
      </w:tr>
      <w:tr w:rsidR="00C038FC" w:rsidRPr="00C038FC" w14:paraId="5BC892AC" w14:textId="77777777" w:rsidTr="006E13B1">
        <w:tc>
          <w:tcPr>
            <w:tcW w:w="2026" w:type="pct"/>
            <w:hideMark/>
          </w:tcPr>
          <w:p w14:paraId="53A84968" w14:textId="77777777" w:rsidR="00673F93" w:rsidRPr="00800841" w:rsidRDefault="00673F93" w:rsidP="005D3ED5">
            <w:pPr>
              <w:pStyle w:val="NoSpacing"/>
              <w:rPr>
                <w:i/>
                <w:iCs/>
                <w:sz w:val="24"/>
                <w:szCs w:val="24"/>
              </w:rPr>
            </w:pPr>
            <w:r w:rsidRPr="00800841">
              <w:rPr>
                <w:i/>
                <w:iCs/>
                <w:sz w:val="24"/>
                <w:szCs w:val="24"/>
              </w:rPr>
              <w:t>LOG(EDGAR_1WK)</w:t>
            </w:r>
          </w:p>
        </w:tc>
        <w:tc>
          <w:tcPr>
            <w:tcW w:w="598" w:type="pct"/>
            <w:gridSpan w:val="2"/>
            <w:hideMark/>
          </w:tcPr>
          <w:p w14:paraId="7A15010E" w14:textId="77777777" w:rsidR="00673F93" w:rsidRPr="00C038FC" w:rsidRDefault="00673F93" w:rsidP="005D3ED5">
            <w:pPr>
              <w:pStyle w:val="NoSpacing"/>
              <w:rPr>
                <w:sz w:val="24"/>
                <w:szCs w:val="24"/>
              </w:rPr>
            </w:pPr>
            <w:r w:rsidRPr="00C038FC">
              <w:rPr>
                <w:sz w:val="24"/>
                <w:szCs w:val="24"/>
              </w:rPr>
              <w:t>3.772</w:t>
            </w:r>
          </w:p>
        </w:tc>
        <w:tc>
          <w:tcPr>
            <w:tcW w:w="665" w:type="pct"/>
            <w:hideMark/>
          </w:tcPr>
          <w:p w14:paraId="12D673F8" w14:textId="77777777" w:rsidR="00673F93" w:rsidRPr="00C038FC" w:rsidRDefault="00673F93" w:rsidP="005D3ED5">
            <w:pPr>
              <w:pStyle w:val="NoSpacing"/>
              <w:rPr>
                <w:sz w:val="24"/>
                <w:szCs w:val="24"/>
              </w:rPr>
            </w:pPr>
            <w:r w:rsidRPr="00C038FC">
              <w:rPr>
                <w:sz w:val="24"/>
                <w:szCs w:val="24"/>
              </w:rPr>
              <w:t>4.094</w:t>
            </w:r>
          </w:p>
        </w:tc>
        <w:tc>
          <w:tcPr>
            <w:tcW w:w="517" w:type="pct"/>
            <w:hideMark/>
          </w:tcPr>
          <w:p w14:paraId="482BAA90" w14:textId="77777777" w:rsidR="00673F93" w:rsidRPr="00C038FC" w:rsidRDefault="00673F93" w:rsidP="005D3ED5">
            <w:pPr>
              <w:pStyle w:val="NoSpacing"/>
              <w:rPr>
                <w:sz w:val="24"/>
                <w:szCs w:val="24"/>
              </w:rPr>
            </w:pPr>
            <w:r w:rsidRPr="00C038FC">
              <w:rPr>
                <w:sz w:val="24"/>
                <w:szCs w:val="24"/>
              </w:rPr>
              <w:t>1.804</w:t>
            </w:r>
          </w:p>
        </w:tc>
        <w:tc>
          <w:tcPr>
            <w:tcW w:w="600" w:type="pct"/>
            <w:gridSpan w:val="2"/>
            <w:hideMark/>
          </w:tcPr>
          <w:p w14:paraId="4E3B3C5D" w14:textId="77777777" w:rsidR="00673F93" w:rsidRPr="00C038FC" w:rsidRDefault="00673F93" w:rsidP="005D3ED5">
            <w:pPr>
              <w:pStyle w:val="NoSpacing"/>
              <w:rPr>
                <w:sz w:val="24"/>
                <w:szCs w:val="24"/>
              </w:rPr>
            </w:pPr>
            <w:r w:rsidRPr="00C038FC">
              <w:rPr>
                <w:sz w:val="24"/>
                <w:szCs w:val="24"/>
              </w:rPr>
              <w:t>3.296</w:t>
            </w:r>
          </w:p>
        </w:tc>
        <w:tc>
          <w:tcPr>
            <w:tcW w:w="594" w:type="pct"/>
            <w:hideMark/>
          </w:tcPr>
          <w:p w14:paraId="5187A4C2" w14:textId="77777777" w:rsidR="00673F93" w:rsidRPr="00C038FC" w:rsidRDefault="00673F93" w:rsidP="005D3ED5">
            <w:pPr>
              <w:pStyle w:val="NoSpacing"/>
              <w:rPr>
                <w:sz w:val="24"/>
                <w:szCs w:val="24"/>
              </w:rPr>
            </w:pPr>
            <w:r w:rsidRPr="00C038FC">
              <w:rPr>
                <w:sz w:val="24"/>
                <w:szCs w:val="24"/>
              </w:rPr>
              <w:t>4.820</w:t>
            </w:r>
          </w:p>
        </w:tc>
      </w:tr>
      <w:tr w:rsidR="00C038FC" w:rsidRPr="00C038FC" w14:paraId="387C3136" w14:textId="77777777" w:rsidTr="006E13B1">
        <w:tc>
          <w:tcPr>
            <w:tcW w:w="2026" w:type="pct"/>
            <w:hideMark/>
          </w:tcPr>
          <w:p w14:paraId="38AFB56A" w14:textId="77777777" w:rsidR="00673F93" w:rsidRPr="00800841" w:rsidRDefault="00673F93" w:rsidP="005D3ED5">
            <w:pPr>
              <w:pStyle w:val="NoSpacing"/>
              <w:rPr>
                <w:i/>
                <w:iCs/>
                <w:sz w:val="24"/>
                <w:szCs w:val="24"/>
              </w:rPr>
            </w:pPr>
            <w:proofErr w:type="gramStart"/>
            <w:r w:rsidRPr="00800841">
              <w:rPr>
                <w:i/>
                <w:iCs/>
                <w:sz w:val="24"/>
                <w:szCs w:val="24"/>
              </w:rPr>
              <w:t>GSEARCH(</w:t>
            </w:r>
            <w:proofErr w:type="gramEnd"/>
            <w:r w:rsidRPr="00800841">
              <w:rPr>
                <w:i/>
                <w:iCs/>
                <w:sz w:val="24"/>
                <w:szCs w:val="24"/>
              </w:rPr>
              <w:t>−5, −1)</w:t>
            </w:r>
          </w:p>
        </w:tc>
        <w:tc>
          <w:tcPr>
            <w:tcW w:w="598" w:type="pct"/>
            <w:gridSpan w:val="2"/>
            <w:hideMark/>
          </w:tcPr>
          <w:p w14:paraId="47CF70AF" w14:textId="77777777" w:rsidR="00673F93" w:rsidRPr="00C038FC" w:rsidRDefault="00673F93" w:rsidP="005D3ED5">
            <w:pPr>
              <w:pStyle w:val="NoSpacing"/>
              <w:rPr>
                <w:sz w:val="24"/>
                <w:szCs w:val="24"/>
              </w:rPr>
            </w:pPr>
            <w:r w:rsidRPr="00C038FC">
              <w:rPr>
                <w:sz w:val="24"/>
                <w:szCs w:val="24"/>
              </w:rPr>
              <w:t>0.071</w:t>
            </w:r>
          </w:p>
        </w:tc>
        <w:tc>
          <w:tcPr>
            <w:tcW w:w="665" w:type="pct"/>
            <w:hideMark/>
          </w:tcPr>
          <w:p w14:paraId="7C22C6DB" w14:textId="77777777" w:rsidR="00673F93" w:rsidRPr="00C038FC" w:rsidRDefault="00673F93" w:rsidP="005D3ED5">
            <w:pPr>
              <w:pStyle w:val="NoSpacing"/>
              <w:rPr>
                <w:sz w:val="24"/>
                <w:szCs w:val="24"/>
              </w:rPr>
            </w:pPr>
            <w:r w:rsidRPr="00C038FC">
              <w:rPr>
                <w:sz w:val="24"/>
                <w:szCs w:val="24"/>
              </w:rPr>
              <w:t>0.008</w:t>
            </w:r>
          </w:p>
        </w:tc>
        <w:tc>
          <w:tcPr>
            <w:tcW w:w="517" w:type="pct"/>
            <w:hideMark/>
          </w:tcPr>
          <w:p w14:paraId="5D33C53B" w14:textId="77777777" w:rsidR="00673F93" w:rsidRPr="00C038FC" w:rsidRDefault="00673F93" w:rsidP="005D3ED5">
            <w:pPr>
              <w:pStyle w:val="NoSpacing"/>
              <w:rPr>
                <w:sz w:val="24"/>
                <w:szCs w:val="24"/>
              </w:rPr>
            </w:pPr>
            <w:r w:rsidRPr="00C038FC">
              <w:rPr>
                <w:sz w:val="24"/>
                <w:szCs w:val="24"/>
              </w:rPr>
              <w:t>0.838</w:t>
            </w:r>
          </w:p>
        </w:tc>
        <w:tc>
          <w:tcPr>
            <w:tcW w:w="600" w:type="pct"/>
            <w:gridSpan w:val="2"/>
            <w:hideMark/>
          </w:tcPr>
          <w:p w14:paraId="26224413" w14:textId="77777777" w:rsidR="00673F93" w:rsidRPr="00C038FC" w:rsidRDefault="00673F93" w:rsidP="005D3ED5">
            <w:pPr>
              <w:pStyle w:val="NoSpacing"/>
              <w:rPr>
                <w:sz w:val="24"/>
                <w:szCs w:val="24"/>
              </w:rPr>
            </w:pPr>
            <w:r w:rsidRPr="00C038FC">
              <w:rPr>
                <w:sz w:val="24"/>
                <w:szCs w:val="24"/>
              </w:rPr>
              <w:t>−0.059</w:t>
            </w:r>
          </w:p>
        </w:tc>
        <w:tc>
          <w:tcPr>
            <w:tcW w:w="594" w:type="pct"/>
            <w:hideMark/>
          </w:tcPr>
          <w:p w14:paraId="0B9A4600" w14:textId="77777777" w:rsidR="00673F93" w:rsidRPr="00C038FC" w:rsidRDefault="00673F93" w:rsidP="005D3ED5">
            <w:pPr>
              <w:pStyle w:val="NoSpacing"/>
              <w:rPr>
                <w:sz w:val="24"/>
                <w:szCs w:val="24"/>
              </w:rPr>
            </w:pPr>
            <w:r w:rsidRPr="00C038FC">
              <w:rPr>
                <w:sz w:val="24"/>
                <w:szCs w:val="24"/>
              </w:rPr>
              <w:t>0.089</w:t>
            </w:r>
          </w:p>
        </w:tc>
      </w:tr>
      <w:tr w:rsidR="00C038FC" w:rsidRPr="00C038FC" w14:paraId="1298B61B" w14:textId="77777777" w:rsidTr="006E13B1">
        <w:tc>
          <w:tcPr>
            <w:tcW w:w="2026" w:type="pct"/>
            <w:hideMark/>
          </w:tcPr>
          <w:p w14:paraId="0F78BBD6" w14:textId="77777777" w:rsidR="00673F93" w:rsidRPr="00800841" w:rsidRDefault="00673F93" w:rsidP="005D3ED5">
            <w:pPr>
              <w:pStyle w:val="NoSpacing"/>
              <w:rPr>
                <w:i/>
                <w:iCs/>
                <w:sz w:val="24"/>
                <w:szCs w:val="24"/>
              </w:rPr>
            </w:pPr>
            <w:proofErr w:type="gramStart"/>
            <w:r w:rsidRPr="00800841">
              <w:rPr>
                <w:i/>
                <w:iCs/>
                <w:sz w:val="24"/>
                <w:szCs w:val="24"/>
              </w:rPr>
              <w:t>GSEARCH(</w:t>
            </w:r>
            <w:proofErr w:type="gramEnd"/>
            <w:r w:rsidRPr="00800841">
              <w:rPr>
                <w:i/>
                <w:iCs/>
                <w:sz w:val="24"/>
                <w:szCs w:val="24"/>
              </w:rPr>
              <w:t>0)</w:t>
            </w:r>
          </w:p>
        </w:tc>
        <w:tc>
          <w:tcPr>
            <w:tcW w:w="598" w:type="pct"/>
            <w:gridSpan w:val="2"/>
            <w:hideMark/>
          </w:tcPr>
          <w:p w14:paraId="25CAC4B4" w14:textId="77777777" w:rsidR="00673F93" w:rsidRPr="00C038FC" w:rsidRDefault="00673F93" w:rsidP="005D3ED5">
            <w:pPr>
              <w:pStyle w:val="NoSpacing"/>
              <w:rPr>
                <w:sz w:val="24"/>
                <w:szCs w:val="24"/>
              </w:rPr>
            </w:pPr>
            <w:r w:rsidRPr="00C038FC">
              <w:rPr>
                <w:sz w:val="24"/>
                <w:szCs w:val="24"/>
              </w:rPr>
              <w:t>0.321</w:t>
            </w:r>
          </w:p>
        </w:tc>
        <w:tc>
          <w:tcPr>
            <w:tcW w:w="665" w:type="pct"/>
            <w:hideMark/>
          </w:tcPr>
          <w:p w14:paraId="6EE8FD90" w14:textId="77777777" w:rsidR="00673F93" w:rsidRPr="00C038FC" w:rsidRDefault="00673F93" w:rsidP="005D3ED5">
            <w:pPr>
              <w:pStyle w:val="NoSpacing"/>
              <w:rPr>
                <w:sz w:val="24"/>
                <w:szCs w:val="24"/>
              </w:rPr>
            </w:pPr>
            <w:r w:rsidRPr="00C038FC">
              <w:rPr>
                <w:sz w:val="24"/>
                <w:szCs w:val="24"/>
              </w:rPr>
              <w:t>0.035</w:t>
            </w:r>
          </w:p>
        </w:tc>
        <w:tc>
          <w:tcPr>
            <w:tcW w:w="517" w:type="pct"/>
            <w:hideMark/>
          </w:tcPr>
          <w:p w14:paraId="7B5464C9" w14:textId="77777777" w:rsidR="00673F93" w:rsidRPr="00C038FC" w:rsidRDefault="00673F93" w:rsidP="005D3ED5">
            <w:pPr>
              <w:pStyle w:val="NoSpacing"/>
              <w:rPr>
                <w:sz w:val="24"/>
                <w:szCs w:val="24"/>
              </w:rPr>
            </w:pPr>
            <w:r w:rsidRPr="00C038FC">
              <w:rPr>
                <w:sz w:val="24"/>
                <w:szCs w:val="24"/>
              </w:rPr>
              <w:t>1.588</w:t>
            </w:r>
          </w:p>
        </w:tc>
        <w:tc>
          <w:tcPr>
            <w:tcW w:w="600" w:type="pct"/>
            <w:gridSpan w:val="2"/>
            <w:hideMark/>
          </w:tcPr>
          <w:p w14:paraId="6FAB6D60" w14:textId="77777777" w:rsidR="00673F93" w:rsidRPr="00C038FC" w:rsidRDefault="00673F93" w:rsidP="005D3ED5">
            <w:pPr>
              <w:pStyle w:val="NoSpacing"/>
              <w:rPr>
                <w:sz w:val="24"/>
                <w:szCs w:val="24"/>
              </w:rPr>
            </w:pPr>
            <w:r w:rsidRPr="00C038FC">
              <w:rPr>
                <w:sz w:val="24"/>
                <w:szCs w:val="24"/>
              </w:rPr>
              <w:t>−0.029</w:t>
            </w:r>
          </w:p>
        </w:tc>
        <w:tc>
          <w:tcPr>
            <w:tcW w:w="594" w:type="pct"/>
            <w:hideMark/>
          </w:tcPr>
          <w:p w14:paraId="1E8FED8B" w14:textId="77777777" w:rsidR="00673F93" w:rsidRPr="00C038FC" w:rsidRDefault="00673F93" w:rsidP="005D3ED5">
            <w:pPr>
              <w:pStyle w:val="NoSpacing"/>
              <w:rPr>
                <w:sz w:val="24"/>
                <w:szCs w:val="24"/>
              </w:rPr>
            </w:pPr>
            <w:r w:rsidRPr="00C038FC">
              <w:rPr>
                <w:sz w:val="24"/>
                <w:szCs w:val="24"/>
              </w:rPr>
              <w:t>0.144</w:t>
            </w:r>
          </w:p>
        </w:tc>
      </w:tr>
      <w:tr w:rsidR="00C038FC" w:rsidRPr="00C038FC" w14:paraId="752FFEE8" w14:textId="77777777" w:rsidTr="006E13B1">
        <w:tc>
          <w:tcPr>
            <w:tcW w:w="2026" w:type="pct"/>
            <w:hideMark/>
          </w:tcPr>
          <w:p w14:paraId="078EDDAA" w14:textId="77777777" w:rsidR="00673F93" w:rsidRPr="00800841" w:rsidRDefault="00673F93" w:rsidP="005D3ED5">
            <w:pPr>
              <w:pStyle w:val="NoSpacing"/>
              <w:rPr>
                <w:i/>
                <w:iCs/>
                <w:sz w:val="24"/>
                <w:szCs w:val="24"/>
              </w:rPr>
            </w:pPr>
            <w:proofErr w:type="gramStart"/>
            <w:r w:rsidRPr="00800841">
              <w:rPr>
                <w:i/>
                <w:iCs/>
                <w:sz w:val="24"/>
                <w:szCs w:val="24"/>
              </w:rPr>
              <w:t>GSEARCH(</w:t>
            </w:r>
            <w:proofErr w:type="gramEnd"/>
            <w:r w:rsidRPr="00800841">
              <w:rPr>
                <w:i/>
                <w:iCs/>
                <w:sz w:val="24"/>
                <w:szCs w:val="24"/>
              </w:rPr>
              <w:t>1,5)</w:t>
            </w:r>
          </w:p>
        </w:tc>
        <w:tc>
          <w:tcPr>
            <w:tcW w:w="598" w:type="pct"/>
            <w:gridSpan w:val="2"/>
            <w:hideMark/>
          </w:tcPr>
          <w:p w14:paraId="0EDA6A8C" w14:textId="77777777" w:rsidR="00673F93" w:rsidRPr="00C038FC" w:rsidRDefault="00673F93" w:rsidP="005D3ED5">
            <w:pPr>
              <w:pStyle w:val="NoSpacing"/>
              <w:rPr>
                <w:sz w:val="24"/>
                <w:szCs w:val="24"/>
              </w:rPr>
            </w:pPr>
            <w:r w:rsidRPr="00C038FC">
              <w:rPr>
                <w:sz w:val="24"/>
                <w:szCs w:val="24"/>
              </w:rPr>
              <w:t>0.177</w:t>
            </w:r>
          </w:p>
        </w:tc>
        <w:tc>
          <w:tcPr>
            <w:tcW w:w="665" w:type="pct"/>
            <w:hideMark/>
          </w:tcPr>
          <w:p w14:paraId="6C3641A4" w14:textId="77777777" w:rsidR="00673F93" w:rsidRPr="00C038FC" w:rsidRDefault="00673F93" w:rsidP="005D3ED5">
            <w:pPr>
              <w:pStyle w:val="NoSpacing"/>
              <w:rPr>
                <w:sz w:val="24"/>
                <w:szCs w:val="24"/>
              </w:rPr>
            </w:pPr>
            <w:r w:rsidRPr="00C038FC">
              <w:rPr>
                <w:sz w:val="24"/>
                <w:szCs w:val="24"/>
              </w:rPr>
              <w:t>0.014</w:t>
            </w:r>
          </w:p>
        </w:tc>
        <w:tc>
          <w:tcPr>
            <w:tcW w:w="517" w:type="pct"/>
            <w:hideMark/>
          </w:tcPr>
          <w:p w14:paraId="78812709" w14:textId="77777777" w:rsidR="00673F93" w:rsidRPr="00C038FC" w:rsidRDefault="00673F93" w:rsidP="005D3ED5">
            <w:pPr>
              <w:pStyle w:val="NoSpacing"/>
              <w:rPr>
                <w:sz w:val="24"/>
                <w:szCs w:val="24"/>
              </w:rPr>
            </w:pPr>
            <w:r w:rsidRPr="00C038FC">
              <w:rPr>
                <w:sz w:val="24"/>
                <w:szCs w:val="24"/>
              </w:rPr>
              <w:t>1.443</w:t>
            </w:r>
          </w:p>
        </w:tc>
        <w:tc>
          <w:tcPr>
            <w:tcW w:w="600" w:type="pct"/>
            <w:gridSpan w:val="2"/>
            <w:hideMark/>
          </w:tcPr>
          <w:p w14:paraId="0DC38B38" w14:textId="77777777" w:rsidR="00673F93" w:rsidRPr="00C038FC" w:rsidRDefault="00673F93" w:rsidP="005D3ED5">
            <w:pPr>
              <w:pStyle w:val="NoSpacing"/>
              <w:rPr>
                <w:sz w:val="24"/>
                <w:szCs w:val="24"/>
              </w:rPr>
            </w:pPr>
            <w:r w:rsidRPr="00C038FC">
              <w:rPr>
                <w:sz w:val="24"/>
                <w:szCs w:val="24"/>
              </w:rPr>
              <w:t>−0.053</w:t>
            </w:r>
          </w:p>
        </w:tc>
        <w:tc>
          <w:tcPr>
            <w:tcW w:w="594" w:type="pct"/>
            <w:hideMark/>
          </w:tcPr>
          <w:p w14:paraId="21C09C11" w14:textId="77777777" w:rsidR="00673F93" w:rsidRPr="00C038FC" w:rsidRDefault="00673F93" w:rsidP="005D3ED5">
            <w:pPr>
              <w:pStyle w:val="NoSpacing"/>
              <w:rPr>
                <w:sz w:val="24"/>
                <w:szCs w:val="24"/>
              </w:rPr>
            </w:pPr>
            <w:r w:rsidRPr="00C038FC">
              <w:rPr>
                <w:sz w:val="24"/>
                <w:szCs w:val="24"/>
              </w:rPr>
              <w:t>0.105</w:t>
            </w:r>
          </w:p>
        </w:tc>
      </w:tr>
      <w:tr w:rsidR="00C038FC" w:rsidRPr="00C038FC" w14:paraId="34AAE3AF" w14:textId="77777777" w:rsidTr="006E13B1">
        <w:tc>
          <w:tcPr>
            <w:tcW w:w="2026" w:type="pct"/>
            <w:hideMark/>
          </w:tcPr>
          <w:p w14:paraId="4D52F61A" w14:textId="77777777" w:rsidR="00673F93" w:rsidRPr="00800841" w:rsidRDefault="00673F93" w:rsidP="005D3ED5">
            <w:pPr>
              <w:pStyle w:val="NoSpacing"/>
              <w:rPr>
                <w:i/>
                <w:iCs/>
                <w:sz w:val="24"/>
                <w:szCs w:val="24"/>
              </w:rPr>
            </w:pPr>
            <w:r w:rsidRPr="00800841">
              <w:rPr>
                <w:i/>
                <w:iCs/>
                <w:sz w:val="24"/>
                <w:szCs w:val="24"/>
              </w:rPr>
              <w:t>SIZE</w:t>
            </w:r>
          </w:p>
        </w:tc>
        <w:tc>
          <w:tcPr>
            <w:tcW w:w="598" w:type="pct"/>
            <w:gridSpan w:val="2"/>
            <w:hideMark/>
          </w:tcPr>
          <w:p w14:paraId="02B82BF9" w14:textId="77777777" w:rsidR="00673F93" w:rsidRPr="00C038FC" w:rsidRDefault="00673F93" w:rsidP="005D3ED5">
            <w:pPr>
              <w:pStyle w:val="NoSpacing"/>
              <w:rPr>
                <w:sz w:val="24"/>
                <w:szCs w:val="24"/>
              </w:rPr>
            </w:pPr>
            <w:r w:rsidRPr="00C038FC">
              <w:rPr>
                <w:sz w:val="24"/>
                <w:szCs w:val="24"/>
              </w:rPr>
              <w:t>7.535</w:t>
            </w:r>
          </w:p>
        </w:tc>
        <w:tc>
          <w:tcPr>
            <w:tcW w:w="665" w:type="pct"/>
            <w:hideMark/>
          </w:tcPr>
          <w:p w14:paraId="6E7BB1D7" w14:textId="77777777" w:rsidR="00673F93" w:rsidRPr="00C038FC" w:rsidRDefault="00673F93" w:rsidP="005D3ED5">
            <w:pPr>
              <w:pStyle w:val="NoSpacing"/>
              <w:rPr>
                <w:sz w:val="24"/>
                <w:szCs w:val="24"/>
              </w:rPr>
            </w:pPr>
            <w:r w:rsidRPr="00C038FC">
              <w:rPr>
                <w:sz w:val="24"/>
                <w:szCs w:val="24"/>
              </w:rPr>
              <w:t>7.347</w:t>
            </w:r>
          </w:p>
        </w:tc>
        <w:tc>
          <w:tcPr>
            <w:tcW w:w="517" w:type="pct"/>
            <w:hideMark/>
          </w:tcPr>
          <w:p w14:paraId="1A6282C4" w14:textId="77777777" w:rsidR="00673F93" w:rsidRPr="00C038FC" w:rsidRDefault="00673F93" w:rsidP="005D3ED5">
            <w:pPr>
              <w:pStyle w:val="NoSpacing"/>
              <w:rPr>
                <w:sz w:val="24"/>
                <w:szCs w:val="24"/>
              </w:rPr>
            </w:pPr>
            <w:r w:rsidRPr="00C038FC">
              <w:rPr>
                <w:sz w:val="24"/>
                <w:szCs w:val="24"/>
              </w:rPr>
              <w:t>1.543</w:t>
            </w:r>
          </w:p>
        </w:tc>
        <w:tc>
          <w:tcPr>
            <w:tcW w:w="600" w:type="pct"/>
            <w:gridSpan w:val="2"/>
            <w:hideMark/>
          </w:tcPr>
          <w:p w14:paraId="503F54C5" w14:textId="77777777" w:rsidR="00673F93" w:rsidRPr="00C038FC" w:rsidRDefault="00673F93" w:rsidP="005D3ED5">
            <w:pPr>
              <w:pStyle w:val="NoSpacing"/>
              <w:rPr>
                <w:sz w:val="24"/>
                <w:szCs w:val="24"/>
              </w:rPr>
            </w:pPr>
            <w:r w:rsidRPr="00C038FC">
              <w:rPr>
                <w:sz w:val="24"/>
                <w:szCs w:val="24"/>
              </w:rPr>
              <w:t>6.380</w:t>
            </w:r>
          </w:p>
        </w:tc>
        <w:tc>
          <w:tcPr>
            <w:tcW w:w="594" w:type="pct"/>
            <w:hideMark/>
          </w:tcPr>
          <w:p w14:paraId="28A3F2EB" w14:textId="77777777" w:rsidR="00673F93" w:rsidRPr="00C038FC" w:rsidRDefault="00673F93" w:rsidP="005D3ED5">
            <w:pPr>
              <w:pStyle w:val="NoSpacing"/>
              <w:rPr>
                <w:sz w:val="24"/>
                <w:szCs w:val="24"/>
              </w:rPr>
            </w:pPr>
            <w:r w:rsidRPr="00C038FC">
              <w:rPr>
                <w:sz w:val="24"/>
                <w:szCs w:val="24"/>
              </w:rPr>
              <w:t>8.493</w:t>
            </w:r>
          </w:p>
        </w:tc>
      </w:tr>
      <w:tr w:rsidR="00C038FC" w:rsidRPr="00C038FC" w14:paraId="0D88C2E0" w14:textId="77777777" w:rsidTr="006E13B1">
        <w:tc>
          <w:tcPr>
            <w:tcW w:w="2026" w:type="pct"/>
            <w:hideMark/>
          </w:tcPr>
          <w:p w14:paraId="1AED80E6" w14:textId="77777777" w:rsidR="00673F93" w:rsidRPr="00800841" w:rsidRDefault="00673F93" w:rsidP="005D3ED5">
            <w:pPr>
              <w:pStyle w:val="NoSpacing"/>
              <w:rPr>
                <w:i/>
                <w:iCs/>
                <w:sz w:val="24"/>
                <w:szCs w:val="24"/>
              </w:rPr>
            </w:pPr>
            <w:r w:rsidRPr="00800841">
              <w:rPr>
                <w:i/>
                <w:iCs/>
                <w:sz w:val="24"/>
                <w:szCs w:val="24"/>
              </w:rPr>
              <w:t>MB</w:t>
            </w:r>
          </w:p>
        </w:tc>
        <w:tc>
          <w:tcPr>
            <w:tcW w:w="598" w:type="pct"/>
            <w:gridSpan w:val="2"/>
            <w:hideMark/>
          </w:tcPr>
          <w:p w14:paraId="2476C69B" w14:textId="77777777" w:rsidR="00673F93" w:rsidRPr="00C038FC" w:rsidRDefault="00673F93" w:rsidP="005D3ED5">
            <w:pPr>
              <w:pStyle w:val="NoSpacing"/>
              <w:rPr>
                <w:sz w:val="24"/>
                <w:szCs w:val="24"/>
              </w:rPr>
            </w:pPr>
            <w:r w:rsidRPr="00C038FC">
              <w:rPr>
                <w:sz w:val="24"/>
                <w:szCs w:val="24"/>
              </w:rPr>
              <w:t>1.062</w:t>
            </w:r>
          </w:p>
        </w:tc>
        <w:tc>
          <w:tcPr>
            <w:tcW w:w="665" w:type="pct"/>
            <w:hideMark/>
          </w:tcPr>
          <w:p w14:paraId="7BADF3FC" w14:textId="77777777" w:rsidR="00673F93" w:rsidRPr="00C038FC" w:rsidRDefault="00673F93" w:rsidP="005D3ED5">
            <w:pPr>
              <w:pStyle w:val="NoSpacing"/>
              <w:rPr>
                <w:sz w:val="24"/>
                <w:szCs w:val="24"/>
              </w:rPr>
            </w:pPr>
            <w:r w:rsidRPr="00C038FC">
              <w:rPr>
                <w:sz w:val="24"/>
                <w:szCs w:val="24"/>
              </w:rPr>
              <w:t>0.995</w:t>
            </w:r>
          </w:p>
        </w:tc>
        <w:tc>
          <w:tcPr>
            <w:tcW w:w="517" w:type="pct"/>
            <w:hideMark/>
          </w:tcPr>
          <w:p w14:paraId="5B75F5EB" w14:textId="77777777" w:rsidR="00673F93" w:rsidRPr="00C038FC" w:rsidRDefault="00673F93" w:rsidP="005D3ED5">
            <w:pPr>
              <w:pStyle w:val="NoSpacing"/>
              <w:rPr>
                <w:sz w:val="24"/>
                <w:szCs w:val="24"/>
              </w:rPr>
            </w:pPr>
            <w:r w:rsidRPr="00C038FC">
              <w:rPr>
                <w:sz w:val="24"/>
                <w:szCs w:val="24"/>
              </w:rPr>
              <w:t>0.767</w:t>
            </w:r>
          </w:p>
        </w:tc>
        <w:tc>
          <w:tcPr>
            <w:tcW w:w="600" w:type="pct"/>
            <w:gridSpan w:val="2"/>
            <w:hideMark/>
          </w:tcPr>
          <w:p w14:paraId="57681D73" w14:textId="77777777" w:rsidR="00673F93" w:rsidRPr="00C038FC" w:rsidRDefault="00673F93" w:rsidP="005D3ED5">
            <w:pPr>
              <w:pStyle w:val="NoSpacing"/>
              <w:rPr>
                <w:sz w:val="24"/>
                <w:szCs w:val="24"/>
              </w:rPr>
            </w:pPr>
            <w:r w:rsidRPr="00C038FC">
              <w:rPr>
                <w:sz w:val="24"/>
                <w:szCs w:val="24"/>
              </w:rPr>
              <w:t>0.567</w:t>
            </w:r>
          </w:p>
        </w:tc>
        <w:tc>
          <w:tcPr>
            <w:tcW w:w="594" w:type="pct"/>
            <w:hideMark/>
          </w:tcPr>
          <w:p w14:paraId="503E9FE4" w14:textId="77777777" w:rsidR="00673F93" w:rsidRPr="00C038FC" w:rsidRDefault="00673F93" w:rsidP="005D3ED5">
            <w:pPr>
              <w:pStyle w:val="NoSpacing"/>
              <w:rPr>
                <w:sz w:val="24"/>
                <w:szCs w:val="24"/>
              </w:rPr>
            </w:pPr>
            <w:r w:rsidRPr="00C038FC">
              <w:rPr>
                <w:sz w:val="24"/>
                <w:szCs w:val="24"/>
              </w:rPr>
              <w:t>1.472</w:t>
            </w:r>
          </w:p>
        </w:tc>
      </w:tr>
      <w:tr w:rsidR="00C038FC" w:rsidRPr="00C038FC" w14:paraId="205B185B" w14:textId="77777777" w:rsidTr="006E13B1">
        <w:tc>
          <w:tcPr>
            <w:tcW w:w="2026" w:type="pct"/>
            <w:hideMark/>
          </w:tcPr>
          <w:p w14:paraId="52A8C512" w14:textId="77777777" w:rsidR="00673F93" w:rsidRPr="00800841" w:rsidRDefault="00673F93" w:rsidP="005D3ED5">
            <w:pPr>
              <w:pStyle w:val="NoSpacing"/>
              <w:rPr>
                <w:i/>
                <w:iCs/>
                <w:sz w:val="24"/>
                <w:szCs w:val="24"/>
              </w:rPr>
            </w:pPr>
            <w:r w:rsidRPr="00800841">
              <w:rPr>
                <w:i/>
                <w:iCs/>
                <w:sz w:val="24"/>
                <w:szCs w:val="24"/>
              </w:rPr>
              <w:t>ROE</w:t>
            </w:r>
          </w:p>
        </w:tc>
        <w:tc>
          <w:tcPr>
            <w:tcW w:w="598" w:type="pct"/>
            <w:gridSpan w:val="2"/>
            <w:hideMark/>
          </w:tcPr>
          <w:p w14:paraId="2F9D1822" w14:textId="77777777" w:rsidR="00673F93" w:rsidRPr="00C038FC" w:rsidRDefault="00673F93" w:rsidP="005D3ED5">
            <w:pPr>
              <w:pStyle w:val="NoSpacing"/>
              <w:rPr>
                <w:sz w:val="24"/>
                <w:szCs w:val="24"/>
              </w:rPr>
            </w:pPr>
            <w:r w:rsidRPr="00C038FC">
              <w:rPr>
                <w:sz w:val="24"/>
                <w:szCs w:val="24"/>
              </w:rPr>
              <w:t>0.129</w:t>
            </w:r>
          </w:p>
        </w:tc>
        <w:tc>
          <w:tcPr>
            <w:tcW w:w="665" w:type="pct"/>
            <w:hideMark/>
          </w:tcPr>
          <w:p w14:paraId="38B3ACF7" w14:textId="77777777" w:rsidR="00673F93" w:rsidRPr="00C038FC" w:rsidRDefault="00673F93" w:rsidP="005D3ED5">
            <w:pPr>
              <w:pStyle w:val="NoSpacing"/>
              <w:rPr>
                <w:sz w:val="24"/>
                <w:szCs w:val="24"/>
              </w:rPr>
            </w:pPr>
            <w:r w:rsidRPr="00C038FC">
              <w:rPr>
                <w:sz w:val="24"/>
                <w:szCs w:val="24"/>
              </w:rPr>
              <w:t>0.137</w:t>
            </w:r>
          </w:p>
        </w:tc>
        <w:tc>
          <w:tcPr>
            <w:tcW w:w="517" w:type="pct"/>
            <w:hideMark/>
          </w:tcPr>
          <w:p w14:paraId="5FFF46B0" w14:textId="77777777" w:rsidR="00673F93" w:rsidRPr="00C038FC" w:rsidRDefault="00673F93" w:rsidP="005D3ED5">
            <w:pPr>
              <w:pStyle w:val="NoSpacing"/>
              <w:rPr>
                <w:sz w:val="24"/>
                <w:szCs w:val="24"/>
              </w:rPr>
            </w:pPr>
            <w:r w:rsidRPr="00C038FC">
              <w:rPr>
                <w:sz w:val="24"/>
                <w:szCs w:val="24"/>
              </w:rPr>
              <w:t>0.317</w:t>
            </w:r>
          </w:p>
        </w:tc>
        <w:tc>
          <w:tcPr>
            <w:tcW w:w="600" w:type="pct"/>
            <w:gridSpan w:val="2"/>
            <w:hideMark/>
          </w:tcPr>
          <w:p w14:paraId="5F47A84D" w14:textId="77777777" w:rsidR="00673F93" w:rsidRPr="00C038FC" w:rsidRDefault="00673F93" w:rsidP="005D3ED5">
            <w:pPr>
              <w:pStyle w:val="NoSpacing"/>
              <w:rPr>
                <w:sz w:val="24"/>
                <w:szCs w:val="24"/>
              </w:rPr>
            </w:pPr>
            <w:r w:rsidRPr="00C038FC">
              <w:rPr>
                <w:sz w:val="24"/>
                <w:szCs w:val="24"/>
              </w:rPr>
              <w:t>0.053</w:t>
            </w:r>
          </w:p>
        </w:tc>
        <w:tc>
          <w:tcPr>
            <w:tcW w:w="594" w:type="pct"/>
            <w:hideMark/>
          </w:tcPr>
          <w:p w14:paraId="5B106E0F" w14:textId="77777777" w:rsidR="00673F93" w:rsidRPr="00C038FC" w:rsidRDefault="00673F93" w:rsidP="005D3ED5">
            <w:pPr>
              <w:pStyle w:val="NoSpacing"/>
              <w:rPr>
                <w:sz w:val="24"/>
                <w:szCs w:val="24"/>
              </w:rPr>
            </w:pPr>
            <w:r w:rsidRPr="00C038FC">
              <w:rPr>
                <w:sz w:val="24"/>
                <w:szCs w:val="24"/>
              </w:rPr>
              <w:t>0.224</w:t>
            </w:r>
          </w:p>
        </w:tc>
      </w:tr>
      <w:tr w:rsidR="00C038FC" w:rsidRPr="00C038FC" w14:paraId="17D55061" w14:textId="77777777" w:rsidTr="006E13B1">
        <w:tc>
          <w:tcPr>
            <w:tcW w:w="2026" w:type="pct"/>
            <w:hideMark/>
          </w:tcPr>
          <w:p w14:paraId="61C22BE8" w14:textId="77777777" w:rsidR="00673F93" w:rsidRPr="00800841" w:rsidRDefault="00673F93" w:rsidP="005D3ED5">
            <w:pPr>
              <w:pStyle w:val="NoSpacing"/>
              <w:rPr>
                <w:i/>
                <w:iCs/>
                <w:sz w:val="24"/>
                <w:szCs w:val="24"/>
              </w:rPr>
            </w:pPr>
            <w:r w:rsidRPr="00800841">
              <w:rPr>
                <w:i/>
                <w:iCs/>
                <w:sz w:val="24"/>
                <w:szCs w:val="24"/>
              </w:rPr>
              <w:t>VROE</w:t>
            </w:r>
          </w:p>
        </w:tc>
        <w:tc>
          <w:tcPr>
            <w:tcW w:w="598" w:type="pct"/>
            <w:gridSpan w:val="2"/>
            <w:hideMark/>
          </w:tcPr>
          <w:p w14:paraId="711B3CBE" w14:textId="77777777" w:rsidR="00673F93" w:rsidRPr="00C038FC" w:rsidRDefault="00673F93" w:rsidP="005D3ED5">
            <w:pPr>
              <w:pStyle w:val="NoSpacing"/>
              <w:rPr>
                <w:sz w:val="24"/>
                <w:szCs w:val="24"/>
              </w:rPr>
            </w:pPr>
            <w:r w:rsidRPr="00C038FC">
              <w:rPr>
                <w:sz w:val="24"/>
                <w:szCs w:val="24"/>
              </w:rPr>
              <w:t>0.298</w:t>
            </w:r>
          </w:p>
        </w:tc>
        <w:tc>
          <w:tcPr>
            <w:tcW w:w="665" w:type="pct"/>
            <w:hideMark/>
          </w:tcPr>
          <w:p w14:paraId="3CF64095" w14:textId="77777777" w:rsidR="00673F93" w:rsidRPr="00C038FC" w:rsidRDefault="00673F93" w:rsidP="005D3ED5">
            <w:pPr>
              <w:pStyle w:val="NoSpacing"/>
              <w:rPr>
                <w:sz w:val="24"/>
                <w:szCs w:val="24"/>
              </w:rPr>
            </w:pPr>
            <w:r w:rsidRPr="00C038FC">
              <w:rPr>
                <w:sz w:val="24"/>
                <w:szCs w:val="24"/>
              </w:rPr>
              <w:t>0.065</w:t>
            </w:r>
          </w:p>
        </w:tc>
        <w:tc>
          <w:tcPr>
            <w:tcW w:w="517" w:type="pct"/>
            <w:hideMark/>
          </w:tcPr>
          <w:p w14:paraId="4E185BD6" w14:textId="77777777" w:rsidR="00673F93" w:rsidRPr="00C038FC" w:rsidRDefault="00673F93" w:rsidP="005D3ED5">
            <w:pPr>
              <w:pStyle w:val="NoSpacing"/>
              <w:rPr>
                <w:sz w:val="24"/>
                <w:szCs w:val="24"/>
              </w:rPr>
            </w:pPr>
            <w:r w:rsidRPr="00C038FC">
              <w:rPr>
                <w:sz w:val="24"/>
                <w:szCs w:val="24"/>
              </w:rPr>
              <w:t>1.175</w:t>
            </w:r>
          </w:p>
        </w:tc>
        <w:tc>
          <w:tcPr>
            <w:tcW w:w="600" w:type="pct"/>
            <w:gridSpan w:val="2"/>
            <w:hideMark/>
          </w:tcPr>
          <w:p w14:paraId="1787F411" w14:textId="77777777" w:rsidR="00673F93" w:rsidRPr="00C038FC" w:rsidRDefault="00673F93" w:rsidP="005D3ED5">
            <w:pPr>
              <w:pStyle w:val="NoSpacing"/>
              <w:rPr>
                <w:sz w:val="24"/>
                <w:szCs w:val="24"/>
              </w:rPr>
            </w:pPr>
            <w:r w:rsidRPr="00C038FC">
              <w:rPr>
                <w:sz w:val="24"/>
                <w:szCs w:val="24"/>
              </w:rPr>
              <w:t>0.033</w:t>
            </w:r>
          </w:p>
        </w:tc>
        <w:tc>
          <w:tcPr>
            <w:tcW w:w="594" w:type="pct"/>
            <w:hideMark/>
          </w:tcPr>
          <w:p w14:paraId="55AAE30D" w14:textId="77777777" w:rsidR="00673F93" w:rsidRPr="00C038FC" w:rsidRDefault="00673F93" w:rsidP="005D3ED5">
            <w:pPr>
              <w:pStyle w:val="NoSpacing"/>
              <w:rPr>
                <w:sz w:val="24"/>
                <w:szCs w:val="24"/>
              </w:rPr>
            </w:pPr>
            <w:r w:rsidRPr="00C038FC">
              <w:rPr>
                <w:sz w:val="24"/>
                <w:szCs w:val="24"/>
              </w:rPr>
              <w:t>0.152</w:t>
            </w:r>
          </w:p>
        </w:tc>
      </w:tr>
      <w:tr w:rsidR="00C038FC" w:rsidRPr="00C038FC" w14:paraId="19C0AA12" w14:textId="77777777" w:rsidTr="006E13B1">
        <w:tc>
          <w:tcPr>
            <w:tcW w:w="2026" w:type="pct"/>
            <w:hideMark/>
          </w:tcPr>
          <w:p w14:paraId="6D7946DE" w14:textId="77777777" w:rsidR="00673F93" w:rsidRPr="00800841" w:rsidRDefault="00673F93" w:rsidP="005D3ED5">
            <w:pPr>
              <w:pStyle w:val="NoSpacing"/>
              <w:rPr>
                <w:i/>
                <w:iCs/>
                <w:sz w:val="24"/>
                <w:szCs w:val="24"/>
              </w:rPr>
            </w:pPr>
            <w:r w:rsidRPr="00800841">
              <w:rPr>
                <w:i/>
                <w:iCs/>
                <w:sz w:val="24"/>
                <w:szCs w:val="24"/>
              </w:rPr>
              <w:t>LEV</w:t>
            </w:r>
          </w:p>
        </w:tc>
        <w:tc>
          <w:tcPr>
            <w:tcW w:w="598" w:type="pct"/>
            <w:gridSpan w:val="2"/>
            <w:hideMark/>
          </w:tcPr>
          <w:p w14:paraId="60A0A43D" w14:textId="77777777" w:rsidR="00673F93" w:rsidRPr="00C038FC" w:rsidRDefault="00673F93" w:rsidP="005D3ED5">
            <w:pPr>
              <w:pStyle w:val="NoSpacing"/>
              <w:rPr>
                <w:sz w:val="24"/>
                <w:szCs w:val="24"/>
              </w:rPr>
            </w:pPr>
            <w:r w:rsidRPr="00C038FC">
              <w:rPr>
                <w:sz w:val="24"/>
                <w:szCs w:val="24"/>
              </w:rPr>
              <w:t>0.169</w:t>
            </w:r>
          </w:p>
        </w:tc>
        <w:tc>
          <w:tcPr>
            <w:tcW w:w="665" w:type="pct"/>
            <w:hideMark/>
          </w:tcPr>
          <w:p w14:paraId="0DC9A017" w14:textId="77777777" w:rsidR="00673F93" w:rsidRPr="00C038FC" w:rsidRDefault="00673F93" w:rsidP="005D3ED5">
            <w:pPr>
              <w:pStyle w:val="NoSpacing"/>
              <w:rPr>
                <w:sz w:val="24"/>
                <w:szCs w:val="24"/>
              </w:rPr>
            </w:pPr>
            <w:r w:rsidRPr="00C038FC">
              <w:rPr>
                <w:sz w:val="24"/>
                <w:szCs w:val="24"/>
              </w:rPr>
              <w:t>0.142</w:t>
            </w:r>
          </w:p>
        </w:tc>
        <w:tc>
          <w:tcPr>
            <w:tcW w:w="517" w:type="pct"/>
            <w:hideMark/>
          </w:tcPr>
          <w:p w14:paraId="0B0F435D" w14:textId="77777777" w:rsidR="00673F93" w:rsidRPr="00C038FC" w:rsidRDefault="00673F93" w:rsidP="005D3ED5">
            <w:pPr>
              <w:pStyle w:val="NoSpacing"/>
              <w:rPr>
                <w:sz w:val="24"/>
                <w:szCs w:val="24"/>
              </w:rPr>
            </w:pPr>
            <w:r w:rsidRPr="00C038FC">
              <w:rPr>
                <w:sz w:val="24"/>
                <w:szCs w:val="24"/>
              </w:rPr>
              <w:t>0.162</w:t>
            </w:r>
          </w:p>
        </w:tc>
        <w:tc>
          <w:tcPr>
            <w:tcW w:w="600" w:type="pct"/>
            <w:gridSpan w:val="2"/>
            <w:hideMark/>
          </w:tcPr>
          <w:p w14:paraId="6397F251" w14:textId="77777777" w:rsidR="00673F93" w:rsidRPr="00C038FC" w:rsidRDefault="00673F93" w:rsidP="005D3ED5">
            <w:pPr>
              <w:pStyle w:val="NoSpacing"/>
              <w:rPr>
                <w:sz w:val="24"/>
                <w:szCs w:val="24"/>
              </w:rPr>
            </w:pPr>
            <w:r w:rsidRPr="00C038FC">
              <w:rPr>
                <w:sz w:val="24"/>
                <w:szCs w:val="24"/>
              </w:rPr>
              <w:t>0.005</w:t>
            </w:r>
          </w:p>
        </w:tc>
        <w:tc>
          <w:tcPr>
            <w:tcW w:w="594" w:type="pct"/>
            <w:hideMark/>
          </w:tcPr>
          <w:p w14:paraId="5737FBB8" w14:textId="77777777" w:rsidR="00673F93" w:rsidRPr="00C038FC" w:rsidRDefault="00673F93" w:rsidP="005D3ED5">
            <w:pPr>
              <w:pStyle w:val="NoSpacing"/>
              <w:rPr>
                <w:sz w:val="24"/>
                <w:szCs w:val="24"/>
              </w:rPr>
            </w:pPr>
            <w:r w:rsidRPr="00C038FC">
              <w:rPr>
                <w:sz w:val="24"/>
                <w:szCs w:val="24"/>
              </w:rPr>
              <w:t>0.272</w:t>
            </w:r>
          </w:p>
        </w:tc>
      </w:tr>
      <w:tr w:rsidR="00C038FC" w:rsidRPr="00C038FC" w14:paraId="1109A500" w14:textId="77777777" w:rsidTr="006E13B1">
        <w:tc>
          <w:tcPr>
            <w:tcW w:w="2026" w:type="pct"/>
            <w:hideMark/>
          </w:tcPr>
          <w:p w14:paraId="0F49416B" w14:textId="77777777" w:rsidR="00673F93" w:rsidRPr="00800841" w:rsidRDefault="00673F93" w:rsidP="005D3ED5">
            <w:pPr>
              <w:pStyle w:val="NoSpacing"/>
              <w:rPr>
                <w:i/>
                <w:iCs/>
                <w:sz w:val="24"/>
                <w:szCs w:val="24"/>
              </w:rPr>
            </w:pPr>
            <w:r w:rsidRPr="00800841">
              <w:rPr>
                <w:i/>
                <w:iCs/>
                <w:sz w:val="24"/>
                <w:szCs w:val="24"/>
              </w:rPr>
              <w:t>AGE</w:t>
            </w:r>
          </w:p>
        </w:tc>
        <w:tc>
          <w:tcPr>
            <w:tcW w:w="598" w:type="pct"/>
            <w:gridSpan w:val="2"/>
            <w:hideMark/>
          </w:tcPr>
          <w:p w14:paraId="085F674A" w14:textId="77777777" w:rsidR="00673F93" w:rsidRPr="00C038FC" w:rsidRDefault="00673F93" w:rsidP="005D3ED5">
            <w:pPr>
              <w:pStyle w:val="NoSpacing"/>
              <w:rPr>
                <w:sz w:val="24"/>
                <w:szCs w:val="24"/>
              </w:rPr>
            </w:pPr>
            <w:r w:rsidRPr="00C038FC">
              <w:rPr>
                <w:sz w:val="24"/>
                <w:szCs w:val="24"/>
              </w:rPr>
              <w:t>2.958</w:t>
            </w:r>
          </w:p>
        </w:tc>
        <w:tc>
          <w:tcPr>
            <w:tcW w:w="665" w:type="pct"/>
            <w:hideMark/>
          </w:tcPr>
          <w:p w14:paraId="4F0A24F3" w14:textId="77777777" w:rsidR="00673F93" w:rsidRPr="00C038FC" w:rsidRDefault="00673F93" w:rsidP="005D3ED5">
            <w:pPr>
              <w:pStyle w:val="NoSpacing"/>
              <w:rPr>
                <w:sz w:val="24"/>
                <w:szCs w:val="24"/>
              </w:rPr>
            </w:pPr>
            <w:r w:rsidRPr="00C038FC">
              <w:rPr>
                <w:sz w:val="24"/>
                <w:szCs w:val="24"/>
              </w:rPr>
              <w:t>2.944</w:t>
            </w:r>
          </w:p>
        </w:tc>
        <w:tc>
          <w:tcPr>
            <w:tcW w:w="517" w:type="pct"/>
            <w:hideMark/>
          </w:tcPr>
          <w:p w14:paraId="5338586A" w14:textId="77777777" w:rsidR="00673F93" w:rsidRPr="00C038FC" w:rsidRDefault="00673F93" w:rsidP="005D3ED5">
            <w:pPr>
              <w:pStyle w:val="NoSpacing"/>
              <w:rPr>
                <w:sz w:val="24"/>
                <w:szCs w:val="24"/>
              </w:rPr>
            </w:pPr>
            <w:r w:rsidRPr="00C038FC">
              <w:rPr>
                <w:sz w:val="24"/>
                <w:szCs w:val="24"/>
              </w:rPr>
              <w:t>0.717</w:t>
            </w:r>
          </w:p>
        </w:tc>
        <w:tc>
          <w:tcPr>
            <w:tcW w:w="600" w:type="pct"/>
            <w:gridSpan w:val="2"/>
            <w:hideMark/>
          </w:tcPr>
          <w:p w14:paraId="33A4C80E" w14:textId="77777777" w:rsidR="00673F93" w:rsidRPr="00C038FC" w:rsidRDefault="00673F93" w:rsidP="005D3ED5">
            <w:pPr>
              <w:pStyle w:val="NoSpacing"/>
              <w:rPr>
                <w:sz w:val="24"/>
                <w:szCs w:val="24"/>
              </w:rPr>
            </w:pPr>
            <w:r w:rsidRPr="00C038FC">
              <w:rPr>
                <w:sz w:val="24"/>
                <w:szCs w:val="24"/>
              </w:rPr>
              <w:t>2.398</w:t>
            </w:r>
          </w:p>
        </w:tc>
        <w:tc>
          <w:tcPr>
            <w:tcW w:w="594" w:type="pct"/>
            <w:hideMark/>
          </w:tcPr>
          <w:p w14:paraId="539B89FE" w14:textId="77777777" w:rsidR="00673F93" w:rsidRPr="00C038FC" w:rsidRDefault="00673F93" w:rsidP="005D3ED5">
            <w:pPr>
              <w:pStyle w:val="NoSpacing"/>
              <w:rPr>
                <w:sz w:val="24"/>
                <w:szCs w:val="24"/>
              </w:rPr>
            </w:pPr>
            <w:r w:rsidRPr="00C038FC">
              <w:rPr>
                <w:sz w:val="24"/>
                <w:szCs w:val="24"/>
              </w:rPr>
              <w:t>3.638</w:t>
            </w:r>
          </w:p>
        </w:tc>
      </w:tr>
      <w:tr w:rsidR="00C038FC" w:rsidRPr="00C038FC" w14:paraId="5E4D9D71" w14:textId="77777777" w:rsidTr="006E13B1">
        <w:tc>
          <w:tcPr>
            <w:tcW w:w="2026" w:type="pct"/>
            <w:hideMark/>
          </w:tcPr>
          <w:p w14:paraId="3A0BAEAB" w14:textId="77777777" w:rsidR="00673F93" w:rsidRPr="00800841" w:rsidRDefault="00673F93" w:rsidP="005D3ED5">
            <w:pPr>
              <w:pStyle w:val="NoSpacing"/>
              <w:rPr>
                <w:i/>
                <w:iCs/>
                <w:sz w:val="24"/>
                <w:szCs w:val="24"/>
              </w:rPr>
            </w:pPr>
            <w:r w:rsidRPr="00800841">
              <w:rPr>
                <w:i/>
                <w:iCs/>
                <w:sz w:val="24"/>
                <w:szCs w:val="24"/>
              </w:rPr>
              <w:t>DIV</w:t>
            </w:r>
          </w:p>
        </w:tc>
        <w:tc>
          <w:tcPr>
            <w:tcW w:w="598" w:type="pct"/>
            <w:gridSpan w:val="2"/>
            <w:hideMark/>
          </w:tcPr>
          <w:p w14:paraId="6D389C67" w14:textId="77777777" w:rsidR="00673F93" w:rsidRPr="00C038FC" w:rsidRDefault="00673F93" w:rsidP="005D3ED5">
            <w:pPr>
              <w:pStyle w:val="NoSpacing"/>
              <w:rPr>
                <w:sz w:val="24"/>
                <w:szCs w:val="24"/>
              </w:rPr>
            </w:pPr>
            <w:r w:rsidRPr="00C038FC">
              <w:rPr>
                <w:sz w:val="24"/>
                <w:szCs w:val="24"/>
              </w:rPr>
              <w:t>0.500</w:t>
            </w:r>
          </w:p>
        </w:tc>
        <w:tc>
          <w:tcPr>
            <w:tcW w:w="665" w:type="pct"/>
            <w:hideMark/>
          </w:tcPr>
          <w:p w14:paraId="2FD503CB" w14:textId="77777777" w:rsidR="00673F93" w:rsidRPr="00C038FC" w:rsidRDefault="00673F93" w:rsidP="005D3ED5">
            <w:pPr>
              <w:pStyle w:val="NoSpacing"/>
              <w:rPr>
                <w:sz w:val="24"/>
                <w:szCs w:val="24"/>
              </w:rPr>
            </w:pPr>
            <w:r w:rsidRPr="00C038FC">
              <w:rPr>
                <w:sz w:val="24"/>
                <w:szCs w:val="24"/>
              </w:rPr>
              <w:t>1.000</w:t>
            </w:r>
          </w:p>
        </w:tc>
        <w:tc>
          <w:tcPr>
            <w:tcW w:w="517" w:type="pct"/>
            <w:hideMark/>
          </w:tcPr>
          <w:p w14:paraId="19FF5DA3" w14:textId="77777777" w:rsidR="00673F93" w:rsidRPr="00C038FC" w:rsidRDefault="00673F93" w:rsidP="005D3ED5">
            <w:pPr>
              <w:pStyle w:val="NoSpacing"/>
              <w:rPr>
                <w:sz w:val="24"/>
                <w:szCs w:val="24"/>
              </w:rPr>
            </w:pPr>
            <w:r w:rsidRPr="00C038FC">
              <w:rPr>
                <w:sz w:val="24"/>
                <w:szCs w:val="24"/>
              </w:rPr>
              <w:t>0.500</w:t>
            </w:r>
          </w:p>
        </w:tc>
        <w:tc>
          <w:tcPr>
            <w:tcW w:w="600" w:type="pct"/>
            <w:gridSpan w:val="2"/>
            <w:hideMark/>
          </w:tcPr>
          <w:p w14:paraId="74B7F65A" w14:textId="77777777" w:rsidR="00673F93" w:rsidRPr="00C038FC" w:rsidRDefault="00673F93" w:rsidP="005D3ED5">
            <w:pPr>
              <w:pStyle w:val="NoSpacing"/>
              <w:rPr>
                <w:sz w:val="24"/>
                <w:szCs w:val="24"/>
              </w:rPr>
            </w:pPr>
            <w:r w:rsidRPr="00C038FC">
              <w:rPr>
                <w:sz w:val="24"/>
                <w:szCs w:val="24"/>
              </w:rPr>
              <w:t>0.000</w:t>
            </w:r>
          </w:p>
        </w:tc>
        <w:tc>
          <w:tcPr>
            <w:tcW w:w="594" w:type="pct"/>
            <w:hideMark/>
          </w:tcPr>
          <w:p w14:paraId="5072C71E" w14:textId="77777777" w:rsidR="00673F93" w:rsidRPr="00C038FC" w:rsidRDefault="00673F93" w:rsidP="005D3ED5">
            <w:pPr>
              <w:pStyle w:val="NoSpacing"/>
              <w:rPr>
                <w:sz w:val="24"/>
                <w:szCs w:val="24"/>
              </w:rPr>
            </w:pPr>
            <w:r w:rsidRPr="00C038FC">
              <w:rPr>
                <w:sz w:val="24"/>
                <w:szCs w:val="24"/>
              </w:rPr>
              <w:t>1.000</w:t>
            </w:r>
          </w:p>
        </w:tc>
      </w:tr>
      <w:tr w:rsidR="00C038FC" w:rsidRPr="00C038FC" w14:paraId="0E31315F" w14:textId="77777777" w:rsidTr="006E13B1">
        <w:tc>
          <w:tcPr>
            <w:tcW w:w="2026" w:type="pct"/>
            <w:hideMark/>
          </w:tcPr>
          <w:p w14:paraId="629DE632" w14:textId="77777777" w:rsidR="00673F93" w:rsidRPr="00800841" w:rsidRDefault="00673F93" w:rsidP="005D3ED5">
            <w:pPr>
              <w:pStyle w:val="NoSpacing"/>
              <w:rPr>
                <w:i/>
                <w:iCs/>
                <w:sz w:val="24"/>
                <w:szCs w:val="24"/>
              </w:rPr>
            </w:pPr>
            <w:r w:rsidRPr="00800841">
              <w:rPr>
                <w:i/>
                <w:iCs/>
                <w:sz w:val="24"/>
                <w:szCs w:val="24"/>
              </w:rPr>
              <w:t>DIVER</w:t>
            </w:r>
          </w:p>
        </w:tc>
        <w:tc>
          <w:tcPr>
            <w:tcW w:w="598" w:type="pct"/>
            <w:gridSpan w:val="2"/>
            <w:hideMark/>
          </w:tcPr>
          <w:p w14:paraId="5E94E673" w14:textId="77777777" w:rsidR="00673F93" w:rsidRPr="00C038FC" w:rsidRDefault="00673F93" w:rsidP="005D3ED5">
            <w:pPr>
              <w:pStyle w:val="NoSpacing"/>
              <w:rPr>
                <w:sz w:val="24"/>
                <w:szCs w:val="24"/>
              </w:rPr>
            </w:pPr>
            <w:r w:rsidRPr="00C038FC">
              <w:rPr>
                <w:sz w:val="24"/>
                <w:szCs w:val="24"/>
              </w:rPr>
              <w:t>0.917</w:t>
            </w:r>
          </w:p>
        </w:tc>
        <w:tc>
          <w:tcPr>
            <w:tcW w:w="665" w:type="pct"/>
            <w:hideMark/>
          </w:tcPr>
          <w:p w14:paraId="1159C543" w14:textId="77777777" w:rsidR="00673F93" w:rsidRPr="00C038FC" w:rsidRDefault="00673F93" w:rsidP="005D3ED5">
            <w:pPr>
              <w:pStyle w:val="NoSpacing"/>
              <w:rPr>
                <w:sz w:val="24"/>
                <w:szCs w:val="24"/>
              </w:rPr>
            </w:pPr>
            <w:r w:rsidRPr="00C038FC">
              <w:rPr>
                <w:sz w:val="24"/>
                <w:szCs w:val="24"/>
              </w:rPr>
              <w:t>1.000</w:t>
            </w:r>
          </w:p>
        </w:tc>
        <w:tc>
          <w:tcPr>
            <w:tcW w:w="517" w:type="pct"/>
            <w:hideMark/>
          </w:tcPr>
          <w:p w14:paraId="3BF15C01" w14:textId="77777777" w:rsidR="00673F93" w:rsidRPr="00C038FC" w:rsidRDefault="00673F93" w:rsidP="005D3ED5">
            <w:pPr>
              <w:pStyle w:val="NoSpacing"/>
              <w:rPr>
                <w:sz w:val="24"/>
                <w:szCs w:val="24"/>
              </w:rPr>
            </w:pPr>
            <w:r w:rsidRPr="00C038FC">
              <w:rPr>
                <w:sz w:val="24"/>
                <w:szCs w:val="24"/>
              </w:rPr>
              <w:t>0.276</w:t>
            </w:r>
          </w:p>
        </w:tc>
        <w:tc>
          <w:tcPr>
            <w:tcW w:w="600" w:type="pct"/>
            <w:gridSpan w:val="2"/>
            <w:hideMark/>
          </w:tcPr>
          <w:p w14:paraId="356362D6" w14:textId="77777777" w:rsidR="00673F93" w:rsidRPr="00C038FC" w:rsidRDefault="00673F93" w:rsidP="005D3ED5">
            <w:pPr>
              <w:pStyle w:val="NoSpacing"/>
              <w:rPr>
                <w:sz w:val="24"/>
                <w:szCs w:val="24"/>
              </w:rPr>
            </w:pPr>
            <w:r w:rsidRPr="00C038FC">
              <w:rPr>
                <w:sz w:val="24"/>
                <w:szCs w:val="24"/>
              </w:rPr>
              <w:t>1.000</w:t>
            </w:r>
          </w:p>
        </w:tc>
        <w:tc>
          <w:tcPr>
            <w:tcW w:w="594" w:type="pct"/>
            <w:hideMark/>
          </w:tcPr>
          <w:p w14:paraId="40D388BA" w14:textId="77777777" w:rsidR="00673F93" w:rsidRPr="00C038FC" w:rsidRDefault="00673F93" w:rsidP="005D3ED5">
            <w:pPr>
              <w:pStyle w:val="NoSpacing"/>
              <w:rPr>
                <w:sz w:val="24"/>
                <w:szCs w:val="24"/>
              </w:rPr>
            </w:pPr>
            <w:r w:rsidRPr="00C038FC">
              <w:rPr>
                <w:sz w:val="24"/>
                <w:szCs w:val="24"/>
              </w:rPr>
              <w:t>1.000</w:t>
            </w:r>
          </w:p>
        </w:tc>
      </w:tr>
      <w:tr w:rsidR="00C038FC" w:rsidRPr="00C038FC" w14:paraId="2A1E82D8" w14:textId="77777777" w:rsidTr="006E13B1">
        <w:tc>
          <w:tcPr>
            <w:tcW w:w="2026" w:type="pct"/>
            <w:hideMark/>
          </w:tcPr>
          <w:p w14:paraId="103FCF46" w14:textId="77777777" w:rsidR="00673F93" w:rsidRPr="00800841" w:rsidRDefault="00673F93" w:rsidP="005D3ED5">
            <w:pPr>
              <w:pStyle w:val="NoSpacing"/>
              <w:rPr>
                <w:i/>
                <w:iCs/>
                <w:sz w:val="24"/>
                <w:szCs w:val="24"/>
              </w:rPr>
            </w:pPr>
            <w:r w:rsidRPr="00800841">
              <w:rPr>
                <w:i/>
                <w:iCs/>
                <w:sz w:val="24"/>
                <w:szCs w:val="24"/>
              </w:rPr>
              <w:t>ANALYSTS</w:t>
            </w:r>
          </w:p>
        </w:tc>
        <w:tc>
          <w:tcPr>
            <w:tcW w:w="598" w:type="pct"/>
            <w:gridSpan w:val="2"/>
            <w:hideMark/>
          </w:tcPr>
          <w:p w14:paraId="7AFF6806" w14:textId="77777777" w:rsidR="00673F93" w:rsidRPr="00C038FC" w:rsidRDefault="00673F93" w:rsidP="005D3ED5">
            <w:pPr>
              <w:pStyle w:val="NoSpacing"/>
              <w:rPr>
                <w:sz w:val="24"/>
                <w:szCs w:val="24"/>
              </w:rPr>
            </w:pPr>
            <w:r w:rsidRPr="00C038FC">
              <w:rPr>
                <w:sz w:val="24"/>
                <w:szCs w:val="24"/>
              </w:rPr>
              <w:t>1.809</w:t>
            </w:r>
          </w:p>
        </w:tc>
        <w:tc>
          <w:tcPr>
            <w:tcW w:w="665" w:type="pct"/>
            <w:hideMark/>
          </w:tcPr>
          <w:p w14:paraId="3346A5D7" w14:textId="77777777" w:rsidR="00673F93" w:rsidRPr="00C038FC" w:rsidRDefault="00673F93" w:rsidP="005D3ED5">
            <w:pPr>
              <w:pStyle w:val="NoSpacing"/>
              <w:rPr>
                <w:sz w:val="24"/>
                <w:szCs w:val="24"/>
              </w:rPr>
            </w:pPr>
            <w:r w:rsidRPr="00C038FC">
              <w:rPr>
                <w:sz w:val="24"/>
                <w:szCs w:val="24"/>
              </w:rPr>
              <w:t>1.833</w:t>
            </w:r>
          </w:p>
        </w:tc>
        <w:tc>
          <w:tcPr>
            <w:tcW w:w="517" w:type="pct"/>
            <w:hideMark/>
          </w:tcPr>
          <w:p w14:paraId="38550618" w14:textId="77777777" w:rsidR="00673F93" w:rsidRPr="00C038FC" w:rsidRDefault="00673F93" w:rsidP="005D3ED5">
            <w:pPr>
              <w:pStyle w:val="NoSpacing"/>
              <w:rPr>
                <w:sz w:val="24"/>
                <w:szCs w:val="24"/>
              </w:rPr>
            </w:pPr>
            <w:r w:rsidRPr="00C038FC">
              <w:rPr>
                <w:sz w:val="24"/>
                <w:szCs w:val="24"/>
              </w:rPr>
              <w:t>0.678</w:t>
            </w:r>
          </w:p>
        </w:tc>
        <w:tc>
          <w:tcPr>
            <w:tcW w:w="600" w:type="pct"/>
            <w:gridSpan w:val="2"/>
            <w:hideMark/>
          </w:tcPr>
          <w:p w14:paraId="30D78A28" w14:textId="77777777" w:rsidR="00673F93" w:rsidRPr="00C038FC" w:rsidRDefault="00673F93" w:rsidP="005D3ED5">
            <w:pPr>
              <w:pStyle w:val="NoSpacing"/>
              <w:rPr>
                <w:sz w:val="24"/>
                <w:szCs w:val="24"/>
              </w:rPr>
            </w:pPr>
            <w:r w:rsidRPr="00C038FC">
              <w:rPr>
                <w:sz w:val="24"/>
                <w:szCs w:val="24"/>
              </w:rPr>
              <w:t>1.386</w:t>
            </w:r>
          </w:p>
        </w:tc>
        <w:tc>
          <w:tcPr>
            <w:tcW w:w="594" w:type="pct"/>
            <w:hideMark/>
          </w:tcPr>
          <w:p w14:paraId="57DBE64A" w14:textId="77777777" w:rsidR="00673F93" w:rsidRPr="00C038FC" w:rsidRDefault="00673F93" w:rsidP="005D3ED5">
            <w:pPr>
              <w:pStyle w:val="NoSpacing"/>
              <w:rPr>
                <w:sz w:val="24"/>
                <w:szCs w:val="24"/>
              </w:rPr>
            </w:pPr>
            <w:r w:rsidRPr="00C038FC">
              <w:rPr>
                <w:sz w:val="24"/>
                <w:szCs w:val="24"/>
              </w:rPr>
              <w:t>2.277</w:t>
            </w:r>
          </w:p>
        </w:tc>
      </w:tr>
      <w:tr w:rsidR="00C038FC" w:rsidRPr="00C038FC" w14:paraId="5569D05A" w14:textId="77777777" w:rsidTr="006E13B1">
        <w:tc>
          <w:tcPr>
            <w:tcW w:w="2026" w:type="pct"/>
            <w:hideMark/>
          </w:tcPr>
          <w:p w14:paraId="6F8E69C3" w14:textId="77777777" w:rsidR="00673F93" w:rsidRPr="00800841" w:rsidRDefault="00673F93" w:rsidP="005D3ED5">
            <w:pPr>
              <w:pStyle w:val="NoSpacing"/>
              <w:rPr>
                <w:i/>
                <w:iCs/>
                <w:sz w:val="24"/>
                <w:szCs w:val="24"/>
              </w:rPr>
            </w:pPr>
            <w:r w:rsidRPr="00800841">
              <w:rPr>
                <w:i/>
                <w:iCs/>
                <w:sz w:val="24"/>
                <w:szCs w:val="24"/>
              </w:rPr>
              <w:t>BETA</w:t>
            </w:r>
          </w:p>
        </w:tc>
        <w:tc>
          <w:tcPr>
            <w:tcW w:w="598" w:type="pct"/>
            <w:gridSpan w:val="2"/>
            <w:hideMark/>
          </w:tcPr>
          <w:p w14:paraId="457C611D" w14:textId="77777777" w:rsidR="00673F93" w:rsidRPr="00C038FC" w:rsidRDefault="00673F93" w:rsidP="005D3ED5">
            <w:pPr>
              <w:pStyle w:val="NoSpacing"/>
              <w:rPr>
                <w:sz w:val="24"/>
                <w:szCs w:val="24"/>
              </w:rPr>
            </w:pPr>
            <w:r w:rsidRPr="00C038FC">
              <w:rPr>
                <w:sz w:val="24"/>
                <w:szCs w:val="24"/>
              </w:rPr>
              <w:t>1.189</w:t>
            </w:r>
          </w:p>
        </w:tc>
        <w:tc>
          <w:tcPr>
            <w:tcW w:w="665" w:type="pct"/>
            <w:hideMark/>
          </w:tcPr>
          <w:p w14:paraId="4FA6785D" w14:textId="77777777" w:rsidR="00673F93" w:rsidRPr="00C038FC" w:rsidRDefault="00673F93" w:rsidP="005D3ED5">
            <w:pPr>
              <w:pStyle w:val="NoSpacing"/>
              <w:rPr>
                <w:sz w:val="24"/>
                <w:szCs w:val="24"/>
              </w:rPr>
            </w:pPr>
            <w:r w:rsidRPr="00C038FC">
              <w:rPr>
                <w:sz w:val="24"/>
                <w:szCs w:val="24"/>
              </w:rPr>
              <w:t>1.130</w:t>
            </w:r>
          </w:p>
        </w:tc>
        <w:tc>
          <w:tcPr>
            <w:tcW w:w="517" w:type="pct"/>
            <w:hideMark/>
          </w:tcPr>
          <w:p w14:paraId="40647807" w14:textId="77777777" w:rsidR="00673F93" w:rsidRPr="00C038FC" w:rsidRDefault="00673F93" w:rsidP="005D3ED5">
            <w:pPr>
              <w:pStyle w:val="NoSpacing"/>
              <w:rPr>
                <w:sz w:val="24"/>
                <w:szCs w:val="24"/>
              </w:rPr>
            </w:pPr>
            <w:r w:rsidRPr="00C038FC">
              <w:rPr>
                <w:sz w:val="24"/>
                <w:szCs w:val="24"/>
              </w:rPr>
              <w:t>0.509</w:t>
            </w:r>
          </w:p>
        </w:tc>
        <w:tc>
          <w:tcPr>
            <w:tcW w:w="600" w:type="pct"/>
            <w:gridSpan w:val="2"/>
            <w:hideMark/>
          </w:tcPr>
          <w:p w14:paraId="695D8220" w14:textId="77777777" w:rsidR="00673F93" w:rsidRPr="00C038FC" w:rsidRDefault="00673F93" w:rsidP="005D3ED5">
            <w:pPr>
              <w:pStyle w:val="NoSpacing"/>
              <w:rPr>
                <w:sz w:val="24"/>
                <w:szCs w:val="24"/>
              </w:rPr>
            </w:pPr>
            <w:r w:rsidRPr="00C038FC">
              <w:rPr>
                <w:sz w:val="24"/>
                <w:szCs w:val="24"/>
              </w:rPr>
              <w:t>0.834</w:t>
            </w:r>
          </w:p>
        </w:tc>
        <w:tc>
          <w:tcPr>
            <w:tcW w:w="594" w:type="pct"/>
            <w:hideMark/>
          </w:tcPr>
          <w:p w14:paraId="435600CF" w14:textId="77777777" w:rsidR="00673F93" w:rsidRPr="00C038FC" w:rsidRDefault="00673F93" w:rsidP="005D3ED5">
            <w:pPr>
              <w:pStyle w:val="NoSpacing"/>
              <w:rPr>
                <w:sz w:val="24"/>
                <w:szCs w:val="24"/>
              </w:rPr>
            </w:pPr>
            <w:r w:rsidRPr="00C038FC">
              <w:rPr>
                <w:sz w:val="24"/>
                <w:szCs w:val="24"/>
              </w:rPr>
              <w:t>1.481</w:t>
            </w:r>
          </w:p>
        </w:tc>
      </w:tr>
      <w:tr w:rsidR="00C038FC" w:rsidRPr="00C038FC" w14:paraId="1CB99431" w14:textId="77777777" w:rsidTr="006E13B1">
        <w:tc>
          <w:tcPr>
            <w:tcW w:w="2026" w:type="pct"/>
            <w:hideMark/>
          </w:tcPr>
          <w:p w14:paraId="576AEDA7" w14:textId="77777777" w:rsidR="00673F93" w:rsidRPr="00800841" w:rsidRDefault="00673F93" w:rsidP="005D3ED5">
            <w:pPr>
              <w:pStyle w:val="NoSpacing"/>
              <w:rPr>
                <w:i/>
                <w:iCs/>
                <w:sz w:val="24"/>
                <w:szCs w:val="24"/>
              </w:rPr>
            </w:pPr>
            <w:r w:rsidRPr="00800841">
              <w:rPr>
                <w:i/>
                <w:iCs/>
                <w:sz w:val="24"/>
                <w:szCs w:val="24"/>
              </w:rPr>
              <w:t>EQ</w:t>
            </w:r>
          </w:p>
        </w:tc>
        <w:tc>
          <w:tcPr>
            <w:tcW w:w="598" w:type="pct"/>
            <w:gridSpan w:val="2"/>
            <w:hideMark/>
          </w:tcPr>
          <w:p w14:paraId="3C2BFB28" w14:textId="77777777" w:rsidR="00673F93" w:rsidRPr="00C038FC" w:rsidRDefault="00673F93" w:rsidP="005D3ED5">
            <w:pPr>
              <w:pStyle w:val="NoSpacing"/>
              <w:rPr>
                <w:sz w:val="24"/>
                <w:szCs w:val="24"/>
              </w:rPr>
            </w:pPr>
            <w:r w:rsidRPr="00C038FC">
              <w:rPr>
                <w:sz w:val="24"/>
                <w:szCs w:val="24"/>
              </w:rPr>
              <w:t>−0.045</w:t>
            </w:r>
          </w:p>
        </w:tc>
        <w:tc>
          <w:tcPr>
            <w:tcW w:w="665" w:type="pct"/>
            <w:hideMark/>
          </w:tcPr>
          <w:p w14:paraId="7E4EFF0D" w14:textId="77777777" w:rsidR="00673F93" w:rsidRPr="00C038FC" w:rsidRDefault="00673F93" w:rsidP="005D3ED5">
            <w:pPr>
              <w:pStyle w:val="NoSpacing"/>
              <w:rPr>
                <w:sz w:val="24"/>
                <w:szCs w:val="24"/>
              </w:rPr>
            </w:pPr>
            <w:r w:rsidRPr="00C038FC">
              <w:rPr>
                <w:sz w:val="24"/>
                <w:szCs w:val="24"/>
              </w:rPr>
              <w:t>−0.013</w:t>
            </w:r>
          </w:p>
        </w:tc>
        <w:tc>
          <w:tcPr>
            <w:tcW w:w="517" w:type="pct"/>
            <w:hideMark/>
          </w:tcPr>
          <w:p w14:paraId="379B878A" w14:textId="77777777" w:rsidR="00673F93" w:rsidRPr="00C038FC" w:rsidRDefault="00673F93" w:rsidP="005D3ED5">
            <w:pPr>
              <w:pStyle w:val="NoSpacing"/>
              <w:rPr>
                <w:sz w:val="24"/>
                <w:szCs w:val="24"/>
              </w:rPr>
            </w:pPr>
            <w:r w:rsidRPr="00C038FC">
              <w:rPr>
                <w:sz w:val="24"/>
                <w:szCs w:val="24"/>
              </w:rPr>
              <w:t>1.636</w:t>
            </w:r>
          </w:p>
        </w:tc>
        <w:tc>
          <w:tcPr>
            <w:tcW w:w="600" w:type="pct"/>
            <w:gridSpan w:val="2"/>
            <w:hideMark/>
          </w:tcPr>
          <w:p w14:paraId="64AB8FAC" w14:textId="77777777" w:rsidR="00673F93" w:rsidRPr="00C038FC" w:rsidRDefault="00673F93" w:rsidP="005D3ED5">
            <w:pPr>
              <w:pStyle w:val="NoSpacing"/>
              <w:rPr>
                <w:sz w:val="24"/>
                <w:szCs w:val="24"/>
              </w:rPr>
            </w:pPr>
            <w:r w:rsidRPr="00C038FC">
              <w:rPr>
                <w:sz w:val="24"/>
                <w:szCs w:val="24"/>
              </w:rPr>
              <w:t>−0.152</w:t>
            </w:r>
          </w:p>
        </w:tc>
        <w:tc>
          <w:tcPr>
            <w:tcW w:w="594" w:type="pct"/>
            <w:hideMark/>
          </w:tcPr>
          <w:p w14:paraId="24B3B1D2" w14:textId="77777777" w:rsidR="00673F93" w:rsidRPr="00C038FC" w:rsidRDefault="00673F93" w:rsidP="005D3ED5">
            <w:pPr>
              <w:pStyle w:val="NoSpacing"/>
              <w:rPr>
                <w:sz w:val="24"/>
                <w:szCs w:val="24"/>
              </w:rPr>
            </w:pPr>
            <w:r w:rsidRPr="00C038FC">
              <w:rPr>
                <w:sz w:val="24"/>
                <w:szCs w:val="24"/>
              </w:rPr>
              <w:t>0.059</w:t>
            </w:r>
          </w:p>
        </w:tc>
      </w:tr>
      <w:tr w:rsidR="00C038FC" w:rsidRPr="00C038FC" w14:paraId="07D4CB58" w14:textId="77777777" w:rsidTr="006E13B1">
        <w:tc>
          <w:tcPr>
            <w:tcW w:w="2026" w:type="pct"/>
            <w:hideMark/>
          </w:tcPr>
          <w:p w14:paraId="1676D98B" w14:textId="77777777" w:rsidR="00673F93" w:rsidRPr="00800841" w:rsidRDefault="00673F93" w:rsidP="005D3ED5">
            <w:pPr>
              <w:pStyle w:val="NoSpacing"/>
              <w:rPr>
                <w:i/>
                <w:iCs/>
                <w:sz w:val="24"/>
                <w:szCs w:val="24"/>
              </w:rPr>
            </w:pPr>
            <w:r w:rsidRPr="00800841">
              <w:rPr>
                <w:i/>
                <w:iCs/>
                <w:sz w:val="24"/>
                <w:szCs w:val="24"/>
              </w:rPr>
              <w:t>INSTRADE</w:t>
            </w:r>
          </w:p>
        </w:tc>
        <w:tc>
          <w:tcPr>
            <w:tcW w:w="598" w:type="pct"/>
            <w:gridSpan w:val="2"/>
            <w:hideMark/>
          </w:tcPr>
          <w:p w14:paraId="688476BF" w14:textId="77777777" w:rsidR="00673F93" w:rsidRPr="00C038FC" w:rsidRDefault="00673F93" w:rsidP="005D3ED5">
            <w:pPr>
              <w:pStyle w:val="NoSpacing"/>
              <w:rPr>
                <w:sz w:val="24"/>
                <w:szCs w:val="24"/>
              </w:rPr>
            </w:pPr>
            <w:r w:rsidRPr="00C038FC">
              <w:rPr>
                <w:sz w:val="24"/>
                <w:szCs w:val="24"/>
              </w:rPr>
              <w:t>−0.013</w:t>
            </w:r>
          </w:p>
        </w:tc>
        <w:tc>
          <w:tcPr>
            <w:tcW w:w="665" w:type="pct"/>
            <w:hideMark/>
          </w:tcPr>
          <w:p w14:paraId="3CCC61A4" w14:textId="77777777" w:rsidR="00673F93" w:rsidRPr="00C038FC" w:rsidRDefault="00673F93" w:rsidP="005D3ED5">
            <w:pPr>
              <w:pStyle w:val="NoSpacing"/>
              <w:rPr>
                <w:sz w:val="24"/>
                <w:szCs w:val="24"/>
              </w:rPr>
            </w:pPr>
            <w:r w:rsidRPr="00C038FC">
              <w:rPr>
                <w:sz w:val="24"/>
                <w:szCs w:val="24"/>
              </w:rPr>
              <w:t>−0.003</w:t>
            </w:r>
          </w:p>
        </w:tc>
        <w:tc>
          <w:tcPr>
            <w:tcW w:w="517" w:type="pct"/>
            <w:hideMark/>
          </w:tcPr>
          <w:p w14:paraId="07CAABC5" w14:textId="77777777" w:rsidR="00673F93" w:rsidRPr="00C038FC" w:rsidRDefault="00673F93" w:rsidP="005D3ED5">
            <w:pPr>
              <w:pStyle w:val="NoSpacing"/>
              <w:rPr>
                <w:sz w:val="24"/>
                <w:szCs w:val="24"/>
              </w:rPr>
            </w:pPr>
            <w:r w:rsidRPr="00C038FC">
              <w:rPr>
                <w:sz w:val="24"/>
                <w:szCs w:val="24"/>
              </w:rPr>
              <w:t>0.037</w:t>
            </w:r>
          </w:p>
        </w:tc>
        <w:tc>
          <w:tcPr>
            <w:tcW w:w="600" w:type="pct"/>
            <w:gridSpan w:val="2"/>
            <w:hideMark/>
          </w:tcPr>
          <w:p w14:paraId="052C5A38" w14:textId="77777777" w:rsidR="00673F93" w:rsidRPr="00C038FC" w:rsidRDefault="00673F93" w:rsidP="005D3ED5">
            <w:pPr>
              <w:pStyle w:val="NoSpacing"/>
              <w:rPr>
                <w:sz w:val="24"/>
                <w:szCs w:val="24"/>
              </w:rPr>
            </w:pPr>
            <w:r w:rsidRPr="00C038FC">
              <w:rPr>
                <w:sz w:val="24"/>
                <w:szCs w:val="24"/>
              </w:rPr>
              <w:t>−0.009</w:t>
            </w:r>
          </w:p>
        </w:tc>
        <w:tc>
          <w:tcPr>
            <w:tcW w:w="594" w:type="pct"/>
            <w:hideMark/>
          </w:tcPr>
          <w:p w14:paraId="118DCBEC" w14:textId="77777777" w:rsidR="00673F93" w:rsidRPr="00C038FC" w:rsidRDefault="00673F93" w:rsidP="005D3ED5">
            <w:pPr>
              <w:pStyle w:val="NoSpacing"/>
              <w:rPr>
                <w:sz w:val="24"/>
                <w:szCs w:val="24"/>
              </w:rPr>
            </w:pPr>
            <w:r w:rsidRPr="00C038FC">
              <w:rPr>
                <w:sz w:val="24"/>
                <w:szCs w:val="24"/>
              </w:rPr>
              <w:t>−0.001</w:t>
            </w:r>
          </w:p>
        </w:tc>
      </w:tr>
      <w:tr w:rsidR="00C038FC" w:rsidRPr="00C038FC" w14:paraId="5E4B2E70" w14:textId="77777777" w:rsidTr="006E13B1">
        <w:tc>
          <w:tcPr>
            <w:tcW w:w="2026" w:type="pct"/>
            <w:hideMark/>
          </w:tcPr>
          <w:p w14:paraId="0989A1B3" w14:textId="77777777" w:rsidR="00673F93" w:rsidRPr="00800841" w:rsidRDefault="00673F93" w:rsidP="005D3ED5">
            <w:pPr>
              <w:pStyle w:val="NoSpacing"/>
              <w:rPr>
                <w:i/>
                <w:iCs/>
                <w:sz w:val="24"/>
                <w:szCs w:val="24"/>
              </w:rPr>
            </w:pPr>
            <w:r w:rsidRPr="00800841">
              <w:rPr>
                <w:i/>
                <w:iCs/>
                <w:sz w:val="24"/>
                <w:szCs w:val="24"/>
              </w:rPr>
              <w:t>CGSCORE</w:t>
            </w:r>
          </w:p>
        </w:tc>
        <w:tc>
          <w:tcPr>
            <w:tcW w:w="598" w:type="pct"/>
            <w:gridSpan w:val="2"/>
            <w:hideMark/>
          </w:tcPr>
          <w:p w14:paraId="000D0262" w14:textId="77777777" w:rsidR="00673F93" w:rsidRPr="00C038FC" w:rsidRDefault="00673F93" w:rsidP="005D3ED5">
            <w:pPr>
              <w:pStyle w:val="NoSpacing"/>
              <w:rPr>
                <w:sz w:val="24"/>
                <w:szCs w:val="24"/>
              </w:rPr>
            </w:pPr>
            <w:r w:rsidRPr="00C038FC">
              <w:rPr>
                <w:sz w:val="24"/>
                <w:szCs w:val="24"/>
              </w:rPr>
              <w:t>−0.072</w:t>
            </w:r>
          </w:p>
        </w:tc>
        <w:tc>
          <w:tcPr>
            <w:tcW w:w="665" w:type="pct"/>
            <w:hideMark/>
          </w:tcPr>
          <w:p w14:paraId="0E211F7A" w14:textId="77777777" w:rsidR="00673F93" w:rsidRPr="00C038FC" w:rsidRDefault="00673F93" w:rsidP="005D3ED5">
            <w:pPr>
              <w:pStyle w:val="NoSpacing"/>
              <w:rPr>
                <w:sz w:val="24"/>
                <w:szCs w:val="24"/>
              </w:rPr>
            </w:pPr>
            <w:r w:rsidRPr="00C038FC">
              <w:rPr>
                <w:sz w:val="24"/>
                <w:szCs w:val="24"/>
              </w:rPr>
              <w:t>0.000</w:t>
            </w:r>
          </w:p>
        </w:tc>
        <w:tc>
          <w:tcPr>
            <w:tcW w:w="517" w:type="pct"/>
            <w:hideMark/>
          </w:tcPr>
          <w:p w14:paraId="27C155CD" w14:textId="77777777" w:rsidR="00673F93" w:rsidRPr="00C038FC" w:rsidRDefault="00673F93" w:rsidP="005D3ED5">
            <w:pPr>
              <w:pStyle w:val="NoSpacing"/>
              <w:rPr>
                <w:sz w:val="24"/>
                <w:szCs w:val="24"/>
              </w:rPr>
            </w:pPr>
            <w:r w:rsidRPr="00C038FC">
              <w:rPr>
                <w:sz w:val="24"/>
                <w:szCs w:val="24"/>
              </w:rPr>
              <w:t>0.176</w:t>
            </w:r>
          </w:p>
        </w:tc>
        <w:tc>
          <w:tcPr>
            <w:tcW w:w="600" w:type="pct"/>
            <w:gridSpan w:val="2"/>
            <w:hideMark/>
          </w:tcPr>
          <w:p w14:paraId="3F056FBC" w14:textId="77777777" w:rsidR="00673F93" w:rsidRPr="00C038FC" w:rsidRDefault="00673F93" w:rsidP="005D3ED5">
            <w:pPr>
              <w:pStyle w:val="NoSpacing"/>
              <w:rPr>
                <w:sz w:val="24"/>
                <w:szCs w:val="24"/>
              </w:rPr>
            </w:pPr>
            <w:r w:rsidRPr="00C038FC">
              <w:rPr>
                <w:sz w:val="24"/>
                <w:szCs w:val="24"/>
              </w:rPr>
              <w:t>−0.167</w:t>
            </w:r>
          </w:p>
        </w:tc>
        <w:tc>
          <w:tcPr>
            <w:tcW w:w="594" w:type="pct"/>
            <w:hideMark/>
          </w:tcPr>
          <w:p w14:paraId="4E9C53E4" w14:textId="77777777" w:rsidR="00673F93" w:rsidRPr="00C038FC" w:rsidRDefault="00673F93" w:rsidP="005D3ED5">
            <w:pPr>
              <w:pStyle w:val="NoSpacing"/>
              <w:rPr>
                <w:sz w:val="24"/>
                <w:szCs w:val="24"/>
              </w:rPr>
            </w:pPr>
            <w:r w:rsidRPr="00C038FC">
              <w:rPr>
                <w:sz w:val="24"/>
                <w:szCs w:val="24"/>
              </w:rPr>
              <w:t>0.000</w:t>
            </w:r>
          </w:p>
        </w:tc>
      </w:tr>
      <w:tr w:rsidR="00C038FC" w:rsidRPr="00C038FC" w14:paraId="5A5885BD" w14:textId="77777777" w:rsidTr="006E13B1">
        <w:tc>
          <w:tcPr>
            <w:tcW w:w="2026" w:type="pct"/>
            <w:hideMark/>
          </w:tcPr>
          <w:p w14:paraId="05416C03" w14:textId="77777777" w:rsidR="00673F93" w:rsidRPr="00800841" w:rsidRDefault="00673F93" w:rsidP="005D3ED5">
            <w:pPr>
              <w:pStyle w:val="NoSpacing"/>
              <w:rPr>
                <w:i/>
                <w:iCs/>
                <w:sz w:val="24"/>
                <w:szCs w:val="24"/>
              </w:rPr>
            </w:pPr>
            <w:r w:rsidRPr="00800841">
              <w:rPr>
                <w:i/>
                <w:iCs/>
                <w:sz w:val="24"/>
                <w:szCs w:val="24"/>
              </w:rPr>
              <w:t>INSTNUM</w:t>
            </w:r>
          </w:p>
        </w:tc>
        <w:tc>
          <w:tcPr>
            <w:tcW w:w="598" w:type="pct"/>
            <w:gridSpan w:val="2"/>
            <w:hideMark/>
          </w:tcPr>
          <w:p w14:paraId="39D96317" w14:textId="77777777" w:rsidR="00673F93" w:rsidRPr="00C038FC" w:rsidRDefault="00673F93" w:rsidP="005D3ED5">
            <w:pPr>
              <w:pStyle w:val="NoSpacing"/>
              <w:rPr>
                <w:sz w:val="24"/>
                <w:szCs w:val="24"/>
              </w:rPr>
            </w:pPr>
            <w:r w:rsidRPr="00C038FC">
              <w:rPr>
                <w:sz w:val="24"/>
                <w:szCs w:val="24"/>
              </w:rPr>
              <w:t>5.100</w:t>
            </w:r>
          </w:p>
        </w:tc>
        <w:tc>
          <w:tcPr>
            <w:tcW w:w="665" w:type="pct"/>
            <w:hideMark/>
          </w:tcPr>
          <w:p w14:paraId="63BB4571" w14:textId="77777777" w:rsidR="00673F93" w:rsidRPr="00C038FC" w:rsidRDefault="00673F93" w:rsidP="005D3ED5">
            <w:pPr>
              <w:pStyle w:val="NoSpacing"/>
              <w:rPr>
                <w:sz w:val="24"/>
                <w:szCs w:val="24"/>
              </w:rPr>
            </w:pPr>
            <w:r w:rsidRPr="00C038FC">
              <w:rPr>
                <w:sz w:val="24"/>
                <w:szCs w:val="24"/>
              </w:rPr>
              <w:t>5.095</w:t>
            </w:r>
          </w:p>
        </w:tc>
        <w:tc>
          <w:tcPr>
            <w:tcW w:w="517" w:type="pct"/>
            <w:hideMark/>
          </w:tcPr>
          <w:p w14:paraId="2263E2F5" w14:textId="77777777" w:rsidR="00673F93" w:rsidRPr="00C038FC" w:rsidRDefault="00673F93" w:rsidP="005D3ED5">
            <w:pPr>
              <w:pStyle w:val="NoSpacing"/>
              <w:rPr>
                <w:sz w:val="24"/>
                <w:szCs w:val="24"/>
              </w:rPr>
            </w:pPr>
            <w:r w:rsidRPr="00C038FC">
              <w:rPr>
                <w:sz w:val="24"/>
                <w:szCs w:val="24"/>
              </w:rPr>
              <w:t>0.936</w:t>
            </w:r>
          </w:p>
        </w:tc>
        <w:tc>
          <w:tcPr>
            <w:tcW w:w="600" w:type="pct"/>
            <w:gridSpan w:val="2"/>
            <w:hideMark/>
          </w:tcPr>
          <w:p w14:paraId="6D06A1D9" w14:textId="77777777" w:rsidR="00673F93" w:rsidRPr="00C038FC" w:rsidRDefault="00673F93" w:rsidP="005D3ED5">
            <w:pPr>
              <w:pStyle w:val="NoSpacing"/>
              <w:rPr>
                <w:sz w:val="24"/>
                <w:szCs w:val="24"/>
              </w:rPr>
            </w:pPr>
            <w:r w:rsidRPr="00C038FC">
              <w:rPr>
                <w:sz w:val="24"/>
                <w:szCs w:val="24"/>
              </w:rPr>
              <w:t>4.663</w:t>
            </w:r>
          </w:p>
        </w:tc>
        <w:tc>
          <w:tcPr>
            <w:tcW w:w="594" w:type="pct"/>
            <w:hideMark/>
          </w:tcPr>
          <w:p w14:paraId="327C01A9" w14:textId="77777777" w:rsidR="00673F93" w:rsidRPr="00C038FC" w:rsidRDefault="00673F93" w:rsidP="005D3ED5">
            <w:pPr>
              <w:pStyle w:val="NoSpacing"/>
              <w:rPr>
                <w:sz w:val="24"/>
                <w:szCs w:val="24"/>
              </w:rPr>
            </w:pPr>
            <w:r w:rsidRPr="00C038FC">
              <w:rPr>
                <w:sz w:val="24"/>
                <w:szCs w:val="24"/>
              </w:rPr>
              <w:t>5.606</w:t>
            </w:r>
          </w:p>
        </w:tc>
      </w:tr>
      <w:tr w:rsidR="00C038FC" w:rsidRPr="00C038FC" w14:paraId="383540AF" w14:textId="77777777" w:rsidTr="006E13B1">
        <w:tc>
          <w:tcPr>
            <w:tcW w:w="2026" w:type="pct"/>
            <w:hideMark/>
          </w:tcPr>
          <w:p w14:paraId="110F793B" w14:textId="77777777" w:rsidR="00673F93" w:rsidRPr="00800841" w:rsidRDefault="00673F93" w:rsidP="005D3ED5">
            <w:pPr>
              <w:pStyle w:val="NoSpacing"/>
              <w:rPr>
                <w:i/>
                <w:iCs/>
                <w:sz w:val="24"/>
                <w:szCs w:val="24"/>
              </w:rPr>
            </w:pPr>
            <w:r w:rsidRPr="00800841">
              <w:rPr>
                <w:i/>
                <w:iCs/>
                <w:sz w:val="24"/>
                <w:szCs w:val="24"/>
              </w:rPr>
              <w:t>FREQ</w:t>
            </w:r>
          </w:p>
        </w:tc>
        <w:tc>
          <w:tcPr>
            <w:tcW w:w="598" w:type="pct"/>
            <w:gridSpan w:val="2"/>
            <w:hideMark/>
          </w:tcPr>
          <w:p w14:paraId="19AA908C" w14:textId="77777777" w:rsidR="00673F93" w:rsidRPr="00C038FC" w:rsidRDefault="00673F93" w:rsidP="005D3ED5">
            <w:pPr>
              <w:pStyle w:val="NoSpacing"/>
              <w:rPr>
                <w:sz w:val="24"/>
                <w:szCs w:val="24"/>
              </w:rPr>
            </w:pPr>
            <w:r w:rsidRPr="00C038FC">
              <w:rPr>
                <w:sz w:val="24"/>
                <w:szCs w:val="24"/>
              </w:rPr>
              <w:t>1.087</w:t>
            </w:r>
          </w:p>
        </w:tc>
        <w:tc>
          <w:tcPr>
            <w:tcW w:w="665" w:type="pct"/>
            <w:hideMark/>
          </w:tcPr>
          <w:p w14:paraId="3F78029B" w14:textId="77777777" w:rsidR="00673F93" w:rsidRPr="00C038FC" w:rsidRDefault="00673F93" w:rsidP="005D3ED5">
            <w:pPr>
              <w:pStyle w:val="NoSpacing"/>
              <w:rPr>
                <w:sz w:val="24"/>
                <w:szCs w:val="24"/>
              </w:rPr>
            </w:pPr>
            <w:r w:rsidRPr="00C038FC">
              <w:rPr>
                <w:sz w:val="24"/>
                <w:szCs w:val="24"/>
              </w:rPr>
              <w:t>1.099</w:t>
            </w:r>
          </w:p>
        </w:tc>
        <w:tc>
          <w:tcPr>
            <w:tcW w:w="517" w:type="pct"/>
            <w:hideMark/>
          </w:tcPr>
          <w:p w14:paraId="7A08D38A" w14:textId="77777777" w:rsidR="00673F93" w:rsidRPr="00C038FC" w:rsidRDefault="00673F93" w:rsidP="005D3ED5">
            <w:pPr>
              <w:pStyle w:val="NoSpacing"/>
              <w:rPr>
                <w:sz w:val="24"/>
                <w:szCs w:val="24"/>
              </w:rPr>
            </w:pPr>
            <w:r w:rsidRPr="00C038FC">
              <w:rPr>
                <w:sz w:val="24"/>
                <w:szCs w:val="24"/>
              </w:rPr>
              <w:t>0.982</w:t>
            </w:r>
          </w:p>
        </w:tc>
        <w:tc>
          <w:tcPr>
            <w:tcW w:w="600" w:type="pct"/>
            <w:gridSpan w:val="2"/>
            <w:hideMark/>
          </w:tcPr>
          <w:p w14:paraId="3FA8502A" w14:textId="77777777" w:rsidR="00673F93" w:rsidRPr="00C038FC" w:rsidRDefault="00673F93" w:rsidP="005D3ED5">
            <w:pPr>
              <w:pStyle w:val="NoSpacing"/>
              <w:rPr>
                <w:sz w:val="24"/>
                <w:szCs w:val="24"/>
              </w:rPr>
            </w:pPr>
            <w:r w:rsidRPr="00C038FC">
              <w:rPr>
                <w:sz w:val="24"/>
                <w:szCs w:val="24"/>
              </w:rPr>
              <w:t>0.000</w:t>
            </w:r>
          </w:p>
        </w:tc>
        <w:tc>
          <w:tcPr>
            <w:tcW w:w="594" w:type="pct"/>
            <w:hideMark/>
          </w:tcPr>
          <w:p w14:paraId="37183EFD" w14:textId="77777777" w:rsidR="00673F93" w:rsidRPr="00C038FC" w:rsidRDefault="00673F93" w:rsidP="005D3ED5">
            <w:pPr>
              <w:pStyle w:val="NoSpacing"/>
              <w:rPr>
                <w:sz w:val="24"/>
                <w:szCs w:val="24"/>
              </w:rPr>
            </w:pPr>
            <w:r w:rsidRPr="00C038FC">
              <w:rPr>
                <w:sz w:val="24"/>
                <w:szCs w:val="24"/>
              </w:rPr>
              <w:t>1.946</w:t>
            </w:r>
          </w:p>
        </w:tc>
      </w:tr>
      <w:tr w:rsidR="00C038FC" w:rsidRPr="00C038FC" w14:paraId="10F50EAB" w14:textId="77777777" w:rsidTr="006E13B1">
        <w:tc>
          <w:tcPr>
            <w:tcW w:w="2026" w:type="pct"/>
            <w:hideMark/>
          </w:tcPr>
          <w:p w14:paraId="6DFF4C11" w14:textId="77777777" w:rsidR="00673F93" w:rsidRPr="00800841" w:rsidRDefault="00673F93" w:rsidP="005D3ED5">
            <w:pPr>
              <w:pStyle w:val="NoSpacing"/>
              <w:rPr>
                <w:i/>
                <w:iCs/>
                <w:sz w:val="24"/>
                <w:szCs w:val="24"/>
              </w:rPr>
            </w:pPr>
            <w:r w:rsidRPr="00800841">
              <w:rPr>
                <w:i/>
                <w:iCs/>
                <w:sz w:val="24"/>
                <w:szCs w:val="24"/>
              </w:rPr>
              <w:t>LOGFILESIZE</w:t>
            </w:r>
          </w:p>
        </w:tc>
        <w:tc>
          <w:tcPr>
            <w:tcW w:w="598" w:type="pct"/>
            <w:gridSpan w:val="2"/>
            <w:hideMark/>
          </w:tcPr>
          <w:p w14:paraId="761627DA" w14:textId="77777777" w:rsidR="00673F93" w:rsidRPr="00C038FC" w:rsidRDefault="00673F93" w:rsidP="005D3ED5">
            <w:pPr>
              <w:pStyle w:val="NoSpacing"/>
              <w:rPr>
                <w:sz w:val="24"/>
                <w:szCs w:val="24"/>
              </w:rPr>
            </w:pPr>
            <w:r w:rsidRPr="00C038FC">
              <w:rPr>
                <w:sz w:val="24"/>
                <w:szCs w:val="24"/>
              </w:rPr>
              <w:t>2.084</w:t>
            </w:r>
          </w:p>
        </w:tc>
        <w:tc>
          <w:tcPr>
            <w:tcW w:w="665" w:type="pct"/>
            <w:hideMark/>
          </w:tcPr>
          <w:p w14:paraId="4B03C3D1" w14:textId="77777777" w:rsidR="00673F93" w:rsidRPr="00C038FC" w:rsidRDefault="00673F93" w:rsidP="005D3ED5">
            <w:pPr>
              <w:pStyle w:val="NoSpacing"/>
              <w:rPr>
                <w:sz w:val="24"/>
                <w:szCs w:val="24"/>
              </w:rPr>
            </w:pPr>
            <w:r w:rsidRPr="00C038FC">
              <w:rPr>
                <w:sz w:val="24"/>
                <w:szCs w:val="24"/>
              </w:rPr>
              <w:t>1.540</w:t>
            </w:r>
          </w:p>
        </w:tc>
        <w:tc>
          <w:tcPr>
            <w:tcW w:w="517" w:type="pct"/>
            <w:hideMark/>
          </w:tcPr>
          <w:p w14:paraId="6A7BF8DF" w14:textId="77777777" w:rsidR="00673F93" w:rsidRPr="00C038FC" w:rsidRDefault="00673F93" w:rsidP="005D3ED5">
            <w:pPr>
              <w:pStyle w:val="NoSpacing"/>
              <w:rPr>
                <w:sz w:val="24"/>
                <w:szCs w:val="24"/>
              </w:rPr>
            </w:pPr>
            <w:r w:rsidRPr="00C038FC">
              <w:rPr>
                <w:sz w:val="24"/>
                <w:szCs w:val="24"/>
              </w:rPr>
              <w:t>2.286</w:t>
            </w:r>
          </w:p>
        </w:tc>
        <w:tc>
          <w:tcPr>
            <w:tcW w:w="600" w:type="pct"/>
            <w:gridSpan w:val="2"/>
            <w:hideMark/>
          </w:tcPr>
          <w:p w14:paraId="31077BF2" w14:textId="77777777" w:rsidR="00673F93" w:rsidRPr="00C038FC" w:rsidRDefault="00673F93" w:rsidP="005D3ED5">
            <w:pPr>
              <w:pStyle w:val="NoSpacing"/>
              <w:rPr>
                <w:sz w:val="24"/>
                <w:szCs w:val="24"/>
              </w:rPr>
            </w:pPr>
            <w:r w:rsidRPr="00C038FC">
              <w:rPr>
                <w:sz w:val="24"/>
                <w:szCs w:val="24"/>
              </w:rPr>
              <w:t>1.067</w:t>
            </w:r>
          </w:p>
        </w:tc>
        <w:tc>
          <w:tcPr>
            <w:tcW w:w="594" w:type="pct"/>
            <w:hideMark/>
          </w:tcPr>
          <w:p w14:paraId="072AD333" w14:textId="77777777" w:rsidR="00673F93" w:rsidRPr="00C038FC" w:rsidRDefault="00673F93" w:rsidP="005D3ED5">
            <w:pPr>
              <w:pStyle w:val="NoSpacing"/>
              <w:rPr>
                <w:sz w:val="24"/>
                <w:szCs w:val="24"/>
              </w:rPr>
            </w:pPr>
            <w:r w:rsidRPr="00C038FC">
              <w:rPr>
                <w:sz w:val="24"/>
                <w:szCs w:val="24"/>
              </w:rPr>
              <w:t>2.307</w:t>
            </w:r>
          </w:p>
        </w:tc>
      </w:tr>
      <w:tr w:rsidR="00C038FC" w:rsidRPr="00C038FC" w14:paraId="4A097449" w14:textId="77777777" w:rsidTr="006E13B1">
        <w:tc>
          <w:tcPr>
            <w:tcW w:w="2026" w:type="pct"/>
            <w:hideMark/>
          </w:tcPr>
          <w:p w14:paraId="24406002" w14:textId="77777777" w:rsidR="00673F93" w:rsidRPr="00800841" w:rsidRDefault="00673F93" w:rsidP="005D3ED5">
            <w:pPr>
              <w:pStyle w:val="NoSpacing"/>
              <w:rPr>
                <w:i/>
                <w:iCs/>
                <w:sz w:val="24"/>
                <w:szCs w:val="24"/>
              </w:rPr>
            </w:pPr>
            <w:r w:rsidRPr="00800841">
              <w:rPr>
                <w:i/>
                <w:iCs/>
                <w:sz w:val="24"/>
                <w:szCs w:val="24"/>
              </w:rPr>
              <w:t>LOGSUPPLY</w:t>
            </w:r>
          </w:p>
        </w:tc>
        <w:tc>
          <w:tcPr>
            <w:tcW w:w="598" w:type="pct"/>
            <w:gridSpan w:val="2"/>
            <w:hideMark/>
          </w:tcPr>
          <w:p w14:paraId="54AFF4CF" w14:textId="77777777" w:rsidR="00673F93" w:rsidRPr="00C038FC" w:rsidRDefault="00673F93" w:rsidP="005D3ED5">
            <w:pPr>
              <w:pStyle w:val="NoSpacing"/>
              <w:rPr>
                <w:sz w:val="24"/>
                <w:szCs w:val="24"/>
              </w:rPr>
            </w:pPr>
            <w:r w:rsidRPr="00C038FC">
              <w:rPr>
                <w:sz w:val="24"/>
                <w:szCs w:val="24"/>
              </w:rPr>
              <w:t>2.137</w:t>
            </w:r>
          </w:p>
        </w:tc>
        <w:tc>
          <w:tcPr>
            <w:tcW w:w="665" w:type="pct"/>
            <w:hideMark/>
          </w:tcPr>
          <w:p w14:paraId="7D4F78FF" w14:textId="77777777" w:rsidR="00673F93" w:rsidRPr="00C038FC" w:rsidRDefault="00673F93" w:rsidP="005D3ED5">
            <w:pPr>
              <w:pStyle w:val="NoSpacing"/>
              <w:rPr>
                <w:sz w:val="24"/>
                <w:szCs w:val="24"/>
              </w:rPr>
            </w:pPr>
            <w:r w:rsidRPr="00C038FC">
              <w:rPr>
                <w:sz w:val="24"/>
                <w:szCs w:val="24"/>
              </w:rPr>
              <w:t>2.197</w:t>
            </w:r>
          </w:p>
        </w:tc>
        <w:tc>
          <w:tcPr>
            <w:tcW w:w="517" w:type="pct"/>
            <w:hideMark/>
          </w:tcPr>
          <w:p w14:paraId="6CE1B9A2" w14:textId="77777777" w:rsidR="00673F93" w:rsidRPr="00C038FC" w:rsidRDefault="00673F93" w:rsidP="005D3ED5">
            <w:pPr>
              <w:pStyle w:val="NoSpacing"/>
              <w:rPr>
                <w:sz w:val="24"/>
                <w:szCs w:val="24"/>
              </w:rPr>
            </w:pPr>
            <w:r w:rsidRPr="00C038FC">
              <w:rPr>
                <w:sz w:val="24"/>
                <w:szCs w:val="24"/>
              </w:rPr>
              <w:t>0.493</w:t>
            </w:r>
          </w:p>
        </w:tc>
        <w:tc>
          <w:tcPr>
            <w:tcW w:w="600" w:type="pct"/>
            <w:gridSpan w:val="2"/>
            <w:hideMark/>
          </w:tcPr>
          <w:p w14:paraId="2A9B6461" w14:textId="77777777" w:rsidR="00673F93" w:rsidRPr="00C038FC" w:rsidRDefault="00673F93" w:rsidP="005D3ED5">
            <w:pPr>
              <w:pStyle w:val="NoSpacing"/>
              <w:rPr>
                <w:sz w:val="24"/>
                <w:szCs w:val="24"/>
              </w:rPr>
            </w:pPr>
            <w:r w:rsidRPr="00C038FC">
              <w:rPr>
                <w:sz w:val="24"/>
                <w:szCs w:val="24"/>
              </w:rPr>
              <w:t>1.946</w:t>
            </w:r>
          </w:p>
        </w:tc>
        <w:tc>
          <w:tcPr>
            <w:tcW w:w="594" w:type="pct"/>
            <w:hideMark/>
          </w:tcPr>
          <w:p w14:paraId="26669FB4" w14:textId="77777777" w:rsidR="00673F93" w:rsidRPr="00C038FC" w:rsidRDefault="00673F93" w:rsidP="005D3ED5">
            <w:pPr>
              <w:pStyle w:val="NoSpacing"/>
              <w:rPr>
                <w:sz w:val="24"/>
                <w:szCs w:val="24"/>
              </w:rPr>
            </w:pPr>
            <w:r w:rsidRPr="00C038FC">
              <w:rPr>
                <w:sz w:val="24"/>
                <w:szCs w:val="24"/>
              </w:rPr>
              <w:t>2.485</w:t>
            </w:r>
          </w:p>
        </w:tc>
      </w:tr>
      <w:tr w:rsidR="00C038FC" w:rsidRPr="00C038FC" w14:paraId="1FD8B715" w14:textId="77777777" w:rsidTr="006E13B1">
        <w:tc>
          <w:tcPr>
            <w:tcW w:w="2026" w:type="pct"/>
            <w:hideMark/>
          </w:tcPr>
          <w:p w14:paraId="67BF01B0" w14:textId="77777777" w:rsidR="00673F93" w:rsidRPr="00800841" w:rsidRDefault="00673F93" w:rsidP="005D3ED5">
            <w:pPr>
              <w:pStyle w:val="NoSpacing"/>
              <w:rPr>
                <w:i/>
                <w:iCs/>
                <w:sz w:val="24"/>
                <w:szCs w:val="24"/>
              </w:rPr>
            </w:pPr>
            <w:r w:rsidRPr="00800841">
              <w:rPr>
                <w:i/>
                <w:iCs/>
                <w:sz w:val="24"/>
                <w:szCs w:val="24"/>
              </w:rPr>
              <w:t>SHORT</w:t>
            </w:r>
          </w:p>
        </w:tc>
        <w:tc>
          <w:tcPr>
            <w:tcW w:w="598" w:type="pct"/>
            <w:gridSpan w:val="2"/>
            <w:hideMark/>
          </w:tcPr>
          <w:p w14:paraId="25B0AFBB" w14:textId="77777777" w:rsidR="00673F93" w:rsidRPr="00C038FC" w:rsidRDefault="00673F93" w:rsidP="005D3ED5">
            <w:pPr>
              <w:pStyle w:val="NoSpacing"/>
              <w:rPr>
                <w:sz w:val="24"/>
                <w:szCs w:val="24"/>
              </w:rPr>
            </w:pPr>
            <w:r w:rsidRPr="00C038FC">
              <w:rPr>
                <w:sz w:val="24"/>
                <w:szCs w:val="24"/>
              </w:rPr>
              <w:t>0.063</w:t>
            </w:r>
          </w:p>
        </w:tc>
        <w:tc>
          <w:tcPr>
            <w:tcW w:w="665" w:type="pct"/>
            <w:hideMark/>
          </w:tcPr>
          <w:p w14:paraId="065256E7" w14:textId="77777777" w:rsidR="00673F93" w:rsidRPr="00C038FC" w:rsidRDefault="00673F93" w:rsidP="005D3ED5">
            <w:pPr>
              <w:pStyle w:val="NoSpacing"/>
              <w:rPr>
                <w:sz w:val="24"/>
                <w:szCs w:val="24"/>
              </w:rPr>
            </w:pPr>
            <w:r w:rsidRPr="00C038FC">
              <w:rPr>
                <w:sz w:val="24"/>
                <w:szCs w:val="24"/>
              </w:rPr>
              <w:t>0.045</w:t>
            </w:r>
          </w:p>
        </w:tc>
        <w:tc>
          <w:tcPr>
            <w:tcW w:w="517" w:type="pct"/>
            <w:hideMark/>
          </w:tcPr>
          <w:p w14:paraId="1FDC97B7" w14:textId="77777777" w:rsidR="00673F93" w:rsidRPr="00C038FC" w:rsidRDefault="00673F93" w:rsidP="005D3ED5">
            <w:pPr>
              <w:pStyle w:val="NoSpacing"/>
              <w:rPr>
                <w:sz w:val="24"/>
                <w:szCs w:val="24"/>
              </w:rPr>
            </w:pPr>
            <w:r w:rsidRPr="00C038FC">
              <w:rPr>
                <w:sz w:val="24"/>
                <w:szCs w:val="24"/>
              </w:rPr>
              <w:t>0.069</w:t>
            </w:r>
          </w:p>
        </w:tc>
        <w:tc>
          <w:tcPr>
            <w:tcW w:w="600" w:type="pct"/>
            <w:gridSpan w:val="2"/>
            <w:hideMark/>
          </w:tcPr>
          <w:p w14:paraId="6CB4F901" w14:textId="77777777" w:rsidR="00673F93" w:rsidRPr="00C038FC" w:rsidRDefault="00673F93" w:rsidP="005D3ED5">
            <w:pPr>
              <w:pStyle w:val="NoSpacing"/>
              <w:rPr>
                <w:sz w:val="24"/>
                <w:szCs w:val="24"/>
              </w:rPr>
            </w:pPr>
            <w:r w:rsidRPr="00C038FC">
              <w:rPr>
                <w:sz w:val="24"/>
                <w:szCs w:val="24"/>
              </w:rPr>
              <w:t>0.025</w:t>
            </w:r>
          </w:p>
        </w:tc>
        <w:tc>
          <w:tcPr>
            <w:tcW w:w="594" w:type="pct"/>
            <w:hideMark/>
          </w:tcPr>
          <w:p w14:paraId="75C19E09" w14:textId="77777777" w:rsidR="00673F93" w:rsidRPr="00C038FC" w:rsidRDefault="00673F93" w:rsidP="005D3ED5">
            <w:pPr>
              <w:pStyle w:val="NoSpacing"/>
              <w:rPr>
                <w:sz w:val="24"/>
                <w:szCs w:val="24"/>
              </w:rPr>
            </w:pPr>
            <w:r w:rsidRPr="00C038FC">
              <w:rPr>
                <w:sz w:val="24"/>
                <w:szCs w:val="24"/>
              </w:rPr>
              <w:t>0.079</w:t>
            </w:r>
          </w:p>
        </w:tc>
      </w:tr>
      <w:tr w:rsidR="00C038FC" w:rsidRPr="00C038FC" w14:paraId="1B8A31F9" w14:textId="77777777" w:rsidTr="006E13B1">
        <w:tc>
          <w:tcPr>
            <w:tcW w:w="2026" w:type="pct"/>
            <w:hideMark/>
          </w:tcPr>
          <w:p w14:paraId="57F46530" w14:textId="77777777" w:rsidR="00673F93" w:rsidRPr="00800841" w:rsidRDefault="00673F93" w:rsidP="005D3ED5">
            <w:pPr>
              <w:pStyle w:val="NoSpacing"/>
              <w:rPr>
                <w:i/>
                <w:iCs/>
                <w:sz w:val="24"/>
                <w:szCs w:val="24"/>
              </w:rPr>
            </w:pPr>
            <w:r w:rsidRPr="00800841">
              <w:rPr>
                <w:i/>
                <w:iCs/>
                <w:sz w:val="24"/>
                <w:szCs w:val="24"/>
              </w:rPr>
              <w:t>INSTOWN</w:t>
            </w:r>
          </w:p>
        </w:tc>
        <w:tc>
          <w:tcPr>
            <w:tcW w:w="598" w:type="pct"/>
            <w:gridSpan w:val="2"/>
            <w:hideMark/>
          </w:tcPr>
          <w:p w14:paraId="55DAC3FE" w14:textId="77777777" w:rsidR="00673F93" w:rsidRPr="00C038FC" w:rsidRDefault="00673F93" w:rsidP="005D3ED5">
            <w:pPr>
              <w:pStyle w:val="NoSpacing"/>
              <w:rPr>
                <w:sz w:val="24"/>
                <w:szCs w:val="24"/>
              </w:rPr>
            </w:pPr>
            <w:r w:rsidRPr="00C038FC">
              <w:rPr>
                <w:sz w:val="24"/>
                <w:szCs w:val="24"/>
              </w:rPr>
              <w:t>0.632</w:t>
            </w:r>
          </w:p>
        </w:tc>
        <w:tc>
          <w:tcPr>
            <w:tcW w:w="665" w:type="pct"/>
            <w:hideMark/>
          </w:tcPr>
          <w:p w14:paraId="449DD425" w14:textId="77777777" w:rsidR="00673F93" w:rsidRPr="00C038FC" w:rsidRDefault="00673F93" w:rsidP="005D3ED5">
            <w:pPr>
              <w:pStyle w:val="NoSpacing"/>
              <w:rPr>
                <w:sz w:val="24"/>
                <w:szCs w:val="24"/>
              </w:rPr>
            </w:pPr>
            <w:r w:rsidRPr="00C038FC">
              <w:rPr>
                <w:sz w:val="24"/>
                <w:szCs w:val="24"/>
              </w:rPr>
              <w:t>0.721</w:t>
            </w:r>
          </w:p>
        </w:tc>
        <w:tc>
          <w:tcPr>
            <w:tcW w:w="517" w:type="pct"/>
            <w:hideMark/>
          </w:tcPr>
          <w:p w14:paraId="75E0665B" w14:textId="77777777" w:rsidR="00673F93" w:rsidRPr="00C038FC" w:rsidRDefault="00673F93" w:rsidP="005D3ED5">
            <w:pPr>
              <w:pStyle w:val="NoSpacing"/>
              <w:rPr>
                <w:sz w:val="24"/>
                <w:szCs w:val="24"/>
              </w:rPr>
            </w:pPr>
            <w:r w:rsidRPr="00C038FC">
              <w:rPr>
                <w:sz w:val="24"/>
                <w:szCs w:val="24"/>
              </w:rPr>
              <w:t>0.293</w:t>
            </w:r>
          </w:p>
        </w:tc>
        <w:tc>
          <w:tcPr>
            <w:tcW w:w="600" w:type="pct"/>
            <w:gridSpan w:val="2"/>
            <w:hideMark/>
          </w:tcPr>
          <w:p w14:paraId="3CC3A5DF" w14:textId="77777777" w:rsidR="00673F93" w:rsidRPr="00C038FC" w:rsidRDefault="00673F93" w:rsidP="005D3ED5">
            <w:pPr>
              <w:pStyle w:val="NoSpacing"/>
              <w:rPr>
                <w:sz w:val="24"/>
                <w:szCs w:val="24"/>
              </w:rPr>
            </w:pPr>
            <w:r w:rsidRPr="00C038FC">
              <w:rPr>
                <w:sz w:val="24"/>
                <w:szCs w:val="24"/>
              </w:rPr>
              <w:t>0.518</w:t>
            </w:r>
          </w:p>
        </w:tc>
        <w:tc>
          <w:tcPr>
            <w:tcW w:w="594" w:type="pct"/>
            <w:hideMark/>
          </w:tcPr>
          <w:p w14:paraId="38BF3CBF" w14:textId="77777777" w:rsidR="00673F93" w:rsidRPr="00C038FC" w:rsidRDefault="00673F93" w:rsidP="005D3ED5">
            <w:pPr>
              <w:pStyle w:val="NoSpacing"/>
              <w:rPr>
                <w:sz w:val="24"/>
                <w:szCs w:val="24"/>
              </w:rPr>
            </w:pPr>
            <w:r w:rsidRPr="00C038FC">
              <w:rPr>
                <w:sz w:val="24"/>
                <w:szCs w:val="24"/>
              </w:rPr>
              <w:t>0.848</w:t>
            </w:r>
          </w:p>
        </w:tc>
      </w:tr>
      <w:tr w:rsidR="00C038FC" w:rsidRPr="00C038FC" w14:paraId="53E827ED" w14:textId="77777777" w:rsidTr="006E13B1">
        <w:tc>
          <w:tcPr>
            <w:tcW w:w="2026" w:type="pct"/>
            <w:hideMark/>
          </w:tcPr>
          <w:p w14:paraId="1FABD4FB" w14:textId="77777777" w:rsidR="00673F93" w:rsidRPr="00800841" w:rsidRDefault="00673F93" w:rsidP="005D3ED5">
            <w:pPr>
              <w:pStyle w:val="NoSpacing"/>
              <w:rPr>
                <w:i/>
                <w:iCs/>
                <w:sz w:val="24"/>
                <w:szCs w:val="24"/>
              </w:rPr>
            </w:pPr>
            <w:r w:rsidRPr="00800841">
              <w:rPr>
                <w:i/>
                <w:iCs/>
                <w:sz w:val="24"/>
                <w:szCs w:val="24"/>
              </w:rPr>
              <w:t>|ROA|</w:t>
            </w:r>
          </w:p>
        </w:tc>
        <w:tc>
          <w:tcPr>
            <w:tcW w:w="598" w:type="pct"/>
            <w:gridSpan w:val="2"/>
            <w:hideMark/>
          </w:tcPr>
          <w:p w14:paraId="1E166B84" w14:textId="77777777" w:rsidR="00673F93" w:rsidRPr="00C038FC" w:rsidRDefault="00673F93" w:rsidP="005D3ED5">
            <w:pPr>
              <w:pStyle w:val="NoSpacing"/>
              <w:rPr>
                <w:sz w:val="24"/>
                <w:szCs w:val="24"/>
              </w:rPr>
            </w:pPr>
            <w:r w:rsidRPr="00C038FC">
              <w:rPr>
                <w:sz w:val="24"/>
                <w:szCs w:val="24"/>
              </w:rPr>
              <w:t>0.095</w:t>
            </w:r>
          </w:p>
        </w:tc>
        <w:tc>
          <w:tcPr>
            <w:tcW w:w="665" w:type="pct"/>
            <w:hideMark/>
          </w:tcPr>
          <w:p w14:paraId="5D27619F" w14:textId="77777777" w:rsidR="00673F93" w:rsidRPr="00C038FC" w:rsidRDefault="00673F93" w:rsidP="005D3ED5">
            <w:pPr>
              <w:pStyle w:val="NoSpacing"/>
              <w:rPr>
                <w:sz w:val="24"/>
                <w:szCs w:val="24"/>
              </w:rPr>
            </w:pPr>
            <w:r w:rsidRPr="00C038FC">
              <w:rPr>
                <w:sz w:val="24"/>
                <w:szCs w:val="24"/>
              </w:rPr>
              <w:t>0.071</w:t>
            </w:r>
          </w:p>
        </w:tc>
        <w:tc>
          <w:tcPr>
            <w:tcW w:w="517" w:type="pct"/>
            <w:hideMark/>
          </w:tcPr>
          <w:p w14:paraId="4AD8F338" w14:textId="77777777" w:rsidR="00673F93" w:rsidRPr="00C038FC" w:rsidRDefault="00673F93" w:rsidP="005D3ED5">
            <w:pPr>
              <w:pStyle w:val="NoSpacing"/>
              <w:rPr>
                <w:sz w:val="24"/>
                <w:szCs w:val="24"/>
              </w:rPr>
            </w:pPr>
            <w:r w:rsidRPr="00C038FC">
              <w:rPr>
                <w:sz w:val="24"/>
                <w:szCs w:val="24"/>
              </w:rPr>
              <w:t>0.102</w:t>
            </w:r>
          </w:p>
        </w:tc>
        <w:tc>
          <w:tcPr>
            <w:tcW w:w="600" w:type="pct"/>
            <w:gridSpan w:val="2"/>
            <w:hideMark/>
          </w:tcPr>
          <w:p w14:paraId="7FF778BE" w14:textId="77777777" w:rsidR="00673F93" w:rsidRPr="00C038FC" w:rsidRDefault="00673F93" w:rsidP="005D3ED5">
            <w:pPr>
              <w:pStyle w:val="NoSpacing"/>
              <w:rPr>
                <w:sz w:val="24"/>
                <w:szCs w:val="24"/>
              </w:rPr>
            </w:pPr>
            <w:r w:rsidRPr="00C038FC">
              <w:rPr>
                <w:sz w:val="24"/>
                <w:szCs w:val="24"/>
              </w:rPr>
              <w:t>0.038</w:t>
            </w:r>
          </w:p>
        </w:tc>
        <w:tc>
          <w:tcPr>
            <w:tcW w:w="594" w:type="pct"/>
            <w:hideMark/>
          </w:tcPr>
          <w:p w14:paraId="53E00337" w14:textId="77777777" w:rsidR="00673F93" w:rsidRPr="00C038FC" w:rsidRDefault="00673F93" w:rsidP="005D3ED5">
            <w:pPr>
              <w:pStyle w:val="NoSpacing"/>
              <w:rPr>
                <w:sz w:val="24"/>
                <w:szCs w:val="24"/>
              </w:rPr>
            </w:pPr>
            <w:r w:rsidRPr="00C038FC">
              <w:rPr>
                <w:sz w:val="24"/>
                <w:szCs w:val="24"/>
              </w:rPr>
              <w:t>0.118</w:t>
            </w:r>
          </w:p>
        </w:tc>
      </w:tr>
      <w:tr w:rsidR="00C038FC" w:rsidRPr="00C038FC" w14:paraId="73CCADB4" w14:textId="77777777" w:rsidTr="006E13B1">
        <w:tc>
          <w:tcPr>
            <w:tcW w:w="2026" w:type="pct"/>
            <w:hideMark/>
          </w:tcPr>
          <w:p w14:paraId="0C508BDD" w14:textId="77777777" w:rsidR="00673F93" w:rsidRPr="00800841" w:rsidRDefault="00673F93" w:rsidP="005D3ED5">
            <w:pPr>
              <w:pStyle w:val="NoSpacing"/>
              <w:rPr>
                <w:i/>
                <w:iCs/>
                <w:sz w:val="24"/>
                <w:szCs w:val="24"/>
              </w:rPr>
            </w:pPr>
            <w:r w:rsidRPr="00800841">
              <w:rPr>
                <w:i/>
                <w:iCs/>
                <w:sz w:val="24"/>
                <w:szCs w:val="24"/>
              </w:rPr>
              <w:t>TURNOVER</w:t>
            </w:r>
          </w:p>
        </w:tc>
        <w:tc>
          <w:tcPr>
            <w:tcW w:w="598" w:type="pct"/>
            <w:gridSpan w:val="2"/>
            <w:hideMark/>
          </w:tcPr>
          <w:p w14:paraId="09124BD2" w14:textId="77777777" w:rsidR="00673F93" w:rsidRPr="00C038FC" w:rsidRDefault="00673F93" w:rsidP="005D3ED5">
            <w:pPr>
              <w:pStyle w:val="NoSpacing"/>
              <w:rPr>
                <w:sz w:val="24"/>
                <w:szCs w:val="24"/>
              </w:rPr>
            </w:pPr>
            <w:r w:rsidRPr="00C038FC">
              <w:rPr>
                <w:sz w:val="24"/>
                <w:szCs w:val="24"/>
              </w:rPr>
              <w:t>0.207</w:t>
            </w:r>
          </w:p>
        </w:tc>
        <w:tc>
          <w:tcPr>
            <w:tcW w:w="665" w:type="pct"/>
            <w:hideMark/>
          </w:tcPr>
          <w:p w14:paraId="1DF3630D" w14:textId="77777777" w:rsidR="00673F93" w:rsidRPr="00C038FC" w:rsidRDefault="00673F93" w:rsidP="005D3ED5">
            <w:pPr>
              <w:pStyle w:val="NoSpacing"/>
              <w:rPr>
                <w:sz w:val="24"/>
                <w:szCs w:val="24"/>
              </w:rPr>
            </w:pPr>
            <w:r w:rsidRPr="00C038FC">
              <w:rPr>
                <w:sz w:val="24"/>
                <w:szCs w:val="24"/>
              </w:rPr>
              <w:t>0.163</w:t>
            </w:r>
          </w:p>
        </w:tc>
        <w:tc>
          <w:tcPr>
            <w:tcW w:w="517" w:type="pct"/>
            <w:hideMark/>
          </w:tcPr>
          <w:p w14:paraId="1D2BA033" w14:textId="77777777" w:rsidR="00673F93" w:rsidRPr="00C038FC" w:rsidRDefault="00673F93" w:rsidP="005D3ED5">
            <w:pPr>
              <w:pStyle w:val="NoSpacing"/>
              <w:rPr>
                <w:sz w:val="24"/>
                <w:szCs w:val="24"/>
              </w:rPr>
            </w:pPr>
            <w:r w:rsidRPr="00C038FC">
              <w:rPr>
                <w:sz w:val="24"/>
                <w:szCs w:val="24"/>
              </w:rPr>
              <w:t>0.175</w:t>
            </w:r>
          </w:p>
        </w:tc>
        <w:tc>
          <w:tcPr>
            <w:tcW w:w="600" w:type="pct"/>
            <w:gridSpan w:val="2"/>
            <w:hideMark/>
          </w:tcPr>
          <w:p w14:paraId="2DAD7A07" w14:textId="77777777" w:rsidR="00673F93" w:rsidRPr="00C038FC" w:rsidRDefault="00673F93" w:rsidP="005D3ED5">
            <w:pPr>
              <w:pStyle w:val="NoSpacing"/>
              <w:rPr>
                <w:sz w:val="24"/>
                <w:szCs w:val="24"/>
              </w:rPr>
            </w:pPr>
            <w:r w:rsidRPr="00C038FC">
              <w:rPr>
                <w:sz w:val="24"/>
                <w:szCs w:val="24"/>
              </w:rPr>
              <w:t>0.098</w:t>
            </w:r>
          </w:p>
        </w:tc>
        <w:tc>
          <w:tcPr>
            <w:tcW w:w="594" w:type="pct"/>
            <w:hideMark/>
          </w:tcPr>
          <w:p w14:paraId="732F2C8A" w14:textId="77777777" w:rsidR="00673F93" w:rsidRPr="00C038FC" w:rsidRDefault="00673F93" w:rsidP="005D3ED5">
            <w:pPr>
              <w:pStyle w:val="NoSpacing"/>
              <w:rPr>
                <w:sz w:val="24"/>
                <w:szCs w:val="24"/>
              </w:rPr>
            </w:pPr>
            <w:r w:rsidRPr="00C038FC">
              <w:rPr>
                <w:sz w:val="24"/>
                <w:szCs w:val="24"/>
              </w:rPr>
              <w:t>0.258</w:t>
            </w:r>
          </w:p>
        </w:tc>
      </w:tr>
      <w:tr w:rsidR="00C038FC" w:rsidRPr="00C038FC" w14:paraId="2BE35557" w14:textId="77777777" w:rsidTr="006E13B1">
        <w:tc>
          <w:tcPr>
            <w:tcW w:w="2026" w:type="pct"/>
            <w:hideMark/>
          </w:tcPr>
          <w:p w14:paraId="0E30D119" w14:textId="77777777" w:rsidR="00673F93" w:rsidRPr="00800841" w:rsidRDefault="00673F93" w:rsidP="005D3ED5">
            <w:pPr>
              <w:pStyle w:val="NoSpacing"/>
              <w:rPr>
                <w:i/>
                <w:iCs/>
                <w:sz w:val="24"/>
                <w:szCs w:val="24"/>
              </w:rPr>
            </w:pPr>
            <w:r w:rsidRPr="00800841">
              <w:rPr>
                <w:i/>
                <w:iCs/>
                <w:sz w:val="24"/>
                <w:szCs w:val="24"/>
              </w:rPr>
              <w:t>NYSE</w:t>
            </w:r>
          </w:p>
        </w:tc>
        <w:tc>
          <w:tcPr>
            <w:tcW w:w="598" w:type="pct"/>
            <w:gridSpan w:val="2"/>
            <w:hideMark/>
          </w:tcPr>
          <w:p w14:paraId="01D2658E" w14:textId="77777777" w:rsidR="00673F93" w:rsidRPr="00C038FC" w:rsidRDefault="00673F93" w:rsidP="005D3ED5">
            <w:pPr>
              <w:pStyle w:val="NoSpacing"/>
              <w:rPr>
                <w:sz w:val="24"/>
                <w:szCs w:val="24"/>
              </w:rPr>
            </w:pPr>
            <w:r w:rsidRPr="00C038FC">
              <w:rPr>
                <w:sz w:val="24"/>
                <w:szCs w:val="24"/>
              </w:rPr>
              <w:t>0.526</w:t>
            </w:r>
          </w:p>
        </w:tc>
        <w:tc>
          <w:tcPr>
            <w:tcW w:w="665" w:type="pct"/>
            <w:hideMark/>
          </w:tcPr>
          <w:p w14:paraId="7F8EB845" w14:textId="77777777" w:rsidR="00673F93" w:rsidRPr="00C038FC" w:rsidRDefault="00673F93" w:rsidP="005D3ED5">
            <w:pPr>
              <w:pStyle w:val="NoSpacing"/>
              <w:rPr>
                <w:sz w:val="24"/>
                <w:szCs w:val="24"/>
              </w:rPr>
            </w:pPr>
            <w:r w:rsidRPr="00C038FC">
              <w:rPr>
                <w:sz w:val="24"/>
                <w:szCs w:val="24"/>
              </w:rPr>
              <w:t>1.000</w:t>
            </w:r>
          </w:p>
        </w:tc>
        <w:tc>
          <w:tcPr>
            <w:tcW w:w="517" w:type="pct"/>
            <w:hideMark/>
          </w:tcPr>
          <w:p w14:paraId="21403E69" w14:textId="77777777" w:rsidR="00673F93" w:rsidRPr="00C038FC" w:rsidRDefault="00673F93" w:rsidP="005D3ED5">
            <w:pPr>
              <w:pStyle w:val="NoSpacing"/>
              <w:rPr>
                <w:sz w:val="24"/>
                <w:szCs w:val="24"/>
              </w:rPr>
            </w:pPr>
            <w:r w:rsidRPr="00C038FC">
              <w:rPr>
                <w:sz w:val="24"/>
                <w:szCs w:val="24"/>
              </w:rPr>
              <w:t>0.499</w:t>
            </w:r>
          </w:p>
        </w:tc>
        <w:tc>
          <w:tcPr>
            <w:tcW w:w="600" w:type="pct"/>
            <w:gridSpan w:val="2"/>
            <w:hideMark/>
          </w:tcPr>
          <w:p w14:paraId="38A6F89E" w14:textId="77777777" w:rsidR="00673F93" w:rsidRPr="00C038FC" w:rsidRDefault="00673F93" w:rsidP="005D3ED5">
            <w:pPr>
              <w:pStyle w:val="NoSpacing"/>
              <w:rPr>
                <w:sz w:val="24"/>
                <w:szCs w:val="24"/>
              </w:rPr>
            </w:pPr>
            <w:r w:rsidRPr="00C038FC">
              <w:rPr>
                <w:sz w:val="24"/>
                <w:szCs w:val="24"/>
              </w:rPr>
              <w:t>0.000</w:t>
            </w:r>
          </w:p>
        </w:tc>
        <w:tc>
          <w:tcPr>
            <w:tcW w:w="594" w:type="pct"/>
            <w:hideMark/>
          </w:tcPr>
          <w:p w14:paraId="789CA142" w14:textId="77777777" w:rsidR="00673F93" w:rsidRPr="00C038FC" w:rsidRDefault="00673F93" w:rsidP="005D3ED5">
            <w:pPr>
              <w:pStyle w:val="NoSpacing"/>
              <w:rPr>
                <w:sz w:val="24"/>
                <w:szCs w:val="24"/>
              </w:rPr>
            </w:pPr>
            <w:r w:rsidRPr="00C038FC">
              <w:rPr>
                <w:sz w:val="24"/>
                <w:szCs w:val="24"/>
              </w:rPr>
              <w:t>1.000</w:t>
            </w:r>
          </w:p>
        </w:tc>
      </w:tr>
      <w:tr w:rsidR="00C038FC" w:rsidRPr="00C038FC" w14:paraId="67B3C4CE" w14:textId="77777777" w:rsidTr="006E13B1">
        <w:tc>
          <w:tcPr>
            <w:tcW w:w="2026" w:type="pct"/>
            <w:hideMark/>
          </w:tcPr>
          <w:p w14:paraId="4B4DC7E4" w14:textId="77777777" w:rsidR="00673F93" w:rsidRPr="00800841" w:rsidRDefault="00673F93" w:rsidP="005D3ED5">
            <w:pPr>
              <w:pStyle w:val="NoSpacing"/>
              <w:rPr>
                <w:i/>
                <w:iCs/>
                <w:sz w:val="24"/>
                <w:szCs w:val="24"/>
              </w:rPr>
            </w:pPr>
            <w:proofErr w:type="gramStart"/>
            <w:r w:rsidRPr="00800841">
              <w:rPr>
                <w:i/>
                <w:iCs/>
                <w:sz w:val="24"/>
                <w:szCs w:val="24"/>
              </w:rPr>
              <w:t>NEWS(</w:t>
            </w:r>
            <w:proofErr w:type="gramEnd"/>
            <w:r w:rsidRPr="00800841">
              <w:rPr>
                <w:i/>
                <w:iCs/>
                <w:sz w:val="24"/>
                <w:szCs w:val="24"/>
              </w:rPr>
              <w:t>−5,−1)</w:t>
            </w:r>
          </w:p>
        </w:tc>
        <w:tc>
          <w:tcPr>
            <w:tcW w:w="598" w:type="pct"/>
            <w:gridSpan w:val="2"/>
            <w:hideMark/>
          </w:tcPr>
          <w:p w14:paraId="01FA5524" w14:textId="77777777" w:rsidR="00673F93" w:rsidRPr="00C038FC" w:rsidRDefault="00673F93" w:rsidP="005D3ED5">
            <w:pPr>
              <w:pStyle w:val="NoSpacing"/>
              <w:rPr>
                <w:sz w:val="24"/>
                <w:szCs w:val="24"/>
              </w:rPr>
            </w:pPr>
            <w:r w:rsidRPr="00C038FC">
              <w:rPr>
                <w:sz w:val="24"/>
                <w:szCs w:val="24"/>
              </w:rPr>
              <w:t>0.536</w:t>
            </w:r>
          </w:p>
        </w:tc>
        <w:tc>
          <w:tcPr>
            <w:tcW w:w="665" w:type="pct"/>
            <w:hideMark/>
          </w:tcPr>
          <w:p w14:paraId="7BA0FB59" w14:textId="77777777" w:rsidR="00673F93" w:rsidRPr="00C038FC" w:rsidRDefault="00673F93" w:rsidP="005D3ED5">
            <w:pPr>
              <w:pStyle w:val="NoSpacing"/>
              <w:rPr>
                <w:sz w:val="24"/>
                <w:szCs w:val="24"/>
              </w:rPr>
            </w:pPr>
            <w:r w:rsidRPr="00C038FC">
              <w:rPr>
                <w:sz w:val="24"/>
                <w:szCs w:val="24"/>
              </w:rPr>
              <w:t>0.000</w:t>
            </w:r>
          </w:p>
        </w:tc>
        <w:tc>
          <w:tcPr>
            <w:tcW w:w="517" w:type="pct"/>
            <w:hideMark/>
          </w:tcPr>
          <w:p w14:paraId="69D78B27" w14:textId="77777777" w:rsidR="00673F93" w:rsidRPr="00C038FC" w:rsidRDefault="00673F93" w:rsidP="005D3ED5">
            <w:pPr>
              <w:pStyle w:val="NoSpacing"/>
              <w:rPr>
                <w:sz w:val="24"/>
                <w:szCs w:val="24"/>
              </w:rPr>
            </w:pPr>
            <w:r w:rsidRPr="00C038FC">
              <w:rPr>
                <w:sz w:val="24"/>
                <w:szCs w:val="24"/>
              </w:rPr>
              <w:t>1.760</w:t>
            </w:r>
          </w:p>
        </w:tc>
        <w:tc>
          <w:tcPr>
            <w:tcW w:w="600" w:type="pct"/>
            <w:gridSpan w:val="2"/>
            <w:hideMark/>
          </w:tcPr>
          <w:p w14:paraId="0D0257D3" w14:textId="77777777" w:rsidR="00673F93" w:rsidRPr="00C038FC" w:rsidRDefault="00673F93" w:rsidP="005D3ED5">
            <w:pPr>
              <w:pStyle w:val="NoSpacing"/>
              <w:rPr>
                <w:sz w:val="24"/>
                <w:szCs w:val="24"/>
              </w:rPr>
            </w:pPr>
            <w:r w:rsidRPr="00C038FC">
              <w:rPr>
                <w:sz w:val="24"/>
                <w:szCs w:val="24"/>
              </w:rPr>
              <w:t>0.000</w:t>
            </w:r>
          </w:p>
        </w:tc>
        <w:tc>
          <w:tcPr>
            <w:tcW w:w="594" w:type="pct"/>
            <w:hideMark/>
          </w:tcPr>
          <w:p w14:paraId="2DEFE869" w14:textId="77777777" w:rsidR="00673F93" w:rsidRPr="00C038FC" w:rsidRDefault="00673F93" w:rsidP="005D3ED5">
            <w:pPr>
              <w:pStyle w:val="NoSpacing"/>
              <w:rPr>
                <w:sz w:val="24"/>
                <w:szCs w:val="24"/>
              </w:rPr>
            </w:pPr>
            <w:r w:rsidRPr="00C038FC">
              <w:rPr>
                <w:sz w:val="24"/>
                <w:szCs w:val="24"/>
              </w:rPr>
              <w:t>1.000</w:t>
            </w:r>
          </w:p>
        </w:tc>
      </w:tr>
      <w:tr w:rsidR="00C038FC" w:rsidRPr="00C038FC" w14:paraId="39400849" w14:textId="77777777" w:rsidTr="006E13B1">
        <w:tc>
          <w:tcPr>
            <w:tcW w:w="2026" w:type="pct"/>
            <w:hideMark/>
          </w:tcPr>
          <w:p w14:paraId="769209AB" w14:textId="77777777" w:rsidR="00673F93" w:rsidRPr="00800841" w:rsidRDefault="00673F93" w:rsidP="005D3ED5">
            <w:pPr>
              <w:pStyle w:val="NoSpacing"/>
              <w:rPr>
                <w:i/>
                <w:iCs/>
                <w:sz w:val="24"/>
                <w:szCs w:val="24"/>
              </w:rPr>
            </w:pPr>
            <w:proofErr w:type="gramStart"/>
            <w:r w:rsidRPr="00800841">
              <w:rPr>
                <w:i/>
                <w:iCs/>
                <w:sz w:val="24"/>
                <w:szCs w:val="24"/>
              </w:rPr>
              <w:t>NEWS(</w:t>
            </w:r>
            <w:proofErr w:type="gramEnd"/>
            <w:r w:rsidRPr="00800841">
              <w:rPr>
                <w:i/>
                <w:iCs/>
                <w:sz w:val="24"/>
                <w:szCs w:val="24"/>
              </w:rPr>
              <w:t>0)</w:t>
            </w:r>
          </w:p>
        </w:tc>
        <w:tc>
          <w:tcPr>
            <w:tcW w:w="598" w:type="pct"/>
            <w:gridSpan w:val="2"/>
            <w:hideMark/>
          </w:tcPr>
          <w:p w14:paraId="5B89E878" w14:textId="77777777" w:rsidR="00673F93" w:rsidRPr="00C038FC" w:rsidRDefault="00673F93" w:rsidP="005D3ED5">
            <w:pPr>
              <w:pStyle w:val="NoSpacing"/>
              <w:rPr>
                <w:sz w:val="24"/>
                <w:szCs w:val="24"/>
              </w:rPr>
            </w:pPr>
            <w:r w:rsidRPr="00C038FC">
              <w:rPr>
                <w:sz w:val="24"/>
                <w:szCs w:val="24"/>
              </w:rPr>
              <w:t>0.630</w:t>
            </w:r>
          </w:p>
        </w:tc>
        <w:tc>
          <w:tcPr>
            <w:tcW w:w="665" w:type="pct"/>
            <w:hideMark/>
          </w:tcPr>
          <w:p w14:paraId="54A82D77" w14:textId="77777777" w:rsidR="00673F93" w:rsidRPr="00C038FC" w:rsidRDefault="00673F93" w:rsidP="005D3ED5">
            <w:pPr>
              <w:pStyle w:val="NoSpacing"/>
              <w:rPr>
                <w:sz w:val="24"/>
                <w:szCs w:val="24"/>
              </w:rPr>
            </w:pPr>
            <w:r w:rsidRPr="00C038FC">
              <w:rPr>
                <w:sz w:val="24"/>
                <w:szCs w:val="24"/>
              </w:rPr>
              <w:t>0.000</w:t>
            </w:r>
          </w:p>
        </w:tc>
        <w:tc>
          <w:tcPr>
            <w:tcW w:w="517" w:type="pct"/>
            <w:hideMark/>
          </w:tcPr>
          <w:p w14:paraId="52E52152" w14:textId="77777777" w:rsidR="00673F93" w:rsidRPr="00C038FC" w:rsidRDefault="00673F93" w:rsidP="005D3ED5">
            <w:pPr>
              <w:pStyle w:val="NoSpacing"/>
              <w:rPr>
                <w:sz w:val="24"/>
                <w:szCs w:val="24"/>
              </w:rPr>
            </w:pPr>
            <w:r w:rsidRPr="00C038FC">
              <w:rPr>
                <w:sz w:val="24"/>
                <w:szCs w:val="24"/>
              </w:rPr>
              <w:t>1.975</w:t>
            </w:r>
          </w:p>
        </w:tc>
        <w:tc>
          <w:tcPr>
            <w:tcW w:w="600" w:type="pct"/>
            <w:gridSpan w:val="2"/>
            <w:hideMark/>
          </w:tcPr>
          <w:p w14:paraId="3B3C20A1" w14:textId="77777777" w:rsidR="00673F93" w:rsidRPr="00C038FC" w:rsidRDefault="00673F93" w:rsidP="005D3ED5">
            <w:pPr>
              <w:pStyle w:val="NoSpacing"/>
              <w:rPr>
                <w:sz w:val="24"/>
                <w:szCs w:val="24"/>
              </w:rPr>
            </w:pPr>
            <w:r w:rsidRPr="00C038FC">
              <w:rPr>
                <w:sz w:val="24"/>
                <w:szCs w:val="24"/>
              </w:rPr>
              <w:t>0.000</w:t>
            </w:r>
          </w:p>
        </w:tc>
        <w:tc>
          <w:tcPr>
            <w:tcW w:w="594" w:type="pct"/>
            <w:hideMark/>
          </w:tcPr>
          <w:p w14:paraId="0CBC922A" w14:textId="77777777" w:rsidR="00673F93" w:rsidRPr="00C038FC" w:rsidRDefault="00673F93" w:rsidP="005D3ED5">
            <w:pPr>
              <w:pStyle w:val="NoSpacing"/>
              <w:rPr>
                <w:sz w:val="24"/>
                <w:szCs w:val="24"/>
              </w:rPr>
            </w:pPr>
            <w:r w:rsidRPr="00C038FC">
              <w:rPr>
                <w:sz w:val="24"/>
                <w:szCs w:val="24"/>
              </w:rPr>
              <w:t>1.000</w:t>
            </w:r>
          </w:p>
        </w:tc>
      </w:tr>
      <w:tr w:rsidR="00C038FC" w:rsidRPr="00C038FC" w14:paraId="0684DB4B" w14:textId="77777777" w:rsidTr="006E13B1">
        <w:tc>
          <w:tcPr>
            <w:tcW w:w="2026" w:type="pct"/>
            <w:hideMark/>
          </w:tcPr>
          <w:p w14:paraId="688AA6BE" w14:textId="77777777" w:rsidR="00673F93" w:rsidRPr="00800841" w:rsidRDefault="00673F93" w:rsidP="005D3ED5">
            <w:pPr>
              <w:pStyle w:val="NoSpacing"/>
              <w:rPr>
                <w:i/>
                <w:iCs/>
                <w:sz w:val="24"/>
                <w:szCs w:val="24"/>
              </w:rPr>
            </w:pPr>
            <w:proofErr w:type="gramStart"/>
            <w:r w:rsidRPr="00800841">
              <w:rPr>
                <w:i/>
                <w:iCs/>
                <w:sz w:val="24"/>
                <w:szCs w:val="24"/>
              </w:rPr>
              <w:t>NEWS(</w:t>
            </w:r>
            <w:proofErr w:type="gramEnd"/>
            <w:r w:rsidRPr="00800841">
              <w:rPr>
                <w:i/>
                <w:iCs/>
                <w:sz w:val="24"/>
                <w:szCs w:val="24"/>
              </w:rPr>
              <w:t>1,5)</w:t>
            </w:r>
          </w:p>
        </w:tc>
        <w:tc>
          <w:tcPr>
            <w:tcW w:w="598" w:type="pct"/>
            <w:gridSpan w:val="2"/>
            <w:hideMark/>
          </w:tcPr>
          <w:p w14:paraId="2A2BB924" w14:textId="77777777" w:rsidR="00673F93" w:rsidRPr="00C038FC" w:rsidRDefault="00673F93" w:rsidP="005D3ED5">
            <w:pPr>
              <w:pStyle w:val="NoSpacing"/>
              <w:rPr>
                <w:sz w:val="24"/>
                <w:szCs w:val="24"/>
              </w:rPr>
            </w:pPr>
            <w:r w:rsidRPr="00C038FC">
              <w:rPr>
                <w:sz w:val="24"/>
                <w:szCs w:val="24"/>
              </w:rPr>
              <w:t>0.929</w:t>
            </w:r>
          </w:p>
        </w:tc>
        <w:tc>
          <w:tcPr>
            <w:tcW w:w="665" w:type="pct"/>
            <w:hideMark/>
          </w:tcPr>
          <w:p w14:paraId="6A6A660E" w14:textId="77777777" w:rsidR="00673F93" w:rsidRPr="00C038FC" w:rsidRDefault="00673F93" w:rsidP="005D3ED5">
            <w:pPr>
              <w:pStyle w:val="NoSpacing"/>
              <w:rPr>
                <w:sz w:val="24"/>
                <w:szCs w:val="24"/>
              </w:rPr>
            </w:pPr>
            <w:r w:rsidRPr="00C038FC">
              <w:rPr>
                <w:sz w:val="24"/>
                <w:szCs w:val="24"/>
              </w:rPr>
              <w:t>0.000</w:t>
            </w:r>
          </w:p>
        </w:tc>
        <w:tc>
          <w:tcPr>
            <w:tcW w:w="517" w:type="pct"/>
            <w:hideMark/>
          </w:tcPr>
          <w:p w14:paraId="0EDA07F9" w14:textId="77777777" w:rsidR="00673F93" w:rsidRPr="00C038FC" w:rsidRDefault="00673F93" w:rsidP="005D3ED5">
            <w:pPr>
              <w:pStyle w:val="NoSpacing"/>
              <w:rPr>
                <w:sz w:val="24"/>
                <w:szCs w:val="24"/>
              </w:rPr>
            </w:pPr>
            <w:r w:rsidRPr="00C038FC">
              <w:rPr>
                <w:sz w:val="24"/>
                <w:szCs w:val="24"/>
              </w:rPr>
              <w:t>2.664</w:t>
            </w:r>
          </w:p>
        </w:tc>
        <w:tc>
          <w:tcPr>
            <w:tcW w:w="600" w:type="pct"/>
            <w:gridSpan w:val="2"/>
            <w:hideMark/>
          </w:tcPr>
          <w:p w14:paraId="5D70899D" w14:textId="77777777" w:rsidR="00673F93" w:rsidRPr="00C038FC" w:rsidRDefault="00673F93" w:rsidP="005D3ED5">
            <w:pPr>
              <w:pStyle w:val="NoSpacing"/>
              <w:rPr>
                <w:sz w:val="24"/>
                <w:szCs w:val="24"/>
              </w:rPr>
            </w:pPr>
            <w:r w:rsidRPr="00C038FC">
              <w:rPr>
                <w:sz w:val="24"/>
                <w:szCs w:val="24"/>
              </w:rPr>
              <w:t>0.000</w:t>
            </w:r>
          </w:p>
        </w:tc>
        <w:tc>
          <w:tcPr>
            <w:tcW w:w="594" w:type="pct"/>
            <w:hideMark/>
          </w:tcPr>
          <w:p w14:paraId="415C21AE" w14:textId="77777777" w:rsidR="00673F93" w:rsidRPr="00C038FC" w:rsidRDefault="00673F93" w:rsidP="005D3ED5">
            <w:pPr>
              <w:pStyle w:val="NoSpacing"/>
              <w:rPr>
                <w:sz w:val="24"/>
                <w:szCs w:val="24"/>
              </w:rPr>
            </w:pPr>
            <w:r w:rsidRPr="00C038FC">
              <w:rPr>
                <w:sz w:val="24"/>
                <w:szCs w:val="24"/>
              </w:rPr>
              <w:t>1.000</w:t>
            </w:r>
          </w:p>
        </w:tc>
      </w:tr>
      <w:tr w:rsidR="00C038FC" w:rsidRPr="00C038FC" w14:paraId="3F81519F" w14:textId="77777777" w:rsidTr="006E13B1">
        <w:tc>
          <w:tcPr>
            <w:tcW w:w="2026" w:type="pct"/>
            <w:hideMark/>
          </w:tcPr>
          <w:p w14:paraId="31DD7FDF" w14:textId="77777777" w:rsidR="00673F93" w:rsidRPr="00800841" w:rsidRDefault="00673F93" w:rsidP="005D3ED5">
            <w:pPr>
              <w:pStyle w:val="NoSpacing"/>
              <w:rPr>
                <w:i/>
                <w:iCs/>
                <w:sz w:val="24"/>
                <w:szCs w:val="24"/>
              </w:rPr>
            </w:pPr>
            <w:proofErr w:type="gramStart"/>
            <w:r w:rsidRPr="00800841">
              <w:rPr>
                <w:i/>
                <w:iCs/>
                <w:sz w:val="24"/>
                <w:szCs w:val="24"/>
              </w:rPr>
              <w:t>RET(</w:t>
            </w:r>
            <w:proofErr w:type="gramEnd"/>
            <w:r w:rsidRPr="00800841">
              <w:rPr>
                <w:i/>
                <w:iCs/>
                <w:sz w:val="24"/>
                <w:szCs w:val="24"/>
              </w:rPr>
              <w:t>m−3, m)</w:t>
            </w:r>
          </w:p>
        </w:tc>
        <w:tc>
          <w:tcPr>
            <w:tcW w:w="598" w:type="pct"/>
            <w:gridSpan w:val="2"/>
            <w:hideMark/>
          </w:tcPr>
          <w:p w14:paraId="197F6D9F" w14:textId="77777777" w:rsidR="00673F93" w:rsidRPr="00C038FC" w:rsidRDefault="00673F93" w:rsidP="005D3ED5">
            <w:pPr>
              <w:pStyle w:val="NoSpacing"/>
              <w:rPr>
                <w:sz w:val="24"/>
                <w:szCs w:val="24"/>
              </w:rPr>
            </w:pPr>
            <w:r w:rsidRPr="00C038FC">
              <w:rPr>
                <w:sz w:val="24"/>
                <w:szCs w:val="24"/>
              </w:rPr>
              <w:t>0.029</w:t>
            </w:r>
          </w:p>
        </w:tc>
        <w:tc>
          <w:tcPr>
            <w:tcW w:w="665" w:type="pct"/>
            <w:hideMark/>
          </w:tcPr>
          <w:p w14:paraId="489D3DE9" w14:textId="77777777" w:rsidR="00673F93" w:rsidRPr="00C038FC" w:rsidRDefault="00673F93" w:rsidP="005D3ED5">
            <w:pPr>
              <w:pStyle w:val="NoSpacing"/>
              <w:rPr>
                <w:sz w:val="24"/>
                <w:szCs w:val="24"/>
              </w:rPr>
            </w:pPr>
            <w:r w:rsidRPr="00C038FC">
              <w:rPr>
                <w:sz w:val="24"/>
                <w:szCs w:val="24"/>
              </w:rPr>
              <w:t>0.036</w:t>
            </w:r>
          </w:p>
        </w:tc>
        <w:tc>
          <w:tcPr>
            <w:tcW w:w="517" w:type="pct"/>
            <w:hideMark/>
          </w:tcPr>
          <w:p w14:paraId="535CE29E" w14:textId="77777777" w:rsidR="00673F93" w:rsidRPr="00C038FC" w:rsidRDefault="00673F93" w:rsidP="005D3ED5">
            <w:pPr>
              <w:pStyle w:val="NoSpacing"/>
              <w:rPr>
                <w:sz w:val="24"/>
                <w:szCs w:val="24"/>
              </w:rPr>
            </w:pPr>
            <w:r w:rsidRPr="00C038FC">
              <w:rPr>
                <w:sz w:val="24"/>
                <w:szCs w:val="24"/>
              </w:rPr>
              <w:t>0.203</w:t>
            </w:r>
          </w:p>
        </w:tc>
        <w:tc>
          <w:tcPr>
            <w:tcW w:w="600" w:type="pct"/>
            <w:gridSpan w:val="2"/>
            <w:hideMark/>
          </w:tcPr>
          <w:p w14:paraId="2D6EB279" w14:textId="77777777" w:rsidR="00673F93" w:rsidRPr="00C038FC" w:rsidRDefault="00673F93" w:rsidP="005D3ED5">
            <w:pPr>
              <w:pStyle w:val="NoSpacing"/>
              <w:rPr>
                <w:sz w:val="24"/>
                <w:szCs w:val="24"/>
              </w:rPr>
            </w:pPr>
            <w:r w:rsidRPr="00C038FC">
              <w:rPr>
                <w:sz w:val="24"/>
                <w:szCs w:val="24"/>
              </w:rPr>
              <w:t>−0.069</w:t>
            </w:r>
          </w:p>
        </w:tc>
        <w:tc>
          <w:tcPr>
            <w:tcW w:w="594" w:type="pct"/>
            <w:hideMark/>
          </w:tcPr>
          <w:p w14:paraId="0AC19517" w14:textId="77777777" w:rsidR="00673F93" w:rsidRPr="00C038FC" w:rsidRDefault="00673F93" w:rsidP="005D3ED5">
            <w:pPr>
              <w:pStyle w:val="NoSpacing"/>
              <w:rPr>
                <w:sz w:val="24"/>
                <w:szCs w:val="24"/>
              </w:rPr>
            </w:pPr>
            <w:r w:rsidRPr="00C038FC">
              <w:rPr>
                <w:sz w:val="24"/>
                <w:szCs w:val="24"/>
              </w:rPr>
              <w:t>0.130</w:t>
            </w:r>
          </w:p>
        </w:tc>
      </w:tr>
      <w:tr w:rsidR="00C038FC" w:rsidRPr="00C038FC" w14:paraId="34BDBC8C" w14:textId="77777777" w:rsidTr="006E13B1">
        <w:tc>
          <w:tcPr>
            <w:tcW w:w="2026" w:type="pct"/>
            <w:hideMark/>
          </w:tcPr>
          <w:p w14:paraId="5F25186D" w14:textId="77777777" w:rsidR="00673F93" w:rsidRPr="00800841" w:rsidRDefault="00673F93" w:rsidP="005D3ED5">
            <w:pPr>
              <w:pStyle w:val="NoSpacing"/>
              <w:rPr>
                <w:i/>
                <w:iCs/>
                <w:sz w:val="24"/>
                <w:szCs w:val="24"/>
              </w:rPr>
            </w:pPr>
            <w:r w:rsidRPr="00800841">
              <w:rPr>
                <w:i/>
                <w:iCs/>
                <w:sz w:val="24"/>
                <w:szCs w:val="24"/>
              </w:rPr>
              <w:lastRenderedPageBreak/>
              <w:t>FORECAST</w:t>
            </w:r>
          </w:p>
        </w:tc>
        <w:tc>
          <w:tcPr>
            <w:tcW w:w="598" w:type="pct"/>
            <w:gridSpan w:val="2"/>
            <w:hideMark/>
          </w:tcPr>
          <w:p w14:paraId="2D26FB5E" w14:textId="77777777" w:rsidR="00673F93" w:rsidRPr="00C038FC" w:rsidRDefault="00673F93" w:rsidP="005D3ED5">
            <w:pPr>
              <w:pStyle w:val="NoSpacing"/>
              <w:rPr>
                <w:sz w:val="24"/>
                <w:szCs w:val="24"/>
              </w:rPr>
            </w:pPr>
            <w:r w:rsidRPr="00C038FC">
              <w:rPr>
                <w:sz w:val="24"/>
                <w:szCs w:val="24"/>
              </w:rPr>
              <w:t>0.556</w:t>
            </w:r>
          </w:p>
        </w:tc>
        <w:tc>
          <w:tcPr>
            <w:tcW w:w="665" w:type="pct"/>
            <w:hideMark/>
          </w:tcPr>
          <w:p w14:paraId="4B8622F5" w14:textId="77777777" w:rsidR="00673F93" w:rsidRPr="00C038FC" w:rsidRDefault="00673F93" w:rsidP="005D3ED5">
            <w:pPr>
              <w:pStyle w:val="NoSpacing"/>
              <w:rPr>
                <w:sz w:val="24"/>
                <w:szCs w:val="24"/>
              </w:rPr>
            </w:pPr>
            <w:r w:rsidRPr="00C038FC">
              <w:rPr>
                <w:sz w:val="24"/>
                <w:szCs w:val="24"/>
              </w:rPr>
              <w:t>1.000</w:t>
            </w:r>
          </w:p>
        </w:tc>
        <w:tc>
          <w:tcPr>
            <w:tcW w:w="517" w:type="pct"/>
            <w:hideMark/>
          </w:tcPr>
          <w:p w14:paraId="73F7FABA" w14:textId="77777777" w:rsidR="00673F93" w:rsidRPr="00C038FC" w:rsidRDefault="00673F93" w:rsidP="005D3ED5">
            <w:pPr>
              <w:pStyle w:val="NoSpacing"/>
              <w:rPr>
                <w:sz w:val="24"/>
                <w:szCs w:val="24"/>
              </w:rPr>
            </w:pPr>
            <w:r w:rsidRPr="00C038FC">
              <w:rPr>
                <w:sz w:val="24"/>
                <w:szCs w:val="24"/>
              </w:rPr>
              <w:t>0.497</w:t>
            </w:r>
          </w:p>
        </w:tc>
        <w:tc>
          <w:tcPr>
            <w:tcW w:w="600" w:type="pct"/>
            <w:gridSpan w:val="2"/>
            <w:hideMark/>
          </w:tcPr>
          <w:p w14:paraId="0B5A96BA" w14:textId="77777777" w:rsidR="00673F93" w:rsidRPr="00C038FC" w:rsidRDefault="00673F93" w:rsidP="005D3ED5">
            <w:pPr>
              <w:pStyle w:val="NoSpacing"/>
              <w:rPr>
                <w:sz w:val="24"/>
                <w:szCs w:val="24"/>
              </w:rPr>
            </w:pPr>
            <w:r w:rsidRPr="00C038FC">
              <w:rPr>
                <w:sz w:val="24"/>
                <w:szCs w:val="24"/>
              </w:rPr>
              <w:t>0.000</w:t>
            </w:r>
          </w:p>
        </w:tc>
        <w:tc>
          <w:tcPr>
            <w:tcW w:w="594" w:type="pct"/>
            <w:hideMark/>
          </w:tcPr>
          <w:p w14:paraId="2D551971" w14:textId="77777777" w:rsidR="00673F93" w:rsidRPr="00C038FC" w:rsidRDefault="00673F93" w:rsidP="005D3ED5">
            <w:pPr>
              <w:pStyle w:val="NoSpacing"/>
              <w:rPr>
                <w:sz w:val="24"/>
                <w:szCs w:val="24"/>
              </w:rPr>
            </w:pPr>
            <w:r w:rsidRPr="00C038FC">
              <w:rPr>
                <w:sz w:val="24"/>
                <w:szCs w:val="24"/>
              </w:rPr>
              <w:t>1.000</w:t>
            </w:r>
          </w:p>
        </w:tc>
      </w:tr>
      <w:tr w:rsidR="00C038FC" w:rsidRPr="00C038FC" w14:paraId="40BD2654" w14:textId="77777777" w:rsidTr="006E13B1">
        <w:tc>
          <w:tcPr>
            <w:tcW w:w="2026" w:type="pct"/>
            <w:hideMark/>
          </w:tcPr>
          <w:p w14:paraId="6DF71F0C" w14:textId="77777777" w:rsidR="00673F93" w:rsidRPr="00800841" w:rsidRDefault="00673F93" w:rsidP="005D3ED5">
            <w:pPr>
              <w:pStyle w:val="NoSpacing"/>
              <w:rPr>
                <w:i/>
                <w:iCs/>
                <w:sz w:val="24"/>
                <w:szCs w:val="24"/>
              </w:rPr>
            </w:pPr>
            <w:r w:rsidRPr="00800841">
              <w:rPr>
                <w:i/>
                <w:iCs/>
                <w:sz w:val="24"/>
                <w:szCs w:val="24"/>
              </w:rPr>
              <w:t>LOSS</w:t>
            </w:r>
          </w:p>
        </w:tc>
        <w:tc>
          <w:tcPr>
            <w:tcW w:w="598" w:type="pct"/>
            <w:gridSpan w:val="2"/>
            <w:hideMark/>
          </w:tcPr>
          <w:p w14:paraId="3C6F078B" w14:textId="77777777" w:rsidR="00673F93" w:rsidRPr="00C038FC" w:rsidRDefault="00673F93" w:rsidP="005D3ED5">
            <w:pPr>
              <w:pStyle w:val="NoSpacing"/>
              <w:rPr>
                <w:sz w:val="24"/>
                <w:szCs w:val="24"/>
              </w:rPr>
            </w:pPr>
            <w:r w:rsidRPr="00C038FC">
              <w:rPr>
                <w:sz w:val="24"/>
                <w:szCs w:val="24"/>
              </w:rPr>
              <w:t>0.162</w:t>
            </w:r>
          </w:p>
        </w:tc>
        <w:tc>
          <w:tcPr>
            <w:tcW w:w="665" w:type="pct"/>
            <w:hideMark/>
          </w:tcPr>
          <w:p w14:paraId="0A8146D3" w14:textId="77777777" w:rsidR="00673F93" w:rsidRPr="00C038FC" w:rsidRDefault="00673F93" w:rsidP="005D3ED5">
            <w:pPr>
              <w:pStyle w:val="NoSpacing"/>
              <w:rPr>
                <w:sz w:val="24"/>
                <w:szCs w:val="24"/>
              </w:rPr>
            </w:pPr>
            <w:r w:rsidRPr="00C038FC">
              <w:rPr>
                <w:sz w:val="24"/>
                <w:szCs w:val="24"/>
              </w:rPr>
              <w:t>0.000</w:t>
            </w:r>
          </w:p>
        </w:tc>
        <w:tc>
          <w:tcPr>
            <w:tcW w:w="517" w:type="pct"/>
            <w:hideMark/>
          </w:tcPr>
          <w:p w14:paraId="1C86D2A3" w14:textId="77777777" w:rsidR="00673F93" w:rsidRPr="00C038FC" w:rsidRDefault="00673F93" w:rsidP="005D3ED5">
            <w:pPr>
              <w:pStyle w:val="NoSpacing"/>
              <w:rPr>
                <w:sz w:val="24"/>
                <w:szCs w:val="24"/>
              </w:rPr>
            </w:pPr>
            <w:r w:rsidRPr="00C038FC">
              <w:rPr>
                <w:sz w:val="24"/>
                <w:szCs w:val="24"/>
              </w:rPr>
              <w:t>0.369</w:t>
            </w:r>
          </w:p>
        </w:tc>
        <w:tc>
          <w:tcPr>
            <w:tcW w:w="600" w:type="pct"/>
            <w:gridSpan w:val="2"/>
            <w:hideMark/>
          </w:tcPr>
          <w:p w14:paraId="7B4B83B7" w14:textId="77777777" w:rsidR="00673F93" w:rsidRPr="00C038FC" w:rsidRDefault="00673F93" w:rsidP="005D3ED5">
            <w:pPr>
              <w:pStyle w:val="NoSpacing"/>
              <w:rPr>
                <w:sz w:val="24"/>
                <w:szCs w:val="24"/>
              </w:rPr>
            </w:pPr>
            <w:r w:rsidRPr="00C038FC">
              <w:rPr>
                <w:sz w:val="24"/>
                <w:szCs w:val="24"/>
              </w:rPr>
              <w:t>0.000</w:t>
            </w:r>
          </w:p>
        </w:tc>
        <w:tc>
          <w:tcPr>
            <w:tcW w:w="594" w:type="pct"/>
            <w:hideMark/>
          </w:tcPr>
          <w:p w14:paraId="1B08EEC8" w14:textId="77777777" w:rsidR="00673F93" w:rsidRPr="00C038FC" w:rsidRDefault="00673F93" w:rsidP="005D3ED5">
            <w:pPr>
              <w:pStyle w:val="NoSpacing"/>
              <w:rPr>
                <w:sz w:val="24"/>
                <w:szCs w:val="24"/>
              </w:rPr>
            </w:pPr>
            <w:r w:rsidRPr="00C038FC">
              <w:rPr>
                <w:sz w:val="24"/>
                <w:szCs w:val="24"/>
              </w:rPr>
              <w:t>0.000</w:t>
            </w:r>
          </w:p>
        </w:tc>
      </w:tr>
      <w:tr w:rsidR="00C038FC" w:rsidRPr="00C038FC" w14:paraId="756A4BE3" w14:textId="77777777" w:rsidTr="006E13B1">
        <w:tc>
          <w:tcPr>
            <w:tcW w:w="2026" w:type="pct"/>
            <w:hideMark/>
          </w:tcPr>
          <w:p w14:paraId="33743CC8" w14:textId="77777777" w:rsidR="00673F93" w:rsidRPr="00800841" w:rsidRDefault="00673F93" w:rsidP="005D3ED5">
            <w:pPr>
              <w:pStyle w:val="NoSpacing"/>
              <w:rPr>
                <w:i/>
                <w:iCs/>
                <w:sz w:val="24"/>
                <w:szCs w:val="24"/>
              </w:rPr>
            </w:pPr>
            <w:r w:rsidRPr="00800841">
              <w:rPr>
                <w:i/>
                <w:iCs/>
                <w:sz w:val="24"/>
                <w:szCs w:val="24"/>
              </w:rPr>
              <w:t>|RET|</w:t>
            </w:r>
          </w:p>
        </w:tc>
        <w:tc>
          <w:tcPr>
            <w:tcW w:w="598" w:type="pct"/>
            <w:gridSpan w:val="2"/>
            <w:hideMark/>
          </w:tcPr>
          <w:p w14:paraId="0D4C9D73" w14:textId="77777777" w:rsidR="00673F93" w:rsidRPr="00C038FC" w:rsidRDefault="00673F93" w:rsidP="005D3ED5">
            <w:pPr>
              <w:pStyle w:val="NoSpacing"/>
              <w:rPr>
                <w:sz w:val="24"/>
                <w:szCs w:val="24"/>
              </w:rPr>
            </w:pPr>
            <w:r w:rsidRPr="00C038FC">
              <w:rPr>
                <w:sz w:val="24"/>
                <w:szCs w:val="24"/>
              </w:rPr>
              <w:t>0.014</w:t>
            </w:r>
          </w:p>
        </w:tc>
        <w:tc>
          <w:tcPr>
            <w:tcW w:w="665" w:type="pct"/>
            <w:hideMark/>
          </w:tcPr>
          <w:p w14:paraId="4F41019E" w14:textId="77777777" w:rsidR="00673F93" w:rsidRPr="00C038FC" w:rsidRDefault="00673F93" w:rsidP="005D3ED5">
            <w:pPr>
              <w:pStyle w:val="NoSpacing"/>
              <w:rPr>
                <w:sz w:val="24"/>
                <w:szCs w:val="24"/>
              </w:rPr>
            </w:pPr>
            <w:r w:rsidRPr="00C038FC">
              <w:rPr>
                <w:sz w:val="24"/>
                <w:szCs w:val="24"/>
              </w:rPr>
              <w:t>0.010</w:t>
            </w:r>
          </w:p>
        </w:tc>
        <w:tc>
          <w:tcPr>
            <w:tcW w:w="517" w:type="pct"/>
            <w:hideMark/>
          </w:tcPr>
          <w:p w14:paraId="0BE7F71F" w14:textId="77777777" w:rsidR="00673F93" w:rsidRPr="00C038FC" w:rsidRDefault="00673F93" w:rsidP="005D3ED5">
            <w:pPr>
              <w:pStyle w:val="NoSpacing"/>
              <w:rPr>
                <w:sz w:val="24"/>
                <w:szCs w:val="24"/>
              </w:rPr>
            </w:pPr>
            <w:r w:rsidRPr="00C038FC">
              <w:rPr>
                <w:sz w:val="24"/>
                <w:szCs w:val="24"/>
              </w:rPr>
              <w:t>0.017</w:t>
            </w:r>
          </w:p>
        </w:tc>
        <w:tc>
          <w:tcPr>
            <w:tcW w:w="600" w:type="pct"/>
            <w:gridSpan w:val="2"/>
            <w:hideMark/>
          </w:tcPr>
          <w:p w14:paraId="5D00293E" w14:textId="77777777" w:rsidR="00673F93" w:rsidRPr="00C038FC" w:rsidRDefault="00673F93" w:rsidP="005D3ED5">
            <w:pPr>
              <w:pStyle w:val="NoSpacing"/>
              <w:rPr>
                <w:sz w:val="24"/>
                <w:szCs w:val="24"/>
              </w:rPr>
            </w:pPr>
            <w:r w:rsidRPr="00C038FC">
              <w:rPr>
                <w:sz w:val="24"/>
                <w:szCs w:val="24"/>
              </w:rPr>
              <w:t>0.004</w:t>
            </w:r>
          </w:p>
        </w:tc>
        <w:tc>
          <w:tcPr>
            <w:tcW w:w="594" w:type="pct"/>
            <w:hideMark/>
          </w:tcPr>
          <w:p w14:paraId="6A3B0637" w14:textId="77777777" w:rsidR="00673F93" w:rsidRPr="00C038FC" w:rsidRDefault="00673F93" w:rsidP="005D3ED5">
            <w:pPr>
              <w:pStyle w:val="NoSpacing"/>
              <w:rPr>
                <w:sz w:val="24"/>
                <w:szCs w:val="24"/>
              </w:rPr>
            </w:pPr>
            <w:r w:rsidRPr="00C038FC">
              <w:rPr>
                <w:sz w:val="24"/>
                <w:szCs w:val="24"/>
              </w:rPr>
              <w:t>0.018</w:t>
            </w:r>
          </w:p>
        </w:tc>
      </w:tr>
      <w:tr w:rsidR="00C038FC" w:rsidRPr="00C038FC" w14:paraId="5A8FAF4F" w14:textId="77777777" w:rsidTr="006E13B1">
        <w:tc>
          <w:tcPr>
            <w:tcW w:w="2026" w:type="pct"/>
            <w:hideMark/>
          </w:tcPr>
          <w:p w14:paraId="09EE307D" w14:textId="77777777" w:rsidR="00673F93" w:rsidRPr="00800841" w:rsidRDefault="00673F93" w:rsidP="005D3ED5">
            <w:pPr>
              <w:pStyle w:val="NoSpacing"/>
              <w:rPr>
                <w:i/>
                <w:iCs/>
                <w:sz w:val="24"/>
                <w:szCs w:val="24"/>
              </w:rPr>
            </w:pPr>
            <w:r w:rsidRPr="00800841">
              <w:rPr>
                <w:i/>
                <w:iCs/>
                <w:sz w:val="24"/>
                <w:szCs w:val="24"/>
              </w:rPr>
              <w:t>BIDASK</w:t>
            </w:r>
          </w:p>
        </w:tc>
        <w:tc>
          <w:tcPr>
            <w:tcW w:w="598" w:type="pct"/>
            <w:gridSpan w:val="2"/>
            <w:hideMark/>
          </w:tcPr>
          <w:p w14:paraId="11C6E9FA" w14:textId="77777777" w:rsidR="00673F93" w:rsidRPr="00C038FC" w:rsidRDefault="00673F93" w:rsidP="005D3ED5">
            <w:pPr>
              <w:pStyle w:val="NoSpacing"/>
              <w:rPr>
                <w:sz w:val="24"/>
                <w:szCs w:val="24"/>
              </w:rPr>
            </w:pPr>
            <w:r w:rsidRPr="00C038FC">
              <w:rPr>
                <w:sz w:val="24"/>
                <w:szCs w:val="24"/>
              </w:rPr>
              <w:t>−7.406</w:t>
            </w:r>
          </w:p>
        </w:tc>
        <w:tc>
          <w:tcPr>
            <w:tcW w:w="665" w:type="pct"/>
            <w:hideMark/>
          </w:tcPr>
          <w:p w14:paraId="170AE900" w14:textId="77777777" w:rsidR="00673F93" w:rsidRPr="00C038FC" w:rsidRDefault="00673F93" w:rsidP="005D3ED5">
            <w:pPr>
              <w:pStyle w:val="NoSpacing"/>
              <w:rPr>
                <w:sz w:val="24"/>
                <w:szCs w:val="24"/>
              </w:rPr>
            </w:pPr>
            <w:r w:rsidRPr="00C038FC">
              <w:rPr>
                <w:sz w:val="24"/>
                <w:szCs w:val="24"/>
              </w:rPr>
              <w:t>−7.450</w:t>
            </w:r>
          </w:p>
        </w:tc>
        <w:tc>
          <w:tcPr>
            <w:tcW w:w="517" w:type="pct"/>
            <w:hideMark/>
          </w:tcPr>
          <w:p w14:paraId="18995BED" w14:textId="77777777" w:rsidR="00673F93" w:rsidRPr="00C038FC" w:rsidRDefault="00673F93" w:rsidP="005D3ED5">
            <w:pPr>
              <w:pStyle w:val="NoSpacing"/>
              <w:rPr>
                <w:sz w:val="24"/>
                <w:szCs w:val="24"/>
              </w:rPr>
            </w:pPr>
            <w:r w:rsidRPr="00C038FC">
              <w:rPr>
                <w:sz w:val="24"/>
                <w:szCs w:val="24"/>
              </w:rPr>
              <w:t>0.360</w:t>
            </w:r>
          </w:p>
        </w:tc>
        <w:tc>
          <w:tcPr>
            <w:tcW w:w="600" w:type="pct"/>
            <w:gridSpan w:val="2"/>
            <w:hideMark/>
          </w:tcPr>
          <w:p w14:paraId="4E684C0B" w14:textId="77777777" w:rsidR="00673F93" w:rsidRPr="00C038FC" w:rsidRDefault="00673F93" w:rsidP="005D3ED5">
            <w:pPr>
              <w:pStyle w:val="NoSpacing"/>
              <w:rPr>
                <w:sz w:val="24"/>
                <w:szCs w:val="24"/>
              </w:rPr>
            </w:pPr>
            <w:r w:rsidRPr="00C038FC">
              <w:rPr>
                <w:sz w:val="24"/>
                <w:szCs w:val="24"/>
              </w:rPr>
              <w:t>−7.665</w:t>
            </w:r>
          </w:p>
        </w:tc>
        <w:tc>
          <w:tcPr>
            <w:tcW w:w="594" w:type="pct"/>
            <w:hideMark/>
          </w:tcPr>
          <w:p w14:paraId="123A1DA3" w14:textId="77777777" w:rsidR="00673F93" w:rsidRPr="00C038FC" w:rsidRDefault="00673F93" w:rsidP="005D3ED5">
            <w:pPr>
              <w:pStyle w:val="NoSpacing"/>
              <w:rPr>
                <w:sz w:val="24"/>
                <w:szCs w:val="24"/>
              </w:rPr>
            </w:pPr>
            <w:r w:rsidRPr="00C038FC">
              <w:rPr>
                <w:sz w:val="24"/>
                <w:szCs w:val="24"/>
              </w:rPr>
              <w:t>−7.190</w:t>
            </w:r>
          </w:p>
        </w:tc>
      </w:tr>
      <w:tr w:rsidR="00C038FC" w:rsidRPr="00C038FC" w14:paraId="28BE14D0" w14:textId="77777777" w:rsidTr="006E13B1">
        <w:tc>
          <w:tcPr>
            <w:tcW w:w="2026" w:type="pct"/>
            <w:hideMark/>
          </w:tcPr>
          <w:p w14:paraId="55455346" w14:textId="77777777" w:rsidR="00673F93" w:rsidRPr="00800841" w:rsidRDefault="00673F93" w:rsidP="005D3ED5">
            <w:pPr>
              <w:pStyle w:val="NoSpacing"/>
              <w:rPr>
                <w:i/>
                <w:iCs/>
                <w:sz w:val="24"/>
                <w:szCs w:val="24"/>
              </w:rPr>
            </w:pPr>
            <w:proofErr w:type="gramStart"/>
            <w:r w:rsidRPr="00800841">
              <w:rPr>
                <w:i/>
                <w:iCs/>
                <w:sz w:val="24"/>
                <w:szCs w:val="24"/>
              </w:rPr>
              <w:t>Log(</w:t>
            </w:r>
            <w:proofErr w:type="gramEnd"/>
            <w:r w:rsidRPr="00800841">
              <w:rPr>
                <w:i/>
                <w:iCs/>
                <w:sz w:val="24"/>
                <w:szCs w:val="24"/>
              </w:rPr>
              <w:t>ANM)</w:t>
            </w:r>
          </w:p>
        </w:tc>
        <w:tc>
          <w:tcPr>
            <w:tcW w:w="598" w:type="pct"/>
            <w:gridSpan w:val="2"/>
            <w:hideMark/>
          </w:tcPr>
          <w:p w14:paraId="5F987BA5" w14:textId="77777777" w:rsidR="00673F93" w:rsidRPr="00C038FC" w:rsidRDefault="00673F93" w:rsidP="005D3ED5">
            <w:pPr>
              <w:pStyle w:val="NoSpacing"/>
              <w:rPr>
                <w:sz w:val="24"/>
                <w:szCs w:val="24"/>
              </w:rPr>
            </w:pPr>
            <w:r w:rsidRPr="00C038FC">
              <w:rPr>
                <w:sz w:val="24"/>
                <w:szCs w:val="24"/>
              </w:rPr>
              <w:t>2.734</w:t>
            </w:r>
          </w:p>
        </w:tc>
        <w:tc>
          <w:tcPr>
            <w:tcW w:w="665" w:type="pct"/>
            <w:hideMark/>
          </w:tcPr>
          <w:p w14:paraId="77CC5343" w14:textId="77777777" w:rsidR="00673F93" w:rsidRPr="00C038FC" w:rsidRDefault="00673F93" w:rsidP="005D3ED5">
            <w:pPr>
              <w:pStyle w:val="NoSpacing"/>
              <w:rPr>
                <w:sz w:val="24"/>
                <w:szCs w:val="24"/>
              </w:rPr>
            </w:pPr>
            <w:r w:rsidRPr="00C038FC">
              <w:rPr>
                <w:sz w:val="24"/>
                <w:szCs w:val="24"/>
              </w:rPr>
              <w:t>2.708</w:t>
            </w:r>
          </w:p>
        </w:tc>
        <w:tc>
          <w:tcPr>
            <w:tcW w:w="517" w:type="pct"/>
            <w:hideMark/>
          </w:tcPr>
          <w:p w14:paraId="74A327E0" w14:textId="77777777" w:rsidR="00673F93" w:rsidRPr="00C038FC" w:rsidRDefault="00673F93" w:rsidP="005D3ED5">
            <w:pPr>
              <w:pStyle w:val="NoSpacing"/>
              <w:rPr>
                <w:sz w:val="24"/>
                <w:szCs w:val="24"/>
              </w:rPr>
            </w:pPr>
            <w:r w:rsidRPr="00C038FC">
              <w:rPr>
                <w:sz w:val="24"/>
                <w:szCs w:val="24"/>
              </w:rPr>
              <w:t>0.260</w:t>
            </w:r>
          </w:p>
        </w:tc>
        <w:tc>
          <w:tcPr>
            <w:tcW w:w="600" w:type="pct"/>
            <w:gridSpan w:val="2"/>
            <w:hideMark/>
          </w:tcPr>
          <w:p w14:paraId="323DA401" w14:textId="77777777" w:rsidR="00673F93" w:rsidRPr="00C038FC" w:rsidRDefault="00673F93" w:rsidP="005D3ED5">
            <w:pPr>
              <w:pStyle w:val="NoSpacing"/>
              <w:rPr>
                <w:sz w:val="24"/>
                <w:szCs w:val="24"/>
              </w:rPr>
            </w:pPr>
            <w:r w:rsidRPr="00C038FC">
              <w:rPr>
                <w:sz w:val="24"/>
                <w:szCs w:val="24"/>
              </w:rPr>
              <w:t>2.708</w:t>
            </w:r>
          </w:p>
        </w:tc>
        <w:tc>
          <w:tcPr>
            <w:tcW w:w="594" w:type="pct"/>
            <w:hideMark/>
          </w:tcPr>
          <w:p w14:paraId="01C975EF" w14:textId="77777777" w:rsidR="00673F93" w:rsidRPr="00C038FC" w:rsidRDefault="00673F93" w:rsidP="005D3ED5">
            <w:pPr>
              <w:pStyle w:val="NoSpacing"/>
              <w:rPr>
                <w:sz w:val="24"/>
                <w:szCs w:val="24"/>
              </w:rPr>
            </w:pPr>
            <w:r w:rsidRPr="00C038FC">
              <w:rPr>
                <w:sz w:val="24"/>
                <w:szCs w:val="24"/>
              </w:rPr>
              <w:t>2.708</w:t>
            </w:r>
          </w:p>
        </w:tc>
      </w:tr>
      <w:tr w:rsidR="00C038FC" w:rsidRPr="00C038FC" w14:paraId="54F86F15" w14:textId="77777777" w:rsidTr="006E13B1">
        <w:tc>
          <w:tcPr>
            <w:tcW w:w="2026" w:type="pct"/>
            <w:hideMark/>
          </w:tcPr>
          <w:p w14:paraId="1F3131E1" w14:textId="77777777" w:rsidR="00673F93" w:rsidRPr="00800841" w:rsidRDefault="00673F93" w:rsidP="005D3ED5">
            <w:pPr>
              <w:pStyle w:val="NoSpacing"/>
              <w:rPr>
                <w:i/>
                <w:iCs/>
                <w:sz w:val="24"/>
                <w:szCs w:val="24"/>
              </w:rPr>
            </w:pPr>
            <w:r w:rsidRPr="00800841">
              <w:rPr>
                <w:i/>
                <w:iCs/>
                <w:sz w:val="24"/>
                <w:szCs w:val="24"/>
              </w:rPr>
              <w:t>QTR4</w:t>
            </w:r>
          </w:p>
        </w:tc>
        <w:tc>
          <w:tcPr>
            <w:tcW w:w="598" w:type="pct"/>
            <w:gridSpan w:val="2"/>
            <w:hideMark/>
          </w:tcPr>
          <w:p w14:paraId="3D5345B4" w14:textId="77777777" w:rsidR="00673F93" w:rsidRPr="00C038FC" w:rsidRDefault="00673F93" w:rsidP="005D3ED5">
            <w:pPr>
              <w:pStyle w:val="NoSpacing"/>
              <w:rPr>
                <w:sz w:val="24"/>
                <w:szCs w:val="24"/>
              </w:rPr>
            </w:pPr>
            <w:r w:rsidRPr="00C038FC">
              <w:rPr>
                <w:sz w:val="24"/>
                <w:szCs w:val="24"/>
              </w:rPr>
              <w:t>0.319</w:t>
            </w:r>
          </w:p>
        </w:tc>
        <w:tc>
          <w:tcPr>
            <w:tcW w:w="665" w:type="pct"/>
            <w:hideMark/>
          </w:tcPr>
          <w:p w14:paraId="3EA5D060" w14:textId="77777777" w:rsidR="00673F93" w:rsidRPr="00C038FC" w:rsidRDefault="00673F93" w:rsidP="005D3ED5">
            <w:pPr>
              <w:pStyle w:val="NoSpacing"/>
              <w:rPr>
                <w:sz w:val="24"/>
                <w:szCs w:val="24"/>
              </w:rPr>
            </w:pPr>
            <w:r w:rsidRPr="00C038FC">
              <w:rPr>
                <w:sz w:val="24"/>
                <w:szCs w:val="24"/>
              </w:rPr>
              <w:t>0.000</w:t>
            </w:r>
          </w:p>
        </w:tc>
        <w:tc>
          <w:tcPr>
            <w:tcW w:w="517" w:type="pct"/>
            <w:hideMark/>
          </w:tcPr>
          <w:p w14:paraId="7A37BF60" w14:textId="77777777" w:rsidR="00673F93" w:rsidRPr="00C038FC" w:rsidRDefault="00673F93" w:rsidP="005D3ED5">
            <w:pPr>
              <w:pStyle w:val="NoSpacing"/>
              <w:rPr>
                <w:sz w:val="24"/>
                <w:szCs w:val="24"/>
              </w:rPr>
            </w:pPr>
            <w:r w:rsidRPr="00C038FC">
              <w:rPr>
                <w:sz w:val="24"/>
                <w:szCs w:val="24"/>
              </w:rPr>
              <w:t>0.466</w:t>
            </w:r>
          </w:p>
        </w:tc>
        <w:tc>
          <w:tcPr>
            <w:tcW w:w="600" w:type="pct"/>
            <w:gridSpan w:val="2"/>
            <w:hideMark/>
          </w:tcPr>
          <w:p w14:paraId="47B5B12C" w14:textId="77777777" w:rsidR="00673F93" w:rsidRPr="00C038FC" w:rsidRDefault="00673F93" w:rsidP="005D3ED5">
            <w:pPr>
              <w:pStyle w:val="NoSpacing"/>
              <w:rPr>
                <w:sz w:val="24"/>
                <w:szCs w:val="24"/>
              </w:rPr>
            </w:pPr>
            <w:r w:rsidRPr="00C038FC">
              <w:rPr>
                <w:sz w:val="24"/>
                <w:szCs w:val="24"/>
              </w:rPr>
              <w:t>0.000</w:t>
            </w:r>
          </w:p>
        </w:tc>
        <w:tc>
          <w:tcPr>
            <w:tcW w:w="594" w:type="pct"/>
            <w:hideMark/>
          </w:tcPr>
          <w:p w14:paraId="205AC306" w14:textId="77777777" w:rsidR="00673F93" w:rsidRPr="00C038FC" w:rsidRDefault="00673F93" w:rsidP="005D3ED5">
            <w:pPr>
              <w:pStyle w:val="NoSpacing"/>
              <w:rPr>
                <w:sz w:val="24"/>
                <w:szCs w:val="24"/>
              </w:rPr>
            </w:pPr>
            <w:r w:rsidRPr="00C038FC">
              <w:rPr>
                <w:sz w:val="24"/>
                <w:szCs w:val="24"/>
              </w:rPr>
              <w:t>1.000</w:t>
            </w:r>
          </w:p>
        </w:tc>
      </w:tr>
      <w:tr w:rsidR="00C038FC" w:rsidRPr="00C038FC" w14:paraId="10CC13CE" w14:textId="77777777" w:rsidTr="006E13B1">
        <w:tc>
          <w:tcPr>
            <w:tcW w:w="2026" w:type="pct"/>
            <w:hideMark/>
          </w:tcPr>
          <w:p w14:paraId="59CA516B" w14:textId="77777777" w:rsidR="00673F93" w:rsidRPr="00800841" w:rsidRDefault="00673F93" w:rsidP="005D3ED5">
            <w:pPr>
              <w:pStyle w:val="NoSpacing"/>
              <w:rPr>
                <w:i/>
                <w:iCs/>
                <w:sz w:val="24"/>
                <w:szCs w:val="24"/>
              </w:rPr>
            </w:pPr>
            <w:r w:rsidRPr="00800841">
              <w:rPr>
                <w:i/>
                <w:iCs/>
                <w:sz w:val="24"/>
                <w:szCs w:val="24"/>
              </w:rPr>
              <w:t>RET</w:t>
            </w:r>
            <w:r w:rsidRPr="00800841">
              <w:rPr>
                <w:i/>
                <w:iCs/>
                <w:sz w:val="24"/>
                <w:szCs w:val="24"/>
                <w:vertAlign w:val="subscript"/>
              </w:rPr>
              <w:t>t</w:t>
            </w:r>
          </w:p>
        </w:tc>
        <w:tc>
          <w:tcPr>
            <w:tcW w:w="598" w:type="pct"/>
            <w:gridSpan w:val="2"/>
            <w:hideMark/>
          </w:tcPr>
          <w:p w14:paraId="41A25914" w14:textId="77777777" w:rsidR="00673F93" w:rsidRPr="00C038FC" w:rsidRDefault="00673F93" w:rsidP="005D3ED5">
            <w:pPr>
              <w:pStyle w:val="NoSpacing"/>
              <w:rPr>
                <w:sz w:val="24"/>
                <w:szCs w:val="24"/>
              </w:rPr>
            </w:pPr>
            <w:r w:rsidRPr="00C038FC">
              <w:rPr>
                <w:sz w:val="24"/>
                <w:szCs w:val="24"/>
              </w:rPr>
              <w:t>0.185</w:t>
            </w:r>
          </w:p>
        </w:tc>
        <w:tc>
          <w:tcPr>
            <w:tcW w:w="665" w:type="pct"/>
            <w:hideMark/>
          </w:tcPr>
          <w:p w14:paraId="0C401AA0" w14:textId="77777777" w:rsidR="00673F93" w:rsidRPr="00C038FC" w:rsidRDefault="00673F93" w:rsidP="005D3ED5">
            <w:pPr>
              <w:pStyle w:val="NoSpacing"/>
              <w:rPr>
                <w:sz w:val="24"/>
                <w:szCs w:val="24"/>
              </w:rPr>
            </w:pPr>
            <w:r w:rsidRPr="00C038FC">
              <w:rPr>
                <w:sz w:val="24"/>
                <w:szCs w:val="24"/>
              </w:rPr>
              <w:t>0.121</w:t>
            </w:r>
          </w:p>
        </w:tc>
        <w:tc>
          <w:tcPr>
            <w:tcW w:w="517" w:type="pct"/>
            <w:hideMark/>
          </w:tcPr>
          <w:p w14:paraId="124A351C" w14:textId="77777777" w:rsidR="00673F93" w:rsidRPr="00C038FC" w:rsidRDefault="00673F93" w:rsidP="005D3ED5">
            <w:pPr>
              <w:pStyle w:val="NoSpacing"/>
              <w:rPr>
                <w:sz w:val="24"/>
                <w:szCs w:val="24"/>
              </w:rPr>
            </w:pPr>
            <w:r w:rsidRPr="00C038FC">
              <w:rPr>
                <w:sz w:val="24"/>
                <w:szCs w:val="24"/>
              </w:rPr>
              <w:t>0.503</w:t>
            </w:r>
          </w:p>
        </w:tc>
        <w:tc>
          <w:tcPr>
            <w:tcW w:w="600" w:type="pct"/>
            <w:gridSpan w:val="2"/>
            <w:hideMark/>
          </w:tcPr>
          <w:p w14:paraId="43E42380" w14:textId="77777777" w:rsidR="00673F93" w:rsidRPr="00C038FC" w:rsidRDefault="00673F93" w:rsidP="005D3ED5">
            <w:pPr>
              <w:pStyle w:val="NoSpacing"/>
              <w:rPr>
                <w:sz w:val="24"/>
                <w:szCs w:val="24"/>
              </w:rPr>
            </w:pPr>
            <w:r w:rsidRPr="00C038FC">
              <w:rPr>
                <w:sz w:val="24"/>
                <w:szCs w:val="24"/>
              </w:rPr>
              <w:t>−0.133</w:t>
            </w:r>
          </w:p>
        </w:tc>
        <w:tc>
          <w:tcPr>
            <w:tcW w:w="594" w:type="pct"/>
            <w:hideMark/>
          </w:tcPr>
          <w:p w14:paraId="2232C569" w14:textId="77777777" w:rsidR="00673F93" w:rsidRPr="00C038FC" w:rsidRDefault="00673F93" w:rsidP="005D3ED5">
            <w:pPr>
              <w:pStyle w:val="NoSpacing"/>
              <w:rPr>
                <w:sz w:val="24"/>
                <w:szCs w:val="24"/>
              </w:rPr>
            </w:pPr>
            <w:r w:rsidRPr="00C038FC">
              <w:rPr>
                <w:sz w:val="24"/>
                <w:szCs w:val="24"/>
              </w:rPr>
              <w:t>0.404</w:t>
            </w:r>
          </w:p>
        </w:tc>
      </w:tr>
      <w:tr w:rsidR="00C038FC" w:rsidRPr="00C038FC" w14:paraId="7E465EC4" w14:textId="77777777" w:rsidTr="006E13B1">
        <w:tc>
          <w:tcPr>
            <w:tcW w:w="2026" w:type="pct"/>
            <w:hideMark/>
          </w:tcPr>
          <w:p w14:paraId="00208455" w14:textId="77777777" w:rsidR="00673F93" w:rsidRPr="00800841" w:rsidRDefault="00673F93" w:rsidP="005D3ED5">
            <w:pPr>
              <w:pStyle w:val="NoSpacing"/>
              <w:rPr>
                <w:i/>
                <w:iCs/>
                <w:sz w:val="24"/>
                <w:szCs w:val="24"/>
              </w:rPr>
            </w:pPr>
            <w:r w:rsidRPr="00800841">
              <w:rPr>
                <w:i/>
                <w:iCs/>
                <w:sz w:val="24"/>
                <w:szCs w:val="24"/>
              </w:rPr>
              <w:t>EARN</w:t>
            </w:r>
          </w:p>
        </w:tc>
        <w:tc>
          <w:tcPr>
            <w:tcW w:w="598" w:type="pct"/>
            <w:gridSpan w:val="2"/>
            <w:hideMark/>
          </w:tcPr>
          <w:p w14:paraId="7A8150B8" w14:textId="77777777" w:rsidR="00673F93" w:rsidRPr="00C038FC" w:rsidRDefault="00673F93" w:rsidP="005D3ED5">
            <w:pPr>
              <w:pStyle w:val="NoSpacing"/>
              <w:rPr>
                <w:sz w:val="24"/>
                <w:szCs w:val="24"/>
              </w:rPr>
            </w:pPr>
            <w:r w:rsidRPr="00C038FC">
              <w:rPr>
                <w:sz w:val="24"/>
                <w:szCs w:val="24"/>
              </w:rPr>
              <w:t>0.030</w:t>
            </w:r>
          </w:p>
        </w:tc>
        <w:tc>
          <w:tcPr>
            <w:tcW w:w="665" w:type="pct"/>
            <w:hideMark/>
          </w:tcPr>
          <w:p w14:paraId="4E02AA9D" w14:textId="77777777" w:rsidR="00673F93" w:rsidRPr="00C038FC" w:rsidRDefault="00673F93" w:rsidP="005D3ED5">
            <w:pPr>
              <w:pStyle w:val="NoSpacing"/>
              <w:rPr>
                <w:sz w:val="24"/>
                <w:szCs w:val="24"/>
              </w:rPr>
            </w:pPr>
            <w:r w:rsidRPr="00C038FC">
              <w:rPr>
                <w:sz w:val="24"/>
                <w:szCs w:val="24"/>
              </w:rPr>
              <w:t>0.045</w:t>
            </w:r>
          </w:p>
        </w:tc>
        <w:tc>
          <w:tcPr>
            <w:tcW w:w="517" w:type="pct"/>
            <w:hideMark/>
          </w:tcPr>
          <w:p w14:paraId="5758365B" w14:textId="77777777" w:rsidR="00673F93" w:rsidRPr="00C038FC" w:rsidRDefault="00673F93" w:rsidP="005D3ED5">
            <w:pPr>
              <w:pStyle w:val="NoSpacing"/>
              <w:rPr>
                <w:sz w:val="24"/>
                <w:szCs w:val="24"/>
              </w:rPr>
            </w:pPr>
            <w:r w:rsidRPr="00C038FC">
              <w:rPr>
                <w:sz w:val="24"/>
                <w:szCs w:val="24"/>
              </w:rPr>
              <w:t>0.093</w:t>
            </w:r>
          </w:p>
        </w:tc>
        <w:tc>
          <w:tcPr>
            <w:tcW w:w="600" w:type="pct"/>
            <w:gridSpan w:val="2"/>
            <w:hideMark/>
          </w:tcPr>
          <w:p w14:paraId="6E2A1B6B" w14:textId="77777777" w:rsidR="00673F93" w:rsidRPr="00C038FC" w:rsidRDefault="00673F93" w:rsidP="005D3ED5">
            <w:pPr>
              <w:pStyle w:val="NoSpacing"/>
              <w:rPr>
                <w:sz w:val="24"/>
                <w:szCs w:val="24"/>
              </w:rPr>
            </w:pPr>
            <w:r w:rsidRPr="00C038FC">
              <w:rPr>
                <w:sz w:val="24"/>
                <w:szCs w:val="24"/>
              </w:rPr>
              <w:t>0.019</w:t>
            </w:r>
          </w:p>
        </w:tc>
        <w:tc>
          <w:tcPr>
            <w:tcW w:w="594" w:type="pct"/>
            <w:hideMark/>
          </w:tcPr>
          <w:p w14:paraId="606ADA52" w14:textId="77777777" w:rsidR="00673F93" w:rsidRPr="00C038FC" w:rsidRDefault="00673F93" w:rsidP="005D3ED5">
            <w:pPr>
              <w:pStyle w:val="NoSpacing"/>
              <w:rPr>
                <w:sz w:val="24"/>
                <w:szCs w:val="24"/>
              </w:rPr>
            </w:pPr>
            <w:r w:rsidRPr="00C038FC">
              <w:rPr>
                <w:sz w:val="24"/>
                <w:szCs w:val="24"/>
              </w:rPr>
              <w:t>0.068</w:t>
            </w:r>
          </w:p>
        </w:tc>
      </w:tr>
      <w:tr w:rsidR="00C038FC" w:rsidRPr="00C038FC" w14:paraId="414DDCD8" w14:textId="77777777" w:rsidTr="006E13B1">
        <w:tc>
          <w:tcPr>
            <w:tcW w:w="2026" w:type="pct"/>
            <w:hideMark/>
          </w:tcPr>
          <w:p w14:paraId="6CAE8361" w14:textId="77777777" w:rsidR="00673F93" w:rsidRPr="00800841" w:rsidRDefault="00673F93" w:rsidP="005D3ED5">
            <w:pPr>
              <w:pStyle w:val="NoSpacing"/>
              <w:rPr>
                <w:i/>
                <w:iCs/>
                <w:sz w:val="24"/>
                <w:szCs w:val="24"/>
              </w:rPr>
            </w:pPr>
            <w:r w:rsidRPr="00800841">
              <w:rPr>
                <w:i/>
                <w:iCs/>
                <w:sz w:val="24"/>
                <w:szCs w:val="24"/>
              </w:rPr>
              <w:t>EARN</w:t>
            </w:r>
            <w:r w:rsidRPr="00800841">
              <w:rPr>
                <w:i/>
                <w:iCs/>
                <w:sz w:val="24"/>
                <w:szCs w:val="24"/>
                <w:vertAlign w:val="subscript"/>
              </w:rPr>
              <w:t>t+1</w:t>
            </w:r>
          </w:p>
        </w:tc>
        <w:tc>
          <w:tcPr>
            <w:tcW w:w="598" w:type="pct"/>
            <w:gridSpan w:val="2"/>
            <w:hideMark/>
          </w:tcPr>
          <w:p w14:paraId="7DF31BF1" w14:textId="77777777" w:rsidR="00673F93" w:rsidRPr="00C038FC" w:rsidRDefault="00673F93" w:rsidP="005D3ED5">
            <w:pPr>
              <w:pStyle w:val="NoSpacing"/>
              <w:rPr>
                <w:sz w:val="24"/>
                <w:szCs w:val="24"/>
              </w:rPr>
            </w:pPr>
            <w:r w:rsidRPr="00C038FC">
              <w:rPr>
                <w:sz w:val="24"/>
                <w:szCs w:val="24"/>
              </w:rPr>
              <w:t>0.035</w:t>
            </w:r>
          </w:p>
        </w:tc>
        <w:tc>
          <w:tcPr>
            <w:tcW w:w="665" w:type="pct"/>
            <w:hideMark/>
          </w:tcPr>
          <w:p w14:paraId="7283E88E" w14:textId="77777777" w:rsidR="00673F93" w:rsidRPr="00C038FC" w:rsidRDefault="00673F93" w:rsidP="005D3ED5">
            <w:pPr>
              <w:pStyle w:val="NoSpacing"/>
              <w:rPr>
                <w:sz w:val="24"/>
                <w:szCs w:val="24"/>
              </w:rPr>
            </w:pPr>
            <w:r w:rsidRPr="00C038FC">
              <w:rPr>
                <w:sz w:val="24"/>
                <w:szCs w:val="24"/>
              </w:rPr>
              <w:t>0.046</w:t>
            </w:r>
          </w:p>
        </w:tc>
        <w:tc>
          <w:tcPr>
            <w:tcW w:w="517" w:type="pct"/>
            <w:hideMark/>
          </w:tcPr>
          <w:p w14:paraId="497D811A" w14:textId="77777777" w:rsidR="00673F93" w:rsidRPr="00C038FC" w:rsidRDefault="00673F93" w:rsidP="005D3ED5">
            <w:pPr>
              <w:pStyle w:val="NoSpacing"/>
              <w:rPr>
                <w:sz w:val="24"/>
                <w:szCs w:val="24"/>
              </w:rPr>
            </w:pPr>
            <w:r w:rsidRPr="00C038FC">
              <w:rPr>
                <w:sz w:val="24"/>
                <w:szCs w:val="24"/>
              </w:rPr>
              <w:t>0.095</w:t>
            </w:r>
          </w:p>
        </w:tc>
        <w:tc>
          <w:tcPr>
            <w:tcW w:w="600" w:type="pct"/>
            <w:gridSpan w:val="2"/>
            <w:hideMark/>
          </w:tcPr>
          <w:p w14:paraId="6ECEA37A" w14:textId="77777777" w:rsidR="00673F93" w:rsidRPr="00C038FC" w:rsidRDefault="00673F93" w:rsidP="005D3ED5">
            <w:pPr>
              <w:pStyle w:val="NoSpacing"/>
              <w:rPr>
                <w:sz w:val="24"/>
                <w:szCs w:val="24"/>
              </w:rPr>
            </w:pPr>
            <w:r w:rsidRPr="00C038FC">
              <w:rPr>
                <w:sz w:val="24"/>
                <w:szCs w:val="24"/>
              </w:rPr>
              <w:t>0.017</w:t>
            </w:r>
          </w:p>
        </w:tc>
        <w:tc>
          <w:tcPr>
            <w:tcW w:w="594" w:type="pct"/>
            <w:hideMark/>
          </w:tcPr>
          <w:p w14:paraId="086261C8" w14:textId="77777777" w:rsidR="00673F93" w:rsidRPr="00C038FC" w:rsidRDefault="00673F93" w:rsidP="005D3ED5">
            <w:pPr>
              <w:pStyle w:val="NoSpacing"/>
              <w:rPr>
                <w:sz w:val="24"/>
                <w:szCs w:val="24"/>
              </w:rPr>
            </w:pPr>
            <w:r w:rsidRPr="00C038FC">
              <w:rPr>
                <w:sz w:val="24"/>
                <w:szCs w:val="24"/>
              </w:rPr>
              <w:t>0.074</w:t>
            </w:r>
          </w:p>
        </w:tc>
      </w:tr>
      <w:tr w:rsidR="00C038FC" w:rsidRPr="00C038FC" w14:paraId="2D40C38C" w14:textId="77777777" w:rsidTr="006E13B1">
        <w:tc>
          <w:tcPr>
            <w:tcW w:w="2026" w:type="pct"/>
            <w:hideMark/>
          </w:tcPr>
          <w:p w14:paraId="631E243B" w14:textId="77777777" w:rsidR="00673F93" w:rsidRPr="00800841" w:rsidRDefault="00673F93" w:rsidP="005D3ED5">
            <w:pPr>
              <w:pStyle w:val="NoSpacing"/>
              <w:rPr>
                <w:i/>
                <w:iCs/>
                <w:sz w:val="24"/>
                <w:szCs w:val="24"/>
              </w:rPr>
            </w:pPr>
            <w:r w:rsidRPr="00800841">
              <w:rPr>
                <w:i/>
                <w:iCs/>
                <w:sz w:val="24"/>
                <w:szCs w:val="24"/>
              </w:rPr>
              <w:t>RET</w:t>
            </w:r>
            <w:r w:rsidRPr="00800841">
              <w:rPr>
                <w:i/>
                <w:iCs/>
                <w:sz w:val="24"/>
                <w:szCs w:val="24"/>
                <w:vertAlign w:val="subscript"/>
              </w:rPr>
              <w:t>t+1</w:t>
            </w:r>
          </w:p>
        </w:tc>
        <w:tc>
          <w:tcPr>
            <w:tcW w:w="598" w:type="pct"/>
            <w:gridSpan w:val="2"/>
            <w:hideMark/>
          </w:tcPr>
          <w:p w14:paraId="1660DC81" w14:textId="77777777" w:rsidR="00673F93" w:rsidRPr="00C038FC" w:rsidRDefault="00673F93" w:rsidP="005D3ED5">
            <w:pPr>
              <w:pStyle w:val="NoSpacing"/>
              <w:rPr>
                <w:sz w:val="24"/>
                <w:szCs w:val="24"/>
              </w:rPr>
            </w:pPr>
            <w:r w:rsidRPr="00C038FC">
              <w:rPr>
                <w:sz w:val="24"/>
                <w:szCs w:val="24"/>
              </w:rPr>
              <w:t>0.118</w:t>
            </w:r>
          </w:p>
        </w:tc>
        <w:tc>
          <w:tcPr>
            <w:tcW w:w="665" w:type="pct"/>
            <w:hideMark/>
          </w:tcPr>
          <w:p w14:paraId="1CF7F803" w14:textId="77777777" w:rsidR="00673F93" w:rsidRPr="00C038FC" w:rsidRDefault="00673F93" w:rsidP="005D3ED5">
            <w:pPr>
              <w:pStyle w:val="NoSpacing"/>
              <w:rPr>
                <w:sz w:val="24"/>
                <w:szCs w:val="24"/>
              </w:rPr>
            </w:pPr>
            <w:r w:rsidRPr="00C038FC">
              <w:rPr>
                <w:sz w:val="24"/>
                <w:szCs w:val="24"/>
              </w:rPr>
              <w:t>0.074</w:t>
            </w:r>
          </w:p>
        </w:tc>
        <w:tc>
          <w:tcPr>
            <w:tcW w:w="517" w:type="pct"/>
            <w:hideMark/>
          </w:tcPr>
          <w:p w14:paraId="6FF258F0" w14:textId="77777777" w:rsidR="00673F93" w:rsidRPr="00C038FC" w:rsidRDefault="00673F93" w:rsidP="005D3ED5">
            <w:pPr>
              <w:pStyle w:val="NoSpacing"/>
              <w:rPr>
                <w:sz w:val="24"/>
                <w:szCs w:val="24"/>
              </w:rPr>
            </w:pPr>
            <w:r w:rsidRPr="00C038FC">
              <w:rPr>
                <w:sz w:val="24"/>
                <w:szCs w:val="24"/>
              </w:rPr>
              <w:t>0.466</w:t>
            </w:r>
          </w:p>
        </w:tc>
        <w:tc>
          <w:tcPr>
            <w:tcW w:w="600" w:type="pct"/>
            <w:gridSpan w:val="2"/>
            <w:hideMark/>
          </w:tcPr>
          <w:p w14:paraId="3F4AE4D3" w14:textId="77777777" w:rsidR="00673F93" w:rsidRPr="00C038FC" w:rsidRDefault="00673F93" w:rsidP="005D3ED5">
            <w:pPr>
              <w:pStyle w:val="NoSpacing"/>
              <w:rPr>
                <w:sz w:val="24"/>
                <w:szCs w:val="24"/>
              </w:rPr>
            </w:pPr>
            <w:r w:rsidRPr="00C038FC">
              <w:rPr>
                <w:sz w:val="24"/>
                <w:szCs w:val="24"/>
              </w:rPr>
              <w:t>−0.174</w:t>
            </w:r>
          </w:p>
        </w:tc>
        <w:tc>
          <w:tcPr>
            <w:tcW w:w="594" w:type="pct"/>
            <w:hideMark/>
          </w:tcPr>
          <w:p w14:paraId="37395363" w14:textId="77777777" w:rsidR="00673F93" w:rsidRPr="00C038FC" w:rsidRDefault="00673F93" w:rsidP="005D3ED5">
            <w:pPr>
              <w:pStyle w:val="NoSpacing"/>
              <w:rPr>
                <w:sz w:val="24"/>
                <w:szCs w:val="24"/>
              </w:rPr>
            </w:pPr>
            <w:r w:rsidRPr="00C038FC">
              <w:rPr>
                <w:sz w:val="24"/>
                <w:szCs w:val="24"/>
              </w:rPr>
              <w:t>0.341</w:t>
            </w:r>
          </w:p>
        </w:tc>
      </w:tr>
      <w:tr w:rsidR="00C038FC" w:rsidRPr="00C038FC" w14:paraId="1CCEC512" w14:textId="77777777" w:rsidTr="006E13B1">
        <w:tc>
          <w:tcPr>
            <w:tcW w:w="2026" w:type="pct"/>
            <w:hideMark/>
          </w:tcPr>
          <w:p w14:paraId="289AAFBF" w14:textId="77777777" w:rsidR="00673F93" w:rsidRPr="00800841" w:rsidRDefault="00673F93" w:rsidP="005D3ED5">
            <w:pPr>
              <w:pStyle w:val="NoSpacing"/>
              <w:rPr>
                <w:i/>
                <w:iCs/>
                <w:sz w:val="24"/>
                <w:szCs w:val="24"/>
              </w:rPr>
            </w:pPr>
            <w:r w:rsidRPr="00800841">
              <w:rPr>
                <w:i/>
                <w:iCs/>
                <w:sz w:val="24"/>
                <w:szCs w:val="24"/>
              </w:rPr>
              <w:t>ATGROWTH</w:t>
            </w:r>
          </w:p>
        </w:tc>
        <w:tc>
          <w:tcPr>
            <w:tcW w:w="598" w:type="pct"/>
            <w:gridSpan w:val="2"/>
            <w:hideMark/>
          </w:tcPr>
          <w:p w14:paraId="5154FCB7" w14:textId="77777777" w:rsidR="00673F93" w:rsidRPr="00C038FC" w:rsidRDefault="00673F93" w:rsidP="005D3ED5">
            <w:pPr>
              <w:pStyle w:val="NoSpacing"/>
              <w:rPr>
                <w:sz w:val="24"/>
                <w:szCs w:val="24"/>
              </w:rPr>
            </w:pPr>
            <w:r w:rsidRPr="00C038FC">
              <w:rPr>
                <w:sz w:val="24"/>
                <w:szCs w:val="24"/>
              </w:rPr>
              <w:t>0.126</w:t>
            </w:r>
          </w:p>
        </w:tc>
        <w:tc>
          <w:tcPr>
            <w:tcW w:w="665" w:type="pct"/>
            <w:hideMark/>
          </w:tcPr>
          <w:p w14:paraId="446FD983" w14:textId="77777777" w:rsidR="00673F93" w:rsidRPr="00C038FC" w:rsidRDefault="00673F93" w:rsidP="005D3ED5">
            <w:pPr>
              <w:pStyle w:val="NoSpacing"/>
              <w:rPr>
                <w:sz w:val="24"/>
                <w:szCs w:val="24"/>
              </w:rPr>
            </w:pPr>
            <w:r w:rsidRPr="00C038FC">
              <w:rPr>
                <w:sz w:val="24"/>
                <w:szCs w:val="24"/>
              </w:rPr>
              <w:t>0.073</w:t>
            </w:r>
          </w:p>
        </w:tc>
        <w:tc>
          <w:tcPr>
            <w:tcW w:w="517" w:type="pct"/>
            <w:hideMark/>
          </w:tcPr>
          <w:p w14:paraId="11F8590C" w14:textId="77777777" w:rsidR="00673F93" w:rsidRPr="00C038FC" w:rsidRDefault="00673F93" w:rsidP="005D3ED5">
            <w:pPr>
              <w:pStyle w:val="NoSpacing"/>
              <w:rPr>
                <w:sz w:val="24"/>
                <w:szCs w:val="24"/>
              </w:rPr>
            </w:pPr>
            <w:r w:rsidRPr="00C038FC">
              <w:rPr>
                <w:sz w:val="24"/>
                <w:szCs w:val="24"/>
              </w:rPr>
              <w:t>0.261</w:t>
            </w:r>
          </w:p>
        </w:tc>
        <w:tc>
          <w:tcPr>
            <w:tcW w:w="600" w:type="pct"/>
            <w:gridSpan w:val="2"/>
            <w:hideMark/>
          </w:tcPr>
          <w:p w14:paraId="7F7CEEC2" w14:textId="77777777" w:rsidR="00673F93" w:rsidRPr="00C038FC" w:rsidRDefault="00673F93" w:rsidP="005D3ED5">
            <w:pPr>
              <w:pStyle w:val="NoSpacing"/>
              <w:rPr>
                <w:sz w:val="24"/>
                <w:szCs w:val="24"/>
              </w:rPr>
            </w:pPr>
            <w:r w:rsidRPr="00C038FC">
              <w:rPr>
                <w:sz w:val="24"/>
                <w:szCs w:val="24"/>
              </w:rPr>
              <w:t>−0.005</w:t>
            </w:r>
          </w:p>
        </w:tc>
        <w:tc>
          <w:tcPr>
            <w:tcW w:w="594" w:type="pct"/>
            <w:hideMark/>
          </w:tcPr>
          <w:p w14:paraId="76E07AAA" w14:textId="77777777" w:rsidR="00673F93" w:rsidRPr="00C038FC" w:rsidRDefault="00673F93" w:rsidP="005D3ED5">
            <w:pPr>
              <w:pStyle w:val="NoSpacing"/>
              <w:rPr>
                <w:sz w:val="24"/>
                <w:szCs w:val="24"/>
              </w:rPr>
            </w:pPr>
            <w:r w:rsidRPr="00C038FC">
              <w:rPr>
                <w:sz w:val="24"/>
                <w:szCs w:val="24"/>
              </w:rPr>
              <w:t>0.181</w:t>
            </w:r>
          </w:p>
        </w:tc>
      </w:tr>
      <w:tr w:rsidR="00C038FC" w:rsidRPr="00C038FC" w14:paraId="6D96BE17" w14:textId="77777777" w:rsidTr="006E13B1">
        <w:tc>
          <w:tcPr>
            <w:tcW w:w="2026" w:type="pct"/>
            <w:hideMark/>
          </w:tcPr>
          <w:p w14:paraId="436AFA03" w14:textId="77777777" w:rsidR="00673F93" w:rsidRPr="00800841" w:rsidRDefault="00673F93" w:rsidP="005D3ED5">
            <w:pPr>
              <w:pStyle w:val="NoSpacing"/>
              <w:rPr>
                <w:i/>
                <w:iCs/>
                <w:sz w:val="24"/>
                <w:szCs w:val="24"/>
              </w:rPr>
            </w:pPr>
            <w:r w:rsidRPr="00800841">
              <w:rPr>
                <w:i/>
                <w:iCs/>
                <w:sz w:val="24"/>
                <w:szCs w:val="24"/>
              </w:rPr>
              <w:t>STDEARN</w:t>
            </w:r>
          </w:p>
        </w:tc>
        <w:tc>
          <w:tcPr>
            <w:tcW w:w="598" w:type="pct"/>
            <w:gridSpan w:val="2"/>
            <w:hideMark/>
          </w:tcPr>
          <w:p w14:paraId="7A0620F3" w14:textId="77777777" w:rsidR="00673F93" w:rsidRPr="00C038FC" w:rsidRDefault="00673F93" w:rsidP="005D3ED5">
            <w:pPr>
              <w:pStyle w:val="NoSpacing"/>
              <w:rPr>
                <w:sz w:val="24"/>
                <w:szCs w:val="24"/>
              </w:rPr>
            </w:pPr>
            <w:r w:rsidRPr="00C038FC">
              <w:rPr>
                <w:sz w:val="24"/>
                <w:szCs w:val="24"/>
              </w:rPr>
              <w:t>0.056</w:t>
            </w:r>
          </w:p>
        </w:tc>
        <w:tc>
          <w:tcPr>
            <w:tcW w:w="665" w:type="pct"/>
            <w:hideMark/>
          </w:tcPr>
          <w:p w14:paraId="582AFEA4" w14:textId="77777777" w:rsidR="00673F93" w:rsidRPr="00C038FC" w:rsidRDefault="00673F93" w:rsidP="005D3ED5">
            <w:pPr>
              <w:pStyle w:val="NoSpacing"/>
              <w:rPr>
                <w:sz w:val="24"/>
                <w:szCs w:val="24"/>
              </w:rPr>
            </w:pPr>
            <w:r w:rsidRPr="00C038FC">
              <w:rPr>
                <w:sz w:val="24"/>
                <w:szCs w:val="24"/>
              </w:rPr>
              <w:t>0.022</w:t>
            </w:r>
          </w:p>
        </w:tc>
        <w:tc>
          <w:tcPr>
            <w:tcW w:w="517" w:type="pct"/>
            <w:hideMark/>
          </w:tcPr>
          <w:p w14:paraId="0477B6DE" w14:textId="77777777" w:rsidR="00673F93" w:rsidRPr="00C038FC" w:rsidRDefault="00673F93" w:rsidP="005D3ED5">
            <w:pPr>
              <w:pStyle w:val="NoSpacing"/>
              <w:rPr>
                <w:sz w:val="24"/>
                <w:szCs w:val="24"/>
              </w:rPr>
            </w:pPr>
            <w:r w:rsidRPr="00C038FC">
              <w:rPr>
                <w:sz w:val="24"/>
                <w:szCs w:val="24"/>
              </w:rPr>
              <w:t>0.109</w:t>
            </w:r>
          </w:p>
        </w:tc>
        <w:tc>
          <w:tcPr>
            <w:tcW w:w="600" w:type="pct"/>
            <w:gridSpan w:val="2"/>
            <w:hideMark/>
          </w:tcPr>
          <w:p w14:paraId="7FAF1B97" w14:textId="77777777" w:rsidR="00673F93" w:rsidRPr="00C038FC" w:rsidRDefault="00673F93" w:rsidP="005D3ED5">
            <w:pPr>
              <w:pStyle w:val="NoSpacing"/>
              <w:rPr>
                <w:sz w:val="24"/>
                <w:szCs w:val="24"/>
              </w:rPr>
            </w:pPr>
            <w:r w:rsidRPr="00C038FC">
              <w:rPr>
                <w:sz w:val="24"/>
                <w:szCs w:val="24"/>
              </w:rPr>
              <w:t>0.011</w:t>
            </w:r>
          </w:p>
        </w:tc>
        <w:tc>
          <w:tcPr>
            <w:tcW w:w="594" w:type="pct"/>
            <w:hideMark/>
          </w:tcPr>
          <w:p w14:paraId="7BC271DA" w14:textId="77777777" w:rsidR="00673F93" w:rsidRPr="00C038FC" w:rsidRDefault="00673F93" w:rsidP="005D3ED5">
            <w:pPr>
              <w:pStyle w:val="NoSpacing"/>
              <w:rPr>
                <w:sz w:val="24"/>
                <w:szCs w:val="24"/>
              </w:rPr>
            </w:pPr>
            <w:r w:rsidRPr="00C038FC">
              <w:rPr>
                <w:sz w:val="24"/>
                <w:szCs w:val="24"/>
              </w:rPr>
              <w:t>0.050</w:t>
            </w:r>
          </w:p>
        </w:tc>
      </w:tr>
      <w:tr w:rsidR="00C038FC" w:rsidRPr="00C038FC" w14:paraId="75F58122" w14:textId="77777777" w:rsidTr="006E13B1">
        <w:tc>
          <w:tcPr>
            <w:tcW w:w="2026" w:type="pct"/>
            <w:hideMark/>
          </w:tcPr>
          <w:p w14:paraId="4B0768F9" w14:textId="77777777" w:rsidR="00673F93" w:rsidRPr="00800841" w:rsidRDefault="00673F93" w:rsidP="005D3ED5">
            <w:pPr>
              <w:pStyle w:val="NoSpacing"/>
              <w:rPr>
                <w:i/>
                <w:iCs/>
                <w:sz w:val="24"/>
                <w:szCs w:val="24"/>
              </w:rPr>
            </w:pPr>
            <w:r w:rsidRPr="00800841">
              <w:rPr>
                <w:i/>
                <w:iCs/>
                <w:sz w:val="24"/>
                <w:szCs w:val="24"/>
              </w:rPr>
              <w:t>EARN_P</w:t>
            </w:r>
          </w:p>
        </w:tc>
        <w:tc>
          <w:tcPr>
            <w:tcW w:w="598" w:type="pct"/>
            <w:gridSpan w:val="2"/>
            <w:hideMark/>
          </w:tcPr>
          <w:p w14:paraId="7652F298" w14:textId="77777777" w:rsidR="00673F93" w:rsidRPr="00C038FC" w:rsidRDefault="00673F93" w:rsidP="005D3ED5">
            <w:pPr>
              <w:pStyle w:val="NoSpacing"/>
              <w:rPr>
                <w:sz w:val="24"/>
                <w:szCs w:val="24"/>
              </w:rPr>
            </w:pPr>
            <w:r w:rsidRPr="00C038FC">
              <w:rPr>
                <w:sz w:val="24"/>
                <w:szCs w:val="24"/>
              </w:rPr>
              <w:t>0.275</w:t>
            </w:r>
          </w:p>
        </w:tc>
        <w:tc>
          <w:tcPr>
            <w:tcW w:w="665" w:type="pct"/>
            <w:hideMark/>
          </w:tcPr>
          <w:p w14:paraId="67319EC3" w14:textId="77777777" w:rsidR="00673F93" w:rsidRPr="00C038FC" w:rsidRDefault="00673F93" w:rsidP="005D3ED5">
            <w:pPr>
              <w:pStyle w:val="NoSpacing"/>
              <w:rPr>
                <w:sz w:val="24"/>
                <w:szCs w:val="24"/>
              </w:rPr>
            </w:pPr>
            <w:r w:rsidRPr="00C038FC">
              <w:rPr>
                <w:sz w:val="24"/>
                <w:szCs w:val="24"/>
              </w:rPr>
              <w:t>0.269</w:t>
            </w:r>
          </w:p>
        </w:tc>
        <w:tc>
          <w:tcPr>
            <w:tcW w:w="517" w:type="pct"/>
            <w:hideMark/>
          </w:tcPr>
          <w:p w14:paraId="75A48E41" w14:textId="77777777" w:rsidR="00673F93" w:rsidRPr="00C038FC" w:rsidRDefault="00673F93" w:rsidP="005D3ED5">
            <w:pPr>
              <w:pStyle w:val="NoSpacing"/>
              <w:rPr>
                <w:sz w:val="24"/>
                <w:szCs w:val="24"/>
              </w:rPr>
            </w:pPr>
            <w:r w:rsidRPr="00C038FC">
              <w:rPr>
                <w:sz w:val="24"/>
                <w:szCs w:val="24"/>
              </w:rPr>
              <w:t>0.317</w:t>
            </w:r>
          </w:p>
        </w:tc>
        <w:tc>
          <w:tcPr>
            <w:tcW w:w="600" w:type="pct"/>
            <w:gridSpan w:val="2"/>
            <w:hideMark/>
          </w:tcPr>
          <w:p w14:paraId="44F257A3" w14:textId="77777777" w:rsidR="00673F93" w:rsidRPr="00C038FC" w:rsidRDefault="00673F93" w:rsidP="005D3ED5">
            <w:pPr>
              <w:pStyle w:val="NoSpacing"/>
              <w:rPr>
                <w:sz w:val="24"/>
                <w:szCs w:val="24"/>
              </w:rPr>
            </w:pPr>
            <w:r w:rsidRPr="00C038FC">
              <w:rPr>
                <w:sz w:val="24"/>
                <w:szCs w:val="24"/>
              </w:rPr>
              <w:t>0.049</w:t>
            </w:r>
          </w:p>
        </w:tc>
        <w:tc>
          <w:tcPr>
            <w:tcW w:w="594" w:type="pct"/>
            <w:hideMark/>
          </w:tcPr>
          <w:p w14:paraId="2018E427" w14:textId="77777777" w:rsidR="00673F93" w:rsidRPr="00C038FC" w:rsidRDefault="00673F93" w:rsidP="005D3ED5">
            <w:pPr>
              <w:pStyle w:val="NoSpacing"/>
              <w:rPr>
                <w:sz w:val="24"/>
                <w:szCs w:val="24"/>
              </w:rPr>
            </w:pPr>
            <w:r w:rsidRPr="00C038FC">
              <w:rPr>
                <w:sz w:val="24"/>
                <w:szCs w:val="24"/>
              </w:rPr>
              <w:t>0.509</w:t>
            </w:r>
          </w:p>
        </w:tc>
      </w:tr>
    </w:tbl>
    <w:p w14:paraId="6667F4CD" w14:textId="00F380DF" w:rsidR="00673F93" w:rsidRPr="00673F93" w:rsidRDefault="00673F93" w:rsidP="00185B32">
      <w:pPr>
        <w:pStyle w:val="NoSpacing"/>
      </w:pPr>
      <w:r w:rsidRPr="00673F93">
        <w:t>This table reports the sample selection procedure and descriptive statistics. The sample period is from 1995 to 2010. Panel A presents details of the sample selection. Panel B shows the sample mean, median, standard deviation (SD), 25th percentile (P25) and 75th percentile (P75) of the key variables. Variable definitions are provided in the Appendix. Financial and utilities industries (SIC 6000–6999 and 4900–4999) are excluded. All variables are winsorised at the 1st and 99th percentiles.</w:t>
      </w:r>
    </w:p>
    <w:p w14:paraId="4A5AF230" w14:textId="77777777" w:rsidR="00185B32" w:rsidRDefault="00185B32" w:rsidP="00673F93">
      <w:pPr>
        <w:rPr>
          <w:rFonts w:cstheme="minorHAnsi"/>
          <w:b/>
          <w:bCs/>
          <w:sz w:val="24"/>
          <w:szCs w:val="24"/>
        </w:rPr>
        <w:sectPr w:rsidR="00185B32" w:rsidSect="00476310">
          <w:pgSz w:w="15840" w:h="12240" w:orient="landscape"/>
          <w:pgMar w:top="1080" w:right="1080" w:bottom="1080" w:left="1080" w:header="720" w:footer="720" w:gutter="0"/>
          <w:cols w:space="720"/>
          <w:docGrid w:linePitch="360"/>
        </w:sectPr>
      </w:pPr>
    </w:p>
    <w:p w14:paraId="3D275BA0" w14:textId="77777777" w:rsidR="00673F93" w:rsidRPr="00257F7B" w:rsidRDefault="00D71504" w:rsidP="00257F7B">
      <w:pPr>
        <w:pStyle w:val="Heading2"/>
      </w:pPr>
      <w:hyperlink r:id="rId17" w:anchor="toc" w:tooltip="Measures" w:history="1">
        <w:r w:rsidR="00673F93" w:rsidRPr="00257F7B">
          <w:rPr>
            <w:rStyle w:val="Hyperlink"/>
            <w:color w:val="262626" w:themeColor="text1" w:themeTint="D9"/>
            <w:u w:val="none"/>
          </w:rPr>
          <w:t>Measures</w:t>
        </w:r>
      </w:hyperlink>
    </w:p>
    <w:p w14:paraId="29F2EC55" w14:textId="77777777" w:rsidR="00673F93" w:rsidRPr="00257F7B" w:rsidRDefault="00D71504" w:rsidP="00257F7B">
      <w:pPr>
        <w:pStyle w:val="Heading3"/>
      </w:pPr>
      <w:hyperlink r:id="rId18" w:anchor="toc" w:tooltip="Stock price informativeness measures" w:history="1">
        <w:r w:rsidR="00673F93" w:rsidRPr="00257F7B">
          <w:rPr>
            <w:rStyle w:val="Hyperlink"/>
            <w:color w:val="0D0D0D" w:themeColor="text1" w:themeTint="F2"/>
            <w:u w:val="none"/>
          </w:rPr>
          <w:t>Stock price informativeness measures</w:t>
        </w:r>
      </w:hyperlink>
    </w:p>
    <w:p w14:paraId="67613F3C" w14:textId="2C3499E6" w:rsidR="00673F93" w:rsidRDefault="00673F93" w:rsidP="00673F93">
      <w:pPr>
        <w:rPr>
          <w:rFonts w:cstheme="minorHAnsi"/>
          <w:sz w:val="24"/>
          <w:szCs w:val="24"/>
        </w:rPr>
      </w:pPr>
      <w:r w:rsidRPr="00673F93">
        <w:rPr>
          <w:rFonts w:cstheme="minorHAnsi"/>
          <w:sz w:val="24"/>
          <w:szCs w:val="24"/>
        </w:rPr>
        <w:t xml:space="preserve">We use idiosyncratic volatility </w:t>
      </w:r>
      <m:oMath>
        <m:r>
          <m:rPr>
            <m:sty m:val="p"/>
          </m:rPr>
          <w:rPr>
            <w:rFonts w:ascii="Cambria Math" w:hAnsi="Cambria Math" w:cstheme="minorHAnsi"/>
            <w:sz w:val="24"/>
            <w:szCs w:val="24"/>
          </w:rPr>
          <m:t>(Ψ)</m:t>
        </m:r>
      </m:oMath>
      <w:r w:rsidRPr="00673F93">
        <w:rPr>
          <w:rFonts w:cstheme="minorHAnsi"/>
          <w:sz w:val="24"/>
          <w:szCs w:val="24"/>
        </w:rPr>
        <w:t xml:space="preserve"> and the probability of informed trading (</w:t>
      </w:r>
      <w:r w:rsidRPr="00673F93">
        <w:rPr>
          <w:rFonts w:cstheme="minorHAnsi"/>
          <w:i/>
          <w:iCs/>
          <w:sz w:val="24"/>
          <w:szCs w:val="24"/>
        </w:rPr>
        <w:t>PIN</w:t>
      </w:r>
      <w:r w:rsidRPr="00673F93">
        <w:rPr>
          <w:rFonts w:cstheme="minorHAnsi"/>
          <w:sz w:val="24"/>
          <w:szCs w:val="24"/>
        </w:rPr>
        <w:t>) as our main proxies for price informativeness. French and Roll (1986) and Roll (1988) state that idiosyncratic volatility, defined as stock return variation unexplained by market movement, measures the amount of firm‐specific information impounded into stock prices. This measure is further supported and widely used as a measure of information flow into stock prices (Morck </w:t>
      </w:r>
      <w:r w:rsidR="005A3923">
        <w:rPr>
          <w:rFonts w:cstheme="minorHAnsi"/>
          <w:i/>
          <w:iCs/>
          <w:sz w:val="24"/>
          <w:szCs w:val="24"/>
        </w:rPr>
        <w:t xml:space="preserve">et al., </w:t>
      </w:r>
      <w:r w:rsidRPr="00673F93">
        <w:rPr>
          <w:rFonts w:cstheme="minorHAnsi"/>
          <w:sz w:val="24"/>
          <w:szCs w:val="24"/>
        </w:rPr>
        <w:t>2000; Durnev </w:t>
      </w:r>
      <w:r w:rsidR="005A3923">
        <w:rPr>
          <w:rFonts w:cstheme="minorHAnsi"/>
          <w:i/>
          <w:iCs/>
          <w:sz w:val="24"/>
          <w:szCs w:val="24"/>
        </w:rPr>
        <w:t xml:space="preserve">et al., </w:t>
      </w:r>
      <w:r w:rsidRPr="00673F93">
        <w:rPr>
          <w:rFonts w:cstheme="minorHAnsi"/>
          <w:sz w:val="24"/>
          <w:szCs w:val="24"/>
        </w:rPr>
        <w:t>2003; Chen </w:t>
      </w:r>
      <w:r w:rsidR="005A3923">
        <w:rPr>
          <w:rFonts w:cstheme="minorHAnsi"/>
          <w:i/>
          <w:iCs/>
          <w:sz w:val="24"/>
          <w:szCs w:val="24"/>
        </w:rPr>
        <w:t xml:space="preserve">et al., </w:t>
      </w:r>
      <w:r w:rsidRPr="00673F93">
        <w:rPr>
          <w:rFonts w:cstheme="minorHAnsi"/>
          <w:sz w:val="24"/>
          <w:szCs w:val="24"/>
        </w:rPr>
        <w:t>2007; Ferreira and Laux, 2007; Ferreira </w:t>
      </w:r>
      <w:r w:rsidR="005A3923">
        <w:rPr>
          <w:rFonts w:cstheme="minorHAnsi"/>
          <w:i/>
          <w:iCs/>
          <w:sz w:val="24"/>
          <w:szCs w:val="24"/>
        </w:rPr>
        <w:t xml:space="preserve">et al., </w:t>
      </w:r>
      <w:r w:rsidRPr="00673F93">
        <w:rPr>
          <w:rFonts w:cstheme="minorHAnsi"/>
          <w:sz w:val="24"/>
          <w:szCs w:val="24"/>
        </w:rPr>
        <w:t>2011; Gul </w:t>
      </w:r>
      <w:r w:rsidR="005A3923">
        <w:rPr>
          <w:rFonts w:cstheme="minorHAnsi"/>
          <w:i/>
          <w:iCs/>
          <w:sz w:val="24"/>
          <w:szCs w:val="24"/>
        </w:rPr>
        <w:t xml:space="preserve">et al., </w:t>
      </w:r>
      <w:r w:rsidRPr="00673F93">
        <w:rPr>
          <w:rFonts w:cstheme="minorHAnsi"/>
          <w:sz w:val="24"/>
          <w:szCs w:val="24"/>
        </w:rPr>
        <w:t>2011).</w:t>
      </w:r>
      <w:r w:rsidR="004D48AE" w:rsidRPr="004D48AE">
        <w:rPr>
          <w:rFonts w:cstheme="minorHAnsi"/>
          <w:sz w:val="24"/>
          <w:szCs w:val="24"/>
          <w:vertAlign w:val="superscript"/>
        </w:rPr>
        <w:t>16</w:t>
      </w:r>
      <w:r w:rsidRPr="00673F93">
        <w:rPr>
          <w:rFonts w:cstheme="minorHAnsi"/>
          <w:sz w:val="24"/>
          <w:szCs w:val="24"/>
        </w:rPr>
        <w:t xml:space="preserve"> As in Chen </w:t>
      </w:r>
      <w:r w:rsidR="005A3923">
        <w:rPr>
          <w:rFonts w:cstheme="minorHAnsi"/>
          <w:i/>
          <w:iCs/>
          <w:sz w:val="24"/>
          <w:szCs w:val="24"/>
        </w:rPr>
        <w:t xml:space="preserve">et al. </w:t>
      </w:r>
      <w:r w:rsidRPr="00673F93">
        <w:rPr>
          <w:rFonts w:cstheme="minorHAnsi"/>
          <w:sz w:val="24"/>
          <w:szCs w:val="24"/>
        </w:rPr>
        <w:t xml:space="preserve">(2007), we estimate </w:t>
      </w:r>
      <m:oMath>
        <m:r>
          <m:rPr>
            <m:sty m:val="p"/>
          </m:rPr>
          <w:rPr>
            <w:rFonts w:ascii="Cambria Math" w:hAnsi="Cambria Math" w:cstheme="minorHAnsi"/>
            <w:sz w:val="24"/>
            <w:szCs w:val="24"/>
          </w:rPr>
          <m:t>Ψ</m:t>
        </m:r>
      </m:oMath>
      <w:r w:rsidRPr="00673F93">
        <w:rPr>
          <w:rFonts w:cstheme="minorHAnsi"/>
          <w:sz w:val="24"/>
          <w:szCs w:val="24"/>
        </w:rPr>
        <w:t xml:space="preserve"> by regressing stock returns on an expanded market model including the Fama‐French 48 industry returns. Firm‐specific information is estimated as the variation of stock returns excluding market‐wide and industry‐wide variation. For each firm </w:t>
      </w:r>
      <m:oMath>
        <m:r>
          <w:rPr>
            <w:rFonts w:ascii="Cambria Math" w:hAnsi="Cambria Math" w:cstheme="minorHAnsi"/>
            <w:sz w:val="24"/>
            <w:szCs w:val="24"/>
          </w:rPr>
          <m:t>i</m:t>
        </m:r>
      </m:oMath>
      <w:r w:rsidRPr="00673F93">
        <w:rPr>
          <w:rFonts w:cstheme="minorHAnsi"/>
          <w:sz w:val="24"/>
          <w:szCs w:val="24"/>
        </w:rPr>
        <w:t> in year </w:t>
      </w:r>
      <m:oMath>
        <m:r>
          <w:rPr>
            <w:rFonts w:ascii="Cambria Math" w:hAnsi="Cambria Math" w:cstheme="minorHAnsi"/>
            <w:sz w:val="24"/>
            <w:szCs w:val="24"/>
          </w:rPr>
          <m:t>t</m:t>
        </m:r>
      </m:oMath>
      <w:r w:rsidRPr="00673F93">
        <w:rPr>
          <w:rFonts w:cstheme="minorHAnsi"/>
          <w:sz w:val="24"/>
          <w:szCs w:val="24"/>
        </w:rPr>
        <w:t>, the firm‐specific return variation is estimated by computing </w:t>
      </w:r>
      <m:oMath>
        <m:r>
          <w:rPr>
            <w:rFonts w:ascii="Cambria Math" w:hAnsi="Cambria Math" w:cstheme="minorHAnsi"/>
            <w:sz w:val="24"/>
            <w:szCs w:val="24"/>
          </w:rPr>
          <m:t>1‐</m:t>
        </m:r>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i,t</m:t>
            </m:r>
          </m:sub>
          <m:sup>
            <m:r>
              <w:rPr>
                <w:rFonts w:ascii="Cambria Math" w:hAnsi="Cambria Math" w:cstheme="minorHAnsi"/>
                <w:sz w:val="24"/>
                <w:szCs w:val="24"/>
              </w:rPr>
              <m:t>2</m:t>
            </m:r>
          </m:sup>
        </m:sSubSup>
      </m:oMath>
      <w:r w:rsidRPr="00673F93">
        <w:rPr>
          <w:rFonts w:cstheme="minorHAnsi"/>
          <w:sz w:val="24"/>
          <w:szCs w:val="24"/>
        </w:rPr>
        <w:t> from the regression with daily returns in year </w:t>
      </w:r>
      <m:oMath>
        <m:r>
          <w:rPr>
            <w:rFonts w:ascii="Cambria Math" w:hAnsi="Cambria Math" w:cstheme="minorHAnsi"/>
            <w:sz w:val="24"/>
            <w:szCs w:val="24"/>
          </w:rPr>
          <m:t>t</m:t>
        </m:r>
      </m:oMath>
      <w:r w:rsidRPr="00673F93">
        <w:rPr>
          <w:rFonts w:cstheme="minorHAnsi"/>
          <w:sz w:val="24"/>
          <w:szCs w:val="24"/>
        </w:rPr>
        <w:t>:</w:t>
      </w:r>
    </w:p>
    <w:p w14:paraId="18C3D025" w14:textId="28ECDF77" w:rsidR="00673F93" w:rsidRPr="00BD51FB" w:rsidRDefault="00BD51FB" w:rsidP="00F04D52">
      <w:pPr>
        <w:rPr>
          <w:rFonts w:cstheme="minorHAnsi"/>
          <w:sz w:val="24"/>
          <w:szCs w:val="24"/>
        </w:rPr>
      </w:pPr>
      <w:r>
        <w:rPr>
          <w:rFonts w:cstheme="minorHAnsi"/>
          <w:sz w:val="24"/>
          <w:szCs w:val="24"/>
        </w:rPr>
        <w:t>(1)</w:t>
      </w:r>
      <w:r w:rsidR="00F04D52">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i,j,d</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m,d</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j,d</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i,d</m:t>
            </m:r>
          </m:sub>
        </m:sSub>
      </m:oMath>
    </w:p>
    <w:p w14:paraId="2B14CBC6" w14:textId="3BEDB48F" w:rsidR="00673F93" w:rsidRPr="00673F93" w:rsidRDefault="00673F93" w:rsidP="00673F93">
      <w:pPr>
        <w:rPr>
          <w:rFonts w:cstheme="minorHAnsi"/>
          <w:sz w:val="24"/>
          <w:szCs w:val="24"/>
        </w:rPr>
      </w:pPr>
      <w:r w:rsidRPr="00673F93">
        <w:rPr>
          <w:rFonts w:cstheme="minorHAnsi"/>
          <w:sz w:val="24"/>
          <w:szCs w:val="24"/>
        </w:rPr>
        <w:t>where </w:t>
      </w: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i,j,d</m:t>
            </m:r>
          </m:sub>
        </m:sSub>
      </m:oMath>
      <w:r w:rsidRPr="00673F93">
        <w:rPr>
          <w:rFonts w:cstheme="minorHAnsi"/>
          <w:sz w:val="24"/>
          <w:szCs w:val="24"/>
        </w:rPr>
        <w:t> is the return of stock </w:t>
      </w:r>
      <m:oMath>
        <m:r>
          <w:rPr>
            <w:rFonts w:ascii="Cambria Math" w:hAnsi="Cambria Math" w:cstheme="minorHAnsi"/>
            <w:sz w:val="24"/>
            <w:szCs w:val="24"/>
          </w:rPr>
          <m:t>i</m:t>
        </m:r>
      </m:oMath>
      <w:r w:rsidRPr="00673F93">
        <w:rPr>
          <w:rFonts w:cstheme="minorHAnsi"/>
          <w:sz w:val="24"/>
          <w:szCs w:val="24"/>
        </w:rPr>
        <w:t> in industry </w:t>
      </w:r>
      <m:oMath>
        <m:r>
          <w:rPr>
            <w:rFonts w:ascii="Cambria Math" w:hAnsi="Cambria Math" w:cstheme="minorHAnsi"/>
            <w:sz w:val="24"/>
            <w:szCs w:val="24"/>
          </w:rPr>
          <m:t>j</m:t>
        </m:r>
      </m:oMath>
      <w:r w:rsidRPr="00673F93">
        <w:rPr>
          <w:rFonts w:cstheme="minorHAnsi"/>
          <w:sz w:val="24"/>
          <w:szCs w:val="24"/>
        </w:rPr>
        <w:t> on day </w:t>
      </w:r>
      <m:oMath>
        <m:r>
          <w:rPr>
            <w:rFonts w:ascii="Cambria Math" w:hAnsi="Cambria Math" w:cstheme="minorHAnsi"/>
            <w:sz w:val="24"/>
            <w:szCs w:val="24"/>
          </w:rPr>
          <m:t>d, </m:t>
        </m:r>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m,d</m:t>
            </m:r>
          </m:sub>
        </m:sSub>
      </m:oMath>
      <w:r w:rsidRPr="00673F93">
        <w:rPr>
          <w:rFonts w:cstheme="minorHAnsi"/>
          <w:sz w:val="24"/>
          <w:szCs w:val="24"/>
        </w:rPr>
        <w:t> is the value‐weighted market return on day </w:t>
      </w:r>
      <m:oMath>
        <m:r>
          <w:rPr>
            <w:rFonts w:ascii="Cambria Math" w:hAnsi="Cambria Math" w:cstheme="minorHAnsi"/>
            <w:sz w:val="24"/>
            <w:szCs w:val="24"/>
          </w:rPr>
          <m:t>d, </m:t>
        </m:r>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j,d</m:t>
            </m:r>
          </m:sub>
        </m:sSub>
      </m:oMath>
      <w:r w:rsidRPr="00673F93">
        <w:rPr>
          <w:rFonts w:cstheme="minorHAnsi"/>
          <w:sz w:val="24"/>
          <w:szCs w:val="24"/>
        </w:rPr>
        <w:t> is the return of industry </w:t>
      </w:r>
      <m:oMath>
        <m:r>
          <w:rPr>
            <w:rFonts w:ascii="Cambria Math" w:hAnsi="Cambria Math" w:cstheme="minorHAnsi"/>
            <w:sz w:val="24"/>
            <w:szCs w:val="24"/>
          </w:rPr>
          <m:t>j</m:t>
        </m:r>
      </m:oMath>
      <w:r w:rsidRPr="00673F93">
        <w:rPr>
          <w:rFonts w:cstheme="minorHAnsi"/>
          <w:sz w:val="24"/>
          <w:szCs w:val="24"/>
        </w:rPr>
        <w:t> on day </w:t>
      </w:r>
      <m:oMath>
        <m:r>
          <w:rPr>
            <w:rFonts w:ascii="Cambria Math" w:hAnsi="Cambria Math" w:cstheme="minorHAnsi"/>
            <w:sz w:val="24"/>
            <w:szCs w:val="24"/>
          </w:rPr>
          <m:t>d</m:t>
        </m:r>
      </m:oMath>
      <w:r w:rsidRPr="00673F93">
        <w:rPr>
          <w:rFonts w:cstheme="minorHAnsi"/>
          <w:sz w:val="24"/>
          <w:szCs w:val="24"/>
        </w:rPr>
        <w:t>. Because </w:t>
      </w:r>
      <m:oMath>
        <m:r>
          <w:rPr>
            <w:rFonts w:ascii="Cambria Math" w:hAnsi="Cambria Math" w:cstheme="minorHAnsi"/>
            <w:sz w:val="24"/>
            <w:szCs w:val="24"/>
          </w:rPr>
          <m:t>1‐</m:t>
        </m:r>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i,t</m:t>
            </m:r>
          </m:sub>
          <m:sup>
            <m:r>
              <w:rPr>
                <w:rFonts w:ascii="Cambria Math" w:hAnsi="Cambria Math" w:cstheme="minorHAnsi"/>
                <w:sz w:val="24"/>
                <w:szCs w:val="24"/>
              </w:rPr>
              <m:t>2</m:t>
            </m:r>
          </m:sup>
        </m:sSubSup>
      </m:oMath>
      <w:r w:rsidRPr="00673F93">
        <w:rPr>
          <w:rFonts w:cstheme="minorHAnsi"/>
          <w:sz w:val="24"/>
          <w:szCs w:val="24"/>
        </w:rPr>
        <w:t> is skewed (Durnev </w:t>
      </w:r>
      <w:r w:rsidR="005A3923">
        <w:rPr>
          <w:rFonts w:cstheme="minorHAnsi"/>
          <w:i/>
          <w:iCs/>
          <w:sz w:val="24"/>
          <w:szCs w:val="24"/>
        </w:rPr>
        <w:t xml:space="preserve">et al., </w:t>
      </w:r>
      <w:r w:rsidRPr="00673F93">
        <w:rPr>
          <w:rFonts w:cstheme="minorHAnsi"/>
          <w:sz w:val="24"/>
          <w:szCs w:val="24"/>
        </w:rPr>
        <w:t>2004), we take the logistic transformation of </w:t>
      </w:r>
      <m:oMath>
        <m:r>
          <w:rPr>
            <w:rFonts w:ascii="Cambria Math" w:hAnsi="Cambria Math" w:cstheme="minorHAnsi"/>
            <w:sz w:val="24"/>
            <w:szCs w:val="24"/>
          </w:rPr>
          <m:t>1‐</m:t>
        </m:r>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i,t</m:t>
            </m:r>
          </m:sub>
          <m:sup>
            <m:r>
              <w:rPr>
                <w:rFonts w:ascii="Cambria Math" w:hAnsi="Cambria Math" w:cstheme="minorHAnsi"/>
                <w:sz w:val="24"/>
                <w:szCs w:val="24"/>
              </w:rPr>
              <m:t>2</m:t>
            </m:r>
          </m:sup>
        </m:sSubSup>
      </m:oMath>
      <w:r w:rsidRPr="00673F93">
        <w:rPr>
          <w:rFonts w:cstheme="minorHAnsi"/>
          <w:sz w:val="24"/>
          <w:szCs w:val="24"/>
        </w:rPr>
        <w:t xml:space="preserve"> to ensure a normal distribution. Formally, idiosyncratic volatility </w:t>
      </w:r>
      <m:oMath>
        <m:r>
          <w:rPr>
            <w:rFonts w:ascii="Cambria Math" w:hAnsi="Cambria Math" w:cstheme="minorHAnsi"/>
            <w:sz w:val="24"/>
            <w:szCs w:val="24"/>
          </w:rPr>
          <m:t>(</m:t>
        </m:r>
        <w:bookmarkStart w:id="2" w:name="_Hlk110585335"/>
        <m:sSub>
          <m:sSubPr>
            <m:ctrlPr>
              <w:rPr>
                <w:rFonts w:ascii="Cambria Math" w:hAnsi="Cambria Math" w:cstheme="minorHAnsi"/>
                <w:i/>
                <w:sz w:val="24"/>
                <w:szCs w:val="24"/>
              </w:rPr>
            </m:ctrlPr>
          </m:sSubPr>
          <m:e>
            <m:r>
              <w:rPr>
                <w:rFonts w:ascii="Cambria Math" w:hAnsi="Cambria Math" w:cstheme="minorHAnsi"/>
                <w:sz w:val="24"/>
                <w:szCs w:val="24"/>
              </w:rPr>
              <m:t>ψ</m:t>
            </m:r>
          </m:e>
          <m:sub>
            <m:r>
              <w:rPr>
                <w:rFonts w:ascii="Cambria Math" w:hAnsi="Cambria Math" w:cstheme="minorHAnsi"/>
                <w:sz w:val="24"/>
                <w:szCs w:val="24"/>
              </w:rPr>
              <m:t>i,t</m:t>
            </m:r>
          </m:sub>
        </m:sSub>
        <w:bookmarkEnd w:id="2"/>
        <m:r>
          <w:rPr>
            <w:rFonts w:ascii="Cambria Math" w:hAnsi="Cambria Math" w:cstheme="minorHAnsi"/>
            <w:sz w:val="24"/>
            <w:szCs w:val="24"/>
          </w:rPr>
          <m:t>)</m:t>
        </m:r>
      </m:oMath>
      <w:r w:rsidRPr="00673F93">
        <w:rPr>
          <w:rFonts w:cstheme="minorHAnsi"/>
          <w:sz w:val="24"/>
          <w:szCs w:val="24"/>
        </w:rPr>
        <w:t xml:space="preserve"> is defined as:</w:t>
      </w:r>
    </w:p>
    <w:p w14:paraId="57DA2479" w14:textId="0A4A25BF" w:rsidR="00673F93" w:rsidRPr="00673F93" w:rsidRDefault="008C6D4F" w:rsidP="00673F93">
      <w:pPr>
        <w:rPr>
          <w:rFonts w:cstheme="minorHAnsi"/>
          <w:color w:val="000000" w:themeColor="text1"/>
          <w:sz w:val="24"/>
          <w:szCs w:val="24"/>
        </w:rPr>
      </w:pPr>
      <w:r>
        <w:rPr>
          <w:rFonts w:cstheme="minorHAnsi"/>
          <w:sz w:val="24"/>
          <w:szCs w:val="24"/>
        </w:rPr>
        <w:t>(</w:t>
      </w:r>
      <w:r w:rsidR="00673F93" w:rsidRPr="00673F93">
        <w:rPr>
          <w:rFonts w:cstheme="minorHAnsi"/>
          <w:sz w:val="24"/>
          <w:szCs w:val="24"/>
        </w:rPr>
        <w:t>2</w:t>
      </w:r>
      <w:r>
        <w:rPr>
          <w:rFonts w:cstheme="minorHAnsi"/>
          <w:sz w:val="24"/>
          <w:szCs w:val="24"/>
        </w:rPr>
        <w:t>)</w:t>
      </w:r>
      <w:r w:rsidR="009E0581">
        <w:rPr>
          <w:rFonts w:cstheme="minorHAnsi"/>
          <w:sz w:val="24"/>
          <w:szCs w:val="24"/>
        </w:rPr>
        <w:t xml:space="preserve"> </w:t>
      </w:r>
      <m:oMath>
        <m:sSub>
          <m:sSubPr>
            <m:ctrlPr>
              <w:rPr>
                <w:rFonts w:ascii="Cambria Math" w:hAnsi="Cambria Math" w:cstheme="minorHAnsi"/>
                <w:i/>
                <w:color w:val="000000" w:themeColor="text1"/>
                <w:sz w:val="24"/>
                <w:szCs w:val="24"/>
              </w:rPr>
            </m:ctrlPr>
          </m:sSubPr>
          <m:e>
            <m:r>
              <w:rPr>
                <w:rFonts w:ascii="Cambria Math" w:hAnsi="Cambria Math" w:cstheme="minorHAnsi"/>
                <w:color w:val="000000" w:themeColor="text1"/>
                <w:sz w:val="24"/>
                <w:szCs w:val="24"/>
              </w:rPr>
              <m:t>ψ</m:t>
            </m:r>
          </m:e>
          <m:sub>
            <m:r>
              <w:rPr>
                <w:rFonts w:ascii="Cambria Math" w:hAnsi="Cambria Math" w:cstheme="minorHAnsi"/>
                <w:color w:val="000000" w:themeColor="text1"/>
                <w:sz w:val="24"/>
                <w:szCs w:val="24"/>
              </w:rPr>
              <m:t>i,t</m:t>
            </m:r>
          </m:sub>
        </m:sSub>
        <m:r>
          <w:rPr>
            <w:rFonts w:ascii="Cambria Math" w:hAnsi="Cambria Math" w:cstheme="minorHAnsi"/>
            <w:color w:val="000000" w:themeColor="text1"/>
            <w:sz w:val="24"/>
            <w:szCs w:val="24"/>
          </w:rPr>
          <m:t>=ln</m:t>
        </m:r>
        <m:d>
          <m:dPr>
            <m:ctrlPr>
              <w:rPr>
                <w:rFonts w:ascii="Cambria Math" w:hAnsi="Cambria Math" w:cstheme="minorHAnsi"/>
                <w:i/>
                <w:color w:val="000000" w:themeColor="text1"/>
                <w:sz w:val="24"/>
                <w:szCs w:val="24"/>
              </w:rPr>
            </m:ctrlPr>
          </m:dPr>
          <m:e>
            <m:f>
              <m:fPr>
                <m:ctrlPr>
                  <w:rPr>
                    <w:rFonts w:ascii="Cambria Math" w:hAnsi="Cambria Math" w:cstheme="minorHAnsi"/>
                    <w:i/>
                    <w:color w:val="000000" w:themeColor="text1"/>
                    <w:sz w:val="24"/>
                    <w:szCs w:val="24"/>
                  </w:rPr>
                </m:ctrlPr>
              </m:fPr>
              <m:num>
                <m:sSubSup>
                  <m:sSubSupPr>
                    <m:ctrlPr>
                      <w:rPr>
                        <w:rFonts w:ascii="Cambria Math" w:hAnsi="Cambria Math" w:cstheme="minorHAnsi"/>
                        <w:i/>
                        <w:sz w:val="24"/>
                        <w:szCs w:val="24"/>
                      </w:rPr>
                    </m:ctrlPr>
                  </m:sSubSupPr>
                  <m:e>
                    <m:r>
                      <w:rPr>
                        <w:rFonts w:ascii="Cambria Math" w:hAnsi="Cambria Math" w:cstheme="minorHAnsi"/>
                        <w:sz w:val="24"/>
                        <w:szCs w:val="24"/>
                      </w:rPr>
                      <m:t>1-R</m:t>
                    </m:r>
                  </m:e>
                  <m:sub>
                    <m:r>
                      <w:rPr>
                        <w:rFonts w:ascii="Cambria Math" w:hAnsi="Cambria Math" w:cstheme="minorHAnsi"/>
                        <w:sz w:val="24"/>
                        <w:szCs w:val="24"/>
                      </w:rPr>
                      <m:t>i,t</m:t>
                    </m:r>
                  </m:sub>
                  <m:sup>
                    <m:r>
                      <w:rPr>
                        <w:rFonts w:ascii="Cambria Math" w:hAnsi="Cambria Math" w:cstheme="minorHAnsi"/>
                        <w:sz w:val="24"/>
                        <w:szCs w:val="24"/>
                      </w:rPr>
                      <m:t>2</m:t>
                    </m:r>
                  </m:sup>
                </m:sSubSup>
              </m:num>
              <m:den>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i,t</m:t>
                    </m:r>
                  </m:sub>
                  <m:sup>
                    <m:r>
                      <w:rPr>
                        <w:rFonts w:ascii="Cambria Math" w:hAnsi="Cambria Math" w:cstheme="minorHAnsi"/>
                        <w:sz w:val="24"/>
                        <w:szCs w:val="24"/>
                      </w:rPr>
                      <m:t>2</m:t>
                    </m:r>
                  </m:sup>
                </m:sSubSup>
              </m:den>
            </m:f>
          </m:e>
        </m:d>
      </m:oMath>
    </w:p>
    <w:p w14:paraId="66B622FA" w14:textId="0C3608E3" w:rsidR="00673F93" w:rsidRPr="00673F93" w:rsidRDefault="00673F93" w:rsidP="00673F93">
      <w:pPr>
        <w:rPr>
          <w:rFonts w:cstheme="minorHAnsi"/>
          <w:color w:val="000000" w:themeColor="text1"/>
          <w:sz w:val="24"/>
          <w:szCs w:val="24"/>
        </w:rPr>
      </w:pPr>
      <w:r w:rsidRPr="00673F93">
        <w:rPr>
          <w:rFonts w:cstheme="minorHAnsi"/>
          <w:color w:val="000000" w:themeColor="text1"/>
          <w:sz w:val="24"/>
          <w:szCs w:val="24"/>
        </w:rPr>
        <w:t>Higher values of </w:t>
      </w:r>
      <m:oMath>
        <m:sSub>
          <m:sSubPr>
            <m:ctrlPr>
              <w:rPr>
                <w:rFonts w:ascii="Cambria Math" w:hAnsi="Cambria Math" w:cstheme="minorHAnsi"/>
                <w:i/>
                <w:sz w:val="24"/>
                <w:szCs w:val="24"/>
              </w:rPr>
            </m:ctrlPr>
          </m:sSubPr>
          <m:e>
            <m:r>
              <w:rPr>
                <w:rFonts w:ascii="Cambria Math" w:hAnsi="Cambria Math" w:cstheme="minorHAnsi"/>
                <w:sz w:val="24"/>
                <w:szCs w:val="24"/>
              </w:rPr>
              <m:t>ψ</m:t>
            </m:r>
          </m:e>
          <m:sub>
            <m:r>
              <w:rPr>
                <w:rFonts w:ascii="Cambria Math" w:hAnsi="Cambria Math" w:cstheme="minorHAnsi"/>
                <w:sz w:val="24"/>
                <w:szCs w:val="24"/>
              </w:rPr>
              <m:t>i,t</m:t>
            </m:r>
          </m:sub>
        </m:sSub>
      </m:oMath>
      <w:r w:rsidRPr="00673F93">
        <w:rPr>
          <w:rFonts w:cstheme="minorHAnsi"/>
          <w:color w:val="000000" w:themeColor="text1"/>
          <w:sz w:val="24"/>
          <w:szCs w:val="24"/>
        </w:rPr>
        <w:t> indicate that stock prices are more informative.</w:t>
      </w:r>
    </w:p>
    <w:p w14:paraId="5AE30DC4" w14:textId="39639C57" w:rsidR="005A3923" w:rsidRPr="00673F93" w:rsidRDefault="00673F93" w:rsidP="00673F93">
      <w:pPr>
        <w:rPr>
          <w:rFonts w:cstheme="minorHAnsi"/>
          <w:sz w:val="24"/>
          <w:szCs w:val="24"/>
        </w:rPr>
      </w:pPr>
      <w:r w:rsidRPr="00673F93">
        <w:rPr>
          <w:rFonts w:cstheme="minorHAnsi"/>
          <w:sz w:val="24"/>
          <w:szCs w:val="24"/>
        </w:rPr>
        <w:t>We also utilise </w:t>
      </w:r>
      <w:r w:rsidRPr="00673F93">
        <w:rPr>
          <w:rFonts w:cstheme="minorHAnsi"/>
          <w:i/>
          <w:iCs/>
          <w:sz w:val="24"/>
          <w:szCs w:val="24"/>
        </w:rPr>
        <w:t>PIN</w:t>
      </w:r>
      <w:r w:rsidRPr="00673F93">
        <w:rPr>
          <w:rFonts w:cstheme="minorHAnsi"/>
          <w:sz w:val="24"/>
          <w:szCs w:val="24"/>
        </w:rPr>
        <w:t> as an alternative measure to capture price informativeness. Proposed and developed by Easley </w:t>
      </w:r>
      <w:r w:rsidR="005A3923">
        <w:rPr>
          <w:rFonts w:cstheme="minorHAnsi"/>
          <w:i/>
          <w:iCs/>
          <w:sz w:val="24"/>
          <w:szCs w:val="24"/>
        </w:rPr>
        <w:t xml:space="preserve">et al. </w:t>
      </w:r>
      <w:r w:rsidRPr="00673F93">
        <w:rPr>
          <w:rFonts w:cstheme="minorHAnsi"/>
          <w:sz w:val="24"/>
          <w:szCs w:val="24"/>
        </w:rPr>
        <w:t>(1997a, 1997b, 2002), </w:t>
      </w:r>
      <w:r w:rsidRPr="00673F93">
        <w:rPr>
          <w:rFonts w:cstheme="minorHAnsi"/>
          <w:i/>
          <w:iCs/>
          <w:sz w:val="24"/>
          <w:szCs w:val="24"/>
        </w:rPr>
        <w:t>PIN</w:t>
      </w:r>
      <w:r w:rsidRPr="00673F93">
        <w:rPr>
          <w:rFonts w:cstheme="minorHAnsi"/>
          <w:sz w:val="24"/>
          <w:szCs w:val="24"/>
        </w:rPr>
        <w:t> is a theoretically justified measure of private information in stock prices. The measure is calculated based on microstructure trading models and gauges the probability of informed trading. Given that informed traders place informed bets based on their private information, </w:t>
      </w:r>
      <w:r w:rsidRPr="00673F93">
        <w:rPr>
          <w:rFonts w:cstheme="minorHAnsi"/>
          <w:i/>
          <w:iCs/>
          <w:sz w:val="24"/>
          <w:szCs w:val="24"/>
        </w:rPr>
        <w:t>PIN</w:t>
      </w:r>
      <w:r w:rsidRPr="00673F93">
        <w:rPr>
          <w:rFonts w:cstheme="minorHAnsi"/>
          <w:sz w:val="24"/>
          <w:szCs w:val="24"/>
        </w:rPr>
        <w:t> is conceptually compelling and is widely used to measure private information in stock prices (Chen </w:t>
      </w:r>
      <w:r w:rsidR="005A3923">
        <w:rPr>
          <w:rFonts w:cstheme="minorHAnsi"/>
          <w:i/>
          <w:iCs/>
          <w:sz w:val="24"/>
          <w:szCs w:val="24"/>
        </w:rPr>
        <w:t xml:space="preserve">et al., </w:t>
      </w:r>
      <w:r w:rsidRPr="00673F93">
        <w:rPr>
          <w:rFonts w:cstheme="minorHAnsi"/>
          <w:sz w:val="24"/>
          <w:szCs w:val="24"/>
        </w:rPr>
        <w:t>2007; Ferreira and Laux, 2007; Ferreira </w:t>
      </w:r>
      <w:r w:rsidR="005A3923">
        <w:rPr>
          <w:rFonts w:cstheme="minorHAnsi"/>
          <w:i/>
          <w:iCs/>
          <w:sz w:val="24"/>
          <w:szCs w:val="24"/>
        </w:rPr>
        <w:t xml:space="preserve">et al., </w:t>
      </w:r>
      <w:r w:rsidRPr="00673F93">
        <w:rPr>
          <w:rFonts w:cstheme="minorHAnsi"/>
          <w:sz w:val="24"/>
          <w:szCs w:val="24"/>
        </w:rPr>
        <w:t>2011). </w:t>
      </w:r>
      <w:r w:rsidRPr="00673F93">
        <w:rPr>
          <w:rFonts w:cstheme="minorHAnsi"/>
          <w:i/>
          <w:iCs/>
          <w:sz w:val="24"/>
          <w:szCs w:val="24"/>
        </w:rPr>
        <w:t>PIN</w:t>
      </w:r>
      <w:r w:rsidRPr="00673F93">
        <w:rPr>
          <w:rFonts w:cstheme="minorHAnsi"/>
          <w:sz w:val="24"/>
          <w:szCs w:val="24"/>
        </w:rPr>
        <w:t> is defined as:</w:t>
      </w:r>
    </w:p>
    <w:p w14:paraId="700E740E" w14:textId="0D572030" w:rsidR="00673F93" w:rsidRPr="00673F93" w:rsidRDefault="00BD51FB" w:rsidP="00673F93">
      <w:pPr>
        <w:rPr>
          <w:rFonts w:cstheme="minorHAnsi"/>
          <w:sz w:val="24"/>
          <w:szCs w:val="24"/>
        </w:rPr>
      </w:pPr>
      <w:r>
        <w:rPr>
          <w:rFonts w:cstheme="minorHAnsi"/>
          <w:sz w:val="24"/>
          <w:szCs w:val="24"/>
        </w:rPr>
        <w:t>(</w:t>
      </w:r>
      <w:r w:rsidR="00673F93" w:rsidRPr="00673F93">
        <w:rPr>
          <w:rFonts w:cstheme="minorHAnsi"/>
          <w:sz w:val="24"/>
          <w:szCs w:val="24"/>
        </w:rPr>
        <w:t>3</w:t>
      </w:r>
      <w:r>
        <w:rPr>
          <w:rFonts w:cstheme="minorHAnsi"/>
          <w:sz w:val="24"/>
          <w:szCs w:val="24"/>
        </w:rPr>
        <w:t xml:space="preserve">) </w:t>
      </w:r>
      <m:oMath>
        <m:r>
          <w:rPr>
            <w:rFonts w:ascii="Cambria Math" w:hAnsi="Cambria Math" w:cstheme="minorHAnsi"/>
            <w:sz w:val="24"/>
            <w:szCs w:val="24"/>
          </w:rPr>
          <m:t>PIN=</m:t>
        </m:r>
        <m:f>
          <m:fPr>
            <m:ctrlPr>
              <w:rPr>
                <w:rFonts w:ascii="Cambria Math" w:hAnsi="Cambria Math" w:cstheme="minorHAnsi"/>
                <w:i/>
                <w:sz w:val="24"/>
                <w:szCs w:val="24"/>
              </w:rPr>
            </m:ctrlPr>
          </m:fPr>
          <m:num>
            <w:bookmarkStart w:id="3" w:name="_Hlk110585467"/>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i,d</m:t>
                </m:r>
              </m:sub>
            </m:sSub>
            <w:bookmarkEnd w:id="3"/>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i,d</m:t>
                </m:r>
              </m:sub>
            </m:sSub>
          </m:num>
          <m:den>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i,d</m:t>
                    </m:r>
                  </m:sub>
                </m:sSub>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i,d</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2ε</m:t>
                    </m:r>
                  </m:e>
                  <m:sub>
                    <m:r>
                      <w:rPr>
                        <w:rFonts w:ascii="Cambria Math" w:hAnsi="Cambria Math" w:cstheme="minorHAnsi"/>
                        <w:sz w:val="24"/>
                        <w:szCs w:val="24"/>
                      </w:rPr>
                      <m:t>i,d</m:t>
                    </m:r>
                  </m:sub>
                </m:sSub>
              </m:e>
            </m:d>
          </m:den>
        </m:f>
      </m:oMath>
    </w:p>
    <w:p w14:paraId="75871E91" w14:textId="215C36C6" w:rsidR="00673F93" w:rsidRPr="00673F93" w:rsidRDefault="00673F93" w:rsidP="00673F93">
      <w:pPr>
        <w:rPr>
          <w:rFonts w:cstheme="minorHAnsi"/>
          <w:sz w:val="24"/>
          <w:szCs w:val="24"/>
        </w:rPr>
      </w:pPr>
      <w:r w:rsidRPr="00673F93">
        <w:rPr>
          <w:rFonts w:cstheme="minorHAnsi"/>
          <w:sz w:val="24"/>
          <w:szCs w:val="24"/>
        </w:rPr>
        <w:t>where </w:t>
      </w:r>
      <m:oMath>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i,d</m:t>
            </m:r>
          </m:sub>
        </m:sSub>
      </m:oMath>
      <w:r w:rsidRPr="00673F93">
        <w:rPr>
          <w:rFonts w:cstheme="minorHAnsi"/>
          <w:sz w:val="24"/>
          <w:szCs w:val="24"/>
        </w:rPr>
        <w:t> equals the probability of an event on day </w:t>
      </w:r>
      <m:oMath>
        <m:r>
          <w:rPr>
            <w:rFonts w:ascii="Cambria Math" w:hAnsi="Cambria Math" w:cstheme="minorHAnsi"/>
            <w:sz w:val="24"/>
            <w:szCs w:val="24"/>
          </w:rPr>
          <m:t>d</m:t>
        </m:r>
      </m:oMath>
      <w:r w:rsidRPr="00673F93">
        <w:rPr>
          <w:rFonts w:cstheme="minorHAnsi"/>
          <w:sz w:val="24"/>
          <w:szCs w:val="24"/>
        </w:rPr>
        <w:t> when informed investors acquire private information regarding firm </w:t>
      </w:r>
      <m:oMath>
        <m:r>
          <w:rPr>
            <w:rFonts w:ascii="Cambria Math" w:hAnsi="Cambria Math" w:cstheme="minorHAnsi"/>
            <w:sz w:val="24"/>
            <w:szCs w:val="24"/>
          </w:rPr>
          <m:t>i</m:t>
        </m:r>
      </m:oMath>
      <w:r w:rsidRPr="00673F93">
        <w:rPr>
          <w:rFonts w:cstheme="minorHAnsi"/>
          <w:sz w:val="24"/>
          <w:szCs w:val="24"/>
        </w:rPr>
        <w:t>, </w:t>
      </w:r>
      <m:oMath>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i,d</m:t>
            </m:r>
          </m:sub>
        </m:sSub>
      </m:oMath>
      <w:r w:rsidRPr="00673F93">
        <w:rPr>
          <w:rFonts w:cstheme="minorHAnsi"/>
          <w:sz w:val="24"/>
          <w:szCs w:val="24"/>
        </w:rPr>
        <w:t> is the arrival rate of buy (sell) orders made by informed traders on day </w:t>
      </w:r>
      <m:oMath>
        <m:r>
          <w:rPr>
            <w:rFonts w:ascii="Cambria Math" w:hAnsi="Cambria Math" w:cstheme="minorHAnsi"/>
            <w:sz w:val="24"/>
            <w:szCs w:val="24"/>
          </w:rPr>
          <m:t>d</m:t>
        </m:r>
      </m:oMath>
      <w:r w:rsidRPr="00673F93">
        <w:rPr>
          <w:rFonts w:cstheme="minorHAnsi"/>
          <w:sz w:val="24"/>
          <w:szCs w:val="24"/>
        </w:rPr>
        <w:t> for firm </w:t>
      </w:r>
      <m:oMath>
        <m:r>
          <w:rPr>
            <w:rFonts w:ascii="Cambria Math" w:hAnsi="Cambria Math" w:cstheme="minorHAnsi"/>
            <w:sz w:val="24"/>
            <w:szCs w:val="24"/>
          </w:rPr>
          <m:t>i</m:t>
        </m:r>
      </m:oMath>
      <w:r w:rsidRPr="00673F93">
        <w:rPr>
          <w:rFonts w:cstheme="minorHAnsi"/>
          <w:sz w:val="24"/>
          <w:szCs w:val="24"/>
        </w:rPr>
        <w:t>, and </w:t>
      </w:r>
      <m:oMath>
        <m:sSub>
          <m:sSubPr>
            <m:ctrlPr>
              <w:rPr>
                <w:rFonts w:ascii="Cambria Math" w:hAnsi="Cambria Math" w:cstheme="minorHAnsi"/>
                <w:i/>
                <w:sz w:val="24"/>
                <w:szCs w:val="24"/>
              </w:rPr>
            </m:ctrlPr>
          </m:sSubPr>
          <m:e>
            <m:r>
              <w:rPr>
                <w:rFonts w:ascii="Cambria Math" w:hAnsi="Cambria Math" w:cstheme="minorHAnsi"/>
                <w:sz w:val="24"/>
                <w:szCs w:val="24"/>
              </w:rPr>
              <m:t>ε</m:t>
            </m:r>
          </m:e>
          <m:sub>
            <m:r>
              <w:rPr>
                <w:rFonts w:ascii="Cambria Math" w:hAnsi="Cambria Math" w:cstheme="minorHAnsi"/>
                <w:sz w:val="24"/>
                <w:szCs w:val="24"/>
              </w:rPr>
              <m:t>i,d</m:t>
            </m:r>
          </m:sub>
        </m:sSub>
      </m:oMath>
      <w:r w:rsidRPr="00673F93">
        <w:rPr>
          <w:rFonts w:cstheme="minorHAnsi"/>
          <w:sz w:val="24"/>
          <w:szCs w:val="24"/>
        </w:rPr>
        <w:t> is the daily arrival rate of buy (sell) orders from uninformed traders. Intuitively, </w:t>
      </w:r>
      <w:r w:rsidRPr="00673F93">
        <w:rPr>
          <w:rFonts w:cstheme="minorHAnsi"/>
          <w:i/>
          <w:iCs/>
          <w:sz w:val="24"/>
          <w:szCs w:val="24"/>
        </w:rPr>
        <w:t>PIN</w:t>
      </w:r>
      <w:r w:rsidRPr="00673F93">
        <w:rPr>
          <w:rFonts w:cstheme="minorHAnsi"/>
          <w:sz w:val="24"/>
          <w:szCs w:val="24"/>
        </w:rPr>
        <w:t> is the proportion of informed trades out of all (informed and uninformed) trades. We utilise annual </w:t>
      </w:r>
      <w:r w:rsidRPr="00673F93">
        <w:rPr>
          <w:rFonts w:cstheme="minorHAnsi"/>
          <w:i/>
          <w:iCs/>
          <w:sz w:val="24"/>
          <w:szCs w:val="24"/>
        </w:rPr>
        <w:t>PIN</w:t>
      </w:r>
      <w:r w:rsidRPr="00673F93">
        <w:rPr>
          <w:rFonts w:cstheme="minorHAnsi"/>
          <w:sz w:val="24"/>
          <w:szCs w:val="24"/>
        </w:rPr>
        <w:t> estimates as computed in Brown and Hillegeist (2007).</w:t>
      </w:r>
      <w:r w:rsidR="00546BE2" w:rsidRPr="00546BE2">
        <w:rPr>
          <w:rFonts w:cstheme="minorHAnsi"/>
          <w:sz w:val="24"/>
          <w:szCs w:val="24"/>
          <w:vertAlign w:val="superscript"/>
        </w:rPr>
        <w:t>17</w:t>
      </w:r>
      <w:r w:rsidRPr="00673F93">
        <w:rPr>
          <w:rFonts w:cstheme="minorHAnsi"/>
          <w:sz w:val="24"/>
          <w:szCs w:val="24"/>
        </w:rPr>
        <w:t xml:space="preserve"> Higher values of </w:t>
      </w:r>
      <w:r w:rsidRPr="00673F93">
        <w:rPr>
          <w:rFonts w:cstheme="minorHAnsi"/>
          <w:i/>
          <w:iCs/>
          <w:sz w:val="24"/>
          <w:szCs w:val="24"/>
        </w:rPr>
        <w:t>PIN</w:t>
      </w:r>
      <w:r w:rsidRPr="00673F93">
        <w:rPr>
          <w:rFonts w:cstheme="minorHAnsi"/>
          <w:sz w:val="24"/>
          <w:szCs w:val="24"/>
        </w:rPr>
        <w:t> indicate greater informed trading and suggest more private information contained in stock prices.</w:t>
      </w:r>
      <w:r w:rsidR="006A3DC5" w:rsidRPr="006A3DC5">
        <w:rPr>
          <w:rFonts w:cstheme="minorHAnsi"/>
          <w:sz w:val="24"/>
          <w:szCs w:val="24"/>
          <w:vertAlign w:val="superscript"/>
        </w:rPr>
        <w:t>18</w:t>
      </w:r>
    </w:p>
    <w:p w14:paraId="5BAC86A7" w14:textId="77777777" w:rsidR="00673F93" w:rsidRPr="00F04D52" w:rsidRDefault="00D71504" w:rsidP="00F04D52">
      <w:pPr>
        <w:pStyle w:val="Heading3"/>
      </w:pPr>
      <w:hyperlink r:id="rId19" w:anchor="toc" w:tooltip="Measure of CSR" w:history="1">
        <w:r w:rsidR="00673F93" w:rsidRPr="00F04D52">
          <w:rPr>
            <w:rStyle w:val="Hyperlink"/>
            <w:color w:val="0D0D0D" w:themeColor="text1" w:themeTint="F2"/>
            <w:u w:val="none"/>
          </w:rPr>
          <w:t>Measure of CSR</w:t>
        </w:r>
      </w:hyperlink>
    </w:p>
    <w:p w14:paraId="04B696C1" w14:textId="583A72C3" w:rsidR="00673F93" w:rsidRPr="00673F93" w:rsidRDefault="00673F93" w:rsidP="00673F93">
      <w:pPr>
        <w:rPr>
          <w:rFonts w:cstheme="minorHAnsi"/>
          <w:sz w:val="24"/>
          <w:szCs w:val="24"/>
        </w:rPr>
      </w:pPr>
      <w:r w:rsidRPr="00673F93">
        <w:rPr>
          <w:rFonts w:cstheme="minorHAnsi"/>
          <w:sz w:val="24"/>
          <w:szCs w:val="24"/>
        </w:rPr>
        <w:t>We use the KLD database to construct our measure of CSR. The KLD database is considered the most comprehensive and influential database on CSR performance (Chatterji </w:t>
      </w:r>
      <w:r w:rsidR="005A3923">
        <w:rPr>
          <w:rFonts w:cstheme="minorHAnsi"/>
          <w:i/>
          <w:iCs/>
          <w:sz w:val="24"/>
          <w:szCs w:val="24"/>
        </w:rPr>
        <w:t xml:space="preserve">et al., </w:t>
      </w:r>
      <w:r w:rsidRPr="00673F93">
        <w:rPr>
          <w:rFonts w:cstheme="minorHAnsi"/>
          <w:sz w:val="24"/>
          <w:szCs w:val="24"/>
        </w:rPr>
        <w:t>2009) and has been used extensively in the literature (Hong </w:t>
      </w:r>
      <w:r w:rsidR="005A3923">
        <w:rPr>
          <w:rFonts w:cstheme="minorHAnsi"/>
          <w:i/>
          <w:iCs/>
          <w:sz w:val="24"/>
          <w:szCs w:val="24"/>
        </w:rPr>
        <w:t xml:space="preserve">et al., </w:t>
      </w:r>
      <w:r w:rsidRPr="00673F93">
        <w:rPr>
          <w:rFonts w:cstheme="minorHAnsi"/>
          <w:sz w:val="24"/>
          <w:szCs w:val="24"/>
        </w:rPr>
        <w:t>2012; Deng </w:t>
      </w:r>
      <w:r w:rsidR="005A3923">
        <w:rPr>
          <w:rFonts w:cstheme="minorHAnsi"/>
          <w:i/>
          <w:iCs/>
          <w:sz w:val="24"/>
          <w:szCs w:val="24"/>
        </w:rPr>
        <w:t xml:space="preserve">et al., </w:t>
      </w:r>
      <w:r w:rsidRPr="00673F93">
        <w:rPr>
          <w:rFonts w:cstheme="minorHAnsi"/>
          <w:sz w:val="24"/>
          <w:szCs w:val="24"/>
        </w:rPr>
        <w:t xml:space="preserve">2013). KLD evaluates firms on seven major </w:t>
      </w:r>
      <w:r w:rsidRPr="00673F93">
        <w:rPr>
          <w:rFonts w:cstheme="minorHAnsi"/>
          <w:sz w:val="24"/>
          <w:szCs w:val="24"/>
        </w:rPr>
        <w:lastRenderedPageBreak/>
        <w:t xml:space="preserve">dimensions of CSR using various sources including surveys, financial reports, mainstream </w:t>
      </w:r>
      <w:proofErr w:type="gramStart"/>
      <w:r w:rsidRPr="00673F93">
        <w:rPr>
          <w:rFonts w:cstheme="minorHAnsi"/>
          <w:sz w:val="24"/>
          <w:szCs w:val="24"/>
        </w:rPr>
        <w:t>media</w:t>
      </w:r>
      <w:proofErr w:type="gramEnd"/>
      <w:r w:rsidRPr="00673F93">
        <w:rPr>
          <w:rFonts w:cstheme="minorHAnsi"/>
          <w:sz w:val="24"/>
          <w:szCs w:val="24"/>
        </w:rPr>
        <w:t xml:space="preserve"> and government documents. The seven major dimensions are community, corporate governance, diversity, employee relations, environment, human rights, and product quality and safety. Within each dimension, KLD assigns a binary indicator (0 or 1) to a set of strengths and concerns.</w:t>
      </w:r>
      <w:r w:rsidR="006A3DC5" w:rsidRPr="006A3DC5">
        <w:rPr>
          <w:rFonts w:cstheme="minorHAnsi"/>
          <w:sz w:val="24"/>
          <w:szCs w:val="24"/>
          <w:vertAlign w:val="superscript"/>
        </w:rPr>
        <w:t>17</w:t>
      </w:r>
    </w:p>
    <w:p w14:paraId="6BC214AC" w14:textId="77777777" w:rsidR="00673F93" w:rsidRPr="00673F93" w:rsidRDefault="00673F93" w:rsidP="00673F93">
      <w:pPr>
        <w:rPr>
          <w:rFonts w:cstheme="minorHAnsi"/>
          <w:sz w:val="24"/>
          <w:szCs w:val="24"/>
        </w:rPr>
      </w:pPr>
      <w:r w:rsidRPr="00673F93">
        <w:rPr>
          <w:rFonts w:cstheme="minorHAnsi"/>
          <w:sz w:val="24"/>
          <w:szCs w:val="24"/>
        </w:rPr>
        <w:t>As in Servaes and Tamayo (2013), we exclude the corporate governance dimension of the KLD score to assess firms' CSR performance. Servaes and Tamayo (2013) contend that corporate governance is related to the mechanisms that align the interests of managers to shareholders and is vastly different from the concept of CSR, which concerns corporate social objectives and relationships with stakeholders. Furthermore, Harjoto and Jo (2011) find that better CSR performance is tied to stronger corporate governance. To the extent that Ferreira and Laux (2007) show that firms with better corporate governance have more informative stock prices, excluding the corporate governance dimension can alleviate the confounding effect of corporate governance on price informativeness.</w:t>
      </w:r>
    </w:p>
    <w:p w14:paraId="0F9FEAEC" w14:textId="3EE98733" w:rsidR="00673F93" w:rsidRPr="00673F93" w:rsidRDefault="00673F93" w:rsidP="00673F93">
      <w:pPr>
        <w:rPr>
          <w:rFonts w:cstheme="minorHAnsi"/>
          <w:sz w:val="24"/>
          <w:szCs w:val="24"/>
        </w:rPr>
      </w:pPr>
      <w:r w:rsidRPr="00673F93">
        <w:rPr>
          <w:rFonts w:cstheme="minorHAnsi"/>
          <w:sz w:val="24"/>
          <w:szCs w:val="24"/>
        </w:rPr>
        <w:t>Following Deng </w:t>
      </w:r>
      <w:r w:rsidR="005A3923">
        <w:rPr>
          <w:rFonts w:cstheme="minorHAnsi"/>
          <w:i/>
          <w:iCs/>
          <w:sz w:val="24"/>
          <w:szCs w:val="24"/>
        </w:rPr>
        <w:t xml:space="preserve">et al. </w:t>
      </w:r>
      <w:r w:rsidRPr="00673F93">
        <w:rPr>
          <w:rFonts w:cstheme="minorHAnsi"/>
          <w:sz w:val="24"/>
          <w:szCs w:val="24"/>
        </w:rPr>
        <w:t>(2013), we scale each individual firm's strength and concern scores by the total number of strengths and concerns within each dimension in each year and take the difference between the total strength and concern scores.</w:t>
      </w:r>
      <w:r w:rsidR="00F67ABF" w:rsidRPr="00F67ABF">
        <w:rPr>
          <w:rFonts w:cstheme="minorHAnsi"/>
          <w:sz w:val="24"/>
          <w:szCs w:val="24"/>
          <w:vertAlign w:val="superscript"/>
        </w:rPr>
        <w:t>18</w:t>
      </w:r>
      <w:r w:rsidRPr="00673F93">
        <w:rPr>
          <w:rFonts w:cstheme="minorHAnsi"/>
          <w:sz w:val="24"/>
          <w:szCs w:val="24"/>
        </w:rPr>
        <w:t xml:space="preserve"> Deng </w:t>
      </w:r>
      <w:r w:rsidR="005A3923">
        <w:rPr>
          <w:rFonts w:cstheme="minorHAnsi"/>
          <w:i/>
          <w:iCs/>
          <w:sz w:val="24"/>
          <w:szCs w:val="24"/>
        </w:rPr>
        <w:t xml:space="preserve">et al. </w:t>
      </w:r>
      <w:r w:rsidRPr="00673F93">
        <w:rPr>
          <w:rFonts w:cstheme="minorHAnsi"/>
          <w:sz w:val="24"/>
          <w:szCs w:val="24"/>
        </w:rPr>
        <w:t>(2013) point out that because the number of subcategories of many CSR dimensions can change each year, a scaling scheme can strengthen the comparability of CSR scores over time.</w:t>
      </w:r>
    </w:p>
    <w:p w14:paraId="05040A86" w14:textId="77777777" w:rsidR="00673F93" w:rsidRPr="00F04D52" w:rsidRDefault="00D71504" w:rsidP="00F04D52">
      <w:pPr>
        <w:pStyle w:val="Heading3"/>
      </w:pPr>
      <w:hyperlink r:id="rId20" w:anchor="toc" w:tooltip="Information search measures" w:history="1">
        <w:r w:rsidR="00673F93" w:rsidRPr="00F04D52">
          <w:rPr>
            <w:rStyle w:val="Hyperlink"/>
            <w:color w:val="0D0D0D" w:themeColor="text1" w:themeTint="F2"/>
            <w:u w:val="none"/>
          </w:rPr>
          <w:t>Information search measures</w:t>
        </w:r>
      </w:hyperlink>
    </w:p>
    <w:p w14:paraId="07145F4B" w14:textId="02B9D329" w:rsidR="00673F93" w:rsidRPr="00673F93" w:rsidRDefault="00673F93" w:rsidP="00673F93">
      <w:pPr>
        <w:rPr>
          <w:rFonts w:cstheme="minorHAnsi"/>
          <w:sz w:val="24"/>
          <w:szCs w:val="24"/>
        </w:rPr>
      </w:pPr>
      <w:r w:rsidRPr="00673F93">
        <w:rPr>
          <w:rFonts w:cstheme="minorHAnsi"/>
          <w:sz w:val="24"/>
          <w:szCs w:val="24"/>
        </w:rPr>
        <w:t>Our first measure of investors' information search is constructed from recorded internet traffic on the SEC's EDGAR website. We obtain the EDGAR server logs from 2003 to 2010 and count the number of requests for annual financial statement (10‐K filings) on the date that the filing was posted, up to 3 days after the filing was posted, and up to one week after the post date. We use event windows around the date that a new 10‐K filing is posted to capture investors' searches for new firm‐specific information.</w:t>
      </w:r>
      <w:r w:rsidR="00F67ABF" w:rsidRPr="00F67ABF">
        <w:rPr>
          <w:rFonts w:cstheme="minorHAnsi"/>
          <w:sz w:val="24"/>
          <w:szCs w:val="24"/>
          <w:vertAlign w:val="superscript"/>
        </w:rPr>
        <w:t>19</w:t>
      </w:r>
      <w:r w:rsidRPr="00673F93">
        <w:rPr>
          <w:rFonts w:cstheme="minorHAnsi"/>
          <w:sz w:val="24"/>
          <w:szCs w:val="24"/>
        </w:rPr>
        <w:t xml:space="preserve"> We remove requests made by automated programs following Lee </w:t>
      </w:r>
      <w:r w:rsidR="005A3923">
        <w:rPr>
          <w:rFonts w:cstheme="minorHAnsi"/>
          <w:i/>
          <w:iCs/>
          <w:sz w:val="24"/>
          <w:szCs w:val="24"/>
        </w:rPr>
        <w:t xml:space="preserve">et al. </w:t>
      </w:r>
      <w:r w:rsidRPr="00673F93">
        <w:rPr>
          <w:rFonts w:cstheme="minorHAnsi"/>
          <w:sz w:val="24"/>
          <w:szCs w:val="24"/>
        </w:rPr>
        <w:t xml:space="preserve">(2015). </w:t>
      </w:r>
      <w:proofErr w:type="gramStart"/>
      <w:r w:rsidRPr="00673F93">
        <w:rPr>
          <w:rFonts w:cstheme="minorHAnsi"/>
          <w:sz w:val="24"/>
          <w:szCs w:val="24"/>
        </w:rPr>
        <w:t>Similar to</w:t>
      </w:r>
      <w:proofErr w:type="gramEnd"/>
      <w:r w:rsidRPr="00673F93">
        <w:rPr>
          <w:rFonts w:cstheme="minorHAnsi"/>
          <w:sz w:val="24"/>
          <w:szCs w:val="24"/>
        </w:rPr>
        <w:t xml:space="preserve"> Loughran and McDonald (2015), we also remove requests for index pages or file that was either relocated or not found. We take the natural logarithm of these request counts to normalise the data.</w:t>
      </w:r>
    </w:p>
    <w:p w14:paraId="339884F5" w14:textId="00240082" w:rsidR="00673F93" w:rsidRPr="00673F93" w:rsidRDefault="00673F93" w:rsidP="00673F93">
      <w:pPr>
        <w:rPr>
          <w:rFonts w:cstheme="minorHAnsi"/>
          <w:sz w:val="24"/>
          <w:szCs w:val="24"/>
        </w:rPr>
      </w:pPr>
      <w:r w:rsidRPr="00673F93">
        <w:rPr>
          <w:rFonts w:cstheme="minorHAnsi"/>
          <w:sz w:val="24"/>
          <w:szCs w:val="24"/>
        </w:rPr>
        <w:t xml:space="preserve">We next measure investors' search activities by the intensity of internet searches for company information as captured by the Google Search Volume Index (SVI). The Google SVI measures the frequency of searches for a particular term or phrase </w:t>
      </w:r>
      <w:proofErr w:type="gramStart"/>
      <w:r w:rsidRPr="00673F93">
        <w:rPr>
          <w:rFonts w:cstheme="minorHAnsi"/>
          <w:sz w:val="24"/>
          <w:szCs w:val="24"/>
        </w:rPr>
        <w:t>entered into</w:t>
      </w:r>
      <w:proofErr w:type="gramEnd"/>
      <w:r w:rsidRPr="00673F93">
        <w:rPr>
          <w:rFonts w:cstheme="minorHAnsi"/>
          <w:sz w:val="24"/>
          <w:szCs w:val="24"/>
        </w:rPr>
        <w:t xml:space="preserve"> the Google search engine. Prior research has used the Google SVI for measuring investors' demand for information and their attention (Da </w:t>
      </w:r>
      <w:r w:rsidR="005A3923">
        <w:rPr>
          <w:rFonts w:cstheme="minorHAnsi"/>
          <w:i/>
          <w:iCs/>
          <w:sz w:val="24"/>
          <w:szCs w:val="24"/>
        </w:rPr>
        <w:t xml:space="preserve">et al., </w:t>
      </w:r>
      <w:r w:rsidRPr="00673F93">
        <w:rPr>
          <w:rFonts w:cstheme="minorHAnsi"/>
          <w:sz w:val="24"/>
          <w:szCs w:val="24"/>
        </w:rPr>
        <w:t>2011; Drake </w:t>
      </w:r>
      <w:r w:rsidR="005A3923">
        <w:rPr>
          <w:rFonts w:cstheme="minorHAnsi"/>
          <w:i/>
          <w:iCs/>
          <w:sz w:val="24"/>
          <w:szCs w:val="24"/>
        </w:rPr>
        <w:t xml:space="preserve">et al., </w:t>
      </w:r>
      <w:r w:rsidRPr="00673F93">
        <w:rPr>
          <w:rFonts w:cstheme="minorHAnsi"/>
          <w:sz w:val="24"/>
          <w:szCs w:val="24"/>
        </w:rPr>
        <w:t xml:space="preserve">2012). </w:t>
      </w:r>
      <w:proofErr w:type="gramStart"/>
      <w:r w:rsidRPr="00673F93">
        <w:rPr>
          <w:rFonts w:cstheme="minorHAnsi"/>
          <w:sz w:val="24"/>
          <w:szCs w:val="24"/>
        </w:rPr>
        <w:t>Similar to</w:t>
      </w:r>
      <w:proofErr w:type="gramEnd"/>
      <w:r w:rsidRPr="00673F93">
        <w:rPr>
          <w:rFonts w:cstheme="minorHAnsi"/>
          <w:sz w:val="24"/>
          <w:szCs w:val="24"/>
        </w:rPr>
        <w:t xml:space="preserve"> Drake </w:t>
      </w:r>
      <w:r w:rsidR="005A3923">
        <w:rPr>
          <w:rFonts w:cstheme="minorHAnsi"/>
          <w:i/>
          <w:iCs/>
          <w:sz w:val="24"/>
          <w:szCs w:val="24"/>
        </w:rPr>
        <w:t xml:space="preserve">et al. </w:t>
      </w:r>
      <w:r w:rsidRPr="00673F93">
        <w:rPr>
          <w:rFonts w:cstheme="minorHAnsi"/>
          <w:sz w:val="24"/>
          <w:szCs w:val="24"/>
        </w:rPr>
        <w:t>(2012), we use daily abnormal Google SVI in the 5‐day period prior to earnings announcements, on the announcement date, and the 5‐day post earnings announcement period to capture the intensity of investors' information search. We obtain the abnormal Google SVI data for S&amp;P 500 firms during 2005–2008 from Michael Drake.</w:t>
      </w:r>
      <w:r w:rsidR="00F67ABF" w:rsidRPr="00F67ABF">
        <w:rPr>
          <w:rFonts w:cstheme="minorHAnsi"/>
          <w:sz w:val="24"/>
          <w:szCs w:val="24"/>
          <w:vertAlign w:val="superscript"/>
        </w:rPr>
        <w:t>20</w:t>
      </w:r>
      <w:r w:rsidRPr="00673F93">
        <w:rPr>
          <w:rFonts w:cstheme="minorHAnsi"/>
          <w:sz w:val="24"/>
          <w:szCs w:val="24"/>
        </w:rPr>
        <w:t xml:space="preserve"> We focus on earnings announcements because they are events in which new financial information about a firm becomes available to investors.</w:t>
      </w:r>
    </w:p>
    <w:p w14:paraId="7D317421" w14:textId="77777777" w:rsidR="00673F93" w:rsidRPr="00F04D52" w:rsidRDefault="00D71504" w:rsidP="00F04D52">
      <w:pPr>
        <w:pStyle w:val="Heading2"/>
      </w:pPr>
      <w:hyperlink r:id="rId21" w:anchor="toc" w:tooltip="Descriptive statistics" w:history="1">
        <w:r w:rsidR="00673F93" w:rsidRPr="00F04D52">
          <w:rPr>
            <w:rStyle w:val="Hyperlink"/>
            <w:color w:val="262626" w:themeColor="text1" w:themeTint="D9"/>
            <w:u w:val="none"/>
          </w:rPr>
          <w:t>Descriptive statistics</w:t>
        </w:r>
      </w:hyperlink>
    </w:p>
    <w:p w14:paraId="6D4120FA" w14:textId="2498457C" w:rsidR="00673F93" w:rsidRPr="00673F93" w:rsidRDefault="00673F93" w:rsidP="00673F93">
      <w:pPr>
        <w:rPr>
          <w:rFonts w:cstheme="minorHAnsi"/>
          <w:sz w:val="24"/>
          <w:szCs w:val="24"/>
        </w:rPr>
      </w:pPr>
      <w:r w:rsidRPr="00673F93">
        <w:rPr>
          <w:rFonts w:cstheme="minorHAnsi"/>
          <w:sz w:val="24"/>
          <w:szCs w:val="24"/>
        </w:rPr>
        <w:t>Panel D of Table 1 provides the summary statistics of the main variables employed in our regression analyses. Variable definitions are provided in the Appendix. All non‐logarithmic, continuous variables are winsorised at the 1st and 99th percentile to alleviate the influence of outliers.</w:t>
      </w:r>
      <w:r w:rsidR="006D1426" w:rsidRPr="006D1426">
        <w:rPr>
          <w:rFonts w:cstheme="minorHAnsi"/>
          <w:sz w:val="24"/>
          <w:szCs w:val="24"/>
          <w:vertAlign w:val="superscript"/>
        </w:rPr>
        <w:t>21</w:t>
      </w:r>
      <w:r w:rsidRPr="00673F93">
        <w:rPr>
          <w:rFonts w:cstheme="minorHAnsi"/>
          <w:sz w:val="24"/>
          <w:szCs w:val="24"/>
        </w:rPr>
        <w:t xml:space="preserve"> The mean (median) </w:t>
      </w:r>
      <w:r w:rsidRPr="00673F93">
        <w:rPr>
          <w:rFonts w:cstheme="minorHAnsi"/>
          <w:sz w:val="24"/>
          <w:szCs w:val="24"/>
        </w:rPr>
        <w:lastRenderedPageBreak/>
        <w:t xml:space="preserve">value of </w:t>
      </w:r>
      <m:oMath>
        <m:r>
          <m:rPr>
            <m:sty m:val="p"/>
          </m:rPr>
          <w:rPr>
            <w:rFonts w:ascii="Cambria Math" w:hAnsi="Cambria Math" w:cstheme="minorHAnsi"/>
            <w:sz w:val="24"/>
            <w:szCs w:val="24"/>
          </w:rPr>
          <m:t>Ψ</m:t>
        </m:r>
      </m:oMath>
      <w:r w:rsidRPr="00673F93">
        <w:rPr>
          <w:rFonts w:cstheme="minorHAnsi"/>
          <w:sz w:val="24"/>
          <w:szCs w:val="24"/>
        </w:rPr>
        <w:t xml:space="preserve"> is 0.949 (0.922) with a standard deviation of 1.155. These statistics suggest that there is wide variation in idiosyncratic volatility. </w:t>
      </w:r>
      <w:r w:rsidRPr="00673F93">
        <w:rPr>
          <w:rFonts w:cstheme="minorHAnsi"/>
          <w:i/>
          <w:iCs/>
          <w:sz w:val="24"/>
          <w:szCs w:val="24"/>
        </w:rPr>
        <w:t>PIN</w:t>
      </w:r>
      <w:r w:rsidRPr="00673F93">
        <w:rPr>
          <w:rFonts w:cstheme="minorHAnsi"/>
          <w:sz w:val="24"/>
          <w:szCs w:val="24"/>
        </w:rPr>
        <w:t> has a mean (median) value of 0.114 (0.107) and a standard deviation of 0.050, indicating less variation compared to idiosyncratic volatility. The mean (median) value of </w:t>
      </w:r>
      <w:r w:rsidRPr="00673F93">
        <w:rPr>
          <w:rFonts w:cstheme="minorHAnsi"/>
          <w:i/>
          <w:iCs/>
          <w:sz w:val="24"/>
          <w:szCs w:val="24"/>
        </w:rPr>
        <w:t>CSR</w:t>
      </w:r>
      <w:r w:rsidRPr="00673F93">
        <w:rPr>
          <w:rFonts w:cstheme="minorHAnsi"/>
          <w:sz w:val="24"/>
          <w:szCs w:val="24"/>
        </w:rPr>
        <w:t> is −0.126 (−0.161), suggesting that the average (median) firm in our sample has more CSR concerns than strengths. However, the standard deviation is large (0.501), indicating that our sample consists of a wide range of firms on the CSR spectrum. The mean (median) values for the EDGAR search variables </w:t>
      </w:r>
      <w:r w:rsidRPr="00673F93">
        <w:rPr>
          <w:rFonts w:cstheme="minorHAnsi"/>
          <w:i/>
          <w:iCs/>
          <w:sz w:val="24"/>
          <w:szCs w:val="24"/>
        </w:rPr>
        <w:t>LOG(EDGAR_1)</w:t>
      </w:r>
      <w:r w:rsidRPr="00673F93">
        <w:rPr>
          <w:rFonts w:cstheme="minorHAnsi"/>
          <w:sz w:val="24"/>
          <w:szCs w:val="24"/>
        </w:rPr>
        <w:t>, </w:t>
      </w:r>
      <w:r w:rsidRPr="00673F93">
        <w:rPr>
          <w:rFonts w:cstheme="minorHAnsi"/>
          <w:i/>
          <w:iCs/>
          <w:sz w:val="24"/>
          <w:szCs w:val="24"/>
        </w:rPr>
        <w:t>LOG(EDGAR_3)</w:t>
      </w:r>
      <w:r w:rsidRPr="00673F93">
        <w:rPr>
          <w:rFonts w:cstheme="minorHAnsi"/>
          <w:sz w:val="24"/>
          <w:szCs w:val="24"/>
        </w:rPr>
        <w:t> and </w:t>
      </w:r>
      <w:r w:rsidRPr="00673F93">
        <w:rPr>
          <w:rFonts w:cstheme="minorHAnsi"/>
          <w:i/>
          <w:iCs/>
          <w:sz w:val="24"/>
          <w:szCs w:val="24"/>
        </w:rPr>
        <w:t>LOG(EDGAR_1WK)</w:t>
      </w:r>
      <w:r w:rsidRPr="00673F93">
        <w:rPr>
          <w:rFonts w:cstheme="minorHAnsi"/>
          <w:sz w:val="24"/>
          <w:szCs w:val="24"/>
        </w:rPr>
        <w:t> are 2.595 (2.773), 3.293 (3.555) and 3.772 (4.094) respectively, suggesting that investors' searches for information from a newly released 10‐K filing increase over time although at a decreasing rate. Mean (median) values for </w:t>
      </w:r>
      <w:r w:rsidRPr="00673F93">
        <w:rPr>
          <w:rFonts w:cstheme="minorHAnsi"/>
          <w:i/>
          <w:iCs/>
          <w:sz w:val="24"/>
          <w:szCs w:val="24"/>
        </w:rPr>
        <w:t>GSEARCH(−5, −1)</w:t>
      </w:r>
      <w:r w:rsidRPr="00673F93">
        <w:rPr>
          <w:rFonts w:cstheme="minorHAnsi"/>
          <w:sz w:val="24"/>
          <w:szCs w:val="24"/>
        </w:rPr>
        <w:t>, </w:t>
      </w:r>
      <w:r w:rsidRPr="00673F93">
        <w:rPr>
          <w:rFonts w:cstheme="minorHAnsi"/>
          <w:i/>
          <w:iCs/>
          <w:sz w:val="24"/>
          <w:szCs w:val="24"/>
        </w:rPr>
        <w:t>GSEARCH(0)</w:t>
      </w:r>
      <w:r w:rsidRPr="00673F93">
        <w:rPr>
          <w:rFonts w:cstheme="minorHAnsi"/>
          <w:sz w:val="24"/>
          <w:szCs w:val="24"/>
        </w:rPr>
        <w:t> and </w:t>
      </w:r>
      <w:r w:rsidRPr="00673F93">
        <w:rPr>
          <w:rFonts w:cstheme="minorHAnsi"/>
          <w:i/>
          <w:iCs/>
          <w:sz w:val="24"/>
          <w:szCs w:val="24"/>
        </w:rPr>
        <w:t>GSEARCH(</w:t>
      </w:r>
      <w:hyperlink r:id="rId22" w:anchor="bib1" w:tooltip="1" w:history="1">
        <w:r w:rsidRPr="00673F93">
          <w:rPr>
            <w:rStyle w:val="Hyperlink"/>
            <w:rFonts w:cstheme="minorHAnsi"/>
            <w:i/>
            <w:iCs/>
            <w:sz w:val="24"/>
            <w:szCs w:val="24"/>
          </w:rPr>
          <w:t>1</w:t>
        </w:r>
      </w:hyperlink>
      <w:r w:rsidRPr="00673F93">
        <w:rPr>
          <w:rFonts w:cstheme="minorHAnsi"/>
          <w:i/>
          <w:iCs/>
          <w:sz w:val="24"/>
          <w:szCs w:val="24"/>
        </w:rPr>
        <w:t>,5)</w:t>
      </w:r>
      <w:r w:rsidRPr="00673F93">
        <w:rPr>
          <w:rFonts w:cstheme="minorHAnsi"/>
          <w:sz w:val="24"/>
          <w:szCs w:val="24"/>
        </w:rPr>
        <w:t> are 0.071 (0.008), 0.321 (0.035) and 0.177 (0.014) respectively. As for the other variables, our summary statistics are largely consistent with the previous literature (Gul </w:t>
      </w:r>
      <w:r w:rsidR="005A3923">
        <w:rPr>
          <w:rFonts w:cstheme="minorHAnsi"/>
          <w:i/>
          <w:iCs/>
          <w:sz w:val="24"/>
          <w:szCs w:val="24"/>
        </w:rPr>
        <w:t xml:space="preserve">et al., </w:t>
      </w:r>
      <w:r w:rsidRPr="00673F93">
        <w:rPr>
          <w:rFonts w:cstheme="minorHAnsi"/>
          <w:sz w:val="24"/>
          <w:szCs w:val="24"/>
        </w:rPr>
        <w:t>2011).</w:t>
      </w:r>
    </w:p>
    <w:p w14:paraId="769B14EC" w14:textId="77777777" w:rsidR="00673F93" w:rsidRPr="00F04D52" w:rsidRDefault="00D71504" w:rsidP="00F04D52">
      <w:pPr>
        <w:pStyle w:val="Heading1"/>
      </w:pPr>
      <w:hyperlink r:id="rId23" w:anchor="toc" w:tooltip="CSR and price informativeness" w:history="1">
        <w:r w:rsidR="00673F93" w:rsidRPr="00F04D52">
          <w:rPr>
            <w:rStyle w:val="Hyperlink"/>
            <w:color w:val="262626" w:themeColor="text1" w:themeTint="D9"/>
            <w:u w:val="none"/>
          </w:rPr>
          <w:t>CSR and price informativeness</w:t>
        </w:r>
      </w:hyperlink>
    </w:p>
    <w:p w14:paraId="367E968C" w14:textId="77777777" w:rsidR="00673F93" w:rsidRPr="00F04D52" w:rsidRDefault="00D71504" w:rsidP="00F04D52">
      <w:pPr>
        <w:pStyle w:val="Heading2"/>
      </w:pPr>
      <w:hyperlink r:id="rId24" w:anchor="toc" w:tooltip="Baseline model" w:history="1">
        <w:r w:rsidR="00673F93" w:rsidRPr="00F04D52">
          <w:rPr>
            <w:rStyle w:val="Hyperlink"/>
            <w:color w:val="262626" w:themeColor="text1" w:themeTint="D9"/>
            <w:u w:val="none"/>
          </w:rPr>
          <w:t>Baseline model</w:t>
        </w:r>
      </w:hyperlink>
    </w:p>
    <w:p w14:paraId="0FCCCC37" w14:textId="3FAC8D50" w:rsidR="005A3923" w:rsidRPr="00673F93" w:rsidRDefault="00673F93" w:rsidP="00673F93">
      <w:pPr>
        <w:rPr>
          <w:rFonts w:cstheme="minorHAnsi"/>
          <w:sz w:val="24"/>
          <w:szCs w:val="24"/>
        </w:rPr>
      </w:pPr>
      <w:r w:rsidRPr="00673F93">
        <w:rPr>
          <w:rFonts w:cstheme="minorHAnsi"/>
          <w:sz w:val="24"/>
          <w:szCs w:val="24"/>
        </w:rPr>
        <w:t xml:space="preserve">We estimate the following baseline empirical model to analyse the relation between CSR and price informativeness as measured by idiosyncratic volatility </w:t>
      </w:r>
      <m:oMath>
        <m:r>
          <m:rPr>
            <m:sty m:val="p"/>
          </m:rPr>
          <w:rPr>
            <w:rFonts w:ascii="Cambria Math" w:hAnsi="Cambria Math" w:cstheme="minorHAnsi"/>
            <w:sz w:val="24"/>
            <w:szCs w:val="24"/>
          </w:rPr>
          <m:t>(Ψ)</m:t>
        </m:r>
      </m:oMath>
      <w:r w:rsidRPr="00673F93">
        <w:rPr>
          <w:rFonts w:cstheme="minorHAnsi"/>
          <w:sz w:val="24"/>
          <w:szCs w:val="24"/>
        </w:rPr>
        <w:t xml:space="preserve"> and the probability of informed trading (</w:t>
      </w:r>
      <w:r w:rsidRPr="00673F93">
        <w:rPr>
          <w:rFonts w:cstheme="minorHAnsi"/>
          <w:i/>
          <w:iCs/>
          <w:sz w:val="24"/>
          <w:szCs w:val="24"/>
        </w:rPr>
        <w:t>PIN</w:t>
      </w:r>
      <w:r w:rsidRPr="00673F93">
        <w:rPr>
          <w:rFonts w:cstheme="minorHAnsi"/>
          <w:sz w:val="24"/>
          <w:szCs w:val="24"/>
        </w:rPr>
        <w:t>):</w:t>
      </w:r>
      <w:r w:rsidR="006D1426" w:rsidRPr="006D1426">
        <w:rPr>
          <w:rFonts w:cstheme="minorHAnsi"/>
          <w:sz w:val="24"/>
          <w:szCs w:val="24"/>
          <w:vertAlign w:val="superscript"/>
        </w:rPr>
        <w:t>22</w:t>
      </w:r>
    </w:p>
    <w:p w14:paraId="2513E2CE" w14:textId="1887AB14" w:rsidR="00673F93" w:rsidRPr="00673F93" w:rsidRDefault="005A3923" w:rsidP="00673F93">
      <w:pPr>
        <w:rPr>
          <w:rFonts w:cstheme="minorHAnsi"/>
          <w:sz w:val="24"/>
          <w:szCs w:val="24"/>
        </w:rPr>
      </w:pPr>
      <w:r>
        <w:rPr>
          <w:rFonts w:cstheme="minorHAnsi"/>
          <w:sz w:val="24"/>
          <w:szCs w:val="24"/>
        </w:rPr>
        <w:t>(</w:t>
      </w:r>
      <w:r w:rsidR="00673F93" w:rsidRPr="00673F93">
        <w:rPr>
          <w:rFonts w:cstheme="minorHAnsi"/>
          <w:sz w:val="24"/>
          <w:szCs w:val="24"/>
        </w:rPr>
        <w:t>4</w:t>
      </w:r>
      <w:r>
        <w:rPr>
          <w:rFonts w:cstheme="minorHAnsi"/>
          <w:sz w:val="24"/>
          <w:szCs w:val="24"/>
        </w:rPr>
        <w:t xml:space="preserve">) </w:t>
      </w:r>
      <m:oMath>
        <m:m>
          <m:mPr>
            <m:mcs>
              <m:mc>
                <m:mcPr>
                  <m:count m:val="1"/>
                  <m:mcJc m:val="center"/>
                </m:mcPr>
              </m:mc>
            </m:mcs>
            <m:ctrlPr>
              <w:rPr>
                <w:rFonts w:ascii="Cambria Math" w:hAnsi="Cambria Math" w:cstheme="minorHAnsi"/>
                <w:i/>
                <w:sz w:val="24"/>
                <w:szCs w:val="24"/>
              </w:rPr>
            </m:ctrlPr>
          </m:mPr>
          <m:mr>
            <m:e>
              <m:r>
                <m:rPr>
                  <m:sty m:val="p"/>
                </m:rPr>
                <w:rPr>
                  <w:rFonts w:ascii="Cambria Math" w:hAnsi="Cambria Math" w:cstheme="minorHAnsi"/>
                  <w:sz w:val="24"/>
                  <w:szCs w:val="24"/>
                </w:rPr>
                <m:t>Ψ</m:t>
              </m:r>
              <m:sSub>
                <m:sSubPr>
                  <m:ctrlPr>
                    <w:rPr>
                      <w:rFonts w:ascii="Cambria Math" w:hAnsi="Cambria Math" w:cstheme="minorHAnsi"/>
                      <w:i/>
                      <w:sz w:val="24"/>
                      <w:szCs w:val="24"/>
                    </w:rPr>
                  </m:ctrlPr>
                </m:sSubPr>
                <m:e>
                  <m:r>
                    <w:rPr>
                      <w:rFonts w:ascii="Cambria Math" w:hAnsi="Cambria Math" w:cstheme="minorHAnsi"/>
                      <w:sz w:val="24"/>
                      <w:szCs w:val="24"/>
                    </w:rPr>
                    <m:t>(</m:t>
                  </m:r>
                  <m:r>
                    <m:rPr>
                      <m:sty m:val="p"/>
                    </m:rPr>
                    <w:rPr>
                      <w:rFonts w:ascii="Cambria Math" w:hAnsi="Cambria Math" w:cstheme="minorHAnsi"/>
                      <w:sz w:val="24"/>
                      <w:szCs w:val="24"/>
                    </w:rPr>
                    <m:t>or PIN</m:t>
                  </m:r>
                  <m:r>
                    <w:rPr>
                      <w:rFonts w:ascii="Cambria Math" w:hAnsi="Cambria Math" w:cstheme="minorHAnsi"/>
                      <w:sz w:val="24"/>
                      <w:szCs w:val="24"/>
                    </w:rPr>
                    <m:t>)</m:t>
                  </m:r>
                </m:e>
                <m:sub>
                  <m:r>
                    <w:rPr>
                      <w:rFonts w:ascii="Cambria Math" w:hAnsi="Cambria Math" w:cstheme="minorHAnsi"/>
                      <w:sz w:val="24"/>
                      <w:szCs w:val="24"/>
                    </w:rPr>
                    <m:t>i,t</m:t>
                  </m:r>
                </m:sub>
              </m:sSub>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
            </m:e>
          </m:mr>
        </m:m>
        <m:m>
          <m:mPr>
            <m:cGp m:val="8"/>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sSub>
                <m:sSubPr>
                  <m:ctrlPr>
                    <w:rPr>
                      <w:rFonts w:ascii="Cambria Math" w:hAnsi="Cambria Math" w:cstheme="minorHAnsi"/>
                      <w:i/>
                      <w:sz w:val="24"/>
                      <w:szCs w:val="24"/>
                    </w:rPr>
                  </m:ctrlPr>
                </m:sSubPr>
                <m:e>
                  <m:r>
                    <w:rPr>
                      <w:rFonts w:ascii="Cambria Math" w:hAnsi="Cambria Math" w:cstheme="minorHAnsi"/>
                      <w:sz w:val="24"/>
                      <w:szCs w:val="24"/>
                    </w:rPr>
                    <m:t>CSR</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sSub>
                <m:sSubPr>
                  <m:ctrlPr>
                    <w:rPr>
                      <w:rFonts w:ascii="Cambria Math" w:hAnsi="Cambria Math" w:cstheme="minorHAnsi"/>
                      <w:i/>
                      <w:sz w:val="24"/>
                      <w:szCs w:val="24"/>
                    </w:rPr>
                  </m:ctrlPr>
                </m:sSubPr>
                <m:e>
                  <m:r>
                    <w:rPr>
                      <w:rFonts w:ascii="Cambria Math" w:hAnsi="Cambria Math" w:cstheme="minorHAnsi"/>
                      <w:sz w:val="24"/>
                      <w:szCs w:val="24"/>
                    </w:rPr>
                    <m:t>SIZE</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3</m:t>
                  </m:r>
                </m:sub>
              </m:sSub>
              <m:sSub>
                <m:sSubPr>
                  <m:ctrlPr>
                    <w:rPr>
                      <w:rFonts w:ascii="Cambria Math" w:hAnsi="Cambria Math" w:cstheme="minorHAnsi"/>
                      <w:i/>
                      <w:sz w:val="24"/>
                      <w:szCs w:val="24"/>
                    </w:rPr>
                  </m:ctrlPr>
                </m:sSubPr>
                <m:e>
                  <m:r>
                    <w:rPr>
                      <w:rFonts w:ascii="Cambria Math" w:hAnsi="Cambria Math" w:cstheme="minorHAnsi"/>
                      <w:sz w:val="24"/>
                      <w:szCs w:val="24"/>
                    </w:rPr>
                    <m:t>MB</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4</m:t>
                  </m:r>
                </m:sub>
              </m:sSub>
              <m:sSub>
                <m:sSubPr>
                  <m:ctrlPr>
                    <w:rPr>
                      <w:rFonts w:ascii="Cambria Math" w:hAnsi="Cambria Math" w:cstheme="minorHAnsi"/>
                      <w:i/>
                      <w:sz w:val="24"/>
                      <w:szCs w:val="24"/>
                    </w:rPr>
                  </m:ctrlPr>
                </m:sSubPr>
                <m:e>
                  <m:r>
                    <w:rPr>
                      <w:rFonts w:ascii="Cambria Math" w:hAnsi="Cambria Math" w:cstheme="minorHAnsi"/>
                      <w:sz w:val="24"/>
                      <w:szCs w:val="24"/>
                    </w:rPr>
                    <m:t>ROE</m:t>
                  </m:r>
                </m:e>
                <m:sub>
                  <m:r>
                    <w:rPr>
                      <w:rFonts w:ascii="Cambria Math" w:hAnsi="Cambria Math" w:cstheme="minorHAnsi"/>
                      <w:sz w:val="24"/>
                      <w:szCs w:val="24"/>
                    </w:rPr>
                    <m:t>i,t‐1</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5</m:t>
                  </m:r>
                </m:sub>
              </m:sSub>
              <m:sSub>
                <m:sSubPr>
                  <m:ctrlPr>
                    <w:rPr>
                      <w:rFonts w:ascii="Cambria Math" w:hAnsi="Cambria Math" w:cstheme="minorHAnsi"/>
                      <w:i/>
                      <w:sz w:val="24"/>
                      <w:szCs w:val="24"/>
                    </w:rPr>
                  </m:ctrlPr>
                </m:sSubPr>
                <m:e>
                  <m:r>
                    <w:rPr>
                      <w:rFonts w:ascii="Cambria Math" w:hAnsi="Cambria Math" w:cstheme="minorHAnsi"/>
                      <w:sz w:val="24"/>
                      <w:szCs w:val="24"/>
                    </w:rPr>
                    <m:t>VROE</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6</m:t>
                  </m:r>
                </m:sub>
              </m:sSub>
              <m:sSub>
                <m:sSubPr>
                  <m:ctrlPr>
                    <w:rPr>
                      <w:rFonts w:ascii="Cambria Math" w:hAnsi="Cambria Math" w:cstheme="minorHAnsi"/>
                      <w:i/>
                      <w:sz w:val="24"/>
                      <w:szCs w:val="24"/>
                    </w:rPr>
                  </m:ctrlPr>
                </m:sSubPr>
                <m:e>
                  <m:r>
                    <w:rPr>
                      <w:rFonts w:ascii="Cambria Math" w:hAnsi="Cambria Math" w:cstheme="minorHAnsi"/>
                      <w:sz w:val="24"/>
                      <w:szCs w:val="24"/>
                    </w:rPr>
                    <m:t>LEV</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7</m:t>
                  </m:r>
                </m:sub>
              </m:sSub>
              <m:sSub>
                <m:sSubPr>
                  <m:ctrlPr>
                    <w:rPr>
                      <w:rFonts w:ascii="Cambria Math" w:hAnsi="Cambria Math" w:cstheme="minorHAnsi"/>
                      <w:i/>
                      <w:sz w:val="24"/>
                      <w:szCs w:val="24"/>
                    </w:rPr>
                  </m:ctrlPr>
                </m:sSubPr>
                <m:e>
                  <m:r>
                    <w:rPr>
                      <w:rFonts w:ascii="Cambria Math" w:hAnsi="Cambria Math" w:cstheme="minorHAnsi"/>
                      <w:sz w:val="24"/>
                      <w:szCs w:val="24"/>
                    </w:rPr>
                    <m:t>AGE</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8</m:t>
                  </m:r>
                </m:sub>
              </m:sSub>
              <m:sSub>
                <m:sSubPr>
                  <m:ctrlPr>
                    <w:rPr>
                      <w:rFonts w:ascii="Cambria Math" w:hAnsi="Cambria Math" w:cstheme="minorHAnsi"/>
                      <w:i/>
                      <w:sz w:val="24"/>
                      <w:szCs w:val="24"/>
                    </w:rPr>
                  </m:ctrlPr>
                </m:sSubPr>
                <m:e>
                  <m:r>
                    <w:rPr>
                      <w:rFonts w:ascii="Cambria Math" w:hAnsi="Cambria Math" w:cstheme="minorHAnsi"/>
                      <w:sz w:val="24"/>
                      <w:szCs w:val="24"/>
                    </w:rPr>
                    <m:t>DIV</m:t>
                  </m:r>
                </m:e>
                <m:sub>
                  <m:r>
                    <w:rPr>
                      <w:rFonts w:ascii="Cambria Math" w:hAnsi="Cambria Math" w:cstheme="minorHAnsi"/>
                      <w:sz w:val="24"/>
                      <w:szCs w:val="24"/>
                    </w:rPr>
                    <m:t>i,t‐1</m:t>
                  </m:r>
                </m:sub>
              </m:sSub>
            </m:e>
          </m:mr>
          <m:mr>
            <m:e>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9</m:t>
                        </m:r>
                      </m:sub>
                    </m:sSub>
                    <m:sSub>
                      <m:sSubPr>
                        <m:ctrlPr>
                          <w:rPr>
                            <w:rFonts w:ascii="Cambria Math" w:hAnsi="Cambria Math" w:cstheme="minorHAnsi"/>
                            <w:i/>
                            <w:sz w:val="24"/>
                            <w:szCs w:val="24"/>
                          </w:rPr>
                        </m:ctrlPr>
                      </m:sSubPr>
                      <m:e>
                        <m:r>
                          <w:rPr>
                            <w:rFonts w:ascii="Cambria Math" w:hAnsi="Cambria Math" w:cstheme="minorHAnsi"/>
                            <w:sz w:val="24"/>
                            <w:szCs w:val="24"/>
                          </w:rPr>
                          <m:t>DIVER</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10</m:t>
                        </m:r>
                      </m:sub>
                    </m:sSub>
                    <m:sSub>
                      <m:sSubPr>
                        <m:ctrlPr>
                          <w:rPr>
                            <w:rFonts w:ascii="Cambria Math" w:hAnsi="Cambria Math" w:cstheme="minorHAnsi"/>
                            <w:i/>
                            <w:sz w:val="24"/>
                            <w:szCs w:val="24"/>
                          </w:rPr>
                        </m:ctrlPr>
                      </m:sSubPr>
                      <m:e>
                        <m:r>
                          <w:rPr>
                            <w:rFonts w:ascii="Cambria Math" w:hAnsi="Cambria Math" w:cstheme="minorHAnsi"/>
                            <w:sz w:val="24"/>
                            <w:szCs w:val="24"/>
                          </w:rPr>
                          <m:t>ANALYSTS</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11</m:t>
                        </m:r>
                      </m:sub>
                    </m:sSub>
                    <m:sSub>
                      <m:sSubPr>
                        <m:ctrlPr>
                          <w:rPr>
                            <w:rFonts w:ascii="Cambria Math" w:hAnsi="Cambria Math" w:cstheme="minorHAnsi"/>
                            <w:i/>
                            <w:sz w:val="24"/>
                            <w:szCs w:val="24"/>
                          </w:rPr>
                        </m:ctrlPr>
                      </m:sSubPr>
                      <m:e>
                        <m:r>
                          <w:rPr>
                            <w:rFonts w:ascii="Cambria Math" w:hAnsi="Cambria Math" w:cstheme="minorHAnsi"/>
                            <w:sz w:val="24"/>
                            <w:szCs w:val="24"/>
                          </w:rPr>
                          <m:t>BETA</m:t>
                        </m:r>
                      </m:e>
                      <m:sub>
                        <m:r>
                          <w:rPr>
                            <w:rFonts w:ascii="Cambria Math" w:hAnsi="Cambria Math" w:cstheme="minorHAnsi"/>
                            <w:sz w:val="24"/>
                            <w:szCs w:val="24"/>
                          </w:rPr>
                          <m:t>i,t‐1</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12</m:t>
                        </m:r>
                      </m:sub>
                    </m:sSub>
                    <m:sSub>
                      <m:sSubPr>
                        <m:ctrlPr>
                          <w:rPr>
                            <w:rFonts w:ascii="Cambria Math" w:hAnsi="Cambria Math" w:cstheme="minorHAnsi"/>
                            <w:i/>
                            <w:sz w:val="24"/>
                            <w:szCs w:val="24"/>
                          </w:rPr>
                        </m:ctrlPr>
                      </m:sSubPr>
                      <m:e>
                        <m:r>
                          <w:rPr>
                            <w:rFonts w:ascii="Cambria Math" w:hAnsi="Cambria Math" w:cstheme="minorHAnsi"/>
                            <w:sz w:val="24"/>
                            <w:szCs w:val="24"/>
                          </w:rPr>
                          <m:t>EQ</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13</m:t>
                        </m:r>
                      </m:sub>
                    </m:sSub>
                    <m:sSub>
                      <m:sSubPr>
                        <m:ctrlPr>
                          <w:rPr>
                            <w:rFonts w:ascii="Cambria Math" w:hAnsi="Cambria Math" w:cstheme="minorHAnsi"/>
                            <w:i/>
                            <w:sz w:val="24"/>
                            <w:szCs w:val="24"/>
                          </w:rPr>
                        </m:ctrlPr>
                      </m:sSubPr>
                      <m:e>
                        <m:r>
                          <w:rPr>
                            <w:rFonts w:ascii="Cambria Math" w:hAnsi="Cambria Math" w:cstheme="minorHAnsi"/>
                            <w:sz w:val="24"/>
                            <w:szCs w:val="24"/>
                          </w:rPr>
                          <m:t>INSTRADE</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14</m:t>
                        </m:r>
                      </m:sub>
                    </m:sSub>
                    <m:sSub>
                      <m:sSubPr>
                        <m:ctrlPr>
                          <w:rPr>
                            <w:rFonts w:ascii="Cambria Math" w:hAnsi="Cambria Math" w:cstheme="minorHAnsi"/>
                            <w:i/>
                            <w:sz w:val="24"/>
                            <w:szCs w:val="24"/>
                          </w:rPr>
                        </m:ctrlPr>
                      </m:sSubPr>
                      <m:e>
                        <m:r>
                          <w:rPr>
                            <w:rFonts w:ascii="Cambria Math" w:hAnsi="Cambria Math" w:cstheme="minorHAnsi"/>
                            <w:sz w:val="24"/>
                            <w:szCs w:val="24"/>
                          </w:rPr>
                          <m:t>CGSCORE</m:t>
                        </m:r>
                      </m:e>
                      <m:sub>
                        <m:r>
                          <w:rPr>
                            <w:rFonts w:ascii="Cambria Math" w:hAnsi="Cambria Math" w:cstheme="minorHAnsi"/>
                            <w:sz w:val="24"/>
                            <w:szCs w:val="24"/>
                          </w:rPr>
                          <m:t>i,t‐1</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15</m:t>
                        </m:r>
                      </m:sub>
                    </m:sSub>
                    <m:sSub>
                      <m:sSubPr>
                        <m:ctrlPr>
                          <w:rPr>
                            <w:rFonts w:ascii="Cambria Math" w:hAnsi="Cambria Math" w:cstheme="minorHAnsi"/>
                            <w:i/>
                            <w:sz w:val="24"/>
                            <w:szCs w:val="24"/>
                          </w:rPr>
                        </m:ctrlPr>
                      </m:sSubPr>
                      <m:e>
                        <m:r>
                          <w:rPr>
                            <w:rFonts w:ascii="Cambria Math" w:hAnsi="Cambria Math" w:cstheme="minorHAnsi"/>
                            <w:sz w:val="24"/>
                            <w:szCs w:val="24"/>
                          </w:rPr>
                          <m:t>INSTNUM</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16</m:t>
                        </m:r>
                      </m:sub>
                    </m:sSub>
                    <m:sSub>
                      <m:sSubPr>
                        <m:ctrlPr>
                          <w:rPr>
                            <w:rFonts w:ascii="Cambria Math" w:hAnsi="Cambria Math" w:cstheme="minorHAnsi"/>
                            <w:i/>
                            <w:sz w:val="24"/>
                            <w:szCs w:val="24"/>
                          </w:rPr>
                        </m:ctrlPr>
                      </m:sSubPr>
                      <m:e>
                        <m:r>
                          <w:rPr>
                            <w:rFonts w:ascii="Cambria Math" w:hAnsi="Cambria Math" w:cstheme="minorHAnsi"/>
                            <w:sz w:val="24"/>
                            <w:szCs w:val="24"/>
                          </w:rPr>
                          <m:t>FREQ</m:t>
                        </m:r>
                      </m:e>
                      <m:sub>
                        <m:r>
                          <w:rPr>
                            <w:rFonts w:ascii="Cambria Math" w:hAnsi="Cambria Math" w:cstheme="minorHAnsi"/>
                            <w:sz w:val="24"/>
                            <w:szCs w:val="24"/>
                          </w:rPr>
                          <m:t>i,t‐1</m:t>
                        </m:r>
                      </m:sub>
                    </m:sSub>
                    <m:r>
                      <w:rPr>
                        <w:rFonts w:ascii="Cambria Math" w:hAnsi="Cambria Math" w:cstheme="minorHAnsi"/>
                        <w:sz w:val="24"/>
                        <w:szCs w:val="24"/>
                      </w:rPr>
                      <m:t>+</m:t>
                    </m:r>
                    <w:bookmarkStart w:id="4" w:name="_Hlk110589991"/>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t</m:t>
                        </m:r>
                      </m:sub>
                    </m:sSub>
                    <w:bookmarkEnd w:id="4"/>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ε</m:t>
                        </m:r>
                      </m:e>
                      <m:sub>
                        <m:r>
                          <w:rPr>
                            <w:rFonts w:ascii="Cambria Math" w:hAnsi="Cambria Math" w:cstheme="minorHAnsi"/>
                            <w:sz w:val="24"/>
                            <w:szCs w:val="24"/>
                          </w:rPr>
                          <m:t>i,t</m:t>
                        </m:r>
                      </m:sub>
                    </m:sSub>
                  </m:e>
                </m:mr>
              </m:m>
            </m:e>
          </m:mr>
        </m:m>
      </m:oMath>
    </w:p>
    <w:p w14:paraId="06F0B05D" w14:textId="228437FF" w:rsidR="00673F93" w:rsidRPr="00673F93" w:rsidRDefault="00673F93" w:rsidP="00673F93">
      <w:pPr>
        <w:rPr>
          <w:rFonts w:cstheme="minorHAnsi"/>
          <w:sz w:val="24"/>
          <w:szCs w:val="24"/>
        </w:rPr>
      </w:pPr>
      <w:r w:rsidRPr="00673F93">
        <w:rPr>
          <w:rFonts w:cstheme="minorHAnsi"/>
          <w:sz w:val="24"/>
          <w:szCs w:val="24"/>
        </w:rPr>
        <w:t>where </w:t>
      </w:r>
      <m:oMath>
        <m:r>
          <w:rPr>
            <w:rFonts w:ascii="Cambria Math" w:hAnsi="Cambria Math" w:cstheme="minorHAnsi"/>
            <w:sz w:val="24"/>
            <w:szCs w:val="24"/>
          </w:rPr>
          <m:t>i</m:t>
        </m:r>
      </m:oMath>
      <w:r w:rsidR="005A3923">
        <w:rPr>
          <w:rFonts w:cstheme="minorHAnsi"/>
          <w:i/>
          <w:iCs/>
          <w:sz w:val="24"/>
          <w:szCs w:val="24"/>
        </w:rPr>
        <w:t xml:space="preserve"> </w:t>
      </w:r>
      <w:r w:rsidR="005A3923" w:rsidRPr="00673F93">
        <w:rPr>
          <w:rFonts w:cstheme="minorHAnsi"/>
          <w:sz w:val="24"/>
          <w:szCs w:val="24"/>
        </w:rPr>
        <w:t>indexes</w:t>
      </w:r>
      <w:r w:rsidRPr="00673F93">
        <w:rPr>
          <w:rFonts w:cstheme="minorHAnsi"/>
          <w:sz w:val="24"/>
          <w:szCs w:val="24"/>
        </w:rPr>
        <w:t xml:space="preserve"> the firm and </w:t>
      </w:r>
      <m:oMath>
        <m:r>
          <w:rPr>
            <w:rFonts w:ascii="Cambria Math" w:hAnsi="Cambria Math" w:cstheme="minorHAnsi"/>
            <w:sz w:val="24"/>
            <w:szCs w:val="24"/>
          </w:rPr>
          <m:t>t</m:t>
        </m:r>
      </m:oMath>
      <w:r w:rsidR="005A3923">
        <w:rPr>
          <w:rFonts w:cstheme="minorHAnsi"/>
          <w:i/>
          <w:iCs/>
          <w:sz w:val="24"/>
          <w:szCs w:val="24"/>
        </w:rPr>
        <w:t xml:space="preserve"> </w:t>
      </w:r>
      <w:r w:rsidR="005A3923" w:rsidRPr="00673F93">
        <w:rPr>
          <w:rFonts w:cstheme="minorHAnsi"/>
          <w:sz w:val="24"/>
          <w:szCs w:val="24"/>
        </w:rPr>
        <w:t>indexes</w:t>
      </w:r>
      <w:r w:rsidRPr="00673F93">
        <w:rPr>
          <w:rFonts w:cstheme="minorHAnsi"/>
          <w:sz w:val="24"/>
          <w:szCs w:val="24"/>
        </w:rPr>
        <w:t xml:space="preserve"> the year. Year and firm fixed effects are denoted by </w:t>
      </w:r>
      <m:oMath>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t</m:t>
            </m:r>
          </m:sub>
        </m:sSub>
      </m:oMath>
      <w:r w:rsidRPr="00673F93">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i</m:t>
            </m:r>
          </m:sub>
        </m:sSub>
      </m:oMath>
      <w:r w:rsidRPr="00673F93">
        <w:rPr>
          <w:rFonts w:cstheme="minorHAnsi"/>
          <w:sz w:val="24"/>
          <w:szCs w:val="24"/>
        </w:rPr>
        <w:t>, respectively.</w:t>
      </w:r>
    </w:p>
    <w:p w14:paraId="5AAA83C0" w14:textId="465DDABF" w:rsidR="00673F93" w:rsidRPr="00673F93" w:rsidRDefault="00673F93" w:rsidP="00673F93">
      <w:pPr>
        <w:rPr>
          <w:rFonts w:cstheme="minorHAnsi"/>
          <w:sz w:val="24"/>
          <w:szCs w:val="24"/>
        </w:rPr>
      </w:pPr>
      <w:r w:rsidRPr="00673F93">
        <w:rPr>
          <w:rFonts w:cstheme="minorHAnsi"/>
          <w:sz w:val="24"/>
          <w:szCs w:val="24"/>
        </w:rPr>
        <w:t>To mitigate concerns of omitted variable bias, we control for an exhaustive set of covariates that can potentially affect stock price informativeness as suggested in the literature (Gelb and Strawser, 2001; Piotroski and Roulstone, 2004; Jin and Myers, 2006; Ferreira and Laux, 2007; Fernandes and Ferreira, 2009; Gul </w:t>
      </w:r>
      <w:r w:rsidR="005A3923">
        <w:rPr>
          <w:rFonts w:cstheme="minorHAnsi"/>
          <w:i/>
          <w:iCs/>
          <w:sz w:val="24"/>
          <w:szCs w:val="24"/>
        </w:rPr>
        <w:t xml:space="preserve">et al., </w:t>
      </w:r>
      <w:r w:rsidRPr="00673F93">
        <w:rPr>
          <w:rFonts w:cstheme="minorHAnsi"/>
          <w:sz w:val="24"/>
          <w:szCs w:val="24"/>
        </w:rPr>
        <w:t>2011; Li </w:t>
      </w:r>
      <w:r w:rsidR="005A3923">
        <w:rPr>
          <w:rFonts w:cstheme="minorHAnsi"/>
          <w:i/>
          <w:iCs/>
          <w:sz w:val="24"/>
          <w:szCs w:val="24"/>
        </w:rPr>
        <w:t xml:space="preserve">et al., </w:t>
      </w:r>
      <w:r w:rsidRPr="00673F93">
        <w:rPr>
          <w:rFonts w:cstheme="minorHAnsi"/>
          <w:sz w:val="24"/>
          <w:szCs w:val="24"/>
        </w:rPr>
        <w:t>2014). These control variables include market capitalisation (</w:t>
      </w:r>
      <w:r w:rsidRPr="00673F93">
        <w:rPr>
          <w:rFonts w:cstheme="minorHAnsi"/>
          <w:i/>
          <w:iCs/>
          <w:sz w:val="24"/>
          <w:szCs w:val="24"/>
        </w:rPr>
        <w:t>SIZE</w:t>
      </w:r>
      <w:r w:rsidRPr="00673F93">
        <w:rPr>
          <w:rFonts w:cstheme="minorHAnsi"/>
          <w:sz w:val="24"/>
          <w:szCs w:val="24"/>
        </w:rPr>
        <w:t>), market‐to‐book ratio (</w:t>
      </w:r>
      <w:r w:rsidRPr="00673F93">
        <w:rPr>
          <w:rFonts w:cstheme="minorHAnsi"/>
          <w:i/>
          <w:iCs/>
          <w:sz w:val="24"/>
          <w:szCs w:val="24"/>
        </w:rPr>
        <w:t>MB</w:t>
      </w:r>
      <w:r w:rsidRPr="00673F93">
        <w:rPr>
          <w:rFonts w:cstheme="minorHAnsi"/>
          <w:sz w:val="24"/>
          <w:szCs w:val="24"/>
        </w:rPr>
        <w:t>), return on equity (</w:t>
      </w:r>
      <w:r w:rsidRPr="00673F93">
        <w:rPr>
          <w:rFonts w:cstheme="minorHAnsi"/>
          <w:i/>
          <w:iCs/>
          <w:sz w:val="24"/>
          <w:szCs w:val="24"/>
        </w:rPr>
        <w:t>ROE</w:t>
      </w:r>
      <w:r w:rsidRPr="00673F93">
        <w:rPr>
          <w:rFonts w:cstheme="minorHAnsi"/>
          <w:sz w:val="24"/>
          <w:szCs w:val="24"/>
        </w:rPr>
        <w:t>), volatility of return on equity (</w:t>
      </w:r>
      <w:r w:rsidRPr="00673F93">
        <w:rPr>
          <w:rFonts w:cstheme="minorHAnsi"/>
          <w:i/>
          <w:iCs/>
          <w:sz w:val="24"/>
          <w:szCs w:val="24"/>
        </w:rPr>
        <w:t>VROE</w:t>
      </w:r>
      <w:r w:rsidRPr="00673F93">
        <w:rPr>
          <w:rFonts w:cstheme="minorHAnsi"/>
          <w:sz w:val="24"/>
          <w:szCs w:val="24"/>
        </w:rPr>
        <w:t>), book leverage (</w:t>
      </w:r>
      <w:r w:rsidRPr="00673F93">
        <w:rPr>
          <w:rFonts w:cstheme="minorHAnsi"/>
          <w:i/>
          <w:iCs/>
          <w:sz w:val="24"/>
          <w:szCs w:val="24"/>
        </w:rPr>
        <w:t>LEV</w:t>
      </w:r>
      <w:r w:rsidRPr="00673F93">
        <w:rPr>
          <w:rFonts w:cstheme="minorHAnsi"/>
          <w:sz w:val="24"/>
          <w:szCs w:val="24"/>
        </w:rPr>
        <w:t>), firm age (</w:t>
      </w:r>
      <w:r w:rsidRPr="00673F93">
        <w:rPr>
          <w:rFonts w:cstheme="minorHAnsi"/>
          <w:i/>
          <w:iCs/>
          <w:sz w:val="24"/>
          <w:szCs w:val="24"/>
        </w:rPr>
        <w:t>AGE</w:t>
      </w:r>
      <w:r w:rsidRPr="00673F93">
        <w:rPr>
          <w:rFonts w:cstheme="minorHAnsi"/>
          <w:sz w:val="24"/>
          <w:szCs w:val="24"/>
        </w:rPr>
        <w:t>), issuance of dividends (</w:t>
      </w:r>
      <w:r w:rsidRPr="00673F93">
        <w:rPr>
          <w:rFonts w:cstheme="minorHAnsi"/>
          <w:i/>
          <w:iCs/>
          <w:sz w:val="24"/>
          <w:szCs w:val="24"/>
        </w:rPr>
        <w:t>DIV</w:t>
      </w:r>
      <w:r w:rsidRPr="00673F93">
        <w:rPr>
          <w:rFonts w:cstheme="minorHAnsi"/>
          <w:sz w:val="24"/>
          <w:szCs w:val="24"/>
        </w:rPr>
        <w:t>), corporate diversification in the form of multiple operating segments (</w:t>
      </w:r>
      <w:r w:rsidRPr="00673F93">
        <w:rPr>
          <w:rFonts w:cstheme="minorHAnsi"/>
          <w:i/>
          <w:iCs/>
          <w:sz w:val="24"/>
          <w:szCs w:val="24"/>
        </w:rPr>
        <w:t>DIVER</w:t>
      </w:r>
      <w:r w:rsidRPr="00673F93">
        <w:rPr>
          <w:rFonts w:cstheme="minorHAnsi"/>
          <w:sz w:val="24"/>
          <w:szCs w:val="24"/>
        </w:rPr>
        <w:t>), analyst coverage (</w:t>
      </w:r>
      <w:r w:rsidRPr="00673F93">
        <w:rPr>
          <w:rFonts w:cstheme="minorHAnsi"/>
          <w:i/>
          <w:iCs/>
          <w:sz w:val="24"/>
          <w:szCs w:val="24"/>
        </w:rPr>
        <w:t>ANALYSTS</w:t>
      </w:r>
      <w:r w:rsidRPr="00673F93">
        <w:rPr>
          <w:rFonts w:cstheme="minorHAnsi"/>
          <w:sz w:val="24"/>
          <w:szCs w:val="24"/>
        </w:rPr>
        <w:t>), firm beta (</w:t>
      </w:r>
      <w:r w:rsidRPr="00673F93">
        <w:rPr>
          <w:rFonts w:cstheme="minorHAnsi"/>
          <w:i/>
          <w:iCs/>
          <w:sz w:val="24"/>
          <w:szCs w:val="24"/>
        </w:rPr>
        <w:t>BETA</w:t>
      </w:r>
      <w:r w:rsidRPr="00673F93">
        <w:rPr>
          <w:rFonts w:cstheme="minorHAnsi"/>
          <w:sz w:val="24"/>
          <w:szCs w:val="24"/>
        </w:rPr>
        <w:t>), earnings quality (</w:t>
      </w:r>
      <w:r w:rsidRPr="00673F93">
        <w:rPr>
          <w:rFonts w:cstheme="minorHAnsi"/>
          <w:i/>
          <w:iCs/>
          <w:sz w:val="24"/>
          <w:szCs w:val="24"/>
        </w:rPr>
        <w:t>EQ</w:t>
      </w:r>
      <w:r w:rsidRPr="00673F93">
        <w:rPr>
          <w:rFonts w:cstheme="minorHAnsi"/>
          <w:sz w:val="24"/>
          <w:szCs w:val="24"/>
        </w:rPr>
        <w:t>), insider trading (</w:t>
      </w:r>
      <w:r w:rsidRPr="00673F93">
        <w:rPr>
          <w:rFonts w:cstheme="minorHAnsi"/>
          <w:i/>
          <w:iCs/>
          <w:sz w:val="24"/>
          <w:szCs w:val="24"/>
        </w:rPr>
        <w:t>INSTRADE</w:t>
      </w:r>
      <w:r w:rsidRPr="00673F93">
        <w:rPr>
          <w:rFonts w:cstheme="minorHAnsi"/>
          <w:sz w:val="24"/>
          <w:szCs w:val="24"/>
        </w:rPr>
        <w:t>), corporate governance (</w:t>
      </w:r>
      <w:r w:rsidRPr="00673F93">
        <w:rPr>
          <w:rFonts w:cstheme="minorHAnsi"/>
          <w:i/>
          <w:iCs/>
          <w:sz w:val="24"/>
          <w:szCs w:val="24"/>
        </w:rPr>
        <w:t>CGSCORE</w:t>
      </w:r>
      <w:r w:rsidRPr="00673F93">
        <w:rPr>
          <w:rFonts w:cstheme="minorHAnsi"/>
          <w:sz w:val="24"/>
          <w:szCs w:val="24"/>
        </w:rPr>
        <w:t>), number of institutional investors (</w:t>
      </w:r>
      <w:r w:rsidRPr="00673F93">
        <w:rPr>
          <w:rFonts w:cstheme="minorHAnsi"/>
          <w:i/>
          <w:iCs/>
          <w:sz w:val="24"/>
          <w:szCs w:val="24"/>
        </w:rPr>
        <w:t>INSTNUM</w:t>
      </w:r>
      <w:r w:rsidRPr="00673F93">
        <w:rPr>
          <w:rFonts w:cstheme="minorHAnsi"/>
          <w:sz w:val="24"/>
          <w:szCs w:val="24"/>
        </w:rPr>
        <w:t>), and voluntary disclosures measured by the frequency of management forecasts (</w:t>
      </w:r>
      <w:r w:rsidRPr="00673F93">
        <w:rPr>
          <w:rFonts w:cstheme="minorHAnsi"/>
          <w:i/>
          <w:iCs/>
          <w:sz w:val="24"/>
          <w:szCs w:val="24"/>
        </w:rPr>
        <w:t>FREQ</w:t>
      </w:r>
      <w:r w:rsidRPr="00673F93">
        <w:rPr>
          <w:rFonts w:cstheme="minorHAnsi"/>
          <w:sz w:val="24"/>
          <w:szCs w:val="24"/>
        </w:rPr>
        <w:t>).</w:t>
      </w:r>
      <w:r w:rsidR="004D450D" w:rsidRPr="004D450D">
        <w:rPr>
          <w:rFonts w:cstheme="minorHAnsi"/>
          <w:sz w:val="24"/>
          <w:szCs w:val="24"/>
          <w:vertAlign w:val="superscript"/>
        </w:rPr>
        <w:t>23</w:t>
      </w:r>
      <w:r w:rsidRPr="00673F93">
        <w:rPr>
          <w:rFonts w:cstheme="minorHAnsi"/>
          <w:sz w:val="24"/>
          <w:szCs w:val="24"/>
        </w:rPr>
        <w:t xml:space="preserve"> Detailed variable definitions are provided in the Appendix. Year and firm fixed effects are included in the regressions to control for any unobservable macroeconomic shocks or time‐invariant firm characteristics that could simultaneously drive CSR activity and our measures of price informativeness.</w:t>
      </w:r>
    </w:p>
    <w:p w14:paraId="5A8D3DC8" w14:textId="7F2021BD" w:rsidR="00673F93" w:rsidRPr="00673F93" w:rsidRDefault="00673F93" w:rsidP="00673F93">
      <w:pPr>
        <w:rPr>
          <w:rFonts w:cstheme="minorHAnsi"/>
          <w:sz w:val="24"/>
          <w:szCs w:val="24"/>
        </w:rPr>
      </w:pPr>
      <w:r w:rsidRPr="00673F93">
        <w:rPr>
          <w:rFonts w:cstheme="minorHAnsi"/>
          <w:sz w:val="24"/>
          <w:szCs w:val="24"/>
        </w:rPr>
        <w:t>Table 2 presents the baseline regression results on the relation between CSR and price informativeness based on the model specified in Equation (</w:t>
      </w:r>
      <w:hyperlink r:id="rId25" w:anchor="bib4" w:tooltip="4" w:history="1">
        <w:r w:rsidRPr="00673F93">
          <w:rPr>
            <w:rStyle w:val="Hyperlink"/>
            <w:rFonts w:cstheme="minorHAnsi"/>
            <w:sz w:val="24"/>
            <w:szCs w:val="24"/>
          </w:rPr>
          <w:t>4</w:t>
        </w:r>
      </w:hyperlink>
      <w:r w:rsidRPr="00673F93">
        <w:rPr>
          <w:rFonts w:cstheme="minorHAnsi"/>
          <w:sz w:val="24"/>
          <w:szCs w:val="24"/>
        </w:rPr>
        <w:t>). Column (</w:t>
      </w:r>
      <w:hyperlink r:id="rId26" w:anchor="bib1" w:tooltip="1" w:history="1">
        <w:r w:rsidRPr="00673F93">
          <w:rPr>
            <w:rStyle w:val="Hyperlink"/>
            <w:rFonts w:cstheme="minorHAnsi"/>
            <w:sz w:val="24"/>
            <w:szCs w:val="24"/>
          </w:rPr>
          <w:t>1</w:t>
        </w:r>
      </w:hyperlink>
      <w:r w:rsidRPr="00673F93">
        <w:rPr>
          <w:rFonts w:cstheme="minorHAnsi"/>
          <w:sz w:val="24"/>
          <w:szCs w:val="24"/>
        </w:rPr>
        <w:t xml:space="preserve">) reports the results of regressing idiosyncratic volatility </w:t>
      </w:r>
      <m:oMath>
        <m:r>
          <m:rPr>
            <m:sty m:val="p"/>
          </m:rPr>
          <w:rPr>
            <w:rFonts w:ascii="Cambria Math" w:hAnsi="Cambria Math" w:cstheme="minorHAnsi"/>
            <w:sz w:val="24"/>
            <w:szCs w:val="24"/>
          </w:rPr>
          <m:t>(Ψ)</m:t>
        </m:r>
      </m:oMath>
      <w:r w:rsidRPr="00673F93">
        <w:rPr>
          <w:rFonts w:cstheme="minorHAnsi"/>
          <w:sz w:val="24"/>
          <w:szCs w:val="24"/>
        </w:rPr>
        <w:t xml:space="preserve"> on </w:t>
      </w:r>
      <w:r w:rsidRPr="00673F93">
        <w:rPr>
          <w:rFonts w:cstheme="minorHAnsi"/>
          <w:i/>
          <w:iCs/>
          <w:sz w:val="24"/>
          <w:szCs w:val="24"/>
        </w:rPr>
        <w:t>CSR</w:t>
      </w:r>
      <w:r w:rsidR="005A3923">
        <w:rPr>
          <w:rFonts w:cstheme="minorHAnsi"/>
          <w:i/>
          <w:iCs/>
          <w:sz w:val="24"/>
          <w:szCs w:val="24"/>
        </w:rPr>
        <w:t xml:space="preserve"> </w:t>
      </w:r>
      <w:r w:rsidRPr="00673F93">
        <w:rPr>
          <w:rFonts w:cstheme="minorHAnsi"/>
          <w:sz w:val="24"/>
          <w:szCs w:val="24"/>
        </w:rPr>
        <w:t xml:space="preserve">after controlling for year and firm fixed effects. As shown in the column, the </w:t>
      </w:r>
      <w:r w:rsidRPr="00673F93">
        <w:rPr>
          <w:rFonts w:cstheme="minorHAnsi"/>
          <w:sz w:val="24"/>
          <w:szCs w:val="24"/>
        </w:rPr>
        <w:lastRenderedPageBreak/>
        <w:t>estimated coefficient of </w:t>
      </w:r>
      <w:r w:rsidRPr="00673F93">
        <w:rPr>
          <w:rFonts w:cstheme="minorHAnsi"/>
          <w:i/>
          <w:iCs/>
          <w:sz w:val="24"/>
          <w:szCs w:val="24"/>
        </w:rPr>
        <w:t>CSR</w:t>
      </w:r>
      <w:r w:rsidRPr="00673F93">
        <w:rPr>
          <w:rFonts w:cstheme="minorHAnsi"/>
          <w:sz w:val="24"/>
          <w:szCs w:val="24"/>
        </w:rPr>
        <w:t> is positive and statistically significant. Column (</w:t>
      </w:r>
      <w:hyperlink r:id="rId27" w:anchor="bib3" w:tooltip="3" w:history="1">
        <w:r w:rsidRPr="00673F93">
          <w:rPr>
            <w:rStyle w:val="Hyperlink"/>
            <w:rFonts w:cstheme="minorHAnsi"/>
            <w:sz w:val="24"/>
            <w:szCs w:val="24"/>
          </w:rPr>
          <w:t>3</w:t>
        </w:r>
      </w:hyperlink>
      <w:r w:rsidRPr="00673F93">
        <w:rPr>
          <w:rFonts w:cstheme="minorHAnsi"/>
          <w:sz w:val="24"/>
          <w:szCs w:val="24"/>
        </w:rPr>
        <w:t>) provides similar results when regressing the probability of informed trading, </w:t>
      </w:r>
      <w:r w:rsidRPr="00673F93">
        <w:rPr>
          <w:rFonts w:cstheme="minorHAnsi"/>
          <w:i/>
          <w:iCs/>
          <w:sz w:val="24"/>
          <w:szCs w:val="24"/>
        </w:rPr>
        <w:t>PIN</w:t>
      </w:r>
      <w:r w:rsidRPr="00673F93">
        <w:rPr>
          <w:rFonts w:cstheme="minorHAnsi"/>
          <w:sz w:val="24"/>
          <w:szCs w:val="24"/>
        </w:rPr>
        <w:t>, on </w:t>
      </w:r>
      <w:r w:rsidRPr="00673F93">
        <w:rPr>
          <w:rFonts w:cstheme="minorHAnsi"/>
          <w:i/>
          <w:iCs/>
          <w:sz w:val="24"/>
          <w:szCs w:val="24"/>
        </w:rPr>
        <w:t>CSR</w:t>
      </w:r>
      <w:r w:rsidRPr="00673F93">
        <w:rPr>
          <w:rFonts w:cstheme="minorHAnsi"/>
          <w:sz w:val="24"/>
          <w:szCs w:val="24"/>
        </w:rPr>
        <w:t>. The results in both columns provide some preliminary support that greater CSR commitment is associated with more informative stock prices. Columns (</w:t>
      </w:r>
      <w:hyperlink r:id="rId28" w:anchor="bib2" w:tooltip="2" w:history="1">
        <w:r w:rsidRPr="00673F93">
          <w:rPr>
            <w:rStyle w:val="Hyperlink"/>
            <w:rFonts w:cstheme="minorHAnsi"/>
            <w:sz w:val="24"/>
            <w:szCs w:val="24"/>
          </w:rPr>
          <w:t>2</w:t>
        </w:r>
      </w:hyperlink>
      <w:r w:rsidRPr="00673F93">
        <w:rPr>
          <w:rFonts w:cstheme="minorHAnsi"/>
          <w:sz w:val="24"/>
          <w:szCs w:val="24"/>
        </w:rPr>
        <w:t>) and (</w:t>
      </w:r>
      <w:hyperlink r:id="rId29" w:anchor="bib4" w:tooltip="4" w:history="1">
        <w:r w:rsidRPr="00673F93">
          <w:rPr>
            <w:rStyle w:val="Hyperlink"/>
            <w:rFonts w:cstheme="minorHAnsi"/>
            <w:sz w:val="24"/>
            <w:szCs w:val="24"/>
          </w:rPr>
          <w:t>4</w:t>
        </w:r>
      </w:hyperlink>
      <w:r w:rsidRPr="00673F93">
        <w:rPr>
          <w:rFonts w:cstheme="minorHAnsi"/>
          <w:sz w:val="24"/>
          <w:szCs w:val="24"/>
        </w:rPr>
        <w:t>) present the results of the full model with additional controls as in Equation (</w:t>
      </w:r>
      <w:hyperlink r:id="rId30" w:anchor="bib4" w:tooltip="4" w:history="1">
        <w:r w:rsidRPr="00673F93">
          <w:rPr>
            <w:rStyle w:val="Hyperlink"/>
            <w:rFonts w:cstheme="minorHAnsi"/>
            <w:sz w:val="24"/>
            <w:szCs w:val="24"/>
          </w:rPr>
          <w:t>4</w:t>
        </w:r>
      </w:hyperlink>
      <w:r w:rsidRPr="00673F93">
        <w:rPr>
          <w:rFonts w:cstheme="minorHAnsi"/>
          <w:sz w:val="24"/>
          <w:szCs w:val="24"/>
        </w:rPr>
        <w:t>). As column (</w:t>
      </w:r>
      <w:hyperlink r:id="rId31" w:anchor="bib2" w:tooltip="2" w:history="1">
        <w:r w:rsidRPr="00673F93">
          <w:rPr>
            <w:rStyle w:val="Hyperlink"/>
            <w:rFonts w:cstheme="minorHAnsi"/>
            <w:sz w:val="24"/>
            <w:szCs w:val="24"/>
          </w:rPr>
          <w:t>2</w:t>
        </w:r>
      </w:hyperlink>
      <w:r w:rsidRPr="00673F93">
        <w:rPr>
          <w:rFonts w:cstheme="minorHAnsi"/>
          <w:sz w:val="24"/>
          <w:szCs w:val="24"/>
        </w:rPr>
        <w:t>) shows, the coefficient on </w:t>
      </w:r>
      <w:r w:rsidRPr="00673F93">
        <w:rPr>
          <w:rFonts w:cstheme="minorHAnsi"/>
          <w:i/>
          <w:iCs/>
          <w:sz w:val="24"/>
          <w:szCs w:val="24"/>
        </w:rPr>
        <w:t>CSR</w:t>
      </w:r>
      <w:r w:rsidRPr="00673F93">
        <w:rPr>
          <w:rFonts w:cstheme="minorHAnsi"/>
          <w:sz w:val="24"/>
          <w:szCs w:val="24"/>
        </w:rPr>
        <w:t> (coefficient = 0.074, </w:t>
      </w:r>
      <w:r w:rsidRPr="00673F93">
        <w:rPr>
          <w:rFonts w:cstheme="minorHAnsi"/>
          <w:i/>
          <w:iCs/>
          <w:sz w:val="24"/>
          <w:szCs w:val="24"/>
        </w:rPr>
        <w:t>t</w:t>
      </w:r>
      <w:r w:rsidRPr="00673F93">
        <w:rPr>
          <w:rFonts w:cstheme="minorHAnsi"/>
          <w:sz w:val="24"/>
          <w:szCs w:val="24"/>
        </w:rPr>
        <w:t xml:space="preserve">‐statistic = 2.52) remains positive and statistically significant after controlling for the other covariates of </w:t>
      </w:r>
      <m:oMath>
        <m:r>
          <m:rPr>
            <m:sty m:val="p"/>
          </m:rPr>
          <w:rPr>
            <w:rFonts w:ascii="Cambria Math" w:hAnsi="Cambria Math" w:cstheme="minorHAnsi"/>
            <w:sz w:val="24"/>
            <w:szCs w:val="24"/>
          </w:rPr>
          <m:t>Ψ</m:t>
        </m:r>
      </m:oMath>
      <w:r w:rsidRPr="00673F93">
        <w:rPr>
          <w:rFonts w:cstheme="minorHAnsi"/>
          <w:sz w:val="24"/>
          <w:szCs w:val="24"/>
        </w:rPr>
        <w:t xml:space="preserve">. The relation between CSR and </w:t>
      </w:r>
      <m:oMath>
        <m:r>
          <m:rPr>
            <m:sty m:val="p"/>
          </m:rPr>
          <w:rPr>
            <w:rFonts w:ascii="Cambria Math" w:hAnsi="Cambria Math" w:cstheme="minorHAnsi"/>
            <w:sz w:val="24"/>
            <w:szCs w:val="24"/>
          </w:rPr>
          <m:t>Ψ</m:t>
        </m:r>
      </m:oMath>
      <w:r w:rsidRPr="00673F93">
        <w:rPr>
          <w:rFonts w:cstheme="minorHAnsi"/>
          <w:sz w:val="24"/>
          <w:szCs w:val="24"/>
        </w:rPr>
        <w:t xml:space="preserve"> is also economically significant. A one standard deviation increase in </w:t>
      </w:r>
      <w:r w:rsidRPr="00673F93">
        <w:rPr>
          <w:rFonts w:cstheme="minorHAnsi"/>
          <w:i/>
          <w:iCs/>
          <w:sz w:val="24"/>
          <w:szCs w:val="24"/>
        </w:rPr>
        <w:t>CSR</w:t>
      </w:r>
      <w:r w:rsidRPr="00673F93">
        <w:rPr>
          <w:rFonts w:cstheme="minorHAnsi"/>
          <w:sz w:val="24"/>
          <w:szCs w:val="24"/>
        </w:rPr>
        <w:t xml:space="preserve"> is associated with a 3.21 percent standard deviation increase in </w:t>
      </w:r>
      <m:oMath>
        <m:r>
          <m:rPr>
            <m:sty m:val="p"/>
          </m:rPr>
          <w:rPr>
            <w:rFonts w:ascii="Cambria Math" w:hAnsi="Cambria Math" w:cstheme="minorHAnsi"/>
            <w:sz w:val="24"/>
            <w:szCs w:val="24"/>
          </w:rPr>
          <m:t>Ψ</m:t>
        </m:r>
      </m:oMath>
      <w:r w:rsidRPr="00673F93">
        <w:rPr>
          <w:rFonts w:cstheme="minorHAnsi"/>
          <w:sz w:val="24"/>
          <w:szCs w:val="24"/>
        </w:rPr>
        <w:t>.</w:t>
      </w:r>
      <w:r w:rsidR="00830525" w:rsidRPr="00830525">
        <w:rPr>
          <w:rFonts w:cstheme="minorHAnsi"/>
          <w:sz w:val="24"/>
          <w:szCs w:val="24"/>
          <w:vertAlign w:val="superscript"/>
        </w:rPr>
        <w:t>24</w:t>
      </w:r>
      <w:r w:rsidRPr="00673F93">
        <w:rPr>
          <w:rFonts w:cstheme="minorHAnsi"/>
          <w:sz w:val="24"/>
          <w:szCs w:val="24"/>
        </w:rPr>
        <w:t xml:space="preserve"> The economic magnitude of </w:t>
      </w:r>
      <w:r w:rsidRPr="00673F93">
        <w:rPr>
          <w:rFonts w:cstheme="minorHAnsi"/>
          <w:i/>
          <w:iCs/>
          <w:sz w:val="24"/>
          <w:szCs w:val="24"/>
        </w:rPr>
        <w:t>CSR</w:t>
      </w:r>
      <w:r w:rsidRPr="00673F93">
        <w:rPr>
          <w:rFonts w:cstheme="minorHAnsi"/>
          <w:sz w:val="24"/>
          <w:szCs w:val="24"/>
        </w:rPr>
        <w:t> is comparable to some of the important covariates of price informativeness previously documented in the literature.</w:t>
      </w:r>
      <w:r w:rsidR="00830525" w:rsidRPr="00830525">
        <w:rPr>
          <w:rFonts w:cstheme="minorHAnsi"/>
          <w:sz w:val="24"/>
          <w:szCs w:val="24"/>
          <w:vertAlign w:val="superscript"/>
        </w:rPr>
        <w:t>25</w:t>
      </w:r>
      <w:r w:rsidRPr="00673F93">
        <w:rPr>
          <w:rFonts w:cstheme="minorHAnsi"/>
          <w:sz w:val="24"/>
          <w:szCs w:val="24"/>
        </w:rPr>
        <w:t xml:space="preserve"> The control variables generally have the expected signs and are consistent with the findings of prior studies (Gul </w:t>
      </w:r>
      <w:r w:rsidR="005A3923">
        <w:rPr>
          <w:rFonts w:cstheme="minorHAnsi"/>
          <w:i/>
          <w:iCs/>
          <w:sz w:val="24"/>
          <w:szCs w:val="24"/>
        </w:rPr>
        <w:t xml:space="preserve">et al., </w:t>
      </w:r>
      <w:r w:rsidRPr="00673F93">
        <w:rPr>
          <w:rFonts w:cstheme="minorHAnsi"/>
          <w:sz w:val="24"/>
          <w:szCs w:val="24"/>
        </w:rPr>
        <w:t>2011). Column (</w:t>
      </w:r>
      <w:hyperlink r:id="rId32" w:anchor="bib4" w:tooltip="4" w:history="1">
        <w:r w:rsidRPr="00673F93">
          <w:rPr>
            <w:rStyle w:val="Hyperlink"/>
            <w:rFonts w:cstheme="minorHAnsi"/>
            <w:sz w:val="24"/>
            <w:szCs w:val="24"/>
          </w:rPr>
          <w:t>4</w:t>
        </w:r>
      </w:hyperlink>
      <w:r w:rsidRPr="00673F93">
        <w:rPr>
          <w:rFonts w:cstheme="minorHAnsi"/>
          <w:sz w:val="24"/>
          <w:szCs w:val="24"/>
        </w:rPr>
        <w:t>) displays the results regressing </w:t>
      </w:r>
      <w:r w:rsidRPr="00673F93">
        <w:rPr>
          <w:rFonts w:cstheme="minorHAnsi"/>
          <w:i/>
          <w:iCs/>
          <w:sz w:val="24"/>
          <w:szCs w:val="24"/>
        </w:rPr>
        <w:t>PIN</w:t>
      </w:r>
      <w:r w:rsidRPr="00673F93">
        <w:rPr>
          <w:rFonts w:cstheme="minorHAnsi"/>
          <w:sz w:val="24"/>
          <w:szCs w:val="24"/>
        </w:rPr>
        <w:t> on </w:t>
      </w:r>
      <w:r w:rsidRPr="00673F93">
        <w:rPr>
          <w:rFonts w:cstheme="minorHAnsi"/>
          <w:i/>
          <w:iCs/>
          <w:sz w:val="24"/>
          <w:szCs w:val="24"/>
        </w:rPr>
        <w:t>CSR</w:t>
      </w:r>
      <w:r w:rsidRPr="00673F93">
        <w:rPr>
          <w:rFonts w:cstheme="minorHAnsi"/>
          <w:sz w:val="24"/>
          <w:szCs w:val="24"/>
        </w:rPr>
        <w:t> and other covariates. The coefficient on </w:t>
      </w:r>
      <w:r w:rsidRPr="00673F93">
        <w:rPr>
          <w:rFonts w:cstheme="minorHAnsi"/>
          <w:i/>
          <w:iCs/>
          <w:sz w:val="24"/>
          <w:szCs w:val="24"/>
        </w:rPr>
        <w:t>CSR</w:t>
      </w:r>
      <w:r w:rsidRPr="00673F93">
        <w:rPr>
          <w:rFonts w:cstheme="minorHAnsi"/>
          <w:sz w:val="24"/>
          <w:szCs w:val="24"/>
        </w:rPr>
        <w:t> in the regression of </w:t>
      </w:r>
      <w:r w:rsidRPr="00673F93">
        <w:rPr>
          <w:rFonts w:cstheme="minorHAnsi"/>
          <w:i/>
          <w:iCs/>
          <w:sz w:val="24"/>
          <w:szCs w:val="24"/>
        </w:rPr>
        <w:t>PIN</w:t>
      </w:r>
      <w:r w:rsidRPr="00673F93">
        <w:rPr>
          <w:rFonts w:cstheme="minorHAnsi"/>
          <w:sz w:val="24"/>
          <w:szCs w:val="24"/>
        </w:rPr>
        <w:t> is positive (0.006) and is also statistically significant at the 1 percent level (</w:t>
      </w:r>
      <w:r w:rsidRPr="00673F93">
        <w:rPr>
          <w:rFonts w:cstheme="minorHAnsi"/>
          <w:i/>
          <w:iCs/>
          <w:sz w:val="24"/>
          <w:szCs w:val="24"/>
        </w:rPr>
        <w:t>t</w:t>
      </w:r>
      <w:r w:rsidRPr="00673F93">
        <w:rPr>
          <w:rFonts w:cstheme="minorHAnsi"/>
          <w:sz w:val="24"/>
          <w:szCs w:val="24"/>
        </w:rPr>
        <w:t>‐statistic = 4.99). A one standard deviation increase in </w:t>
      </w:r>
      <w:r w:rsidRPr="00673F93">
        <w:rPr>
          <w:rFonts w:cstheme="minorHAnsi"/>
          <w:i/>
          <w:iCs/>
          <w:sz w:val="24"/>
          <w:szCs w:val="24"/>
        </w:rPr>
        <w:t>CSR</w:t>
      </w:r>
      <w:r w:rsidRPr="00673F93">
        <w:rPr>
          <w:rFonts w:cstheme="minorHAnsi"/>
          <w:sz w:val="24"/>
          <w:szCs w:val="24"/>
        </w:rPr>
        <w:t> is associated with a 6.01 percent standard deviation increase in </w:t>
      </w:r>
      <w:r w:rsidRPr="00673F93">
        <w:rPr>
          <w:rFonts w:cstheme="minorHAnsi"/>
          <w:i/>
          <w:iCs/>
          <w:sz w:val="24"/>
          <w:szCs w:val="24"/>
        </w:rPr>
        <w:t>PIN</w:t>
      </w:r>
      <w:r w:rsidRPr="00673F93">
        <w:rPr>
          <w:rFonts w:cstheme="minorHAnsi"/>
          <w:sz w:val="24"/>
          <w:szCs w:val="24"/>
        </w:rPr>
        <w:t>.</w:t>
      </w:r>
      <w:r w:rsidR="00830525" w:rsidRPr="00830525">
        <w:rPr>
          <w:rFonts w:cstheme="minorHAnsi"/>
          <w:sz w:val="24"/>
          <w:szCs w:val="24"/>
          <w:vertAlign w:val="superscript"/>
        </w:rPr>
        <w:t>26</w:t>
      </w:r>
      <w:r w:rsidRPr="00673F93">
        <w:rPr>
          <w:rFonts w:cstheme="minorHAnsi"/>
          <w:sz w:val="24"/>
          <w:szCs w:val="24"/>
        </w:rPr>
        <w:t xml:space="preserve"> In summary, we show a strong positive association between CSR and measures of price informativeness after controlling for year and firm fixed effects and covariates documented in the prior literature. The findings in Table 2 support hypothesis H1a and are consistent with the prediction of the ethical and reputational view that greater CSR encourages information acquisition and trading and enhances the flow of information into stock prices.</w:t>
      </w:r>
    </w:p>
    <w:p w14:paraId="4AE72CF0" w14:textId="77777777" w:rsidR="006D61B6" w:rsidRDefault="006D61B6" w:rsidP="006D61B6">
      <w:pPr>
        <w:spacing w:after="0"/>
        <w:rPr>
          <w:rFonts w:cstheme="minorHAnsi"/>
          <w:sz w:val="24"/>
          <w:szCs w:val="24"/>
        </w:rPr>
        <w:sectPr w:rsidR="006D61B6" w:rsidSect="00185B32">
          <w:pgSz w:w="12240" w:h="15840"/>
          <w:pgMar w:top="1080" w:right="1080" w:bottom="1080" w:left="1080" w:header="720" w:footer="720" w:gutter="0"/>
          <w:cols w:space="720"/>
          <w:docGrid w:linePitch="360"/>
        </w:sectPr>
      </w:pPr>
    </w:p>
    <w:p w14:paraId="7788041C" w14:textId="0C6BEE6A" w:rsidR="00673F93" w:rsidRPr="00673F93" w:rsidRDefault="00673F93" w:rsidP="006D61B6">
      <w:pPr>
        <w:spacing w:after="0"/>
        <w:rPr>
          <w:rFonts w:cstheme="minorHAnsi"/>
          <w:sz w:val="24"/>
          <w:szCs w:val="24"/>
        </w:rPr>
      </w:pPr>
      <w:r w:rsidRPr="00673F93">
        <w:rPr>
          <w:rFonts w:cstheme="minorHAnsi"/>
          <w:sz w:val="24"/>
          <w:szCs w:val="24"/>
        </w:rPr>
        <w:lastRenderedPageBreak/>
        <w:t>2 Table</w:t>
      </w:r>
      <w:r w:rsidR="00F04D52">
        <w:rPr>
          <w:rFonts w:cstheme="minorHAnsi"/>
          <w:sz w:val="24"/>
          <w:szCs w:val="24"/>
        </w:rPr>
        <w:t xml:space="preserve"> </w:t>
      </w:r>
      <w:r w:rsidRPr="00673F93">
        <w:rPr>
          <w:rFonts w:cstheme="minorHAnsi"/>
          <w:sz w:val="24"/>
          <w:szCs w:val="24"/>
        </w:rPr>
        <w:t>CSR and price informativeness</w:t>
      </w:r>
    </w:p>
    <w:tbl>
      <w:tblPr>
        <w:tblStyle w:val="TableGrid"/>
        <w:tblW w:w="5000" w:type="pct"/>
        <w:tblLook w:val="04A0" w:firstRow="1" w:lastRow="0" w:firstColumn="1" w:lastColumn="0" w:noHBand="0" w:noVBand="1"/>
      </w:tblPr>
      <w:tblGrid>
        <w:gridCol w:w="1811"/>
        <w:gridCol w:w="1559"/>
        <w:gridCol w:w="1406"/>
        <w:gridCol w:w="1559"/>
        <w:gridCol w:w="1406"/>
        <w:gridCol w:w="1559"/>
        <w:gridCol w:w="1406"/>
        <w:gridCol w:w="1559"/>
        <w:gridCol w:w="1405"/>
      </w:tblGrid>
      <w:tr w:rsidR="006D61B6" w:rsidRPr="00F04D52" w14:paraId="025FF0EF" w14:textId="77777777" w:rsidTr="00897705">
        <w:tc>
          <w:tcPr>
            <w:tcW w:w="662" w:type="pct"/>
            <w:hideMark/>
          </w:tcPr>
          <w:p w14:paraId="381299F0" w14:textId="77777777" w:rsidR="006D61B6" w:rsidRPr="00F04D52" w:rsidRDefault="006D61B6" w:rsidP="006D61B6">
            <w:pPr>
              <w:pStyle w:val="NoSpacing"/>
              <w:rPr>
                <w:sz w:val="24"/>
                <w:szCs w:val="24"/>
              </w:rPr>
            </w:pPr>
          </w:p>
        </w:tc>
        <w:tc>
          <w:tcPr>
            <w:tcW w:w="570" w:type="pct"/>
            <w:hideMark/>
          </w:tcPr>
          <w:p w14:paraId="3CA85817" w14:textId="77777777" w:rsidR="006D61B6" w:rsidRPr="00F04D52" w:rsidRDefault="006D61B6" w:rsidP="006D61B6">
            <w:pPr>
              <w:pStyle w:val="NoSpacing"/>
              <w:rPr>
                <w:b/>
                <w:bCs/>
                <w:sz w:val="24"/>
                <w:szCs w:val="24"/>
              </w:rPr>
            </w:pPr>
            <w:r w:rsidRPr="00F04D52">
              <w:rPr>
                <w:b/>
                <w:bCs/>
                <w:sz w:val="24"/>
                <w:szCs w:val="24"/>
              </w:rPr>
              <w:t>(1)</w:t>
            </w:r>
          </w:p>
        </w:tc>
        <w:tc>
          <w:tcPr>
            <w:tcW w:w="514" w:type="pct"/>
            <w:hideMark/>
          </w:tcPr>
          <w:p w14:paraId="21484446" w14:textId="5B53CC57" w:rsidR="006D61B6" w:rsidRPr="00F04D52" w:rsidRDefault="006D61B6" w:rsidP="006D61B6">
            <w:pPr>
              <w:pStyle w:val="NoSpacing"/>
              <w:rPr>
                <w:b/>
                <w:bCs/>
                <w:sz w:val="24"/>
                <w:szCs w:val="24"/>
              </w:rPr>
            </w:pPr>
          </w:p>
        </w:tc>
        <w:tc>
          <w:tcPr>
            <w:tcW w:w="570" w:type="pct"/>
            <w:hideMark/>
          </w:tcPr>
          <w:p w14:paraId="6C6FE3B4" w14:textId="38D30F1B" w:rsidR="006D61B6" w:rsidRPr="00F04D52" w:rsidRDefault="006D61B6" w:rsidP="006D61B6">
            <w:pPr>
              <w:pStyle w:val="NoSpacing"/>
              <w:rPr>
                <w:b/>
                <w:bCs/>
                <w:sz w:val="24"/>
                <w:szCs w:val="24"/>
              </w:rPr>
            </w:pPr>
            <w:r w:rsidRPr="00F04D52">
              <w:rPr>
                <w:b/>
                <w:bCs/>
                <w:sz w:val="24"/>
                <w:szCs w:val="24"/>
              </w:rPr>
              <w:t>(2)</w:t>
            </w:r>
          </w:p>
        </w:tc>
        <w:tc>
          <w:tcPr>
            <w:tcW w:w="514" w:type="pct"/>
          </w:tcPr>
          <w:p w14:paraId="23596C47" w14:textId="77777777" w:rsidR="006D61B6" w:rsidRPr="00F04D52" w:rsidRDefault="006D61B6" w:rsidP="006D61B6">
            <w:pPr>
              <w:pStyle w:val="NoSpacing"/>
              <w:rPr>
                <w:b/>
                <w:bCs/>
                <w:sz w:val="24"/>
                <w:szCs w:val="24"/>
              </w:rPr>
            </w:pPr>
          </w:p>
        </w:tc>
        <w:tc>
          <w:tcPr>
            <w:tcW w:w="570" w:type="pct"/>
          </w:tcPr>
          <w:p w14:paraId="756A4D13" w14:textId="30C051D5" w:rsidR="006D61B6" w:rsidRPr="00F04D52" w:rsidRDefault="006D61B6" w:rsidP="006D61B6">
            <w:pPr>
              <w:pStyle w:val="NoSpacing"/>
              <w:rPr>
                <w:b/>
                <w:bCs/>
                <w:sz w:val="24"/>
                <w:szCs w:val="24"/>
              </w:rPr>
            </w:pPr>
            <w:r w:rsidRPr="00F04D52">
              <w:rPr>
                <w:b/>
                <w:bCs/>
                <w:sz w:val="24"/>
                <w:szCs w:val="24"/>
              </w:rPr>
              <w:t>(3)</w:t>
            </w:r>
          </w:p>
        </w:tc>
        <w:tc>
          <w:tcPr>
            <w:tcW w:w="514" w:type="pct"/>
          </w:tcPr>
          <w:p w14:paraId="51863264" w14:textId="7A607520" w:rsidR="006D61B6" w:rsidRPr="00F04D52" w:rsidRDefault="006D61B6" w:rsidP="006D61B6">
            <w:pPr>
              <w:pStyle w:val="NoSpacing"/>
              <w:rPr>
                <w:b/>
                <w:bCs/>
                <w:sz w:val="24"/>
                <w:szCs w:val="24"/>
              </w:rPr>
            </w:pPr>
          </w:p>
        </w:tc>
        <w:tc>
          <w:tcPr>
            <w:tcW w:w="570" w:type="pct"/>
          </w:tcPr>
          <w:p w14:paraId="244812C0" w14:textId="3273BDB7" w:rsidR="006D61B6" w:rsidRPr="00F04D52" w:rsidRDefault="006D61B6" w:rsidP="006D61B6">
            <w:pPr>
              <w:pStyle w:val="NoSpacing"/>
              <w:rPr>
                <w:b/>
                <w:bCs/>
                <w:sz w:val="24"/>
                <w:szCs w:val="24"/>
              </w:rPr>
            </w:pPr>
            <w:r w:rsidRPr="00F04D52">
              <w:rPr>
                <w:b/>
                <w:bCs/>
                <w:sz w:val="24"/>
                <w:szCs w:val="24"/>
              </w:rPr>
              <w:t>(4)</w:t>
            </w:r>
          </w:p>
        </w:tc>
        <w:tc>
          <w:tcPr>
            <w:tcW w:w="514" w:type="pct"/>
          </w:tcPr>
          <w:p w14:paraId="1B7F6C06" w14:textId="77FD7534" w:rsidR="006D61B6" w:rsidRPr="00F04D52" w:rsidRDefault="006D61B6" w:rsidP="006D61B6">
            <w:pPr>
              <w:pStyle w:val="NoSpacing"/>
              <w:rPr>
                <w:b/>
                <w:bCs/>
                <w:sz w:val="24"/>
                <w:szCs w:val="24"/>
              </w:rPr>
            </w:pPr>
          </w:p>
        </w:tc>
      </w:tr>
      <w:tr w:rsidR="006D61B6" w:rsidRPr="00F04D52" w14:paraId="095E15E3" w14:textId="77777777" w:rsidTr="00897705">
        <w:tc>
          <w:tcPr>
            <w:tcW w:w="662" w:type="pct"/>
            <w:hideMark/>
          </w:tcPr>
          <w:p w14:paraId="35AAB0A1" w14:textId="091FB84A" w:rsidR="006D61B6" w:rsidRPr="00F04D52" w:rsidRDefault="006D61B6" w:rsidP="006D61B6">
            <w:pPr>
              <w:pStyle w:val="NoSpacing"/>
              <w:rPr>
                <w:b/>
                <w:bCs/>
                <w:sz w:val="24"/>
                <w:szCs w:val="24"/>
              </w:rPr>
            </w:pPr>
          </w:p>
        </w:tc>
        <w:tc>
          <w:tcPr>
            <w:tcW w:w="570" w:type="pct"/>
            <w:hideMark/>
          </w:tcPr>
          <w:p w14:paraId="7046E5FB" w14:textId="51668FA6" w:rsidR="006D61B6" w:rsidRPr="006D61B6" w:rsidRDefault="006D61B6" w:rsidP="006D61B6">
            <w:pPr>
              <w:pStyle w:val="NoSpacing"/>
              <w:rPr>
                <w:b/>
                <w:bCs/>
                <w:sz w:val="24"/>
                <w:szCs w:val="24"/>
              </w:rPr>
            </w:pPr>
            <m:oMathPara>
              <m:oMathParaPr>
                <m:jc m:val="left"/>
              </m:oMathParaPr>
              <m:oMath>
                <m:r>
                  <m:rPr>
                    <m:sty m:val="p"/>
                  </m:rPr>
                  <w:rPr>
                    <w:rFonts w:ascii="Cambria Math" w:hAnsi="Cambria Math"/>
                    <w:sz w:val="24"/>
                    <w:szCs w:val="24"/>
                  </w:rPr>
                  <m:t>Ψ</m:t>
                </m:r>
              </m:oMath>
            </m:oMathPara>
          </w:p>
        </w:tc>
        <w:tc>
          <w:tcPr>
            <w:tcW w:w="514" w:type="pct"/>
            <w:hideMark/>
          </w:tcPr>
          <w:p w14:paraId="6AF1C8B0" w14:textId="4B72D06B" w:rsidR="006D61B6" w:rsidRPr="00F04D52" w:rsidRDefault="006D61B6" w:rsidP="006D61B6">
            <w:pPr>
              <w:pStyle w:val="NoSpacing"/>
              <w:rPr>
                <w:b/>
                <w:bCs/>
                <w:sz w:val="24"/>
                <w:szCs w:val="24"/>
              </w:rPr>
            </w:pPr>
          </w:p>
        </w:tc>
        <w:tc>
          <w:tcPr>
            <w:tcW w:w="570" w:type="pct"/>
            <w:hideMark/>
          </w:tcPr>
          <w:p w14:paraId="58AD078A" w14:textId="20EDAC7A" w:rsidR="006D61B6" w:rsidRPr="006D61B6" w:rsidRDefault="006D61B6" w:rsidP="006D61B6">
            <w:pPr>
              <w:pStyle w:val="NoSpacing"/>
              <w:rPr>
                <w:b/>
                <w:bCs/>
                <w:sz w:val="24"/>
                <w:szCs w:val="24"/>
              </w:rPr>
            </w:pPr>
            <m:oMathPara>
              <m:oMathParaPr>
                <m:jc m:val="left"/>
              </m:oMathParaPr>
              <m:oMath>
                <m:r>
                  <m:rPr>
                    <m:sty m:val="p"/>
                  </m:rPr>
                  <w:rPr>
                    <w:rFonts w:ascii="Cambria Math" w:hAnsi="Cambria Math"/>
                    <w:sz w:val="24"/>
                    <w:szCs w:val="24"/>
                  </w:rPr>
                  <m:t>Ψ</m:t>
                </m:r>
              </m:oMath>
            </m:oMathPara>
          </w:p>
        </w:tc>
        <w:tc>
          <w:tcPr>
            <w:tcW w:w="514" w:type="pct"/>
          </w:tcPr>
          <w:p w14:paraId="50C49442" w14:textId="77777777" w:rsidR="006D61B6" w:rsidRPr="00F04D52" w:rsidRDefault="006D61B6" w:rsidP="006D61B6">
            <w:pPr>
              <w:pStyle w:val="NoSpacing"/>
              <w:rPr>
                <w:sz w:val="24"/>
                <w:szCs w:val="24"/>
              </w:rPr>
            </w:pPr>
          </w:p>
        </w:tc>
        <w:tc>
          <w:tcPr>
            <w:tcW w:w="570" w:type="pct"/>
          </w:tcPr>
          <w:p w14:paraId="5004F332" w14:textId="0EB28260" w:rsidR="006D61B6" w:rsidRPr="00F04D52" w:rsidRDefault="006D61B6" w:rsidP="006D61B6">
            <w:pPr>
              <w:pStyle w:val="NoSpacing"/>
              <w:rPr>
                <w:sz w:val="24"/>
                <w:szCs w:val="24"/>
              </w:rPr>
            </w:pPr>
            <w:r w:rsidRPr="00F04D52">
              <w:rPr>
                <w:b/>
                <w:bCs/>
                <w:sz w:val="24"/>
                <w:szCs w:val="24"/>
              </w:rPr>
              <w:t>PIN</w:t>
            </w:r>
          </w:p>
        </w:tc>
        <w:tc>
          <w:tcPr>
            <w:tcW w:w="514" w:type="pct"/>
          </w:tcPr>
          <w:p w14:paraId="6BE10E64" w14:textId="77777777" w:rsidR="006D61B6" w:rsidRPr="00F04D52" w:rsidRDefault="006D61B6" w:rsidP="006D61B6">
            <w:pPr>
              <w:pStyle w:val="NoSpacing"/>
              <w:rPr>
                <w:sz w:val="24"/>
                <w:szCs w:val="24"/>
              </w:rPr>
            </w:pPr>
          </w:p>
        </w:tc>
        <w:tc>
          <w:tcPr>
            <w:tcW w:w="570" w:type="pct"/>
          </w:tcPr>
          <w:p w14:paraId="061B9A94" w14:textId="2B7BE100" w:rsidR="006D61B6" w:rsidRPr="00F04D52" w:rsidRDefault="006D61B6" w:rsidP="006D61B6">
            <w:pPr>
              <w:pStyle w:val="NoSpacing"/>
              <w:rPr>
                <w:sz w:val="24"/>
                <w:szCs w:val="24"/>
              </w:rPr>
            </w:pPr>
            <w:r w:rsidRPr="00F04D52">
              <w:rPr>
                <w:b/>
                <w:bCs/>
                <w:sz w:val="24"/>
                <w:szCs w:val="24"/>
              </w:rPr>
              <w:t>PIN</w:t>
            </w:r>
          </w:p>
        </w:tc>
        <w:tc>
          <w:tcPr>
            <w:tcW w:w="514" w:type="pct"/>
            <w:hideMark/>
          </w:tcPr>
          <w:p w14:paraId="01071FDD" w14:textId="1620DF1A" w:rsidR="006D61B6" w:rsidRPr="00F04D52" w:rsidRDefault="006D61B6" w:rsidP="006D61B6">
            <w:pPr>
              <w:pStyle w:val="NoSpacing"/>
              <w:rPr>
                <w:sz w:val="24"/>
                <w:szCs w:val="24"/>
              </w:rPr>
            </w:pPr>
          </w:p>
        </w:tc>
      </w:tr>
      <w:tr w:rsidR="006D61B6" w:rsidRPr="00F04D52" w14:paraId="02234D78" w14:textId="77777777" w:rsidTr="00897705">
        <w:tc>
          <w:tcPr>
            <w:tcW w:w="662" w:type="pct"/>
            <w:hideMark/>
          </w:tcPr>
          <w:p w14:paraId="797A6C92" w14:textId="13ACEEEB" w:rsidR="006D61B6" w:rsidRPr="00F04D52" w:rsidRDefault="006D61B6" w:rsidP="006D61B6">
            <w:pPr>
              <w:pStyle w:val="NoSpacing"/>
              <w:rPr>
                <w:b/>
                <w:bCs/>
                <w:sz w:val="24"/>
                <w:szCs w:val="24"/>
              </w:rPr>
            </w:pPr>
          </w:p>
        </w:tc>
        <w:tc>
          <w:tcPr>
            <w:tcW w:w="570" w:type="pct"/>
            <w:hideMark/>
          </w:tcPr>
          <w:p w14:paraId="68A410D7" w14:textId="6C566FD5" w:rsidR="006D61B6" w:rsidRPr="00F04D52" w:rsidRDefault="006D61B6" w:rsidP="006D61B6">
            <w:pPr>
              <w:pStyle w:val="NoSpacing"/>
              <w:rPr>
                <w:b/>
                <w:bCs/>
                <w:sz w:val="24"/>
                <w:szCs w:val="24"/>
              </w:rPr>
            </w:pPr>
            <w:r w:rsidRPr="00F04D52">
              <w:rPr>
                <w:b/>
                <w:bCs/>
                <w:sz w:val="24"/>
                <w:szCs w:val="24"/>
              </w:rPr>
              <w:t>Coefficient</w:t>
            </w:r>
          </w:p>
        </w:tc>
        <w:tc>
          <w:tcPr>
            <w:tcW w:w="514" w:type="pct"/>
            <w:hideMark/>
          </w:tcPr>
          <w:p w14:paraId="7926EAA2" w14:textId="4A867FFA" w:rsidR="006D61B6" w:rsidRPr="00F04D52" w:rsidRDefault="006D61B6" w:rsidP="006D61B6">
            <w:pPr>
              <w:pStyle w:val="NoSpacing"/>
              <w:rPr>
                <w:b/>
                <w:bCs/>
                <w:sz w:val="24"/>
                <w:szCs w:val="24"/>
              </w:rPr>
            </w:pPr>
            <w:r w:rsidRPr="00800841">
              <w:rPr>
                <w:b/>
                <w:bCs/>
                <w:i/>
                <w:iCs/>
                <w:sz w:val="24"/>
                <w:szCs w:val="24"/>
              </w:rPr>
              <w:t>t</w:t>
            </w:r>
            <w:r w:rsidRPr="00F04D52">
              <w:rPr>
                <w:b/>
                <w:bCs/>
                <w:sz w:val="24"/>
                <w:szCs w:val="24"/>
              </w:rPr>
              <w:t>‐Statistic</w:t>
            </w:r>
          </w:p>
        </w:tc>
        <w:tc>
          <w:tcPr>
            <w:tcW w:w="570" w:type="pct"/>
            <w:hideMark/>
          </w:tcPr>
          <w:p w14:paraId="65044395" w14:textId="403F660C" w:rsidR="006D61B6" w:rsidRPr="00F04D52" w:rsidRDefault="006D61B6" w:rsidP="006D61B6">
            <w:pPr>
              <w:pStyle w:val="NoSpacing"/>
              <w:rPr>
                <w:b/>
                <w:bCs/>
                <w:sz w:val="24"/>
                <w:szCs w:val="24"/>
              </w:rPr>
            </w:pPr>
            <w:r w:rsidRPr="00F04D52">
              <w:rPr>
                <w:b/>
                <w:bCs/>
                <w:sz w:val="24"/>
                <w:szCs w:val="24"/>
              </w:rPr>
              <w:t>Coefficient</w:t>
            </w:r>
          </w:p>
        </w:tc>
        <w:tc>
          <w:tcPr>
            <w:tcW w:w="514" w:type="pct"/>
            <w:hideMark/>
          </w:tcPr>
          <w:p w14:paraId="6FA19959" w14:textId="28DC2647" w:rsidR="006D61B6" w:rsidRPr="00F04D52" w:rsidRDefault="006D61B6" w:rsidP="006D61B6">
            <w:pPr>
              <w:pStyle w:val="NoSpacing"/>
              <w:rPr>
                <w:b/>
                <w:bCs/>
                <w:sz w:val="24"/>
                <w:szCs w:val="24"/>
              </w:rPr>
            </w:pPr>
            <w:r w:rsidRPr="00800841">
              <w:rPr>
                <w:b/>
                <w:bCs/>
                <w:i/>
                <w:iCs/>
                <w:sz w:val="24"/>
                <w:szCs w:val="24"/>
              </w:rPr>
              <w:t>t</w:t>
            </w:r>
            <w:r w:rsidRPr="00F04D52">
              <w:rPr>
                <w:b/>
                <w:bCs/>
                <w:sz w:val="24"/>
                <w:szCs w:val="24"/>
              </w:rPr>
              <w:t>‐Statistic</w:t>
            </w:r>
          </w:p>
        </w:tc>
        <w:tc>
          <w:tcPr>
            <w:tcW w:w="570" w:type="pct"/>
            <w:hideMark/>
          </w:tcPr>
          <w:p w14:paraId="2584CC97" w14:textId="0A079ABD" w:rsidR="006D61B6" w:rsidRPr="00F04D52" w:rsidRDefault="006D61B6" w:rsidP="006D61B6">
            <w:pPr>
              <w:pStyle w:val="NoSpacing"/>
              <w:rPr>
                <w:b/>
                <w:bCs/>
                <w:sz w:val="24"/>
                <w:szCs w:val="24"/>
              </w:rPr>
            </w:pPr>
            <w:r w:rsidRPr="00F04D52">
              <w:rPr>
                <w:b/>
                <w:bCs/>
                <w:sz w:val="24"/>
                <w:szCs w:val="24"/>
              </w:rPr>
              <w:t>Coefficient</w:t>
            </w:r>
          </w:p>
        </w:tc>
        <w:tc>
          <w:tcPr>
            <w:tcW w:w="514" w:type="pct"/>
            <w:hideMark/>
          </w:tcPr>
          <w:p w14:paraId="72A98E00" w14:textId="4B3BB26A" w:rsidR="006D61B6" w:rsidRPr="00F04D52" w:rsidRDefault="006D61B6" w:rsidP="006D61B6">
            <w:pPr>
              <w:pStyle w:val="NoSpacing"/>
              <w:rPr>
                <w:b/>
                <w:bCs/>
                <w:sz w:val="24"/>
                <w:szCs w:val="24"/>
              </w:rPr>
            </w:pPr>
            <w:r w:rsidRPr="00800841">
              <w:rPr>
                <w:b/>
                <w:bCs/>
                <w:i/>
                <w:iCs/>
                <w:sz w:val="24"/>
                <w:szCs w:val="24"/>
              </w:rPr>
              <w:t>t</w:t>
            </w:r>
            <w:r w:rsidRPr="00F04D52">
              <w:rPr>
                <w:b/>
                <w:bCs/>
                <w:sz w:val="24"/>
                <w:szCs w:val="24"/>
              </w:rPr>
              <w:t>‐Statistic</w:t>
            </w:r>
          </w:p>
        </w:tc>
        <w:tc>
          <w:tcPr>
            <w:tcW w:w="570" w:type="pct"/>
          </w:tcPr>
          <w:p w14:paraId="1932894E" w14:textId="5FC613D6" w:rsidR="006D61B6" w:rsidRPr="00F04D52" w:rsidRDefault="006D61B6" w:rsidP="006D61B6">
            <w:pPr>
              <w:pStyle w:val="NoSpacing"/>
              <w:rPr>
                <w:b/>
                <w:bCs/>
                <w:sz w:val="24"/>
                <w:szCs w:val="24"/>
              </w:rPr>
            </w:pPr>
            <w:r w:rsidRPr="00F04D52">
              <w:rPr>
                <w:b/>
                <w:bCs/>
                <w:sz w:val="24"/>
                <w:szCs w:val="24"/>
              </w:rPr>
              <w:t>Coefficient</w:t>
            </w:r>
          </w:p>
        </w:tc>
        <w:tc>
          <w:tcPr>
            <w:tcW w:w="514" w:type="pct"/>
            <w:hideMark/>
          </w:tcPr>
          <w:p w14:paraId="6DB98B56" w14:textId="4617C6CD" w:rsidR="006D61B6" w:rsidRPr="00F04D52" w:rsidRDefault="006D61B6" w:rsidP="006D61B6">
            <w:pPr>
              <w:pStyle w:val="NoSpacing"/>
              <w:rPr>
                <w:b/>
                <w:bCs/>
                <w:sz w:val="24"/>
                <w:szCs w:val="24"/>
              </w:rPr>
            </w:pPr>
            <w:r w:rsidRPr="00800841">
              <w:rPr>
                <w:b/>
                <w:bCs/>
                <w:i/>
                <w:iCs/>
                <w:sz w:val="24"/>
                <w:szCs w:val="24"/>
              </w:rPr>
              <w:t>t</w:t>
            </w:r>
            <w:r w:rsidRPr="00F04D52">
              <w:rPr>
                <w:b/>
                <w:bCs/>
                <w:sz w:val="24"/>
                <w:szCs w:val="24"/>
              </w:rPr>
              <w:t>‐Statistic</w:t>
            </w:r>
          </w:p>
        </w:tc>
      </w:tr>
      <w:tr w:rsidR="006D61B6" w:rsidRPr="00F04D52" w14:paraId="0CC7B3BF" w14:textId="77777777" w:rsidTr="00897705">
        <w:tc>
          <w:tcPr>
            <w:tcW w:w="662" w:type="pct"/>
            <w:hideMark/>
          </w:tcPr>
          <w:p w14:paraId="1F5FA560" w14:textId="77777777" w:rsidR="006D61B6" w:rsidRPr="00800841" w:rsidRDefault="006D61B6" w:rsidP="006D61B6">
            <w:pPr>
              <w:pStyle w:val="NoSpacing"/>
              <w:rPr>
                <w:i/>
                <w:iCs/>
                <w:sz w:val="24"/>
                <w:szCs w:val="24"/>
              </w:rPr>
            </w:pPr>
            <w:r w:rsidRPr="00800841">
              <w:rPr>
                <w:i/>
                <w:iCs/>
                <w:sz w:val="24"/>
                <w:szCs w:val="24"/>
              </w:rPr>
              <w:t>CSR</w:t>
            </w:r>
          </w:p>
        </w:tc>
        <w:tc>
          <w:tcPr>
            <w:tcW w:w="570" w:type="pct"/>
            <w:hideMark/>
          </w:tcPr>
          <w:p w14:paraId="335810DF" w14:textId="77777777" w:rsidR="006D61B6" w:rsidRPr="00F04D52" w:rsidRDefault="006D61B6" w:rsidP="006D61B6">
            <w:pPr>
              <w:pStyle w:val="NoSpacing"/>
              <w:rPr>
                <w:sz w:val="24"/>
                <w:szCs w:val="24"/>
              </w:rPr>
            </w:pPr>
            <w:r w:rsidRPr="00F04D52">
              <w:rPr>
                <w:sz w:val="24"/>
                <w:szCs w:val="24"/>
              </w:rPr>
              <w:t>0.107***</w:t>
            </w:r>
          </w:p>
        </w:tc>
        <w:tc>
          <w:tcPr>
            <w:tcW w:w="514" w:type="pct"/>
            <w:hideMark/>
          </w:tcPr>
          <w:p w14:paraId="548BFFF2" w14:textId="77777777" w:rsidR="006D61B6" w:rsidRPr="00F04D52" w:rsidRDefault="006D61B6" w:rsidP="006D61B6">
            <w:pPr>
              <w:pStyle w:val="NoSpacing"/>
              <w:rPr>
                <w:sz w:val="24"/>
                <w:szCs w:val="24"/>
              </w:rPr>
            </w:pPr>
            <w:r w:rsidRPr="00F04D52">
              <w:rPr>
                <w:sz w:val="24"/>
                <w:szCs w:val="24"/>
              </w:rPr>
              <w:t>3.33</w:t>
            </w:r>
          </w:p>
        </w:tc>
        <w:tc>
          <w:tcPr>
            <w:tcW w:w="570" w:type="pct"/>
            <w:hideMark/>
          </w:tcPr>
          <w:p w14:paraId="19E6C4F4" w14:textId="77777777" w:rsidR="006D61B6" w:rsidRPr="00F04D52" w:rsidRDefault="006D61B6" w:rsidP="006D61B6">
            <w:pPr>
              <w:pStyle w:val="NoSpacing"/>
              <w:rPr>
                <w:sz w:val="24"/>
                <w:szCs w:val="24"/>
              </w:rPr>
            </w:pPr>
            <w:r w:rsidRPr="00F04D52">
              <w:rPr>
                <w:sz w:val="24"/>
                <w:szCs w:val="24"/>
              </w:rPr>
              <w:t>0.074**</w:t>
            </w:r>
          </w:p>
        </w:tc>
        <w:tc>
          <w:tcPr>
            <w:tcW w:w="514" w:type="pct"/>
            <w:hideMark/>
          </w:tcPr>
          <w:p w14:paraId="451E768B" w14:textId="77777777" w:rsidR="006D61B6" w:rsidRPr="00F04D52" w:rsidRDefault="006D61B6" w:rsidP="006D61B6">
            <w:pPr>
              <w:pStyle w:val="NoSpacing"/>
              <w:rPr>
                <w:sz w:val="24"/>
                <w:szCs w:val="24"/>
              </w:rPr>
            </w:pPr>
            <w:r w:rsidRPr="00F04D52">
              <w:rPr>
                <w:sz w:val="24"/>
                <w:szCs w:val="24"/>
              </w:rPr>
              <w:t>2.52</w:t>
            </w:r>
          </w:p>
        </w:tc>
        <w:tc>
          <w:tcPr>
            <w:tcW w:w="570" w:type="pct"/>
            <w:hideMark/>
          </w:tcPr>
          <w:p w14:paraId="3CB68B49" w14:textId="77777777" w:rsidR="006D61B6" w:rsidRPr="00F04D52" w:rsidRDefault="006D61B6" w:rsidP="006D61B6">
            <w:pPr>
              <w:pStyle w:val="NoSpacing"/>
              <w:rPr>
                <w:sz w:val="24"/>
                <w:szCs w:val="24"/>
              </w:rPr>
            </w:pPr>
            <w:r w:rsidRPr="00F04D52">
              <w:rPr>
                <w:sz w:val="24"/>
                <w:szCs w:val="24"/>
              </w:rPr>
              <w:t>0.007***</w:t>
            </w:r>
          </w:p>
        </w:tc>
        <w:tc>
          <w:tcPr>
            <w:tcW w:w="514" w:type="pct"/>
            <w:hideMark/>
          </w:tcPr>
          <w:p w14:paraId="420A52BA" w14:textId="77777777" w:rsidR="006D61B6" w:rsidRPr="00F04D52" w:rsidRDefault="006D61B6" w:rsidP="006D61B6">
            <w:pPr>
              <w:pStyle w:val="NoSpacing"/>
              <w:rPr>
                <w:sz w:val="24"/>
                <w:szCs w:val="24"/>
              </w:rPr>
            </w:pPr>
            <w:r w:rsidRPr="00F04D52">
              <w:rPr>
                <w:sz w:val="24"/>
                <w:szCs w:val="24"/>
              </w:rPr>
              <w:t>5.16</w:t>
            </w:r>
          </w:p>
        </w:tc>
        <w:tc>
          <w:tcPr>
            <w:tcW w:w="570" w:type="pct"/>
            <w:hideMark/>
          </w:tcPr>
          <w:p w14:paraId="21146FEE" w14:textId="77777777" w:rsidR="006D61B6" w:rsidRPr="00F04D52" w:rsidRDefault="006D61B6" w:rsidP="006D61B6">
            <w:pPr>
              <w:pStyle w:val="NoSpacing"/>
              <w:rPr>
                <w:sz w:val="24"/>
                <w:szCs w:val="24"/>
              </w:rPr>
            </w:pPr>
            <w:r w:rsidRPr="00F04D52">
              <w:rPr>
                <w:sz w:val="24"/>
                <w:szCs w:val="24"/>
              </w:rPr>
              <w:t>0.006***</w:t>
            </w:r>
          </w:p>
        </w:tc>
        <w:tc>
          <w:tcPr>
            <w:tcW w:w="514" w:type="pct"/>
            <w:hideMark/>
          </w:tcPr>
          <w:p w14:paraId="2816C671" w14:textId="77777777" w:rsidR="006D61B6" w:rsidRPr="00F04D52" w:rsidRDefault="006D61B6" w:rsidP="006D61B6">
            <w:pPr>
              <w:pStyle w:val="NoSpacing"/>
              <w:rPr>
                <w:sz w:val="24"/>
                <w:szCs w:val="24"/>
              </w:rPr>
            </w:pPr>
            <w:r w:rsidRPr="00F04D52">
              <w:rPr>
                <w:sz w:val="24"/>
                <w:szCs w:val="24"/>
              </w:rPr>
              <w:t>4.99</w:t>
            </w:r>
          </w:p>
        </w:tc>
      </w:tr>
      <w:tr w:rsidR="006D61B6" w:rsidRPr="00F04D52" w14:paraId="45CDE7C2" w14:textId="77777777" w:rsidTr="00897705">
        <w:tc>
          <w:tcPr>
            <w:tcW w:w="662" w:type="pct"/>
            <w:hideMark/>
          </w:tcPr>
          <w:p w14:paraId="64475FEE" w14:textId="77777777" w:rsidR="006D61B6" w:rsidRPr="00800841" w:rsidRDefault="006D61B6" w:rsidP="006D61B6">
            <w:pPr>
              <w:pStyle w:val="NoSpacing"/>
              <w:rPr>
                <w:i/>
                <w:iCs/>
                <w:sz w:val="24"/>
                <w:szCs w:val="24"/>
              </w:rPr>
            </w:pPr>
            <w:r w:rsidRPr="00800841">
              <w:rPr>
                <w:i/>
                <w:iCs/>
                <w:sz w:val="24"/>
                <w:szCs w:val="24"/>
              </w:rPr>
              <w:t>SIZE</w:t>
            </w:r>
          </w:p>
        </w:tc>
        <w:tc>
          <w:tcPr>
            <w:tcW w:w="570" w:type="pct"/>
            <w:hideMark/>
          </w:tcPr>
          <w:p w14:paraId="21381A7C" w14:textId="77777777" w:rsidR="006D61B6" w:rsidRPr="00F04D52" w:rsidRDefault="006D61B6" w:rsidP="006D61B6">
            <w:pPr>
              <w:pStyle w:val="NoSpacing"/>
              <w:rPr>
                <w:sz w:val="24"/>
                <w:szCs w:val="24"/>
              </w:rPr>
            </w:pPr>
          </w:p>
        </w:tc>
        <w:tc>
          <w:tcPr>
            <w:tcW w:w="514" w:type="pct"/>
            <w:hideMark/>
          </w:tcPr>
          <w:p w14:paraId="005CC58B" w14:textId="77777777" w:rsidR="006D61B6" w:rsidRPr="00F04D52" w:rsidRDefault="006D61B6" w:rsidP="006D61B6">
            <w:pPr>
              <w:pStyle w:val="NoSpacing"/>
              <w:rPr>
                <w:sz w:val="24"/>
                <w:szCs w:val="24"/>
              </w:rPr>
            </w:pPr>
          </w:p>
        </w:tc>
        <w:tc>
          <w:tcPr>
            <w:tcW w:w="570" w:type="pct"/>
            <w:hideMark/>
          </w:tcPr>
          <w:p w14:paraId="02130558" w14:textId="77777777" w:rsidR="006D61B6" w:rsidRPr="00F04D52" w:rsidRDefault="006D61B6" w:rsidP="006D61B6">
            <w:pPr>
              <w:pStyle w:val="NoSpacing"/>
              <w:rPr>
                <w:sz w:val="24"/>
                <w:szCs w:val="24"/>
              </w:rPr>
            </w:pPr>
            <w:r w:rsidRPr="00F04D52">
              <w:rPr>
                <w:sz w:val="24"/>
                <w:szCs w:val="24"/>
              </w:rPr>
              <w:t>−0.223***</w:t>
            </w:r>
          </w:p>
        </w:tc>
        <w:tc>
          <w:tcPr>
            <w:tcW w:w="514" w:type="pct"/>
            <w:hideMark/>
          </w:tcPr>
          <w:p w14:paraId="2EC0BC04" w14:textId="77777777" w:rsidR="006D61B6" w:rsidRPr="00F04D52" w:rsidRDefault="006D61B6" w:rsidP="006D61B6">
            <w:pPr>
              <w:pStyle w:val="NoSpacing"/>
              <w:rPr>
                <w:sz w:val="24"/>
                <w:szCs w:val="24"/>
              </w:rPr>
            </w:pPr>
            <w:r w:rsidRPr="00F04D52">
              <w:rPr>
                <w:sz w:val="24"/>
                <w:szCs w:val="24"/>
              </w:rPr>
              <w:t>−6.92</w:t>
            </w:r>
          </w:p>
        </w:tc>
        <w:tc>
          <w:tcPr>
            <w:tcW w:w="570" w:type="pct"/>
            <w:hideMark/>
          </w:tcPr>
          <w:p w14:paraId="32F9AC66" w14:textId="77777777" w:rsidR="006D61B6" w:rsidRPr="00F04D52" w:rsidRDefault="006D61B6" w:rsidP="006D61B6">
            <w:pPr>
              <w:pStyle w:val="NoSpacing"/>
              <w:rPr>
                <w:sz w:val="24"/>
                <w:szCs w:val="24"/>
              </w:rPr>
            </w:pPr>
          </w:p>
        </w:tc>
        <w:tc>
          <w:tcPr>
            <w:tcW w:w="514" w:type="pct"/>
            <w:hideMark/>
          </w:tcPr>
          <w:p w14:paraId="2F579F88" w14:textId="77777777" w:rsidR="006D61B6" w:rsidRPr="00F04D52" w:rsidRDefault="006D61B6" w:rsidP="006D61B6">
            <w:pPr>
              <w:pStyle w:val="NoSpacing"/>
              <w:rPr>
                <w:sz w:val="24"/>
                <w:szCs w:val="24"/>
              </w:rPr>
            </w:pPr>
          </w:p>
        </w:tc>
        <w:tc>
          <w:tcPr>
            <w:tcW w:w="570" w:type="pct"/>
            <w:hideMark/>
          </w:tcPr>
          <w:p w14:paraId="4F8FF7C3" w14:textId="77777777" w:rsidR="006D61B6" w:rsidRPr="00F04D52" w:rsidRDefault="006D61B6" w:rsidP="006D61B6">
            <w:pPr>
              <w:pStyle w:val="NoSpacing"/>
              <w:rPr>
                <w:sz w:val="24"/>
                <w:szCs w:val="24"/>
              </w:rPr>
            </w:pPr>
            <w:r w:rsidRPr="00F04D52">
              <w:rPr>
                <w:sz w:val="24"/>
                <w:szCs w:val="24"/>
              </w:rPr>
              <w:t>−0.006***</w:t>
            </w:r>
          </w:p>
        </w:tc>
        <w:tc>
          <w:tcPr>
            <w:tcW w:w="514" w:type="pct"/>
            <w:hideMark/>
          </w:tcPr>
          <w:p w14:paraId="6120E3BE" w14:textId="77777777" w:rsidR="006D61B6" w:rsidRPr="00F04D52" w:rsidRDefault="006D61B6" w:rsidP="006D61B6">
            <w:pPr>
              <w:pStyle w:val="NoSpacing"/>
              <w:rPr>
                <w:sz w:val="24"/>
                <w:szCs w:val="24"/>
              </w:rPr>
            </w:pPr>
            <w:r w:rsidRPr="00F04D52">
              <w:rPr>
                <w:sz w:val="24"/>
                <w:szCs w:val="24"/>
              </w:rPr>
              <w:t>−3.12</w:t>
            </w:r>
          </w:p>
        </w:tc>
      </w:tr>
      <w:tr w:rsidR="006D61B6" w:rsidRPr="00F04D52" w14:paraId="475A0F3A" w14:textId="77777777" w:rsidTr="00897705">
        <w:tc>
          <w:tcPr>
            <w:tcW w:w="662" w:type="pct"/>
            <w:hideMark/>
          </w:tcPr>
          <w:p w14:paraId="0740E15C" w14:textId="77777777" w:rsidR="006D61B6" w:rsidRPr="00800841" w:rsidRDefault="006D61B6" w:rsidP="006D61B6">
            <w:pPr>
              <w:pStyle w:val="NoSpacing"/>
              <w:rPr>
                <w:i/>
                <w:iCs/>
                <w:sz w:val="24"/>
                <w:szCs w:val="24"/>
              </w:rPr>
            </w:pPr>
            <w:r w:rsidRPr="00800841">
              <w:rPr>
                <w:i/>
                <w:iCs/>
                <w:sz w:val="24"/>
                <w:szCs w:val="24"/>
              </w:rPr>
              <w:t>MB</w:t>
            </w:r>
          </w:p>
        </w:tc>
        <w:tc>
          <w:tcPr>
            <w:tcW w:w="570" w:type="pct"/>
            <w:hideMark/>
          </w:tcPr>
          <w:p w14:paraId="5F123EC4" w14:textId="77777777" w:rsidR="006D61B6" w:rsidRPr="00F04D52" w:rsidRDefault="006D61B6" w:rsidP="006D61B6">
            <w:pPr>
              <w:pStyle w:val="NoSpacing"/>
              <w:rPr>
                <w:sz w:val="24"/>
                <w:szCs w:val="24"/>
              </w:rPr>
            </w:pPr>
          </w:p>
        </w:tc>
        <w:tc>
          <w:tcPr>
            <w:tcW w:w="514" w:type="pct"/>
            <w:hideMark/>
          </w:tcPr>
          <w:p w14:paraId="59FED5D2" w14:textId="77777777" w:rsidR="006D61B6" w:rsidRPr="00F04D52" w:rsidRDefault="006D61B6" w:rsidP="006D61B6">
            <w:pPr>
              <w:pStyle w:val="NoSpacing"/>
              <w:rPr>
                <w:sz w:val="24"/>
                <w:szCs w:val="24"/>
              </w:rPr>
            </w:pPr>
          </w:p>
        </w:tc>
        <w:tc>
          <w:tcPr>
            <w:tcW w:w="570" w:type="pct"/>
            <w:hideMark/>
          </w:tcPr>
          <w:p w14:paraId="205DB35B" w14:textId="77777777" w:rsidR="006D61B6" w:rsidRPr="00F04D52" w:rsidRDefault="006D61B6" w:rsidP="006D61B6">
            <w:pPr>
              <w:pStyle w:val="NoSpacing"/>
              <w:rPr>
                <w:sz w:val="24"/>
                <w:szCs w:val="24"/>
              </w:rPr>
            </w:pPr>
            <w:r w:rsidRPr="00F04D52">
              <w:rPr>
                <w:sz w:val="24"/>
                <w:szCs w:val="24"/>
              </w:rPr>
              <w:t>−0.036</w:t>
            </w:r>
          </w:p>
        </w:tc>
        <w:tc>
          <w:tcPr>
            <w:tcW w:w="514" w:type="pct"/>
            <w:hideMark/>
          </w:tcPr>
          <w:p w14:paraId="45B66A46" w14:textId="77777777" w:rsidR="006D61B6" w:rsidRPr="00F04D52" w:rsidRDefault="006D61B6" w:rsidP="006D61B6">
            <w:pPr>
              <w:pStyle w:val="NoSpacing"/>
              <w:rPr>
                <w:sz w:val="24"/>
                <w:szCs w:val="24"/>
              </w:rPr>
            </w:pPr>
            <w:r w:rsidRPr="00F04D52">
              <w:rPr>
                <w:sz w:val="24"/>
                <w:szCs w:val="24"/>
              </w:rPr>
              <w:t>−1.38</w:t>
            </w:r>
          </w:p>
        </w:tc>
        <w:tc>
          <w:tcPr>
            <w:tcW w:w="570" w:type="pct"/>
            <w:hideMark/>
          </w:tcPr>
          <w:p w14:paraId="0217CC76" w14:textId="77777777" w:rsidR="006D61B6" w:rsidRPr="00F04D52" w:rsidRDefault="006D61B6" w:rsidP="006D61B6">
            <w:pPr>
              <w:pStyle w:val="NoSpacing"/>
              <w:rPr>
                <w:sz w:val="24"/>
                <w:szCs w:val="24"/>
              </w:rPr>
            </w:pPr>
          </w:p>
        </w:tc>
        <w:tc>
          <w:tcPr>
            <w:tcW w:w="514" w:type="pct"/>
            <w:hideMark/>
          </w:tcPr>
          <w:p w14:paraId="660B73DA" w14:textId="77777777" w:rsidR="006D61B6" w:rsidRPr="00F04D52" w:rsidRDefault="006D61B6" w:rsidP="006D61B6">
            <w:pPr>
              <w:pStyle w:val="NoSpacing"/>
              <w:rPr>
                <w:sz w:val="24"/>
                <w:szCs w:val="24"/>
              </w:rPr>
            </w:pPr>
          </w:p>
        </w:tc>
        <w:tc>
          <w:tcPr>
            <w:tcW w:w="570" w:type="pct"/>
            <w:hideMark/>
          </w:tcPr>
          <w:p w14:paraId="606859BF" w14:textId="77777777" w:rsidR="006D61B6" w:rsidRPr="00F04D52" w:rsidRDefault="006D61B6" w:rsidP="006D61B6">
            <w:pPr>
              <w:pStyle w:val="NoSpacing"/>
              <w:rPr>
                <w:sz w:val="24"/>
                <w:szCs w:val="24"/>
              </w:rPr>
            </w:pPr>
            <w:r w:rsidRPr="00F04D52">
              <w:rPr>
                <w:sz w:val="24"/>
                <w:szCs w:val="24"/>
              </w:rPr>
              <w:t>−0.002**</w:t>
            </w:r>
          </w:p>
        </w:tc>
        <w:tc>
          <w:tcPr>
            <w:tcW w:w="514" w:type="pct"/>
            <w:hideMark/>
          </w:tcPr>
          <w:p w14:paraId="1E47E648" w14:textId="77777777" w:rsidR="006D61B6" w:rsidRPr="00F04D52" w:rsidRDefault="006D61B6" w:rsidP="006D61B6">
            <w:pPr>
              <w:pStyle w:val="NoSpacing"/>
              <w:rPr>
                <w:sz w:val="24"/>
                <w:szCs w:val="24"/>
              </w:rPr>
            </w:pPr>
            <w:r w:rsidRPr="00F04D52">
              <w:rPr>
                <w:sz w:val="24"/>
                <w:szCs w:val="24"/>
              </w:rPr>
              <w:t>−2.01</w:t>
            </w:r>
          </w:p>
        </w:tc>
      </w:tr>
      <w:tr w:rsidR="006D61B6" w:rsidRPr="00F04D52" w14:paraId="296D8695" w14:textId="77777777" w:rsidTr="00897705">
        <w:tc>
          <w:tcPr>
            <w:tcW w:w="662" w:type="pct"/>
            <w:hideMark/>
          </w:tcPr>
          <w:p w14:paraId="65071150" w14:textId="77777777" w:rsidR="006D61B6" w:rsidRPr="00800841" w:rsidRDefault="006D61B6" w:rsidP="006D61B6">
            <w:pPr>
              <w:pStyle w:val="NoSpacing"/>
              <w:rPr>
                <w:i/>
                <w:iCs/>
                <w:sz w:val="24"/>
                <w:szCs w:val="24"/>
              </w:rPr>
            </w:pPr>
            <w:r w:rsidRPr="00800841">
              <w:rPr>
                <w:i/>
                <w:iCs/>
                <w:sz w:val="24"/>
                <w:szCs w:val="24"/>
              </w:rPr>
              <w:t>ROE</w:t>
            </w:r>
          </w:p>
        </w:tc>
        <w:tc>
          <w:tcPr>
            <w:tcW w:w="570" w:type="pct"/>
            <w:hideMark/>
          </w:tcPr>
          <w:p w14:paraId="5B3023D2" w14:textId="77777777" w:rsidR="006D61B6" w:rsidRPr="00F04D52" w:rsidRDefault="006D61B6" w:rsidP="006D61B6">
            <w:pPr>
              <w:pStyle w:val="NoSpacing"/>
              <w:rPr>
                <w:sz w:val="24"/>
                <w:szCs w:val="24"/>
              </w:rPr>
            </w:pPr>
          </w:p>
        </w:tc>
        <w:tc>
          <w:tcPr>
            <w:tcW w:w="514" w:type="pct"/>
            <w:hideMark/>
          </w:tcPr>
          <w:p w14:paraId="60DB0F7F" w14:textId="77777777" w:rsidR="006D61B6" w:rsidRPr="00F04D52" w:rsidRDefault="006D61B6" w:rsidP="006D61B6">
            <w:pPr>
              <w:pStyle w:val="NoSpacing"/>
              <w:rPr>
                <w:sz w:val="24"/>
                <w:szCs w:val="24"/>
              </w:rPr>
            </w:pPr>
          </w:p>
        </w:tc>
        <w:tc>
          <w:tcPr>
            <w:tcW w:w="570" w:type="pct"/>
            <w:hideMark/>
          </w:tcPr>
          <w:p w14:paraId="4EEE5DAB" w14:textId="77777777" w:rsidR="006D61B6" w:rsidRPr="00F04D52" w:rsidRDefault="006D61B6" w:rsidP="006D61B6">
            <w:pPr>
              <w:pStyle w:val="NoSpacing"/>
              <w:rPr>
                <w:sz w:val="24"/>
                <w:szCs w:val="24"/>
              </w:rPr>
            </w:pPr>
            <w:r w:rsidRPr="00F04D52">
              <w:rPr>
                <w:sz w:val="24"/>
                <w:szCs w:val="24"/>
              </w:rPr>
              <w:t>−0.090**</w:t>
            </w:r>
          </w:p>
        </w:tc>
        <w:tc>
          <w:tcPr>
            <w:tcW w:w="514" w:type="pct"/>
            <w:hideMark/>
          </w:tcPr>
          <w:p w14:paraId="298C3D7E" w14:textId="77777777" w:rsidR="006D61B6" w:rsidRPr="00F04D52" w:rsidRDefault="006D61B6" w:rsidP="006D61B6">
            <w:pPr>
              <w:pStyle w:val="NoSpacing"/>
              <w:rPr>
                <w:sz w:val="24"/>
                <w:szCs w:val="24"/>
              </w:rPr>
            </w:pPr>
            <w:r w:rsidRPr="00F04D52">
              <w:rPr>
                <w:sz w:val="24"/>
                <w:szCs w:val="24"/>
              </w:rPr>
              <w:t>−2.50</w:t>
            </w:r>
          </w:p>
        </w:tc>
        <w:tc>
          <w:tcPr>
            <w:tcW w:w="570" w:type="pct"/>
            <w:hideMark/>
          </w:tcPr>
          <w:p w14:paraId="041FD27C" w14:textId="77777777" w:rsidR="006D61B6" w:rsidRPr="00F04D52" w:rsidRDefault="006D61B6" w:rsidP="006D61B6">
            <w:pPr>
              <w:pStyle w:val="NoSpacing"/>
              <w:rPr>
                <w:sz w:val="24"/>
                <w:szCs w:val="24"/>
              </w:rPr>
            </w:pPr>
          </w:p>
        </w:tc>
        <w:tc>
          <w:tcPr>
            <w:tcW w:w="514" w:type="pct"/>
            <w:hideMark/>
          </w:tcPr>
          <w:p w14:paraId="53DA8C01" w14:textId="77777777" w:rsidR="006D61B6" w:rsidRPr="00F04D52" w:rsidRDefault="006D61B6" w:rsidP="006D61B6">
            <w:pPr>
              <w:pStyle w:val="NoSpacing"/>
              <w:rPr>
                <w:sz w:val="24"/>
                <w:szCs w:val="24"/>
              </w:rPr>
            </w:pPr>
          </w:p>
        </w:tc>
        <w:tc>
          <w:tcPr>
            <w:tcW w:w="570" w:type="pct"/>
            <w:hideMark/>
          </w:tcPr>
          <w:p w14:paraId="0239DB9B" w14:textId="77777777" w:rsidR="006D61B6" w:rsidRPr="00F04D52" w:rsidRDefault="006D61B6" w:rsidP="006D61B6">
            <w:pPr>
              <w:pStyle w:val="NoSpacing"/>
              <w:rPr>
                <w:sz w:val="24"/>
                <w:szCs w:val="24"/>
              </w:rPr>
            </w:pPr>
            <w:r w:rsidRPr="00F04D52">
              <w:rPr>
                <w:sz w:val="24"/>
                <w:szCs w:val="24"/>
              </w:rPr>
              <w:t>0.001</w:t>
            </w:r>
          </w:p>
        </w:tc>
        <w:tc>
          <w:tcPr>
            <w:tcW w:w="514" w:type="pct"/>
            <w:hideMark/>
          </w:tcPr>
          <w:p w14:paraId="00AA899A" w14:textId="77777777" w:rsidR="006D61B6" w:rsidRPr="00F04D52" w:rsidRDefault="006D61B6" w:rsidP="006D61B6">
            <w:pPr>
              <w:pStyle w:val="NoSpacing"/>
              <w:rPr>
                <w:sz w:val="24"/>
                <w:szCs w:val="24"/>
              </w:rPr>
            </w:pPr>
            <w:r w:rsidRPr="00F04D52">
              <w:rPr>
                <w:sz w:val="24"/>
                <w:szCs w:val="24"/>
              </w:rPr>
              <w:t>0.80</w:t>
            </w:r>
          </w:p>
        </w:tc>
      </w:tr>
      <w:tr w:rsidR="006D61B6" w:rsidRPr="00F04D52" w14:paraId="46851D54" w14:textId="77777777" w:rsidTr="00897705">
        <w:tc>
          <w:tcPr>
            <w:tcW w:w="662" w:type="pct"/>
            <w:hideMark/>
          </w:tcPr>
          <w:p w14:paraId="69D0BDFD" w14:textId="77777777" w:rsidR="006D61B6" w:rsidRPr="00800841" w:rsidRDefault="006D61B6" w:rsidP="006D61B6">
            <w:pPr>
              <w:pStyle w:val="NoSpacing"/>
              <w:rPr>
                <w:i/>
                <w:iCs/>
                <w:sz w:val="24"/>
                <w:szCs w:val="24"/>
              </w:rPr>
            </w:pPr>
            <w:r w:rsidRPr="00800841">
              <w:rPr>
                <w:i/>
                <w:iCs/>
                <w:sz w:val="24"/>
                <w:szCs w:val="24"/>
              </w:rPr>
              <w:t>VROE</w:t>
            </w:r>
          </w:p>
        </w:tc>
        <w:tc>
          <w:tcPr>
            <w:tcW w:w="570" w:type="pct"/>
            <w:hideMark/>
          </w:tcPr>
          <w:p w14:paraId="081584FE" w14:textId="77777777" w:rsidR="006D61B6" w:rsidRPr="00F04D52" w:rsidRDefault="006D61B6" w:rsidP="006D61B6">
            <w:pPr>
              <w:pStyle w:val="NoSpacing"/>
              <w:rPr>
                <w:sz w:val="24"/>
                <w:szCs w:val="24"/>
              </w:rPr>
            </w:pPr>
          </w:p>
        </w:tc>
        <w:tc>
          <w:tcPr>
            <w:tcW w:w="514" w:type="pct"/>
            <w:hideMark/>
          </w:tcPr>
          <w:p w14:paraId="3C9BB99F" w14:textId="77777777" w:rsidR="006D61B6" w:rsidRPr="00F04D52" w:rsidRDefault="006D61B6" w:rsidP="006D61B6">
            <w:pPr>
              <w:pStyle w:val="NoSpacing"/>
              <w:rPr>
                <w:sz w:val="24"/>
                <w:szCs w:val="24"/>
              </w:rPr>
            </w:pPr>
          </w:p>
        </w:tc>
        <w:tc>
          <w:tcPr>
            <w:tcW w:w="570" w:type="pct"/>
            <w:hideMark/>
          </w:tcPr>
          <w:p w14:paraId="3D2CEF30" w14:textId="77777777" w:rsidR="006D61B6" w:rsidRPr="00F04D52" w:rsidRDefault="006D61B6" w:rsidP="006D61B6">
            <w:pPr>
              <w:pStyle w:val="NoSpacing"/>
              <w:rPr>
                <w:sz w:val="24"/>
                <w:szCs w:val="24"/>
              </w:rPr>
            </w:pPr>
            <w:r w:rsidRPr="00F04D52">
              <w:rPr>
                <w:sz w:val="24"/>
                <w:szCs w:val="24"/>
              </w:rPr>
              <w:t>0.023*</w:t>
            </w:r>
          </w:p>
        </w:tc>
        <w:tc>
          <w:tcPr>
            <w:tcW w:w="514" w:type="pct"/>
            <w:hideMark/>
          </w:tcPr>
          <w:p w14:paraId="7FE0E9E3" w14:textId="77777777" w:rsidR="006D61B6" w:rsidRPr="00F04D52" w:rsidRDefault="006D61B6" w:rsidP="006D61B6">
            <w:pPr>
              <w:pStyle w:val="NoSpacing"/>
              <w:rPr>
                <w:sz w:val="24"/>
                <w:szCs w:val="24"/>
              </w:rPr>
            </w:pPr>
            <w:r w:rsidRPr="00F04D52">
              <w:rPr>
                <w:sz w:val="24"/>
                <w:szCs w:val="24"/>
              </w:rPr>
              <w:t>1.88</w:t>
            </w:r>
          </w:p>
        </w:tc>
        <w:tc>
          <w:tcPr>
            <w:tcW w:w="570" w:type="pct"/>
            <w:hideMark/>
          </w:tcPr>
          <w:p w14:paraId="7279A76B" w14:textId="77777777" w:rsidR="006D61B6" w:rsidRPr="00F04D52" w:rsidRDefault="006D61B6" w:rsidP="006D61B6">
            <w:pPr>
              <w:pStyle w:val="NoSpacing"/>
              <w:rPr>
                <w:sz w:val="24"/>
                <w:szCs w:val="24"/>
              </w:rPr>
            </w:pPr>
          </w:p>
        </w:tc>
        <w:tc>
          <w:tcPr>
            <w:tcW w:w="514" w:type="pct"/>
            <w:hideMark/>
          </w:tcPr>
          <w:p w14:paraId="40189ABF" w14:textId="77777777" w:rsidR="006D61B6" w:rsidRPr="00F04D52" w:rsidRDefault="006D61B6" w:rsidP="006D61B6">
            <w:pPr>
              <w:pStyle w:val="NoSpacing"/>
              <w:rPr>
                <w:sz w:val="24"/>
                <w:szCs w:val="24"/>
              </w:rPr>
            </w:pPr>
          </w:p>
        </w:tc>
        <w:tc>
          <w:tcPr>
            <w:tcW w:w="570" w:type="pct"/>
            <w:hideMark/>
          </w:tcPr>
          <w:p w14:paraId="0AF57A5D" w14:textId="77777777" w:rsidR="006D61B6" w:rsidRPr="00F04D52" w:rsidRDefault="006D61B6" w:rsidP="006D61B6">
            <w:pPr>
              <w:pStyle w:val="NoSpacing"/>
              <w:rPr>
                <w:sz w:val="24"/>
                <w:szCs w:val="24"/>
              </w:rPr>
            </w:pPr>
            <w:r w:rsidRPr="00F04D52">
              <w:rPr>
                <w:sz w:val="24"/>
                <w:szCs w:val="24"/>
              </w:rPr>
              <w:t>0.000</w:t>
            </w:r>
          </w:p>
        </w:tc>
        <w:tc>
          <w:tcPr>
            <w:tcW w:w="514" w:type="pct"/>
            <w:hideMark/>
          </w:tcPr>
          <w:p w14:paraId="0664079F" w14:textId="77777777" w:rsidR="006D61B6" w:rsidRPr="00F04D52" w:rsidRDefault="006D61B6" w:rsidP="006D61B6">
            <w:pPr>
              <w:pStyle w:val="NoSpacing"/>
              <w:rPr>
                <w:sz w:val="24"/>
                <w:szCs w:val="24"/>
              </w:rPr>
            </w:pPr>
            <w:r w:rsidRPr="00F04D52">
              <w:rPr>
                <w:sz w:val="24"/>
                <w:szCs w:val="24"/>
              </w:rPr>
              <w:t>0.09</w:t>
            </w:r>
          </w:p>
        </w:tc>
      </w:tr>
      <w:tr w:rsidR="006D61B6" w:rsidRPr="00F04D52" w14:paraId="40FF917E" w14:textId="77777777" w:rsidTr="00897705">
        <w:tc>
          <w:tcPr>
            <w:tcW w:w="662" w:type="pct"/>
            <w:hideMark/>
          </w:tcPr>
          <w:p w14:paraId="7BC2ECB0" w14:textId="77777777" w:rsidR="006D61B6" w:rsidRPr="00800841" w:rsidRDefault="006D61B6" w:rsidP="006D61B6">
            <w:pPr>
              <w:pStyle w:val="NoSpacing"/>
              <w:rPr>
                <w:i/>
                <w:iCs/>
                <w:sz w:val="24"/>
                <w:szCs w:val="24"/>
              </w:rPr>
            </w:pPr>
            <w:r w:rsidRPr="00800841">
              <w:rPr>
                <w:i/>
                <w:iCs/>
                <w:sz w:val="24"/>
                <w:szCs w:val="24"/>
              </w:rPr>
              <w:t>LEV</w:t>
            </w:r>
          </w:p>
        </w:tc>
        <w:tc>
          <w:tcPr>
            <w:tcW w:w="570" w:type="pct"/>
            <w:hideMark/>
          </w:tcPr>
          <w:p w14:paraId="7FFF1F95" w14:textId="77777777" w:rsidR="006D61B6" w:rsidRPr="00F04D52" w:rsidRDefault="006D61B6" w:rsidP="006D61B6">
            <w:pPr>
              <w:pStyle w:val="NoSpacing"/>
              <w:rPr>
                <w:sz w:val="24"/>
                <w:szCs w:val="24"/>
              </w:rPr>
            </w:pPr>
          </w:p>
        </w:tc>
        <w:tc>
          <w:tcPr>
            <w:tcW w:w="514" w:type="pct"/>
            <w:hideMark/>
          </w:tcPr>
          <w:p w14:paraId="796B9CDF" w14:textId="77777777" w:rsidR="006D61B6" w:rsidRPr="00F04D52" w:rsidRDefault="006D61B6" w:rsidP="006D61B6">
            <w:pPr>
              <w:pStyle w:val="NoSpacing"/>
              <w:rPr>
                <w:sz w:val="24"/>
                <w:szCs w:val="24"/>
              </w:rPr>
            </w:pPr>
          </w:p>
        </w:tc>
        <w:tc>
          <w:tcPr>
            <w:tcW w:w="570" w:type="pct"/>
            <w:hideMark/>
          </w:tcPr>
          <w:p w14:paraId="306E200F" w14:textId="77777777" w:rsidR="006D61B6" w:rsidRPr="00F04D52" w:rsidRDefault="006D61B6" w:rsidP="006D61B6">
            <w:pPr>
              <w:pStyle w:val="NoSpacing"/>
              <w:rPr>
                <w:sz w:val="24"/>
                <w:szCs w:val="24"/>
              </w:rPr>
            </w:pPr>
            <w:r w:rsidRPr="00F04D52">
              <w:rPr>
                <w:sz w:val="24"/>
                <w:szCs w:val="24"/>
              </w:rPr>
              <w:t>0.058</w:t>
            </w:r>
          </w:p>
        </w:tc>
        <w:tc>
          <w:tcPr>
            <w:tcW w:w="514" w:type="pct"/>
            <w:hideMark/>
          </w:tcPr>
          <w:p w14:paraId="0BD09B78" w14:textId="77777777" w:rsidR="006D61B6" w:rsidRPr="00F04D52" w:rsidRDefault="006D61B6" w:rsidP="006D61B6">
            <w:pPr>
              <w:pStyle w:val="NoSpacing"/>
              <w:rPr>
                <w:sz w:val="24"/>
                <w:szCs w:val="24"/>
              </w:rPr>
            </w:pPr>
            <w:r w:rsidRPr="00F04D52">
              <w:rPr>
                <w:sz w:val="24"/>
                <w:szCs w:val="24"/>
              </w:rPr>
              <w:t>0.54</w:t>
            </w:r>
          </w:p>
        </w:tc>
        <w:tc>
          <w:tcPr>
            <w:tcW w:w="570" w:type="pct"/>
            <w:hideMark/>
          </w:tcPr>
          <w:p w14:paraId="5CE91106" w14:textId="77777777" w:rsidR="006D61B6" w:rsidRPr="00F04D52" w:rsidRDefault="006D61B6" w:rsidP="006D61B6">
            <w:pPr>
              <w:pStyle w:val="NoSpacing"/>
              <w:rPr>
                <w:sz w:val="24"/>
                <w:szCs w:val="24"/>
              </w:rPr>
            </w:pPr>
          </w:p>
        </w:tc>
        <w:tc>
          <w:tcPr>
            <w:tcW w:w="514" w:type="pct"/>
            <w:hideMark/>
          </w:tcPr>
          <w:p w14:paraId="743F097D" w14:textId="77777777" w:rsidR="006D61B6" w:rsidRPr="00F04D52" w:rsidRDefault="006D61B6" w:rsidP="006D61B6">
            <w:pPr>
              <w:pStyle w:val="NoSpacing"/>
              <w:rPr>
                <w:sz w:val="24"/>
                <w:szCs w:val="24"/>
              </w:rPr>
            </w:pPr>
          </w:p>
        </w:tc>
        <w:tc>
          <w:tcPr>
            <w:tcW w:w="570" w:type="pct"/>
            <w:hideMark/>
          </w:tcPr>
          <w:p w14:paraId="315BF958" w14:textId="77777777" w:rsidR="006D61B6" w:rsidRPr="00F04D52" w:rsidRDefault="006D61B6" w:rsidP="006D61B6">
            <w:pPr>
              <w:pStyle w:val="NoSpacing"/>
              <w:rPr>
                <w:sz w:val="24"/>
                <w:szCs w:val="24"/>
              </w:rPr>
            </w:pPr>
            <w:r w:rsidRPr="00F04D52">
              <w:rPr>
                <w:sz w:val="24"/>
                <w:szCs w:val="24"/>
              </w:rPr>
              <w:t>0.002</w:t>
            </w:r>
          </w:p>
        </w:tc>
        <w:tc>
          <w:tcPr>
            <w:tcW w:w="514" w:type="pct"/>
            <w:hideMark/>
          </w:tcPr>
          <w:p w14:paraId="30798567" w14:textId="77777777" w:rsidR="006D61B6" w:rsidRPr="00F04D52" w:rsidRDefault="006D61B6" w:rsidP="006D61B6">
            <w:pPr>
              <w:pStyle w:val="NoSpacing"/>
              <w:rPr>
                <w:sz w:val="24"/>
                <w:szCs w:val="24"/>
              </w:rPr>
            </w:pPr>
            <w:r w:rsidRPr="00F04D52">
              <w:rPr>
                <w:sz w:val="24"/>
                <w:szCs w:val="24"/>
              </w:rPr>
              <w:t>0.49</w:t>
            </w:r>
          </w:p>
        </w:tc>
      </w:tr>
      <w:tr w:rsidR="006D61B6" w:rsidRPr="00F04D52" w14:paraId="7FA44800" w14:textId="77777777" w:rsidTr="00897705">
        <w:tc>
          <w:tcPr>
            <w:tcW w:w="662" w:type="pct"/>
            <w:hideMark/>
          </w:tcPr>
          <w:p w14:paraId="277D56C8" w14:textId="77777777" w:rsidR="006D61B6" w:rsidRPr="00800841" w:rsidRDefault="006D61B6" w:rsidP="006D61B6">
            <w:pPr>
              <w:pStyle w:val="NoSpacing"/>
              <w:rPr>
                <w:i/>
                <w:iCs/>
                <w:sz w:val="24"/>
                <w:szCs w:val="24"/>
              </w:rPr>
            </w:pPr>
            <w:r w:rsidRPr="00800841">
              <w:rPr>
                <w:i/>
                <w:iCs/>
                <w:sz w:val="24"/>
                <w:szCs w:val="24"/>
              </w:rPr>
              <w:t>AGE</w:t>
            </w:r>
          </w:p>
        </w:tc>
        <w:tc>
          <w:tcPr>
            <w:tcW w:w="570" w:type="pct"/>
            <w:hideMark/>
          </w:tcPr>
          <w:p w14:paraId="0E76FF7D" w14:textId="77777777" w:rsidR="006D61B6" w:rsidRPr="00F04D52" w:rsidRDefault="006D61B6" w:rsidP="006D61B6">
            <w:pPr>
              <w:pStyle w:val="NoSpacing"/>
              <w:rPr>
                <w:sz w:val="24"/>
                <w:szCs w:val="24"/>
              </w:rPr>
            </w:pPr>
          </w:p>
        </w:tc>
        <w:tc>
          <w:tcPr>
            <w:tcW w:w="514" w:type="pct"/>
            <w:hideMark/>
          </w:tcPr>
          <w:p w14:paraId="0634272B" w14:textId="77777777" w:rsidR="006D61B6" w:rsidRPr="00F04D52" w:rsidRDefault="006D61B6" w:rsidP="006D61B6">
            <w:pPr>
              <w:pStyle w:val="NoSpacing"/>
              <w:rPr>
                <w:sz w:val="24"/>
                <w:szCs w:val="24"/>
              </w:rPr>
            </w:pPr>
          </w:p>
        </w:tc>
        <w:tc>
          <w:tcPr>
            <w:tcW w:w="570" w:type="pct"/>
            <w:hideMark/>
          </w:tcPr>
          <w:p w14:paraId="19CF5E69" w14:textId="77777777" w:rsidR="006D61B6" w:rsidRPr="00F04D52" w:rsidRDefault="006D61B6" w:rsidP="006D61B6">
            <w:pPr>
              <w:pStyle w:val="NoSpacing"/>
              <w:rPr>
                <w:sz w:val="24"/>
                <w:szCs w:val="24"/>
              </w:rPr>
            </w:pPr>
            <w:r w:rsidRPr="00F04D52">
              <w:rPr>
                <w:sz w:val="24"/>
                <w:szCs w:val="24"/>
              </w:rPr>
              <w:t>−0.616***</w:t>
            </w:r>
          </w:p>
        </w:tc>
        <w:tc>
          <w:tcPr>
            <w:tcW w:w="514" w:type="pct"/>
            <w:hideMark/>
          </w:tcPr>
          <w:p w14:paraId="4365A80E" w14:textId="77777777" w:rsidR="006D61B6" w:rsidRPr="00F04D52" w:rsidRDefault="006D61B6" w:rsidP="006D61B6">
            <w:pPr>
              <w:pStyle w:val="NoSpacing"/>
              <w:rPr>
                <w:sz w:val="24"/>
                <w:szCs w:val="24"/>
              </w:rPr>
            </w:pPr>
            <w:r w:rsidRPr="00F04D52">
              <w:rPr>
                <w:sz w:val="24"/>
                <w:szCs w:val="24"/>
              </w:rPr>
              <w:t>−5.91</w:t>
            </w:r>
          </w:p>
        </w:tc>
        <w:tc>
          <w:tcPr>
            <w:tcW w:w="570" w:type="pct"/>
            <w:hideMark/>
          </w:tcPr>
          <w:p w14:paraId="2DECE69F" w14:textId="77777777" w:rsidR="006D61B6" w:rsidRPr="00F04D52" w:rsidRDefault="006D61B6" w:rsidP="006D61B6">
            <w:pPr>
              <w:pStyle w:val="NoSpacing"/>
              <w:rPr>
                <w:sz w:val="24"/>
                <w:szCs w:val="24"/>
              </w:rPr>
            </w:pPr>
          </w:p>
        </w:tc>
        <w:tc>
          <w:tcPr>
            <w:tcW w:w="514" w:type="pct"/>
            <w:hideMark/>
          </w:tcPr>
          <w:p w14:paraId="74582AD0" w14:textId="77777777" w:rsidR="006D61B6" w:rsidRPr="00F04D52" w:rsidRDefault="006D61B6" w:rsidP="006D61B6">
            <w:pPr>
              <w:pStyle w:val="NoSpacing"/>
              <w:rPr>
                <w:sz w:val="24"/>
                <w:szCs w:val="24"/>
              </w:rPr>
            </w:pPr>
          </w:p>
        </w:tc>
        <w:tc>
          <w:tcPr>
            <w:tcW w:w="570" w:type="pct"/>
            <w:hideMark/>
          </w:tcPr>
          <w:p w14:paraId="756F7195" w14:textId="77777777" w:rsidR="006D61B6" w:rsidRPr="00F04D52" w:rsidRDefault="006D61B6" w:rsidP="006D61B6">
            <w:pPr>
              <w:pStyle w:val="NoSpacing"/>
              <w:rPr>
                <w:sz w:val="24"/>
                <w:szCs w:val="24"/>
              </w:rPr>
            </w:pPr>
            <w:r w:rsidRPr="00F04D52">
              <w:rPr>
                <w:sz w:val="24"/>
                <w:szCs w:val="24"/>
              </w:rPr>
              <w:t>−0.006</w:t>
            </w:r>
          </w:p>
        </w:tc>
        <w:tc>
          <w:tcPr>
            <w:tcW w:w="514" w:type="pct"/>
            <w:hideMark/>
          </w:tcPr>
          <w:p w14:paraId="4F65636E" w14:textId="77777777" w:rsidR="006D61B6" w:rsidRPr="00F04D52" w:rsidRDefault="006D61B6" w:rsidP="006D61B6">
            <w:pPr>
              <w:pStyle w:val="NoSpacing"/>
              <w:rPr>
                <w:sz w:val="24"/>
                <w:szCs w:val="24"/>
              </w:rPr>
            </w:pPr>
            <w:r w:rsidRPr="00F04D52">
              <w:rPr>
                <w:sz w:val="24"/>
                <w:szCs w:val="24"/>
              </w:rPr>
              <w:t>−1.33</w:t>
            </w:r>
          </w:p>
        </w:tc>
      </w:tr>
      <w:tr w:rsidR="006D61B6" w:rsidRPr="00F04D52" w14:paraId="3488ED1F" w14:textId="77777777" w:rsidTr="00897705">
        <w:tc>
          <w:tcPr>
            <w:tcW w:w="662" w:type="pct"/>
            <w:hideMark/>
          </w:tcPr>
          <w:p w14:paraId="5C6B2E6C" w14:textId="77777777" w:rsidR="006D61B6" w:rsidRPr="00800841" w:rsidRDefault="006D61B6" w:rsidP="006D61B6">
            <w:pPr>
              <w:pStyle w:val="NoSpacing"/>
              <w:rPr>
                <w:i/>
                <w:iCs/>
                <w:sz w:val="24"/>
                <w:szCs w:val="24"/>
              </w:rPr>
            </w:pPr>
            <w:r w:rsidRPr="00800841">
              <w:rPr>
                <w:i/>
                <w:iCs/>
                <w:sz w:val="24"/>
                <w:szCs w:val="24"/>
              </w:rPr>
              <w:t>DIV</w:t>
            </w:r>
          </w:p>
        </w:tc>
        <w:tc>
          <w:tcPr>
            <w:tcW w:w="570" w:type="pct"/>
            <w:hideMark/>
          </w:tcPr>
          <w:p w14:paraId="16E0B9FB" w14:textId="77777777" w:rsidR="006D61B6" w:rsidRPr="00F04D52" w:rsidRDefault="006D61B6" w:rsidP="006D61B6">
            <w:pPr>
              <w:pStyle w:val="NoSpacing"/>
              <w:rPr>
                <w:sz w:val="24"/>
                <w:szCs w:val="24"/>
              </w:rPr>
            </w:pPr>
          </w:p>
        </w:tc>
        <w:tc>
          <w:tcPr>
            <w:tcW w:w="514" w:type="pct"/>
            <w:hideMark/>
          </w:tcPr>
          <w:p w14:paraId="464B965E" w14:textId="77777777" w:rsidR="006D61B6" w:rsidRPr="00F04D52" w:rsidRDefault="006D61B6" w:rsidP="006D61B6">
            <w:pPr>
              <w:pStyle w:val="NoSpacing"/>
              <w:rPr>
                <w:sz w:val="24"/>
                <w:szCs w:val="24"/>
              </w:rPr>
            </w:pPr>
          </w:p>
        </w:tc>
        <w:tc>
          <w:tcPr>
            <w:tcW w:w="570" w:type="pct"/>
            <w:hideMark/>
          </w:tcPr>
          <w:p w14:paraId="5CD4793A" w14:textId="77777777" w:rsidR="006D61B6" w:rsidRPr="00F04D52" w:rsidRDefault="006D61B6" w:rsidP="006D61B6">
            <w:pPr>
              <w:pStyle w:val="NoSpacing"/>
              <w:rPr>
                <w:sz w:val="24"/>
                <w:szCs w:val="24"/>
              </w:rPr>
            </w:pPr>
            <w:r w:rsidRPr="00F04D52">
              <w:rPr>
                <w:sz w:val="24"/>
                <w:szCs w:val="24"/>
              </w:rPr>
              <w:t>0.097**</w:t>
            </w:r>
          </w:p>
        </w:tc>
        <w:tc>
          <w:tcPr>
            <w:tcW w:w="514" w:type="pct"/>
            <w:hideMark/>
          </w:tcPr>
          <w:p w14:paraId="5E3B812E" w14:textId="77777777" w:rsidR="006D61B6" w:rsidRPr="00F04D52" w:rsidRDefault="006D61B6" w:rsidP="006D61B6">
            <w:pPr>
              <w:pStyle w:val="NoSpacing"/>
              <w:rPr>
                <w:sz w:val="24"/>
                <w:szCs w:val="24"/>
              </w:rPr>
            </w:pPr>
            <w:r w:rsidRPr="00F04D52">
              <w:rPr>
                <w:sz w:val="24"/>
                <w:szCs w:val="24"/>
              </w:rPr>
              <w:t>2.43</w:t>
            </w:r>
          </w:p>
        </w:tc>
        <w:tc>
          <w:tcPr>
            <w:tcW w:w="570" w:type="pct"/>
            <w:hideMark/>
          </w:tcPr>
          <w:p w14:paraId="2BD7BD1F" w14:textId="77777777" w:rsidR="006D61B6" w:rsidRPr="00F04D52" w:rsidRDefault="006D61B6" w:rsidP="006D61B6">
            <w:pPr>
              <w:pStyle w:val="NoSpacing"/>
              <w:rPr>
                <w:sz w:val="24"/>
                <w:szCs w:val="24"/>
              </w:rPr>
            </w:pPr>
          </w:p>
        </w:tc>
        <w:tc>
          <w:tcPr>
            <w:tcW w:w="514" w:type="pct"/>
            <w:hideMark/>
          </w:tcPr>
          <w:p w14:paraId="0E7F07F6" w14:textId="77777777" w:rsidR="006D61B6" w:rsidRPr="00F04D52" w:rsidRDefault="006D61B6" w:rsidP="006D61B6">
            <w:pPr>
              <w:pStyle w:val="NoSpacing"/>
              <w:rPr>
                <w:sz w:val="24"/>
                <w:szCs w:val="24"/>
              </w:rPr>
            </w:pPr>
          </w:p>
        </w:tc>
        <w:tc>
          <w:tcPr>
            <w:tcW w:w="570" w:type="pct"/>
            <w:hideMark/>
          </w:tcPr>
          <w:p w14:paraId="3A611699" w14:textId="77777777" w:rsidR="006D61B6" w:rsidRPr="00F04D52" w:rsidRDefault="006D61B6" w:rsidP="006D61B6">
            <w:pPr>
              <w:pStyle w:val="NoSpacing"/>
              <w:rPr>
                <w:sz w:val="24"/>
                <w:szCs w:val="24"/>
              </w:rPr>
            </w:pPr>
            <w:r w:rsidRPr="00F04D52">
              <w:rPr>
                <w:sz w:val="24"/>
                <w:szCs w:val="24"/>
              </w:rPr>
              <w:t>−0.002</w:t>
            </w:r>
          </w:p>
        </w:tc>
        <w:tc>
          <w:tcPr>
            <w:tcW w:w="514" w:type="pct"/>
            <w:hideMark/>
          </w:tcPr>
          <w:p w14:paraId="39ACC832" w14:textId="77777777" w:rsidR="006D61B6" w:rsidRPr="00F04D52" w:rsidRDefault="006D61B6" w:rsidP="006D61B6">
            <w:pPr>
              <w:pStyle w:val="NoSpacing"/>
              <w:rPr>
                <w:sz w:val="24"/>
                <w:szCs w:val="24"/>
              </w:rPr>
            </w:pPr>
            <w:r w:rsidRPr="00F04D52">
              <w:rPr>
                <w:sz w:val="24"/>
                <w:szCs w:val="24"/>
              </w:rPr>
              <w:t>−0.81</w:t>
            </w:r>
          </w:p>
        </w:tc>
      </w:tr>
      <w:tr w:rsidR="006D61B6" w:rsidRPr="00F04D52" w14:paraId="14E1A0B4" w14:textId="77777777" w:rsidTr="00897705">
        <w:tc>
          <w:tcPr>
            <w:tcW w:w="662" w:type="pct"/>
            <w:hideMark/>
          </w:tcPr>
          <w:p w14:paraId="03FD98A1" w14:textId="77777777" w:rsidR="006D61B6" w:rsidRPr="00800841" w:rsidRDefault="006D61B6" w:rsidP="006D61B6">
            <w:pPr>
              <w:pStyle w:val="NoSpacing"/>
              <w:rPr>
                <w:i/>
                <w:iCs/>
                <w:sz w:val="24"/>
                <w:szCs w:val="24"/>
              </w:rPr>
            </w:pPr>
            <w:r w:rsidRPr="00800841">
              <w:rPr>
                <w:i/>
                <w:iCs/>
                <w:sz w:val="24"/>
                <w:szCs w:val="24"/>
              </w:rPr>
              <w:t>DIVER</w:t>
            </w:r>
          </w:p>
        </w:tc>
        <w:tc>
          <w:tcPr>
            <w:tcW w:w="570" w:type="pct"/>
            <w:hideMark/>
          </w:tcPr>
          <w:p w14:paraId="32D50E37" w14:textId="77777777" w:rsidR="006D61B6" w:rsidRPr="00F04D52" w:rsidRDefault="006D61B6" w:rsidP="006D61B6">
            <w:pPr>
              <w:pStyle w:val="NoSpacing"/>
              <w:rPr>
                <w:sz w:val="24"/>
                <w:szCs w:val="24"/>
              </w:rPr>
            </w:pPr>
          </w:p>
        </w:tc>
        <w:tc>
          <w:tcPr>
            <w:tcW w:w="514" w:type="pct"/>
            <w:hideMark/>
          </w:tcPr>
          <w:p w14:paraId="328F1086" w14:textId="77777777" w:rsidR="006D61B6" w:rsidRPr="00F04D52" w:rsidRDefault="006D61B6" w:rsidP="006D61B6">
            <w:pPr>
              <w:pStyle w:val="NoSpacing"/>
              <w:rPr>
                <w:sz w:val="24"/>
                <w:szCs w:val="24"/>
              </w:rPr>
            </w:pPr>
          </w:p>
        </w:tc>
        <w:tc>
          <w:tcPr>
            <w:tcW w:w="570" w:type="pct"/>
            <w:hideMark/>
          </w:tcPr>
          <w:p w14:paraId="3579B587" w14:textId="77777777" w:rsidR="006D61B6" w:rsidRPr="00F04D52" w:rsidRDefault="006D61B6" w:rsidP="006D61B6">
            <w:pPr>
              <w:pStyle w:val="NoSpacing"/>
              <w:rPr>
                <w:sz w:val="24"/>
                <w:szCs w:val="24"/>
              </w:rPr>
            </w:pPr>
            <w:r w:rsidRPr="00F04D52">
              <w:rPr>
                <w:sz w:val="24"/>
                <w:szCs w:val="24"/>
              </w:rPr>
              <w:t>0.015</w:t>
            </w:r>
          </w:p>
        </w:tc>
        <w:tc>
          <w:tcPr>
            <w:tcW w:w="514" w:type="pct"/>
            <w:hideMark/>
          </w:tcPr>
          <w:p w14:paraId="1935D583" w14:textId="77777777" w:rsidR="006D61B6" w:rsidRPr="00F04D52" w:rsidRDefault="006D61B6" w:rsidP="006D61B6">
            <w:pPr>
              <w:pStyle w:val="NoSpacing"/>
              <w:rPr>
                <w:sz w:val="24"/>
                <w:szCs w:val="24"/>
              </w:rPr>
            </w:pPr>
            <w:r w:rsidRPr="00F04D52">
              <w:rPr>
                <w:sz w:val="24"/>
                <w:szCs w:val="24"/>
              </w:rPr>
              <w:t>0.27</w:t>
            </w:r>
          </w:p>
        </w:tc>
        <w:tc>
          <w:tcPr>
            <w:tcW w:w="570" w:type="pct"/>
            <w:hideMark/>
          </w:tcPr>
          <w:p w14:paraId="414CB16C" w14:textId="77777777" w:rsidR="006D61B6" w:rsidRPr="00F04D52" w:rsidRDefault="006D61B6" w:rsidP="006D61B6">
            <w:pPr>
              <w:pStyle w:val="NoSpacing"/>
              <w:rPr>
                <w:sz w:val="24"/>
                <w:szCs w:val="24"/>
              </w:rPr>
            </w:pPr>
          </w:p>
        </w:tc>
        <w:tc>
          <w:tcPr>
            <w:tcW w:w="514" w:type="pct"/>
            <w:hideMark/>
          </w:tcPr>
          <w:p w14:paraId="363F43DE" w14:textId="77777777" w:rsidR="006D61B6" w:rsidRPr="00F04D52" w:rsidRDefault="006D61B6" w:rsidP="006D61B6">
            <w:pPr>
              <w:pStyle w:val="NoSpacing"/>
              <w:rPr>
                <w:sz w:val="24"/>
                <w:szCs w:val="24"/>
              </w:rPr>
            </w:pPr>
          </w:p>
        </w:tc>
        <w:tc>
          <w:tcPr>
            <w:tcW w:w="570" w:type="pct"/>
            <w:hideMark/>
          </w:tcPr>
          <w:p w14:paraId="341B6800" w14:textId="77777777" w:rsidR="006D61B6" w:rsidRPr="00F04D52" w:rsidRDefault="006D61B6" w:rsidP="006D61B6">
            <w:pPr>
              <w:pStyle w:val="NoSpacing"/>
              <w:rPr>
                <w:sz w:val="24"/>
                <w:szCs w:val="24"/>
              </w:rPr>
            </w:pPr>
            <w:r w:rsidRPr="00F04D52">
              <w:rPr>
                <w:sz w:val="24"/>
                <w:szCs w:val="24"/>
              </w:rPr>
              <w:t>−0.001</w:t>
            </w:r>
          </w:p>
        </w:tc>
        <w:tc>
          <w:tcPr>
            <w:tcW w:w="514" w:type="pct"/>
            <w:hideMark/>
          </w:tcPr>
          <w:p w14:paraId="1A71A55D" w14:textId="77777777" w:rsidR="006D61B6" w:rsidRPr="00F04D52" w:rsidRDefault="006D61B6" w:rsidP="006D61B6">
            <w:pPr>
              <w:pStyle w:val="NoSpacing"/>
              <w:rPr>
                <w:sz w:val="24"/>
                <w:szCs w:val="24"/>
              </w:rPr>
            </w:pPr>
            <w:r w:rsidRPr="00F04D52">
              <w:rPr>
                <w:sz w:val="24"/>
                <w:szCs w:val="24"/>
              </w:rPr>
              <w:t>−0.39</w:t>
            </w:r>
          </w:p>
        </w:tc>
      </w:tr>
      <w:tr w:rsidR="006D61B6" w:rsidRPr="00F04D52" w14:paraId="2D5EAD3F" w14:textId="77777777" w:rsidTr="00897705">
        <w:tc>
          <w:tcPr>
            <w:tcW w:w="662" w:type="pct"/>
            <w:hideMark/>
          </w:tcPr>
          <w:p w14:paraId="2EDECA8C" w14:textId="77777777" w:rsidR="006D61B6" w:rsidRPr="00800841" w:rsidRDefault="006D61B6" w:rsidP="006D61B6">
            <w:pPr>
              <w:pStyle w:val="NoSpacing"/>
              <w:rPr>
                <w:i/>
                <w:iCs/>
                <w:sz w:val="24"/>
                <w:szCs w:val="24"/>
              </w:rPr>
            </w:pPr>
            <w:r w:rsidRPr="00800841">
              <w:rPr>
                <w:i/>
                <w:iCs/>
                <w:sz w:val="24"/>
                <w:szCs w:val="24"/>
              </w:rPr>
              <w:t>ANALYSTS</w:t>
            </w:r>
          </w:p>
        </w:tc>
        <w:tc>
          <w:tcPr>
            <w:tcW w:w="570" w:type="pct"/>
            <w:hideMark/>
          </w:tcPr>
          <w:p w14:paraId="340D1655" w14:textId="77777777" w:rsidR="006D61B6" w:rsidRPr="00F04D52" w:rsidRDefault="006D61B6" w:rsidP="006D61B6">
            <w:pPr>
              <w:pStyle w:val="NoSpacing"/>
              <w:rPr>
                <w:sz w:val="24"/>
                <w:szCs w:val="24"/>
              </w:rPr>
            </w:pPr>
          </w:p>
        </w:tc>
        <w:tc>
          <w:tcPr>
            <w:tcW w:w="514" w:type="pct"/>
            <w:hideMark/>
          </w:tcPr>
          <w:p w14:paraId="751E7A91" w14:textId="77777777" w:rsidR="006D61B6" w:rsidRPr="00F04D52" w:rsidRDefault="006D61B6" w:rsidP="006D61B6">
            <w:pPr>
              <w:pStyle w:val="NoSpacing"/>
              <w:rPr>
                <w:sz w:val="24"/>
                <w:szCs w:val="24"/>
              </w:rPr>
            </w:pPr>
          </w:p>
        </w:tc>
        <w:tc>
          <w:tcPr>
            <w:tcW w:w="570" w:type="pct"/>
            <w:hideMark/>
          </w:tcPr>
          <w:p w14:paraId="2D50F5A7" w14:textId="77777777" w:rsidR="006D61B6" w:rsidRPr="00F04D52" w:rsidRDefault="006D61B6" w:rsidP="006D61B6">
            <w:pPr>
              <w:pStyle w:val="NoSpacing"/>
              <w:rPr>
                <w:sz w:val="24"/>
                <w:szCs w:val="24"/>
              </w:rPr>
            </w:pPr>
            <w:r w:rsidRPr="00F04D52">
              <w:rPr>
                <w:sz w:val="24"/>
                <w:szCs w:val="24"/>
              </w:rPr>
              <w:t>−0.212***</w:t>
            </w:r>
          </w:p>
        </w:tc>
        <w:tc>
          <w:tcPr>
            <w:tcW w:w="514" w:type="pct"/>
            <w:hideMark/>
          </w:tcPr>
          <w:p w14:paraId="15ECCD94" w14:textId="77777777" w:rsidR="006D61B6" w:rsidRPr="00F04D52" w:rsidRDefault="006D61B6" w:rsidP="006D61B6">
            <w:pPr>
              <w:pStyle w:val="NoSpacing"/>
              <w:rPr>
                <w:sz w:val="24"/>
                <w:szCs w:val="24"/>
              </w:rPr>
            </w:pPr>
            <w:r w:rsidRPr="00F04D52">
              <w:rPr>
                <w:sz w:val="24"/>
                <w:szCs w:val="24"/>
              </w:rPr>
              <w:t>−7.53</w:t>
            </w:r>
          </w:p>
        </w:tc>
        <w:tc>
          <w:tcPr>
            <w:tcW w:w="570" w:type="pct"/>
            <w:hideMark/>
          </w:tcPr>
          <w:p w14:paraId="38976C4D" w14:textId="77777777" w:rsidR="006D61B6" w:rsidRPr="00F04D52" w:rsidRDefault="006D61B6" w:rsidP="006D61B6">
            <w:pPr>
              <w:pStyle w:val="NoSpacing"/>
              <w:rPr>
                <w:sz w:val="24"/>
                <w:szCs w:val="24"/>
              </w:rPr>
            </w:pPr>
          </w:p>
        </w:tc>
        <w:tc>
          <w:tcPr>
            <w:tcW w:w="514" w:type="pct"/>
            <w:hideMark/>
          </w:tcPr>
          <w:p w14:paraId="24228F08" w14:textId="77777777" w:rsidR="006D61B6" w:rsidRPr="00F04D52" w:rsidRDefault="006D61B6" w:rsidP="006D61B6">
            <w:pPr>
              <w:pStyle w:val="NoSpacing"/>
              <w:rPr>
                <w:sz w:val="24"/>
                <w:szCs w:val="24"/>
              </w:rPr>
            </w:pPr>
          </w:p>
        </w:tc>
        <w:tc>
          <w:tcPr>
            <w:tcW w:w="570" w:type="pct"/>
            <w:hideMark/>
          </w:tcPr>
          <w:p w14:paraId="5CD5DD34" w14:textId="77777777" w:rsidR="006D61B6" w:rsidRPr="00F04D52" w:rsidRDefault="006D61B6" w:rsidP="006D61B6">
            <w:pPr>
              <w:pStyle w:val="NoSpacing"/>
              <w:rPr>
                <w:sz w:val="24"/>
                <w:szCs w:val="24"/>
              </w:rPr>
            </w:pPr>
            <w:r w:rsidRPr="00F04D52">
              <w:rPr>
                <w:sz w:val="24"/>
                <w:szCs w:val="24"/>
              </w:rPr>
              <w:t>−0.003**</w:t>
            </w:r>
          </w:p>
        </w:tc>
        <w:tc>
          <w:tcPr>
            <w:tcW w:w="514" w:type="pct"/>
            <w:hideMark/>
          </w:tcPr>
          <w:p w14:paraId="1393EFAE" w14:textId="77777777" w:rsidR="006D61B6" w:rsidRPr="00F04D52" w:rsidRDefault="006D61B6" w:rsidP="006D61B6">
            <w:pPr>
              <w:pStyle w:val="NoSpacing"/>
              <w:rPr>
                <w:sz w:val="24"/>
                <w:szCs w:val="24"/>
              </w:rPr>
            </w:pPr>
            <w:r w:rsidRPr="00F04D52">
              <w:rPr>
                <w:sz w:val="24"/>
                <w:szCs w:val="24"/>
              </w:rPr>
              <w:t>−2.46</w:t>
            </w:r>
          </w:p>
        </w:tc>
      </w:tr>
      <w:tr w:rsidR="006D61B6" w:rsidRPr="00F04D52" w14:paraId="4C2C22A0" w14:textId="77777777" w:rsidTr="00897705">
        <w:tc>
          <w:tcPr>
            <w:tcW w:w="662" w:type="pct"/>
            <w:hideMark/>
          </w:tcPr>
          <w:p w14:paraId="242904DB" w14:textId="77777777" w:rsidR="006D61B6" w:rsidRPr="00800841" w:rsidRDefault="006D61B6" w:rsidP="006D61B6">
            <w:pPr>
              <w:pStyle w:val="NoSpacing"/>
              <w:rPr>
                <w:i/>
                <w:iCs/>
                <w:sz w:val="24"/>
                <w:szCs w:val="24"/>
              </w:rPr>
            </w:pPr>
            <w:r w:rsidRPr="00800841">
              <w:rPr>
                <w:i/>
                <w:iCs/>
                <w:sz w:val="24"/>
                <w:szCs w:val="24"/>
              </w:rPr>
              <w:t>BETA</w:t>
            </w:r>
          </w:p>
        </w:tc>
        <w:tc>
          <w:tcPr>
            <w:tcW w:w="570" w:type="pct"/>
            <w:hideMark/>
          </w:tcPr>
          <w:p w14:paraId="54AC1D86" w14:textId="77777777" w:rsidR="006D61B6" w:rsidRPr="00F04D52" w:rsidRDefault="006D61B6" w:rsidP="006D61B6">
            <w:pPr>
              <w:pStyle w:val="NoSpacing"/>
              <w:rPr>
                <w:sz w:val="24"/>
                <w:szCs w:val="24"/>
              </w:rPr>
            </w:pPr>
          </w:p>
        </w:tc>
        <w:tc>
          <w:tcPr>
            <w:tcW w:w="514" w:type="pct"/>
            <w:hideMark/>
          </w:tcPr>
          <w:p w14:paraId="69F580F5" w14:textId="77777777" w:rsidR="006D61B6" w:rsidRPr="00F04D52" w:rsidRDefault="006D61B6" w:rsidP="006D61B6">
            <w:pPr>
              <w:pStyle w:val="NoSpacing"/>
              <w:rPr>
                <w:sz w:val="24"/>
                <w:szCs w:val="24"/>
              </w:rPr>
            </w:pPr>
          </w:p>
        </w:tc>
        <w:tc>
          <w:tcPr>
            <w:tcW w:w="570" w:type="pct"/>
            <w:hideMark/>
          </w:tcPr>
          <w:p w14:paraId="0A612AB2" w14:textId="77777777" w:rsidR="006D61B6" w:rsidRPr="00F04D52" w:rsidRDefault="006D61B6" w:rsidP="006D61B6">
            <w:pPr>
              <w:pStyle w:val="NoSpacing"/>
              <w:rPr>
                <w:sz w:val="24"/>
                <w:szCs w:val="24"/>
              </w:rPr>
            </w:pPr>
            <w:r w:rsidRPr="00F04D52">
              <w:rPr>
                <w:sz w:val="24"/>
                <w:szCs w:val="24"/>
              </w:rPr>
              <w:t>−0.234***</w:t>
            </w:r>
          </w:p>
        </w:tc>
        <w:tc>
          <w:tcPr>
            <w:tcW w:w="514" w:type="pct"/>
            <w:hideMark/>
          </w:tcPr>
          <w:p w14:paraId="4CAFB386" w14:textId="77777777" w:rsidR="006D61B6" w:rsidRPr="00F04D52" w:rsidRDefault="006D61B6" w:rsidP="006D61B6">
            <w:pPr>
              <w:pStyle w:val="NoSpacing"/>
              <w:rPr>
                <w:sz w:val="24"/>
                <w:szCs w:val="24"/>
              </w:rPr>
            </w:pPr>
            <w:r w:rsidRPr="00F04D52">
              <w:rPr>
                <w:sz w:val="24"/>
                <w:szCs w:val="24"/>
              </w:rPr>
              <w:t>−9.61</w:t>
            </w:r>
          </w:p>
        </w:tc>
        <w:tc>
          <w:tcPr>
            <w:tcW w:w="570" w:type="pct"/>
            <w:hideMark/>
          </w:tcPr>
          <w:p w14:paraId="0B86F2C0" w14:textId="77777777" w:rsidR="006D61B6" w:rsidRPr="00F04D52" w:rsidRDefault="006D61B6" w:rsidP="006D61B6">
            <w:pPr>
              <w:pStyle w:val="NoSpacing"/>
              <w:rPr>
                <w:sz w:val="24"/>
                <w:szCs w:val="24"/>
              </w:rPr>
            </w:pPr>
          </w:p>
        </w:tc>
        <w:tc>
          <w:tcPr>
            <w:tcW w:w="514" w:type="pct"/>
            <w:hideMark/>
          </w:tcPr>
          <w:p w14:paraId="531B65C6" w14:textId="77777777" w:rsidR="006D61B6" w:rsidRPr="00F04D52" w:rsidRDefault="006D61B6" w:rsidP="006D61B6">
            <w:pPr>
              <w:pStyle w:val="NoSpacing"/>
              <w:rPr>
                <w:sz w:val="24"/>
                <w:szCs w:val="24"/>
              </w:rPr>
            </w:pPr>
          </w:p>
        </w:tc>
        <w:tc>
          <w:tcPr>
            <w:tcW w:w="570" w:type="pct"/>
            <w:hideMark/>
          </w:tcPr>
          <w:p w14:paraId="5D1C3558" w14:textId="77777777" w:rsidR="006D61B6" w:rsidRPr="00F04D52" w:rsidRDefault="006D61B6" w:rsidP="006D61B6">
            <w:pPr>
              <w:pStyle w:val="NoSpacing"/>
              <w:rPr>
                <w:sz w:val="24"/>
                <w:szCs w:val="24"/>
              </w:rPr>
            </w:pPr>
            <w:r w:rsidRPr="00F04D52">
              <w:rPr>
                <w:sz w:val="24"/>
                <w:szCs w:val="24"/>
              </w:rPr>
              <w:t>−0.013***</w:t>
            </w:r>
          </w:p>
        </w:tc>
        <w:tc>
          <w:tcPr>
            <w:tcW w:w="514" w:type="pct"/>
            <w:hideMark/>
          </w:tcPr>
          <w:p w14:paraId="1E3757B3" w14:textId="77777777" w:rsidR="006D61B6" w:rsidRPr="00F04D52" w:rsidRDefault="006D61B6" w:rsidP="006D61B6">
            <w:pPr>
              <w:pStyle w:val="NoSpacing"/>
              <w:rPr>
                <w:sz w:val="24"/>
                <w:szCs w:val="24"/>
              </w:rPr>
            </w:pPr>
            <w:r w:rsidRPr="00F04D52">
              <w:rPr>
                <w:sz w:val="24"/>
                <w:szCs w:val="24"/>
              </w:rPr>
              <w:t>−11.12</w:t>
            </w:r>
          </w:p>
        </w:tc>
      </w:tr>
      <w:tr w:rsidR="006D61B6" w:rsidRPr="00F04D52" w14:paraId="6CC58A35" w14:textId="77777777" w:rsidTr="00897705">
        <w:tc>
          <w:tcPr>
            <w:tcW w:w="662" w:type="pct"/>
            <w:hideMark/>
          </w:tcPr>
          <w:p w14:paraId="54394198" w14:textId="77777777" w:rsidR="006D61B6" w:rsidRPr="00800841" w:rsidRDefault="006D61B6" w:rsidP="006D61B6">
            <w:pPr>
              <w:pStyle w:val="NoSpacing"/>
              <w:rPr>
                <w:i/>
                <w:iCs/>
                <w:sz w:val="24"/>
                <w:szCs w:val="24"/>
              </w:rPr>
            </w:pPr>
            <w:r w:rsidRPr="00800841">
              <w:rPr>
                <w:i/>
                <w:iCs/>
                <w:sz w:val="24"/>
                <w:szCs w:val="24"/>
              </w:rPr>
              <w:t>EQ</w:t>
            </w:r>
          </w:p>
        </w:tc>
        <w:tc>
          <w:tcPr>
            <w:tcW w:w="570" w:type="pct"/>
            <w:hideMark/>
          </w:tcPr>
          <w:p w14:paraId="33964C85" w14:textId="77777777" w:rsidR="006D61B6" w:rsidRPr="00F04D52" w:rsidRDefault="006D61B6" w:rsidP="006D61B6">
            <w:pPr>
              <w:pStyle w:val="NoSpacing"/>
              <w:rPr>
                <w:sz w:val="24"/>
                <w:szCs w:val="24"/>
              </w:rPr>
            </w:pPr>
          </w:p>
        </w:tc>
        <w:tc>
          <w:tcPr>
            <w:tcW w:w="514" w:type="pct"/>
            <w:hideMark/>
          </w:tcPr>
          <w:p w14:paraId="28025E2A" w14:textId="77777777" w:rsidR="006D61B6" w:rsidRPr="00F04D52" w:rsidRDefault="006D61B6" w:rsidP="006D61B6">
            <w:pPr>
              <w:pStyle w:val="NoSpacing"/>
              <w:rPr>
                <w:sz w:val="24"/>
                <w:szCs w:val="24"/>
              </w:rPr>
            </w:pPr>
          </w:p>
        </w:tc>
        <w:tc>
          <w:tcPr>
            <w:tcW w:w="570" w:type="pct"/>
            <w:hideMark/>
          </w:tcPr>
          <w:p w14:paraId="7DE32E8C" w14:textId="77777777" w:rsidR="006D61B6" w:rsidRPr="00F04D52" w:rsidRDefault="006D61B6" w:rsidP="006D61B6">
            <w:pPr>
              <w:pStyle w:val="NoSpacing"/>
              <w:rPr>
                <w:sz w:val="24"/>
                <w:szCs w:val="24"/>
              </w:rPr>
            </w:pPr>
            <w:r w:rsidRPr="00F04D52">
              <w:rPr>
                <w:sz w:val="24"/>
                <w:szCs w:val="24"/>
              </w:rPr>
              <w:t>0.013***</w:t>
            </w:r>
          </w:p>
        </w:tc>
        <w:tc>
          <w:tcPr>
            <w:tcW w:w="514" w:type="pct"/>
            <w:hideMark/>
          </w:tcPr>
          <w:p w14:paraId="0F7DA108" w14:textId="77777777" w:rsidR="006D61B6" w:rsidRPr="00F04D52" w:rsidRDefault="006D61B6" w:rsidP="006D61B6">
            <w:pPr>
              <w:pStyle w:val="NoSpacing"/>
              <w:rPr>
                <w:sz w:val="24"/>
                <w:szCs w:val="24"/>
              </w:rPr>
            </w:pPr>
            <w:r w:rsidRPr="00F04D52">
              <w:rPr>
                <w:sz w:val="24"/>
                <w:szCs w:val="24"/>
              </w:rPr>
              <w:t>3.08</w:t>
            </w:r>
          </w:p>
        </w:tc>
        <w:tc>
          <w:tcPr>
            <w:tcW w:w="570" w:type="pct"/>
            <w:hideMark/>
          </w:tcPr>
          <w:p w14:paraId="6197603C" w14:textId="77777777" w:rsidR="006D61B6" w:rsidRPr="00F04D52" w:rsidRDefault="006D61B6" w:rsidP="006D61B6">
            <w:pPr>
              <w:pStyle w:val="NoSpacing"/>
              <w:rPr>
                <w:sz w:val="24"/>
                <w:szCs w:val="24"/>
              </w:rPr>
            </w:pPr>
          </w:p>
        </w:tc>
        <w:tc>
          <w:tcPr>
            <w:tcW w:w="514" w:type="pct"/>
            <w:hideMark/>
          </w:tcPr>
          <w:p w14:paraId="0753BDB5" w14:textId="77777777" w:rsidR="006D61B6" w:rsidRPr="00F04D52" w:rsidRDefault="006D61B6" w:rsidP="006D61B6">
            <w:pPr>
              <w:pStyle w:val="NoSpacing"/>
              <w:rPr>
                <w:sz w:val="24"/>
                <w:szCs w:val="24"/>
              </w:rPr>
            </w:pPr>
          </w:p>
        </w:tc>
        <w:tc>
          <w:tcPr>
            <w:tcW w:w="570" w:type="pct"/>
            <w:hideMark/>
          </w:tcPr>
          <w:p w14:paraId="32A18F6A" w14:textId="77777777" w:rsidR="006D61B6" w:rsidRPr="00F04D52" w:rsidRDefault="006D61B6" w:rsidP="006D61B6">
            <w:pPr>
              <w:pStyle w:val="NoSpacing"/>
              <w:rPr>
                <w:sz w:val="24"/>
                <w:szCs w:val="24"/>
              </w:rPr>
            </w:pPr>
            <w:r w:rsidRPr="00F04D52">
              <w:rPr>
                <w:sz w:val="24"/>
                <w:szCs w:val="24"/>
              </w:rPr>
              <w:t>0.000</w:t>
            </w:r>
          </w:p>
        </w:tc>
        <w:tc>
          <w:tcPr>
            <w:tcW w:w="514" w:type="pct"/>
            <w:hideMark/>
          </w:tcPr>
          <w:p w14:paraId="7B0793FF" w14:textId="77777777" w:rsidR="006D61B6" w:rsidRPr="00F04D52" w:rsidRDefault="006D61B6" w:rsidP="006D61B6">
            <w:pPr>
              <w:pStyle w:val="NoSpacing"/>
              <w:rPr>
                <w:sz w:val="24"/>
                <w:szCs w:val="24"/>
              </w:rPr>
            </w:pPr>
            <w:r w:rsidRPr="00F04D52">
              <w:rPr>
                <w:sz w:val="24"/>
                <w:szCs w:val="24"/>
              </w:rPr>
              <w:t>0.83</w:t>
            </w:r>
          </w:p>
        </w:tc>
      </w:tr>
      <w:tr w:rsidR="006D61B6" w:rsidRPr="00F04D52" w14:paraId="66800503" w14:textId="77777777" w:rsidTr="00897705">
        <w:tc>
          <w:tcPr>
            <w:tcW w:w="662" w:type="pct"/>
            <w:hideMark/>
          </w:tcPr>
          <w:p w14:paraId="7153F4BC" w14:textId="77777777" w:rsidR="006D61B6" w:rsidRPr="00800841" w:rsidRDefault="006D61B6" w:rsidP="006D61B6">
            <w:pPr>
              <w:pStyle w:val="NoSpacing"/>
              <w:rPr>
                <w:i/>
                <w:iCs/>
                <w:sz w:val="24"/>
                <w:szCs w:val="24"/>
              </w:rPr>
            </w:pPr>
            <w:r w:rsidRPr="00800841">
              <w:rPr>
                <w:i/>
                <w:iCs/>
                <w:sz w:val="24"/>
                <w:szCs w:val="24"/>
              </w:rPr>
              <w:t>INSTRADE</w:t>
            </w:r>
          </w:p>
        </w:tc>
        <w:tc>
          <w:tcPr>
            <w:tcW w:w="570" w:type="pct"/>
            <w:hideMark/>
          </w:tcPr>
          <w:p w14:paraId="3CE0B646" w14:textId="77777777" w:rsidR="006D61B6" w:rsidRPr="00F04D52" w:rsidRDefault="006D61B6" w:rsidP="006D61B6">
            <w:pPr>
              <w:pStyle w:val="NoSpacing"/>
              <w:rPr>
                <w:sz w:val="24"/>
                <w:szCs w:val="24"/>
              </w:rPr>
            </w:pPr>
          </w:p>
        </w:tc>
        <w:tc>
          <w:tcPr>
            <w:tcW w:w="514" w:type="pct"/>
            <w:hideMark/>
          </w:tcPr>
          <w:p w14:paraId="13BD7D84" w14:textId="77777777" w:rsidR="006D61B6" w:rsidRPr="00F04D52" w:rsidRDefault="006D61B6" w:rsidP="006D61B6">
            <w:pPr>
              <w:pStyle w:val="NoSpacing"/>
              <w:rPr>
                <w:sz w:val="24"/>
                <w:szCs w:val="24"/>
              </w:rPr>
            </w:pPr>
          </w:p>
        </w:tc>
        <w:tc>
          <w:tcPr>
            <w:tcW w:w="570" w:type="pct"/>
            <w:hideMark/>
          </w:tcPr>
          <w:p w14:paraId="6784DB83" w14:textId="77777777" w:rsidR="006D61B6" w:rsidRPr="00F04D52" w:rsidRDefault="006D61B6" w:rsidP="006D61B6">
            <w:pPr>
              <w:pStyle w:val="NoSpacing"/>
              <w:rPr>
                <w:sz w:val="24"/>
                <w:szCs w:val="24"/>
              </w:rPr>
            </w:pPr>
            <w:r w:rsidRPr="00F04D52">
              <w:rPr>
                <w:sz w:val="24"/>
                <w:szCs w:val="24"/>
              </w:rPr>
              <w:t>−0.660**</w:t>
            </w:r>
          </w:p>
        </w:tc>
        <w:tc>
          <w:tcPr>
            <w:tcW w:w="514" w:type="pct"/>
            <w:hideMark/>
          </w:tcPr>
          <w:p w14:paraId="6EE61105" w14:textId="77777777" w:rsidR="006D61B6" w:rsidRPr="00F04D52" w:rsidRDefault="006D61B6" w:rsidP="006D61B6">
            <w:pPr>
              <w:pStyle w:val="NoSpacing"/>
              <w:rPr>
                <w:sz w:val="24"/>
                <w:szCs w:val="24"/>
              </w:rPr>
            </w:pPr>
            <w:r w:rsidRPr="00F04D52">
              <w:rPr>
                <w:sz w:val="24"/>
                <w:szCs w:val="24"/>
              </w:rPr>
              <w:t>−2.28</w:t>
            </w:r>
          </w:p>
        </w:tc>
        <w:tc>
          <w:tcPr>
            <w:tcW w:w="570" w:type="pct"/>
            <w:hideMark/>
          </w:tcPr>
          <w:p w14:paraId="0B27E441" w14:textId="77777777" w:rsidR="006D61B6" w:rsidRPr="00F04D52" w:rsidRDefault="006D61B6" w:rsidP="006D61B6">
            <w:pPr>
              <w:pStyle w:val="NoSpacing"/>
              <w:rPr>
                <w:sz w:val="24"/>
                <w:szCs w:val="24"/>
              </w:rPr>
            </w:pPr>
          </w:p>
        </w:tc>
        <w:tc>
          <w:tcPr>
            <w:tcW w:w="514" w:type="pct"/>
            <w:hideMark/>
          </w:tcPr>
          <w:p w14:paraId="146C59C6" w14:textId="77777777" w:rsidR="006D61B6" w:rsidRPr="00F04D52" w:rsidRDefault="006D61B6" w:rsidP="006D61B6">
            <w:pPr>
              <w:pStyle w:val="NoSpacing"/>
              <w:rPr>
                <w:sz w:val="24"/>
                <w:szCs w:val="24"/>
              </w:rPr>
            </w:pPr>
          </w:p>
        </w:tc>
        <w:tc>
          <w:tcPr>
            <w:tcW w:w="570" w:type="pct"/>
            <w:hideMark/>
          </w:tcPr>
          <w:p w14:paraId="1BBCB156" w14:textId="77777777" w:rsidR="006D61B6" w:rsidRPr="00F04D52" w:rsidRDefault="006D61B6" w:rsidP="006D61B6">
            <w:pPr>
              <w:pStyle w:val="NoSpacing"/>
              <w:rPr>
                <w:sz w:val="24"/>
                <w:szCs w:val="24"/>
              </w:rPr>
            </w:pPr>
            <w:r w:rsidRPr="00F04D52">
              <w:rPr>
                <w:sz w:val="24"/>
                <w:szCs w:val="24"/>
              </w:rPr>
              <w:t>−0.016*</w:t>
            </w:r>
          </w:p>
        </w:tc>
        <w:tc>
          <w:tcPr>
            <w:tcW w:w="514" w:type="pct"/>
            <w:hideMark/>
          </w:tcPr>
          <w:p w14:paraId="30EBF0C2" w14:textId="77777777" w:rsidR="006D61B6" w:rsidRPr="00F04D52" w:rsidRDefault="006D61B6" w:rsidP="006D61B6">
            <w:pPr>
              <w:pStyle w:val="NoSpacing"/>
              <w:rPr>
                <w:sz w:val="24"/>
                <w:szCs w:val="24"/>
              </w:rPr>
            </w:pPr>
            <w:r w:rsidRPr="00F04D52">
              <w:rPr>
                <w:sz w:val="24"/>
                <w:szCs w:val="24"/>
              </w:rPr>
              <w:t>−1.70</w:t>
            </w:r>
          </w:p>
        </w:tc>
      </w:tr>
      <w:tr w:rsidR="006D61B6" w:rsidRPr="00F04D52" w14:paraId="1B7E765D" w14:textId="77777777" w:rsidTr="00897705">
        <w:tc>
          <w:tcPr>
            <w:tcW w:w="662" w:type="pct"/>
            <w:hideMark/>
          </w:tcPr>
          <w:p w14:paraId="584D2951" w14:textId="77777777" w:rsidR="006D61B6" w:rsidRPr="00800841" w:rsidRDefault="006D61B6" w:rsidP="006D61B6">
            <w:pPr>
              <w:pStyle w:val="NoSpacing"/>
              <w:rPr>
                <w:i/>
                <w:iCs/>
                <w:sz w:val="24"/>
                <w:szCs w:val="24"/>
              </w:rPr>
            </w:pPr>
            <w:r w:rsidRPr="00800841">
              <w:rPr>
                <w:i/>
                <w:iCs/>
                <w:sz w:val="24"/>
                <w:szCs w:val="24"/>
              </w:rPr>
              <w:t>CGSCORE</w:t>
            </w:r>
          </w:p>
        </w:tc>
        <w:tc>
          <w:tcPr>
            <w:tcW w:w="570" w:type="pct"/>
            <w:hideMark/>
          </w:tcPr>
          <w:p w14:paraId="2336F17A" w14:textId="77777777" w:rsidR="006D61B6" w:rsidRPr="00F04D52" w:rsidRDefault="006D61B6" w:rsidP="006D61B6">
            <w:pPr>
              <w:pStyle w:val="NoSpacing"/>
              <w:rPr>
                <w:sz w:val="24"/>
                <w:szCs w:val="24"/>
              </w:rPr>
            </w:pPr>
          </w:p>
        </w:tc>
        <w:tc>
          <w:tcPr>
            <w:tcW w:w="514" w:type="pct"/>
            <w:hideMark/>
          </w:tcPr>
          <w:p w14:paraId="0DDAA220" w14:textId="77777777" w:rsidR="006D61B6" w:rsidRPr="00F04D52" w:rsidRDefault="006D61B6" w:rsidP="006D61B6">
            <w:pPr>
              <w:pStyle w:val="NoSpacing"/>
              <w:rPr>
                <w:sz w:val="24"/>
                <w:szCs w:val="24"/>
              </w:rPr>
            </w:pPr>
          </w:p>
        </w:tc>
        <w:tc>
          <w:tcPr>
            <w:tcW w:w="570" w:type="pct"/>
            <w:hideMark/>
          </w:tcPr>
          <w:p w14:paraId="178A6012" w14:textId="77777777" w:rsidR="006D61B6" w:rsidRPr="00F04D52" w:rsidRDefault="006D61B6" w:rsidP="006D61B6">
            <w:pPr>
              <w:pStyle w:val="NoSpacing"/>
              <w:rPr>
                <w:sz w:val="24"/>
                <w:szCs w:val="24"/>
              </w:rPr>
            </w:pPr>
            <w:r w:rsidRPr="00F04D52">
              <w:rPr>
                <w:sz w:val="24"/>
                <w:szCs w:val="24"/>
              </w:rPr>
              <w:t>0.276***</w:t>
            </w:r>
          </w:p>
        </w:tc>
        <w:tc>
          <w:tcPr>
            <w:tcW w:w="514" w:type="pct"/>
            <w:hideMark/>
          </w:tcPr>
          <w:p w14:paraId="32946017" w14:textId="77777777" w:rsidR="006D61B6" w:rsidRPr="00F04D52" w:rsidRDefault="006D61B6" w:rsidP="006D61B6">
            <w:pPr>
              <w:pStyle w:val="NoSpacing"/>
              <w:rPr>
                <w:sz w:val="24"/>
                <w:szCs w:val="24"/>
              </w:rPr>
            </w:pPr>
            <w:r w:rsidRPr="00F04D52">
              <w:rPr>
                <w:sz w:val="24"/>
                <w:szCs w:val="24"/>
              </w:rPr>
              <w:t>4.68</w:t>
            </w:r>
          </w:p>
        </w:tc>
        <w:tc>
          <w:tcPr>
            <w:tcW w:w="570" w:type="pct"/>
            <w:hideMark/>
          </w:tcPr>
          <w:p w14:paraId="01372C20" w14:textId="77777777" w:rsidR="006D61B6" w:rsidRPr="00F04D52" w:rsidRDefault="006D61B6" w:rsidP="006D61B6">
            <w:pPr>
              <w:pStyle w:val="NoSpacing"/>
              <w:rPr>
                <w:sz w:val="24"/>
                <w:szCs w:val="24"/>
              </w:rPr>
            </w:pPr>
          </w:p>
        </w:tc>
        <w:tc>
          <w:tcPr>
            <w:tcW w:w="514" w:type="pct"/>
            <w:hideMark/>
          </w:tcPr>
          <w:p w14:paraId="3CA46BF7" w14:textId="77777777" w:rsidR="006D61B6" w:rsidRPr="00F04D52" w:rsidRDefault="006D61B6" w:rsidP="006D61B6">
            <w:pPr>
              <w:pStyle w:val="NoSpacing"/>
              <w:rPr>
                <w:sz w:val="24"/>
                <w:szCs w:val="24"/>
              </w:rPr>
            </w:pPr>
          </w:p>
        </w:tc>
        <w:tc>
          <w:tcPr>
            <w:tcW w:w="570" w:type="pct"/>
            <w:hideMark/>
          </w:tcPr>
          <w:p w14:paraId="0ACEC03F" w14:textId="77777777" w:rsidR="006D61B6" w:rsidRPr="00F04D52" w:rsidRDefault="006D61B6" w:rsidP="006D61B6">
            <w:pPr>
              <w:pStyle w:val="NoSpacing"/>
              <w:rPr>
                <w:sz w:val="24"/>
                <w:szCs w:val="24"/>
              </w:rPr>
            </w:pPr>
            <w:r w:rsidRPr="00F04D52">
              <w:rPr>
                <w:sz w:val="24"/>
                <w:szCs w:val="24"/>
              </w:rPr>
              <w:t>0.013***</w:t>
            </w:r>
          </w:p>
        </w:tc>
        <w:tc>
          <w:tcPr>
            <w:tcW w:w="514" w:type="pct"/>
            <w:hideMark/>
          </w:tcPr>
          <w:p w14:paraId="38B1E3D7" w14:textId="77777777" w:rsidR="006D61B6" w:rsidRPr="00F04D52" w:rsidRDefault="006D61B6" w:rsidP="006D61B6">
            <w:pPr>
              <w:pStyle w:val="NoSpacing"/>
              <w:rPr>
                <w:sz w:val="24"/>
                <w:szCs w:val="24"/>
              </w:rPr>
            </w:pPr>
            <w:r w:rsidRPr="00F04D52">
              <w:rPr>
                <w:sz w:val="24"/>
                <w:szCs w:val="24"/>
              </w:rPr>
              <w:t>5.30</w:t>
            </w:r>
          </w:p>
        </w:tc>
      </w:tr>
      <w:tr w:rsidR="006D61B6" w:rsidRPr="00F04D52" w14:paraId="1378F293" w14:textId="77777777" w:rsidTr="00897705">
        <w:tc>
          <w:tcPr>
            <w:tcW w:w="662" w:type="pct"/>
            <w:hideMark/>
          </w:tcPr>
          <w:p w14:paraId="5D8F9DA8" w14:textId="77777777" w:rsidR="006D61B6" w:rsidRPr="00800841" w:rsidRDefault="006D61B6" w:rsidP="006D61B6">
            <w:pPr>
              <w:pStyle w:val="NoSpacing"/>
              <w:rPr>
                <w:i/>
                <w:iCs/>
                <w:sz w:val="24"/>
                <w:szCs w:val="24"/>
              </w:rPr>
            </w:pPr>
            <w:r w:rsidRPr="00800841">
              <w:rPr>
                <w:i/>
                <w:iCs/>
                <w:sz w:val="24"/>
                <w:szCs w:val="24"/>
              </w:rPr>
              <w:t>INSTNUM</w:t>
            </w:r>
          </w:p>
        </w:tc>
        <w:tc>
          <w:tcPr>
            <w:tcW w:w="570" w:type="pct"/>
            <w:hideMark/>
          </w:tcPr>
          <w:p w14:paraId="69A027FF" w14:textId="77777777" w:rsidR="006D61B6" w:rsidRPr="00F04D52" w:rsidRDefault="006D61B6" w:rsidP="006D61B6">
            <w:pPr>
              <w:pStyle w:val="NoSpacing"/>
              <w:rPr>
                <w:sz w:val="24"/>
                <w:szCs w:val="24"/>
              </w:rPr>
            </w:pPr>
          </w:p>
        </w:tc>
        <w:tc>
          <w:tcPr>
            <w:tcW w:w="514" w:type="pct"/>
            <w:hideMark/>
          </w:tcPr>
          <w:p w14:paraId="402B460A" w14:textId="77777777" w:rsidR="006D61B6" w:rsidRPr="00F04D52" w:rsidRDefault="006D61B6" w:rsidP="006D61B6">
            <w:pPr>
              <w:pStyle w:val="NoSpacing"/>
              <w:rPr>
                <w:sz w:val="24"/>
                <w:szCs w:val="24"/>
              </w:rPr>
            </w:pPr>
          </w:p>
        </w:tc>
        <w:tc>
          <w:tcPr>
            <w:tcW w:w="570" w:type="pct"/>
            <w:hideMark/>
          </w:tcPr>
          <w:p w14:paraId="572AD6C2" w14:textId="77777777" w:rsidR="006D61B6" w:rsidRPr="00F04D52" w:rsidRDefault="006D61B6" w:rsidP="006D61B6">
            <w:pPr>
              <w:pStyle w:val="NoSpacing"/>
              <w:rPr>
                <w:sz w:val="24"/>
                <w:szCs w:val="24"/>
              </w:rPr>
            </w:pPr>
            <w:r w:rsidRPr="00F04D52">
              <w:rPr>
                <w:sz w:val="24"/>
                <w:szCs w:val="24"/>
              </w:rPr>
              <w:t>−0.378***</w:t>
            </w:r>
          </w:p>
        </w:tc>
        <w:tc>
          <w:tcPr>
            <w:tcW w:w="514" w:type="pct"/>
            <w:hideMark/>
          </w:tcPr>
          <w:p w14:paraId="217DA440" w14:textId="77777777" w:rsidR="006D61B6" w:rsidRPr="00F04D52" w:rsidRDefault="006D61B6" w:rsidP="006D61B6">
            <w:pPr>
              <w:pStyle w:val="NoSpacing"/>
              <w:rPr>
                <w:sz w:val="24"/>
                <w:szCs w:val="24"/>
              </w:rPr>
            </w:pPr>
            <w:r w:rsidRPr="00F04D52">
              <w:rPr>
                <w:sz w:val="24"/>
                <w:szCs w:val="24"/>
              </w:rPr>
              <w:t>−5.79</w:t>
            </w:r>
          </w:p>
        </w:tc>
        <w:tc>
          <w:tcPr>
            <w:tcW w:w="570" w:type="pct"/>
            <w:hideMark/>
          </w:tcPr>
          <w:p w14:paraId="6C12E192" w14:textId="77777777" w:rsidR="006D61B6" w:rsidRPr="00F04D52" w:rsidRDefault="006D61B6" w:rsidP="006D61B6">
            <w:pPr>
              <w:pStyle w:val="NoSpacing"/>
              <w:rPr>
                <w:sz w:val="24"/>
                <w:szCs w:val="24"/>
              </w:rPr>
            </w:pPr>
          </w:p>
        </w:tc>
        <w:tc>
          <w:tcPr>
            <w:tcW w:w="514" w:type="pct"/>
            <w:hideMark/>
          </w:tcPr>
          <w:p w14:paraId="2B649254" w14:textId="77777777" w:rsidR="006D61B6" w:rsidRPr="00F04D52" w:rsidRDefault="006D61B6" w:rsidP="006D61B6">
            <w:pPr>
              <w:pStyle w:val="NoSpacing"/>
              <w:rPr>
                <w:sz w:val="24"/>
                <w:szCs w:val="24"/>
              </w:rPr>
            </w:pPr>
          </w:p>
        </w:tc>
        <w:tc>
          <w:tcPr>
            <w:tcW w:w="570" w:type="pct"/>
            <w:hideMark/>
          </w:tcPr>
          <w:p w14:paraId="4C4E76C2" w14:textId="77777777" w:rsidR="006D61B6" w:rsidRPr="00F04D52" w:rsidRDefault="006D61B6" w:rsidP="006D61B6">
            <w:pPr>
              <w:pStyle w:val="NoSpacing"/>
              <w:rPr>
                <w:sz w:val="24"/>
                <w:szCs w:val="24"/>
              </w:rPr>
            </w:pPr>
            <w:r w:rsidRPr="00F04D52">
              <w:rPr>
                <w:sz w:val="24"/>
                <w:szCs w:val="24"/>
              </w:rPr>
              <w:t>−0.041***</w:t>
            </w:r>
          </w:p>
        </w:tc>
        <w:tc>
          <w:tcPr>
            <w:tcW w:w="514" w:type="pct"/>
            <w:hideMark/>
          </w:tcPr>
          <w:p w14:paraId="792ECCEF" w14:textId="77777777" w:rsidR="006D61B6" w:rsidRPr="00F04D52" w:rsidRDefault="006D61B6" w:rsidP="006D61B6">
            <w:pPr>
              <w:pStyle w:val="NoSpacing"/>
              <w:rPr>
                <w:sz w:val="24"/>
                <w:szCs w:val="24"/>
              </w:rPr>
            </w:pPr>
            <w:r w:rsidRPr="00F04D52">
              <w:rPr>
                <w:sz w:val="24"/>
                <w:szCs w:val="24"/>
              </w:rPr>
              <w:t>−6.26</w:t>
            </w:r>
          </w:p>
        </w:tc>
      </w:tr>
      <w:tr w:rsidR="006D61B6" w:rsidRPr="00F04D52" w14:paraId="5815AEA3" w14:textId="77777777" w:rsidTr="00897705">
        <w:tc>
          <w:tcPr>
            <w:tcW w:w="662" w:type="pct"/>
            <w:hideMark/>
          </w:tcPr>
          <w:p w14:paraId="21FEADB9" w14:textId="77777777" w:rsidR="006D61B6" w:rsidRPr="00800841" w:rsidRDefault="006D61B6" w:rsidP="006D61B6">
            <w:pPr>
              <w:pStyle w:val="NoSpacing"/>
              <w:rPr>
                <w:i/>
                <w:iCs/>
                <w:sz w:val="24"/>
                <w:szCs w:val="24"/>
              </w:rPr>
            </w:pPr>
            <w:r w:rsidRPr="00800841">
              <w:rPr>
                <w:i/>
                <w:iCs/>
                <w:sz w:val="24"/>
                <w:szCs w:val="24"/>
              </w:rPr>
              <w:t>FREQ</w:t>
            </w:r>
          </w:p>
        </w:tc>
        <w:tc>
          <w:tcPr>
            <w:tcW w:w="570" w:type="pct"/>
            <w:hideMark/>
          </w:tcPr>
          <w:p w14:paraId="425B4E26" w14:textId="77777777" w:rsidR="006D61B6" w:rsidRPr="00F04D52" w:rsidRDefault="006D61B6" w:rsidP="006D61B6">
            <w:pPr>
              <w:pStyle w:val="NoSpacing"/>
              <w:rPr>
                <w:sz w:val="24"/>
                <w:szCs w:val="24"/>
              </w:rPr>
            </w:pPr>
          </w:p>
        </w:tc>
        <w:tc>
          <w:tcPr>
            <w:tcW w:w="514" w:type="pct"/>
            <w:hideMark/>
          </w:tcPr>
          <w:p w14:paraId="43D1EDA2" w14:textId="77777777" w:rsidR="006D61B6" w:rsidRPr="00F04D52" w:rsidRDefault="006D61B6" w:rsidP="006D61B6">
            <w:pPr>
              <w:pStyle w:val="NoSpacing"/>
              <w:rPr>
                <w:sz w:val="24"/>
                <w:szCs w:val="24"/>
              </w:rPr>
            </w:pPr>
          </w:p>
        </w:tc>
        <w:tc>
          <w:tcPr>
            <w:tcW w:w="570" w:type="pct"/>
            <w:hideMark/>
          </w:tcPr>
          <w:p w14:paraId="679633EB" w14:textId="77777777" w:rsidR="006D61B6" w:rsidRPr="00F04D52" w:rsidRDefault="006D61B6" w:rsidP="006D61B6">
            <w:pPr>
              <w:pStyle w:val="NoSpacing"/>
              <w:rPr>
                <w:sz w:val="24"/>
                <w:szCs w:val="24"/>
              </w:rPr>
            </w:pPr>
            <w:r w:rsidRPr="00F04D52">
              <w:rPr>
                <w:sz w:val="24"/>
                <w:szCs w:val="24"/>
              </w:rPr>
              <w:t>−0.012</w:t>
            </w:r>
          </w:p>
        </w:tc>
        <w:tc>
          <w:tcPr>
            <w:tcW w:w="514" w:type="pct"/>
            <w:hideMark/>
          </w:tcPr>
          <w:p w14:paraId="0852B6EF" w14:textId="77777777" w:rsidR="006D61B6" w:rsidRPr="00F04D52" w:rsidRDefault="006D61B6" w:rsidP="006D61B6">
            <w:pPr>
              <w:pStyle w:val="NoSpacing"/>
              <w:rPr>
                <w:sz w:val="24"/>
                <w:szCs w:val="24"/>
              </w:rPr>
            </w:pPr>
            <w:r w:rsidRPr="00F04D52">
              <w:rPr>
                <w:sz w:val="24"/>
                <w:szCs w:val="24"/>
              </w:rPr>
              <w:t>−0.82</w:t>
            </w:r>
          </w:p>
        </w:tc>
        <w:tc>
          <w:tcPr>
            <w:tcW w:w="570" w:type="pct"/>
            <w:hideMark/>
          </w:tcPr>
          <w:p w14:paraId="6840AC43" w14:textId="77777777" w:rsidR="006D61B6" w:rsidRPr="00F04D52" w:rsidRDefault="006D61B6" w:rsidP="006D61B6">
            <w:pPr>
              <w:pStyle w:val="NoSpacing"/>
              <w:rPr>
                <w:sz w:val="24"/>
                <w:szCs w:val="24"/>
              </w:rPr>
            </w:pPr>
          </w:p>
        </w:tc>
        <w:tc>
          <w:tcPr>
            <w:tcW w:w="514" w:type="pct"/>
            <w:hideMark/>
          </w:tcPr>
          <w:p w14:paraId="141D8472" w14:textId="77777777" w:rsidR="006D61B6" w:rsidRPr="00F04D52" w:rsidRDefault="006D61B6" w:rsidP="006D61B6">
            <w:pPr>
              <w:pStyle w:val="NoSpacing"/>
              <w:rPr>
                <w:sz w:val="24"/>
                <w:szCs w:val="24"/>
              </w:rPr>
            </w:pPr>
          </w:p>
        </w:tc>
        <w:tc>
          <w:tcPr>
            <w:tcW w:w="570" w:type="pct"/>
            <w:hideMark/>
          </w:tcPr>
          <w:p w14:paraId="4B6ED7CA" w14:textId="77777777" w:rsidR="006D61B6" w:rsidRPr="00F04D52" w:rsidRDefault="006D61B6" w:rsidP="006D61B6">
            <w:pPr>
              <w:pStyle w:val="NoSpacing"/>
              <w:rPr>
                <w:sz w:val="24"/>
                <w:szCs w:val="24"/>
              </w:rPr>
            </w:pPr>
            <w:r w:rsidRPr="00F04D52">
              <w:rPr>
                <w:sz w:val="24"/>
                <w:szCs w:val="24"/>
              </w:rPr>
              <w:t>−0.001**</w:t>
            </w:r>
          </w:p>
        </w:tc>
        <w:tc>
          <w:tcPr>
            <w:tcW w:w="514" w:type="pct"/>
            <w:hideMark/>
          </w:tcPr>
          <w:p w14:paraId="76593A12" w14:textId="77777777" w:rsidR="006D61B6" w:rsidRPr="00F04D52" w:rsidRDefault="006D61B6" w:rsidP="006D61B6">
            <w:pPr>
              <w:pStyle w:val="NoSpacing"/>
              <w:rPr>
                <w:sz w:val="24"/>
                <w:szCs w:val="24"/>
              </w:rPr>
            </w:pPr>
            <w:r w:rsidRPr="00F04D52">
              <w:rPr>
                <w:sz w:val="24"/>
                <w:szCs w:val="24"/>
              </w:rPr>
              <w:t>−2.36</w:t>
            </w:r>
          </w:p>
        </w:tc>
      </w:tr>
      <w:tr w:rsidR="00CF253A" w:rsidRPr="00F04D52" w14:paraId="1C56D650" w14:textId="77777777" w:rsidTr="00CF253A">
        <w:tc>
          <w:tcPr>
            <w:tcW w:w="662" w:type="pct"/>
            <w:hideMark/>
          </w:tcPr>
          <w:p w14:paraId="52D984D8" w14:textId="77777777" w:rsidR="00CF253A" w:rsidRPr="00F04D52" w:rsidRDefault="00CF253A" w:rsidP="00CF253A">
            <w:pPr>
              <w:pStyle w:val="NoSpacing"/>
              <w:rPr>
                <w:sz w:val="24"/>
                <w:szCs w:val="24"/>
              </w:rPr>
            </w:pPr>
            <w:r w:rsidRPr="00F04D52">
              <w:rPr>
                <w:sz w:val="24"/>
                <w:szCs w:val="24"/>
              </w:rPr>
              <w:t>Year FE</w:t>
            </w:r>
          </w:p>
        </w:tc>
        <w:tc>
          <w:tcPr>
            <w:tcW w:w="570" w:type="pct"/>
            <w:hideMark/>
          </w:tcPr>
          <w:p w14:paraId="7DCA464E" w14:textId="77777777" w:rsidR="00CF253A" w:rsidRPr="00F04D52" w:rsidRDefault="00CF253A" w:rsidP="00CF253A">
            <w:pPr>
              <w:pStyle w:val="NoSpacing"/>
              <w:rPr>
                <w:sz w:val="24"/>
                <w:szCs w:val="24"/>
              </w:rPr>
            </w:pPr>
            <w:r w:rsidRPr="00F04D52">
              <w:rPr>
                <w:sz w:val="24"/>
                <w:szCs w:val="24"/>
              </w:rPr>
              <w:t>Yes</w:t>
            </w:r>
          </w:p>
        </w:tc>
        <w:tc>
          <w:tcPr>
            <w:tcW w:w="514" w:type="pct"/>
          </w:tcPr>
          <w:p w14:paraId="53F8177E" w14:textId="7F0B8AB8" w:rsidR="00CF253A" w:rsidRPr="00F04D52" w:rsidRDefault="00CF253A" w:rsidP="00CF253A">
            <w:pPr>
              <w:pStyle w:val="NoSpacing"/>
              <w:rPr>
                <w:sz w:val="24"/>
                <w:szCs w:val="24"/>
              </w:rPr>
            </w:pPr>
          </w:p>
        </w:tc>
        <w:tc>
          <w:tcPr>
            <w:tcW w:w="570" w:type="pct"/>
          </w:tcPr>
          <w:p w14:paraId="6FAA3209" w14:textId="52AC9BFB" w:rsidR="00CF253A" w:rsidRPr="00F04D52" w:rsidRDefault="00CF253A" w:rsidP="00CF253A">
            <w:pPr>
              <w:pStyle w:val="NoSpacing"/>
              <w:rPr>
                <w:sz w:val="24"/>
                <w:szCs w:val="24"/>
              </w:rPr>
            </w:pPr>
            <w:r w:rsidRPr="00F04D52">
              <w:rPr>
                <w:sz w:val="24"/>
                <w:szCs w:val="24"/>
              </w:rPr>
              <w:t>Yes</w:t>
            </w:r>
          </w:p>
        </w:tc>
        <w:tc>
          <w:tcPr>
            <w:tcW w:w="514" w:type="pct"/>
          </w:tcPr>
          <w:p w14:paraId="6F4E675F" w14:textId="2608A7DC" w:rsidR="00CF253A" w:rsidRPr="00F04D52" w:rsidRDefault="00CF253A" w:rsidP="00CF253A">
            <w:pPr>
              <w:pStyle w:val="NoSpacing"/>
              <w:rPr>
                <w:sz w:val="24"/>
                <w:szCs w:val="24"/>
              </w:rPr>
            </w:pPr>
          </w:p>
        </w:tc>
        <w:tc>
          <w:tcPr>
            <w:tcW w:w="570" w:type="pct"/>
            <w:hideMark/>
          </w:tcPr>
          <w:p w14:paraId="2DE09B21" w14:textId="7DC5A66D" w:rsidR="00CF253A" w:rsidRPr="00F04D52" w:rsidRDefault="00CF253A" w:rsidP="00CF253A">
            <w:pPr>
              <w:pStyle w:val="NoSpacing"/>
              <w:rPr>
                <w:sz w:val="24"/>
                <w:szCs w:val="24"/>
              </w:rPr>
            </w:pPr>
            <w:r w:rsidRPr="00F04D52">
              <w:rPr>
                <w:sz w:val="24"/>
                <w:szCs w:val="24"/>
              </w:rPr>
              <w:t>Yes</w:t>
            </w:r>
          </w:p>
        </w:tc>
        <w:tc>
          <w:tcPr>
            <w:tcW w:w="514" w:type="pct"/>
            <w:hideMark/>
          </w:tcPr>
          <w:p w14:paraId="1CABFEF5" w14:textId="77777777" w:rsidR="00CF253A" w:rsidRPr="00F04D52" w:rsidRDefault="00CF253A" w:rsidP="00CF253A">
            <w:pPr>
              <w:pStyle w:val="NoSpacing"/>
              <w:rPr>
                <w:sz w:val="24"/>
                <w:szCs w:val="24"/>
              </w:rPr>
            </w:pPr>
          </w:p>
        </w:tc>
        <w:tc>
          <w:tcPr>
            <w:tcW w:w="570" w:type="pct"/>
            <w:hideMark/>
          </w:tcPr>
          <w:p w14:paraId="0D60B8CD" w14:textId="6389E3EE" w:rsidR="00CF253A" w:rsidRPr="00F04D52" w:rsidRDefault="00CF253A" w:rsidP="00CF253A">
            <w:pPr>
              <w:pStyle w:val="NoSpacing"/>
              <w:rPr>
                <w:sz w:val="24"/>
                <w:szCs w:val="24"/>
              </w:rPr>
            </w:pPr>
            <w:r w:rsidRPr="00F04D52">
              <w:rPr>
                <w:sz w:val="24"/>
                <w:szCs w:val="24"/>
              </w:rPr>
              <w:t>Yes</w:t>
            </w:r>
          </w:p>
        </w:tc>
        <w:tc>
          <w:tcPr>
            <w:tcW w:w="514" w:type="pct"/>
            <w:hideMark/>
          </w:tcPr>
          <w:p w14:paraId="529E4200" w14:textId="77777777" w:rsidR="00CF253A" w:rsidRPr="00F04D52" w:rsidRDefault="00CF253A" w:rsidP="00CF253A">
            <w:pPr>
              <w:pStyle w:val="NoSpacing"/>
              <w:rPr>
                <w:sz w:val="24"/>
                <w:szCs w:val="24"/>
              </w:rPr>
            </w:pPr>
          </w:p>
        </w:tc>
      </w:tr>
      <w:tr w:rsidR="00CF253A" w:rsidRPr="00F04D52" w14:paraId="6D9BBC38" w14:textId="77777777" w:rsidTr="00CF253A">
        <w:tc>
          <w:tcPr>
            <w:tcW w:w="662" w:type="pct"/>
            <w:hideMark/>
          </w:tcPr>
          <w:p w14:paraId="4A688C82" w14:textId="77777777" w:rsidR="00CF253A" w:rsidRPr="00F04D52" w:rsidRDefault="00CF253A" w:rsidP="00CF253A">
            <w:pPr>
              <w:pStyle w:val="NoSpacing"/>
              <w:rPr>
                <w:sz w:val="24"/>
                <w:szCs w:val="24"/>
              </w:rPr>
            </w:pPr>
            <w:r w:rsidRPr="00F04D52">
              <w:rPr>
                <w:sz w:val="24"/>
                <w:szCs w:val="24"/>
              </w:rPr>
              <w:t>Firm FE</w:t>
            </w:r>
          </w:p>
        </w:tc>
        <w:tc>
          <w:tcPr>
            <w:tcW w:w="570" w:type="pct"/>
            <w:hideMark/>
          </w:tcPr>
          <w:p w14:paraId="27E34213" w14:textId="77777777" w:rsidR="00CF253A" w:rsidRPr="00F04D52" w:rsidRDefault="00CF253A" w:rsidP="00CF253A">
            <w:pPr>
              <w:pStyle w:val="NoSpacing"/>
              <w:rPr>
                <w:sz w:val="24"/>
                <w:szCs w:val="24"/>
              </w:rPr>
            </w:pPr>
            <w:r w:rsidRPr="00F04D52">
              <w:rPr>
                <w:sz w:val="24"/>
                <w:szCs w:val="24"/>
              </w:rPr>
              <w:t>Yes</w:t>
            </w:r>
          </w:p>
        </w:tc>
        <w:tc>
          <w:tcPr>
            <w:tcW w:w="514" w:type="pct"/>
          </w:tcPr>
          <w:p w14:paraId="546AAD7D" w14:textId="78D5A010" w:rsidR="00CF253A" w:rsidRPr="00F04D52" w:rsidRDefault="00CF253A" w:rsidP="00CF253A">
            <w:pPr>
              <w:pStyle w:val="NoSpacing"/>
              <w:rPr>
                <w:sz w:val="24"/>
                <w:szCs w:val="24"/>
              </w:rPr>
            </w:pPr>
          </w:p>
        </w:tc>
        <w:tc>
          <w:tcPr>
            <w:tcW w:w="570" w:type="pct"/>
          </w:tcPr>
          <w:p w14:paraId="1B8E8568" w14:textId="42E8D6CF" w:rsidR="00CF253A" w:rsidRPr="00F04D52" w:rsidRDefault="00CF253A" w:rsidP="00CF253A">
            <w:pPr>
              <w:pStyle w:val="NoSpacing"/>
              <w:rPr>
                <w:sz w:val="24"/>
                <w:szCs w:val="24"/>
              </w:rPr>
            </w:pPr>
            <w:r w:rsidRPr="00F04D52">
              <w:rPr>
                <w:sz w:val="24"/>
                <w:szCs w:val="24"/>
              </w:rPr>
              <w:t>Yes</w:t>
            </w:r>
          </w:p>
        </w:tc>
        <w:tc>
          <w:tcPr>
            <w:tcW w:w="514" w:type="pct"/>
          </w:tcPr>
          <w:p w14:paraId="45A096F6" w14:textId="351C65D5" w:rsidR="00CF253A" w:rsidRPr="00F04D52" w:rsidRDefault="00CF253A" w:rsidP="00CF253A">
            <w:pPr>
              <w:pStyle w:val="NoSpacing"/>
              <w:rPr>
                <w:sz w:val="24"/>
                <w:szCs w:val="24"/>
              </w:rPr>
            </w:pPr>
          </w:p>
        </w:tc>
        <w:tc>
          <w:tcPr>
            <w:tcW w:w="570" w:type="pct"/>
            <w:hideMark/>
          </w:tcPr>
          <w:p w14:paraId="3CCC2D57" w14:textId="228E8DEC" w:rsidR="00CF253A" w:rsidRPr="00F04D52" w:rsidRDefault="00CF253A" w:rsidP="00CF253A">
            <w:pPr>
              <w:pStyle w:val="NoSpacing"/>
              <w:rPr>
                <w:sz w:val="24"/>
                <w:szCs w:val="24"/>
              </w:rPr>
            </w:pPr>
            <w:r w:rsidRPr="00F04D52">
              <w:rPr>
                <w:sz w:val="24"/>
                <w:szCs w:val="24"/>
              </w:rPr>
              <w:t>Yes</w:t>
            </w:r>
          </w:p>
        </w:tc>
        <w:tc>
          <w:tcPr>
            <w:tcW w:w="514" w:type="pct"/>
            <w:hideMark/>
          </w:tcPr>
          <w:p w14:paraId="7FF43180" w14:textId="77777777" w:rsidR="00CF253A" w:rsidRPr="00F04D52" w:rsidRDefault="00CF253A" w:rsidP="00CF253A">
            <w:pPr>
              <w:pStyle w:val="NoSpacing"/>
              <w:rPr>
                <w:sz w:val="24"/>
                <w:szCs w:val="24"/>
              </w:rPr>
            </w:pPr>
          </w:p>
        </w:tc>
        <w:tc>
          <w:tcPr>
            <w:tcW w:w="570" w:type="pct"/>
            <w:hideMark/>
          </w:tcPr>
          <w:p w14:paraId="561C05F7" w14:textId="3BFA14ED" w:rsidR="00CF253A" w:rsidRPr="00F04D52" w:rsidRDefault="00CF253A" w:rsidP="00CF253A">
            <w:pPr>
              <w:pStyle w:val="NoSpacing"/>
              <w:rPr>
                <w:sz w:val="24"/>
                <w:szCs w:val="24"/>
              </w:rPr>
            </w:pPr>
            <w:r w:rsidRPr="00F04D52">
              <w:rPr>
                <w:sz w:val="24"/>
                <w:szCs w:val="24"/>
              </w:rPr>
              <w:t>Yes</w:t>
            </w:r>
          </w:p>
        </w:tc>
        <w:tc>
          <w:tcPr>
            <w:tcW w:w="514" w:type="pct"/>
            <w:hideMark/>
          </w:tcPr>
          <w:p w14:paraId="0C1DC859" w14:textId="77777777" w:rsidR="00CF253A" w:rsidRPr="00F04D52" w:rsidRDefault="00CF253A" w:rsidP="00CF253A">
            <w:pPr>
              <w:pStyle w:val="NoSpacing"/>
              <w:rPr>
                <w:sz w:val="24"/>
                <w:szCs w:val="24"/>
              </w:rPr>
            </w:pPr>
          </w:p>
        </w:tc>
      </w:tr>
      <w:tr w:rsidR="00CF253A" w:rsidRPr="00F04D52" w14:paraId="086FCF44" w14:textId="77777777" w:rsidTr="00CF253A">
        <w:tc>
          <w:tcPr>
            <w:tcW w:w="662" w:type="pct"/>
            <w:hideMark/>
          </w:tcPr>
          <w:p w14:paraId="0A90B1E6" w14:textId="77777777" w:rsidR="00CF253A" w:rsidRPr="00F04D52" w:rsidRDefault="00CF253A" w:rsidP="00CF253A">
            <w:pPr>
              <w:pStyle w:val="NoSpacing"/>
              <w:rPr>
                <w:sz w:val="24"/>
                <w:szCs w:val="24"/>
              </w:rPr>
            </w:pPr>
            <w:r w:rsidRPr="00F04D52">
              <w:rPr>
                <w:sz w:val="24"/>
                <w:szCs w:val="24"/>
              </w:rPr>
              <w:t>Observations</w:t>
            </w:r>
          </w:p>
        </w:tc>
        <w:tc>
          <w:tcPr>
            <w:tcW w:w="570" w:type="pct"/>
            <w:hideMark/>
          </w:tcPr>
          <w:p w14:paraId="6C057A47" w14:textId="77777777" w:rsidR="00CF253A" w:rsidRPr="00F04D52" w:rsidRDefault="00CF253A" w:rsidP="00CF253A">
            <w:pPr>
              <w:pStyle w:val="NoSpacing"/>
              <w:rPr>
                <w:sz w:val="24"/>
                <w:szCs w:val="24"/>
              </w:rPr>
            </w:pPr>
            <w:r w:rsidRPr="00F04D52">
              <w:rPr>
                <w:sz w:val="24"/>
                <w:szCs w:val="24"/>
              </w:rPr>
              <w:t>11,312</w:t>
            </w:r>
          </w:p>
        </w:tc>
        <w:tc>
          <w:tcPr>
            <w:tcW w:w="514" w:type="pct"/>
          </w:tcPr>
          <w:p w14:paraId="2930D8B3" w14:textId="366A8351" w:rsidR="00CF253A" w:rsidRPr="00F04D52" w:rsidRDefault="00CF253A" w:rsidP="00CF253A">
            <w:pPr>
              <w:pStyle w:val="NoSpacing"/>
              <w:rPr>
                <w:sz w:val="24"/>
                <w:szCs w:val="24"/>
              </w:rPr>
            </w:pPr>
          </w:p>
        </w:tc>
        <w:tc>
          <w:tcPr>
            <w:tcW w:w="570" w:type="pct"/>
          </w:tcPr>
          <w:p w14:paraId="51F61BE0" w14:textId="798588E1" w:rsidR="00CF253A" w:rsidRPr="00F04D52" w:rsidRDefault="00CF253A" w:rsidP="00CF253A">
            <w:pPr>
              <w:pStyle w:val="NoSpacing"/>
              <w:rPr>
                <w:sz w:val="24"/>
                <w:szCs w:val="24"/>
              </w:rPr>
            </w:pPr>
            <w:r w:rsidRPr="00F04D52">
              <w:rPr>
                <w:sz w:val="24"/>
                <w:szCs w:val="24"/>
              </w:rPr>
              <w:t>11,312</w:t>
            </w:r>
          </w:p>
        </w:tc>
        <w:tc>
          <w:tcPr>
            <w:tcW w:w="514" w:type="pct"/>
          </w:tcPr>
          <w:p w14:paraId="699839D6" w14:textId="1D7B7E16" w:rsidR="00CF253A" w:rsidRPr="00F04D52" w:rsidRDefault="00CF253A" w:rsidP="00CF253A">
            <w:pPr>
              <w:pStyle w:val="NoSpacing"/>
              <w:rPr>
                <w:sz w:val="24"/>
                <w:szCs w:val="24"/>
              </w:rPr>
            </w:pPr>
          </w:p>
        </w:tc>
        <w:tc>
          <w:tcPr>
            <w:tcW w:w="570" w:type="pct"/>
            <w:hideMark/>
          </w:tcPr>
          <w:p w14:paraId="0FEFC24D" w14:textId="51E766FB" w:rsidR="00CF253A" w:rsidRPr="00F04D52" w:rsidRDefault="00CF253A" w:rsidP="00CF253A">
            <w:pPr>
              <w:pStyle w:val="NoSpacing"/>
              <w:rPr>
                <w:sz w:val="24"/>
                <w:szCs w:val="24"/>
              </w:rPr>
            </w:pPr>
            <w:r w:rsidRPr="00F04D52">
              <w:rPr>
                <w:sz w:val="24"/>
                <w:szCs w:val="24"/>
              </w:rPr>
              <w:t>11,312</w:t>
            </w:r>
          </w:p>
        </w:tc>
        <w:tc>
          <w:tcPr>
            <w:tcW w:w="514" w:type="pct"/>
            <w:hideMark/>
          </w:tcPr>
          <w:p w14:paraId="7BFDCB9A" w14:textId="77777777" w:rsidR="00CF253A" w:rsidRPr="00F04D52" w:rsidRDefault="00CF253A" w:rsidP="00CF253A">
            <w:pPr>
              <w:pStyle w:val="NoSpacing"/>
              <w:rPr>
                <w:sz w:val="24"/>
                <w:szCs w:val="24"/>
              </w:rPr>
            </w:pPr>
          </w:p>
        </w:tc>
        <w:tc>
          <w:tcPr>
            <w:tcW w:w="570" w:type="pct"/>
            <w:hideMark/>
          </w:tcPr>
          <w:p w14:paraId="5278C5A9" w14:textId="04019E6B" w:rsidR="00CF253A" w:rsidRPr="00F04D52" w:rsidRDefault="00CF253A" w:rsidP="00CF253A">
            <w:pPr>
              <w:pStyle w:val="NoSpacing"/>
              <w:rPr>
                <w:sz w:val="24"/>
                <w:szCs w:val="24"/>
              </w:rPr>
            </w:pPr>
            <w:r w:rsidRPr="00F04D52">
              <w:rPr>
                <w:sz w:val="24"/>
                <w:szCs w:val="24"/>
              </w:rPr>
              <w:t>11,312</w:t>
            </w:r>
          </w:p>
        </w:tc>
        <w:tc>
          <w:tcPr>
            <w:tcW w:w="514" w:type="pct"/>
            <w:hideMark/>
          </w:tcPr>
          <w:p w14:paraId="7E43C1D4" w14:textId="77777777" w:rsidR="00CF253A" w:rsidRPr="00F04D52" w:rsidRDefault="00CF253A" w:rsidP="00CF253A">
            <w:pPr>
              <w:pStyle w:val="NoSpacing"/>
              <w:rPr>
                <w:sz w:val="24"/>
                <w:szCs w:val="24"/>
              </w:rPr>
            </w:pPr>
          </w:p>
        </w:tc>
      </w:tr>
      <w:tr w:rsidR="00CF253A" w:rsidRPr="00F04D52" w14:paraId="64927E3A" w14:textId="77777777" w:rsidTr="00CF253A">
        <w:tc>
          <w:tcPr>
            <w:tcW w:w="662" w:type="pct"/>
            <w:hideMark/>
          </w:tcPr>
          <w:p w14:paraId="446F10E3" w14:textId="77777777" w:rsidR="00CF253A" w:rsidRPr="00F04D52" w:rsidRDefault="00CF253A" w:rsidP="00CF253A">
            <w:pPr>
              <w:pStyle w:val="NoSpacing"/>
              <w:rPr>
                <w:sz w:val="24"/>
                <w:szCs w:val="24"/>
              </w:rPr>
            </w:pPr>
            <w:r w:rsidRPr="00F04D52">
              <w:rPr>
                <w:sz w:val="24"/>
                <w:szCs w:val="24"/>
              </w:rPr>
              <w:t>Adj. R</w:t>
            </w:r>
            <w:r w:rsidRPr="00F04D52">
              <w:rPr>
                <w:sz w:val="24"/>
                <w:szCs w:val="24"/>
                <w:vertAlign w:val="superscript"/>
              </w:rPr>
              <w:t>2</w:t>
            </w:r>
          </w:p>
        </w:tc>
        <w:tc>
          <w:tcPr>
            <w:tcW w:w="570" w:type="pct"/>
            <w:hideMark/>
          </w:tcPr>
          <w:p w14:paraId="73E79C3E" w14:textId="77777777" w:rsidR="00CF253A" w:rsidRPr="00F04D52" w:rsidRDefault="00CF253A" w:rsidP="00CF253A">
            <w:pPr>
              <w:pStyle w:val="NoSpacing"/>
              <w:rPr>
                <w:sz w:val="24"/>
                <w:szCs w:val="24"/>
              </w:rPr>
            </w:pPr>
            <w:r w:rsidRPr="00F04D52">
              <w:rPr>
                <w:sz w:val="24"/>
                <w:szCs w:val="24"/>
              </w:rPr>
              <w:t>0.676</w:t>
            </w:r>
          </w:p>
        </w:tc>
        <w:tc>
          <w:tcPr>
            <w:tcW w:w="514" w:type="pct"/>
          </w:tcPr>
          <w:p w14:paraId="1761F72E" w14:textId="2F3C9DDB" w:rsidR="00CF253A" w:rsidRPr="00F04D52" w:rsidRDefault="00CF253A" w:rsidP="00CF253A">
            <w:pPr>
              <w:pStyle w:val="NoSpacing"/>
              <w:rPr>
                <w:sz w:val="24"/>
                <w:szCs w:val="24"/>
              </w:rPr>
            </w:pPr>
          </w:p>
        </w:tc>
        <w:tc>
          <w:tcPr>
            <w:tcW w:w="570" w:type="pct"/>
          </w:tcPr>
          <w:p w14:paraId="24544E8B" w14:textId="12E11D19" w:rsidR="00CF253A" w:rsidRPr="00F04D52" w:rsidRDefault="00CF253A" w:rsidP="00CF253A">
            <w:pPr>
              <w:pStyle w:val="NoSpacing"/>
              <w:rPr>
                <w:sz w:val="24"/>
                <w:szCs w:val="24"/>
              </w:rPr>
            </w:pPr>
            <w:r w:rsidRPr="00F04D52">
              <w:rPr>
                <w:sz w:val="24"/>
                <w:szCs w:val="24"/>
              </w:rPr>
              <w:t>0.714</w:t>
            </w:r>
          </w:p>
        </w:tc>
        <w:tc>
          <w:tcPr>
            <w:tcW w:w="514" w:type="pct"/>
          </w:tcPr>
          <w:p w14:paraId="5155F220" w14:textId="25A0E670" w:rsidR="00CF253A" w:rsidRPr="00F04D52" w:rsidRDefault="00CF253A" w:rsidP="00CF253A">
            <w:pPr>
              <w:pStyle w:val="NoSpacing"/>
              <w:rPr>
                <w:sz w:val="24"/>
                <w:szCs w:val="24"/>
              </w:rPr>
            </w:pPr>
          </w:p>
        </w:tc>
        <w:tc>
          <w:tcPr>
            <w:tcW w:w="570" w:type="pct"/>
            <w:hideMark/>
          </w:tcPr>
          <w:p w14:paraId="6936A857" w14:textId="356699A1" w:rsidR="00CF253A" w:rsidRPr="00F04D52" w:rsidRDefault="00CF253A" w:rsidP="00CF253A">
            <w:pPr>
              <w:pStyle w:val="NoSpacing"/>
              <w:rPr>
                <w:sz w:val="24"/>
                <w:szCs w:val="24"/>
              </w:rPr>
            </w:pPr>
            <w:r w:rsidRPr="00F04D52">
              <w:rPr>
                <w:sz w:val="24"/>
                <w:szCs w:val="24"/>
              </w:rPr>
              <w:t>0.692</w:t>
            </w:r>
          </w:p>
        </w:tc>
        <w:tc>
          <w:tcPr>
            <w:tcW w:w="514" w:type="pct"/>
            <w:hideMark/>
          </w:tcPr>
          <w:p w14:paraId="70E4EEF7" w14:textId="77777777" w:rsidR="00CF253A" w:rsidRPr="00F04D52" w:rsidRDefault="00CF253A" w:rsidP="00CF253A">
            <w:pPr>
              <w:pStyle w:val="NoSpacing"/>
              <w:rPr>
                <w:sz w:val="24"/>
                <w:szCs w:val="24"/>
              </w:rPr>
            </w:pPr>
          </w:p>
        </w:tc>
        <w:tc>
          <w:tcPr>
            <w:tcW w:w="570" w:type="pct"/>
            <w:hideMark/>
          </w:tcPr>
          <w:p w14:paraId="19B06003" w14:textId="4D272BF0" w:rsidR="00CF253A" w:rsidRPr="00F04D52" w:rsidRDefault="00CF253A" w:rsidP="00CF253A">
            <w:pPr>
              <w:pStyle w:val="NoSpacing"/>
              <w:rPr>
                <w:sz w:val="24"/>
                <w:szCs w:val="24"/>
              </w:rPr>
            </w:pPr>
            <w:r w:rsidRPr="00F04D52">
              <w:rPr>
                <w:sz w:val="24"/>
                <w:szCs w:val="24"/>
              </w:rPr>
              <w:t>0.744</w:t>
            </w:r>
          </w:p>
        </w:tc>
        <w:tc>
          <w:tcPr>
            <w:tcW w:w="514" w:type="pct"/>
            <w:hideMark/>
          </w:tcPr>
          <w:p w14:paraId="1E600452" w14:textId="77777777" w:rsidR="00CF253A" w:rsidRPr="00F04D52" w:rsidRDefault="00CF253A" w:rsidP="00CF253A">
            <w:pPr>
              <w:pStyle w:val="NoSpacing"/>
              <w:rPr>
                <w:sz w:val="24"/>
                <w:szCs w:val="24"/>
              </w:rPr>
            </w:pPr>
          </w:p>
        </w:tc>
      </w:tr>
    </w:tbl>
    <w:p w14:paraId="63015900" w14:textId="615C9E55" w:rsidR="00673F93" w:rsidRPr="00673F93" w:rsidRDefault="00673F93" w:rsidP="00897705">
      <w:pPr>
        <w:pStyle w:val="NoSpacing"/>
      </w:pPr>
      <w:r w:rsidRPr="00673F93">
        <w:t>This table reports the baseline regression results of CSR and stock price informativeness. The sample period is from 1995 to 2010. Coefficients are estimated based on the model presented in Equation (</w:t>
      </w:r>
      <w:hyperlink r:id="rId33" w:anchor="bib4" w:tooltip="4" w:history="1">
        <w:r w:rsidRPr="00673F93">
          <w:rPr>
            <w:rStyle w:val="Hyperlink"/>
            <w:rFonts w:cstheme="minorHAnsi"/>
            <w:sz w:val="24"/>
            <w:szCs w:val="24"/>
          </w:rPr>
          <w:t>4</w:t>
        </w:r>
      </w:hyperlink>
      <w:r w:rsidRPr="00673F93">
        <w:t xml:space="preserve">). The dependent variables are idiosyncratic volatility </w:t>
      </w:r>
      <m:oMath>
        <m:r>
          <m:rPr>
            <m:sty m:val="p"/>
          </m:rPr>
          <w:rPr>
            <w:rFonts w:ascii="Cambria Math" w:hAnsi="Cambria Math"/>
          </w:rPr>
          <m:t>(Ψ)</m:t>
        </m:r>
      </m:oMath>
      <w:r w:rsidRPr="00673F93">
        <w:t xml:space="preserve"> in columns (</w:t>
      </w:r>
      <w:hyperlink r:id="rId34" w:anchor="bib1" w:tooltip="1" w:history="1">
        <w:r w:rsidRPr="00673F93">
          <w:rPr>
            <w:rStyle w:val="Hyperlink"/>
            <w:rFonts w:cstheme="minorHAnsi"/>
            <w:sz w:val="24"/>
            <w:szCs w:val="24"/>
          </w:rPr>
          <w:t>1</w:t>
        </w:r>
      </w:hyperlink>
      <w:r w:rsidRPr="00673F93">
        <w:t>) and (</w:t>
      </w:r>
      <w:hyperlink r:id="rId35" w:anchor="bib2" w:tooltip="2" w:history="1">
        <w:r w:rsidRPr="00673F93">
          <w:rPr>
            <w:rStyle w:val="Hyperlink"/>
            <w:rFonts w:cstheme="minorHAnsi"/>
            <w:sz w:val="24"/>
            <w:szCs w:val="24"/>
          </w:rPr>
          <w:t>2</w:t>
        </w:r>
      </w:hyperlink>
      <w:r w:rsidRPr="00673F93">
        <w:t>) and the probability of informed trading (</w:t>
      </w:r>
      <w:r w:rsidRPr="00673F93">
        <w:rPr>
          <w:i/>
          <w:iCs/>
        </w:rPr>
        <w:t>PIN</w:t>
      </w:r>
      <w:r w:rsidRPr="00673F93">
        <w:t>) in columns (</w:t>
      </w:r>
      <w:hyperlink r:id="rId36" w:anchor="bib3" w:tooltip="3" w:history="1">
        <w:r w:rsidRPr="00673F93">
          <w:rPr>
            <w:rStyle w:val="Hyperlink"/>
            <w:rFonts w:cstheme="minorHAnsi"/>
            <w:sz w:val="24"/>
            <w:szCs w:val="24"/>
          </w:rPr>
          <w:t>3</w:t>
        </w:r>
      </w:hyperlink>
      <w:r w:rsidRPr="00673F93">
        <w:t>) and (</w:t>
      </w:r>
      <w:hyperlink r:id="rId37" w:anchor="bib4" w:tooltip="4" w:history="1">
        <w:r w:rsidRPr="00673F93">
          <w:rPr>
            <w:rStyle w:val="Hyperlink"/>
            <w:rFonts w:cstheme="minorHAnsi"/>
            <w:sz w:val="24"/>
            <w:szCs w:val="24"/>
          </w:rPr>
          <w:t>4</w:t>
        </w:r>
      </w:hyperlink>
      <w:r w:rsidRPr="00673F93">
        <w:t>). The main variable of interest is CSR score (</w:t>
      </w:r>
      <w:r w:rsidRPr="00673F93">
        <w:rPr>
          <w:i/>
          <w:iCs/>
        </w:rPr>
        <w:t>CSR</w:t>
      </w:r>
      <w:r w:rsidRPr="00673F93">
        <w:t>). Independent variables are lagged by one year relative to the dependent variable as described in Equation (</w:t>
      </w:r>
      <w:hyperlink r:id="rId38" w:anchor="bib4" w:tooltip="4" w:history="1">
        <w:r w:rsidRPr="00673F93">
          <w:rPr>
            <w:rStyle w:val="Hyperlink"/>
            <w:rFonts w:cstheme="minorHAnsi"/>
            <w:sz w:val="24"/>
            <w:szCs w:val="24"/>
          </w:rPr>
          <w:t>4</w:t>
        </w:r>
      </w:hyperlink>
      <w:r w:rsidRPr="00673F93">
        <w:t xml:space="preserve">). Detailed variable definitions, including control variables, are described in the Appendix. Standard errors are adjusted for heteroskedasticity and clustered by </w:t>
      </w:r>
      <w:proofErr w:type="gramStart"/>
      <w:r w:rsidRPr="00673F93">
        <w:t>firm.*</w:t>
      </w:r>
      <w:proofErr w:type="gramEnd"/>
      <w:r w:rsidRPr="00673F93">
        <w:t>**, ** and * denote statistical significance at the 1, 5 and 10 percent levels, respectively.</w:t>
      </w:r>
    </w:p>
    <w:p w14:paraId="3C0CDE02" w14:textId="77777777" w:rsidR="00897705" w:rsidRDefault="00897705" w:rsidP="00673F93">
      <w:pPr>
        <w:rPr>
          <w:rFonts w:cstheme="minorHAnsi"/>
          <w:b/>
          <w:bCs/>
          <w:sz w:val="24"/>
          <w:szCs w:val="24"/>
        </w:rPr>
        <w:sectPr w:rsidR="00897705" w:rsidSect="006D61B6">
          <w:pgSz w:w="15840" w:h="12240" w:orient="landscape"/>
          <w:pgMar w:top="1080" w:right="1080" w:bottom="1080" w:left="1080" w:header="720" w:footer="720" w:gutter="0"/>
          <w:cols w:space="720"/>
          <w:docGrid w:linePitch="360"/>
        </w:sectPr>
      </w:pPr>
    </w:p>
    <w:p w14:paraId="45C03E59" w14:textId="77777777" w:rsidR="00673F93" w:rsidRPr="00AA52AC" w:rsidRDefault="00D71504" w:rsidP="00AA52AC">
      <w:pPr>
        <w:pStyle w:val="Heading2"/>
      </w:pPr>
      <w:hyperlink r:id="rId39" w:anchor="toc" w:tooltip="CSR and information acquisition" w:history="1">
        <w:r w:rsidR="00673F93" w:rsidRPr="00AA52AC">
          <w:rPr>
            <w:rStyle w:val="Hyperlink"/>
            <w:color w:val="262626" w:themeColor="text1" w:themeTint="D9"/>
            <w:u w:val="none"/>
          </w:rPr>
          <w:t>CSR and information acquisition</w:t>
        </w:r>
      </w:hyperlink>
    </w:p>
    <w:p w14:paraId="49ABF86A" w14:textId="3FD1A70A" w:rsidR="005A3923" w:rsidRPr="00673F93" w:rsidRDefault="00673F93" w:rsidP="00673F93">
      <w:pPr>
        <w:rPr>
          <w:rFonts w:cstheme="minorHAnsi"/>
          <w:sz w:val="24"/>
          <w:szCs w:val="24"/>
        </w:rPr>
      </w:pPr>
      <w:r w:rsidRPr="00673F93">
        <w:rPr>
          <w:rFonts w:cstheme="minorHAnsi"/>
          <w:sz w:val="24"/>
          <w:szCs w:val="24"/>
        </w:rPr>
        <w:t>In this section, we analyse the relation between CSR and investor information search. To investigate Hypotheses H2a and H2b, we first examine investors' search activities for new 10‐K filings using the following model:</w:t>
      </w:r>
      <w:r w:rsidR="00830525" w:rsidRPr="00830525">
        <w:rPr>
          <w:rFonts w:cstheme="minorHAnsi"/>
          <w:sz w:val="24"/>
          <w:szCs w:val="24"/>
          <w:vertAlign w:val="superscript"/>
        </w:rPr>
        <w:t>27</w:t>
      </w:r>
    </w:p>
    <w:p w14:paraId="4CA6AE0D" w14:textId="1AE22EC3" w:rsidR="00673F93" w:rsidRPr="00673F93" w:rsidRDefault="005A3923" w:rsidP="00673F93">
      <w:pPr>
        <w:rPr>
          <w:rFonts w:cstheme="minorHAnsi"/>
          <w:sz w:val="24"/>
          <w:szCs w:val="24"/>
        </w:rPr>
      </w:pPr>
      <w:r>
        <w:rPr>
          <w:rFonts w:cstheme="minorHAnsi"/>
          <w:sz w:val="24"/>
          <w:szCs w:val="24"/>
        </w:rPr>
        <w:t>(</w:t>
      </w:r>
      <w:r w:rsidR="00673F93" w:rsidRPr="00673F93">
        <w:rPr>
          <w:rFonts w:cstheme="minorHAnsi"/>
          <w:sz w:val="24"/>
          <w:szCs w:val="24"/>
        </w:rPr>
        <w:t>5</w:t>
      </w:r>
      <w:r>
        <w:rPr>
          <w:rFonts w:cstheme="minorHAnsi"/>
          <w:sz w:val="24"/>
          <w:szCs w:val="24"/>
        </w:rPr>
        <w:t xml:space="preserve">) </w:t>
      </w:r>
      <m:oMath>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LOG(</m:t>
              </m:r>
              <m:sSub>
                <m:sSubPr>
                  <m:ctrlPr>
                    <w:rPr>
                      <w:rFonts w:ascii="Cambria Math" w:hAnsi="Cambria Math" w:cstheme="minorHAnsi"/>
                      <w:i/>
                      <w:sz w:val="24"/>
                      <w:szCs w:val="24"/>
                    </w:rPr>
                  </m:ctrlPr>
                </m:sSubPr>
                <m:e>
                  <m:r>
                    <w:rPr>
                      <w:rFonts w:ascii="Cambria Math" w:hAnsi="Cambria Math" w:cstheme="minorHAnsi"/>
                      <w:sz w:val="24"/>
                      <w:szCs w:val="24"/>
                    </w:rPr>
                    <m:t>EDGAR_D</m:t>
                  </m:r>
                </m:e>
                <m:sub>
                  <m:r>
                    <w:rPr>
                      <w:rFonts w:ascii="Cambria Math" w:hAnsi="Cambria Math" w:cstheme="minorHAnsi"/>
                      <w:sz w:val="24"/>
                      <w:szCs w:val="24"/>
                    </w:rPr>
                    <m:t>i,t</m:t>
                  </m:r>
                </m:sub>
              </m:sSub>
              <m:r>
                <w:rPr>
                  <w:rFonts w:ascii="Cambria Math" w:hAnsi="Cambria Math" w:cstheme="minorHAnsi"/>
                  <w:sz w:val="24"/>
                  <w:szCs w:val="24"/>
                </w:rPr>
                <m:t>)</m:t>
              </m:r>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
                  </m:e>
                </m:mr>
              </m:m>
            </m:e>
          </m:mr>
        </m:m>
        <m:m>
          <m:mPr>
            <m:cGp m:val="8"/>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sSub>
                <m:sSubPr>
                  <m:ctrlPr>
                    <w:rPr>
                      <w:rFonts w:ascii="Cambria Math" w:hAnsi="Cambria Math" w:cstheme="minorHAnsi"/>
                      <w:i/>
                      <w:sz w:val="24"/>
                      <w:szCs w:val="24"/>
                    </w:rPr>
                  </m:ctrlPr>
                </m:sSubPr>
                <m:e>
                  <m:r>
                    <w:rPr>
                      <w:rFonts w:ascii="Cambria Math" w:hAnsi="Cambria Math" w:cstheme="minorHAnsi"/>
                      <w:sz w:val="24"/>
                      <w:szCs w:val="24"/>
                    </w:rPr>
                    <m:t>CSR</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sSub>
                <m:sSubPr>
                  <m:ctrlPr>
                    <w:rPr>
                      <w:rFonts w:ascii="Cambria Math" w:hAnsi="Cambria Math" w:cstheme="minorHAnsi"/>
                      <w:i/>
                      <w:sz w:val="24"/>
                      <w:szCs w:val="24"/>
                    </w:rPr>
                  </m:ctrlPr>
                </m:sSubPr>
                <m:e>
                  <m:r>
                    <w:rPr>
                      <w:rFonts w:ascii="Cambria Math" w:hAnsi="Cambria Math" w:cstheme="minorHAnsi"/>
                      <w:sz w:val="24"/>
                      <w:szCs w:val="24"/>
                    </w:rPr>
                    <m:t>LOGFILESIZE</m:t>
                  </m:r>
                </m:e>
                <m:sub>
                  <m:r>
                    <w:rPr>
                      <w:rFonts w:ascii="Cambria Math" w:hAnsi="Cambria Math" w:cstheme="minorHAnsi"/>
                      <w:sz w:val="24"/>
                      <w:szCs w:val="24"/>
                    </w:rPr>
                    <m:t>i,t</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3</m:t>
                  </m:r>
                </m:sub>
              </m:sSub>
              <m:sSub>
                <m:sSubPr>
                  <m:ctrlPr>
                    <w:rPr>
                      <w:rFonts w:ascii="Cambria Math" w:hAnsi="Cambria Math" w:cstheme="minorHAnsi"/>
                      <w:i/>
                      <w:sz w:val="24"/>
                      <w:szCs w:val="24"/>
                    </w:rPr>
                  </m:ctrlPr>
                </m:sSubPr>
                <m:e>
                  <m:r>
                    <w:rPr>
                      <w:rFonts w:ascii="Cambria Math" w:hAnsi="Cambria Math" w:cstheme="minorHAnsi"/>
                      <w:sz w:val="24"/>
                      <w:szCs w:val="24"/>
                    </w:rPr>
                    <m:t>LOGSUPPLY</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4</m:t>
                  </m:r>
                </m:sub>
              </m:sSub>
              <m:sSub>
                <m:sSubPr>
                  <m:ctrlPr>
                    <w:rPr>
                      <w:rFonts w:ascii="Cambria Math" w:hAnsi="Cambria Math" w:cstheme="minorHAnsi"/>
                      <w:i/>
                      <w:sz w:val="24"/>
                      <w:szCs w:val="24"/>
                    </w:rPr>
                  </m:ctrlPr>
                </m:sSubPr>
                <m:e>
                  <m:r>
                    <w:rPr>
                      <w:rFonts w:ascii="Cambria Math" w:hAnsi="Cambria Math" w:cstheme="minorHAnsi"/>
                      <w:sz w:val="24"/>
                      <w:szCs w:val="24"/>
                    </w:rPr>
                    <m:t>SHORT</m:t>
                  </m:r>
                </m:e>
                <m:sub>
                  <m:r>
                    <w:rPr>
                      <w:rFonts w:ascii="Cambria Math" w:hAnsi="Cambria Math" w:cstheme="minorHAnsi"/>
                      <w:sz w:val="24"/>
                      <w:szCs w:val="24"/>
                    </w:rPr>
                    <m:t>i,t‐1</m:t>
                  </m:r>
                </m:sub>
              </m:sSub>
            </m:e>
          </m:mr>
          <m:mr>
            <m:e>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5</m:t>
                        </m:r>
                      </m:sub>
                    </m:sSub>
                    <m:sSub>
                      <m:sSubPr>
                        <m:ctrlPr>
                          <w:rPr>
                            <w:rFonts w:ascii="Cambria Math" w:hAnsi="Cambria Math" w:cstheme="minorHAnsi"/>
                            <w:i/>
                            <w:sz w:val="24"/>
                            <w:szCs w:val="24"/>
                          </w:rPr>
                        </m:ctrlPr>
                      </m:sSubPr>
                      <m:e>
                        <m:r>
                          <w:rPr>
                            <w:rFonts w:ascii="Cambria Math" w:hAnsi="Cambria Math" w:cstheme="minorHAnsi"/>
                            <w:sz w:val="24"/>
                            <w:szCs w:val="24"/>
                          </w:rPr>
                          <m:t>SIZE</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6</m:t>
                        </m:r>
                      </m:sub>
                    </m:sSub>
                    <m:sSub>
                      <m:sSubPr>
                        <m:ctrlPr>
                          <w:rPr>
                            <w:rFonts w:ascii="Cambria Math" w:hAnsi="Cambria Math" w:cstheme="minorHAnsi"/>
                            <w:i/>
                            <w:sz w:val="24"/>
                            <w:szCs w:val="24"/>
                          </w:rPr>
                        </m:ctrlPr>
                      </m:sSubPr>
                      <m:e>
                        <m:r>
                          <w:rPr>
                            <w:rFonts w:ascii="Cambria Math" w:hAnsi="Cambria Math" w:cstheme="minorHAnsi"/>
                            <w:sz w:val="24"/>
                            <w:szCs w:val="24"/>
                          </w:rPr>
                          <m:t>ANALYSTS</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7</m:t>
                        </m:r>
                      </m:sub>
                    </m:sSub>
                    <m:sSub>
                      <m:sSubPr>
                        <m:ctrlPr>
                          <w:rPr>
                            <w:rFonts w:ascii="Cambria Math" w:hAnsi="Cambria Math" w:cstheme="minorHAnsi"/>
                            <w:i/>
                            <w:sz w:val="24"/>
                            <w:szCs w:val="24"/>
                          </w:rPr>
                        </m:ctrlPr>
                      </m:sSubPr>
                      <m:e>
                        <m:r>
                          <w:rPr>
                            <w:rFonts w:ascii="Cambria Math" w:hAnsi="Cambria Math" w:cstheme="minorHAnsi"/>
                            <w:sz w:val="24"/>
                            <w:szCs w:val="24"/>
                          </w:rPr>
                          <m:t>INSTOWN</m:t>
                        </m:r>
                      </m:e>
                      <m:sub>
                        <m:r>
                          <w:rPr>
                            <w:rFonts w:ascii="Cambria Math" w:hAnsi="Cambria Math" w:cstheme="minorHAnsi"/>
                            <w:sz w:val="24"/>
                            <w:szCs w:val="24"/>
                          </w:rPr>
                          <m:t>i,t‐1</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8</m:t>
                        </m:r>
                      </m:sub>
                    </m:sSub>
                    <m:sSub>
                      <m:sSubPr>
                        <m:ctrlPr>
                          <w:rPr>
                            <w:rFonts w:ascii="Cambria Math" w:hAnsi="Cambria Math" w:cstheme="minorHAnsi"/>
                            <w:i/>
                            <w:sz w:val="24"/>
                            <w:szCs w:val="24"/>
                          </w:rPr>
                        </m:ctrlPr>
                      </m:sSubPr>
                      <m:e>
                        <m:r>
                          <w:rPr>
                            <w:rFonts w:ascii="Cambria Math" w:hAnsi="Cambria Math" w:cstheme="minorHAnsi"/>
                            <w:sz w:val="24"/>
                            <w:szCs w:val="24"/>
                          </w:rPr>
                          <m:t>INSTNUM</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9</m:t>
                        </m:r>
                      </m:sub>
                    </m:sSub>
                    <m:sSub>
                      <m:sSubPr>
                        <m:ctrlPr>
                          <w:rPr>
                            <w:rFonts w:ascii="Cambria Math" w:hAnsi="Cambria Math" w:cstheme="minorHAnsi"/>
                            <w:i/>
                            <w:sz w:val="24"/>
                            <w:szCs w:val="24"/>
                          </w:rPr>
                        </m:ctrlPr>
                      </m:sSubPr>
                      <m:e>
                        <m:r>
                          <w:rPr>
                            <w:rFonts w:ascii="Cambria Math" w:hAnsi="Cambria Math" w:cstheme="minorHAnsi"/>
                            <w:sz w:val="24"/>
                            <w:szCs w:val="24"/>
                          </w:rPr>
                          <m:t>ROA</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10</m:t>
                        </m:r>
                      </m:sub>
                    </m:sSub>
                    <m:sSub>
                      <m:sSubPr>
                        <m:ctrlPr>
                          <w:rPr>
                            <w:rFonts w:ascii="Cambria Math" w:hAnsi="Cambria Math" w:cstheme="minorHAnsi"/>
                            <w:i/>
                            <w:sz w:val="24"/>
                            <w:szCs w:val="24"/>
                          </w:rPr>
                        </m:ctrlPr>
                      </m:sSubPr>
                      <m:e>
                        <m:r>
                          <w:rPr>
                            <w:rFonts w:ascii="Cambria Math" w:hAnsi="Cambria Math" w:cstheme="minorHAnsi"/>
                            <w:sz w:val="24"/>
                            <w:szCs w:val="24"/>
                          </w:rPr>
                          <m:t>MB</m:t>
                        </m:r>
                      </m:e>
                      <m:sub>
                        <m:r>
                          <w:rPr>
                            <w:rFonts w:ascii="Cambria Math" w:hAnsi="Cambria Math" w:cstheme="minorHAnsi"/>
                            <w:sz w:val="24"/>
                            <w:szCs w:val="24"/>
                          </w:rPr>
                          <m:t>i,t‐1</m:t>
                        </m:r>
                      </m:sub>
                    </m:sSub>
                  </m:e>
                </m:mr>
                <m:mr>
                  <m:e>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11</m:t>
                              </m:r>
                            </m:sub>
                          </m:sSub>
                          <m:sSub>
                            <m:sSubPr>
                              <m:ctrlPr>
                                <w:rPr>
                                  <w:rFonts w:ascii="Cambria Math" w:hAnsi="Cambria Math" w:cstheme="minorHAnsi"/>
                                  <w:i/>
                                  <w:sz w:val="24"/>
                                  <w:szCs w:val="24"/>
                                </w:rPr>
                              </m:ctrlPr>
                            </m:sSubPr>
                            <m:e>
                              <m:r>
                                <w:rPr>
                                  <w:rFonts w:ascii="Cambria Math" w:hAnsi="Cambria Math" w:cstheme="minorHAnsi"/>
                                  <w:sz w:val="24"/>
                                  <w:szCs w:val="24"/>
                                </w:rPr>
                                <m:t>TURNOVER</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12</m:t>
                              </m:r>
                            </m:sub>
                          </m:sSub>
                          <m:sSub>
                            <m:sSubPr>
                              <m:ctrlPr>
                                <w:rPr>
                                  <w:rFonts w:ascii="Cambria Math" w:hAnsi="Cambria Math" w:cstheme="minorHAnsi"/>
                                  <w:i/>
                                  <w:sz w:val="24"/>
                                  <w:szCs w:val="24"/>
                                </w:rPr>
                              </m:ctrlPr>
                            </m:sSubPr>
                            <m:e>
                              <m:r>
                                <w:rPr>
                                  <w:rFonts w:ascii="Cambria Math" w:hAnsi="Cambria Math" w:cstheme="minorHAnsi"/>
                                  <w:sz w:val="24"/>
                                  <w:szCs w:val="24"/>
                                </w:rPr>
                                <m:t>LEV</m:t>
                              </m:r>
                            </m:e>
                            <m:sub>
                              <m:r>
                                <w:rPr>
                                  <w:rFonts w:ascii="Cambria Math" w:hAnsi="Cambria Math" w:cstheme="minorHAnsi"/>
                                  <w:sz w:val="24"/>
                                  <w:szCs w:val="24"/>
                                </w:rPr>
                                <m:t>i,t‐1</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13</m:t>
                              </m:r>
                            </m:sub>
                          </m:sSub>
                          <m:sSub>
                            <m:sSubPr>
                              <m:ctrlPr>
                                <w:rPr>
                                  <w:rFonts w:ascii="Cambria Math" w:hAnsi="Cambria Math" w:cstheme="minorHAnsi"/>
                                  <w:i/>
                                  <w:sz w:val="24"/>
                                  <w:szCs w:val="24"/>
                                </w:rPr>
                              </m:ctrlPr>
                            </m:sSubPr>
                            <m:e>
                              <m:r>
                                <w:rPr>
                                  <w:rFonts w:ascii="Cambria Math" w:hAnsi="Cambria Math" w:cstheme="minorHAnsi"/>
                                  <w:sz w:val="24"/>
                                  <w:szCs w:val="24"/>
                                </w:rPr>
                                <m:t>NYSE</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14</m:t>
                              </m:r>
                            </m:sub>
                          </m:sSub>
                          <m:sSub>
                            <m:sSubPr>
                              <m:ctrlPr>
                                <w:rPr>
                                  <w:rFonts w:ascii="Cambria Math" w:hAnsi="Cambria Math" w:cstheme="minorHAnsi"/>
                                  <w:i/>
                                  <w:sz w:val="24"/>
                                  <w:szCs w:val="24"/>
                                </w:rPr>
                              </m:ctrlPr>
                            </m:sSubPr>
                            <m:e>
                              <m:r>
                                <w:rPr>
                                  <w:rFonts w:ascii="Cambria Math" w:hAnsi="Cambria Math" w:cstheme="minorHAnsi"/>
                                  <w:sz w:val="24"/>
                                  <w:szCs w:val="24"/>
                                </w:rPr>
                                <m:t>RET</m:t>
                              </m:r>
                              <m:d>
                                <m:dPr>
                                  <m:ctrlPr>
                                    <w:rPr>
                                      <w:rFonts w:ascii="Cambria Math" w:hAnsi="Cambria Math" w:cstheme="minorHAnsi"/>
                                      <w:i/>
                                      <w:sz w:val="24"/>
                                      <w:szCs w:val="24"/>
                                    </w:rPr>
                                  </m:ctrlPr>
                                </m:dPr>
                                <m:e>
                                  <m:r>
                                    <w:rPr>
                                      <w:rFonts w:ascii="Cambria Math" w:hAnsi="Cambria Math" w:cstheme="minorHAnsi"/>
                                      <w:sz w:val="24"/>
                                      <w:szCs w:val="24"/>
                                    </w:rPr>
                                    <m:t>m‐3,m</m:t>
                                  </m:r>
                                </m:e>
                              </m:d>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15</m:t>
                              </m:r>
                            </m:sub>
                          </m:sSub>
                          <m:sSub>
                            <m:sSubPr>
                              <m:ctrlPr>
                                <w:rPr>
                                  <w:rFonts w:ascii="Cambria Math" w:hAnsi="Cambria Math" w:cstheme="minorHAnsi"/>
                                  <w:i/>
                                  <w:sz w:val="24"/>
                                  <w:szCs w:val="24"/>
                                </w:rPr>
                              </m:ctrlPr>
                            </m:sSubPr>
                            <m:e>
                              <m:r>
                                <w:rPr>
                                  <w:rFonts w:ascii="Cambria Math" w:hAnsi="Cambria Math" w:cstheme="minorHAnsi"/>
                                  <w:sz w:val="24"/>
                                  <w:szCs w:val="24"/>
                                </w:rPr>
                                <m:t>LOSS</m:t>
                              </m:r>
                            </m:e>
                            <m:sub>
                              <m:r>
                                <w:rPr>
                                  <w:rFonts w:ascii="Cambria Math" w:hAnsi="Cambria Math" w:cstheme="minorHAnsi"/>
                                  <w:sz w:val="24"/>
                                  <w:szCs w:val="24"/>
                                </w:rPr>
                                <m:t>t‐1</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m</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w</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ε</m:t>
                              </m:r>
                            </m:e>
                            <m:sub>
                              <m:r>
                                <w:rPr>
                                  <w:rFonts w:ascii="Cambria Math" w:hAnsi="Cambria Math" w:cstheme="minorHAnsi"/>
                                  <w:sz w:val="24"/>
                                  <w:szCs w:val="24"/>
                                </w:rPr>
                                <m:t>i,t</m:t>
                              </m:r>
                            </m:sub>
                          </m:sSub>
                        </m:e>
                      </m:mr>
                    </m:m>
                  </m:e>
                </m:mr>
              </m:m>
            </m:e>
          </m:mr>
        </m:m>
      </m:oMath>
    </w:p>
    <w:p w14:paraId="316FF7C6" w14:textId="5819A078" w:rsidR="00673F93" w:rsidRPr="00673F93" w:rsidRDefault="00673F93" w:rsidP="00673F93">
      <w:pPr>
        <w:rPr>
          <w:rFonts w:cstheme="minorHAnsi"/>
          <w:sz w:val="24"/>
          <w:szCs w:val="24"/>
        </w:rPr>
      </w:pPr>
      <w:r w:rsidRPr="00673F93">
        <w:rPr>
          <w:rFonts w:cstheme="minorHAnsi"/>
          <w:sz w:val="24"/>
          <w:szCs w:val="24"/>
        </w:rPr>
        <w:t>where </w:t>
      </w:r>
      <m:oMath>
        <m:r>
          <w:rPr>
            <w:rFonts w:ascii="Cambria Math" w:hAnsi="Cambria Math" w:cstheme="minorHAnsi"/>
            <w:sz w:val="24"/>
            <w:szCs w:val="24"/>
          </w:rPr>
          <m:t>i</m:t>
        </m:r>
      </m:oMath>
      <w:r w:rsidR="005A3923">
        <w:rPr>
          <w:rFonts w:cstheme="minorHAnsi"/>
          <w:i/>
          <w:iCs/>
          <w:sz w:val="24"/>
          <w:szCs w:val="24"/>
        </w:rPr>
        <w:t xml:space="preserve"> </w:t>
      </w:r>
      <w:r w:rsidRPr="00673F93">
        <w:rPr>
          <w:rFonts w:cstheme="minorHAnsi"/>
          <w:sz w:val="24"/>
          <w:szCs w:val="24"/>
        </w:rPr>
        <w:t>indexes the firm and </w:t>
      </w:r>
      <m:oMath>
        <m:r>
          <w:rPr>
            <w:rFonts w:ascii="Cambria Math" w:hAnsi="Cambria Math" w:cstheme="minorHAnsi"/>
            <w:sz w:val="24"/>
            <w:szCs w:val="24"/>
          </w:rPr>
          <m:t>t</m:t>
        </m:r>
      </m:oMath>
      <w:r w:rsidR="005A3923">
        <w:rPr>
          <w:rFonts w:cstheme="minorHAnsi"/>
          <w:i/>
          <w:iCs/>
          <w:sz w:val="24"/>
          <w:szCs w:val="24"/>
        </w:rPr>
        <w:t xml:space="preserve"> </w:t>
      </w:r>
      <w:r w:rsidRPr="00673F93">
        <w:rPr>
          <w:rFonts w:cstheme="minorHAnsi"/>
          <w:sz w:val="24"/>
          <w:szCs w:val="24"/>
        </w:rPr>
        <w:t>indexes the year. </w:t>
      </w:r>
      <w:r w:rsidRPr="00673F93">
        <w:rPr>
          <w:rFonts w:cstheme="minorHAnsi"/>
          <w:i/>
          <w:iCs/>
          <w:sz w:val="24"/>
          <w:szCs w:val="24"/>
        </w:rPr>
        <w:t>EDGAR_D</w:t>
      </w:r>
      <w:r w:rsidRPr="00673F93">
        <w:rPr>
          <w:rFonts w:cstheme="minorHAnsi"/>
          <w:sz w:val="24"/>
          <w:szCs w:val="24"/>
        </w:rPr>
        <w:t>, </w:t>
      </w:r>
      <w:r w:rsidRPr="00673F93">
        <w:rPr>
          <w:rFonts w:cstheme="minorHAnsi"/>
          <w:i/>
          <w:iCs/>
          <w:sz w:val="24"/>
          <w:szCs w:val="24"/>
        </w:rPr>
        <w:t>D</w:t>
      </w:r>
      <w:r w:rsidRPr="00673F93">
        <w:rPr>
          <w:rFonts w:cstheme="minorHAnsi"/>
          <w:sz w:val="24"/>
          <w:szCs w:val="24"/>
        </w:rPr>
        <w:t> = </w:t>
      </w:r>
      <w:r w:rsidRPr="00673F93">
        <w:rPr>
          <w:rFonts w:cstheme="minorHAnsi"/>
          <w:i/>
          <w:iCs/>
          <w:sz w:val="24"/>
          <w:szCs w:val="24"/>
        </w:rPr>
        <w:t>1</w:t>
      </w:r>
      <w:r w:rsidRPr="00673F93">
        <w:rPr>
          <w:rFonts w:cstheme="minorHAnsi"/>
          <w:sz w:val="24"/>
          <w:szCs w:val="24"/>
        </w:rPr>
        <w:t>, </w:t>
      </w:r>
      <w:r w:rsidRPr="00673F93">
        <w:rPr>
          <w:rFonts w:cstheme="minorHAnsi"/>
          <w:i/>
          <w:iCs/>
          <w:sz w:val="24"/>
          <w:szCs w:val="24"/>
        </w:rPr>
        <w:t>3</w:t>
      </w:r>
      <w:r w:rsidRPr="00673F93">
        <w:rPr>
          <w:rFonts w:cstheme="minorHAnsi"/>
          <w:sz w:val="24"/>
          <w:szCs w:val="24"/>
        </w:rPr>
        <w:t>, and </w:t>
      </w:r>
      <w:r w:rsidRPr="00673F93">
        <w:rPr>
          <w:rFonts w:cstheme="minorHAnsi"/>
          <w:i/>
          <w:iCs/>
          <w:sz w:val="24"/>
          <w:szCs w:val="24"/>
        </w:rPr>
        <w:t>1WK</w:t>
      </w:r>
      <w:r w:rsidRPr="00673F93">
        <w:rPr>
          <w:rFonts w:cstheme="minorHAnsi"/>
          <w:sz w:val="24"/>
          <w:szCs w:val="24"/>
        </w:rPr>
        <w:t> are the counts of individual requests for 10‐K financial reports on the date that the filing became publicly available (</w:t>
      </w:r>
      <w:r w:rsidRPr="00673F93">
        <w:rPr>
          <w:rFonts w:cstheme="minorHAnsi"/>
          <w:i/>
          <w:iCs/>
          <w:sz w:val="24"/>
          <w:szCs w:val="24"/>
        </w:rPr>
        <w:t>EDGAR_1</w:t>
      </w:r>
      <w:r w:rsidRPr="00673F93">
        <w:rPr>
          <w:rFonts w:cstheme="minorHAnsi"/>
          <w:sz w:val="24"/>
          <w:szCs w:val="24"/>
        </w:rPr>
        <w:t>), up to 3 days after the filing date (</w:t>
      </w:r>
      <w:r w:rsidRPr="00673F93">
        <w:rPr>
          <w:rFonts w:cstheme="minorHAnsi"/>
          <w:i/>
          <w:iCs/>
          <w:sz w:val="24"/>
          <w:szCs w:val="24"/>
        </w:rPr>
        <w:t>EDGAR_3</w:t>
      </w:r>
      <w:r w:rsidRPr="00673F93">
        <w:rPr>
          <w:rFonts w:cstheme="minorHAnsi"/>
          <w:sz w:val="24"/>
          <w:szCs w:val="24"/>
        </w:rPr>
        <w:t>) and up to 1 week after the filing date (</w:t>
      </w:r>
      <w:r w:rsidRPr="00673F93">
        <w:rPr>
          <w:rFonts w:cstheme="minorHAnsi"/>
          <w:i/>
          <w:iCs/>
          <w:sz w:val="24"/>
          <w:szCs w:val="24"/>
        </w:rPr>
        <w:t>EDGAR_1WK</w:t>
      </w:r>
      <w:r w:rsidRPr="00673F93">
        <w:rPr>
          <w:rFonts w:cstheme="minorHAnsi"/>
          <w:sz w:val="24"/>
          <w:szCs w:val="24"/>
        </w:rPr>
        <w:t xml:space="preserve">). Because of data constraints, the </w:t>
      </w:r>
      <w:proofErr w:type="gramStart"/>
      <w:r w:rsidRPr="00673F93">
        <w:rPr>
          <w:rFonts w:cstheme="minorHAnsi"/>
          <w:sz w:val="24"/>
          <w:szCs w:val="24"/>
        </w:rPr>
        <w:t>time period</w:t>
      </w:r>
      <w:proofErr w:type="gramEnd"/>
      <w:r w:rsidRPr="00673F93">
        <w:rPr>
          <w:rFonts w:cstheme="minorHAnsi"/>
          <w:sz w:val="24"/>
          <w:szCs w:val="24"/>
        </w:rPr>
        <w:t xml:space="preserve"> is limited to the years between 2003 and 2010. Similar to Drake </w:t>
      </w:r>
      <w:r w:rsidR="005A3923">
        <w:rPr>
          <w:rFonts w:cstheme="minorHAnsi"/>
          <w:i/>
          <w:iCs/>
          <w:sz w:val="24"/>
          <w:szCs w:val="24"/>
        </w:rPr>
        <w:t xml:space="preserve">et al. </w:t>
      </w:r>
      <w:r w:rsidRPr="00673F93">
        <w:rPr>
          <w:rFonts w:cstheme="minorHAnsi"/>
          <w:sz w:val="24"/>
          <w:szCs w:val="24"/>
        </w:rPr>
        <w:t>(2015), we further control for 10‐K file size (</w:t>
      </w:r>
      <w:r w:rsidRPr="00673F93">
        <w:rPr>
          <w:rFonts w:cstheme="minorHAnsi"/>
          <w:i/>
          <w:iCs/>
          <w:sz w:val="24"/>
          <w:szCs w:val="24"/>
        </w:rPr>
        <w:t>LOGFILESIZE</w:t>
      </w:r>
      <w:r w:rsidRPr="00673F93">
        <w:rPr>
          <w:rFonts w:cstheme="minorHAnsi"/>
          <w:sz w:val="24"/>
          <w:szCs w:val="24"/>
        </w:rPr>
        <w:t>), the supply of firm filings on EDGAR (</w:t>
      </w:r>
      <w:r w:rsidRPr="00673F93">
        <w:rPr>
          <w:rFonts w:cstheme="minorHAnsi"/>
          <w:i/>
          <w:iCs/>
          <w:sz w:val="24"/>
          <w:szCs w:val="24"/>
        </w:rPr>
        <w:t>LOGSUPPLY</w:t>
      </w:r>
      <w:r w:rsidRPr="00673F93">
        <w:rPr>
          <w:rFonts w:cstheme="minorHAnsi"/>
          <w:sz w:val="24"/>
          <w:szCs w:val="24"/>
        </w:rPr>
        <w:t>), the number of shorted shares (</w:t>
      </w:r>
      <w:r w:rsidRPr="00673F93">
        <w:rPr>
          <w:rFonts w:cstheme="minorHAnsi"/>
          <w:i/>
          <w:iCs/>
          <w:sz w:val="24"/>
          <w:szCs w:val="24"/>
        </w:rPr>
        <w:t>SHORT</w:t>
      </w:r>
      <w:r w:rsidRPr="00673F93">
        <w:rPr>
          <w:rFonts w:cstheme="minorHAnsi"/>
          <w:sz w:val="24"/>
          <w:szCs w:val="24"/>
        </w:rPr>
        <w:t>), market capitalisation (</w:t>
      </w:r>
      <w:r w:rsidRPr="00673F93">
        <w:rPr>
          <w:rFonts w:cstheme="minorHAnsi"/>
          <w:i/>
          <w:iCs/>
          <w:sz w:val="24"/>
          <w:szCs w:val="24"/>
        </w:rPr>
        <w:t>SIZE</w:t>
      </w:r>
      <w:r w:rsidRPr="00673F93">
        <w:rPr>
          <w:rFonts w:cstheme="minorHAnsi"/>
          <w:sz w:val="24"/>
          <w:szCs w:val="24"/>
        </w:rPr>
        <w:t>), analyst coverage (</w:t>
      </w:r>
      <w:r w:rsidRPr="00673F93">
        <w:rPr>
          <w:rFonts w:cstheme="minorHAnsi"/>
          <w:i/>
          <w:iCs/>
          <w:sz w:val="24"/>
          <w:szCs w:val="24"/>
        </w:rPr>
        <w:t>ANALYSTS</w:t>
      </w:r>
      <w:r w:rsidRPr="00673F93">
        <w:rPr>
          <w:rFonts w:cstheme="minorHAnsi"/>
          <w:sz w:val="24"/>
          <w:szCs w:val="24"/>
        </w:rPr>
        <w:t>), institutional ownership (</w:t>
      </w:r>
      <w:r w:rsidRPr="00673F93">
        <w:rPr>
          <w:rFonts w:cstheme="minorHAnsi"/>
          <w:i/>
          <w:iCs/>
          <w:sz w:val="24"/>
          <w:szCs w:val="24"/>
        </w:rPr>
        <w:t>INSTOWN</w:t>
      </w:r>
      <w:r w:rsidRPr="00673F93">
        <w:rPr>
          <w:rFonts w:cstheme="minorHAnsi"/>
          <w:sz w:val="24"/>
          <w:szCs w:val="24"/>
        </w:rPr>
        <w:t>), the number of institutional investors (</w:t>
      </w:r>
      <w:r w:rsidRPr="00673F93">
        <w:rPr>
          <w:rFonts w:cstheme="minorHAnsi"/>
          <w:i/>
          <w:iCs/>
          <w:sz w:val="24"/>
          <w:szCs w:val="24"/>
        </w:rPr>
        <w:t>INSTNUM</w:t>
      </w:r>
      <w:r w:rsidRPr="00673F93">
        <w:rPr>
          <w:rFonts w:cstheme="minorHAnsi"/>
          <w:sz w:val="24"/>
          <w:szCs w:val="24"/>
        </w:rPr>
        <w:t>), the magnitude of firm performance (</w:t>
      </w:r>
      <w:r w:rsidRPr="00673F93">
        <w:rPr>
          <w:rFonts w:cstheme="minorHAnsi"/>
          <w:i/>
          <w:iCs/>
          <w:sz w:val="24"/>
          <w:szCs w:val="24"/>
        </w:rPr>
        <w:t>|ROA|</w:t>
      </w:r>
      <w:r w:rsidRPr="00673F93">
        <w:rPr>
          <w:rFonts w:cstheme="minorHAnsi"/>
          <w:sz w:val="24"/>
          <w:szCs w:val="24"/>
        </w:rPr>
        <w:t>), market‐to‐book ratio (</w:t>
      </w:r>
      <w:r w:rsidRPr="00673F93">
        <w:rPr>
          <w:rFonts w:cstheme="minorHAnsi"/>
          <w:i/>
          <w:iCs/>
          <w:sz w:val="24"/>
          <w:szCs w:val="24"/>
        </w:rPr>
        <w:t>MB</w:t>
      </w:r>
      <w:r w:rsidRPr="00673F93">
        <w:rPr>
          <w:rFonts w:cstheme="minorHAnsi"/>
          <w:sz w:val="24"/>
          <w:szCs w:val="24"/>
        </w:rPr>
        <w:t>), trading volume (</w:t>
      </w:r>
      <w:r w:rsidRPr="00673F93">
        <w:rPr>
          <w:rFonts w:cstheme="minorHAnsi"/>
          <w:i/>
          <w:iCs/>
          <w:sz w:val="24"/>
          <w:szCs w:val="24"/>
        </w:rPr>
        <w:t>TURNOVER</w:t>
      </w:r>
      <w:r w:rsidRPr="00673F93">
        <w:rPr>
          <w:rFonts w:cstheme="minorHAnsi"/>
          <w:sz w:val="24"/>
          <w:szCs w:val="24"/>
        </w:rPr>
        <w:t>), book leverage (</w:t>
      </w:r>
      <w:r w:rsidRPr="00673F93">
        <w:rPr>
          <w:rFonts w:cstheme="minorHAnsi"/>
          <w:i/>
          <w:iCs/>
          <w:sz w:val="24"/>
          <w:szCs w:val="24"/>
        </w:rPr>
        <w:t>LEV</w:t>
      </w:r>
      <w:r w:rsidRPr="00673F93">
        <w:rPr>
          <w:rFonts w:cstheme="minorHAnsi"/>
          <w:sz w:val="24"/>
          <w:szCs w:val="24"/>
        </w:rPr>
        <w:t>), and whether the firm's stock is traded on the New York Stock Exchange (</w:t>
      </w:r>
      <w:r w:rsidRPr="00673F93">
        <w:rPr>
          <w:rFonts w:cstheme="minorHAnsi"/>
          <w:i/>
          <w:iCs/>
          <w:sz w:val="24"/>
          <w:szCs w:val="24"/>
        </w:rPr>
        <w:t>NYSE</w:t>
      </w:r>
      <w:r w:rsidRPr="00673F93">
        <w:rPr>
          <w:rFonts w:cstheme="minorHAnsi"/>
          <w:sz w:val="24"/>
          <w:szCs w:val="24"/>
        </w:rPr>
        <w:t>), cumulative returns over the past three months (</w:t>
      </w:r>
      <w:r w:rsidRPr="00673F93">
        <w:rPr>
          <w:rFonts w:cstheme="minorHAnsi"/>
          <w:i/>
          <w:iCs/>
          <w:sz w:val="24"/>
          <w:szCs w:val="24"/>
        </w:rPr>
        <w:t>RET(m‐3, m)</w:t>
      </w:r>
      <w:r w:rsidRPr="00673F93">
        <w:rPr>
          <w:rFonts w:cstheme="minorHAnsi"/>
          <w:sz w:val="24"/>
          <w:szCs w:val="24"/>
        </w:rPr>
        <w:t>), and whether the firm had an earnings loss (</w:t>
      </w:r>
      <w:r w:rsidRPr="00673F93">
        <w:rPr>
          <w:rFonts w:cstheme="minorHAnsi"/>
          <w:i/>
          <w:iCs/>
          <w:sz w:val="24"/>
          <w:szCs w:val="24"/>
        </w:rPr>
        <w:t>LOSS</w:t>
      </w:r>
      <w:r w:rsidRPr="00673F93">
        <w:rPr>
          <w:rFonts w:cstheme="minorHAnsi"/>
          <w:sz w:val="24"/>
          <w:szCs w:val="24"/>
        </w:rPr>
        <w:t xml:space="preserve">). We further control for year, month, </w:t>
      </w:r>
      <w:proofErr w:type="gramStart"/>
      <w:r w:rsidRPr="00673F93">
        <w:rPr>
          <w:rFonts w:cstheme="minorHAnsi"/>
          <w:sz w:val="24"/>
          <w:szCs w:val="24"/>
        </w:rPr>
        <w:t>weekday</w:t>
      </w:r>
      <w:proofErr w:type="gramEnd"/>
      <w:r w:rsidRPr="00673F93">
        <w:rPr>
          <w:rFonts w:cstheme="minorHAnsi"/>
          <w:sz w:val="24"/>
          <w:szCs w:val="24"/>
        </w:rPr>
        <w:t xml:space="preserve"> and firm fixed effects, denoted by </w:t>
      </w:r>
      <m:oMath>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t</m:t>
            </m:r>
          </m:sub>
        </m:sSub>
      </m:oMath>
      <w:r w:rsidRPr="00673F93">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m</m:t>
            </m:r>
          </m:sub>
        </m:sSub>
      </m:oMath>
      <w:r w:rsidRPr="00673F93">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w</m:t>
            </m:r>
          </m:sub>
        </m:sSub>
      </m:oMath>
      <w:r w:rsidRPr="00673F93">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i</m:t>
            </m:r>
          </m:sub>
        </m:sSub>
      </m:oMath>
      <w:r w:rsidRPr="00673F93">
        <w:rPr>
          <w:rFonts w:cstheme="minorHAnsi"/>
          <w:sz w:val="24"/>
          <w:szCs w:val="24"/>
        </w:rPr>
        <w:t xml:space="preserve">, respectively. </w:t>
      </w:r>
      <w:proofErr w:type="gramStart"/>
      <w:r w:rsidRPr="00673F93">
        <w:rPr>
          <w:rFonts w:cstheme="minorHAnsi"/>
          <w:sz w:val="24"/>
          <w:szCs w:val="24"/>
        </w:rPr>
        <w:t>Similar to</w:t>
      </w:r>
      <w:proofErr w:type="gramEnd"/>
      <w:r w:rsidRPr="00673F93">
        <w:rPr>
          <w:rFonts w:cstheme="minorHAnsi"/>
          <w:sz w:val="24"/>
          <w:szCs w:val="24"/>
        </w:rPr>
        <w:t xml:space="preserve"> Hirshleifer </w:t>
      </w:r>
      <w:r w:rsidR="005A3923">
        <w:rPr>
          <w:rFonts w:cstheme="minorHAnsi"/>
          <w:i/>
          <w:iCs/>
          <w:sz w:val="24"/>
          <w:szCs w:val="24"/>
        </w:rPr>
        <w:t xml:space="preserve">et al. </w:t>
      </w:r>
      <w:r w:rsidRPr="00673F93">
        <w:rPr>
          <w:rFonts w:cstheme="minorHAnsi"/>
          <w:sz w:val="24"/>
          <w:szCs w:val="24"/>
        </w:rPr>
        <w:t> (2009), we cluster the standard errors by firm and filing date to account for correlation of the residuals across firm and time.</w:t>
      </w:r>
    </w:p>
    <w:p w14:paraId="2F81329C" w14:textId="18891E08" w:rsidR="00673F93" w:rsidRPr="00673F93" w:rsidRDefault="00673F93" w:rsidP="00673F93">
      <w:pPr>
        <w:rPr>
          <w:rFonts w:cstheme="minorHAnsi"/>
          <w:sz w:val="24"/>
          <w:szCs w:val="24"/>
        </w:rPr>
      </w:pPr>
      <w:r w:rsidRPr="00673F93">
        <w:rPr>
          <w:rFonts w:cstheme="minorHAnsi"/>
          <w:sz w:val="24"/>
          <w:szCs w:val="24"/>
        </w:rPr>
        <w:t>Table 3 presents the results. Column (</w:t>
      </w:r>
      <w:hyperlink r:id="rId40" w:anchor="bib1" w:tooltip="1" w:history="1">
        <w:r w:rsidRPr="00673F93">
          <w:rPr>
            <w:rStyle w:val="Hyperlink"/>
            <w:rFonts w:cstheme="minorHAnsi"/>
            <w:sz w:val="24"/>
            <w:szCs w:val="24"/>
          </w:rPr>
          <w:t>1</w:t>
        </w:r>
      </w:hyperlink>
      <w:r w:rsidRPr="00673F93">
        <w:rPr>
          <w:rFonts w:cstheme="minorHAnsi"/>
          <w:sz w:val="24"/>
          <w:szCs w:val="24"/>
        </w:rPr>
        <w:t>) shows that greater CSR is associated with more requests on the date that a 10‐K filing is available on EDGAR, as evidenced by a coefficient of 0.096 at the 10 percent level for </w:t>
      </w:r>
      <w:r w:rsidRPr="00673F93">
        <w:rPr>
          <w:rFonts w:cstheme="minorHAnsi"/>
          <w:i/>
          <w:iCs/>
          <w:sz w:val="24"/>
          <w:szCs w:val="24"/>
        </w:rPr>
        <w:t>CSR</w:t>
      </w:r>
      <w:r w:rsidRPr="00673F93">
        <w:rPr>
          <w:rFonts w:cstheme="minorHAnsi"/>
          <w:sz w:val="24"/>
          <w:szCs w:val="24"/>
        </w:rPr>
        <w:t>. A one standard deviation increase in </w:t>
      </w:r>
      <w:r w:rsidRPr="00673F93">
        <w:rPr>
          <w:rFonts w:cstheme="minorHAnsi"/>
          <w:i/>
          <w:iCs/>
          <w:sz w:val="24"/>
          <w:szCs w:val="24"/>
        </w:rPr>
        <w:t>CSR</w:t>
      </w:r>
      <w:r w:rsidRPr="00673F93">
        <w:rPr>
          <w:rFonts w:cstheme="minorHAnsi"/>
          <w:sz w:val="24"/>
          <w:szCs w:val="24"/>
        </w:rPr>
        <w:t> is associated with a 3.16 percent standard deviation increase in searches for new 10‐K filings available through EDGAR on the filing date (</w:t>
      </w:r>
      <w:r w:rsidRPr="00673F93">
        <w:rPr>
          <w:rFonts w:cstheme="minorHAnsi"/>
          <w:i/>
          <w:iCs/>
          <w:sz w:val="24"/>
          <w:szCs w:val="24"/>
        </w:rPr>
        <w:t>LOG(EDGAR_1)</w:t>
      </w:r>
      <w:r w:rsidRPr="00673F93">
        <w:rPr>
          <w:rFonts w:cstheme="minorHAnsi"/>
          <w:sz w:val="24"/>
          <w:szCs w:val="24"/>
        </w:rPr>
        <w:t>).</w:t>
      </w:r>
      <w:r w:rsidR="00B664D8" w:rsidRPr="00B664D8">
        <w:rPr>
          <w:rFonts w:cstheme="minorHAnsi"/>
          <w:sz w:val="24"/>
          <w:szCs w:val="24"/>
          <w:vertAlign w:val="superscript"/>
        </w:rPr>
        <w:t>28</w:t>
      </w:r>
      <w:r w:rsidRPr="00673F93">
        <w:rPr>
          <w:rFonts w:cstheme="minorHAnsi"/>
          <w:sz w:val="24"/>
          <w:szCs w:val="24"/>
        </w:rPr>
        <w:t xml:space="preserve"> Columns (</w:t>
      </w:r>
      <w:hyperlink r:id="rId41" w:anchor="bib2" w:tooltip="2" w:history="1">
        <w:r w:rsidRPr="00673F93">
          <w:rPr>
            <w:rStyle w:val="Hyperlink"/>
            <w:rFonts w:cstheme="minorHAnsi"/>
            <w:sz w:val="24"/>
            <w:szCs w:val="24"/>
          </w:rPr>
          <w:t>2</w:t>
        </w:r>
      </w:hyperlink>
      <w:r w:rsidRPr="00673F93">
        <w:rPr>
          <w:rFonts w:cstheme="minorHAnsi"/>
          <w:sz w:val="24"/>
          <w:szCs w:val="24"/>
        </w:rPr>
        <w:t>) and (</w:t>
      </w:r>
      <w:hyperlink r:id="rId42" w:anchor="bib3" w:tooltip="3" w:history="1">
        <w:r w:rsidRPr="00673F93">
          <w:rPr>
            <w:rStyle w:val="Hyperlink"/>
            <w:rFonts w:cstheme="minorHAnsi"/>
            <w:sz w:val="24"/>
            <w:szCs w:val="24"/>
          </w:rPr>
          <w:t>3</w:t>
        </w:r>
      </w:hyperlink>
      <w:r w:rsidRPr="00673F93">
        <w:rPr>
          <w:rFonts w:cstheme="minorHAnsi"/>
          <w:sz w:val="24"/>
          <w:szCs w:val="24"/>
        </w:rPr>
        <w:t>) both provide evidence that is consistent with the findings in column (</w:t>
      </w:r>
      <w:hyperlink r:id="rId43" w:anchor="bib1" w:tooltip="1" w:history="1">
        <w:r w:rsidRPr="00673F93">
          <w:rPr>
            <w:rStyle w:val="Hyperlink"/>
            <w:rFonts w:cstheme="minorHAnsi"/>
            <w:sz w:val="24"/>
            <w:szCs w:val="24"/>
          </w:rPr>
          <w:t>1</w:t>
        </w:r>
      </w:hyperlink>
      <w:r w:rsidRPr="00673F93">
        <w:rPr>
          <w:rFonts w:cstheme="minorHAnsi"/>
          <w:sz w:val="24"/>
          <w:szCs w:val="24"/>
        </w:rPr>
        <w:t>). Column (</w:t>
      </w:r>
      <w:hyperlink r:id="rId44" w:anchor="bib2" w:tooltip="2" w:history="1">
        <w:r w:rsidRPr="00673F93">
          <w:rPr>
            <w:rStyle w:val="Hyperlink"/>
            <w:rFonts w:cstheme="minorHAnsi"/>
            <w:sz w:val="24"/>
            <w:szCs w:val="24"/>
          </w:rPr>
          <w:t>2</w:t>
        </w:r>
      </w:hyperlink>
      <w:r w:rsidRPr="00673F93">
        <w:rPr>
          <w:rFonts w:cstheme="minorHAnsi"/>
          <w:sz w:val="24"/>
          <w:szCs w:val="24"/>
        </w:rPr>
        <w:t>), using a three‐day filing request window, shows a statistically significant and positive coefficient for </w:t>
      </w:r>
      <w:r w:rsidRPr="00673F93">
        <w:rPr>
          <w:rFonts w:cstheme="minorHAnsi"/>
          <w:i/>
          <w:iCs/>
          <w:sz w:val="24"/>
          <w:szCs w:val="24"/>
        </w:rPr>
        <w:t>CSR</w:t>
      </w:r>
      <w:r w:rsidRPr="00673F93">
        <w:rPr>
          <w:rFonts w:cstheme="minorHAnsi"/>
          <w:sz w:val="24"/>
          <w:szCs w:val="24"/>
        </w:rPr>
        <w:t> (coefficient = 0.088, </w:t>
      </w:r>
      <w:r w:rsidRPr="00673F93">
        <w:rPr>
          <w:rFonts w:cstheme="minorHAnsi"/>
          <w:i/>
          <w:iCs/>
          <w:sz w:val="24"/>
          <w:szCs w:val="24"/>
        </w:rPr>
        <w:t>t</w:t>
      </w:r>
      <w:r w:rsidRPr="00673F93">
        <w:rPr>
          <w:rFonts w:cstheme="minorHAnsi"/>
          <w:sz w:val="24"/>
          <w:szCs w:val="24"/>
        </w:rPr>
        <w:t>‐statistic = 2.05), while column (</w:t>
      </w:r>
      <w:hyperlink r:id="rId45" w:anchor="bib3" w:tooltip="3" w:history="1">
        <w:r w:rsidRPr="00673F93">
          <w:rPr>
            <w:rStyle w:val="Hyperlink"/>
            <w:rFonts w:cstheme="minorHAnsi"/>
            <w:sz w:val="24"/>
            <w:szCs w:val="24"/>
          </w:rPr>
          <w:t>3</w:t>
        </w:r>
      </w:hyperlink>
      <w:r w:rsidRPr="00673F93">
        <w:rPr>
          <w:rFonts w:cstheme="minorHAnsi"/>
          <w:sz w:val="24"/>
          <w:szCs w:val="24"/>
        </w:rPr>
        <w:t>), using a one‐week filing request window, also shows a positive and significant coefficient (coefficient = 0.078, </w:t>
      </w:r>
      <w:r w:rsidRPr="00673F93">
        <w:rPr>
          <w:rFonts w:cstheme="minorHAnsi"/>
          <w:i/>
          <w:iCs/>
          <w:sz w:val="24"/>
          <w:szCs w:val="24"/>
        </w:rPr>
        <w:t>t</w:t>
      </w:r>
      <w:r w:rsidRPr="00673F93">
        <w:rPr>
          <w:rFonts w:cstheme="minorHAnsi"/>
          <w:sz w:val="24"/>
          <w:szCs w:val="24"/>
        </w:rPr>
        <w:t>‐statistic = 2.43) for </w:t>
      </w:r>
      <w:r w:rsidRPr="00673F93">
        <w:rPr>
          <w:rFonts w:cstheme="minorHAnsi"/>
          <w:i/>
          <w:iCs/>
          <w:sz w:val="24"/>
          <w:szCs w:val="24"/>
        </w:rPr>
        <w:t>CSR</w:t>
      </w:r>
      <w:r w:rsidRPr="00673F93">
        <w:rPr>
          <w:rFonts w:cstheme="minorHAnsi"/>
          <w:sz w:val="24"/>
          <w:szCs w:val="24"/>
        </w:rPr>
        <w:t>.</w:t>
      </w:r>
      <w:r w:rsidR="00B664D8" w:rsidRPr="00B664D8">
        <w:rPr>
          <w:rFonts w:cstheme="minorHAnsi"/>
          <w:sz w:val="24"/>
          <w:szCs w:val="24"/>
          <w:vertAlign w:val="superscript"/>
        </w:rPr>
        <w:t>29</w:t>
      </w:r>
      <w:r w:rsidRPr="00673F93">
        <w:rPr>
          <w:rFonts w:cstheme="minorHAnsi"/>
          <w:sz w:val="24"/>
          <w:szCs w:val="24"/>
        </w:rPr>
        <w:t xml:space="preserve"> These results support hypothesis H2a and provide evidence that more socially responsible firms experience greater searches by investors as evidenced by more requests for new 10‐K filings.</w:t>
      </w:r>
      <w:r w:rsidR="00B664D8" w:rsidRPr="00B664D8">
        <w:rPr>
          <w:rFonts w:cstheme="minorHAnsi"/>
          <w:sz w:val="24"/>
          <w:szCs w:val="24"/>
          <w:vertAlign w:val="superscript"/>
        </w:rPr>
        <w:t>30</w:t>
      </w:r>
    </w:p>
    <w:p w14:paraId="3FAE99D7" w14:textId="77777777" w:rsidR="00F60CD3" w:rsidRDefault="00F60CD3" w:rsidP="00673F93">
      <w:pPr>
        <w:rPr>
          <w:rFonts w:cstheme="minorHAnsi"/>
          <w:sz w:val="24"/>
          <w:szCs w:val="24"/>
        </w:rPr>
        <w:sectPr w:rsidR="00F60CD3" w:rsidSect="00897705">
          <w:pgSz w:w="12240" w:h="15840"/>
          <w:pgMar w:top="1080" w:right="1080" w:bottom="1080" w:left="1080" w:header="720" w:footer="720" w:gutter="0"/>
          <w:cols w:space="720"/>
          <w:docGrid w:linePitch="360"/>
        </w:sectPr>
      </w:pPr>
    </w:p>
    <w:p w14:paraId="0A7F4FAF" w14:textId="329E1444" w:rsidR="00673F93" w:rsidRPr="00673F93" w:rsidRDefault="00673F93" w:rsidP="00386BE0">
      <w:pPr>
        <w:spacing w:after="0"/>
        <w:rPr>
          <w:rFonts w:cstheme="minorHAnsi"/>
          <w:sz w:val="24"/>
          <w:szCs w:val="24"/>
        </w:rPr>
      </w:pPr>
      <w:r w:rsidRPr="00673F93">
        <w:rPr>
          <w:rFonts w:cstheme="minorHAnsi"/>
          <w:sz w:val="24"/>
          <w:szCs w:val="24"/>
        </w:rPr>
        <w:lastRenderedPageBreak/>
        <w:t>3 Table</w:t>
      </w:r>
      <w:r w:rsidR="00464841">
        <w:rPr>
          <w:rFonts w:cstheme="minorHAnsi"/>
          <w:sz w:val="24"/>
          <w:szCs w:val="24"/>
        </w:rPr>
        <w:t xml:space="preserve"> </w:t>
      </w:r>
      <w:r w:rsidRPr="00673F93">
        <w:rPr>
          <w:rFonts w:cstheme="minorHAnsi"/>
          <w:sz w:val="24"/>
          <w:szCs w:val="24"/>
        </w:rPr>
        <w:t>CSR and new 10‐K filing requests</w:t>
      </w:r>
    </w:p>
    <w:tbl>
      <w:tblPr>
        <w:tblStyle w:val="TableGrid"/>
        <w:tblW w:w="5000" w:type="pct"/>
        <w:tblLook w:val="04A0" w:firstRow="1" w:lastRow="0" w:firstColumn="1" w:lastColumn="0" w:noHBand="0" w:noVBand="1"/>
      </w:tblPr>
      <w:tblGrid>
        <w:gridCol w:w="1999"/>
        <w:gridCol w:w="2231"/>
        <w:gridCol w:w="1509"/>
        <w:gridCol w:w="2231"/>
        <w:gridCol w:w="1509"/>
        <w:gridCol w:w="2682"/>
        <w:gridCol w:w="1509"/>
      </w:tblGrid>
      <w:tr w:rsidR="00F60CD3" w:rsidRPr="00F60CD3" w14:paraId="181F4E1C" w14:textId="77777777" w:rsidTr="00CF253A">
        <w:tc>
          <w:tcPr>
            <w:tcW w:w="731" w:type="pct"/>
            <w:hideMark/>
          </w:tcPr>
          <w:p w14:paraId="5120AB37" w14:textId="77777777" w:rsidR="00F60CD3" w:rsidRPr="00F60CD3" w:rsidRDefault="00F60CD3" w:rsidP="00F60CD3">
            <w:pPr>
              <w:pStyle w:val="NoSpacing"/>
              <w:rPr>
                <w:sz w:val="24"/>
                <w:szCs w:val="24"/>
              </w:rPr>
            </w:pPr>
          </w:p>
        </w:tc>
        <w:tc>
          <w:tcPr>
            <w:tcW w:w="816" w:type="pct"/>
            <w:hideMark/>
          </w:tcPr>
          <w:p w14:paraId="6D55311F" w14:textId="77777777" w:rsidR="00F60CD3" w:rsidRPr="00F60CD3" w:rsidRDefault="00F60CD3" w:rsidP="00F60CD3">
            <w:pPr>
              <w:pStyle w:val="NoSpacing"/>
              <w:rPr>
                <w:b/>
                <w:bCs/>
                <w:sz w:val="24"/>
                <w:szCs w:val="24"/>
              </w:rPr>
            </w:pPr>
            <w:r w:rsidRPr="00F60CD3">
              <w:rPr>
                <w:b/>
                <w:bCs/>
                <w:sz w:val="24"/>
                <w:szCs w:val="24"/>
              </w:rPr>
              <w:t>(1)</w:t>
            </w:r>
          </w:p>
        </w:tc>
        <w:tc>
          <w:tcPr>
            <w:tcW w:w="552" w:type="pct"/>
            <w:hideMark/>
          </w:tcPr>
          <w:p w14:paraId="784A71C9" w14:textId="6FD70F19" w:rsidR="00F60CD3" w:rsidRPr="00F60CD3" w:rsidRDefault="00F60CD3" w:rsidP="00F60CD3">
            <w:pPr>
              <w:pStyle w:val="NoSpacing"/>
              <w:rPr>
                <w:b/>
                <w:bCs/>
                <w:sz w:val="24"/>
                <w:szCs w:val="24"/>
              </w:rPr>
            </w:pPr>
          </w:p>
        </w:tc>
        <w:tc>
          <w:tcPr>
            <w:tcW w:w="816" w:type="pct"/>
          </w:tcPr>
          <w:p w14:paraId="50EC5B98" w14:textId="286B210D" w:rsidR="00F60CD3" w:rsidRPr="00F60CD3" w:rsidRDefault="00F60CD3" w:rsidP="00F60CD3">
            <w:pPr>
              <w:pStyle w:val="NoSpacing"/>
              <w:rPr>
                <w:b/>
                <w:bCs/>
                <w:sz w:val="24"/>
                <w:szCs w:val="24"/>
              </w:rPr>
            </w:pPr>
            <w:r w:rsidRPr="00F60CD3">
              <w:rPr>
                <w:b/>
                <w:bCs/>
                <w:sz w:val="24"/>
                <w:szCs w:val="24"/>
              </w:rPr>
              <w:t>(2)</w:t>
            </w:r>
          </w:p>
        </w:tc>
        <w:tc>
          <w:tcPr>
            <w:tcW w:w="552" w:type="pct"/>
            <w:hideMark/>
          </w:tcPr>
          <w:p w14:paraId="6DB4270C" w14:textId="10E3E4B2" w:rsidR="00F60CD3" w:rsidRPr="00F60CD3" w:rsidRDefault="00F60CD3" w:rsidP="00F60CD3">
            <w:pPr>
              <w:pStyle w:val="NoSpacing"/>
              <w:rPr>
                <w:b/>
                <w:bCs/>
                <w:sz w:val="24"/>
                <w:szCs w:val="24"/>
              </w:rPr>
            </w:pPr>
          </w:p>
        </w:tc>
        <w:tc>
          <w:tcPr>
            <w:tcW w:w="981" w:type="pct"/>
          </w:tcPr>
          <w:p w14:paraId="334AE907" w14:textId="11C9314C" w:rsidR="00F60CD3" w:rsidRPr="00F60CD3" w:rsidRDefault="00F60CD3" w:rsidP="00F60CD3">
            <w:pPr>
              <w:pStyle w:val="NoSpacing"/>
              <w:rPr>
                <w:b/>
                <w:bCs/>
                <w:sz w:val="24"/>
                <w:szCs w:val="24"/>
              </w:rPr>
            </w:pPr>
            <w:r w:rsidRPr="00F60CD3">
              <w:rPr>
                <w:b/>
                <w:bCs/>
                <w:sz w:val="24"/>
                <w:szCs w:val="24"/>
              </w:rPr>
              <w:t>(3)</w:t>
            </w:r>
          </w:p>
        </w:tc>
        <w:tc>
          <w:tcPr>
            <w:tcW w:w="552" w:type="pct"/>
          </w:tcPr>
          <w:p w14:paraId="5AFC3237" w14:textId="394D8355" w:rsidR="00F60CD3" w:rsidRPr="00F60CD3" w:rsidRDefault="00F60CD3" w:rsidP="00F60CD3">
            <w:pPr>
              <w:pStyle w:val="NoSpacing"/>
              <w:rPr>
                <w:b/>
                <w:bCs/>
                <w:sz w:val="24"/>
                <w:szCs w:val="24"/>
              </w:rPr>
            </w:pPr>
          </w:p>
        </w:tc>
      </w:tr>
      <w:tr w:rsidR="00F60CD3" w:rsidRPr="0086443F" w14:paraId="16E0F927" w14:textId="77777777" w:rsidTr="00CF253A">
        <w:tc>
          <w:tcPr>
            <w:tcW w:w="731" w:type="pct"/>
            <w:hideMark/>
          </w:tcPr>
          <w:p w14:paraId="040451C1" w14:textId="6594CBBF" w:rsidR="00F60CD3" w:rsidRPr="0086443F" w:rsidRDefault="00F60CD3" w:rsidP="00F60CD3">
            <w:pPr>
              <w:pStyle w:val="NoSpacing"/>
              <w:rPr>
                <w:b/>
                <w:bCs/>
                <w:i/>
                <w:iCs/>
                <w:sz w:val="24"/>
                <w:szCs w:val="24"/>
              </w:rPr>
            </w:pPr>
          </w:p>
        </w:tc>
        <w:tc>
          <w:tcPr>
            <w:tcW w:w="816" w:type="pct"/>
            <w:hideMark/>
          </w:tcPr>
          <w:p w14:paraId="34C11AD4" w14:textId="18594E42" w:rsidR="00F60CD3" w:rsidRPr="0086443F" w:rsidRDefault="00F60CD3" w:rsidP="00F60CD3">
            <w:pPr>
              <w:pStyle w:val="NoSpacing"/>
              <w:rPr>
                <w:b/>
                <w:bCs/>
                <w:i/>
                <w:iCs/>
                <w:sz w:val="24"/>
                <w:szCs w:val="24"/>
              </w:rPr>
            </w:pPr>
            <w:r w:rsidRPr="0086443F">
              <w:rPr>
                <w:b/>
                <w:bCs/>
                <w:i/>
                <w:iCs/>
                <w:sz w:val="24"/>
                <w:szCs w:val="24"/>
              </w:rPr>
              <w:t>LOG(EDGAR_1)</w:t>
            </w:r>
          </w:p>
        </w:tc>
        <w:tc>
          <w:tcPr>
            <w:tcW w:w="552" w:type="pct"/>
            <w:hideMark/>
          </w:tcPr>
          <w:p w14:paraId="6F2EF5F4" w14:textId="55AD1C4B" w:rsidR="00F60CD3" w:rsidRPr="0086443F" w:rsidRDefault="00F60CD3" w:rsidP="00F60CD3">
            <w:pPr>
              <w:pStyle w:val="NoSpacing"/>
              <w:rPr>
                <w:b/>
                <w:bCs/>
                <w:i/>
                <w:iCs/>
                <w:sz w:val="24"/>
                <w:szCs w:val="24"/>
              </w:rPr>
            </w:pPr>
          </w:p>
        </w:tc>
        <w:tc>
          <w:tcPr>
            <w:tcW w:w="816" w:type="pct"/>
          </w:tcPr>
          <w:p w14:paraId="68D11015" w14:textId="62810D11" w:rsidR="00F60CD3" w:rsidRPr="0086443F" w:rsidRDefault="00F60CD3" w:rsidP="00F60CD3">
            <w:pPr>
              <w:pStyle w:val="NoSpacing"/>
              <w:rPr>
                <w:i/>
                <w:iCs/>
                <w:sz w:val="24"/>
                <w:szCs w:val="24"/>
              </w:rPr>
            </w:pPr>
            <w:r w:rsidRPr="0086443F">
              <w:rPr>
                <w:b/>
                <w:bCs/>
                <w:i/>
                <w:iCs/>
                <w:sz w:val="24"/>
                <w:szCs w:val="24"/>
              </w:rPr>
              <w:t>LOG(EDGAR_3)</w:t>
            </w:r>
          </w:p>
        </w:tc>
        <w:tc>
          <w:tcPr>
            <w:tcW w:w="552" w:type="pct"/>
            <w:hideMark/>
          </w:tcPr>
          <w:p w14:paraId="15CAD44F" w14:textId="77777777" w:rsidR="00F60CD3" w:rsidRPr="0086443F" w:rsidRDefault="00F60CD3" w:rsidP="00F60CD3">
            <w:pPr>
              <w:pStyle w:val="NoSpacing"/>
              <w:rPr>
                <w:i/>
                <w:iCs/>
                <w:sz w:val="24"/>
                <w:szCs w:val="24"/>
              </w:rPr>
            </w:pPr>
          </w:p>
        </w:tc>
        <w:tc>
          <w:tcPr>
            <w:tcW w:w="981" w:type="pct"/>
          </w:tcPr>
          <w:p w14:paraId="213F97B1" w14:textId="6D235B49" w:rsidR="00F60CD3" w:rsidRPr="0086443F" w:rsidRDefault="00F60CD3" w:rsidP="00F60CD3">
            <w:pPr>
              <w:pStyle w:val="NoSpacing"/>
              <w:rPr>
                <w:i/>
                <w:iCs/>
                <w:sz w:val="24"/>
                <w:szCs w:val="24"/>
              </w:rPr>
            </w:pPr>
            <w:r w:rsidRPr="0086443F">
              <w:rPr>
                <w:b/>
                <w:bCs/>
                <w:i/>
                <w:iCs/>
                <w:sz w:val="24"/>
                <w:szCs w:val="24"/>
              </w:rPr>
              <w:t>LOG(EDGAR_1WK)</w:t>
            </w:r>
          </w:p>
        </w:tc>
        <w:tc>
          <w:tcPr>
            <w:tcW w:w="552" w:type="pct"/>
          </w:tcPr>
          <w:p w14:paraId="779E81A8" w14:textId="1B4A8B33" w:rsidR="00F60CD3" w:rsidRPr="0086443F" w:rsidRDefault="00F60CD3" w:rsidP="00F60CD3">
            <w:pPr>
              <w:pStyle w:val="NoSpacing"/>
              <w:rPr>
                <w:i/>
                <w:iCs/>
                <w:sz w:val="24"/>
                <w:szCs w:val="24"/>
              </w:rPr>
            </w:pPr>
          </w:p>
        </w:tc>
      </w:tr>
      <w:tr w:rsidR="00F60CD3" w:rsidRPr="00F60CD3" w14:paraId="07B025E4" w14:textId="77777777" w:rsidTr="00CF253A">
        <w:tc>
          <w:tcPr>
            <w:tcW w:w="731" w:type="pct"/>
            <w:hideMark/>
          </w:tcPr>
          <w:p w14:paraId="4FC30F08" w14:textId="7ED1A751" w:rsidR="00F60CD3" w:rsidRPr="00F60CD3" w:rsidRDefault="00F60CD3" w:rsidP="00F60CD3">
            <w:pPr>
              <w:pStyle w:val="NoSpacing"/>
              <w:rPr>
                <w:b/>
                <w:bCs/>
                <w:sz w:val="24"/>
                <w:szCs w:val="24"/>
              </w:rPr>
            </w:pPr>
          </w:p>
        </w:tc>
        <w:tc>
          <w:tcPr>
            <w:tcW w:w="816" w:type="pct"/>
            <w:hideMark/>
          </w:tcPr>
          <w:p w14:paraId="092472C9" w14:textId="4C0CB839" w:rsidR="00F60CD3" w:rsidRPr="00F60CD3" w:rsidRDefault="00F60CD3" w:rsidP="00F60CD3">
            <w:pPr>
              <w:pStyle w:val="NoSpacing"/>
              <w:rPr>
                <w:b/>
                <w:bCs/>
                <w:sz w:val="24"/>
                <w:szCs w:val="24"/>
              </w:rPr>
            </w:pPr>
            <w:r w:rsidRPr="00F60CD3">
              <w:rPr>
                <w:b/>
                <w:bCs/>
                <w:sz w:val="24"/>
                <w:szCs w:val="24"/>
              </w:rPr>
              <w:t>Coefficient</w:t>
            </w:r>
          </w:p>
        </w:tc>
        <w:tc>
          <w:tcPr>
            <w:tcW w:w="552" w:type="pct"/>
            <w:hideMark/>
          </w:tcPr>
          <w:p w14:paraId="56544A6E" w14:textId="6326E804" w:rsidR="00F60CD3" w:rsidRPr="00F60CD3" w:rsidRDefault="00F60CD3" w:rsidP="00F60CD3">
            <w:pPr>
              <w:pStyle w:val="NoSpacing"/>
              <w:rPr>
                <w:b/>
                <w:bCs/>
                <w:sz w:val="24"/>
                <w:szCs w:val="24"/>
              </w:rPr>
            </w:pPr>
            <w:r w:rsidRPr="00F60CD3">
              <w:rPr>
                <w:b/>
                <w:bCs/>
                <w:sz w:val="24"/>
                <w:szCs w:val="24"/>
              </w:rPr>
              <w:t>t‐Statistic</w:t>
            </w:r>
          </w:p>
        </w:tc>
        <w:tc>
          <w:tcPr>
            <w:tcW w:w="816" w:type="pct"/>
            <w:hideMark/>
          </w:tcPr>
          <w:p w14:paraId="7AB84DC0" w14:textId="33487D91" w:rsidR="00F60CD3" w:rsidRPr="00F60CD3" w:rsidRDefault="00F60CD3" w:rsidP="00F60CD3">
            <w:pPr>
              <w:pStyle w:val="NoSpacing"/>
              <w:rPr>
                <w:b/>
                <w:bCs/>
                <w:sz w:val="24"/>
                <w:szCs w:val="24"/>
              </w:rPr>
            </w:pPr>
            <w:r w:rsidRPr="00F60CD3">
              <w:rPr>
                <w:b/>
                <w:bCs/>
                <w:sz w:val="24"/>
                <w:szCs w:val="24"/>
              </w:rPr>
              <w:t>Coefficient</w:t>
            </w:r>
          </w:p>
        </w:tc>
        <w:tc>
          <w:tcPr>
            <w:tcW w:w="552" w:type="pct"/>
            <w:hideMark/>
          </w:tcPr>
          <w:p w14:paraId="0B8BBF41" w14:textId="3FDD8A8F" w:rsidR="00F60CD3" w:rsidRPr="00F60CD3" w:rsidRDefault="00F60CD3" w:rsidP="00F60CD3">
            <w:pPr>
              <w:pStyle w:val="NoSpacing"/>
              <w:rPr>
                <w:b/>
                <w:bCs/>
                <w:sz w:val="24"/>
                <w:szCs w:val="24"/>
              </w:rPr>
            </w:pPr>
            <w:r w:rsidRPr="00F60CD3">
              <w:rPr>
                <w:b/>
                <w:bCs/>
                <w:sz w:val="24"/>
                <w:szCs w:val="24"/>
              </w:rPr>
              <w:t>t‐Statistic</w:t>
            </w:r>
          </w:p>
        </w:tc>
        <w:tc>
          <w:tcPr>
            <w:tcW w:w="981" w:type="pct"/>
          </w:tcPr>
          <w:p w14:paraId="6255D2F3" w14:textId="1DE82BB3" w:rsidR="00F60CD3" w:rsidRPr="00F60CD3" w:rsidRDefault="00F60CD3" w:rsidP="00F60CD3">
            <w:pPr>
              <w:pStyle w:val="NoSpacing"/>
              <w:rPr>
                <w:b/>
                <w:bCs/>
                <w:sz w:val="24"/>
                <w:szCs w:val="24"/>
              </w:rPr>
            </w:pPr>
            <w:r w:rsidRPr="00F60CD3">
              <w:rPr>
                <w:b/>
                <w:bCs/>
                <w:sz w:val="24"/>
                <w:szCs w:val="24"/>
              </w:rPr>
              <w:t>Coefficient</w:t>
            </w:r>
          </w:p>
        </w:tc>
        <w:tc>
          <w:tcPr>
            <w:tcW w:w="552" w:type="pct"/>
            <w:hideMark/>
          </w:tcPr>
          <w:p w14:paraId="0B34E7E0" w14:textId="6D0B374F" w:rsidR="00F60CD3" w:rsidRPr="00F60CD3" w:rsidRDefault="00F60CD3" w:rsidP="00F60CD3">
            <w:pPr>
              <w:pStyle w:val="NoSpacing"/>
              <w:rPr>
                <w:b/>
                <w:bCs/>
                <w:sz w:val="24"/>
                <w:szCs w:val="24"/>
              </w:rPr>
            </w:pPr>
            <w:r w:rsidRPr="00F60CD3">
              <w:rPr>
                <w:b/>
                <w:bCs/>
                <w:sz w:val="24"/>
                <w:szCs w:val="24"/>
              </w:rPr>
              <w:t>t‐Statistic</w:t>
            </w:r>
          </w:p>
        </w:tc>
      </w:tr>
      <w:tr w:rsidR="00F60CD3" w:rsidRPr="00F60CD3" w14:paraId="4CBF696A" w14:textId="77777777" w:rsidTr="00CF253A">
        <w:tc>
          <w:tcPr>
            <w:tcW w:w="731" w:type="pct"/>
            <w:hideMark/>
          </w:tcPr>
          <w:p w14:paraId="0BAA4112" w14:textId="77777777" w:rsidR="00673F93" w:rsidRPr="0086443F" w:rsidRDefault="00673F93" w:rsidP="00F60CD3">
            <w:pPr>
              <w:pStyle w:val="NoSpacing"/>
              <w:rPr>
                <w:i/>
                <w:iCs/>
                <w:sz w:val="24"/>
                <w:szCs w:val="24"/>
              </w:rPr>
            </w:pPr>
            <w:r w:rsidRPr="0086443F">
              <w:rPr>
                <w:i/>
                <w:iCs/>
                <w:sz w:val="24"/>
                <w:szCs w:val="24"/>
              </w:rPr>
              <w:t>CSR</w:t>
            </w:r>
          </w:p>
        </w:tc>
        <w:tc>
          <w:tcPr>
            <w:tcW w:w="816" w:type="pct"/>
            <w:hideMark/>
          </w:tcPr>
          <w:p w14:paraId="1D8F0D95" w14:textId="77777777" w:rsidR="00673F93" w:rsidRPr="00F60CD3" w:rsidRDefault="00673F93" w:rsidP="00F60CD3">
            <w:pPr>
              <w:pStyle w:val="NoSpacing"/>
              <w:rPr>
                <w:sz w:val="24"/>
                <w:szCs w:val="24"/>
              </w:rPr>
            </w:pPr>
            <w:r w:rsidRPr="00F60CD3">
              <w:rPr>
                <w:sz w:val="24"/>
                <w:szCs w:val="24"/>
              </w:rPr>
              <w:t>0.096*</w:t>
            </w:r>
          </w:p>
        </w:tc>
        <w:tc>
          <w:tcPr>
            <w:tcW w:w="552" w:type="pct"/>
            <w:hideMark/>
          </w:tcPr>
          <w:p w14:paraId="1408CFE5" w14:textId="77777777" w:rsidR="00673F93" w:rsidRPr="00F60CD3" w:rsidRDefault="00673F93" w:rsidP="00F60CD3">
            <w:pPr>
              <w:pStyle w:val="NoSpacing"/>
              <w:rPr>
                <w:sz w:val="24"/>
                <w:szCs w:val="24"/>
              </w:rPr>
            </w:pPr>
            <w:r w:rsidRPr="00F60CD3">
              <w:rPr>
                <w:sz w:val="24"/>
                <w:szCs w:val="24"/>
              </w:rPr>
              <w:t>1.80</w:t>
            </w:r>
          </w:p>
        </w:tc>
        <w:tc>
          <w:tcPr>
            <w:tcW w:w="816" w:type="pct"/>
            <w:hideMark/>
          </w:tcPr>
          <w:p w14:paraId="311C3199" w14:textId="77777777" w:rsidR="00673F93" w:rsidRPr="00F60CD3" w:rsidRDefault="00673F93" w:rsidP="00F60CD3">
            <w:pPr>
              <w:pStyle w:val="NoSpacing"/>
              <w:rPr>
                <w:sz w:val="24"/>
                <w:szCs w:val="24"/>
              </w:rPr>
            </w:pPr>
            <w:r w:rsidRPr="00F60CD3">
              <w:rPr>
                <w:sz w:val="24"/>
                <w:szCs w:val="24"/>
              </w:rPr>
              <w:t>0.088*</w:t>
            </w:r>
          </w:p>
        </w:tc>
        <w:tc>
          <w:tcPr>
            <w:tcW w:w="552" w:type="pct"/>
            <w:hideMark/>
          </w:tcPr>
          <w:p w14:paraId="21A79745" w14:textId="77777777" w:rsidR="00673F93" w:rsidRPr="00F60CD3" w:rsidRDefault="00673F93" w:rsidP="00F60CD3">
            <w:pPr>
              <w:pStyle w:val="NoSpacing"/>
              <w:rPr>
                <w:sz w:val="24"/>
                <w:szCs w:val="24"/>
              </w:rPr>
            </w:pPr>
            <w:r w:rsidRPr="00F60CD3">
              <w:rPr>
                <w:sz w:val="24"/>
                <w:szCs w:val="24"/>
              </w:rPr>
              <w:t>2.05</w:t>
            </w:r>
          </w:p>
        </w:tc>
        <w:tc>
          <w:tcPr>
            <w:tcW w:w="981" w:type="pct"/>
            <w:hideMark/>
          </w:tcPr>
          <w:p w14:paraId="3562FFFE" w14:textId="77777777" w:rsidR="00673F93" w:rsidRPr="00F60CD3" w:rsidRDefault="00673F93" w:rsidP="00F60CD3">
            <w:pPr>
              <w:pStyle w:val="NoSpacing"/>
              <w:rPr>
                <w:sz w:val="24"/>
                <w:szCs w:val="24"/>
              </w:rPr>
            </w:pPr>
            <w:r w:rsidRPr="00F60CD3">
              <w:rPr>
                <w:sz w:val="24"/>
                <w:szCs w:val="24"/>
              </w:rPr>
              <w:t>0.078**</w:t>
            </w:r>
          </w:p>
        </w:tc>
        <w:tc>
          <w:tcPr>
            <w:tcW w:w="552" w:type="pct"/>
            <w:hideMark/>
          </w:tcPr>
          <w:p w14:paraId="32038984" w14:textId="77777777" w:rsidR="00673F93" w:rsidRPr="00F60CD3" w:rsidRDefault="00673F93" w:rsidP="00F60CD3">
            <w:pPr>
              <w:pStyle w:val="NoSpacing"/>
              <w:rPr>
                <w:sz w:val="24"/>
                <w:szCs w:val="24"/>
              </w:rPr>
            </w:pPr>
            <w:r w:rsidRPr="00F60CD3">
              <w:rPr>
                <w:sz w:val="24"/>
                <w:szCs w:val="24"/>
              </w:rPr>
              <w:t>2.43</w:t>
            </w:r>
          </w:p>
        </w:tc>
      </w:tr>
      <w:tr w:rsidR="00F60CD3" w:rsidRPr="00F60CD3" w14:paraId="45B286E8" w14:textId="77777777" w:rsidTr="00CF253A">
        <w:tc>
          <w:tcPr>
            <w:tcW w:w="731" w:type="pct"/>
            <w:hideMark/>
          </w:tcPr>
          <w:p w14:paraId="663BE6E4" w14:textId="77777777" w:rsidR="00673F93" w:rsidRPr="0086443F" w:rsidRDefault="00673F93" w:rsidP="00F60CD3">
            <w:pPr>
              <w:pStyle w:val="NoSpacing"/>
              <w:rPr>
                <w:i/>
                <w:iCs/>
                <w:sz w:val="24"/>
                <w:szCs w:val="24"/>
              </w:rPr>
            </w:pPr>
            <w:r w:rsidRPr="0086443F">
              <w:rPr>
                <w:i/>
                <w:iCs/>
                <w:sz w:val="24"/>
                <w:szCs w:val="24"/>
              </w:rPr>
              <w:t>LOGFILESIZE</w:t>
            </w:r>
          </w:p>
        </w:tc>
        <w:tc>
          <w:tcPr>
            <w:tcW w:w="816" w:type="pct"/>
            <w:hideMark/>
          </w:tcPr>
          <w:p w14:paraId="23159B70" w14:textId="77777777" w:rsidR="00673F93" w:rsidRPr="00F60CD3" w:rsidRDefault="00673F93" w:rsidP="00F60CD3">
            <w:pPr>
              <w:pStyle w:val="NoSpacing"/>
              <w:rPr>
                <w:sz w:val="24"/>
                <w:szCs w:val="24"/>
              </w:rPr>
            </w:pPr>
            <w:r w:rsidRPr="00F60CD3">
              <w:rPr>
                <w:sz w:val="24"/>
                <w:szCs w:val="24"/>
              </w:rPr>
              <w:t>0.027***</w:t>
            </w:r>
          </w:p>
        </w:tc>
        <w:tc>
          <w:tcPr>
            <w:tcW w:w="552" w:type="pct"/>
            <w:hideMark/>
          </w:tcPr>
          <w:p w14:paraId="0EF8CCAA" w14:textId="77777777" w:rsidR="00673F93" w:rsidRPr="00F60CD3" w:rsidRDefault="00673F93" w:rsidP="00F60CD3">
            <w:pPr>
              <w:pStyle w:val="NoSpacing"/>
              <w:rPr>
                <w:sz w:val="24"/>
                <w:szCs w:val="24"/>
              </w:rPr>
            </w:pPr>
            <w:r w:rsidRPr="00F60CD3">
              <w:rPr>
                <w:sz w:val="24"/>
                <w:szCs w:val="24"/>
              </w:rPr>
              <w:t>7.84</w:t>
            </w:r>
          </w:p>
        </w:tc>
        <w:tc>
          <w:tcPr>
            <w:tcW w:w="816" w:type="pct"/>
            <w:hideMark/>
          </w:tcPr>
          <w:p w14:paraId="79D05957" w14:textId="77777777" w:rsidR="00673F93" w:rsidRPr="00F60CD3" w:rsidRDefault="00673F93" w:rsidP="00F60CD3">
            <w:pPr>
              <w:pStyle w:val="NoSpacing"/>
              <w:rPr>
                <w:sz w:val="24"/>
                <w:szCs w:val="24"/>
              </w:rPr>
            </w:pPr>
            <w:r w:rsidRPr="00F60CD3">
              <w:rPr>
                <w:sz w:val="24"/>
                <w:szCs w:val="24"/>
              </w:rPr>
              <w:t>0.025***</w:t>
            </w:r>
          </w:p>
        </w:tc>
        <w:tc>
          <w:tcPr>
            <w:tcW w:w="552" w:type="pct"/>
            <w:hideMark/>
          </w:tcPr>
          <w:p w14:paraId="490058AA" w14:textId="77777777" w:rsidR="00673F93" w:rsidRPr="00F60CD3" w:rsidRDefault="00673F93" w:rsidP="00F60CD3">
            <w:pPr>
              <w:pStyle w:val="NoSpacing"/>
              <w:rPr>
                <w:sz w:val="24"/>
                <w:szCs w:val="24"/>
              </w:rPr>
            </w:pPr>
            <w:r w:rsidRPr="00F60CD3">
              <w:rPr>
                <w:sz w:val="24"/>
                <w:szCs w:val="24"/>
              </w:rPr>
              <w:t>6.29</w:t>
            </w:r>
          </w:p>
        </w:tc>
        <w:tc>
          <w:tcPr>
            <w:tcW w:w="981" w:type="pct"/>
            <w:hideMark/>
          </w:tcPr>
          <w:p w14:paraId="2D56478D" w14:textId="77777777" w:rsidR="00673F93" w:rsidRPr="00F60CD3" w:rsidRDefault="00673F93" w:rsidP="00F60CD3">
            <w:pPr>
              <w:pStyle w:val="NoSpacing"/>
              <w:rPr>
                <w:sz w:val="24"/>
                <w:szCs w:val="24"/>
              </w:rPr>
            </w:pPr>
            <w:r w:rsidRPr="00F60CD3">
              <w:rPr>
                <w:sz w:val="24"/>
                <w:szCs w:val="24"/>
              </w:rPr>
              <w:t>0.024***</w:t>
            </w:r>
          </w:p>
        </w:tc>
        <w:tc>
          <w:tcPr>
            <w:tcW w:w="552" w:type="pct"/>
            <w:hideMark/>
          </w:tcPr>
          <w:p w14:paraId="6203C53C" w14:textId="77777777" w:rsidR="00673F93" w:rsidRPr="00F60CD3" w:rsidRDefault="00673F93" w:rsidP="00F60CD3">
            <w:pPr>
              <w:pStyle w:val="NoSpacing"/>
              <w:rPr>
                <w:sz w:val="24"/>
                <w:szCs w:val="24"/>
              </w:rPr>
            </w:pPr>
            <w:r w:rsidRPr="00F60CD3">
              <w:rPr>
                <w:sz w:val="24"/>
                <w:szCs w:val="24"/>
              </w:rPr>
              <w:t>4.61</w:t>
            </w:r>
          </w:p>
        </w:tc>
      </w:tr>
      <w:tr w:rsidR="00F60CD3" w:rsidRPr="00F60CD3" w14:paraId="127A6E35" w14:textId="77777777" w:rsidTr="00CF253A">
        <w:tc>
          <w:tcPr>
            <w:tcW w:w="731" w:type="pct"/>
            <w:hideMark/>
          </w:tcPr>
          <w:p w14:paraId="6CEE52A3" w14:textId="77777777" w:rsidR="00673F93" w:rsidRPr="0086443F" w:rsidRDefault="00673F93" w:rsidP="00F60CD3">
            <w:pPr>
              <w:pStyle w:val="NoSpacing"/>
              <w:rPr>
                <w:i/>
                <w:iCs/>
                <w:sz w:val="24"/>
                <w:szCs w:val="24"/>
              </w:rPr>
            </w:pPr>
            <w:r w:rsidRPr="0086443F">
              <w:rPr>
                <w:i/>
                <w:iCs/>
                <w:sz w:val="24"/>
                <w:szCs w:val="24"/>
              </w:rPr>
              <w:t>LOGSUPPLY</w:t>
            </w:r>
          </w:p>
        </w:tc>
        <w:tc>
          <w:tcPr>
            <w:tcW w:w="816" w:type="pct"/>
            <w:hideMark/>
          </w:tcPr>
          <w:p w14:paraId="0DE527B0" w14:textId="77777777" w:rsidR="00673F93" w:rsidRPr="00F60CD3" w:rsidRDefault="00673F93" w:rsidP="00F60CD3">
            <w:pPr>
              <w:pStyle w:val="NoSpacing"/>
              <w:rPr>
                <w:sz w:val="24"/>
                <w:szCs w:val="24"/>
              </w:rPr>
            </w:pPr>
            <w:r w:rsidRPr="00F60CD3">
              <w:rPr>
                <w:sz w:val="24"/>
                <w:szCs w:val="24"/>
              </w:rPr>
              <w:t>−0.179</w:t>
            </w:r>
          </w:p>
        </w:tc>
        <w:tc>
          <w:tcPr>
            <w:tcW w:w="552" w:type="pct"/>
            <w:hideMark/>
          </w:tcPr>
          <w:p w14:paraId="2B3030C7" w14:textId="77777777" w:rsidR="00673F93" w:rsidRPr="00F60CD3" w:rsidRDefault="00673F93" w:rsidP="00F60CD3">
            <w:pPr>
              <w:pStyle w:val="NoSpacing"/>
              <w:rPr>
                <w:sz w:val="24"/>
                <w:szCs w:val="24"/>
              </w:rPr>
            </w:pPr>
            <w:r w:rsidRPr="00F60CD3">
              <w:rPr>
                <w:sz w:val="24"/>
                <w:szCs w:val="24"/>
              </w:rPr>
              <w:t>−1.22</w:t>
            </w:r>
          </w:p>
        </w:tc>
        <w:tc>
          <w:tcPr>
            <w:tcW w:w="816" w:type="pct"/>
            <w:hideMark/>
          </w:tcPr>
          <w:p w14:paraId="72CC11B7" w14:textId="77777777" w:rsidR="00673F93" w:rsidRPr="00F60CD3" w:rsidRDefault="00673F93" w:rsidP="00F60CD3">
            <w:pPr>
              <w:pStyle w:val="NoSpacing"/>
              <w:rPr>
                <w:sz w:val="24"/>
                <w:szCs w:val="24"/>
              </w:rPr>
            </w:pPr>
            <w:r w:rsidRPr="00F60CD3">
              <w:rPr>
                <w:sz w:val="24"/>
                <w:szCs w:val="24"/>
              </w:rPr>
              <w:t>−0.271**</w:t>
            </w:r>
          </w:p>
        </w:tc>
        <w:tc>
          <w:tcPr>
            <w:tcW w:w="552" w:type="pct"/>
            <w:hideMark/>
          </w:tcPr>
          <w:p w14:paraId="19D08801" w14:textId="77777777" w:rsidR="00673F93" w:rsidRPr="00F60CD3" w:rsidRDefault="00673F93" w:rsidP="00F60CD3">
            <w:pPr>
              <w:pStyle w:val="NoSpacing"/>
              <w:rPr>
                <w:sz w:val="24"/>
                <w:szCs w:val="24"/>
              </w:rPr>
            </w:pPr>
            <w:r w:rsidRPr="00F60CD3">
              <w:rPr>
                <w:sz w:val="24"/>
                <w:szCs w:val="24"/>
              </w:rPr>
              <w:t>−2.69</w:t>
            </w:r>
          </w:p>
        </w:tc>
        <w:tc>
          <w:tcPr>
            <w:tcW w:w="981" w:type="pct"/>
            <w:hideMark/>
          </w:tcPr>
          <w:p w14:paraId="6FFE3ED7" w14:textId="77777777" w:rsidR="00673F93" w:rsidRPr="00F60CD3" w:rsidRDefault="00673F93" w:rsidP="00F60CD3">
            <w:pPr>
              <w:pStyle w:val="NoSpacing"/>
              <w:rPr>
                <w:sz w:val="24"/>
                <w:szCs w:val="24"/>
              </w:rPr>
            </w:pPr>
            <w:r w:rsidRPr="00F60CD3">
              <w:rPr>
                <w:sz w:val="24"/>
                <w:szCs w:val="24"/>
              </w:rPr>
              <w:t>−0.247**</w:t>
            </w:r>
          </w:p>
        </w:tc>
        <w:tc>
          <w:tcPr>
            <w:tcW w:w="552" w:type="pct"/>
            <w:hideMark/>
          </w:tcPr>
          <w:p w14:paraId="07BDABF4" w14:textId="77777777" w:rsidR="00673F93" w:rsidRPr="00F60CD3" w:rsidRDefault="00673F93" w:rsidP="00F60CD3">
            <w:pPr>
              <w:pStyle w:val="NoSpacing"/>
              <w:rPr>
                <w:sz w:val="24"/>
                <w:szCs w:val="24"/>
              </w:rPr>
            </w:pPr>
            <w:r w:rsidRPr="00F60CD3">
              <w:rPr>
                <w:sz w:val="24"/>
                <w:szCs w:val="24"/>
              </w:rPr>
              <w:t>−2.69</w:t>
            </w:r>
          </w:p>
        </w:tc>
      </w:tr>
      <w:tr w:rsidR="00F60CD3" w:rsidRPr="00F60CD3" w14:paraId="4CCE5EA5" w14:textId="77777777" w:rsidTr="00CF253A">
        <w:tc>
          <w:tcPr>
            <w:tcW w:w="731" w:type="pct"/>
            <w:hideMark/>
          </w:tcPr>
          <w:p w14:paraId="7DE2B46D" w14:textId="77777777" w:rsidR="00673F93" w:rsidRPr="0086443F" w:rsidRDefault="00673F93" w:rsidP="00F60CD3">
            <w:pPr>
              <w:pStyle w:val="NoSpacing"/>
              <w:rPr>
                <w:i/>
                <w:iCs/>
                <w:sz w:val="24"/>
                <w:szCs w:val="24"/>
              </w:rPr>
            </w:pPr>
            <w:r w:rsidRPr="0086443F">
              <w:rPr>
                <w:i/>
                <w:iCs/>
                <w:sz w:val="24"/>
                <w:szCs w:val="24"/>
              </w:rPr>
              <w:t>SHORT</w:t>
            </w:r>
          </w:p>
        </w:tc>
        <w:tc>
          <w:tcPr>
            <w:tcW w:w="816" w:type="pct"/>
            <w:hideMark/>
          </w:tcPr>
          <w:p w14:paraId="7D30BD3E" w14:textId="77777777" w:rsidR="00673F93" w:rsidRPr="00F60CD3" w:rsidRDefault="00673F93" w:rsidP="00F60CD3">
            <w:pPr>
              <w:pStyle w:val="NoSpacing"/>
              <w:rPr>
                <w:sz w:val="24"/>
                <w:szCs w:val="24"/>
              </w:rPr>
            </w:pPr>
            <w:r w:rsidRPr="00F60CD3">
              <w:rPr>
                <w:sz w:val="24"/>
                <w:szCs w:val="24"/>
              </w:rPr>
              <w:t>0.258</w:t>
            </w:r>
          </w:p>
        </w:tc>
        <w:tc>
          <w:tcPr>
            <w:tcW w:w="552" w:type="pct"/>
            <w:hideMark/>
          </w:tcPr>
          <w:p w14:paraId="51D8F945" w14:textId="77777777" w:rsidR="00673F93" w:rsidRPr="00F60CD3" w:rsidRDefault="00673F93" w:rsidP="00F60CD3">
            <w:pPr>
              <w:pStyle w:val="NoSpacing"/>
              <w:rPr>
                <w:sz w:val="24"/>
                <w:szCs w:val="24"/>
              </w:rPr>
            </w:pPr>
            <w:r w:rsidRPr="00F60CD3">
              <w:rPr>
                <w:sz w:val="24"/>
                <w:szCs w:val="24"/>
              </w:rPr>
              <w:t>1.06</w:t>
            </w:r>
          </w:p>
        </w:tc>
        <w:tc>
          <w:tcPr>
            <w:tcW w:w="816" w:type="pct"/>
            <w:hideMark/>
          </w:tcPr>
          <w:p w14:paraId="0BDFAEC0" w14:textId="77777777" w:rsidR="00673F93" w:rsidRPr="00F60CD3" w:rsidRDefault="00673F93" w:rsidP="00F60CD3">
            <w:pPr>
              <w:pStyle w:val="NoSpacing"/>
              <w:rPr>
                <w:sz w:val="24"/>
                <w:szCs w:val="24"/>
              </w:rPr>
            </w:pPr>
            <w:r w:rsidRPr="00F60CD3">
              <w:rPr>
                <w:sz w:val="24"/>
                <w:szCs w:val="24"/>
              </w:rPr>
              <w:t>0.183</w:t>
            </w:r>
          </w:p>
        </w:tc>
        <w:tc>
          <w:tcPr>
            <w:tcW w:w="552" w:type="pct"/>
            <w:hideMark/>
          </w:tcPr>
          <w:p w14:paraId="1F3FB7B2" w14:textId="77777777" w:rsidR="00673F93" w:rsidRPr="00F60CD3" w:rsidRDefault="00673F93" w:rsidP="00F60CD3">
            <w:pPr>
              <w:pStyle w:val="NoSpacing"/>
              <w:rPr>
                <w:sz w:val="24"/>
                <w:szCs w:val="24"/>
              </w:rPr>
            </w:pPr>
            <w:r w:rsidRPr="00F60CD3">
              <w:rPr>
                <w:sz w:val="24"/>
                <w:szCs w:val="24"/>
              </w:rPr>
              <w:t>0.83</w:t>
            </w:r>
          </w:p>
        </w:tc>
        <w:tc>
          <w:tcPr>
            <w:tcW w:w="981" w:type="pct"/>
            <w:hideMark/>
          </w:tcPr>
          <w:p w14:paraId="6A76E720" w14:textId="77777777" w:rsidR="00673F93" w:rsidRPr="00F60CD3" w:rsidRDefault="00673F93" w:rsidP="00F60CD3">
            <w:pPr>
              <w:pStyle w:val="NoSpacing"/>
              <w:rPr>
                <w:sz w:val="24"/>
                <w:szCs w:val="24"/>
              </w:rPr>
            </w:pPr>
            <w:r w:rsidRPr="00F60CD3">
              <w:rPr>
                <w:sz w:val="24"/>
                <w:szCs w:val="24"/>
              </w:rPr>
              <w:t>0.135</w:t>
            </w:r>
          </w:p>
        </w:tc>
        <w:tc>
          <w:tcPr>
            <w:tcW w:w="552" w:type="pct"/>
            <w:hideMark/>
          </w:tcPr>
          <w:p w14:paraId="6E8DB10E" w14:textId="77777777" w:rsidR="00673F93" w:rsidRPr="00F60CD3" w:rsidRDefault="00673F93" w:rsidP="00F60CD3">
            <w:pPr>
              <w:pStyle w:val="NoSpacing"/>
              <w:rPr>
                <w:sz w:val="24"/>
                <w:szCs w:val="24"/>
              </w:rPr>
            </w:pPr>
            <w:r w:rsidRPr="00F60CD3">
              <w:rPr>
                <w:sz w:val="24"/>
                <w:szCs w:val="24"/>
              </w:rPr>
              <w:t>0.61</w:t>
            </w:r>
          </w:p>
        </w:tc>
      </w:tr>
      <w:tr w:rsidR="00F60CD3" w:rsidRPr="00F60CD3" w14:paraId="048646EB" w14:textId="77777777" w:rsidTr="00CF253A">
        <w:tc>
          <w:tcPr>
            <w:tcW w:w="731" w:type="pct"/>
            <w:hideMark/>
          </w:tcPr>
          <w:p w14:paraId="2411C3D3" w14:textId="77777777" w:rsidR="00673F93" w:rsidRPr="0086443F" w:rsidRDefault="00673F93" w:rsidP="00F60CD3">
            <w:pPr>
              <w:pStyle w:val="NoSpacing"/>
              <w:rPr>
                <w:i/>
                <w:iCs/>
                <w:sz w:val="24"/>
                <w:szCs w:val="24"/>
              </w:rPr>
            </w:pPr>
            <w:r w:rsidRPr="0086443F">
              <w:rPr>
                <w:i/>
                <w:iCs/>
                <w:sz w:val="24"/>
                <w:szCs w:val="24"/>
              </w:rPr>
              <w:t>SIZE</w:t>
            </w:r>
          </w:p>
        </w:tc>
        <w:tc>
          <w:tcPr>
            <w:tcW w:w="816" w:type="pct"/>
            <w:hideMark/>
          </w:tcPr>
          <w:p w14:paraId="58922DFF" w14:textId="77777777" w:rsidR="00673F93" w:rsidRPr="00F60CD3" w:rsidRDefault="00673F93" w:rsidP="00F60CD3">
            <w:pPr>
              <w:pStyle w:val="NoSpacing"/>
              <w:rPr>
                <w:sz w:val="24"/>
                <w:szCs w:val="24"/>
              </w:rPr>
            </w:pPr>
            <w:r w:rsidRPr="00F60CD3">
              <w:rPr>
                <w:sz w:val="24"/>
                <w:szCs w:val="24"/>
              </w:rPr>
              <w:t>0.117***</w:t>
            </w:r>
          </w:p>
        </w:tc>
        <w:tc>
          <w:tcPr>
            <w:tcW w:w="552" w:type="pct"/>
            <w:hideMark/>
          </w:tcPr>
          <w:p w14:paraId="7AFB8040" w14:textId="77777777" w:rsidR="00673F93" w:rsidRPr="00F60CD3" w:rsidRDefault="00673F93" w:rsidP="00F60CD3">
            <w:pPr>
              <w:pStyle w:val="NoSpacing"/>
              <w:rPr>
                <w:sz w:val="24"/>
                <w:szCs w:val="24"/>
              </w:rPr>
            </w:pPr>
            <w:r w:rsidRPr="00F60CD3">
              <w:rPr>
                <w:sz w:val="24"/>
                <w:szCs w:val="24"/>
              </w:rPr>
              <w:t>5.43</w:t>
            </w:r>
          </w:p>
        </w:tc>
        <w:tc>
          <w:tcPr>
            <w:tcW w:w="816" w:type="pct"/>
            <w:hideMark/>
          </w:tcPr>
          <w:p w14:paraId="1D7417AE" w14:textId="77777777" w:rsidR="00673F93" w:rsidRPr="00F60CD3" w:rsidRDefault="00673F93" w:rsidP="00F60CD3">
            <w:pPr>
              <w:pStyle w:val="NoSpacing"/>
              <w:rPr>
                <w:sz w:val="24"/>
                <w:szCs w:val="24"/>
              </w:rPr>
            </w:pPr>
            <w:r w:rsidRPr="00F60CD3">
              <w:rPr>
                <w:sz w:val="24"/>
                <w:szCs w:val="24"/>
              </w:rPr>
              <w:t>0.144***</w:t>
            </w:r>
          </w:p>
        </w:tc>
        <w:tc>
          <w:tcPr>
            <w:tcW w:w="552" w:type="pct"/>
            <w:hideMark/>
          </w:tcPr>
          <w:p w14:paraId="09BD2E94" w14:textId="77777777" w:rsidR="00673F93" w:rsidRPr="00F60CD3" w:rsidRDefault="00673F93" w:rsidP="00F60CD3">
            <w:pPr>
              <w:pStyle w:val="NoSpacing"/>
              <w:rPr>
                <w:sz w:val="24"/>
                <w:szCs w:val="24"/>
              </w:rPr>
            </w:pPr>
            <w:r w:rsidRPr="00F60CD3">
              <w:rPr>
                <w:sz w:val="24"/>
                <w:szCs w:val="24"/>
              </w:rPr>
              <w:t>3.53</w:t>
            </w:r>
          </w:p>
        </w:tc>
        <w:tc>
          <w:tcPr>
            <w:tcW w:w="981" w:type="pct"/>
            <w:hideMark/>
          </w:tcPr>
          <w:p w14:paraId="39B0985E" w14:textId="77777777" w:rsidR="00673F93" w:rsidRPr="00F60CD3" w:rsidRDefault="00673F93" w:rsidP="00F60CD3">
            <w:pPr>
              <w:pStyle w:val="NoSpacing"/>
              <w:rPr>
                <w:sz w:val="24"/>
                <w:szCs w:val="24"/>
              </w:rPr>
            </w:pPr>
            <w:r w:rsidRPr="00F60CD3">
              <w:rPr>
                <w:sz w:val="24"/>
                <w:szCs w:val="24"/>
              </w:rPr>
              <w:t>0.165***</w:t>
            </w:r>
          </w:p>
        </w:tc>
        <w:tc>
          <w:tcPr>
            <w:tcW w:w="552" w:type="pct"/>
            <w:hideMark/>
          </w:tcPr>
          <w:p w14:paraId="46D21541" w14:textId="77777777" w:rsidR="00673F93" w:rsidRPr="00F60CD3" w:rsidRDefault="00673F93" w:rsidP="00F60CD3">
            <w:pPr>
              <w:pStyle w:val="NoSpacing"/>
              <w:rPr>
                <w:sz w:val="24"/>
                <w:szCs w:val="24"/>
              </w:rPr>
            </w:pPr>
            <w:r w:rsidRPr="00F60CD3">
              <w:rPr>
                <w:sz w:val="24"/>
                <w:szCs w:val="24"/>
              </w:rPr>
              <w:t>4.29</w:t>
            </w:r>
          </w:p>
        </w:tc>
      </w:tr>
      <w:tr w:rsidR="00F60CD3" w:rsidRPr="00F60CD3" w14:paraId="090F5363" w14:textId="77777777" w:rsidTr="00CF253A">
        <w:tc>
          <w:tcPr>
            <w:tcW w:w="731" w:type="pct"/>
            <w:hideMark/>
          </w:tcPr>
          <w:p w14:paraId="2E5B52DB" w14:textId="77777777" w:rsidR="00673F93" w:rsidRPr="0086443F" w:rsidRDefault="00673F93" w:rsidP="00F60CD3">
            <w:pPr>
              <w:pStyle w:val="NoSpacing"/>
              <w:rPr>
                <w:i/>
                <w:iCs/>
                <w:sz w:val="24"/>
                <w:szCs w:val="24"/>
              </w:rPr>
            </w:pPr>
            <w:r w:rsidRPr="0086443F">
              <w:rPr>
                <w:i/>
                <w:iCs/>
                <w:sz w:val="24"/>
                <w:szCs w:val="24"/>
              </w:rPr>
              <w:t>ANALYSTS</w:t>
            </w:r>
          </w:p>
        </w:tc>
        <w:tc>
          <w:tcPr>
            <w:tcW w:w="816" w:type="pct"/>
            <w:hideMark/>
          </w:tcPr>
          <w:p w14:paraId="008658DB" w14:textId="77777777" w:rsidR="00673F93" w:rsidRPr="00F60CD3" w:rsidRDefault="00673F93" w:rsidP="00F60CD3">
            <w:pPr>
              <w:pStyle w:val="NoSpacing"/>
              <w:rPr>
                <w:sz w:val="24"/>
                <w:szCs w:val="24"/>
              </w:rPr>
            </w:pPr>
            <w:r w:rsidRPr="00F60CD3">
              <w:rPr>
                <w:sz w:val="24"/>
                <w:szCs w:val="24"/>
              </w:rPr>
              <w:t>0.030</w:t>
            </w:r>
          </w:p>
        </w:tc>
        <w:tc>
          <w:tcPr>
            <w:tcW w:w="552" w:type="pct"/>
            <w:hideMark/>
          </w:tcPr>
          <w:p w14:paraId="3D0B6D00" w14:textId="77777777" w:rsidR="00673F93" w:rsidRPr="00F60CD3" w:rsidRDefault="00673F93" w:rsidP="00F60CD3">
            <w:pPr>
              <w:pStyle w:val="NoSpacing"/>
              <w:rPr>
                <w:sz w:val="24"/>
                <w:szCs w:val="24"/>
              </w:rPr>
            </w:pPr>
            <w:r w:rsidRPr="00F60CD3">
              <w:rPr>
                <w:sz w:val="24"/>
                <w:szCs w:val="24"/>
              </w:rPr>
              <w:t>1.01</w:t>
            </w:r>
          </w:p>
        </w:tc>
        <w:tc>
          <w:tcPr>
            <w:tcW w:w="816" w:type="pct"/>
            <w:hideMark/>
          </w:tcPr>
          <w:p w14:paraId="7A616F9D" w14:textId="77777777" w:rsidR="00673F93" w:rsidRPr="00F60CD3" w:rsidRDefault="00673F93" w:rsidP="00F60CD3">
            <w:pPr>
              <w:pStyle w:val="NoSpacing"/>
              <w:rPr>
                <w:sz w:val="24"/>
                <w:szCs w:val="24"/>
              </w:rPr>
            </w:pPr>
            <w:r w:rsidRPr="00F60CD3">
              <w:rPr>
                <w:sz w:val="24"/>
                <w:szCs w:val="24"/>
              </w:rPr>
              <w:t>0.019</w:t>
            </w:r>
          </w:p>
        </w:tc>
        <w:tc>
          <w:tcPr>
            <w:tcW w:w="552" w:type="pct"/>
            <w:hideMark/>
          </w:tcPr>
          <w:p w14:paraId="0703E4CE" w14:textId="77777777" w:rsidR="00673F93" w:rsidRPr="00F60CD3" w:rsidRDefault="00673F93" w:rsidP="00F60CD3">
            <w:pPr>
              <w:pStyle w:val="NoSpacing"/>
              <w:rPr>
                <w:sz w:val="24"/>
                <w:szCs w:val="24"/>
              </w:rPr>
            </w:pPr>
            <w:r w:rsidRPr="00F60CD3">
              <w:rPr>
                <w:sz w:val="24"/>
                <w:szCs w:val="24"/>
              </w:rPr>
              <w:t>0.59</w:t>
            </w:r>
          </w:p>
        </w:tc>
        <w:tc>
          <w:tcPr>
            <w:tcW w:w="981" w:type="pct"/>
            <w:hideMark/>
          </w:tcPr>
          <w:p w14:paraId="3B6D7599" w14:textId="77777777" w:rsidR="00673F93" w:rsidRPr="00F60CD3" w:rsidRDefault="00673F93" w:rsidP="00F60CD3">
            <w:pPr>
              <w:pStyle w:val="NoSpacing"/>
              <w:rPr>
                <w:sz w:val="24"/>
                <w:szCs w:val="24"/>
              </w:rPr>
            </w:pPr>
            <w:r w:rsidRPr="00F60CD3">
              <w:rPr>
                <w:sz w:val="24"/>
                <w:szCs w:val="24"/>
              </w:rPr>
              <w:t>0.013</w:t>
            </w:r>
          </w:p>
        </w:tc>
        <w:tc>
          <w:tcPr>
            <w:tcW w:w="552" w:type="pct"/>
            <w:hideMark/>
          </w:tcPr>
          <w:p w14:paraId="71454259" w14:textId="77777777" w:rsidR="00673F93" w:rsidRPr="00F60CD3" w:rsidRDefault="00673F93" w:rsidP="00F60CD3">
            <w:pPr>
              <w:pStyle w:val="NoSpacing"/>
              <w:rPr>
                <w:sz w:val="24"/>
                <w:szCs w:val="24"/>
              </w:rPr>
            </w:pPr>
            <w:r w:rsidRPr="00F60CD3">
              <w:rPr>
                <w:sz w:val="24"/>
                <w:szCs w:val="24"/>
              </w:rPr>
              <w:t>0.32</w:t>
            </w:r>
          </w:p>
        </w:tc>
      </w:tr>
      <w:tr w:rsidR="00F60CD3" w:rsidRPr="00F60CD3" w14:paraId="0C1ACBD4" w14:textId="77777777" w:rsidTr="00CF253A">
        <w:tc>
          <w:tcPr>
            <w:tcW w:w="731" w:type="pct"/>
            <w:hideMark/>
          </w:tcPr>
          <w:p w14:paraId="2BFEA49A" w14:textId="77777777" w:rsidR="00673F93" w:rsidRPr="0086443F" w:rsidRDefault="00673F93" w:rsidP="00F60CD3">
            <w:pPr>
              <w:pStyle w:val="NoSpacing"/>
              <w:rPr>
                <w:i/>
                <w:iCs/>
                <w:sz w:val="24"/>
                <w:szCs w:val="24"/>
              </w:rPr>
            </w:pPr>
            <w:r w:rsidRPr="0086443F">
              <w:rPr>
                <w:i/>
                <w:iCs/>
                <w:sz w:val="24"/>
                <w:szCs w:val="24"/>
              </w:rPr>
              <w:t>INSTOWN</w:t>
            </w:r>
          </w:p>
        </w:tc>
        <w:tc>
          <w:tcPr>
            <w:tcW w:w="816" w:type="pct"/>
            <w:hideMark/>
          </w:tcPr>
          <w:p w14:paraId="62FD8528" w14:textId="77777777" w:rsidR="00673F93" w:rsidRPr="00F60CD3" w:rsidRDefault="00673F93" w:rsidP="00F60CD3">
            <w:pPr>
              <w:pStyle w:val="NoSpacing"/>
              <w:rPr>
                <w:sz w:val="24"/>
                <w:szCs w:val="24"/>
              </w:rPr>
            </w:pPr>
            <w:r w:rsidRPr="00F60CD3">
              <w:rPr>
                <w:sz w:val="24"/>
                <w:szCs w:val="24"/>
              </w:rPr>
              <w:t>−0.092</w:t>
            </w:r>
          </w:p>
        </w:tc>
        <w:tc>
          <w:tcPr>
            <w:tcW w:w="552" w:type="pct"/>
            <w:hideMark/>
          </w:tcPr>
          <w:p w14:paraId="32EA27DF" w14:textId="77777777" w:rsidR="00673F93" w:rsidRPr="00F60CD3" w:rsidRDefault="00673F93" w:rsidP="00F60CD3">
            <w:pPr>
              <w:pStyle w:val="NoSpacing"/>
              <w:rPr>
                <w:sz w:val="24"/>
                <w:szCs w:val="24"/>
              </w:rPr>
            </w:pPr>
            <w:r w:rsidRPr="00F60CD3">
              <w:rPr>
                <w:sz w:val="24"/>
                <w:szCs w:val="24"/>
              </w:rPr>
              <w:t>−0.60</w:t>
            </w:r>
          </w:p>
        </w:tc>
        <w:tc>
          <w:tcPr>
            <w:tcW w:w="816" w:type="pct"/>
            <w:hideMark/>
          </w:tcPr>
          <w:p w14:paraId="5C0875C5" w14:textId="77777777" w:rsidR="00673F93" w:rsidRPr="00F60CD3" w:rsidRDefault="00673F93" w:rsidP="00F60CD3">
            <w:pPr>
              <w:pStyle w:val="NoSpacing"/>
              <w:rPr>
                <w:sz w:val="24"/>
                <w:szCs w:val="24"/>
              </w:rPr>
            </w:pPr>
            <w:r w:rsidRPr="00F60CD3">
              <w:rPr>
                <w:sz w:val="24"/>
                <w:szCs w:val="24"/>
              </w:rPr>
              <w:t>−0.100</w:t>
            </w:r>
          </w:p>
        </w:tc>
        <w:tc>
          <w:tcPr>
            <w:tcW w:w="552" w:type="pct"/>
            <w:hideMark/>
          </w:tcPr>
          <w:p w14:paraId="4B9AE5A6" w14:textId="77777777" w:rsidR="00673F93" w:rsidRPr="00F60CD3" w:rsidRDefault="00673F93" w:rsidP="00F60CD3">
            <w:pPr>
              <w:pStyle w:val="NoSpacing"/>
              <w:rPr>
                <w:sz w:val="24"/>
                <w:szCs w:val="24"/>
              </w:rPr>
            </w:pPr>
            <w:r w:rsidRPr="00F60CD3">
              <w:rPr>
                <w:sz w:val="24"/>
                <w:szCs w:val="24"/>
              </w:rPr>
              <w:t>−0.80</w:t>
            </w:r>
          </w:p>
        </w:tc>
        <w:tc>
          <w:tcPr>
            <w:tcW w:w="981" w:type="pct"/>
            <w:hideMark/>
          </w:tcPr>
          <w:p w14:paraId="1068FE67" w14:textId="77777777" w:rsidR="00673F93" w:rsidRPr="00F60CD3" w:rsidRDefault="00673F93" w:rsidP="00F60CD3">
            <w:pPr>
              <w:pStyle w:val="NoSpacing"/>
              <w:rPr>
                <w:sz w:val="24"/>
                <w:szCs w:val="24"/>
              </w:rPr>
            </w:pPr>
            <w:r w:rsidRPr="00F60CD3">
              <w:rPr>
                <w:sz w:val="24"/>
                <w:szCs w:val="24"/>
              </w:rPr>
              <w:t>−0.126</w:t>
            </w:r>
          </w:p>
        </w:tc>
        <w:tc>
          <w:tcPr>
            <w:tcW w:w="552" w:type="pct"/>
            <w:hideMark/>
          </w:tcPr>
          <w:p w14:paraId="26F47AE1" w14:textId="77777777" w:rsidR="00673F93" w:rsidRPr="00F60CD3" w:rsidRDefault="00673F93" w:rsidP="00F60CD3">
            <w:pPr>
              <w:pStyle w:val="NoSpacing"/>
              <w:rPr>
                <w:sz w:val="24"/>
                <w:szCs w:val="24"/>
              </w:rPr>
            </w:pPr>
            <w:r w:rsidRPr="00F60CD3">
              <w:rPr>
                <w:sz w:val="24"/>
                <w:szCs w:val="24"/>
              </w:rPr>
              <w:t>−0.94</w:t>
            </w:r>
          </w:p>
        </w:tc>
      </w:tr>
      <w:tr w:rsidR="00F60CD3" w:rsidRPr="00F60CD3" w14:paraId="58D812F8" w14:textId="77777777" w:rsidTr="00CF253A">
        <w:tc>
          <w:tcPr>
            <w:tcW w:w="731" w:type="pct"/>
            <w:hideMark/>
          </w:tcPr>
          <w:p w14:paraId="7B0A3F6E" w14:textId="77777777" w:rsidR="00673F93" w:rsidRPr="0086443F" w:rsidRDefault="00673F93" w:rsidP="00F60CD3">
            <w:pPr>
              <w:pStyle w:val="NoSpacing"/>
              <w:rPr>
                <w:i/>
                <w:iCs/>
                <w:sz w:val="24"/>
                <w:szCs w:val="24"/>
              </w:rPr>
            </w:pPr>
            <w:r w:rsidRPr="0086443F">
              <w:rPr>
                <w:i/>
                <w:iCs/>
                <w:sz w:val="24"/>
                <w:szCs w:val="24"/>
              </w:rPr>
              <w:t>INSTNUM</w:t>
            </w:r>
          </w:p>
        </w:tc>
        <w:tc>
          <w:tcPr>
            <w:tcW w:w="816" w:type="pct"/>
            <w:hideMark/>
          </w:tcPr>
          <w:p w14:paraId="533060BC" w14:textId="77777777" w:rsidR="00673F93" w:rsidRPr="00F60CD3" w:rsidRDefault="00673F93" w:rsidP="00F60CD3">
            <w:pPr>
              <w:pStyle w:val="NoSpacing"/>
              <w:rPr>
                <w:sz w:val="24"/>
                <w:szCs w:val="24"/>
              </w:rPr>
            </w:pPr>
            <w:r w:rsidRPr="00F60CD3">
              <w:rPr>
                <w:sz w:val="24"/>
                <w:szCs w:val="24"/>
              </w:rPr>
              <w:t>0.080</w:t>
            </w:r>
          </w:p>
        </w:tc>
        <w:tc>
          <w:tcPr>
            <w:tcW w:w="552" w:type="pct"/>
            <w:hideMark/>
          </w:tcPr>
          <w:p w14:paraId="01FBFD38" w14:textId="77777777" w:rsidR="00673F93" w:rsidRPr="00F60CD3" w:rsidRDefault="00673F93" w:rsidP="00F60CD3">
            <w:pPr>
              <w:pStyle w:val="NoSpacing"/>
              <w:rPr>
                <w:sz w:val="24"/>
                <w:szCs w:val="24"/>
              </w:rPr>
            </w:pPr>
            <w:r w:rsidRPr="00F60CD3">
              <w:rPr>
                <w:sz w:val="24"/>
                <w:szCs w:val="24"/>
              </w:rPr>
              <w:t>1.52</w:t>
            </w:r>
          </w:p>
        </w:tc>
        <w:tc>
          <w:tcPr>
            <w:tcW w:w="816" w:type="pct"/>
            <w:hideMark/>
          </w:tcPr>
          <w:p w14:paraId="3B2DF68E" w14:textId="77777777" w:rsidR="00673F93" w:rsidRPr="00F60CD3" w:rsidRDefault="00673F93" w:rsidP="00F60CD3">
            <w:pPr>
              <w:pStyle w:val="NoSpacing"/>
              <w:rPr>
                <w:sz w:val="24"/>
                <w:szCs w:val="24"/>
              </w:rPr>
            </w:pPr>
            <w:r w:rsidRPr="00F60CD3">
              <w:rPr>
                <w:sz w:val="24"/>
                <w:szCs w:val="24"/>
              </w:rPr>
              <w:t>0.123*</w:t>
            </w:r>
          </w:p>
        </w:tc>
        <w:tc>
          <w:tcPr>
            <w:tcW w:w="552" w:type="pct"/>
            <w:hideMark/>
          </w:tcPr>
          <w:p w14:paraId="6D587BAE" w14:textId="77777777" w:rsidR="00673F93" w:rsidRPr="00F60CD3" w:rsidRDefault="00673F93" w:rsidP="00F60CD3">
            <w:pPr>
              <w:pStyle w:val="NoSpacing"/>
              <w:rPr>
                <w:sz w:val="24"/>
                <w:szCs w:val="24"/>
              </w:rPr>
            </w:pPr>
            <w:r w:rsidRPr="00F60CD3">
              <w:rPr>
                <w:sz w:val="24"/>
                <w:szCs w:val="24"/>
              </w:rPr>
              <w:t>1.81</w:t>
            </w:r>
          </w:p>
        </w:tc>
        <w:tc>
          <w:tcPr>
            <w:tcW w:w="981" w:type="pct"/>
            <w:hideMark/>
          </w:tcPr>
          <w:p w14:paraId="768DA7BC" w14:textId="77777777" w:rsidR="00673F93" w:rsidRPr="00F60CD3" w:rsidRDefault="00673F93" w:rsidP="00F60CD3">
            <w:pPr>
              <w:pStyle w:val="NoSpacing"/>
              <w:rPr>
                <w:sz w:val="24"/>
                <w:szCs w:val="24"/>
              </w:rPr>
            </w:pPr>
            <w:r w:rsidRPr="00F60CD3">
              <w:rPr>
                <w:sz w:val="24"/>
                <w:szCs w:val="24"/>
              </w:rPr>
              <w:t>0.140*</w:t>
            </w:r>
          </w:p>
        </w:tc>
        <w:tc>
          <w:tcPr>
            <w:tcW w:w="552" w:type="pct"/>
            <w:hideMark/>
          </w:tcPr>
          <w:p w14:paraId="3368DC4C" w14:textId="77777777" w:rsidR="00673F93" w:rsidRPr="00F60CD3" w:rsidRDefault="00673F93" w:rsidP="00F60CD3">
            <w:pPr>
              <w:pStyle w:val="NoSpacing"/>
              <w:rPr>
                <w:sz w:val="24"/>
                <w:szCs w:val="24"/>
              </w:rPr>
            </w:pPr>
            <w:r w:rsidRPr="00F60CD3">
              <w:rPr>
                <w:sz w:val="24"/>
                <w:szCs w:val="24"/>
              </w:rPr>
              <w:t>1.87</w:t>
            </w:r>
          </w:p>
        </w:tc>
      </w:tr>
      <w:tr w:rsidR="00F60CD3" w:rsidRPr="00F60CD3" w14:paraId="4279D562" w14:textId="77777777" w:rsidTr="00CF253A">
        <w:tc>
          <w:tcPr>
            <w:tcW w:w="731" w:type="pct"/>
            <w:hideMark/>
          </w:tcPr>
          <w:p w14:paraId="745C993E" w14:textId="77777777" w:rsidR="00673F93" w:rsidRPr="0086443F" w:rsidRDefault="00673F93" w:rsidP="00F60CD3">
            <w:pPr>
              <w:pStyle w:val="NoSpacing"/>
              <w:rPr>
                <w:i/>
                <w:iCs/>
                <w:sz w:val="24"/>
                <w:szCs w:val="24"/>
              </w:rPr>
            </w:pPr>
            <w:r w:rsidRPr="0086443F">
              <w:rPr>
                <w:i/>
                <w:iCs/>
                <w:sz w:val="24"/>
                <w:szCs w:val="24"/>
              </w:rPr>
              <w:t>|ROA|</w:t>
            </w:r>
          </w:p>
        </w:tc>
        <w:tc>
          <w:tcPr>
            <w:tcW w:w="816" w:type="pct"/>
            <w:hideMark/>
          </w:tcPr>
          <w:p w14:paraId="1F6FE7F8" w14:textId="77777777" w:rsidR="00673F93" w:rsidRPr="00F60CD3" w:rsidRDefault="00673F93" w:rsidP="00F60CD3">
            <w:pPr>
              <w:pStyle w:val="NoSpacing"/>
              <w:rPr>
                <w:sz w:val="24"/>
                <w:szCs w:val="24"/>
              </w:rPr>
            </w:pPr>
            <w:r w:rsidRPr="00F60CD3">
              <w:rPr>
                <w:sz w:val="24"/>
                <w:szCs w:val="24"/>
              </w:rPr>
              <w:t>0.304**</w:t>
            </w:r>
          </w:p>
        </w:tc>
        <w:tc>
          <w:tcPr>
            <w:tcW w:w="552" w:type="pct"/>
            <w:hideMark/>
          </w:tcPr>
          <w:p w14:paraId="2322E618" w14:textId="77777777" w:rsidR="00673F93" w:rsidRPr="00F60CD3" w:rsidRDefault="00673F93" w:rsidP="00F60CD3">
            <w:pPr>
              <w:pStyle w:val="NoSpacing"/>
              <w:rPr>
                <w:sz w:val="24"/>
                <w:szCs w:val="24"/>
              </w:rPr>
            </w:pPr>
            <w:r w:rsidRPr="00F60CD3">
              <w:rPr>
                <w:sz w:val="24"/>
                <w:szCs w:val="24"/>
              </w:rPr>
              <w:t>2.29</w:t>
            </w:r>
          </w:p>
        </w:tc>
        <w:tc>
          <w:tcPr>
            <w:tcW w:w="816" w:type="pct"/>
            <w:hideMark/>
          </w:tcPr>
          <w:p w14:paraId="0CE1E7C3" w14:textId="77777777" w:rsidR="00673F93" w:rsidRPr="00F60CD3" w:rsidRDefault="00673F93" w:rsidP="00F60CD3">
            <w:pPr>
              <w:pStyle w:val="NoSpacing"/>
              <w:rPr>
                <w:sz w:val="24"/>
                <w:szCs w:val="24"/>
              </w:rPr>
            </w:pPr>
            <w:r w:rsidRPr="00F60CD3">
              <w:rPr>
                <w:sz w:val="24"/>
                <w:szCs w:val="24"/>
              </w:rPr>
              <w:t>0.193</w:t>
            </w:r>
          </w:p>
        </w:tc>
        <w:tc>
          <w:tcPr>
            <w:tcW w:w="552" w:type="pct"/>
            <w:hideMark/>
          </w:tcPr>
          <w:p w14:paraId="5184CA6D" w14:textId="77777777" w:rsidR="00673F93" w:rsidRPr="00F60CD3" w:rsidRDefault="00673F93" w:rsidP="00F60CD3">
            <w:pPr>
              <w:pStyle w:val="NoSpacing"/>
              <w:rPr>
                <w:sz w:val="24"/>
                <w:szCs w:val="24"/>
              </w:rPr>
            </w:pPr>
            <w:r w:rsidRPr="00F60CD3">
              <w:rPr>
                <w:sz w:val="24"/>
                <w:szCs w:val="24"/>
              </w:rPr>
              <w:t>1.42</w:t>
            </w:r>
          </w:p>
        </w:tc>
        <w:tc>
          <w:tcPr>
            <w:tcW w:w="981" w:type="pct"/>
            <w:hideMark/>
          </w:tcPr>
          <w:p w14:paraId="6E56A657" w14:textId="77777777" w:rsidR="00673F93" w:rsidRPr="00F60CD3" w:rsidRDefault="00673F93" w:rsidP="00F60CD3">
            <w:pPr>
              <w:pStyle w:val="NoSpacing"/>
              <w:rPr>
                <w:sz w:val="24"/>
                <w:szCs w:val="24"/>
              </w:rPr>
            </w:pPr>
            <w:r w:rsidRPr="00F60CD3">
              <w:rPr>
                <w:sz w:val="24"/>
                <w:szCs w:val="24"/>
              </w:rPr>
              <w:t>0.212</w:t>
            </w:r>
          </w:p>
        </w:tc>
        <w:tc>
          <w:tcPr>
            <w:tcW w:w="552" w:type="pct"/>
            <w:hideMark/>
          </w:tcPr>
          <w:p w14:paraId="0D384348" w14:textId="77777777" w:rsidR="00673F93" w:rsidRPr="00F60CD3" w:rsidRDefault="00673F93" w:rsidP="00F60CD3">
            <w:pPr>
              <w:pStyle w:val="NoSpacing"/>
              <w:rPr>
                <w:sz w:val="24"/>
                <w:szCs w:val="24"/>
              </w:rPr>
            </w:pPr>
            <w:r w:rsidRPr="00F60CD3">
              <w:rPr>
                <w:sz w:val="24"/>
                <w:szCs w:val="24"/>
              </w:rPr>
              <w:t>1.60</w:t>
            </w:r>
          </w:p>
        </w:tc>
      </w:tr>
      <w:tr w:rsidR="00F60CD3" w:rsidRPr="00F60CD3" w14:paraId="0605284A" w14:textId="77777777" w:rsidTr="00CF253A">
        <w:tc>
          <w:tcPr>
            <w:tcW w:w="731" w:type="pct"/>
            <w:hideMark/>
          </w:tcPr>
          <w:p w14:paraId="56FBDB3B" w14:textId="77777777" w:rsidR="00673F93" w:rsidRPr="0086443F" w:rsidRDefault="00673F93" w:rsidP="00F60CD3">
            <w:pPr>
              <w:pStyle w:val="NoSpacing"/>
              <w:rPr>
                <w:i/>
                <w:iCs/>
                <w:sz w:val="24"/>
                <w:szCs w:val="24"/>
              </w:rPr>
            </w:pPr>
            <w:r w:rsidRPr="0086443F">
              <w:rPr>
                <w:i/>
                <w:iCs/>
                <w:sz w:val="24"/>
                <w:szCs w:val="24"/>
              </w:rPr>
              <w:t>MB</w:t>
            </w:r>
          </w:p>
        </w:tc>
        <w:tc>
          <w:tcPr>
            <w:tcW w:w="816" w:type="pct"/>
            <w:hideMark/>
          </w:tcPr>
          <w:p w14:paraId="17163CFB" w14:textId="77777777" w:rsidR="00673F93" w:rsidRPr="00F60CD3" w:rsidRDefault="00673F93" w:rsidP="00F60CD3">
            <w:pPr>
              <w:pStyle w:val="NoSpacing"/>
              <w:rPr>
                <w:sz w:val="24"/>
                <w:szCs w:val="24"/>
              </w:rPr>
            </w:pPr>
            <w:r w:rsidRPr="00F60CD3">
              <w:rPr>
                <w:sz w:val="24"/>
                <w:szCs w:val="24"/>
              </w:rPr>
              <w:t>0.009</w:t>
            </w:r>
          </w:p>
        </w:tc>
        <w:tc>
          <w:tcPr>
            <w:tcW w:w="552" w:type="pct"/>
            <w:hideMark/>
          </w:tcPr>
          <w:p w14:paraId="4B2E14CB" w14:textId="77777777" w:rsidR="00673F93" w:rsidRPr="00F60CD3" w:rsidRDefault="00673F93" w:rsidP="00F60CD3">
            <w:pPr>
              <w:pStyle w:val="NoSpacing"/>
              <w:rPr>
                <w:sz w:val="24"/>
                <w:szCs w:val="24"/>
              </w:rPr>
            </w:pPr>
            <w:r w:rsidRPr="00F60CD3">
              <w:rPr>
                <w:sz w:val="24"/>
                <w:szCs w:val="24"/>
              </w:rPr>
              <w:t>0.19</w:t>
            </w:r>
          </w:p>
        </w:tc>
        <w:tc>
          <w:tcPr>
            <w:tcW w:w="816" w:type="pct"/>
            <w:hideMark/>
          </w:tcPr>
          <w:p w14:paraId="41E07EA5" w14:textId="77777777" w:rsidR="00673F93" w:rsidRPr="00F60CD3" w:rsidRDefault="00673F93" w:rsidP="00F60CD3">
            <w:pPr>
              <w:pStyle w:val="NoSpacing"/>
              <w:rPr>
                <w:sz w:val="24"/>
                <w:szCs w:val="24"/>
              </w:rPr>
            </w:pPr>
            <w:r w:rsidRPr="00F60CD3">
              <w:rPr>
                <w:sz w:val="24"/>
                <w:szCs w:val="24"/>
              </w:rPr>
              <w:t>−0.017</w:t>
            </w:r>
          </w:p>
        </w:tc>
        <w:tc>
          <w:tcPr>
            <w:tcW w:w="552" w:type="pct"/>
            <w:hideMark/>
          </w:tcPr>
          <w:p w14:paraId="5C67640B" w14:textId="77777777" w:rsidR="00673F93" w:rsidRPr="00F60CD3" w:rsidRDefault="00673F93" w:rsidP="00F60CD3">
            <w:pPr>
              <w:pStyle w:val="NoSpacing"/>
              <w:rPr>
                <w:sz w:val="24"/>
                <w:szCs w:val="24"/>
              </w:rPr>
            </w:pPr>
            <w:r w:rsidRPr="00F60CD3">
              <w:rPr>
                <w:sz w:val="24"/>
                <w:szCs w:val="24"/>
              </w:rPr>
              <w:t>−0.22</w:t>
            </w:r>
          </w:p>
        </w:tc>
        <w:tc>
          <w:tcPr>
            <w:tcW w:w="981" w:type="pct"/>
            <w:hideMark/>
          </w:tcPr>
          <w:p w14:paraId="0575ED9D" w14:textId="77777777" w:rsidR="00673F93" w:rsidRPr="00F60CD3" w:rsidRDefault="00673F93" w:rsidP="00F60CD3">
            <w:pPr>
              <w:pStyle w:val="NoSpacing"/>
              <w:rPr>
                <w:sz w:val="24"/>
                <w:szCs w:val="24"/>
              </w:rPr>
            </w:pPr>
            <w:r w:rsidRPr="00F60CD3">
              <w:rPr>
                <w:sz w:val="24"/>
                <w:szCs w:val="24"/>
              </w:rPr>
              <w:t>−0.011</w:t>
            </w:r>
          </w:p>
        </w:tc>
        <w:tc>
          <w:tcPr>
            <w:tcW w:w="552" w:type="pct"/>
            <w:hideMark/>
          </w:tcPr>
          <w:p w14:paraId="18295DEE" w14:textId="77777777" w:rsidR="00673F93" w:rsidRPr="00F60CD3" w:rsidRDefault="00673F93" w:rsidP="00F60CD3">
            <w:pPr>
              <w:pStyle w:val="NoSpacing"/>
              <w:rPr>
                <w:sz w:val="24"/>
                <w:szCs w:val="24"/>
              </w:rPr>
            </w:pPr>
            <w:r w:rsidRPr="00F60CD3">
              <w:rPr>
                <w:sz w:val="24"/>
                <w:szCs w:val="24"/>
              </w:rPr>
              <w:t>−0.15</w:t>
            </w:r>
          </w:p>
        </w:tc>
      </w:tr>
      <w:tr w:rsidR="00F60CD3" w:rsidRPr="00F60CD3" w14:paraId="601AE9B9" w14:textId="77777777" w:rsidTr="00CF253A">
        <w:tc>
          <w:tcPr>
            <w:tcW w:w="731" w:type="pct"/>
            <w:hideMark/>
          </w:tcPr>
          <w:p w14:paraId="0EE75489" w14:textId="77777777" w:rsidR="00673F93" w:rsidRPr="0086443F" w:rsidRDefault="00673F93" w:rsidP="00F60CD3">
            <w:pPr>
              <w:pStyle w:val="NoSpacing"/>
              <w:rPr>
                <w:i/>
                <w:iCs/>
                <w:sz w:val="24"/>
                <w:szCs w:val="24"/>
              </w:rPr>
            </w:pPr>
            <w:r w:rsidRPr="0086443F">
              <w:rPr>
                <w:i/>
                <w:iCs/>
                <w:sz w:val="24"/>
                <w:szCs w:val="24"/>
              </w:rPr>
              <w:t>TURNOVER</w:t>
            </w:r>
          </w:p>
        </w:tc>
        <w:tc>
          <w:tcPr>
            <w:tcW w:w="816" w:type="pct"/>
            <w:hideMark/>
          </w:tcPr>
          <w:p w14:paraId="5BA2C158" w14:textId="77777777" w:rsidR="00673F93" w:rsidRPr="00F60CD3" w:rsidRDefault="00673F93" w:rsidP="00F60CD3">
            <w:pPr>
              <w:pStyle w:val="NoSpacing"/>
              <w:rPr>
                <w:sz w:val="24"/>
                <w:szCs w:val="24"/>
              </w:rPr>
            </w:pPr>
            <w:r w:rsidRPr="00F60CD3">
              <w:rPr>
                <w:sz w:val="24"/>
                <w:szCs w:val="24"/>
              </w:rPr>
              <w:t>0.221</w:t>
            </w:r>
          </w:p>
        </w:tc>
        <w:tc>
          <w:tcPr>
            <w:tcW w:w="552" w:type="pct"/>
            <w:hideMark/>
          </w:tcPr>
          <w:p w14:paraId="0DE021F1" w14:textId="77777777" w:rsidR="00673F93" w:rsidRPr="00F60CD3" w:rsidRDefault="00673F93" w:rsidP="00F60CD3">
            <w:pPr>
              <w:pStyle w:val="NoSpacing"/>
              <w:rPr>
                <w:sz w:val="24"/>
                <w:szCs w:val="24"/>
              </w:rPr>
            </w:pPr>
            <w:r w:rsidRPr="00F60CD3">
              <w:rPr>
                <w:sz w:val="24"/>
                <w:szCs w:val="24"/>
              </w:rPr>
              <w:t>1.60</w:t>
            </w:r>
          </w:p>
        </w:tc>
        <w:tc>
          <w:tcPr>
            <w:tcW w:w="816" w:type="pct"/>
            <w:hideMark/>
          </w:tcPr>
          <w:p w14:paraId="6A82CD46" w14:textId="77777777" w:rsidR="00673F93" w:rsidRPr="00F60CD3" w:rsidRDefault="00673F93" w:rsidP="00F60CD3">
            <w:pPr>
              <w:pStyle w:val="NoSpacing"/>
              <w:rPr>
                <w:sz w:val="24"/>
                <w:szCs w:val="24"/>
              </w:rPr>
            </w:pPr>
            <w:r w:rsidRPr="00F60CD3">
              <w:rPr>
                <w:sz w:val="24"/>
                <w:szCs w:val="24"/>
              </w:rPr>
              <w:t>0.316**</w:t>
            </w:r>
          </w:p>
        </w:tc>
        <w:tc>
          <w:tcPr>
            <w:tcW w:w="552" w:type="pct"/>
            <w:hideMark/>
          </w:tcPr>
          <w:p w14:paraId="3709F582" w14:textId="77777777" w:rsidR="00673F93" w:rsidRPr="00F60CD3" w:rsidRDefault="00673F93" w:rsidP="00F60CD3">
            <w:pPr>
              <w:pStyle w:val="NoSpacing"/>
              <w:rPr>
                <w:sz w:val="24"/>
                <w:szCs w:val="24"/>
              </w:rPr>
            </w:pPr>
            <w:r w:rsidRPr="00F60CD3">
              <w:rPr>
                <w:sz w:val="24"/>
                <w:szCs w:val="24"/>
              </w:rPr>
              <w:t>2.55</w:t>
            </w:r>
          </w:p>
        </w:tc>
        <w:tc>
          <w:tcPr>
            <w:tcW w:w="981" w:type="pct"/>
            <w:hideMark/>
          </w:tcPr>
          <w:p w14:paraId="141C5877" w14:textId="77777777" w:rsidR="00673F93" w:rsidRPr="00F60CD3" w:rsidRDefault="00673F93" w:rsidP="00F60CD3">
            <w:pPr>
              <w:pStyle w:val="NoSpacing"/>
              <w:rPr>
                <w:sz w:val="24"/>
                <w:szCs w:val="24"/>
              </w:rPr>
            </w:pPr>
            <w:r w:rsidRPr="00F60CD3">
              <w:rPr>
                <w:sz w:val="24"/>
                <w:szCs w:val="24"/>
              </w:rPr>
              <w:t>0.360**</w:t>
            </w:r>
          </w:p>
        </w:tc>
        <w:tc>
          <w:tcPr>
            <w:tcW w:w="552" w:type="pct"/>
            <w:hideMark/>
          </w:tcPr>
          <w:p w14:paraId="1E7A97B6" w14:textId="77777777" w:rsidR="00673F93" w:rsidRPr="00F60CD3" w:rsidRDefault="00673F93" w:rsidP="00F60CD3">
            <w:pPr>
              <w:pStyle w:val="NoSpacing"/>
              <w:rPr>
                <w:sz w:val="24"/>
                <w:szCs w:val="24"/>
              </w:rPr>
            </w:pPr>
            <w:r w:rsidRPr="00F60CD3">
              <w:rPr>
                <w:sz w:val="24"/>
                <w:szCs w:val="24"/>
              </w:rPr>
              <w:t>2.78</w:t>
            </w:r>
          </w:p>
        </w:tc>
      </w:tr>
      <w:tr w:rsidR="00F60CD3" w:rsidRPr="00F60CD3" w14:paraId="2977DB03" w14:textId="77777777" w:rsidTr="00CF253A">
        <w:tc>
          <w:tcPr>
            <w:tcW w:w="731" w:type="pct"/>
            <w:hideMark/>
          </w:tcPr>
          <w:p w14:paraId="0385386D" w14:textId="77777777" w:rsidR="00673F93" w:rsidRPr="0086443F" w:rsidRDefault="00673F93" w:rsidP="00F60CD3">
            <w:pPr>
              <w:pStyle w:val="NoSpacing"/>
              <w:rPr>
                <w:i/>
                <w:iCs/>
                <w:sz w:val="24"/>
                <w:szCs w:val="24"/>
              </w:rPr>
            </w:pPr>
            <w:r w:rsidRPr="0086443F">
              <w:rPr>
                <w:i/>
                <w:iCs/>
                <w:sz w:val="24"/>
                <w:szCs w:val="24"/>
              </w:rPr>
              <w:t>LEV</w:t>
            </w:r>
          </w:p>
        </w:tc>
        <w:tc>
          <w:tcPr>
            <w:tcW w:w="816" w:type="pct"/>
            <w:hideMark/>
          </w:tcPr>
          <w:p w14:paraId="28D25563" w14:textId="77777777" w:rsidR="00673F93" w:rsidRPr="00F60CD3" w:rsidRDefault="00673F93" w:rsidP="00F60CD3">
            <w:pPr>
              <w:pStyle w:val="NoSpacing"/>
              <w:rPr>
                <w:sz w:val="24"/>
                <w:szCs w:val="24"/>
              </w:rPr>
            </w:pPr>
            <w:r w:rsidRPr="00F60CD3">
              <w:rPr>
                <w:sz w:val="24"/>
                <w:szCs w:val="24"/>
              </w:rPr>
              <w:t>0.014</w:t>
            </w:r>
          </w:p>
        </w:tc>
        <w:tc>
          <w:tcPr>
            <w:tcW w:w="552" w:type="pct"/>
            <w:hideMark/>
          </w:tcPr>
          <w:p w14:paraId="28227BC0" w14:textId="77777777" w:rsidR="00673F93" w:rsidRPr="00F60CD3" w:rsidRDefault="00673F93" w:rsidP="00F60CD3">
            <w:pPr>
              <w:pStyle w:val="NoSpacing"/>
              <w:rPr>
                <w:sz w:val="24"/>
                <w:szCs w:val="24"/>
              </w:rPr>
            </w:pPr>
            <w:r w:rsidRPr="00F60CD3">
              <w:rPr>
                <w:sz w:val="24"/>
                <w:szCs w:val="24"/>
              </w:rPr>
              <w:t>0.13</w:t>
            </w:r>
          </w:p>
        </w:tc>
        <w:tc>
          <w:tcPr>
            <w:tcW w:w="816" w:type="pct"/>
            <w:hideMark/>
          </w:tcPr>
          <w:p w14:paraId="4DF244D9" w14:textId="77777777" w:rsidR="00673F93" w:rsidRPr="00F60CD3" w:rsidRDefault="00673F93" w:rsidP="00F60CD3">
            <w:pPr>
              <w:pStyle w:val="NoSpacing"/>
              <w:rPr>
                <w:sz w:val="24"/>
                <w:szCs w:val="24"/>
              </w:rPr>
            </w:pPr>
            <w:r w:rsidRPr="00F60CD3">
              <w:rPr>
                <w:sz w:val="24"/>
                <w:szCs w:val="24"/>
              </w:rPr>
              <w:t>0.154</w:t>
            </w:r>
          </w:p>
        </w:tc>
        <w:tc>
          <w:tcPr>
            <w:tcW w:w="552" w:type="pct"/>
            <w:hideMark/>
          </w:tcPr>
          <w:p w14:paraId="62481957" w14:textId="77777777" w:rsidR="00673F93" w:rsidRPr="00F60CD3" w:rsidRDefault="00673F93" w:rsidP="00F60CD3">
            <w:pPr>
              <w:pStyle w:val="NoSpacing"/>
              <w:rPr>
                <w:sz w:val="24"/>
                <w:szCs w:val="24"/>
              </w:rPr>
            </w:pPr>
            <w:r w:rsidRPr="00F60CD3">
              <w:rPr>
                <w:sz w:val="24"/>
                <w:szCs w:val="24"/>
              </w:rPr>
              <w:t>1.15</w:t>
            </w:r>
          </w:p>
        </w:tc>
        <w:tc>
          <w:tcPr>
            <w:tcW w:w="981" w:type="pct"/>
            <w:hideMark/>
          </w:tcPr>
          <w:p w14:paraId="0300F6A6" w14:textId="77777777" w:rsidR="00673F93" w:rsidRPr="00F60CD3" w:rsidRDefault="00673F93" w:rsidP="00F60CD3">
            <w:pPr>
              <w:pStyle w:val="NoSpacing"/>
              <w:rPr>
                <w:sz w:val="24"/>
                <w:szCs w:val="24"/>
              </w:rPr>
            </w:pPr>
            <w:r w:rsidRPr="00F60CD3">
              <w:rPr>
                <w:sz w:val="24"/>
                <w:szCs w:val="24"/>
              </w:rPr>
              <w:t>0.223</w:t>
            </w:r>
          </w:p>
        </w:tc>
        <w:tc>
          <w:tcPr>
            <w:tcW w:w="552" w:type="pct"/>
            <w:hideMark/>
          </w:tcPr>
          <w:p w14:paraId="57030230" w14:textId="77777777" w:rsidR="00673F93" w:rsidRPr="00F60CD3" w:rsidRDefault="00673F93" w:rsidP="00F60CD3">
            <w:pPr>
              <w:pStyle w:val="NoSpacing"/>
              <w:rPr>
                <w:sz w:val="24"/>
                <w:szCs w:val="24"/>
              </w:rPr>
            </w:pPr>
            <w:r w:rsidRPr="00F60CD3">
              <w:rPr>
                <w:sz w:val="24"/>
                <w:szCs w:val="24"/>
              </w:rPr>
              <w:t>1.36</w:t>
            </w:r>
          </w:p>
        </w:tc>
      </w:tr>
      <w:tr w:rsidR="00F60CD3" w:rsidRPr="00F60CD3" w14:paraId="6D55F4A6" w14:textId="77777777" w:rsidTr="00CF253A">
        <w:tc>
          <w:tcPr>
            <w:tcW w:w="731" w:type="pct"/>
            <w:hideMark/>
          </w:tcPr>
          <w:p w14:paraId="7619B7F6" w14:textId="77777777" w:rsidR="00673F93" w:rsidRPr="0086443F" w:rsidRDefault="00673F93" w:rsidP="00F60CD3">
            <w:pPr>
              <w:pStyle w:val="NoSpacing"/>
              <w:rPr>
                <w:i/>
                <w:iCs/>
                <w:sz w:val="24"/>
                <w:szCs w:val="24"/>
              </w:rPr>
            </w:pPr>
            <w:r w:rsidRPr="0086443F">
              <w:rPr>
                <w:i/>
                <w:iCs/>
                <w:sz w:val="24"/>
                <w:szCs w:val="24"/>
              </w:rPr>
              <w:t>NYSE</w:t>
            </w:r>
          </w:p>
        </w:tc>
        <w:tc>
          <w:tcPr>
            <w:tcW w:w="816" w:type="pct"/>
            <w:hideMark/>
          </w:tcPr>
          <w:p w14:paraId="53B34935" w14:textId="77777777" w:rsidR="00673F93" w:rsidRPr="00F60CD3" w:rsidRDefault="00673F93" w:rsidP="00F60CD3">
            <w:pPr>
              <w:pStyle w:val="NoSpacing"/>
              <w:rPr>
                <w:sz w:val="24"/>
                <w:szCs w:val="24"/>
              </w:rPr>
            </w:pPr>
            <w:r w:rsidRPr="00F60CD3">
              <w:rPr>
                <w:sz w:val="24"/>
                <w:szCs w:val="24"/>
              </w:rPr>
              <w:t>−0.163**</w:t>
            </w:r>
          </w:p>
        </w:tc>
        <w:tc>
          <w:tcPr>
            <w:tcW w:w="552" w:type="pct"/>
            <w:hideMark/>
          </w:tcPr>
          <w:p w14:paraId="200C6560" w14:textId="77777777" w:rsidR="00673F93" w:rsidRPr="00F60CD3" w:rsidRDefault="00673F93" w:rsidP="00F60CD3">
            <w:pPr>
              <w:pStyle w:val="NoSpacing"/>
              <w:rPr>
                <w:sz w:val="24"/>
                <w:szCs w:val="24"/>
              </w:rPr>
            </w:pPr>
            <w:r w:rsidRPr="00F60CD3">
              <w:rPr>
                <w:sz w:val="24"/>
                <w:szCs w:val="24"/>
              </w:rPr>
              <w:t>−2.84</w:t>
            </w:r>
          </w:p>
        </w:tc>
        <w:tc>
          <w:tcPr>
            <w:tcW w:w="816" w:type="pct"/>
            <w:hideMark/>
          </w:tcPr>
          <w:p w14:paraId="1699D5AA" w14:textId="77777777" w:rsidR="00673F93" w:rsidRPr="00F60CD3" w:rsidRDefault="00673F93" w:rsidP="00F60CD3">
            <w:pPr>
              <w:pStyle w:val="NoSpacing"/>
              <w:rPr>
                <w:sz w:val="24"/>
                <w:szCs w:val="24"/>
              </w:rPr>
            </w:pPr>
            <w:r w:rsidRPr="00F60CD3">
              <w:rPr>
                <w:sz w:val="24"/>
                <w:szCs w:val="24"/>
              </w:rPr>
              <w:t>−0.138</w:t>
            </w:r>
          </w:p>
        </w:tc>
        <w:tc>
          <w:tcPr>
            <w:tcW w:w="552" w:type="pct"/>
            <w:hideMark/>
          </w:tcPr>
          <w:p w14:paraId="26A6A0AB" w14:textId="77777777" w:rsidR="00673F93" w:rsidRPr="00F60CD3" w:rsidRDefault="00673F93" w:rsidP="00F60CD3">
            <w:pPr>
              <w:pStyle w:val="NoSpacing"/>
              <w:rPr>
                <w:sz w:val="24"/>
                <w:szCs w:val="24"/>
              </w:rPr>
            </w:pPr>
            <w:r w:rsidRPr="00F60CD3">
              <w:rPr>
                <w:sz w:val="24"/>
                <w:szCs w:val="24"/>
              </w:rPr>
              <w:t>−1.62</w:t>
            </w:r>
          </w:p>
        </w:tc>
        <w:tc>
          <w:tcPr>
            <w:tcW w:w="981" w:type="pct"/>
            <w:hideMark/>
          </w:tcPr>
          <w:p w14:paraId="616E85A7" w14:textId="77777777" w:rsidR="00673F93" w:rsidRPr="00F60CD3" w:rsidRDefault="00673F93" w:rsidP="00F60CD3">
            <w:pPr>
              <w:pStyle w:val="NoSpacing"/>
              <w:rPr>
                <w:sz w:val="24"/>
                <w:szCs w:val="24"/>
              </w:rPr>
            </w:pPr>
            <w:r w:rsidRPr="00F60CD3">
              <w:rPr>
                <w:sz w:val="24"/>
                <w:szCs w:val="24"/>
              </w:rPr>
              <w:t>−0.123</w:t>
            </w:r>
          </w:p>
        </w:tc>
        <w:tc>
          <w:tcPr>
            <w:tcW w:w="552" w:type="pct"/>
            <w:hideMark/>
          </w:tcPr>
          <w:p w14:paraId="680A4716" w14:textId="77777777" w:rsidR="00673F93" w:rsidRPr="00F60CD3" w:rsidRDefault="00673F93" w:rsidP="00F60CD3">
            <w:pPr>
              <w:pStyle w:val="NoSpacing"/>
              <w:rPr>
                <w:sz w:val="24"/>
                <w:szCs w:val="24"/>
              </w:rPr>
            </w:pPr>
            <w:r w:rsidRPr="00F60CD3">
              <w:rPr>
                <w:sz w:val="24"/>
                <w:szCs w:val="24"/>
              </w:rPr>
              <w:t>−1.27</w:t>
            </w:r>
          </w:p>
        </w:tc>
      </w:tr>
      <w:tr w:rsidR="00F60CD3" w:rsidRPr="00F60CD3" w14:paraId="0EEE7A3A" w14:textId="77777777" w:rsidTr="00CF253A">
        <w:tc>
          <w:tcPr>
            <w:tcW w:w="731" w:type="pct"/>
            <w:hideMark/>
          </w:tcPr>
          <w:p w14:paraId="15978675" w14:textId="77777777" w:rsidR="00673F93" w:rsidRPr="0086443F" w:rsidRDefault="00673F93" w:rsidP="00F60CD3">
            <w:pPr>
              <w:pStyle w:val="NoSpacing"/>
              <w:rPr>
                <w:i/>
                <w:iCs/>
                <w:sz w:val="24"/>
                <w:szCs w:val="24"/>
              </w:rPr>
            </w:pPr>
            <w:proofErr w:type="gramStart"/>
            <w:r w:rsidRPr="0086443F">
              <w:rPr>
                <w:i/>
                <w:iCs/>
                <w:sz w:val="24"/>
                <w:szCs w:val="24"/>
              </w:rPr>
              <w:t>CRET(</w:t>
            </w:r>
            <w:proofErr w:type="gramEnd"/>
            <w:r w:rsidRPr="0086443F">
              <w:rPr>
                <w:i/>
                <w:iCs/>
                <w:sz w:val="24"/>
                <w:szCs w:val="24"/>
              </w:rPr>
              <w:t>m‐3, m)</w:t>
            </w:r>
          </w:p>
        </w:tc>
        <w:tc>
          <w:tcPr>
            <w:tcW w:w="816" w:type="pct"/>
            <w:hideMark/>
          </w:tcPr>
          <w:p w14:paraId="710DFD9C" w14:textId="77777777" w:rsidR="00673F93" w:rsidRPr="00F60CD3" w:rsidRDefault="00673F93" w:rsidP="00F60CD3">
            <w:pPr>
              <w:pStyle w:val="NoSpacing"/>
              <w:rPr>
                <w:sz w:val="24"/>
                <w:szCs w:val="24"/>
              </w:rPr>
            </w:pPr>
            <w:r w:rsidRPr="00F60CD3">
              <w:rPr>
                <w:sz w:val="24"/>
                <w:szCs w:val="24"/>
              </w:rPr>
              <w:t>0.037</w:t>
            </w:r>
          </w:p>
        </w:tc>
        <w:tc>
          <w:tcPr>
            <w:tcW w:w="552" w:type="pct"/>
            <w:hideMark/>
          </w:tcPr>
          <w:p w14:paraId="40C731F9" w14:textId="77777777" w:rsidR="00673F93" w:rsidRPr="00F60CD3" w:rsidRDefault="00673F93" w:rsidP="00F60CD3">
            <w:pPr>
              <w:pStyle w:val="NoSpacing"/>
              <w:rPr>
                <w:sz w:val="24"/>
                <w:szCs w:val="24"/>
              </w:rPr>
            </w:pPr>
            <w:r w:rsidRPr="00F60CD3">
              <w:rPr>
                <w:sz w:val="24"/>
                <w:szCs w:val="24"/>
              </w:rPr>
              <w:t>0.54</w:t>
            </w:r>
          </w:p>
        </w:tc>
        <w:tc>
          <w:tcPr>
            <w:tcW w:w="816" w:type="pct"/>
            <w:hideMark/>
          </w:tcPr>
          <w:p w14:paraId="34D4F14E" w14:textId="77777777" w:rsidR="00673F93" w:rsidRPr="00F60CD3" w:rsidRDefault="00673F93" w:rsidP="00F60CD3">
            <w:pPr>
              <w:pStyle w:val="NoSpacing"/>
              <w:rPr>
                <w:sz w:val="24"/>
                <w:szCs w:val="24"/>
              </w:rPr>
            </w:pPr>
            <w:r w:rsidRPr="00F60CD3">
              <w:rPr>
                <w:sz w:val="24"/>
                <w:szCs w:val="24"/>
              </w:rPr>
              <w:t>−0.020</w:t>
            </w:r>
          </w:p>
        </w:tc>
        <w:tc>
          <w:tcPr>
            <w:tcW w:w="552" w:type="pct"/>
            <w:hideMark/>
          </w:tcPr>
          <w:p w14:paraId="6839FAA0" w14:textId="77777777" w:rsidR="00673F93" w:rsidRPr="00F60CD3" w:rsidRDefault="00673F93" w:rsidP="00F60CD3">
            <w:pPr>
              <w:pStyle w:val="NoSpacing"/>
              <w:rPr>
                <w:sz w:val="24"/>
                <w:szCs w:val="24"/>
              </w:rPr>
            </w:pPr>
            <w:r w:rsidRPr="00F60CD3">
              <w:rPr>
                <w:sz w:val="24"/>
                <w:szCs w:val="24"/>
              </w:rPr>
              <w:t>−0.17</w:t>
            </w:r>
          </w:p>
        </w:tc>
        <w:tc>
          <w:tcPr>
            <w:tcW w:w="981" w:type="pct"/>
            <w:hideMark/>
          </w:tcPr>
          <w:p w14:paraId="1350BC4C" w14:textId="77777777" w:rsidR="00673F93" w:rsidRPr="00F60CD3" w:rsidRDefault="00673F93" w:rsidP="00F60CD3">
            <w:pPr>
              <w:pStyle w:val="NoSpacing"/>
              <w:rPr>
                <w:sz w:val="24"/>
                <w:szCs w:val="24"/>
              </w:rPr>
            </w:pPr>
            <w:r w:rsidRPr="00F60CD3">
              <w:rPr>
                <w:sz w:val="24"/>
                <w:szCs w:val="24"/>
              </w:rPr>
              <w:t>−0.066</w:t>
            </w:r>
          </w:p>
        </w:tc>
        <w:tc>
          <w:tcPr>
            <w:tcW w:w="552" w:type="pct"/>
            <w:hideMark/>
          </w:tcPr>
          <w:p w14:paraId="1B545FDE" w14:textId="77777777" w:rsidR="00673F93" w:rsidRPr="00F60CD3" w:rsidRDefault="00673F93" w:rsidP="00F60CD3">
            <w:pPr>
              <w:pStyle w:val="NoSpacing"/>
              <w:rPr>
                <w:sz w:val="24"/>
                <w:szCs w:val="24"/>
              </w:rPr>
            </w:pPr>
            <w:r w:rsidRPr="00F60CD3">
              <w:rPr>
                <w:sz w:val="24"/>
                <w:szCs w:val="24"/>
              </w:rPr>
              <w:t>−0.53</w:t>
            </w:r>
          </w:p>
        </w:tc>
      </w:tr>
      <w:tr w:rsidR="00F60CD3" w:rsidRPr="00F60CD3" w14:paraId="62B58840" w14:textId="77777777" w:rsidTr="00CF253A">
        <w:tc>
          <w:tcPr>
            <w:tcW w:w="731" w:type="pct"/>
            <w:hideMark/>
          </w:tcPr>
          <w:p w14:paraId="6DD3CDD9" w14:textId="77777777" w:rsidR="00673F93" w:rsidRPr="0086443F" w:rsidRDefault="00673F93" w:rsidP="00F60CD3">
            <w:pPr>
              <w:pStyle w:val="NoSpacing"/>
              <w:rPr>
                <w:i/>
                <w:iCs/>
                <w:sz w:val="24"/>
                <w:szCs w:val="24"/>
              </w:rPr>
            </w:pPr>
            <w:r w:rsidRPr="0086443F">
              <w:rPr>
                <w:i/>
                <w:iCs/>
                <w:sz w:val="24"/>
                <w:szCs w:val="24"/>
              </w:rPr>
              <w:t>LOSS</w:t>
            </w:r>
          </w:p>
        </w:tc>
        <w:tc>
          <w:tcPr>
            <w:tcW w:w="816" w:type="pct"/>
            <w:hideMark/>
          </w:tcPr>
          <w:p w14:paraId="718CE24F" w14:textId="77777777" w:rsidR="00673F93" w:rsidRPr="00F60CD3" w:rsidRDefault="00673F93" w:rsidP="00F60CD3">
            <w:pPr>
              <w:pStyle w:val="NoSpacing"/>
              <w:rPr>
                <w:sz w:val="24"/>
                <w:szCs w:val="24"/>
              </w:rPr>
            </w:pPr>
            <w:r w:rsidRPr="00F60CD3">
              <w:rPr>
                <w:sz w:val="24"/>
                <w:szCs w:val="24"/>
              </w:rPr>
              <w:t>0.006</w:t>
            </w:r>
          </w:p>
        </w:tc>
        <w:tc>
          <w:tcPr>
            <w:tcW w:w="552" w:type="pct"/>
            <w:hideMark/>
          </w:tcPr>
          <w:p w14:paraId="44D2E0DE" w14:textId="77777777" w:rsidR="00673F93" w:rsidRPr="00F60CD3" w:rsidRDefault="00673F93" w:rsidP="00F60CD3">
            <w:pPr>
              <w:pStyle w:val="NoSpacing"/>
              <w:rPr>
                <w:sz w:val="24"/>
                <w:szCs w:val="24"/>
              </w:rPr>
            </w:pPr>
            <w:r w:rsidRPr="00F60CD3">
              <w:rPr>
                <w:sz w:val="24"/>
                <w:szCs w:val="24"/>
              </w:rPr>
              <w:t>0.34</w:t>
            </w:r>
          </w:p>
        </w:tc>
        <w:tc>
          <w:tcPr>
            <w:tcW w:w="816" w:type="pct"/>
            <w:hideMark/>
          </w:tcPr>
          <w:p w14:paraId="69097B57" w14:textId="77777777" w:rsidR="00673F93" w:rsidRPr="00F60CD3" w:rsidRDefault="00673F93" w:rsidP="00F60CD3">
            <w:pPr>
              <w:pStyle w:val="NoSpacing"/>
              <w:rPr>
                <w:sz w:val="24"/>
                <w:szCs w:val="24"/>
              </w:rPr>
            </w:pPr>
            <w:r w:rsidRPr="00F60CD3">
              <w:rPr>
                <w:sz w:val="24"/>
                <w:szCs w:val="24"/>
              </w:rPr>
              <w:t>0.044**</w:t>
            </w:r>
          </w:p>
        </w:tc>
        <w:tc>
          <w:tcPr>
            <w:tcW w:w="552" w:type="pct"/>
            <w:hideMark/>
          </w:tcPr>
          <w:p w14:paraId="2BCD9884" w14:textId="77777777" w:rsidR="00673F93" w:rsidRPr="00F60CD3" w:rsidRDefault="00673F93" w:rsidP="00F60CD3">
            <w:pPr>
              <w:pStyle w:val="NoSpacing"/>
              <w:rPr>
                <w:sz w:val="24"/>
                <w:szCs w:val="24"/>
              </w:rPr>
            </w:pPr>
            <w:r w:rsidRPr="00F60CD3">
              <w:rPr>
                <w:sz w:val="24"/>
                <w:szCs w:val="24"/>
              </w:rPr>
              <w:t>2.28</w:t>
            </w:r>
          </w:p>
        </w:tc>
        <w:tc>
          <w:tcPr>
            <w:tcW w:w="981" w:type="pct"/>
            <w:hideMark/>
          </w:tcPr>
          <w:p w14:paraId="0960C69D" w14:textId="77777777" w:rsidR="00673F93" w:rsidRPr="00F60CD3" w:rsidRDefault="00673F93" w:rsidP="00F60CD3">
            <w:pPr>
              <w:pStyle w:val="NoSpacing"/>
              <w:rPr>
                <w:sz w:val="24"/>
                <w:szCs w:val="24"/>
              </w:rPr>
            </w:pPr>
            <w:r w:rsidRPr="00F60CD3">
              <w:rPr>
                <w:sz w:val="24"/>
                <w:szCs w:val="24"/>
              </w:rPr>
              <w:t>0.054**</w:t>
            </w:r>
          </w:p>
        </w:tc>
        <w:tc>
          <w:tcPr>
            <w:tcW w:w="552" w:type="pct"/>
            <w:hideMark/>
          </w:tcPr>
          <w:p w14:paraId="60B03386" w14:textId="77777777" w:rsidR="00673F93" w:rsidRPr="00F60CD3" w:rsidRDefault="00673F93" w:rsidP="00F60CD3">
            <w:pPr>
              <w:pStyle w:val="NoSpacing"/>
              <w:rPr>
                <w:sz w:val="24"/>
                <w:szCs w:val="24"/>
              </w:rPr>
            </w:pPr>
            <w:r w:rsidRPr="00F60CD3">
              <w:rPr>
                <w:sz w:val="24"/>
                <w:szCs w:val="24"/>
              </w:rPr>
              <w:t>2.90</w:t>
            </w:r>
          </w:p>
        </w:tc>
      </w:tr>
      <w:tr w:rsidR="00F60CD3" w:rsidRPr="00F60CD3" w14:paraId="5E474EAD" w14:textId="77777777" w:rsidTr="00CF253A">
        <w:tc>
          <w:tcPr>
            <w:tcW w:w="731" w:type="pct"/>
            <w:hideMark/>
          </w:tcPr>
          <w:p w14:paraId="6938E0A8" w14:textId="77777777" w:rsidR="00F60CD3" w:rsidRPr="00F60CD3" w:rsidRDefault="00F60CD3" w:rsidP="00F60CD3">
            <w:pPr>
              <w:pStyle w:val="NoSpacing"/>
              <w:rPr>
                <w:sz w:val="24"/>
                <w:szCs w:val="24"/>
              </w:rPr>
            </w:pPr>
            <w:r w:rsidRPr="00F60CD3">
              <w:rPr>
                <w:sz w:val="24"/>
                <w:szCs w:val="24"/>
              </w:rPr>
              <w:t>Year FE</w:t>
            </w:r>
          </w:p>
        </w:tc>
        <w:tc>
          <w:tcPr>
            <w:tcW w:w="816" w:type="pct"/>
            <w:hideMark/>
          </w:tcPr>
          <w:p w14:paraId="460F6BF7" w14:textId="77777777" w:rsidR="00F60CD3" w:rsidRPr="00F60CD3" w:rsidRDefault="00F60CD3" w:rsidP="00F60CD3">
            <w:pPr>
              <w:pStyle w:val="NoSpacing"/>
              <w:rPr>
                <w:sz w:val="24"/>
                <w:szCs w:val="24"/>
              </w:rPr>
            </w:pPr>
            <w:r w:rsidRPr="00F60CD3">
              <w:rPr>
                <w:sz w:val="24"/>
                <w:szCs w:val="24"/>
              </w:rPr>
              <w:t>Yes</w:t>
            </w:r>
          </w:p>
        </w:tc>
        <w:tc>
          <w:tcPr>
            <w:tcW w:w="552" w:type="pct"/>
          </w:tcPr>
          <w:p w14:paraId="58ADC1E3" w14:textId="78B9E3AB" w:rsidR="00F60CD3" w:rsidRPr="00F60CD3" w:rsidRDefault="00F60CD3" w:rsidP="00F60CD3">
            <w:pPr>
              <w:pStyle w:val="NoSpacing"/>
              <w:rPr>
                <w:sz w:val="24"/>
                <w:szCs w:val="24"/>
              </w:rPr>
            </w:pPr>
          </w:p>
        </w:tc>
        <w:tc>
          <w:tcPr>
            <w:tcW w:w="816" w:type="pct"/>
          </w:tcPr>
          <w:p w14:paraId="1CF41588" w14:textId="0DC4987C" w:rsidR="00F60CD3" w:rsidRPr="00F60CD3" w:rsidRDefault="00F60CD3" w:rsidP="00F60CD3">
            <w:pPr>
              <w:pStyle w:val="NoSpacing"/>
              <w:rPr>
                <w:sz w:val="24"/>
                <w:szCs w:val="24"/>
              </w:rPr>
            </w:pPr>
            <w:r w:rsidRPr="00F60CD3">
              <w:rPr>
                <w:sz w:val="24"/>
                <w:szCs w:val="24"/>
              </w:rPr>
              <w:t>Yes</w:t>
            </w:r>
          </w:p>
        </w:tc>
        <w:tc>
          <w:tcPr>
            <w:tcW w:w="552" w:type="pct"/>
            <w:hideMark/>
          </w:tcPr>
          <w:p w14:paraId="5AEAC3BE" w14:textId="77777777" w:rsidR="00F60CD3" w:rsidRPr="00F60CD3" w:rsidRDefault="00F60CD3" w:rsidP="00F60CD3">
            <w:pPr>
              <w:pStyle w:val="NoSpacing"/>
              <w:rPr>
                <w:sz w:val="24"/>
                <w:szCs w:val="24"/>
              </w:rPr>
            </w:pPr>
          </w:p>
        </w:tc>
        <w:tc>
          <w:tcPr>
            <w:tcW w:w="981" w:type="pct"/>
            <w:hideMark/>
          </w:tcPr>
          <w:p w14:paraId="7B6438D8" w14:textId="35BB339E" w:rsidR="00F60CD3" w:rsidRPr="00F60CD3" w:rsidRDefault="00F60CD3" w:rsidP="00F60CD3">
            <w:pPr>
              <w:pStyle w:val="NoSpacing"/>
              <w:rPr>
                <w:sz w:val="24"/>
                <w:szCs w:val="24"/>
              </w:rPr>
            </w:pPr>
            <w:r w:rsidRPr="00F60CD3">
              <w:rPr>
                <w:sz w:val="24"/>
                <w:szCs w:val="24"/>
              </w:rPr>
              <w:t>Yes</w:t>
            </w:r>
          </w:p>
        </w:tc>
        <w:tc>
          <w:tcPr>
            <w:tcW w:w="552" w:type="pct"/>
            <w:hideMark/>
          </w:tcPr>
          <w:p w14:paraId="4EE5BB17" w14:textId="77777777" w:rsidR="00F60CD3" w:rsidRPr="00F60CD3" w:rsidRDefault="00F60CD3" w:rsidP="00F60CD3">
            <w:pPr>
              <w:pStyle w:val="NoSpacing"/>
              <w:rPr>
                <w:sz w:val="24"/>
                <w:szCs w:val="24"/>
              </w:rPr>
            </w:pPr>
          </w:p>
        </w:tc>
      </w:tr>
      <w:tr w:rsidR="00F60CD3" w:rsidRPr="00F60CD3" w14:paraId="7BEAD535" w14:textId="77777777" w:rsidTr="00CF253A">
        <w:tc>
          <w:tcPr>
            <w:tcW w:w="731" w:type="pct"/>
            <w:hideMark/>
          </w:tcPr>
          <w:p w14:paraId="70A21D35" w14:textId="77777777" w:rsidR="00F60CD3" w:rsidRPr="00F60CD3" w:rsidRDefault="00F60CD3" w:rsidP="00F60CD3">
            <w:pPr>
              <w:pStyle w:val="NoSpacing"/>
              <w:rPr>
                <w:sz w:val="24"/>
                <w:szCs w:val="24"/>
              </w:rPr>
            </w:pPr>
            <w:r w:rsidRPr="00F60CD3">
              <w:rPr>
                <w:sz w:val="24"/>
                <w:szCs w:val="24"/>
              </w:rPr>
              <w:t>Month FE</w:t>
            </w:r>
          </w:p>
        </w:tc>
        <w:tc>
          <w:tcPr>
            <w:tcW w:w="816" w:type="pct"/>
            <w:hideMark/>
          </w:tcPr>
          <w:p w14:paraId="16477CB5" w14:textId="77777777" w:rsidR="00F60CD3" w:rsidRPr="00F60CD3" w:rsidRDefault="00F60CD3" w:rsidP="00F60CD3">
            <w:pPr>
              <w:pStyle w:val="NoSpacing"/>
              <w:rPr>
                <w:sz w:val="24"/>
                <w:szCs w:val="24"/>
              </w:rPr>
            </w:pPr>
            <w:r w:rsidRPr="00F60CD3">
              <w:rPr>
                <w:sz w:val="24"/>
                <w:szCs w:val="24"/>
              </w:rPr>
              <w:t>Yes</w:t>
            </w:r>
          </w:p>
        </w:tc>
        <w:tc>
          <w:tcPr>
            <w:tcW w:w="552" w:type="pct"/>
          </w:tcPr>
          <w:p w14:paraId="4F87E85F" w14:textId="0E600964" w:rsidR="00F60CD3" w:rsidRPr="00F60CD3" w:rsidRDefault="00F60CD3" w:rsidP="00F60CD3">
            <w:pPr>
              <w:pStyle w:val="NoSpacing"/>
              <w:rPr>
                <w:sz w:val="24"/>
                <w:szCs w:val="24"/>
              </w:rPr>
            </w:pPr>
          </w:p>
        </w:tc>
        <w:tc>
          <w:tcPr>
            <w:tcW w:w="816" w:type="pct"/>
          </w:tcPr>
          <w:p w14:paraId="2BEA5C54" w14:textId="4A1A865E" w:rsidR="00F60CD3" w:rsidRPr="00F60CD3" w:rsidRDefault="00F60CD3" w:rsidP="00F60CD3">
            <w:pPr>
              <w:pStyle w:val="NoSpacing"/>
              <w:rPr>
                <w:sz w:val="24"/>
                <w:szCs w:val="24"/>
              </w:rPr>
            </w:pPr>
            <w:r w:rsidRPr="00F60CD3">
              <w:rPr>
                <w:sz w:val="24"/>
                <w:szCs w:val="24"/>
              </w:rPr>
              <w:t>Yes</w:t>
            </w:r>
          </w:p>
        </w:tc>
        <w:tc>
          <w:tcPr>
            <w:tcW w:w="552" w:type="pct"/>
            <w:hideMark/>
          </w:tcPr>
          <w:p w14:paraId="58E4D7DC" w14:textId="77777777" w:rsidR="00F60CD3" w:rsidRPr="00F60CD3" w:rsidRDefault="00F60CD3" w:rsidP="00F60CD3">
            <w:pPr>
              <w:pStyle w:val="NoSpacing"/>
              <w:rPr>
                <w:sz w:val="24"/>
                <w:szCs w:val="24"/>
              </w:rPr>
            </w:pPr>
          </w:p>
        </w:tc>
        <w:tc>
          <w:tcPr>
            <w:tcW w:w="981" w:type="pct"/>
            <w:hideMark/>
          </w:tcPr>
          <w:p w14:paraId="5E39E87D" w14:textId="69B80BC3" w:rsidR="00F60CD3" w:rsidRPr="00F60CD3" w:rsidRDefault="00F60CD3" w:rsidP="00F60CD3">
            <w:pPr>
              <w:pStyle w:val="NoSpacing"/>
              <w:rPr>
                <w:sz w:val="24"/>
                <w:szCs w:val="24"/>
              </w:rPr>
            </w:pPr>
            <w:r w:rsidRPr="00F60CD3">
              <w:rPr>
                <w:sz w:val="24"/>
                <w:szCs w:val="24"/>
              </w:rPr>
              <w:t>Yes</w:t>
            </w:r>
          </w:p>
        </w:tc>
        <w:tc>
          <w:tcPr>
            <w:tcW w:w="552" w:type="pct"/>
            <w:hideMark/>
          </w:tcPr>
          <w:p w14:paraId="6E98EDE1" w14:textId="77777777" w:rsidR="00F60CD3" w:rsidRPr="00F60CD3" w:rsidRDefault="00F60CD3" w:rsidP="00F60CD3">
            <w:pPr>
              <w:pStyle w:val="NoSpacing"/>
              <w:rPr>
                <w:sz w:val="24"/>
                <w:szCs w:val="24"/>
              </w:rPr>
            </w:pPr>
          </w:p>
        </w:tc>
      </w:tr>
      <w:tr w:rsidR="00F60CD3" w:rsidRPr="00F60CD3" w14:paraId="068F51F0" w14:textId="77777777" w:rsidTr="00CF253A">
        <w:tc>
          <w:tcPr>
            <w:tcW w:w="731" w:type="pct"/>
            <w:hideMark/>
          </w:tcPr>
          <w:p w14:paraId="7B0257D9" w14:textId="77777777" w:rsidR="00F60CD3" w:rsidRPr="00F60CD3" w:rsidRDefault="00F60CD3" w:rsidP="00F60CD3">
            <w:pPr>
              <w:pStyle w:val="NoSpacing"/>
              <w:rPr>
                <w:sz w:val="24"/>
                <w:szCs w:val="24"/>
              </w:rPr>
            </w:pPr>
            <w:r w:rsidRPr="00F60CD3">
              <w:rPr>
                <w:sz w:val="24"/>
                <w:szCs w:val="24"/>
              </w:rPr>
              <w:t>Weekday FE</w:t>
            </w:r>
          </w:p>
        </w:tc>
        <w:tc>
          <w:tcPr>
            <w:tcW w:w="816" w:type="pct"/>
            <w:hideMark/>
          </w:tcPr>
          <w:p w14:paraId="23F11AF1" w14:textId="77777777" w:rsidR="00F60CD3" w:rsidRPr="00F60CD3" w:rsidRDefault="00F60CD3" w:rsidP="00F60CD3">
            <w:pPr>
              <w:pStyle w:val="NoSpacing"/>
              <w:rPr>
                <w:sz w:val="24"/>
                <w:szCs w:val="24"/>
              </w:rPr>
            </w:pPr>
            <w:r w:rsidRPr="00F60CD3">
              <w:rPr>
                <w:sz w:val="24"/>
                <w:szCs w:val="24"/>
              </w:rPr>
              <w:t>Yes</w:t>
            </w:r>
          </w:p>
        </w:tc>
        <w:tc>
          <w:tcPr>
            <w:tcW w:w="552" w:type="pct"/>
          </w:tcPr>
          <w:p w14:paraId="73A353CF" w14:textId="1554F4F5" w:rsidR="00F60CD3" w:rsidRPr="00F60CD3" w:rsidRDefault="00F60CD3" w:rsidP="00F60CD3">
            <w:pPr>
              <w:pStyle w:val="NoSpacing"/>
              <w:rPr>
                <w:sz w:val="24"/>
                <w:szCs w:val="24"/>
              </w:rPr>
            </w:pPr>
          </w:p>
        </w:tc>
        <w:tc>
          <w:tcPr>
            <w:tcW w:w="816" w:type="pct"/>
          </w:tcPr>
          <w:p w14:paraId="5BD3183F" w14:textId="76A19C43" w:rsidR="00F60CD3" w:rsidRPr="00F60CD3" w:rsidRDefault="00F60CD3" w:rsidP="00F60CD3">
            <w:pPr>
              <w:pStyle w:val="NoSpacing"/>
              <w:rPr>
                <w:sz w:val="24"/>
                <w:szCs w:val="24"/>
              </w:rPr>
            </w:pPr>
            <w:r w:rsidRPr="00F60CD3">
              <w:rPr>
                <w:sz w:val="24"/>
                <w:szCs w:val="24"/>
              </w:rPr>
              <w:t>Yes</w:t>
            </w:r>
          </w:p>
        </w:tc>
        <w:tc>
          <w:tcPr>
            <w:tcW w:w="552" w:type="pct"/>
            <w:hideMark/>
          </w:tcPr>
          <w:p w14:paraId="4C560007" w14:textId="77777777" w:rsidR="00F60CD3" w:rsidRPr="00F60CD3" w:rsidRDefault="00F60CD3" w:rsidP="00F60CD3">
            <w:pPr>
              <w:pStyle w:val="NoSpacing"/>
              <w:rPr>
                <w:sz w:val="24"/>
                <w:szCs w:val="24"/>
              </w:rPr>
            </w:pPr>
          </w:p>
        </w:tc>
        <w:tc>
          <w:tcPr>
            <w:tcW w:w="981" w:type="pct"/>
            <w:hideMark/>
          </w:tcPr>
          <w:p w14:paraId="1A4BEFE7" w14:textId="54A83019" w:rsidR="00F60CD3" w:rsidRPr="00F60CD3" w:rsidRDefault="00F60CD3" w:rsidP="00F60CD3">
            <w:pPr>
              <w:pStyle w:val="NoSpacing"/>
              <w:rPr>
                <w:sz w:val="24"/>
                <w:szCs w:val="24"/>
              </w:rPr>
            </w:pPr>
            <w:r w:rsidRPr="00F60CD3">
              <w:rPr>
                <w:sz w:val="24"/>
                <w:szCs w:val="24"/>
              </w:rPr>
              <w:t>Yes</w:t>
            </w:r>
          </w:p>
        </w:tc>
        <w:tc>
          <w:tcPr>
            <w:tcW w:w="552" w:type="pct"/>
            <w:hideMark/>
          </w:tcPr>
          <w:p w14:paraId="6E3F1ED9" w14:textId="77777777" w:rsidR="00F60CD3" w:rsidRPr="00F60CD3" w:rsidRDefault="00F60CD3" w:rsidP="00F60CD3">
            <w:pPr>
              <w:pStyle w:val="NoSpacing"/>
              <w:rPr>
                <w:sz w:val="24"/>
                <w:szCs w:val="24"/>
              </w:rPr>
            </w:pPr>
          </w:p>
        </w:tc>
      </w:tr>
      <w:tr w:rsidR="00F60CD3" w:rsidRPr="00F60CD3" w14:paraId="7C1CF6CF" w14:textId="77777777" w:rsidTr="00CF253A">
        <w:tc>
          <w:tcPr>
            <w:tcW w:w="731" w:type="pct"/>
            <w:hideMark/>
          </w:tcPr>
          <w:p w14:paraId="43471544" w14:textId="77777777" w:rsidR="00F60CD3" w:rsidRPr="00F60CD3" w:rsidRDefault="00F60CD3" w:rsidP="00F60CD3">
            <w:pPr>
              <w:pStyle w:val="NoSpacing"/>
              <w:rPr>
                <w:sz w:val="24"/>
                <w:szCs w:val="24"/>
              </w:rPr>
            </w:pPr>
            <w:r w:rsidRPr="00F60CD3">
              <w:rPr>
                <w:sz w:val="24"/>
                <w:szCs w:val="24"/>
              </w:rPr>
              <w:t>Firm FE</w:t>
            </w:r>
          </w:p>
        </w:tc>
        <w:tc>
          <w:tcPr>
            <w:tcW w:w="816" w:type="pct"/>
            <w:hideMark/>
          </w:tcPr>
          <w:p w14:paraId="1907AA92" w14:textId="77777777" w:rsidR="00F60CD3" w:rsidRPr="00F60CD3" w:rsidRDefault="00F60CD3" w:rsidP="00F60CD3">
            <w:pPr>
              <w:pStyle w:val="NoSpacing"/>
              <w:rPr>
                <w:sz w:val="24"/>
                <w:szCs w:val="24"/>
              </w:rPr>
            </w:pPr>
            <w:r w:rsidRPr="00F60CD3">
              <w:rPr>
                <w:sz w:val="24"/>
                <w:szCs w:val="24"/>
              </w:rPr>
              <w:t>Yes</w:t>
            </w:r>
          </w:p>
        </w:tc>
        <w:tc>
          <w:tcPr>
            <w:tcW w:w="552" w:type="pct"/>
          </w:tcPr>
          <w:p w14:paraId="562766D9" w14:textId="7746143F" w:rsidR="00F60CD3" w:rsidRPr="00F60CD3" w:rsidRDefault="00F60CD3" w:rsidP="00F60CD3">
            <w:pPr>
              <w:pStyle w:val="NoSpacing"/>
              <w:rPr>
                <w:sz w:val="24"/>
                <w:szCs w:val="24"/>
              </w:rPr>
            </w:pPr>
          </w:p>
        </w:tc>
        <w:tc>
          <w:tcPr>
            <w:tcW w:w="816" w:type="pct"/>
          </w:tcPr>
          <w:p w14:paraId="40A17B6F" w14:textId="30F4A78F" w:rsidR="00F60CD3" w:rsidRPr="00F60CD3" w:rsidRDefault="00F60CD3" w:rsidP="00F60CD3">
            <w:pPr>
              <w:pStyle w:val="NoSpacing"/>
              <w:rPr>
                <w:sz w:val="24"/>
                <w:szCs w:val="24"/>
              </w:rPr>
            </w:pPr>
            <w:r w:rsidRPr="00F60CD3">
              <w:rPr>
                <w:sz w:val="24"/>
                <w:szCs w:val="24"/>
              </w:rPr>
              <w:t>Yes</w:t>
            </w:r>
          </w:p>
        </w:tc>
        <w:tc>
          <w:tcPr>
            <w:tcW w:w="552" w:type="pct"/>
            <w:hideMark/>
          </w:tcPr>
          <w:p w14:paraId="0E091AAF" w14:textId="77777777" w:rsidR="00F60CD3" w:rsidRPr="00F60CD3" w:rsidRDefault="00F60CD3" w:rsidP="00F60CD3">
            <w:pPr>
              <w:pStyle w:val="NoSpacing"/>
              <w:rPr>
                <w:sz w:val="24"/>
                <w:szCs w:val="24"/>
              </w:rPr>
            </w:pPr>
          </w:p>
        </w:tc>
        <w:tc>
          <w:tcPr>
            <w:tcW w:w="981" w:type="pct"/>
            <w:hideMark/>
          </w:tcPr>
          <w:p w14:paraId="0E515862" w14:textId="534A1D60" w:rsidR="00F60CD3" w:rsidRPr="00F60CD3" w:rsidRDefault="00F60CD3" w:rsidP="00F60CD3">
            <w:pPr>
              <w:pStyle w:val="NoSpacing"/>
              <w:rPr>
                <w:sz w:val="24"/>
                <w:szCs w:val="24"/>
              </w:rPr>
            </w:pPr>
            <w:r w:rsidRPr="00F60CD3">
              <w:rPr>
                <w:sz w:val="24"/>
                <w:szCs w:val="24"/>
              </w:rPr>
              <w:t>Yes</w:t>
            </w:r>
          </w:p>
        </w:tc>
        <w:tc>
          <w:tcPr>
            <w:tcW w:w="552" w:type="pct"/>
            <w:hideMark/>
          </w:tcPr>
          <w:p w14:paraId="61B872E7" w14:textId="77777777" w:rsidR="00F60CD3" w:rsidRPr="00F60CD3" w:rsidRDefault="00F60CD3" w:rsidP="00F60CD3">
            <w:pPr>
              <w:pStyle w:val="NoSpacing"/>
              <w:rPr>
                <w:sz w:val="24"/>
                <w:szCs w:val="24"/>
              </w:rPr>
            </w:pPr>
          </w:p>
        </w:tc>
      </w:tr>
      <w:tr w:rsidR="00F60CD3" w:rsidRPr="00F60CD3" w14:paraId="5695AFAF" w14:textId="77777777" w:rsidTr="00CF253A">
        <w:tc>
          <w:tcPr>
            <w:tcW w:w="731" w:type="pct"/>
            <w:hideMark/>
          </w:tcPr>
          <w:p w14:paraId="7E355CCE" w14:textId="77777777" w:rsidR="00F60CD3" w:rsidRPr="00F60CD3" w:rsidRDefault="00F60CD3" w:rsidP="00F60CD3">
            <w:pPr>
              <w:pStyle w:val="NoSpacing"/>
              <w:rPr>
                <w:sz w:val="24"/>
                <w:szCs w:val="24"/>
              </w:rPr>
            </w:pPr>
            <w:r w:rsidRPr="00F60CD3">
              <w:rPr>
                <w:sz w:val="24"/>
                <w:szCs w:val="24"/>
              </w:rPr>
              <w:t>Observations</w:t>
            </w:r>
          </w:p>
        </w:tc>
        <w:tc>
          <w:tcPr>
            <w:tcW w:w="816" w:type="pct"/>
            <w:hideMark/>
          </w:tcPr>
          <w:p w14:paraId="6036438B" w14:textId="77777777" w:rsidR="00F60CD3" w:rsidRPr="00F60CD3" w:rsidRDefault="00F60CD3" w:rsidP="00F60CD3">
            <w:pPr>
              <w:pStyle w:val="NoSpacing"/>
              <w:rPr>
                <w:sz w:val="24"/>
                <w:szCs w:val="24"/>
              </w:rPr>
            </w:pPr>
            <w:r w:rsidRPr="00F60CD3">
              <w:rPr>
                <w:sz w:val="24"/>
                <w:szCs w:val="24"/>
              </w:rPr>
              <w:t>9,517</w:t>
            </w:r>
          </w:p>
        </w:tc>
        <w:tc>
          <w:tcPr>
            <w:tcW w:w="552" w:type="pct"/>
          </w:tcPr>
          <w:p w14:paraId="1CCA1D51" w14:textId="5683AC65" w:rsidR="00F60CD3" w:rsidRPr="00F60CD3" w:rsidRDefault="00F60CD3" w:rsidP="00F60CD3">
            <w:pPr>
              <w:pStyle w:val="NoSpacing"/>
              <w:rPr>
                <w:sz w:val="24"/>
                <w:szCs w:val="24"/>
              </w:rPr>
            </w:pPr>
          </w:p>
        </w:tc>
        <w:tc>
          <w:tcPr>
            <w:tcW w:w="816" w:type="pct"/>
          </w:tcPr>
          <w:p w14:paraId="10D35C88" w14:textId="34CCDE1C" w:rsidR="00F60CD3" w:rsidRPr="00F60CD3" w:rsidRDefault="00F60CD3" w:rsidP="00F60CD3">
            <w:pPr>
              <w:pStyle w:val="NoSpacing"/>
              <w:rPr>
                <w:sz w:val="24"/>
                <w:szCs w:val="24"/>
              </w:rPr>
            </w:pPr>
            <w:r w:rsidRPr="00F60CD3">
              <w:rPr>
                <w:sz w:val="24"/>
                <w:szCs w:val="24"/>
              </w:rPr>
              <w:t>9,517</w:t>
            </w:r>
          </w:p>
        </w:tc>
        <w:tc>
          <w:tcPr>
            <w:tcW w:w="552" w:type="pct"/>
            <w:hideMark/>
          </w:tcPr>
          <w:p w14:paraId="1791986A" w14:textId="77777777" w:rsidR="00F60CD3" w:rsidRPr="00F60CD3" w:rsidRDefault="00F60CD3" w:rsidP="00F60CD3">
            <w:pPr>
              <w:pStyle w:val="NoSpacing"/>
              <w:rPr>
                <w:sz w:val="24"/>
                <w:szCs w:val="24"/>
              </w:rPr>
            </w:pPr>
          </w:p>
        </w:tc>
        <w:tc>
          <w:tcPr>
            <w:tcW w:w="981" w:type="pct"/>
            <w:hideMark/>
          </w:tcPr>
          <w:p w14:paraId="4790C72A" w14:textId="5D55D419" w:rsidR="00F60CD3" w:rsidRPr="00F60CD3" w:rsidRDefault="00F60CD3" w:rsidP="00F60CD3">
            <w:pPr>
              <w:pStyle w:val="NoSpacing"/>
              <w:rPr>
                <w:sz w:val="24"/>
                <w:szCs w:val="24"/>
              </w:rPr>
            </w:pPr>
            <w:r w:rsidRPr="00F60CD3">
              <w:rPr>
                <w:sz w:val="24"/>
                <w:szCs w:val="24"/>
              </w:rPr>
              <w:t>9,517</w:t>
            </w:r>
          </w:p>
        </w:tc>
        <w:tc>
          <w:tcPr>
            <w:tcW w:w="552" w:type="pct"/>
            <w:hideMark/>
          </w:tcPr>
          <w:p w14:paraId="183579FD" w14:textId="77777777" w:rsidR="00F60CD3" w:rsidRPr="00F60CD3" w:rsidRDefault="00F60CD3" w:rsidP="00F60CD3">
            <w:pPr>
              <w:pStyle w:val="NoSpacing"/>
              <w:rPr>
                <w:sz w:val="24"/>
                <w:szCs w:val="24"/>
              </w:rPr>
            </w:pPr>
          </w:p>
        </w:tc>
      </w:tr>
      <w:tr w:rsidR="00F60CD3" w:rsidRPr="00F60CD3" w14:paraId="2CED57A3" w14:textId="77777777" w:rsidTr="00CF253A">
        <w:tc>
          <w:tcPr>
            <w:tcW w:w="731" w:type="pct"/>
            <w:hideMark/>
          </w:tcPr>
          <w:p w14:paraId="47819F12" w14:textId="77777777" w:rsidR="00F60CD3" w:rsidRPr="00F60CD3" w:rsidRDefault="00F60CD3" w:rsidP="00F60CD3">
            <w:pPr>
              <w:pStyle w:val="NoSpacing"/>
              <w:rPr>
                <w:sz w:val="24"/>
                <w:szCs w:val="24"/>
              </w:rPr>
            </w:pPr>
            <w:r w:rsidRPr="00F60CD3">
              <w:rPr>
                <w:sz w:val="24"/>
                <w:szCs w:val="24"/>
              </w:rPr>
              <w:t>Adj. R</w:t>
            </w:r>
            <w:r w:rsidRPr="00F60CD3">
              <w:rPr>
                <w:sz w:val="24"/>
                <w:szCs w:val="24"/>
                <w:vertAlign w:val="superscript"/>
              </w:rPr>
              <w:t>2</w:t>
            </w:r>
          </w:p>
        </w:tc>
        <w:tc>
          <w:tcPr>
            <w:tcW w:w="816" w:type="pct"/>
            <w:hideMark/>
          </w:tcPr>
          <w:p w14:paraId="52C04EDA" w14:textId="77777777" w:rsidR="00F60CD3" w:rsidRPr="00F60CD3" w:rsidRDefault="00F60CD3" w:rsidP="00F60CD3">
            <w:pPr>
              <w:pStyle w:val="NoSpacing"/>
              <w:rPr>
                <w:sz w:val="24"/>
                <w:szCs w:val="24"/>
              </w:rPr>
            </w:pPr>
            <w:r w:rsidRPr="00F60CD3">
              <w:rPr>
                <w:sz w:val="24"/>
                <w:szCs w:val="24"/>
              </w:rPr>
              <w:t>0.602</w:t>
            </w:r>
          </w:p>
        </w:tc>
        <w:tc>
          <w:tcPr>
            <w:tcW w:w="552" w:type="pct"/>
          </w:tcPr>
          <w:p w14:paraId="369DEED1" w14:textId="1479941B" w:rsidR="00F60CD3" w:rsidRPr="00F60CD3" w:rsidRDefault="00F60CD3" w:rsidP="00F60CD3">
            <w:pPr>
              <w:pStyle w:val="NoSpacing"/>
              <w:rPr>
                <w:sz w:val="24"/>
                <w:szCs w:val="24"/>
              </w:rPr>
            </w:pPr>
          </w:p>
        </w:tc>
        <w:tc>
          <w:tcPr>
            <w:tcW w:w="816" w:type="pct"/>
          </w:tcPr>
          <w:p w14:paraId="63DF97CC" w14:textId="3271A4C0" w:rsidR="00F60CD3" w:rsidRPr="00F60CD3" w:rsidRDefault="00F60CD3" w:rsidP="00F60CD3">
            <w:pPr>
              <w:pStyle w:val="NoSpacing"/>
              <w:rPr>
                <w:sz w:val="24"/>
                <w:szCs w:val="24"/>
              </w:rPr>
            </w:pPr>
            <w:r w:rsidRPr="00F60CD3">
              <w:rPr>
                <w:sz w:val="24"/>
                <w:szCs w:val="24"/>
              </w:rPr>
              <w:t>0.713</w:t>
            </w:r>
          </w:p>
        </w:tc>
        <w:tc>
          <w:tcPr>
            <w:tcW w:w="552" w:type="pct"/>
            <w:hideMark/>
          </w:tcPr>
          <w:p w14:paraId="13CF5F14" w14:textId="77777777" w:rsidR="00F60CD3" w:rsidRPr="00F60CD3" w:rsidRDefault="00F60CD3" w:rsidP="00F60CD3">
            <w:pPr>
              <w:pStyle w:val="NoSpacing"/>
              <w:rPr>
                <w:sz w:val="24"/>
                <w:szCs w:val="24"/>
              </w:rPr>
            </w:pPr>
          </w:p>
        </w:tc>
        <w:tc>
          <w:tcPr>
            <w:tcW w:w="981" w:type="pct"/>
            <w:hideMark/>
          </w:tcPr>
          <w:p w14:paraId="157F404F" w14:textId="40B6B652" w:rsidR="00F60CD3" w:rsidRPr="00F60CD3" w:rsidRDefault="00F60CD3" w:rsidP="00F60CD3">
            <w:pPr>
              <w:pStyle w:val="NoSpacing"/>
              <w:rPr>
                <w:sz w:val="24"/>
                <w:szCs w:val="24"/>
              </w:rPr>
            </w:pPr>
            <w:r w:rsidRPr="00F60CD3">
              <w:rPr>
                <w:sz w:val="24"/>
                <w:szCs w:val="24"/>
              </w:rPr>
              <w:t>0.751</w:t>
            </w:r>
          </w:p>
        </w:tc>
        <w:tc>
          <w:tcPr>
            <w:tcW w:w="552" w:type="pct"/>
            <w:hideMark/>
          </w:tcPr>
          <w:p w14:paraId="4DD2D976" w14:textId="77777777" w:rsidR="00F60CD3" w:rsidRPr="00F60CD3" w:rsidRDefault="00F60CD3" w:rsidP="00F60CD3">
            <w:pPr>
              <w:pStyle w:val="NoSpacing"/>
              <w:rPr>
                <w:sz w:val="24"/>
                <w:szCs w:val="24"/>
              </w:rPr>
            </w:pPr>
          </w:p>
        </w:tc>
      </w:tr>
    </w:tbl>
    <w:p w14:paraId="2847E4E7" w14:textId="6CE8C1E2" w:rsidR="00673F93" w:rsidRPr="00673F93" w:rsidRDefault="00673F93" w:rsidP="00CF253A">
      <w:pPr>
        <w:pStyle w:val="NoSpacing"/>
      </w:pPr>
      <w:r w:rsidRPr="00673F93">
        <w:t>This table reports the regression results of CSR and requests for new 10‐K filings. The sample period is from 2003 to 2010. Coefficients are estimated based on the model presented in Equation (</w:t>
      </w:r>
      <w:hyperlink r:id="rId46" w:anchor="bib5" w:tooltip="5" w:history="1">
        <w:r w:rsidRPr="00673F93">
          <w:rPr>
            <w:rStyle w:val="Hyperlink"/>
            <w:rFonts w:cstheme="minorHAnsi"/>
            <w:sz w:val="24"/>
            <w:szCs w:val="24"/>
          </w:rPr>
          <w:t>5</w:t>
        </w:r>
      </w:hyperlink>
      <w:r w:rsidRPr="00673F93">
        <w:t>). The dependent variable is 10‐K requests on the filing date (</w:t>
      </w:r>
      <w:r w:rsidRPr="00673F93">
        <w:rPr>
          <w:i/>
          <w:iCs/>
        </w:rPr>
        <w:t>LOG(EDGAR_1)</w:t>
      </w:r>
      <w:r w:rsidRPr="00673F93">
        <w:t>), in a 3‐day window beginning from the filing date (</w:t>
      </w:r>
      <w:r w:rsidRPr="00673F93">
        <w:rPr>
          <w:i/>
          <w:iCs/>
        </w:rPr>
        <w:t>LOG(EDGAR_3)</w:t>
      </w:r>
      <w:r w:rsidRPr="00673F93">
        <w:t>), and in a 1‐week window starting from the filing date (</w:t>
      </w:r>
      <w:r w:rsidRPr="00673F93">
        <w:rPr>
          <w:i/>
          <w:iCs/>
        </w:rPr>
        <w:t>LOG(EDGAR_1WK)</w:t>
      </w:r>
      <w:r w:rsidRPr="00673F93">
        <w:t>). The main variable of interest is CSR score (</w:t>
      </w:r>
      <w:r w:rsidRPr="00673F93">
        <w:rPr>
          <w:i/>
          <w:iCs/>
        </w:rPr>
        <w:t>CSR</w:t>
      </w:r>
      <w:r w:rsidRPr="00673F93">
        <w:t>). Independent variables generally lag dependent variables by one year as described in Equation (</w:t>
      </w:r>
      <w:hyperlink r:id="rId47" w:anchor="bib5" w:tooltip="5" w:history="1">
        <w:r w:rsidRPr="00673F93">
          <w:rPr>
            <w:rStyle w:val="Hyperlink"/>
            <w:rFonts w:cstheme="minorHAnsi"/>
            <w:sz w:val="24"/>
            <w:szCs w:val="24"/>
          </w:rPr>
          <w:t>5</w:t>
        </w:r>
      </w:hyperlink>
      <w:r w:rsidRPr="00673F93">
        <w:t>). Detailed variable definitions, including control variables, are described in the Appendix. Standard errors are adjusted for heteroskedasticity and clustered by firm and filing date. ***, ** and * denote statistical significance at the 1, 5 and 10 percent levels, respectively.</w:t>
      </w:r>
    </w:p>
    <w:p w14:paraId="2BA2A952" w14:textId="77777777" w:rsidR="00CF253A" w:rsidRDefault="00CF253A" w:rsidP="00673F93">
      <w:pPr>
        <w:rPr>
          <w:rFonts w:cstheme="minorHAnsi"/>
          <w:sz w:val="24"/>
          <w:szCs w:val="24"/>
        </w:rPr>
        <w:sectPr w:rsidR="00CF253A" w:rsidSect="00F60CD3">
          <w:pgSz w:w="15840" w:h="12240" w:orient="landscape"/>
          <w:pgMar w:top="1080" w:right="1080" w:bottom="1080" w:left="1080" w:header="720" w:footer="720" w:gutter="0"/>
          <w:cols w:space="720"/>
          <w:docGrid w:linePitch="360"/>
        </w:sectPr>
      </w:pPr>
    </w:p>
    <w:p w14:paraId="69253FD7" w14:textId="647E8AB5" w:rsidR="00673F93" w:rsidRDefault="00673F93" w:rsidP="00673F93">
      <w:pPr>
        <w:rPr>
          <w:rFonts w:cstheme="minorHAnsi"/>
          <w:sz w:val="24"/>
          <w:szCs w:val="24"/>
        </w:rPr>
      </w:pPr>
      <w:r w:rsidRPr="00673F93">
        <w:rPr>
          <w:rFonts w:cstheme="minorHAnsi"/>
          <w:sz w:val="24"/>
          <w:szCs w:val="24"/>
        </w:rPr>
        <w:lastRenderedPageBreak/>
        <w:t>For our second test of the hypotheses on information search (Hypotheses H2a and H2b), we estimate the following empirical model to examine investors' search activities on Google for firm‐specific information around earnings announcements:</w:t>
      </w:r>
      <w:r w:rsidR="00B664D8" w:rsidRPr="00B664D8">
        <w:rPr>
          <w:rFonts w:cstheme="minorHAnsi"/>
          <w:sz w:val="24"/>
          <w:szCs w:val="24"/>
          <w:vertAlign w:val="superscript"/>
        </w:rPr>
        <w:t>31</w:t>
      </w:r>
    </w:p>
    <w:p w14:paraId="550F17B6" w14:textId="01D210BB" w:rsidR="00673F93" w:rsidRPr="00673F93" w:rsidRDefault="005A3923" w:rsidP="00673F93">
      <w:pPr>
        <w:rPr>
          <w:rFonts w:cstheme="minorHAnsi"/>
          <w:sz w:val="24"/>
          <w:szCs w:val="24"/>
        </w:rPr>
      </w:pPr>
      <w:r>
        <w:rPr>
          <w:rFonts w:cstheme="minorHAnsi"/>
          <w:sz w:val="24"/>
          <w:szCs w:val="24"/>
        </w:rPr>
        <w:t>(</w:t>
      </w:r>
      <w:r w:rsidR="00673F93" w:rsidRPr="00673F93">
        <w:rPr>
          <w:rFonts w:cstheme="minorHAnsi"/>
          <w:sz w:val="24"/>
          <w:szCs w:val="24"/>
        </w:rPr>
        <w:t>6</w:t>
      </w:r>
      <w:r>
        <w:rPr>
          <w:rFonts w:cstheme="minorHAnsi"/>
          <w:sz w:val="24"/>
          <w:szCs w:val="24"/>
        </w:rPr>
        <w:t xml:space="preserve">) </w:t>
      </w:r>
      <m:oMath>
        <m:m>
          <m:mPr>
            <m:mcs>
              <m:mc>
                <m:mcPr>
                  <m:count m:val="1"/>
                  <m:mcJc m:val="center"/>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GSEARCH</m:t>
                  </m:r>
                </m:e>
                <m:sub>
                  <m:r>
                    <w:rPr>
                      <w:rFonts w:ascii="Cambria Math" w:hAnsi="Cambria Math" w:cstheme="minorHAnsi"/>
                      <w:sz w:val="24"/>
                      <w:szCs w:val="24"/>
                    </w:rPr>
                    <m:t>i,d,t</m:t>
                  </m:r>
                </m:sub>
              </m:sSub>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
                                          </m:e>
                                        </m:mr>
                                      </m:m>
                                    </m:e>
                                  </m:mr>
                                </m:m>
                              </m:e>
                            </m:mr>
                          </m:m>
                        </m:e>
                      </m:mr>
                    </m:m>
                  </m:e>
                </m:mr>
              </m:m>
            </m:e>
          </m:mr>
        </m:m>
        <m:m>
          <m:mPr>
            <m:cGp m:val="8"/>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sSub>
                <m:sSubPr>
                  <m:ctrlPr>
                    <w:rPr>
                      <w:rFonts w:ascii="Cambria Math" w:hAnsi="Cambria Math" w:cstheme="minorHAnsi"/>
                      <w:i/>
                      <w:sz w:val="24"/>
                      <w:szCs w:val="24"/>
                    </w:rPr>
                  </m:ctrlPr>
                </m:sSubPr>
                <m:e>
                  <m:r>
                    <w:rPr>
                      <w:rFonts w:ascii="Cambria Math" w:hAnsi="Cambria Math" w:cstheme="minorHAnsi"/>
                      <w:sz w:val="24"/>
                      <w:szCs w:val="24"/>
                    </w:rPr>
                    <m:t>EARNINGS_ANNOUNCEMENT</m:t>
                  </m:r>
                  <m:d>
                    <m:dPr>
                      <m:begChr m:val="["/>
                      <m:endChr m:val="]"/>
                      <m:ctrlPr>
                        <w:rPr>
                          <w:rFonts w:ascii="Cambria Math" w:hAnsi="Cambria Math" w:cstheme="minorHAnsi"/>
                          <w:i/>
                          <w:sz w:val="24"/>
                          <w:szCs w:val="24"/>
                        </w:rPr>
                      </m:ctrlPr>
                    </m:dPr>
                    <m:e>
                      <m:r>
                        <w:rPr>
                          <w:rFonts w:ascii="Cambria Math" w:hAnsi="Cambria Math" w:cstheme="minorHAnsi"/>
                          <w:sz w:val="24"/>
                          <w:szCs w:val="24"/>
                        </w:rPr>
                        <m:t>‐5,‐1</m:t>
                      </m:r>
                    </m:e>
                  </m:d>
                </m:e>
                <m:sub>
                  <m:r>
                    <w:rPr>
                      <w:rFonts w:ascii="Cambria Math" w:hAnsi="Cambria Math" w:cstheme="minorHAnsi"/>
                      <w:sz w:val="24"/>
                      <w:szCs w:val="24"/>
                    </w:rPr>
                    <m:t>i,d,t</m:t>
                  </m:r>
                </m:sub>
              </m:sSub>
            </m:e>
          </m:mr>
          <m:mr>
            <m:e>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CSR</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sSub>
                      <m:sSubPr>
                        <m:ctrlPr>
                          <w:rPr>
                            <w:rFonts w:ascii="Cambria Math" w:hAnsi="Cambria Math" w:cstheme="minorHAnsi"/>
                            <w:i/>
                            <w:sz w:val="24"/>
                            <w:szCs w:val="24"/>
                          </w:rPr>
                        </m:ctrlPr>
                      </m:sSubPr>
                      <m:e>
                        <m:r>
                          <w:rPr>
                            <w:rFonts w:ascii="Cambria Math" w:hAnsi="Cambria Math" w:cstheme="minorHAnsi"/>
                            <w:sz w:val="24"/>
                            <w:szCs w:val="24"/>
                          </w:rPr>
                          <m:t>EARNINGS_ANNOUNCEMENT</m:t>
                        </m:r>
                        <m:d>
                          <m:dPr>
                            <m:begChr m:val="["/>
                            <m:endChr m:val="]"/>
                            <m:ctrlPr>
                              <w:rPr>
                                <w:rFonts w:ascii="Cambria Math" w:hAnsi="Cambria Math" w:cstheme="minorHAnsi"/>
                                <w:i/>
                                <w:sz w:val="24"/>
                                <w:szCs w:val="24"/>
                              </w:rPr>
                            </m:ctrlPr>
                          </m:dPr>
                          <m:e>
                            <m:r>
                              <w:rPr>
                                <w:rFonts w:ascii="Cambria Math" w:hAnsi="Cambria Math" w:cstheme="minorHAnsi"/>
                                <w:sz w:val="24"/>
                                <w:szCs w:val="24"/>
                              </w:rPr>
                              <m:t>0</m:t>
                            </m:r>
                          </m:e>
                        </m:d>
                      </m:e>
                      <m:sub>
                        <m:r>
                          <w:rPr>
                            <w:rFonts w:ascii="Cambria Math" w:hAnsi="Cambria Math" w:cstheme="minorHAnsi"/>
                            <w:sz w:val="24"/>
                            <w:szCs w:val="24"/>
                          </w:rPr>
                          <m:t>i,d,t</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CSR</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3</m:t>
                        </m:r>
                      </m:sub>
                    </m:sSub>
                    <m:sSub>
                      <m:sSubPr>
                        <m:ctrlPr>
                          <w:rPr>
                            <w:rFonts w:ascii="Cambria Math" w:hAnsi="Cambria Math" w:cstheme="minorHAnsi"/>
                            <w:i/>
                            <w:sz w:val="24"/>
                            <w:szCs w:val="24"/>
                          </w:rPr>
                        </m:ctrlPr>
                      </m:sSubPr>
                      <m:e>
                        <m:r>
                          <w:rPr>
                            <w:rFonts w:ascii="Cambria Math" w:hAnsi="Cambria Math" w:cstheme="minorHAnsi"/>
                            <w:sz w:val="24"/>
                            <w:szCs w:val="24"/>
                          </w:rPr>
                          <m:t>EARNINGS_ANNOUNCEMENT</m:t>
                        </m:r>
                        <m:d>
                          <m:dPr>
                            <m:begChr m:val="["/>
                            <m:endChr m:val="]"/>
                            <m:ctrlPr>
                              <w:rPr>
                                <w:rFonts w:ascii="Cambria Math" w:hAnsi="Cambria Math" w:cstheme="minorHAnsi"/>
                                <w:i/>
                                <w:sz w:val="24"/>
                                <w:szCs w:val="24"/>
                              </w:rPr>
                            </m:ctrlPr>
                          </m:dPr>
                          <m:e>
                            <m:r>
                              <w:rPr>
                                <w:rFonts w:ascii="Cambria Math" w:hAnsi="Cambria Math" w:cstheme="minorHAnsi"/>
                                <w:sz w:val="24"/>
                                <w:szCs w:val="24"/>
                              </w:rPr>
                              <m:t>1,5</m:t>
                            </m:r>
                          </m:e>
                        </m:d>
                      </m:e>
                      <m:sub>
                        <m:r>
                          <w:rPr>
                            <w:rFonts w:ascii="Cambria Math" w:hAnsi="Cambria Math" w:cstheme="minorHAnsi"/>
                            <w:sz w:val="24"/>
                            <w:szCs w:val="24"/>
                          </w:rPr>
                          <m:t>i,d,t</m:t>
                        </m:r>
                      </m:sub>
                    </m:sSub>
                  </m:e>
                </m:mr>
                <m:mr>
                  <m:e>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CSR</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4</m:t>
                              </m:r>
                            </m:sub>
                          </m:sSub>
                          <m:sSub>
                            <m:sSubPr>
                              <m:ctrlPr>
                                <w:rPr>
                                  <w:rFonts w:ascii="Cambria Math" w:hAnsi="Cambria Math" w:cstheme="minorHAnsi"/>
                                  <w:i/>
                                  <w:sz w:val="24"/>
                                  <w:szCs w:val="24"/>
                                </w:rPr>
                              </m:ctrlPr>
                            </m:sSubPr>
                            <m:e>
                              <m:r>
                                <w:rPr>
                                  <w:rFonts w:ascii="Cambria Math" w:hAnsi="Cambria Math" w:cstheme="minorHAnsi"/>
                                  <w:sz w:val="24"/>
                                  <w:szCs w:val="24"/>
                                </w:rPr>
                                <m:t>CSR</m:t>
                              </m:r>
                            </m:e>
                            <m:sub>
                              <m:r>
                                <w:rPr>
                                  <w:rFonts w:ascii="Cambria Math" w:hAnsi="Cambria Math" w:cstheme="minorHAnsi"/>
                                  <w:sz w:val="24"/>
                                  <w:szCs w:val="24"/>
                                </w:rPr>
                                <m:t>i,t‐1</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5</m:t>
                              </m:r>
                            </m:sub>
                          </m:sSub>
                          <m:sSub>
                            <m:sSubPr>
                              <m:ctrlPr>
                                <w:rPr>
                                  <w:rFonts w:ascii="Cambria Math" w:hAnsi="Cambria Math" w:cstheme="minorHAnsi"/>
                                  <w:i/>
                                  <w:sz w:val="24"/>
                                  <w:szCs w:val="24"/>
                                </w:rPr>
                              </m:ctrlPr>
                            </m:sSubPr>
                            <m:e>
                              <m:r>
                                <w:rPr>
                                  <w:rFonts w:ascii="Cambria Math" w:hAnsi="Cambria Math" w:cstheme="minorHAnsi"/>
                                  <w:sz w:val="24"/>
                                  <w:szCs w:val="24"/>
                                </w:rPr>
                                <m:t>EARNINGS_ANNOUNCEMENT</m:t>
                              </m:r>
                              <m:d>
                                <m:dPr>
                                  <m:begChr m:val="["/>
                                  <m:endChr m:val="]"/>
                                  <m:ctrlPr>
                                    <w:rPr>
                                      <w:rFonts w:ascii="Cambria Math" w:hAnsi="Cambria Math" w:cstheme="minorHAnsi"/>
                                      <w:i/>
                                      <w:sz w:val="24"/>
                                      <w:szCs w:val="24"/>
                                    </w:rPr>
                                  </m:ctrlPr>
                                </m:dPr>
                                <m:e>
                                  <m:r>
                                    <w:rPr>
                                      <w:rFonts w:ascii="Cambria Math" w:hAnsi="Cambria Math" w:cstheme="minorHAnsi"/>
                                      <w:sz w:val="24"/>
                                      <w:szCs w:val="24"/>
                                    </w:rPr>
                                    <m:t>‐5,‐1</m:t>
                                  </m:r>
                                </m:e>
                              </m:d>
                            </m:e>
                            <m:sub>
                              <m:r>
                                <w:rPr>
                                  <w:rFonts w:ascii="Cambria Math" w:hAnsi="Cambria Math" w:cstheme="minorHAnsi"/>
                                  <w:sz w:val="24"/>
                                  <w:szCs w:val="24"/>
                                </w:rPr>
                                <m:t>i,d,t</m:t>
                              </m:r>
                            </m:sub>
                          </m:sSub>
                        </m:e>
                      </m:mr>
                      <m:mr>
                        <m:e>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6</m:t>
                                    </m:r>
                                  </m:sub>
                                </m:sSub>
                                <m:sSub>
                                  <m:sSubPr>
                                    <m:ctrlPr>
                                      <w:rPr>
                                        <w:rFonts w:ascii="Cambria Math" w:hAnsi="Cambria Math" w:cstheme="minorHAnsi"/>
                                        <w:i/>
                                        <w:sz w:val="24"/>
                                        <w:szCs w:val="24"/>
                                      </w:rPr>
                                    </m:ctrlPr>
                                  </m:sSubPr>
                                  <m:e>
                                    <m:r>
                                      <w:rPr>
                                        <w:rFonts w:ascii="Cambria Math" w:hAnsi="Cambria Math" w:cstheme="minorHAnsi"/>
                                        <w:sz w:val="24"/>
                                        <w:szCs w:val="24"/>
                                      </w:rPr>
                                      <m:t>EARNINGS_ANNOUNCEMENT</m:t>
                                    </m:r>
                                    <m:d>
                                      <m:dPr>
                                        <m:begChr m:val="["/>
                                        <m:endChr m:val="]"/>
                                        <m:ctrlPr>
                                          <w:rPr>
                                            <w:rFonts w:ascii="Cambria Math" w:hAnsi="Cambria Math" w:cstheme="minorHAnsi"/>
                                            <w:i/>
                                            <w:sz w:val="24"/>
                                            <w:szCs w:val="24"/>
                                          </w:rPr>
                                        </m:ctrlPr>
                                      </m:dPr>
                                      <m:e>
                                        <m:r>
                                          <w:rPr>
                                            <w:rFonts w:ascii="Cambria Math" w:hAnsi="Cambria Math" w:cstheme="minorHAnsi"/>
                                            <w:sz w:val="24"/>
                                            <w:szCs w:val="24"/>
                                          </w:rPr>
                                          <m:t>0</m:t>
                                        </m:r>
                                      </m:e>
                                    </m:d>
                                  </m:e>
                                  <m:sub>
                                    <m:r>
                                      <w:rPr>
                                        <w:rFonts w:ascii="Cambria Math" w:hAnsi="Cambria Math" w:cstheme="minorHAnsi"/>
                                        <w:sz w:val="24"/>
                                        <w:szCs w:val="24"/>
                                      </w:rPr>
                                      <m:t>i,d,t</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7</m:t>
                                    </m:r>
                                  </m:sub>
                                </m:sSub>
                                <m:sSub>
                                  <m:sSubPr>
                                    <m:ctrlPr>
                                      <w:rPr>
                                        <w:rFonts w:ascii="Cambria Math" w:hAnsi="Cambria Math" w:cstheme="minorHAnsi"/>
                                        <w:i/>
                                        <w:sz w:val="24"/>
                                        <w:szCs w:val="24"/>
                                      </w:rPr>
                                    </m:ctrlPr>
                                  </m:sSubPr>
                                  <m:e>
                                    <m:r>
                                      <w:rPr>
                                        <w:rFonts w:ascii="Cambria Math" w:hAnsi="Cambria Math" w:cstheme="minorHAnsi"/>
                                        <w:sz w:val="24"/>
                                        <w:szCs w:val="24"/>
                                      </w:rPr>
                                      <m:t>EARNINGS_ANNOUNCEMENT</m:t>
                                    </m:r>
                                    <m:d>
                                      <m:dPr>
                                        <m:begChr m:val="["/>
                                        <m:endChr m:val="]"/>
                                        <m:ctrlPr>
                                          <w:rPr>
                                            <w:rFonts w:ascii="Cambria Math" w:hAnsi="Cambria Math" w:cstheme="minorHAnsi"/>
                                            <w:i/>
                                            <w:sz w:val="24"/>
                                            <w:szCs w:val="24"/>
                                          </w:rPr>
                                        </m:ctrlPr>
                                      </m:dPr>
                                      <m:e>
                                        <m:r>
                                          <w:rPr>
                                            <w:rFonts w:ascii="Cambria Math" w:hAnsi="Cambria Math" w:cstheme="minorHAnsi"/>
                                            <w:sz w:val="24"/>
                                            <w:szCs w:val="24"/>
                                          </w:rPr>
                                          <m:t>1,5</m:t>
                                        </m:r>
                                      </m:e>
                                    </m:d>
                                  </m:e>
                                  <m:sub>
                                    <m:r>
                                      <w:rPr>
                                        <w:rFonts w:ascii="Cambria Math" w:hAnsi="Cambria Math" w:cstheme="minorHAnsi"/>
                                        <w:sz w:val="24"/>
                                        <w:szCs w:val="24"/>
                                      </w:rPr>
                                      <m:t>i,d,t</m:t>
                                    </m:r>
                                  </m:sub>
                                </m:sSub>
                              </m:e>
                            </m:mr>
                            <m:mr>
                              <m:e>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8</m:t>
                                          </m:r>
                                        </m:sub>
                                      </m:sSub>
                                      <m:sSub>
                                        <m:sSubPr>
                                          <m:ctrlPr>
                                            <w:rPr>
                                              <w:rFonts w:ascii="Cambria Math" w:hAnsi="Cambria Math" w:cstheme="minorHAnsi"/>
                                              <w:i/>
                                              <w:sz w:val="24"/>
                                              <w:szCs w:val="24"/>
                                            </w:rPr>
                                          </m:ctrlPr>
                                        </m:sSubPr>
                                        <m:e>
                                          <m:r>
                                            <w:rPr>
                                              <w:rFonts w:ascii="Cambria Math" w:hAnsi="Cambria Math" w:cstheme="minorHAnsi"/>
                                              <w:sz w:val="24"/>
                                              <w:szCs w:val="24"/>
                                            </w:rPr>
                                            <m:t>NEWS</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9</m:t>
                                          </m:r>
                                        </m:sub>
                                      </m:sSub>
                                      <m:sSub>
                                        <m:sSubPr>
                                          <m:ctrlPr>
                                            <w:rPr>
                                              <w:rFonts w:ascii="Cambria Math" w:hAnsi="Cambria Math" w:cstheme="minorHAnsi"/>
                                              <w: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RET</m:t>
                                              </m:r>
                                            </m:e>
                                          </m:d>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10</m:t>
                                          </m:r>
                                        </m:sub>
                                      </m:sSub>
                                      <m:sSub>
                                        <m:sSubPr>
                                          <m:ctrlPr>
                                            <w:rPr>
                                              <w:rFonts w:ascii="Cambria Math" w:hAnsi="Cambria Math" w:cstheme="minorHAnsi"/>
                                              <w:i/>
                                              <w:sz w:val="24"/>
                                              <w:szCs w:val="24"/>
                                            </w:rPr>
                                          </m:ctrlPr>
                                        </m:sSubPr>
                                        <m:e>
                                          <m:r>
                                            <w:rPr>
                                              <w:rFonts w:ascii="Cambria Math" w:hAnsi="Cambria Math" w:cstheme="minorHAnsi"/>
                                              <w:sz w:val="24"/>
                                              <w:szCs w:val="24"/>
                                            </w:rPr>
                                            <m:t>TURNOVER</m:t>
                                          </m:r>
                                        </m:e>
                                        <m:sub>
                                          <m:r>
                                            <w:rPr>
                                              <w:rFonts w:ascii="Cambria Math" w:hAnsi="Cambria Math" w:cstheme="minorHAnsi"/>
                                              <w:sz w:val="24"/>
                                              <w:szCs w:val="24"/>
                                            </w:rPr>
                                            <m:t>i,t‐1</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11</m:t>
                                          </m:r>
                                        </m:sub>
                                      </m:sSub>
                                      <m:sSub>
                                        <m:sSubPr>
                                          <m:ctrlPr>
                                            <w:rPr>
                                              <w:rFonts w:ascii="Cambria Math" w:hAnsi="Cambria Math" w:cstheme="minorHAnsi"/>
                                              <w:i/>
                                              <w:sz w:val="24"/>
                                              <w:szCs w:val="24"/>
                                            </w:rPr>
                                          </m:ctrlPr>
                                        </m:sSubPr>
                                        <m:e>
                                          <m:r>
                                            <w:rPr>
                                              <w:rFonts w:ascii="Cambria Math" w:hAnsi="Cambria Math" w:cstheme="minorHAnsi"/>
                                              <w:sz w:val="24"/>
                                              <w:szCs w:val="24"/>
                                            </w:rPr>
                                            <m:t>BIDASK</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12</m:t>
                                          </m:r>
                                        </m:sub>
                                      </m:sSub>
                                      <m:sSub>
                                        <m:sSubPr>
                                          <m:ctrlPr>
                                            <w:rPr>
                                              <w:rFonts w:ascii="Cambria Math" w:hAnsi="Cambria Math" w:cstheme="minorHAnsi"/>
                                              <w:i/>
                                              <w:sz w:val="24"/>
                                              <w:szCs w:val="24"/>
                                            </w:rPr>
                                          </m:ctrlPr>
                                        </m:sSubPr>
                                        <m:e>
                                          <m:r>
                                            <w:rPr>
                                              <w:rFonts w:ascii="Cambria Math" w:hAnsi="Cambria Math" w:cstheme="minorHAnsi"/>
                                              <w:sz w:val="24"/>
                                              <w:szCs w:val="24"/>
                                            </w:rPr>
                                            <m:t>ANM</m:t>
                                          </m:r>
                                        </m:e>
                                        <m:sub>
                                          <m:r>
                                            <w:rPr>
                                              <w:rFonts w:ascii="Cambria Math" w:hAnsi="Cambria Math" w:cstheme="minorHAnsi"/>
                                              <w:sz w:val="24"/>
                                              <w:szCs w:val="24"/>
                                            </w:rPr>
                                            <m:t>i,t‐1</m:t>
                                          </m:r>
                                        </m:sub>
                                      </m:sSub>
                                    </m:e>
                                  </m:mr>
                                  <m:mr>
                                    <m:e>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13</m:t>
                                                </m:r>
                                              </m:sub>
                                            </m:sSub>
                                            <m:sSub>
                                              <m:sSubPr>
                                                <m:ctrlPr>
                                                  <w:rPr>
                                                    <w:rFonts w:ascii="Cambria Math" w:hAnsi="Cambria Math" w:cstheme="minorHAnsi"/>
                                                    <w:i/>
                                                    <w:sz w:val="24"/>
                                                    <w:szCs w:val="24"/>
                                                  </w:rPr>
                                                </m:ctrlPr>
                                              </m:sSubPr>
                                              <m:e>
                                                <m:r>
                                                  <w:rPr>
                                                    <w:rFonts w:ascii="Cambria Math" w:hAnsi="Cambria Math" w:cstheme="minorHAnsi"/>
                                                    <w:sz w:val="24"/>
                                                    <w:szCs w:val="24"/>
                                                  </w:rPr>
                                                  <m:t>SIZE</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14</m:t>
                                                </m:r>
                                              </m:sub>
                                            </m:sSub>
                                            <m:sSub>
                                              <m:sSubPr>
                                                <m:ctrlPr>
                                                  <w:rPr>
                                                    <w:rFonts w:ascii="Cambria Math" w:hAnsi="Cambria Math" w:cstheme="minorHAnsi"/>
                                                    <w:i/>
                                                    <w:sz w:val="24"/>
                                                    <w:szCs w:val="24"/>
                                                  </w:rPr>
                                                </m:ctrlPr>
                                              </m:sSubPr>
                                              <m:e>
                                                <m:r>
                                                  <w:rPr>
                                                    <w:rFonts w:ascii="Cambria Math" w:hAnsi="Cambria Math" w:cstheme="minorHAnsi"/>
                                                    <w:sz w:val="24"/>
                                                    <w:szCs w:val="24"/>
                                                  </w:rPr>
                                                  <m:t>MB</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15</m:t>
                                                </m:r>
                                              </m:sub>
                                            </m:sSub>
                                            <m:sSub>
                                              <m:sSubPr>
                                                <m:ctrlPr>
                                                  <w:rPr>
                                                    <w:rFonts w:ascii="Cambria Math" w:hAnsi="Cambria Math" w:cstheme="minorHAnsi"/>
                                                    <w:i/>
                                                    <w:sz w:val="24"/>
                                                    <w:szCs w:val="24"/>
                                                  </w:rPr>
                                                </m:ctrlPr>
                                              </m:sSubPr>
                                              <m:e>
                                                <m:r>
                                                  <w:rPr>
                                                    <w:rFonts w:ascii="Cambria Math" w:hAnsi="Cambria Math" w:cstheme="minorHAnsi"/>
                                                    <w:sz w:val="24"/>
                                                    <w:szCs w:val="24"/>
                                                  </w:rPr>
                                                  <m:t>ANALYSTS</m:t>
                                                </m:r>
                                              </m:e>
                                              <m:sub>
                                                <m:r>
                                                  <w:rPr>
                                                    <w:rFonts w:ascii="Cambria Math" w:hAnsi="Cambria Math" w:cstheme="minorHAnsi"/>
                                                    <w:sz w:val="24"/>
                                                    <w:szCs w:val="24"/>
                                                  </w:rPr>
                                                  <m:t>i,t‐1</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16</m:t>
                                                </m:r>
                                              </m:sub>
                                            </m:sSub>
                                            <m:sSub>
                                              <m:sSubPr>
                                                <m:ctrlPr>
                                                  <w:rPr>
                                                    <w:rFonts w:ascii="Cambria Math" w:hAnsi="Cambria Math" w:cstheme="minorHAnsi"/>
                                                    <w:i/>
                                                    <w:sz w:val="24"/>
                                                    <w:szCs w:val="24"/>
                                                  </w:rPr>
                                                </m:ctrlPr>
                                              </m:sSubPr>
                                              <m:e>
                                                <m:r>
                                                  <w:rPr>
                                                    <w:rFonts w:ascii="Cambria Math" w:hAnsi="Cambria Math" w:cstheme="minorHAnsi"/>
                                                    <w:sz w:val="24"/>
                                                    <w:szCs w:val="24"/>
                                                  </w:rPr>
                                                  <m:t>INSTOWN</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17</m:t>
                                                </m:r>
                                              </m:sub>
                                            </m:sSub>
                                            <m:sSub>
                                              <m:sSubPr>
                                                <m:ctrlPr>
                                                  <w:rPr>
                                                    <w:rFonts w:ascii="Cambria Math" w:hAnsi="Cambria Math" w:cstheme="minorHAnsi"/>
                                                    <w:i/>
                                                    <w:sz w:val="24"/>
                                                    <w:szCs w:val="24"/>
                                                  </w:rPr>
                                                </m:ctrlPr>
                                              </m:sSubPr>
                                              <m:e>
                                                <m:r>
                                                  <w:rPr>
                                                    <w:rFonts w:ascii="Cambria Math" w:hAnsi="Cambria Math" w:cstheme="minorHAnsi"/>
                                                    <w:sz w:val="24"/>
                                                    <w:szCs w:val="24"/>
                                                  </w:rPr>
                                                  <m:t>QTR4</m:t>
                                                </m:r>
                                              </m:e>
                                              <m:sub>
                                                <m:r>
                                                  <w:rPr>
                                                    <w:rFonts w:ascii="Cambria Math" w:hAnsi="Cambria Math" w:cstheme="minorHAnsi"/>
                                                    <w:sz w:val="24"/>
                                                    <w:szCs w:val="24"/>
                                                  </w:rPr>
                                                  <m:t>i,d,t</m:t>
                                                </m:r>
                                              </m:sub>
                                            </m:sSub>
                                          </m:e>
                                        </m:mr>
                                        <m:mr>
                                          <m:e>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18</m:t>
                                                      </m:r>
                                                    </m:sub>
                                                  </m:sSub>
                                                  <m:sSub>
                                                    <m:sSubPr>
                                                      <m:ctrlPr>
                                                        <w:rPr>
                                                          <w:rFonts w:ascii="Cambria Math" w:hAnsi="Cambria Math" w:cstheme="minorHAnsi"/>
                                                          <w:i/>
                                                          <w:sz w:val="24"/>
                                                          <w:szCs w:val="24"/>
                                                        </w:rPr>
                                                      </m:ctrlPr>
                                                    </m:sSubPr>
                                                    <m:e>
                                                      <m:r>
                                                        <w:rPr>
                                                          <w:rFonts w:ascii="Cambria Math" w:hAnsi="Cambria Math" w:cstheme="minorHAnsi"/>
                                                          <w:sz w:val="24"/>
                                                          <w:szCs w:val="24"/>
                                                        </w:rPr>
                                                        <m:t>LOSS</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19</m:t>
                                                      </m:r>
                                                    </m:sub>
                                                  </m:sSub>
                                                  <m:sSub>
                                                    <m:sSubPr>
                                                      <m:ctrlPr>
                                                        <w:rPr>
                                                          <w:rFonts w:ascii="Cambria Math" w:hAnsi="Cambria Math" w:cstheme="minorHAnsi"/>
                                                          <w: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ROA</m:t>
                                                          </m:r>
                                                        </m:e>
                                                      </m:d>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20</m:t>
                                                      </m:r>
                                                    </m:sub>
                                                  </m:sSub>
                                                  <m:sSub>
                                                    <m:sSubPr>
                                                      <m:ctrlPr>
                                                        <w:rPr>
                                                          <w:rFonts w:ascii="Cambria Math" w:hAnsi="Cambria Math" w:cstheme="minorHAnsi"/>
                                                          <w:i/>
                                                          <w:sz w:val="24"/>
                                                          <w:szCs w:val="24"/>
                                                        </w:rPr>
                                                      </m:ctrlPr>
                                                    </m:sSubPr>
                                                    <m:e>
                                                      <m:r>
                                                        <w:rPr>
                                                          <w:rFonts w:ascii="Cambria Math" w:hAnsi="Cambria Math" w:cstheme="minorHAnsi"/>
                                                          <w:sz w:val="24"/>
                                                          <w:szCs w:val="24"/>
                                                        </w:rPr>
                                                        <m:t>CRET</m:t>
                                                      </m:r>
                                                      <m:d>
                                                        <m:dPr>
                                                          <m:ctrlPr>
                                                            <w:rPr>
                                                              <w:rFonts w:ascii="Cambria Math" w:hAnsi="Cambria Math" w:cstheme="minorHAnsi"/>
                                                              <w:i/>
                                                              <w:sz w:val="24"/>
                                                              <w:szCs w:val="24"/>
                                                            </w:rPr>
                                                          </m:ctrlPr>
                                                        </m:dPr>
                                                        <m:e>
                                                          <m:r>
                                                            <w:rPr>
                                                              <w:rFonts w:ascii="Cambria Math" w:hAnsi="Cambria Math" w:cstheme="minorHAnsi"/>
                                                              <w:sz w:val="24"/>
                                                              <w:szCs w:val="24"/>
                                                            </w:rPr>
                                                            <m:t>m‐3,m</m:t>
                                                          </m:r>
                                                        </m:e>
                                                      </m:d>
                                                    </m:e>
                                                    <m:sub>
                                                      <m:r>
                                                        <w:rPr>
                                                          <w:rFonts w:ascii="Cambria Math" w:hAnsi="Cambria Math" w:cstheme="minorHAnsi"/>
                                                          <w:sz w:val="24"/>
                                                          <w:szCs w:val="24"/>
                                                        </w:rPr>
                                                        <m:t>i,d,t</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21</m:t>
                                                      </m:r>
                                                    </m:sub>
                                                  </m:sSub>
                                                  <m:sSub>
                                                    <m:sSubPr>
                                                      <m:ctrlPr>
                                                        <w:rPr>
                                                          <w:rFonts w:ascii="Cambria Math" w:hAnsi="Cambria Math" w:cstheme="minorHAnsi"/>
                                                          <w:i/>
                                                          <w:sz w:val="24"/>
                                                          <w:szCs w:val="24"/>
                                                        </w:rPr>
                                                      </m:ctrlPr>
                                                    </m:sSubPr>
                                                    <m:e>
                                                      <m:r>
                                                        <w:rPr>
                                                          <w:rFonts w:ascii="Cambria Math" w:hAnsi="Cambria Math" w:cstheme="minorHAnsi"/>
                                                          <w:sz w:val="24"/>
                                                          <w:szCs w:val="24"/>
                                                        </w:rPr>
                                                        <m:t>FORECAST</m:t>
                                                      </m:r>
                                                    </m:e>
                                                    <m:sub>
                                                      <m:r>
                                                        <w:rPr>
                                                          <w:rFonts w:ascii="Cambria Math" w:hAnsi="Cambria Math" w:cstheme="minorHAnsi"/>
                                                          <w:sz w:val="24"/>
                                                          <w:szCs w:val="24"/>
                                                        </w:rPr>
                                                        <m:t>i,d,t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m</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w</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ε</m:t>
                                                      </m:r>
                                                    </m:e>
                                                    <m:sub>
                                                      <m:r>
                                                        <w:rPr>
                                                          <w:rFonts w:ascii="Cambria Math" w:hAnsi="Cambria Math" w:cstheme="minorHAnsi"/>
                                                          <w:sz w:val="24"/>
                                                          <w:szCs w:val="24"/>
                                                        </w:rPr>
                                                        <m:t>i,d,t</m:t>
                                                      </m:r>
                                                    </m:sub>
                                                  </m:sSub>
                                                </m:e>
                                              </m:mr>
                                            </m:m>
                                          </m:e>
                                        </m:mr>
                                      </m:m>
                                    </m:e>
                                  </m:mr>
                                </m:m>
                              </m:e>
                            </m:mr>
                          </m:m>
                        </m:e>
                      </m:mr>
                    </m:m>
                  </m:e>
                </m:mr>
              </m:m>
            </m:e>
          </m:mr>
        </m:m>
      </m:oMath>
    </w:p>
    <w:p w14:paraId="777B5A0F" w14:textId="77777777" w:rsidR="005A3923" w:rsidRDefault="005A3923" w:rsidP="00673F93">
      <w:pPr>
        <w:rPr>
          <w:rFonts w:cstheme="minorHAnsi"/>
          <w:sz w:val="24"/>
          <w:szCs w:val="24"/>
        </w:rPr>
      </w:pPr>
    </w:p>
    <w:p w14:paraId="3F0D7D94" w14:textId="6DAE5CCA" w:rsidR="00673F93" w:rsidRPr="00673F93" w:rsidRDefault="00673F93" w:rsidP="00673F93">
      <w:pPr>
        <w:rPr>
          <w:rFonts w:cstheme="minorHAnsi"/>
          <w:sz w:val="24"/>
          <w:szCs w:val="24"/>
        </w:rPr>
      </w:pPr>
      <w:r w:rsidRPr="00673F93">
        <w:rPr>
          <w:rFonts w:cstheme="minorHAnsi"/>
          <w:sz w:val="24"/>
          <w:szCs w:val="24"/>
        </w:rPr>
        <w:t>where </w:t>
      </w:r>
      <m:oMath>
        <m:r>
          <w:rPr>
            <w:rFonts w:ascii="Cambria Math" w:hAnsi="Cambria Math" w:cstheme="minorHAnsi"/>
            <w:sz w:val="24"/>
            <w:szCs w:val="24"/>
          </w:rPr>
          <m:t>i</m:t>
        </m:r>
      </m:oMath>
      <w:r w:rsidR="005A3923">
        <w:rPr>
          <w:rFonts w:cstheme="minorHAnsi"/>
          <w:i/>
          <w:iCs/>
          <w:sz w:val="24"/>
          <w:szCs w:val="24"/>
        </w:rPr>
        <w:t xml:space="preserve"> </w:t>
      </w:r>
      <w:r w:rsidR="005A3923" w:rsidRPr="00673F93">
        <w:rPr>
          <w:rFonts w:cstheme="minorHAnsi"/>
          <w:sz w:val="24"/>
          <w:szCs w:val="24"/>
        </w:rPr>
        <w:t>indexes</w:t>
      </w:r>
      <w:r w:rsidRPr="00673F93">
        <w:rPr>
          <w:rFonts w:cstheme="minorHAnsi"/>
          <w:sz w:val="24"/>
          <w:szCs w:val="24"/>
        </w:rPr>
        <w:t xml:space="preserve"> the firm, </w:t>
      </w:r>
      <m:oMath>
        <m:r>
          <w:rPr>
            <w:rFonts w:ascii="Cambria Math" w:hAnsi="Cambria Math" w:cstheme="minorHAnsi"/>
            <w:sz w:val="24"/>
            <w:szCs w:val="24"/>
          </w:rPr>
          <m:t>d</m:t>
        </m:r>
      </m:oMath>
      <w:r w:rsidR="005A3923">
        <w:rPr>
          <w:rFonts w:cstheme="minorHAnsi"/>
          <w:i/>
          <w:iCs/>
          <w:sz w:val="24"/>
          <w:szCs w:val="24"/>
        </w:rPr>
        <w:t xml:space="preserve"> </w:t>
      </w:r>
      <w:r w:rsidRPr="00673F93">
        <w:rPr>
          <w:rFonts w:cstheme="minorHAnsi"/>
          <w:sz w:val="24"/>
          <w:szCs w:val="24"/>
        </w:rPr>
        <w:t>indexes the day and </w:t>
      </w:r>
      <m:oMath>
        <m:r>
          <w:rPr>
            <w:rFonts w:ascii="Cambria Math" w:hAnsi="Cambria Math" w:cstheme="minorHAnsi"/>
            <w:sz w:val="24"/>
            <w:szCs w:val="24"/>
          </w:rPr>
          <m:t>t</m:t>
        </m:r>
      </m:oMath>
      <w:r w:rsidR="005A3923">
        <w:rPr>
          <w:rFonts w:cstheme="minorHAnsi"/>
          <w:i/>
          <w:iCs/>
          <w:sz w:val="24"/>
          <w:szCs w:val="24"/>
        </w:rPr>
        <w:t xml:space="preserve"> </w:t>
      </w:r>
      <w:r w:rsidR="005A3923" w:rsidRPr="00673F93">
        <w:rPr>
          <w:rFonts w:cstheme="minorHAnsi"/>
          <w:sz w:val="24"/>
          <w:szCs w:val="24"/>
        </w:rPr>
        <w:t>indexes</w:t>
      </w:r>
      <w:r w:rsidRPr="00673F93">
        <w:rPr>
          <w:rFonts w:cstheme="minorHAnsi"/>
          <w:sz w:val="24"/>
          <w:szCs w:val="24"/>
        </w:rPr>
        <w:t xml:space="preserve"> the year. </w:t>
      </w:r>
      <w:r w:rsidRPr="00673F93">
        <w:rPr>
          <w:rFonts w:cstheme="minorHAnsi"/>
          <w:i/>
          <w:iCs/>
          <w:sz w:val="24"/>
          <w:szCs w:val="24"/>
        </w:rPr>
        <w:t>GSEARCH</w:t>
      </w:r>
      <w:r w:rsidRPr="00673F93">
        <w:rPr>
          <w:rFonts w:cstheme="minorHAnsi"/>
          <w:sz w:val="24"/>
          <w:szCs w:val="24"/>
        </w:rPr>
        <w:t> is the daily abnormal Google SVI, </w:t>
      </w:r>
      <w:r w:rsidRPr="00673F93">
        <w:rPr>
          <w:rFonts w:cstheme="minorHAnsi"/>
          <w:i/>
          <w:iCs/>
          <w:sz w:val="24"/>
          <w:szCs w:val="24"/>
        </w:rPr>
        <w:t>EARNINGS_ANNOUNCEMENT[−5,‐1]</w:t>
      </w:r>
      <w:r w:rsidRPr="00673F93">
        <w:rPr>
          <w:rFonts w:cstheme="minorHAnsi"/>
          <w:sz w:val="24"/>
          <w:szCs w:val="24"/>
        </w:rPr>
        <w:t> is an indicator set to one if the day is in the window from 5 days to 1 day prior to the earnings announcement, </w:t>
      </w:r>
      <w:r w:rsidRPr="00673F93">
        <w:rPr>
          <w:rFonts w:cstheme="minorHAnsi"/>
          <w:i/>
          <w:iCs/>
          <w:sz w:val="24"/>
          <w:szCs w:val="24"/>
        </w:rPr>
        <w:t>EARNINGS_ANNOUNCEMENT[0]</w:t>
      </w:r>
      <w:r w:rsidRPr="00673F93">
        <w:rPr>
          <w:rFonts w:cstheme="minorHAnsi"/>
          <w:sz w:val="24"/>
          <w:szCs w:val="24"/>
        </w:rPr>
        <w:t> is an indicator for the date of the announcement and </w:t>
      </w:r>
      <w:r w:rsidRPr="00673F93">
        <w:rPr>
          <w:rFonts w:cstheme="minorHAnsi"/>
          <w:i/>
          <w:iCs/>
          <w:sz w:val="24"/>
          <w:szCs w:val="24"/>
        </w:rPr>
        <w:t>EARNINGS_ANNOUNCEMENT[</w:t>
      </w:r>
      <w:hyperlink r:id="rId48" w:anchor="bib1" w:tooltip="1" w:history="1">
        <w:r w:rsidRPr="00673F93">
          <w:rPr>
            <w:rStyle w:val="Hyperlink"/>
            <w:rFonts w:cstheme="minorHAnsi"/>
            <w:i/>
            <w:iCs/>
            <w:sz w:val="24"/>
            <w:szCs w:val="24"/>
          </w:rPr>
          <w:t>1</w:t>
        </w:r>
      </w:hyperlink>
      <w:r w:rsidRPr="00673F93">
        <w:rPr>
          <w:rFonts w:cstheme="minorHAnsi"/>
          <w:i/>
          <w:iCs/>
          <w:sz w:val="24"/>
          <w:szCs w:val="24"/>
        </w:rPr>
        <w:t>,5]</w:t>
      </w:r>
      <w:r w:rsidRPr="00673F93">
        <w:rPr>
          <w:rFonts w:cstheme="minorHAnsi"/>
          <w:sz w:val="24"/>
          <w:szCs w:val="24"/>
        </w:rPr>
        <w:t xml:space="preserve"> is an indicator set to one if the day is in the period from 1 to 5 days after the earnings announcement. Because of data constraints, the </w:t>
      </w:r>
      <w:proofErr w:type="gramStart"/>
      <w:r w:rsidRPr="00673F93">
        <w:rPr>
          <w:rFonts w:cstheme="minorHAnsi"/>
          <w:sz w:val="24"/>
          <w:szCs w:val="24"/>
        </w:rPr>
        <w:t>time period</w:t>
      </w:r>
      <w:proofErr w:type="gramEnd"/>
      <w:r w:rsidRPr="00673F93">
        <w:rPr>
          <w:rFonts w:cstheme="minorHAnsi"/>
          <w:sz w:val="24"/>
          <w:szCs w:val="24"/>
        </w:rPr>
        <w:t xml:space="preserve"> is limited to the years between 2005 and 2008. Year, month, </w:t>
      </w:r>
      <w:proofErr w:type="gramStart"/>
      <w:r w:rsidRPr="00673F93">
        <w:rPr>
          <w:rFonts w:cstheme="minorHAnsi"/>
          <w:sz w:val="24"/>
          <w:szCs w:val="24"/>
        </w:rPr>
        <w:t>weekday</w:t>
      </w:r>
      <w:proofErr w:type="gramEnd"/>
      <w:r w:rsidRPr="00673F93">
        <w:rPr>
          <w:rFonts w:cstheme="minorHAnsi"/>
          <w:sz w:val="24"/>
          <w:szCs w:val="24"/>
        </w:rPr>
        <w:t xml:space="preserve"> and firm fixed effects are denoted by </w:t>
      </w:r>
      <m:oMath>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t</m:t>
            </m:r>
          </m:sub>
        </m:sSub>
      </m:oMath>
      <w:r w:rsidRPr="00673F93">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m</m:t>
            </m:r>
          </m:sub>
        </m:sSub>
      </m:oMath>
      <w:r w:rsidRPr="00673F93">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w</m:t>
            </m:r>
          </m:sub>
        </m:sSub>
      </m:oMath>
      <w:r w:rsidRPr="00673F93">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i</m:t>
            </m:r>
          </m:sub>
        </m:sSub>
      </m:oMath>
      <w:r w:rsidRPr="00673F93">
        <w:rPr>
          <w:rFonts w:cstheme="minorHAnsi"/>
          <w:sz w:val="24"/>
          <w:szCs w:val="24"/>
        </w:rPr>
        <w:t>, respectively. Following the literature (Drake </w:t>
      </w:r>
      <w:r w:rsidR="005A3923">
        <w:rPr>
          <w:rFonts w:cstheme="minorHAnsi"/>
          <w:i/>
          <w:iCs/>
          <w:sz w:val="24"/>
          <w:szCs w:val="24"/>
        </w:rPr>
        <w:t xml:space="preserve">et al., </w:t>
      </w:r>
      <w:r w:rsidRPr="00673F93">
        <w:rPr>
          <w:rFonts w:cstheme="minorHAnsi"/>
          <w:sz w:val="24"/>
          <w:szCs w:val="24"/>
        </w:rPr>
        <w:t>2012), we control for the number of news articles that mention the firm (</w:t>
      </w:r>
      <w:r w:rsidRPr="00673F93">
        <w:rPr>
          <w:rFonts w:cstheme="minorHAnsi"/>
          <w:i/>
          <w:iCs/>
          <w:sz w:val="24"/>
          <w:szCs w:val="24"/>
        </w:rPr>
        <w:t>NEWS</w:t>
      </w:r>
      <w:r w:rsidRPr="00673F93">
        <w:rPr>
          <w:rFonts w:cstheme="minorHAnsi"/>
          <w:sz w:val="24"/>
          <w:szCs w:val="24"/>
        </w:rPr>
        <w:t>), the absolute value of raw stock returns (|</w:t>
      </w:r>
      <w:r w:rsidRPr="00673F93">
        <w:rPr>
          <w:rFonts w:cstheme="minorHAnsi"/>
          <w:i/>
          <w:iCs/>
          <w:sz w:val="24"/>
          <w:szCs w:val="24"/>
        </w:rPr>
        <w:t>RET</w:t>
      </w:r>
      <w:r w:rsidRPr="00673F93">
        <w:rPr>
          <w:rFonts w:cstheme="minorHAnsi"/>
          <w:sz w:val="24"/>
          <w:szCs w:val="24"/>
        </w:rPr>
        <w:t>|), trading volume (</w:t>
      </w:r>
      <w:r w:rsidRPr="00673F93">
        <w:rPr>
          <w:rFonts w:cstheme="minorHAnsi"/>
          <w:i/>
          <w:iCs/>
          <w:sz w:val="24"/>
          <w:szCs w:val="24"/>
        </w:rPr>
        <w:t>TURNOVER</w:t>
      </w:r>
      <w:r w:rsidRPr="00673F93">
        <w:rPr>
          <w:rFonts w:cstheme="minorHAnsi"/>
          <w:sz w:val="24"/>
          <w:szCs w:val="24"/>
        </w:rPr>
        <w:t>), the bid‐ask spread (</w:t>
      </w:r>
      <w:r w:rsidRPr="00673F93">
        <w:rPr>
          <w:rFonts w:cstheme="minorHAnsi"/>
          <w:i/>
          <w:iCs/>
          <w:sz w:val="24"/>
          <w:szCs w:val="24"/>
        </w:rPr>
        <w:t>BIDASK</w:t>
      </w:r>
      <w:r w:rsidRPr="00673F93">
        <w:rPr>
          <w:rFonts w:cstheme="minorHAnsi"/>
          <w:sz w:val="24"/>
          <w:szCs w:val="24"/>
        </w:rPr>
        <w:t>), the number of firms announcing earnings on the same day (</w:t>
      </w:r>
      <w:r w:rsidRPr="00673F93">
        <w:rPr>
          <w:rFonts w:cstheme="minorHAnsi"/>
          <w:i/>
          <w:iCs/>
          <w:sz w:val="24"/>
          <w:szCs w:val="24"/>
        </w:rPr>
        <w:t>ANM</w:t>
      </w:r>
      <w:r w:rsidRPr="00673F93">
        <w:rPr>
          <w:rFonts w:cstheme="minorHAnsi"/>
          <w:sz w:val="24"/>
          <w:szCs w:val="24"/>
        </w:rPr>
        <w:t>), market capitalisation (</w:t>
      </w:r>
      <w:r w:rsidRPr="00673F93">
        <w:rPr>
          <w:rFonts w:cstheme="minorHAnsi"/>
          <w:i/>
          <w:iCs/>
          <w:sz w:val="24"/>
          <w:szCs w:val="24"/>
        </w:rPr>
        <w:t>SIZE</w:t>
      </w:r>
      <w:r w:rsidRPr="00673F93">
        <w:rPr>
          <w:rFonts w:cstheme="minorHAnsi"/>
          <w:sz w:val="24"/>
          <w:szCs w:val="24"/>
        </w:rPr>
        <w:t>), market‐to‐book ratio (</w:t>
      </w:r>
      <w:r w:rsidRPr="00673F93">
        <w:rPr>
          <w:rFonts w:cstheme="minorHAnsi"/>
          <w:i/>
          <w:iCs/>
          <w:sz w:val="24"/>
          <w:szCs w:val="24"/>
        </w:rPr>
        <w:t>MB</w:t>
      </w:r>
      <w:r w:rsidRPr="00673F93">
        <w:rPr>
          <w:rFonts w:cstheme="minorHAnsi"/>
          <w:sz w:val="24"/>
          <w:szCs w:val="24"/>
        </w:rPr>
        <w:t>), analyst coverage (</w:t>
      </w:r>
      <w:r w:rsidRPr="00673F93">
        <w:rPr>
          <w:rFonts w:cstheme="minorHAnsi"/>
          <w:i/>
          <w:iCs/>
          <w:sz w:val="24"/>
          <w:szCs w:val="24"/>
        </w:rPr>
        <w:t>ANALYSTS</w:t>
      </w:r>
      <w:r w:rsidRPr="00673F93">
        <w:rPr>
          <w:rFonts w:cstheme="minorHAnsi"/>
          <w:sz w:val="24"/>
          <w:szCs w:val="24"/>
        </w:rPr>
        <w:t>), institutional ownership (</w:t>
      </w:r>
      <w:r w:rsidRPr="00673F93">
        <w:rPr>
          <w:rFonts w:cstheme="minorHAnsi"/>
          <w:i/>
          <w:iCs/>
          <w:sz w:val="24"/>
          <w:szCs w:val="24"/>
        </w:rPr>
        <w:t>INSTOWN</w:t>
      </w:r>
      <w:r w:rsidRPr="00673F93">
        <w:rPr>
          <w:rFonts w:cstheme="minorHAnsi"/>
          <w:sz w:val="24"/>
          <w:szCs w:val="24"/>
        </w:rPr>
        <w:t>), an indicator for earnings announcements made in the fourth quarter (</w:t>
      </w:r>
      <w:r w:rsidRPr="00673F93">
        <w:rPr>
          <w:rFonts w:cstheme="minorHAnsi"/>
          <w:i/>
          <w:iCs/>
          <w:sz w:val="24"/>
          <w:szCs w:val="24"/>
        </w:rPr>
        <w:t>QTR4</w:t>
      </w:r>
      <w:r w:rsidRPr="00673F93">
        <w:rPr>
          <w:rFonts w:cstheme="minorHAnsi"/>
          <w:sz w:val="24"/>
          <w:szCs w:val="24"/>
        </w:rPr>
        <w:t>), an indicator for earnings loss (</w:t>
      </w:r>
      <w:r w:rsidRPr="00673F93">
        <w:rPr>
          <w:rFonts w:cstheme="minorHAnsi"/>
          <w:i/>
          <w:iCs/>
          <w:sz w:val="24"/>
          <w:szCs w:val="24"/>
        </w:rPr>
        <w:t>LOSS</w:t>
      </w:r>
      <w:r w:rsidRPr="00673F93">
        <w:rPr>
          <w:rFonts w:cstheme="minorHAnsi"/>
          <w:sz w:val="24"/>
          <w:szCs w:val="24"/>
        </w:rPr>
        <w:t>), performance (</w:t>
      </w:r>
      <w:r w:rsidRPr="00673F93">
        <w:rPr>
          <w:rFonts w:cstheme="minorHAnsi"/>
          <w:i/>
          <w:iCs/>
          <w:sz w:val="24"/>
          <w:szCs w:val="24"/>
        </w:rPr>
        <w:t>|ROA|</w:t>
      </w:r>
      <w:r w:rsidRPr="00673F93">
        <w:rPr>
          <w:rFonts w:cstheme="minorHAnsi"/>
          <w:sz w:val="24"/>
          <w:szCs w:val="24"/>
        </w:rPr>
        <w:t>), and cumulative returns over the past three months (</w:t>
      </w:r>
      <w:r w:rsidRPr="00673F93">
        <w:rPr>
          <w:rFonts w:cstheme="minorHAnsi"/>
          <w:i/>
          <w:iCs/>
          <w:sz w:val="24"/>
          <w:szCs w:val="24"/>
        </w:rPr>
        <w:t>RET(m‐3, m)</w:t>
      </w:r>
      <w:r w:rsidRPr="00673F93">
        <w:rPr>
          <w:rFonts w:cstheme="minorHAnsi"/>
          <w:sz w:val="24"/>
          <w:szCs w:val="24"/>
        </w:rPr>
        <w:t>). We also include </w:t>
      </w:r>
      <w:r w:rsidRPr="00673F93">
        <w:rPr>
          <w:rFonts w:cstheme="minorHAnsi"/>
          <w:i/>
          <w:iCs/>
          <w:sz w:val="24"/>
          <w:szCs w:val="24"/>
        </w:rPr>
        <w:t>FORECAST</w:t>
      </w:r>
      <w:r w:rsidRPr="00673F93">
        <w:rPr>
          <w:rFonts w:cstheme="minorHAnsi"/>
          <w:sz w:val="24"/>
          <w:szCs w:val="24"/>
        </w:rPr>
        <w:t>, an indicator set to one if the firm issues a management forecast concurrently with the earnings announcement to control for additional voluntary disclosures. As in Hirshleifer </w:t>
      </w:r>
      <w:r w:rsidR="005A3923">
        <w:rPr>
          <w:rFonts w:cstheme="minorHAnsi"/>
          <w:i/>
          <w:iCs/>
          <w:sz w:val="24"/>
          <w:szCs w:val="24"/>
        </w:rPr>
        <w:t xml:space="preserve">et al. </w:t>
      </w:r>
      <w:r w:rsidRPr="00673F93">
        <w:rPr>
          <w:rFonts w:cstheme="minorHAnsi"/>
          <w:sz w:val="24"/>
          <w:szCs w:val="24"/>
        </w:rPr>
        <w:t> (2009), we cluster the standard errors by firm and earnings announcement date to account for correlation in the residuals across firm and time.</w:t>
      </w:r>
    </w:p>
    <w:p w14:paraId="03977627" w14:textId="61F9F884" w:rsidR="00673F93" w:rsidRPr="00673F93" w:rsidRDefault="00673F93" w:rsidP="00673F93">
      <w:pPr>
        <w:rPr>
          <w:rFonts w:cstheme="minorHAnsi"/>
          <w:sz w:val="24"/>
          <w:szCs w:val="24"/>
        </w:rPr>
      </w:pPr>
      <w:r w:rsidRPr="00673F93">
        <w:rPr>
          <w:rFonts w:cstheme="minorHAnsi"/>
          <w:sz w:val="24"/>
          <w:szCs w:val="24"/>
        </w:rPr>
        <w:t>Table 4 presents the results. Consistent with Drake </w:t>
      </w:r>
      <w:r w:rsidR="005A3923">
        <w:rPr>
          <w:rFonts w:cstheme="minorHAnsi"/>
          <w:i/>
          <w:iCs/>
          <w:sz w:val="24"/>
          <w:szCs w:val="24"/>
        </w:rPr>
        <w:t xml:space="preserve">et al. </w:t>
      </w:r>
      <w:r w:rsidRPr="00673F93">
        <w:rPr>
          <w:rFonts w:cstheme="minorHAnsi"/>
          <w:sz w:val="24"/>
          <w:szCs w:val="24"/>
        </w:rPr>
        <w:t xml:space="preserve">(2012), we find greater investor demand for company information around earnings announcements in the periods during and after an earnings announcement. Furthermore, the results suggest that more socially responsible firms have incrementally more Google searches in the period around an earnings announcement. On the date of the earnings announcement, firms that are more socially responsible experience greater search activity for company information as evidenced by the positive and statistically significant coefficient </w:t>
      </w:r>
      <w:r w:rsidRPr="00673F93">
        <w:rPr>
          <w:rFonts w:cstheme="minorHAnsi"/>
          <w:sz w:val="24"/>
          <w:szCs w:val="24"/>
        </w:rPr>
        <w:lastRenderedPageBreak/>
        <w:t>of </w:t>
      </w:r>
      <w:r w:rsidRPr="00673F93">
        <w:rPr>
          <w:rFonts w:cstheme="minorHAnsi"/>
          <w:i/>
          <w:iCs/>
          <w:sz w:val="24"/>
          <w:szCs w:val="24"/>
        </w:rPr>
        <w:t>EARNINGS_</w:t>
      </w:r>
      <w:proofErr w:type="gramStart"/>
      <w:r w:rsidRPr="00673F93">
        <w:rPr>
          <w:rFonts w:cstheme="minorHAnsi"/>
          <w:i/>
          <w:iCs/>
          <w:sz w:val="24"/>
          <w:szCs w:val="24"/>
        </w:rPr>
        <w:t>ANNOUNCEMENT[</w:t>
      </w:r>
      <w:proofErr w:type="gramEnd"/>
      <w:r w:rsidRPr="00673F93">
        <w:rPr>
          <w:rFonts w:cstheme="minorHAnsi"/>
          <w:i/>
          <w:iCs/>
          <w:sz w:val="24"/>
          <w:szCs w:val="24"/>
        </w:rPr>
        <w:t>0]×CSR</w:t>
      </w:r>
      <w:r w:rsidRPr="00673F93">
        <w:rPr>
          <w:rFonts w:cstheme="minorHAnsi"/>
          <w:sz w:val="24"/>
          <w:szCs w:val="24"/>
        </w:rPr>
        <w:t>. Subsequently, in the five‐day period after an earnings announcement, the interaction term </w:t>
      </w:r>
      <w:r w:rsidRPr="00673F93">
        <w:rPr>
          <w:rFonts w:cstheme="minorHAnsi"/>
          <w:i/>
          <w:iCs/>
          <w:sz w:val="24"/>
          <w:szCs w:val="24"/>
        </w:rPr>
        <w:t>EARNINGS_ANNOUNCEMENT[</w:t>
      </w:r>
      <w:hyperlink r:id="rId49" w:anchor="bib1" w:tooltip="1" w:history="1">
        <w:r w:rsidRPr="00673F93">
          <w:rPr>
            <w:rStyle w:val="Hyperlink"/>
            <w:rFonts w:cstheme="minorHAnsi"/>
            <w:i/>
            <w:iCs/>
            <w:sz w:val="24"/>
            <w:szCs w:val="24"/>
          </w:rPr>
          <w:t>1</w:t>
        </w:r>
      </w:hyperlink>
      <w:r w:rsidRPr="00673F93">
        <w:rPr>
          <w:rFonts w:cstheme="minorHAnsi"/>
          <w:i/>
          <w:iCs/>
          <w:sz w:val="24"/>
          <w:szCs w:val="24"/>
        </w:rPr>
        <w:t>,</w:t>
      </w:r>
      <w:hyperlink r:id="rId50" w:anchor="bib5" w:tooltip="5" w:history="1">
        <w:r w:rsidRPr="00673F93">
          <w:rPr>
            <w:rStyle w:val="Hyperlink"/>
            <w:rFonts w:cstheme="minorHAnsi"/>
            <w:i/>
            <w:iCs/>
            <w:sz w:val="24"/>
            <w:szCs w:val="24"/>
          </w:rPr>
          <w:t>5</w:t>
        </w:r>
      </w:hyperlink>
      <w:r w:rsidRPr="00673F93">
        <w:rPr>
          <w:rFonts w:cstheme="minorHAnsi"/>
          <w:i/>
          <w:iCs/>
          <w:sz w:val="24"/>
          <w:szCs w:val="24"/>
        </w:rPr>
        <w:t>]</w:t>
      </w:r>
      <w:r w:rsidRPr="00673F93">
        <w:rPr>
          <w:rFonts w:cstheme="minorHAnsi"/>
          <w:sz w:val="24"/>
          <w:szCs w:val="24"/>
        </w:rPr>
        <w:t> </w:t>
      </w:r>
      <w:r w:rsidRPr="00673F93">
        <w:rPr>
          <w:rFonts w:cstheme="minorHAnsi"/>
          <w:i/>
          <w:iCs/>
          <w:sz w:val="24"/>
          <w:szCs w:val="24"/>
        </w:rPr>
        <w:t>× CSR</w:t>
      </w:r>
      <w:r w:rsidRPr="00673F93">
        <w:rPr>
          <w:rFonts w:cstheme="minorHAnsi"/>
          <w:sz w:val="24"/>
          <w:szCs w:val="24"/>
        </w:rPr>
        <w:t> is positive and statistically significant at the 5 percent level. In terms of economic significance, a one standard deviation increase in CSR is associated with a 5.14 percent (5.07 percent) standard deviation increase in the abnormal Google searches on the date of (in the five‐day period after) an earnings announcement. Thus, firms with greater CSR experience higher abnormal Google searches surrounding an earnings announcement, suggesting that there is more search activity by investors for information regarding firms that are more socially responsible.</w:t>
      </w:r>
    </w:p>
    <w:p w14:paraId="649C7269" w14:textId="0FE7CC59" w:rsidR="00673F93" w:rsidRPr="00673F93" w:rsidRDefault="00673F93" w:rsidP="00C93F5A">
      <w:pPr>
        <w:spacing w:after="0"/>
        <w:rPr>
          <w:rFonts w:cstheme="minorHAnsi"/>
          <w:sz w:val="24"/>
          <w:szCs w:val="24"/>
        </w:rPr>
      </w:pPr>
      <w:r w:rsidRPr="00673F93">
        <w:rPr>
          <w:rFonts w:cstheme="minorHAnsi"/>
          <w:sz w:val="24"/>
          <w:szCs w:val="24"/>
        </w:rPr>
        <w:t>4 Table</w:t>
      </w:r>
      <w:r w:rsidR="00C93F5A">
        <w:rPr>
          <w:rFonts w:cstheme="minorHAnsi"/>
          <w:sz w:val="24"/>
          <w:szCs w:val="24"/>
        </w:rPr>
        <w:t xml:space="preserve"> </w:t>
      </w:r>
      <w:r w:rsidRPr="00673F93">
        <w:rPr>
          <w:rFonts w:cstheme="minorHAnsi"/>
          <w:sz w:val="24"/>
          <w:szCs w:val="24"/>
        </w:rPr>
        <w:t>CSR and abnormal Google searches</w:t>
      </w:r>
    </w:p>
    <w:tbl>
      <w:tblPr>
        <w:tblStyle w:val="TableGrid"/>
        <w:tblW w:w="5000" w:type="pct"/>
        <w:tblLook w:val="04A0" w:firstRow="1" w:lastRow="0" w:firstColumn="1" w:lastColumn="0" w:noHBand="0" w:noVBand="1"/>
      </w:tblPr>
      <w:tblGrid>
        <w:gridCol w:w="6423"/>
        <w:gridCol w:w="1917"/>
        <w:gridCol w:w="1730"/>
      </w:tblGrid>
      <w:tr w:rsidR="00955CB1" w:rsidRPr="00955CB1" w14:paraId="50A3DB8C" w14:textId="77777777" w:rsidTr="005A3923">
        <w:tc>
          <w:tcPr>
            <w:tcW w:w="3189" w:type="pct"/>
            <w:hideMark/>
          </w:tcPr>
          <w:p w14:paraId="60DE017B" w14:textId="77777777" w:rsidR="00955CB1" w:rsidRPr="00955CB1" w:rsidRDefault="00955CB1" w:rsidP="00C93F5A">
            <w:pPr>
              <w:pStyle w:val="NoSpacing"/>
              <w:rPr>
                <w:sz w:val="24"/>
                <w:szCs w:val="24"/>
              </w:rPr>
            </w:pPr>
          </w:p>
        </w:tc>
        <w:tc>
          <w:tcPr>
            <w:tcW w:w="952" w:type="pct"/>
          </w:tcPr>
          <w:p w14:paraId="67EEB3A4" w14:textId="23957C63" w:rsidR="00955CB1" w:rsidRPr="00955CB1" w:rsidRDefault="00955CB1" w:rsidP="00C93F5A">
            <w:pPr>
              <w:pStyle w:val="NoSpacing"/>
              <w:rPr>
                <w:b/>
                <w:bCs/>
                <w:sz w:val="24"/>
                <w:szCs w:val="24"/>
              </w:rPr>
            </w:pPr>
            <w:r w:rsidRPr="00955CB1">
              <w:rPr>
                <w:b/>
                <w:bCs/>
                <w:sz w:val="24"/>
                <w:szCs w:val="24"/>
              </w:rPr>
              <w:t>GSEARCH</w:t>
            </w:r>
          </w:p>
        </w:tc>
        <w:tc>
          <w:tcPr>
            <w:tcW w:w="859" w:type="pct"/>
            <w:hideMark/>
          </w:tcPr>
          <w:p w14:paraId="3FEBB5A2" w14:textId="2943A81F" w:rsidR="00955CB1" w:rsidRPr="00955CB1" w:rsidRDefault="00955CB1" w:rsidP="00C93F5A">
            <w:pPr>
              <w:pStyle w:val="NoSpacing"/>
              <w:rPr>
                <w:b/>
                <w:bCs/>
                <w:sz w:val="24"/>
                <w:szCs w:val="24"/>
              </w:rPr>
            </w:pPr>
          </w:p>
        </w:tc>
      </w:tr>
      <w:tr w:rsidR="00955CB1" w:rsidRPr="00955CB1" w14:paraId="34243B6E" w14:textId="77777777" w:rsidTr="005A3923">
        <w:tc>
          <w:tcPr>
            <w:tcW w:w="3189" w:type="pct"/>
            <w:hideMark/>
          </w:tcPr>
          <w:p w14:paraId="392A5F94" w14:textId="7562FC8E" w:rsidR="00955CB1" w:rsidRPr="00955CB1" w:rsidRDefault="00955CB1" w:rsidP="00C93F5A">
            <w:pPr>
              <w:pStyle w:val="NoSpacing"/>
              <w:rPr>
                <w:b/>
                <w:bCs/>
                <w:sz w:val="24"/>
                <w:szCs w:val="24"/>
              </w:rPr>
            </w:pPr>
          </w:p>
        </w:tc>
        <w:tc>
          <w:tcPr>
            <w:tcW w:w="952" w:type="pct"/>
          </w:tcPr>
          <w:p w14:paraId="3E03B6B5" w14:textId="717FCE64" w:rsidR="00955CB1" w:rsidRPr="00955CB1" w:rsidRDefault="00955CB1" w:rsidP="00C93F5A">
            <w:pPr>
              <w:pStyle w:val="NoSpacing"/>
              <w:rPr>
                <w:b/>
                <w:bCs/>
                <w:sz w:val="24"/>
                <w:szCs w:val="24"/>
              </w:rPr>
            </w:pPr>
            <w:r w:rsidRPr="00955CB1">
              <w:rPr>
                <w:b/>
                <w:bCs/>
                <w:sz w:val="24"/>
                <w:szCs w:val="24"/>
              </w:rPr>
              <w:t>Coefficient</w:t>
            </w:r>
          </w:p>
        </w:tc>
        <w:tc>
          <w:tcPr>
            <w:tcW w:w="859" w:type="pct"/>
            <w:hideMark/>
          </w:tcPr>
          <w:p w14:paraId="29A182D0" w14:textId="6CACD8BD" w:rsidR="00955CB1" w:rsidRPr="00955CB1" w:rsidRDefault="00955CB1" w:rsidP="00C93F5A">
            <w:pPr>
              <w:pStyle w:val="NoSpacing"/>
              <w:rPr>
                <w:b/>
                <w:bCs/>
                <w:sz w:val="24"/>
                <w:szCs w:val="24"/>
              </w:rPr>
            </w:pPr>
            <w:r w:rsidRPr="00955CB1">
              <w:rPr>
                <w:b/>
                <w:bCs/>
                <w:sz w:val="24"/>
                <w:szCs w:val="24"/>
              </w:rPr>
              <w:t>t‐Statistic</w:t>
            </w:r>
          </w:p>
        </w:tc>
      </w:tr>
      <w:tr w:rsidR="00673F93" w:rsidRPr="00955CB1" w14:paraId="3081EC3B" w14:textId="77777777" w:rsidTr="005A3923">
        <w:tc>
          <w:tcPr>
            <w:tcW w:w="3189" w:type="pct"/>
            <w:hideMark/>
          </w:tcPr>
          <w:p w14:paraId="6D08CAF1" w14:textId="77777777" w:rsidR="00673F93" w:rsidRPr="005A3923" w:rsidRDefault="00673F93" w:rsidP="00C93F5A">
            <w:pPr>
              <w:pStyle w:val="NoSpacing"/>
              <w:rPr>
                <w:i/>
                <w:iCs/>
                <w:sz w:val="24"/>
                <w:szCs w:val="24"/>
              </w:rPr>
            </w:pPr>
            <w:r w:rsidRPr="005A3923">
              <w:rPr>
                <w:i/>
                <w:iCs/>
                <w:sz w:val="24"/>
                <w:szCs w:val="24"/>
              </w:rPr>
              <w:t>EARNINGS_ANNOUNCEMENT[−5, −</w:t>
            </w:r>
            <w:proofErr w:type="gramStart"/>
            <w:r w:rsidRPr="005A3923">
              <w:rPr>
                <w:i/>
                <w:iCs/>
                <w:sz w:val="24"/>
                <w:szCs w:val="24"/>
              </w:rPr>
              <w:t>1]×</w:t>
            </w:r>
            <w:proofErr w:type="gramEnd"/>
            <w:r w:rsidRPr="005A3923">
              <w:rPr>
                <w:i/>
                <w:iCs/>
                <w:sz w:val="24"/>
                <w:szCs w:val="24"/>
              </w:rPr>
              <w:t>CSR</w:t>
            </w:r>
          </w:p>
        </w:tc>
        <w:tc>
          <w:tcPr>
            <w:tcW w:w="952" w:type="pct"/>
            <w:hideMark/>
          </w:tcPr>
          <w:p w14:paraId="055E738B" w14:textId="77777777" w:rsidR="00673F93" w:rsidRPr="00955CB1" w:rsidRDefault="00673F93" w:rsidP="00C93F5A">
            <w:pPr>
              <w:pStyle w:val="NoSpacing"/>
              <w:rPr>
                <w:sz w:val="24"/>
                <w:szCs w:val="24"/>
              </w:rPr>
            </w:pPr>
            <w:r w:rsidRPr="00955CB1">
              <w:rPr>
                <w:sz w:val="24"/>
                <w:szCs w:val="24"/>
              </w:rPr>
              <w:t>0.021</w:t>
            </w:r>
          </w:p>
        </w:tc>
        <w:tc>
          <w:tcPr>
            <w:tcW w:w="859" w:type="pct"/>
            <w:hideMark/>
          </w:tcPr>
          <w:p w14:paraId="138355DE" w14:textId="77777777" w:rsidR="00673F93" w:rsidRPr="00955CB1" w:rsidRDefault="00673F93" w:rsidP="00C93F5A">
            <w:pPr>
              <w:pStyle w:val="NoSpacing"/>
              <w:rPr>
                <w:sz w:val="24"/>
                <w:szCs w:val="24"/>
              </w:rPr>
            </w:pPr>
            <w:r w:rsidRPr="00955CB1">
              <w:rPr>
                <w:sz w:val="24"/>
                <w:szCs w:val="24"/>
              </w:rPr>
              <w:t>1.06</w:t>
            </w:r>
          </w:p>
        </w:tc>
      </w:tr>
      <w:tr w:rsidR="00673F93" w:rsidRPr="00955CB1" w14:paraId="46E90FEB" w14:textId="77777777" w:rsidTr="005A3923">
        <w:tc>
          <w:tcPr>
            <w:tcW w:w="3189" w:type="pct"/>
            <w:hideMark/>
          </w:tcPr>
          <w:p w14:paraId="03507153" w14:textId="77777777" w:rsidR="00673F93" w:rsidRPr="005A3923" w:rsidRDefault="00673F93" w:rsidP="00C93F5A">
            <w:pPr>
              <w:pStyle w:val="NoSpacing"/>
              <w:rPr>
                <w:i/>
                <w:iCs/>
                <w:sz w:val="24"/>
                <w:szCs w:val="24"/>
              </w:rPr>
            </w:pPr>
            <w:r w:rsidRPr="005A3923">
              <w:rPr>
                <w:i/>
                <w:iCs/>
                <w:sz w:val="24"/>
                <w:szCs w:val="24"/>
              </w:rPr>
              <w:t>EARNINGS_</w:t>
            </w:r>
            <w:proofErr w:type="gramStart"/>
            <w:r w:rsidRPr="005A3923">
              <w:rPr>
                <w:i/>
                <w:iCs/>
                <w:sz w:val="24"/>
                <w:szCs w:val="24"/>
              </w:rPr>
              <w:t>ANNOUNCEMENT[</w:t>
            </w:r>
            <w:proofErr w:type="gramEnd"/>
            <w:r w:rsidRPr="005A3923">
              <w:rPr>
                <w:i/>
                <w:iCs/>
                <w:sz w:val="24"/>
                <w:szCs w:val="24"/>
              </w:rPr>
              <w:t>0]×CSR</w:t>
            </w:r>
          </w:p>
        </w:tc>
        <w:tc>
          <w:tcPr>
            <w:tcW w:w="952" w:type="pct"/>
            <w:hideMark/>
          </w:tcPr>
          <w:p w14:paraId="4018211E" w14:textId="77777777" w:rsidR="00673F93" w:rsidRPr="00955CB1" w:rsidRDefault="00673F93" w:rsidP="00C93F5A">
            <w:pPr>
              <w:pStyle w:val="NoSpacing"/>
              <w:rPr>
                <w:sz w:val="24"/>
                <w:szCs w:val="24"/>
              </w:rPr>
            </w:pPr>
            <w:r w:rsidRPr="00955CB1">
              <w:rPr>
                <w:sz w:val="24"/>
                <w:szCs w:val="24"/>
              </w:rPr>
              <w:t>0.163**</w:t>
            </w:r>
          </w:p>
        </w:tc>
        <w:tc>
          <w:tcPr>
            <w:tcW w:w="859" w:type="pct"/>
            <w:hideMark/>
          </w:tcPr>
          <w:p w14:paraId="78BB5CEE" w14:textId="77777777" w:rsidR="00673F93" w:rsidRPr="00955CB1" w:rsidRDefault="00673F93" w:rsidP="00C93F5A">
            <w:pPr>
              <w:pStyle w:val="NoSpacing"/>
              <w:rPr>
                <w:sz w:val="24"/>
                <w:szCs w:val="24"/>
              </w:rPr>
            </w:pPr>
            <w:r w:rsidRPr="00955CB1">
              <w:rPr>
                <w:sz w:val="24"/>
                <w:szCs w:val="24"/>
              </w:rPr>
              <w:t>2.11</w:t>
            </w:r>
          </w:p>
        </w:tc>
      </w:tr>
      <w:tr w:rsidR="00673F93" w:rsidRPr="00955CB1" w14:paraId="15BECE7C" w14:textId="77777777" w:rsidTr="005A3923">
        <w:tc>
          <w:tcPr>
            <w:tcW w:w="3189" w:type="pct"/>
            <w:hideMark/>
          </w:tcPr>
          <w:p w14:paraId="76149524" w14:textId="77777777" w:rsidR="00673F93" w:rsidRPr="005A3923" w:rsidRDefault="00673F93" w:rsidP="00C93F5A">
            <w:pPr>
              <w:pStyle w:val="NoSpacing"/>
              <w:rPr>
                <w:i/>
                <w:iCs/>
                <w:sz w:val="24"/>
                <w:szCs w:val="24"/>
              </w:rPr>
            </w:pPr>
            <w:r w:rsidRPr="005A3923">
              <w:rPr>
                <w:i/>
                <w:iCs/>
                <w:sz w:val="24"/>
                <w:szCs w:val="24"/>
              </w:rPr>
              <w:t>EARNINGS_</w:t>
            </w:r>
            <w:proofErr w:type="gramStart"/>
            <w:r w:rsidRPr="005A3923">
              <w:rPr>
                <w:i/>
                <w:iCs/>
                <w:sz w:val="24"/>
                <w:szCs w:val="24"/>
              </w:rPr>
              <w:t>ANNOUNCEMENT[</w:t>
            </w:r>
            <w:proofErr w:type="gramEnd"/>
            <w:r w:rsidRPr="005A3923">
              <w:rPr>
                <w:i/>
                <w:iCs/>
                <w:sz w:val="24"/>
                <w:szCs w:val="24"/>
              </w:rPr>
              <w:t>1,5]×CSR</w:t>
            </w:r>
          </w:p>
        </w:tc>
        <w:tc>
          <w:tcPr>
            <w:tcW w:w="952" w:type="pct"/>
            <w:hideMark/>
          </w:tcPr>
          <w:p w14:paraId="0EAA8011" w14:textId="77777777" w:rsidR="00673F93" w:rsidRPr="00955CB1" w:rsidRDefault="00673F93" w:rsidP="00C93F5A">
            <w:pPr>
              <w:pStyle w:val="NoSpacing"/>
              <w:rPr>
                <w:sz w:val="24"/>
                <w:szCs w:val="24"/>
              </w:rPr>
            </w:pPr>
            <w:r w:rsidRPr="00955CB1">
              <w:rPr>
                <w:sz w:val="24"/>
                <w:szCs w:val="24"/>
              </w:rPr>
              <w:t>0.146**</w:t>
            </w:r>
          </w:p>
        </w:tc>
        <w:tc>
          <w:tcPr>
            <w:tcW w:w="859" w:type="pct"/>
            <w:hideMark/>
          </w:tcPr>
          <w:p w14:paraId="3DFFB490" w14:textId="77777777" w:rsidR="00673F93" w:rsidRPr="00955CB1" w:rsidRDefault="00673F93" w:rsidP="00C93F5A">
            <w:pPr>
              <w:pStyle w:val="NoSpacing"/>
              <w:rPr>
                <w:sz w:val="24"/>
                <w:szCs w:val="24"/>
              </w:rPr>
            </w:pPr>
            <w:r w:rsidRPr="00955CB1">
              <w:rPr>
                <w:sz w:val="24"/>
                <w:szCs w:val="24"/>
              </w:rPr>
              <w:t>2.41</w:t>
            </w:r>
          </w:p>
        </w:tc>
      </w:tr>
      <w:tr w:rsidR="00673F93" w:rsidRPr="00955CB1" w14:paraId="63425874" w14:textId="77777777" w:rsidTr="005A3923">
        <w:tc>
          <w:tcPr>
            <w:tcW w:w="3189" w:type="pct"/>
            <w:hideMark/>
          </w:tcPr>
          <w:p w14:paraId="54041A2D" w14:textId="77777777" w:rsidR="00673F93" w:rsidRPr="005A3923" w:rsidRDefault="00673F93" w:rsidP="00C93F5A">
            <w:pPr>
              <w:pStyle w:val="NoSpacing"/>
              <w:rPr>
                <w:i/>
                <w:iCs/>
                <w:sz w:val="24"/>
                <w:szCs w:val="24"/>
              </w:rPr>
            </w:pPr>
            <w:r w:rsidRPr="005A3923">
              <w:rPr>
                <w:i/>
                <w:iCs/>
                <w:sz w:val="24"/>
                <w:szCs w:val="24"/>
              </w:rPr>
              <w:t>CSR</w:t>
            </w:r>
          </w:p>
        </w:tc>
        <w:tc>
          <w:tcPr>
            <w:tcW w:w="952" w:type="pct"/>
            <w:hideMark/>
          </w:tcPr>
          <w:p w14:paraId="3C6D13DA" w14:textId="77777777" w:rsidR="00673F93" w:rsidRPr="00955CB1" w:rsidRDefault="00673F93" w:rsidP="00C93F5A">
            <w:pPr>
              <w:pStyle w:val="NoSpacing"/>
              <w:rPr>
                <w:sz w:val="24"/>
                <w:szCs w:val="24"/>
              </w:rPr>
            </w:pPr>
            <w:r w:rsidRPr="00955CB1">
              <w:rPr>
                <w:sz w:val="24"/>
                <w:szCs w:val="24"/>
              </w:rPr>
              <w:t>−0.053</w:t>
            </w:r>
          </w:p>
        </w:tc>
        <w:tc>
          <w:tcPr>
            <w:tcW w:w="859" w:type="pct"/>
            <w:hideMark/>
          </w:tcPr>
          <w:p w14:paraId="3F9F746D" w14:textId="77777777" w:rsidR="00673F93" w:rsidRPr="00955CB1" w:rsidRDefault="00673F93" w:rsidP="00C93F5A">
            <w:pPr>
              <w:pStyle w:val="NoSpacing"/>
              <w:rPr>
                <w:sz w:val="24"/>
                <w:szCs w:val="24"/>
              </w:rPr>
            </w:pPr>
            <w:r w:rsidRPr="00955CB1">
              <w:rPr>
                <w:sz w:val="24"/>
                <w:szCs w:val="24"/>
              </w:rPr>
              <w:t>−1.47</w:t>
            </w:r>
          </w:p>
        </w:tc>
      </w:tr>
      <w:tr w:rsidR="00673F93" w:rsidRPr="00955CB1" w14:paraId="3B24F1DA" w14:textId="77777777" w:rsidTr="005A3923">
        <w:tc>
          <w:tcPr>
            <w:tcW w:w="3189" w:type="pct"/>
            <w:hideMark/>
          </w:tcPr>
          <w:p w14:paraId="034858B3" w14:textId="77777777" w:rsidR="00673F93" w:rsidRPr="005A3923" w:rsidRDefault="00673F93" w:rsidP="00C93F5A">
            <w:pPr>
              <w:pStyle w:val="NoSpacing"/>
              <w:rPr>
                <w:i/>
                <w:iCs/>
                <w:sz w:val="24"/>
                <w:szCs w:val="24"/>
              </w:rPr>
            </w:pPr>
            <w:r w:rsidRPr="005A3923">
              <w:rPr>
                <w:i/>
                <w:iCs/>
                <w:sz w:val="24"/>
                <w:szCs w:val="24"/>
              </w:rPr>
              <w:t>EARNINGS_</w:t>
            </w:r>
            <w:proofErr w:type="gramStart"/>
            <w:r w:rsidRPr="005A3923">
              <w:rPr>
                <w:i/>
                <w:iCs/>
                <w:sz w:val="24"/>
                <w:szCs w:val="24"/>
              </w:rPr>
              <w:t>ANNOUNCEMENT[</w:t>
            </w:r>
            <w:proofErr w:type="gramEnd"/>
            <w:r w:rsidRPr="005A3923">
              <w:rPr>
                <w:i/>
                <w:iCs/>
                <w:sz w:val="24"/>
                <w:szCs w:val="24"/>
              </w:rPr>
              <w:t>−5,‐1]</w:t>
            </w:r>
          </w:p>
        </w:tc>
        <w:tc>
          <w:tcPr>
            <w:tcW w:w="952" w:type="pct"/>
            <w:hideMark/>
          </w:tcPr>
          <w:p w14:paraId="097F767D" w14:textId="77777777" w:rsidR="00673F93" w:rsidRPr="00955CB1" w:rsidRDefault="00673F93" w:rsidP="00C93F5A">
            <w:pPr>
              <w:pStyle w:val="NoSpacing"/>
              <w:rPr>
                <w:sz w:val="24"/>
                <w:szCs w:val="24"/>
              </w:rPr>
            </w:pPr>
            <w:r w:rsidRPr="00955CB1">
              <w:rPr>
                <w:sz w:val="24"/>
                <w:szCs w:val="24"/>
              </w:rPr>
              <w:t>0.021*</w:t>
            </w:r>
          </w:p>
        </w:tc>
        <w:tc>
          <w:tcPr>
            <w:tcW w:w="859" w:type="pct"/>
            <w:hideMark/>
          </w:tcPr>
          <w:p w14:paraId="79F15A5F" w14:textId="77777777" w:rsidR="00673F93" w:rsidRPr="00955CB1" w:rsidRDefault="00673F93" w:rsidP="00C93F5A">
            <w:pPr>
              <w:pStyle w:val="NoSpacing"/>
              <w:rPr>
                <w:sz w:val="24"/>
                <w:szCs w:val="24"/>
              </w:rPr>
            </w:pPr>
            <w:r w:rsidRPr="00955CB1">
              <w:rPr>
                <w:sz w:val="24"/>
                <w:szCs w:val="24"/>
              </w:rPr>
              <w:t>1.68</w:t>
            </w:r>
          </w:p>
        </w:tc>
      </w:tr>
      <w:tr w:rsidR="00673F93" w:rsidRPr="00955CB1" w14:paraId="6785BFCD" w14:textId="77777777" w:rsidTr="005A3923">
        <w:tc>
          <w:tcPr>
            <w:tcW w:w="3189" w:type="pct"/>
            <w:hideMark/>
          </w:tcPr>
          <w:p w14:paraId="135F12C9" w14:textId="77777777" w:rsidR="00673F93" w:rsidRPr="005A3923" w:rsidRDefault="00673F93" w:rsidP="00C93F5A">
            <w:pPr>
              <w:pStyle w:val="NoSpacing"/>
              <w:rPr>
                <w:i/>
                <w:iCs/>
                <w:sz w:val="24"/>
                <w:szCs w:val="24"/>
              </w:rPr>
            </w:pPr>
            <w:r w:rsidRPr="005A3923">
              <w:rPr>
                <w:i/>
                <w:iCs/>
                <w:sz w:val="24"/>
                <w:szCs w:val="24"/>
              </w:rPr>
              <w:t>EARNINGS_</w:t>
            </w:r>
            <w:proofErr w:type="gramStart"/>
            <w:r w:rsidRPr="005A3923">
              <w:rPr>
                <w:i/>
                <w:iCs/>
                <w:sz w:val="24"/>
                <w:szCs w:val="24"/>
              </w:rPr>
              <w:t>ANNOUNCEMENT[</w:t>
            </w:r>
            <w:proofErr w:type="gramEnd"/>
            <w:r w:rsidRPr="005A3923">
              <w:rPr>
                <w:i/>
                <w:iCs/>
                <w:sz w:val="24"/>
                <w:szCs w:val="24"/>
              </w:rPr>
              <w:t>0]</w:t>
            </w:r>
          </w:p>
        </w:tc>
        <w:tc>
          <w:tcPr>
            <w:tcW w:w="952" w:type="pct"/>
            <w:hideMark/>
          </w:tcPr>
          <w:p w14:paraId="416073A6" w14:textId="77777777" w:rsidR="00673F93" w:rsidRPr="00955CB1" w:rsidRDefault="00673F93" w:rsidP="00C93F5A">
            <w:pPr>
              <w:pStyle w:val="NoSpacing"/>
              <w:rPr>
                <w:sz w:val="24"/>
                <w:szCs w:val="24"/>
              </w:rPr>
            </w:pPr>
            <w:r w:rsidRPr="00955CB1">
              <w:rPr>
                <w:sz w:val="24"/>
                <w:szCs w:val="24"/>
              </w:rPr>
              <w:t>0.324***</w:t>
            </w:r>
          </w:p>
        </w:tc>
        <w:tc>
          <w:tcPr>
            <w:tcW w:w="859" w:type="pct"/>
            <w:hideMark/>
          </w:tcPr>
          <w:p w14:paraId="2C417DD9" w14:textId="77777777" w:rsidR="00673F93" w:rsidRPr="00955CB1" w:rsidRDefault="00673F93" w:rsidP="00C93F5A">
            <w:pPr>
              <w:pStyle w:val="NoSpacing"/>
              <w:rPr>
                <w:sz w:val="24"/>
                <w:szCs w:val="24"/>
              </w:rPr>
            </w:pPr>
            <w:r w:rsidRPr="00955CB1">
              <w:rPr>
                <w:sz w:val="24"/>
                <w:szCs w:val="24"/>
              </w:rPr>
              <w:t>3.21</w:t>
            </w:r>
          </w:p>
        </w:tc>
      </w:tr>
      <w:tr w:rsidR="00673F93" w:rsidRPr="00955CB1" w14:paraId="2B6A3074" w14:textId="77777777" w:rsidTr="005A3923">
        <w:tc>
          <w:tcPr>
            <w:tcW w:w="3189" w:type="pct"/>
            <w:hideMark/>
          </w:tcPr>
          <w:p w14:paraId="111C10BD" w14:textId="77777777" w:rsidR="00673F93" w:rsidRPr="005A3923" w:rsidRDefault="00673F93" w:rsidP="00C93F5A">
            <w:pPr>
              <w:pStyle w:val="NoSpacing"/>
              <w:rPr>
                <w:i/>
                <w:iCs/>
                <w:sz w:val="24"/>
                <w:szCs w:val="24"/>
              </w:rPr>
            </w:pPr>
            <w:r w:rsidRPr="005A3923">
              <w:rPr>
                <w:i/>
                <w:iCs/>
                <w:sz w:val="24"/>
                <w:szCs w:val="24"/>
              </w:rPr>
              <w:t>EARNINGS_</w:t>
            </w:r>
            <w:proofErr w:type="gramStart"/>
            <w:r w:rsidRPr="005A3923">
              <w:rPr>
                <w:i/>
                <w:iCs/>
                <w:sz w:val="24"/>
                <w:szCs w:val="24"/>
              </w:rPr>
              <w:t>ANNOUNCEMENT[</w:t>
            </w:r>
            <w:proofErr w:type="gramEnd"/>
            <w:r w:rsidRPr="005A3923">
              <w:rPr>
                <w:i/>
                <w:iCs/>
                <w:sz w:val="24"/>
                <w:szCs w:val="24"/>
              </w:rPr>
              <w:t>1,5]</w:t>
            </w:r>
          </w:p>
        </w:tc>
        <w:tc>
          <w:tcPr>
            <w:tcW w:w="952" w:type="pct"/>
            <w:hideMark/>
          </w:tcPr>
          <w:p w14:paraId="7CBAE066" w14:textId="77777777" w:rsidR="00673F93" w:rsidRPr="00955CB1" w:rsidRDefault="00673F93" w:rsidP="00C93F5A">
            <w:pPr>
              <w:pStyle w:val="NoSpacing"/>
              <w:rPr>
                <w:sz w:val="24"/>
                <w:szCs w:val="24"/>
              </w:rPr>
            </w:pPr>
            <w:r w:rsidRPr="00955CB1">
              <w:rPr>
                <w:sz w:val="24"/>
                <w:szCs w:val="24"/>
              </w:rPr>
              <w:t>0.180***</w:t>
            </w:r>
          </w:p>
        </w:tc>
        <w:tc>
          <w:tcPr>
            <w:tcW w:w="859" w:type="pct"/>
            <w:hideMark/>
          </w:tcPr>
          <w:p w14:paraId="283F9CAC" w14:textId="77777777" w:rsidR="00673F93" w:rsidRPr="00955CB1" w:rsidRDefault="00673F93" w:rsidP="00C93F5A">
            <w:pPr>
              <w:pStyle w:val="NoSpacing"/>
              <w:rPr>
                <w:sz w:val="24"/>
                <w:szCs w:val="24"/>
              </w:rPr>
            </w:pPr>
            <w:r w:rsidRPr="00955CB1">
              <w:rPr>
                <w:sz w:val="24"/>
                <w:szCs w:val="24"/>
              </w:rPr>
              <w:t>5.13</w:t>
            </w:r>
          </w:p>
        </w:tc>
      </w:tr>
      <w:tr w:rsidR="00673F93" w:rsidRPr="00955CB1" w14:paraId="30F90E32" w14:textId="77777777" w:rsidTr="005A3923">
        <w:tc>
          <w:tcPr>
            <w:tcW w:w="3189" w:type="pct"/>
            <w:hideMark/>
          </w:tcPr>
          <w:p w14:paraId="23D18DEF" w14:textId="77777777" w:rsidR="00673F93" w:rsidRPr="005A3923" w:rsidRDefault="00673F93" w:rsidP="00C93F5A">
            <w:pPr>
              <w:pStyle w:val="NoSpacing"/>
              <w:rPr>
                <w:i/>
                <w:iCs/>
                <w:sz w:val="24"/>
                <w:szCs w:val="24"/>
              </w:rPr>
            </w:pPr>
            <w:r w:rsidRPr="005A3923">
              <w:rPr>
                <w:i/>
                <w:iCs/>
                <w:sz w:val="24"/>
                <w:szCs w:val="24"/>
              </w:rPr>
              <w:t>NEWS</w:t>
            </w:r>
          </w:p>
        </w:tc>
        <w:tc>
          <w:tcPr>
            <w:tcW w:w="952" w:type="pct"/>
            <w:hideMark/>
          </w:tcPr>
          <w:p w14:paraId="393EE1B7" w14:textId="77777777" w:rsidR="00673F93" w:rsidRPr="00955CB1" w:rsidRDefault="00673F93" w:rsidP="00C93F5A">
            <w:pPr>
              <w:pStyle w:val="NoSpacing"/>
              <w:rPr>
                <w:sz w:val="24"/>
                <w:szCs w:val="24"/>
              </w:rPr>
            </w:pPr>
            <w:r w:rsidRPr="00955CB1">
              <w:rPr>
                <w:sz w:val="24"/>
                <w:szCs w:val="24"/>
              </w:rPr>
              <w:t>0.012***</w:t>
            </w:r>
          </w:p>
        </w:tc>
        <w:tc>
          <w:tcPr>
            <w:tcW w:w="859" w:type="pct"/>
            <w:hideMark/>
          </w:tcPr>
          <w:p w14:paraId="3C6605CB" w14:textId="77777777" w:rsidR="00673F93" w:rsidRPr="00955CB1" w:rsidRDefault="00673F93" w:rsidP="00C93F5A">
            <w:pPr>
              <w:pStyle w:val="NoSpacing"/>
              <w:rPr>
                <w:sz w:val="24"/>
                <w:szCs w:val="24"/>
              </w:rPr>
            </w:pPr>
            <w:r w:rsidRPr="00955CB1">
              <w:rPr>
                <w:sz w:val="24"/>
                <w:szCs w:val="24"/>
              </w:rPr>
              <w:t>2.97</w:t>
            </w:r>
          </w:p>
        </w:tc>
      </w:tr>
      <w:tr w:rsidR="00673F93" w:rsidRPr="00955CB1" w14:paraId="1B27DFD5" w14:textId="77777777" w:rsidTr="005A3923">
        <w:tc>
          <w:tcPr>
            <w:tcW w:w="3189" w:type="pct"/>
            <w:hideMark/>
          </w:tcPr>
          <w:p w14:paraId="5DA258A6" w14:textId="77777777" w:rsidR="00673F93" w:rsidRPr="005A3923" w:rsidRDefault="00673F93" w:rsidP="00C93F5A">
            <w:pPr>
              <w:pStyle w:val="NoSpacing"/>
              <w:rPr>
                <w:i/>
                <w:iCs/>
                <w:sz w:val="24"/>
                <w:szCs w:val="24"/>
              </w:rPr>
            </w:pPr>
            <w:r w:rsidRPr="005A3923">
              <w:rPr>
                <w:i/>
                <w:iCs/>
                <w:sz w:val="24"/>
                <w:szCs w:val="24"/>
              </w:rPr>
              <w:t>|RET|</w:t>
            </w:r>
          </w:p>
        </w:tc>
        <w:tc>
          <w:tcPr>
            <w:tcW w:w="952" w:type="pct"/>
            <w:hideMark/>
          </w:tcPr>
          <w:p w14:paraId="382FB2E5" w14:textId="77777777" w:rsidR="00673F93" w:rsidRPr="00955CB1" w:rsidRDefault="00673F93" w:rsidP="00C93F5A">
            <w:pPr>
              <w:pStyle w:val="NoSpacing"/>
              <w:rPr>
                <w:sz w:val="24"/>
                <w:szCs w:val="24"/>
              </w:rPr>
            </w:pPr>
            <w:r w:rsidRPr="00955CB1">
              <w:rPr>
                <w:sz w:val="24"/>
                <w:szCs w:val="24"/>
              </w:rPr>
              <w:t>2.179***</w:t>
            </w:r>
          </w:p>
        </w:tc>
        <w:tc>
          <w:tcPr>
            <w:tcW w:w="859" w:type="pct"/>
            <w:hideMark/>
          </w:tcPr>
          <w:p w14:paraId="18EEC5D3" w14:textId="77777777" w:rsidR="00673F93" w:rsidRPr="00955CB1" w:rsidRDefault="00673F93" w:rsidP="00C93F5A">
            <w:pPr>
              <w:pStyle w:val="NoSpacing"/>
              <w:rPr>
                <w:sz w:val="24"/>
                <w:szCs w:val="24"/>
              </w:rPr>
            </w:pPr>
            <w:r w:rsidRPr="00955CB1">
              <w:rPr>
                <w:sz w:val="24"/>
                <w:szCs w:val="24"/>
              </w:rPr>
              <w:t>4.09</w:t>
            </w:r>
          </w:p>
        </w:tc>
      </w:tr>
      <w:tr w:rsidR="00673F93" w:rsidRPr="00955CB1" w14:paraId="4141FF67" w14:textId="77777777" w:rsidTr="005A3923">
        <w:tc>
          <w:tcPr>
            <w:tcW w:w="3189" w:type="pct"/>
            <w:hideMark/>
          </w:tcPr>
          <w:p w14:paraId="63C2C059" w14:textId="77777777" w:rsidR="00673F93" w:rsidRPr="005A3923" w:rsidRDefault="00673F93" w:rsidP="00C93F5A">
            <w:pPr>
              <w:pStyle w:val="NoSpacing"/>
              <w:rPr>
                <w:i/>
                <w:iCs/>
                <w:sz w:val="24"/>
                <w:szCs w:val="24"/>
              </w:rPr>
            </w:pPr>
            <w:r w:rsidRPr="005A3923">
              <w:rPr>
                <w:i/>
                <w:iCs/>
                <w:sz w:val="24"/>
                <w:szCs w:val="24"/>
              </w:rPr>
              <w:t>TURNOVER</w:t>
            </w:r>
          </w:p>
        </w:tc>
        <w:tc>
          <w:tcPr>
            <w:tcW w:w="952" w:type="pct"/>
            <w:hideMark/>
          </w:tcPr>
          <w:p w14:paraId="415A0B98" w14:textId="77777777" w:rsidR="00673F93" w:rsidRPr="00955CB1" w:rsidRDefault="00673F93" w:rsidP="00C93F5A">
            <w:pPr>
              <w:pStyle w:val="NoSpacing"/>
              <w:rPr>
                <w:sz w:val="24"/>
                <w:szCs w:val="24"/>
              </w:rPr>
            </w:pPr>
            <w:r w:rsidRPr="00955CB1">
              <w:rPr>
                <w:sz w:val="24"/>
                <w:szCs w:val="24"/>
              </w:rPr>
              <w:t>0.096</w:t>
            </w:r>
          </w:p>
        </w:tc>
        <w:tc>
          <w:tcPr>
            <w:tcW w:w="859" w:type="pct"/>
            <w:hideMark/>
          </w:tcPr>
          <w:p w14:paraId="367BAA53" w14:textId="77777777" w:rsidR="00673F93" w:rsidRPr="00955CB1" w:rsidRDefault="00673F93" w:rsidP="00C93F5A">
            <w:pPr>
              <w:pStyle w:val="NoSpacing"/>
              <w:rPr>
                <w:sz w:val="24"/>
                <w:szCs w:val="24"/>
              </w:rPr>
            </w:pPr>
            <w:r w:rsidRPr="00955CB1">
              <w:rPr>
                <w:sz w:val="24"/>
                <w:szCs w:val="24"/>
              </w:rPr>
              <w:t>1.42</w:t>
            </w:r>
          </w:p>
        </w:tc>
      </w:tr>
      <w:tr w:rsidR="00673F93" w:rsidRPr="00955CB1" w14:paraId="6F45F512" w14:textId="77777777" w:rsidTr="005A3923">
        <w:tc>
          <w:tcPr>
            <w:tcW w:w="3189" w:type="pct"/>
            <w:hideMark/>
          </w:tcPr>
          <w:p w14:paraId="1BEFF6AD" w14:textId="77777777" w:rsidR="00673F93" w:rsidRPr="005A3923" w:rsidRDefault="00673F93" w:rsidP="00C93F5A">
            <w:pPr>
              <w:pStyle w:val="NoSpacing"/>
              <w:rPr>
                <w:i/>
                <w:iCs/>
                <w:sz w:val="24"/>
                <w:szCs w:val="24"/>
              </w:rPr>
            </w:pPr>
            <w:r w:rsidRPr="005A3923">
              <w:rPr>
                <w:i/>
                <w:iCs/>
                <w:sz w:val="24"/>
                <w:szCs w:val="24"/>
              </w:rPr>
              <w:t>BIDASK</w:t>
            </w:r>
          </w:p>
        </w:tc>
        <w:tc>
          <w:tcPr>
            <w:tcW w:w="952" w:type="pct"/>
            <w:hideMark/>
          </w:tcPr>
          <w:p w14:paraId="5FD6FFAC" w14:textId="77777777" w:rsidR="00673F93" w:rsidRPr="00955CB1" w:rsidRDefault="00673F93" w:rsidP="00C93F5A">
            <w:pPr>
              <w:pStyle w:val="NoSpacing"/>
              <w:rPr>
                <w:sz w:val="24"/>
                <w:szCs w:val="24"/>
              </w:rPr>
            </w:pPr>
            <w:r w:rsidRPr="00955CB1">
              <w:rPr>
                <w:sz w:val="24"/>
                <w:szCs w:val="24"/>
              </w:rPr>
              <w:t>−0.002</w:t>
            </w:r>
          </w:p>
        </w:tc>
        <w:tc>
          <w:tcPr>
            <w:tcW w:w="859" w:type="pct"/>
            <w:hideMark/>
          </w:tcPr>
          <w:p w14:paraId="561B457F" w14:textId="77777777" w:rsidR="00673F93" w:rsidRPr="00955CB1" w:rsidRDefault="00673F93" w:rsidP="00C93F5A">
            <w:pPr>
              <w:pStyle w:val="NoSpacing"/>
              <w:rPr>
                <w:sz w:val="24"/>
                <w:szCs w:val="24"/>
              </w:rPr>
            </w:pPr>
            <w:r w:rsidRPr="00955CB1">
              <w:rPr>
                <w:sz w:val="24"/>
                <w:szCs w:val="24"/>
              </w:rPr>
              <w:t>−0.05</w:t>
            </w:r>
          </w:p>
        </w:tc>
      </w:tr>
      <w:tr w:rsidR="00673F93" w:rsidRPr="00955CB1" w14:paraId="7F96A4E9" w14:textId="77777777" w:rsidTr="005A3923">
        <w:tc>
          <w:tcPr>
            <w:tcW w:w="3189" w:type="pct"/>
            <w:hideMark/>
          </w:tcPr>
          <w:p w14:paraId="69D7AEDE" w14:textId="77777777" w:rsidR="00673F93" w:rsidRPr="005A3923" w:rsidRDefault="00673F93" w:rsidP="00C93F5A">
            <w:pPr>
              <w:pStyle w:val="NoSpacing"/>
              <w:rPr>
                <w:i/>
                <w:iCs/>
                <w:sz w:val="24"/>
                <w:szCs w:val="24"/>
              </w:rPr>
            </w:pPr>
            <w:r w:rsidRPr="005A3923">
              <w:rPr>
                <w:i/>
                <w:iCs/>
                <w:sz w:val="24"/>
                <w:szCs w:val="24"/>
              </w:rPr>
              <w:t>ANM</w:t>
            </w:r>
          </w:p>
        </w:tc>
        <w:tc>
          <w:tcPr>
            <w:tcW w:w="952" w:type="pct"/>
            <w:hideMark/>
          </w:tcPr>
          <w:p w14:paraId="125C7A41" w14:textId="77777777" w:rsidR="00673F93" w:rsidRPr="00955CB1" w:rsidRDefault="00673F93" w:rsidP="00C93F5A">
            <w:pPr>
              <w:pStyle w:val="NoSpacing"/>
              <w:rPr>
                <w:sz w:val="24"/>
                <w:szCs w:val="24"/>
              </w:rPr>
            </w:pPr>
            <w:r w:rsidRPr="00955CB1">
              <w:rPr>
                <w:sz w:val="24"/>
                <w:szCs w:val="24"/>
              </w:rPr>
              <w:t>−0.022</w:t>
            </w:r>
          </w:p>
        </w:tc>
        <w:tc>
          <w:tcPr>
            <w:tcW w:w="859" w:type="pct"/>
            <w:hideMark/>
          </w:tcPr>
          <w:p w14:paraId="00CACFE8" w14:textId="77777777" w:rsidR="00673F93" w:rsidRPr="00955CB1" w:rsidRDefault="00673F93" w:rsidP="00C93F5A">
            <w:pPr>
              <w:pStyle w:val="NoSpacing"/>
              <w:rPr>
                <w:sz w:val="24"/>
                <w:szCs w:val="24"/>
              </w:rPr>
            </w:pPr>
            <w:r w:rsidRPr="00955CB1">
              <w:rPr>
                <w:sz w:val="24"/>
                <w:szCs w:val="24"/>
              </w:rPr>
              <w:t>−0.50</w:t>
            </w:r>
          </w:p>
        </w:tc>
      </w:tr>
      <w:tr w:rsidR="00673F93" w:rsidRPr="00955CB1" w14:paraId="23A3D977" w14:textId="77777777" w:rsidTr="005A3923">
        <w:tc>
          <w:tcPr>
            <w:tcW w:w="3189" w:type="pct"/>
            <w:hideMark/>
          </w:tcPr>
          <w:p w14:paraId="5141703C" w14:textId="77777777" w:rsidR="00673F93" w:rsidRPr="005A3923" w:rsidRDefault="00673F93" w:rsidP="00C93F5A">
            <w:pPr>
              <w:pStyle w:val="NoSpacing"/>
              <w:rPr>
                <w:i/>
                <w:iCs/>
                <w:sz w:val="24"/>
                <w:szCs w:val="24"/>
              </w:rPr>
            </w:pPr>
            <w:r w:rsidRPr="005A3923">
              <w:rPr>
                <w:i/>
                <w:iCs/>
                <w:sz w:val="24"/>
                <w:szCs w:val="24"/>
              </w:rPr>
              <w:t>SIZE</w:t>
            </w:r>
          </w:p>
        </w:tc>
        <w:tc>
          <w:tcPr>
            <w:tcW w:w="952" w:type="pct"/>
            <w:hideMark/>
          </w:tcPr>
          <w:p w14:paraId="567BA143" w14:textId="77777777" w:rsidR="00673F93" w:rsidRPr="00955CB1" w:rsidRDefault="00673F93" w:rsidP="00C93F5A">
            <w:pPr>
              <w:pStyle w:val="NoSpacing"/>
              <w:rPr>
                <w:sz w:val="24"/>
                <w:szCs w:val="24"/>
              </w:rPr>
            </w:pPr>
            <w:r w:rsidRPr="00955CB1">
              <w:rPr>
                <w:sz w:val="24"/>
                <w:szCs w:val="24"/>
              </w:rPr>
              <w:t>−0.046*</w:t>
            </w:r>
          </w:p>
        </w:tc>
        <w:tc>
          <w:tcPr>
            <w:tcW w:w="859" w:type="pct"/>
            <w:hideMark/>
          </w:tcPr>
          <w:p w14:paraId="5FE65DA8" w14:textId="77777777" w:rsidR="00673F93" w:rsidRPr="00955CB1" w:rsidRDefault="00673F93" w:rsidP="00C93F5A">
            <w:pPr>
              <w:pStyle w:val="NoSpacing"/>
              <w:rPr>
                <w:sz w:val="24"/>
                <w:szCs w:val="24"/>
              </w:rPr>
            </w:pPr>
            <w:r w:rsidRPr="00955CB1">
              <w:rPr>
                <w:sz w:val="24"/>
                <w:szCs w:val="24"/>
              </w:rPr>
              <w:t>−1.89</w:t>
            </w:r>
          </w:p>
        </w:tc>
      </w:tr>
      <w:tr w:rsidR="00673F93" w:rsidRPr="00955CB1" w14:paraId="457F6BFD" w14:textId="77777777" w:rsidTr="005A3923">
        <w:tc>
          <w:tcPr>
            <w:tcW w:w="3189" w:type="pct"/>
            <w:hideMark/>
          </w:tcPr>
          <w:p w14:paraId="5FDA5F21" w14:textId="77777777" w:rsidR="00673F93" w:rsidRPr="005A3923" w:rsidRDefault="00673F93" w:rsidP="00C93F5A">
            <w:pPr>
              <w:pStyle w:val="NoSpacing"/>
              <w:rPr>
                <w:i/>
                <w:iCs/>
                <w:sz w:val="24"/>
                <w:szCs w:val="24"/>
              </w:rPr>
            </w:pPr>
            <w:r w:rsidRPr="005A3923">
              <w:rPr>
                <w:i/>
                <w:iCs/>
                <w:sz w:val="24"/>
                <w:szCs w:val="24"/>
              </w:rPr>
              <w:t>MB</w:t>
            </w:r>
          </w:p>
        </w:tc>
        <w:tc>
          <w:tcPr>
            <w:tcW w:w="952" w:type="pct"/>
            <w:hideMark/>
          </w:tcPr>
          <w:p w14:paraId="578057F8" w14:textId="77777777" w:rsidR="00673F93" w:rsidRPr="00955CB1" w:rsidRDefault="00673F93" w:rsidP="00C93F5A">
            <w:pPr>
              <w:pStyle w:val="NoSpacing"/>
              <w:rPr>
                <w:sz w:val="24"/>
                <w:szCs w:val="24"/>
              </w:rPr>
            </w:pPr>
            <w:r w:rsidRPr="00955CB1">
              <w:rPr>
                <w:sz w:val="24"/>
                <w:szCs w:val="24"/>
              </w:rPr>
              <w:t>0.012</w:t>
            </w:r>
          </w:p>
        </w:tc>
        <w:tc>
          <w:tcPr>
            <w:tcW w:w="859" w:type="pct"/>
            <w:hideMark/>
          </w:tcPr>
          <w:p w14:paraId="71BB9CE8" w14:textId="77777777" w:rsidR="00673F93" w:rsidRPr="00955CB1" w:rsidRDefault="00673F93" w:rsidP="00C93F5A">
            <w:pPr>
              <w:pStyle w:val="NoSpacing"/>
              <w:rPr>
                <w:sz w:val="24"/>
                <w:szCs w:val="24"/>
              </w:rPr>
            </w:pPr>
            <w:r w:rsidRPr="00955CB1">
              <w:rPr>
                <w:sz w:val="24"/>
                <w:szCs w:val="24"/>
              </w:rPr>
              <w:t>0.70</w:t>
            </w:r>
          </w:p>
        </w:tc>
      </w:tr>
      <w:tr w:rsidR="00673F93" w:rsidRPr="00955CB1" w14:paraId="06BADE13" w14:textId="77777777" w:rsidTr="005A3923">
        <w:tc>
          <w:tcPr>
            <w:tcW w:w="3189" w:type="pct"/>
            <w:hideMark/>
          </w:tcPr>
          <w:p w14:paraId="445E9E8E" w14:textId="77777777" w:rsidR="00673F93" w:rsidRPr="005A3923" w:rsidRDefault="00673F93" w:rsidP="00C93F5A">
            <w:pPr>
              <w:pStyle w:val="NoSpacing"/>
              <w:rPr>
                <w:i/>
                <w:iCs/>
                <w:sz w:val="24"/>
                <w:szCs w:val="24"/>
              </w:rPr>
            </w:pPr>
            <w:r w:rsidRPr="005A3923">
              <w:rPr>
                <w:i/>
                <w:iCs/>
                <w:sz w:val="24"/>
                <w:szCs w:val="24"/>
              </w:rPr>
              <w:t>ANALYSTS</w:t>
            </w:r>
          </w:p>
        </w:tc>
        <w:tc>
          <w:tcPr>
            <w:tcW w:w="952" w:type="pct"/>
            <w:hideMark/>
          </w:tcPr>
          <w:p w14:paraId="7CF578A9" w14:textId="77777777" w:rsidR="00673F93" w:rsidRPr="00955CB1" w:rsidRDefault="00673F93" w:rsidP="00C93F5A">
            <w:pPr>
              <w:pStyle w:val="NoSpacing"/>
              <w:rPr>
                <w:sz w:val="24"/>
                <w:szCs w:val="24"/>
              </w:rPr>
            </w:pPr>
            <w:r w:rsidRPr="00955CB1">
              <w:rPr>
                <w:sz w:val="24"/>
                <w:szCs w:val="24"/>
              </w:rPr>
              <w:t>−0.042</w:t>
            </w:r>
          </w:p>
        </w:tc>
        <w:tc>
          <w:tcPr>
            <w:tcW w:w="859" w:type="pct"/>
            <w:hideMark/>
          </w:tcPr>
          <w:p w14:paraId="7022EBBE" w14:textId="77777777" w:rsidR="00673F93" w:rsidRPr="00955CB1" w:rsidRDefault="00673F93" w:rsidP="00C93F5A">
            <w:pPr>
              <w:pStyle w:val="NoSpacing"/>
              <w:rPr>
                <w:sz w:val="24"/>
                <w:szCs w:val="24"/>
              </w:rPr>
            </w:pPr>
            <w:r w:rsidRPr="00955CB1">
              <w:rPr>
                <w:sz w:val="24"/>
                <w:szCs w:val="24"/>
              </w:rPr>
              <w:t>−1.29</w:t>
            </w:r>
          </w:p>
        </w:tc>
      </w:tr>
      <w:tr w:rsidR="00673F93" w:rsidRPr="00955CB1" w14:paraId="686C1B08" w14:textId="77777777" w:rsidTr="005A3923">
        <w:tc>
          <w:tcPr>
            <w:tcW w:w="3189" w:type="pct"/>
            <w:hideMark/>
          </w:tcPr>
          <w:p w14:paraId="49E630BB" w14:textId="77777777" w:rsidR="00673F93" w:rsidRPr="005A3923" w:rsidRDefault="00673F93" w:rsidP="00C93F5A">
            <w:pPr>
              <w:pStyle w:val="NoSpacing"/>
              <w:rPr>
                <w:i/>
                <w:iCs/>
                <w:sz w:val="24"/>
                <w:szCs w:val="24"/>
              </w:rPr>
            </w:pPr>
            <w:r w:rsidRPr="005A3923">
              <w:rPr>
                <w:i/>
                <w:iCs/>
                <w:sz w:val="24"/>
                <w:szCs w:val="24"/>
              </w:rPr>
              <w:t>INSTOWN</w:t>
            </w:r>
          </w:p>
        </w:tc>
        <w:tc>
          <w:tcPr>
            <w:tcW w:w="952" w:type="pct"/>
            <w:hideMark/>
          </w:tcPr>
          <w:p w14:paraId="1EE847C2" w14:textId="77777777" w:rsidR="00673F93" w:rsidRPr="00955CB1" w:rsidRDefault="00673F93" w:rsidP="00C93F5A">
            <w:pPr>
              <w:pStyle w:val="NoSpacing"/>
              <w:rPr>
                <w:sz w:val="24"/>
                <w:szCs w:val="24"/>
              </w:rPr>
            </w:pPr>
            <w:r w:rsidRPr="00955CB1">
              <w:rPr>
                <w:sz w:val="24"/>
                <w:szCs w:val="24"/>
              </w:rPr>
              <w:t>0.073</w:t>
            </w:r>
          </w:p>
        </w:tc>
        <w:tc>
          <w:tcPr>
            <w:tcW w:w="859" w:type="pct"/>
            <w:hideMark/>
          </w:tcPr>
          <w:p w14:paraId="50159E70" w14:textId="77777777" w:rsidR="00673F93" w:rsidRPr="00955CB1" w:rsidRDefault="00673F93" w:rsidP="00C93F5A">
            <w:pPr>
              <w:pStyle w:val="NoSpacing"/>
              <w:rPr>
                <w:sz w:val="24"/>
                <w:szCs w:val="24"/>
              </w:rPr>
            </w:pPr>
            <w:r w:rsidRPr="00955CB1">
              <w:rPr>
                <w:sz w:val="24"/>
                <w:szCs w:val="24"/>
              </w:rPr>
              <w:t>0.60</w:t>
            </w:r>
          </w:p>
        </w:tc>
      </w:tr>
      <w:tr w:rsidR="00673F93" w:rsidRPr="00955CB1" w14:paraId="39856221" w14:textId="77777777" w:rsidTr="005A3923">
        <w:tc>
          <w:tcPr>
            <w:tcW w:w="3189" w:type="pct"/>
            <w:hideMark/>
          </w:tcPr>
          <w:p w14:paraId="1655F4C6" w14:textId="77777777" w:rsidR="00673F93" w:rsidRPr="005A3923" w:rsidRDefault="00673F93" w:rsidP="00C93F5A">
            <w:pPr>
              <w:pStyle w:val="NoSpacing"/>
              <w:rPr>
                <w:i/>
                <w:iCs/>
                <w:sz w:val="24"/>
                <w:szCs w:val="24"/>
              </w:rPr>
            </w:pPr>
            <w:r w:rsidRPr="005A3923">
              <w:rPr>
                <w:i/>
                <w:iCs/>
                <w:sz w:val="24"/>
                <w:szCs w:val="24"/>
              </w:rPr>
              <w:t>QTR4</w:t>
            </w:r>
          </w:p>
        </w:tc>
        <w:tc>
          <w:tcPr>
            <w:tcW w:w="952" w:type="pct"/>
            <w:hideMark/>
          </w:tcPr>
          <w:p w14:paraId="7A9C14DC" w14:textId="77777777" w:rsidR="00673F93" w:rsidRPr="00955CB1" w:rsidRDefault="00673F93" w:rsidP="00C93F5A">
            <w:pPr>
              <w:pStyle w:val="NoSpacing"/>
              <w:rPr>
                <w:sz w:val="24"/>
                <w:szCs w:val="24"/>
              </w:rPr>
            </w:pPr>
            <w:r w:rsidRPr="00955CB1">
              <w:rPr>
                <w:sz w:val="24"/>
                <w:szCs w:val="24"/>
              </w:rPr>
              <w:t>−0.004</w:t>
            </w:r>
          </w:p>
        </w:tc>
        <w:tc>
          <w:tcPr>
            <w:tcW w:w="859" w:type="pct"/>
            <w:hideMark/>
          </w:tcPr>
          <w:p w14:paraId="50D94052" w14:textId="77777777" w:rsidR="00673F93" w:rsidRPr="00955CB1" w:rsidRDefault="00673F93" w:rsidP="00C93F5A">
            <w:pPr>
              <w:pStyle w:val="NoSpacing"/>
              <w:rPr>
                <w:sz w:val="24"/>
                <w:szCs w:val="24"/>
              </w:rPr>
            </w:pPr>
            <w:r w:rsidRPr="00955CB1">
              <w:rPr>
                <w:sz w:val="24"/>
                <w:szCs w:val="24"/>
              </w:rPr>
              <w:t>−0.38</w:t>
            </w:r>
          </w:p>
        </w:tc>
      </w:tr>
      <w:tr w:rsidR="00673F93" w:rsidRPr="00955CB1" w14:paraId="195F98C3" w14:textId="77777777" w:rsidTr="005A3923">
        <w:tc>
          <w:tcPr>
            <w:tcW w:w="3189" w:type="pct"/>
            <w:hideMark/>
          </w:tcPr>
          <w:p w14:paraId="4D126BBF" w14:textId="77777777" w:rsidR="00673F93" w:rsidRPr="005A3923" w:rsidRDefault="00673F93" w:rsidP="00C93F5A">
            <w:pPr>
              <w:pStyle w:val="NoSpacing"/>
              <w:rPr>
                <w:i/>
                <w:iCs/>
                <w:sz w:val="24"/>
                <w:szCs w:val="24"/>
              </w:rPr>
            </w:pPr>
            <w:r w:rsidRPr="005A3923">
              <w:rPr>
                <w:i/>
                <w:iCs/>
                <w:sz w:val="24"/>
                <w:szCs w:val="24"/>
              </w:rPr>
              <w:t>LOSS</w:t>
            </w:r>
          </w:p>
        </w:tc>
        <w:tc>
          <w:tcPr>
            <w:tcW w:w="952" w:type="pct"/>
            <w:hideMark/>
          </w:tcPr>
          <w:p w14:paraId="56BC5D78" w14:textId="77777777" w:rsidR="00673F93" w:rsidRPr="00955CB1" w:rsidRDefault="00673F93" w:rsidP="00C93F5A">
            <w:pPr>
              <w:pStyle w:val="NoSpacing"/>
              <w:rPr>
                <w:sz w:val="24"/>
                <w:szCs w:val="24"/>
              </w:rPr>
            </w:pPr>
            <w:r w:rsidRPr="00955CB1">
              <w:rPr>
                <w:sz w:val="24"/>
                <w:szCs w:val="24"/>
              </w:rPr>
              <w:t>0.009</w:t>
            </w:r>
          </w:p>
        </w:tc>
        <w:tc>
          <w:tcPr>
            <w:tcW w:w="859" w:type="pct"/>
            <w:hideMark/>
          </w:tcPr>
          <w:p w14:paraId="135AB1B1" w14:textId="77777777" w:rsidR="00673F93" w:rsidRPr="00955CB1" w:rsidRDefault="00673F93" w:rsidP="00C93F5A">
            <w:pPr>
              <w:pStyle w:val="NoSpacing"/>
              <w:rPr>
                <w:sz w:val="24"/>
                <w:szCs w:val="24"/>
              </w:rPr>
            </w:pPr>
            <w:r w:rsidRPr="00955CB1">
              <w:rPr>
                <w:sz w:val="24"/>
                <w:szCs w:val="24"/>
              </w:rPr>
              <w:t>0.27</w:t>
            </w:r>
          </w:p>
        </w:tc>
      </w:tr>
      <w:tr w:rsidR="00673F93" w:rsidRPr="00955CB1" w14:paraId="61B550B8" w14:textId="77777777" w:rsidTr="005A3923">
        <w:tc>
          <w:tcPr>
            <w:tcW w:w="3189" w:type="pct"/>
            <w:hideMark/>
          </w:tcPr>
          <w:p w14:paraId="037432EE" w14:textId="77777777" w:rsidR="00673F93" w:rsidRPr="005A3923" w:rsidRDefault="00673F93" w:rsidP="00C93F5A">
            <w:pPr>
              <w:pStyle w:val="NoSpacing"/>
              <w:rPr>
                <w:i/>
                <w:iCs/>
                <w:sz w:val="24"/>
                <w:szCs w:val="24"/>
              </w:rPr>
            </w:pPr>
            <w:r w:rsidRPr="005A3923">
              <w:rPr>
                <w:i/>
                <w:iCs/>
                <w:sz w:val="24"/>
                <w:szCs w:val="24"/>
              </w:rPr>
              <w:t>|ROA|</w:t>
            </w:r>
          </w:p>
        </w:tc>
        <w:tc>
          <w:tcPr>
            <w:tcW w:w="952" w:type="pct"/>
            <w:hideMark/>
          </w:tcPr>
          <w:p w14:paraId="1BD28FE2" w14:textId="77777777" w:rsidR="00673F93" w:rsidRPr="00955CB1" w:rsidRDefault="00673F93" w:rsidP="00C93F5A">
            <w:pPr>
              <w:pStyle w:val="NoSpacing"/>
              <w:rPr>
                <w:sz w:val="24"/>
                <w:szCs w:val="24"/>
              </w:rPr>
            </w:pPr>
            <w:r w:rsidRPr="00955CB1">
              <w:rPr>
                <w:sz w:val="24"/>
                <w:szCs w:val="24"/>
              </w:rPr>
              <w:t>−0.045</w:t>
            </w:r>
          </w:p>
        </w:tc>
        <w:tc>
          <w:tcPr>
            <w:tcW w:w="859" w:type="pct"/>
            <w:hideMark/>
          </w:tcPr>
          <w:p w14:paraId="77E68626" w14:textId="77777777" w:rsidR="00673F93" w:rsidRPr="00955CB1" w:rsidRDefault="00673F93" w:rsidP="00C93F5A">
            <w:pPr>
              <w:pStyle w:val="NoSpacing"/>
              <w:rPr>
                <w:sz w:val="24"/>
                <w:szCs w:val="24"/>
              </w:rPr>
            </w:pPr>
            <w:r w:rsidRPr="00955CB1">
              <w:rPr>
                <w:sz w:val="24"/>
                <w:szCs w:val="24"/>
              </w:rPr>
              <w:t>−0.52</w:t>
            </w:r>
          </w:p>
        </w:tc>
      </w:tr>
      <w:tr w:rsidR="00673F93" w:rsidRPr="00955CB1" w14:paraId="4B692F42" w14:textId="77777777" w:rsidTr="005A3923">
        <w:tc>
          <w:tcPr>
            <w:tcW w:w="3189" w:type="pct"/>
            <w:hideMark/>
          </w:tcPr>
          <w:p w14:paraId="03E698DC" w14:textId="77777777" w:rsidR="00673F93" w:rsidRPr="005A3923" w:rsidRDefault="00673F93" w:rsidP="00C93F5A">
            <w:pPr>
              <w:pStyle w:val="NoSpacing"/>
              <w:rPr>
                <w:i/>
                <w:iCs/>
                <w:sz w:val="24"/>
                <w:szCs w:val="24"/>
              </w:rPr>
            </w:pPr>
            <w:proofErr w:type="gramStart"/>
            <w:r w:rsidRPr="005A3923">
              <w:rPr>
                <w:i/>
                <w:iCs/>
                <w:sz w:val="24"/>
                <w:szCs w:val="24"/>
              </w:rPr>
              <w:t>CRET(</w:t>
            </w:r>
            <w:proofErr w:type="gramEnd"/>
            <w:r w:rsidRPr="005A3923">
              <w:rPr>
                <w:i/>
                <w:iCs/>
                <w:sz w:val="24"/>
                <w:szCs w:val="24"/>
              </w:rPr>
              <w:t>m‐3, m)</w:t>
            </w:r>
          </w:p>
        </w:tc>
        <w:tc>
          <w:tcPr>
            <w:tcW w:w="952" w:type="pct"/>
            <w:hideMark/>
          </w:tcPr>
          <w:p w14:paraId="4082E69F" w14:textId="77777777" w:rsidR="00673F93" w:rsidRPr="00955CB1" w:rsidRDefault="00673F93" w:rsidP="00C93F5A">
            <w:pPr>
              <w:pStyle w:val="NoSpacing"/>
              <w:rPr>
                <w:sz w:val="24"/>
                <w:szCs w:val="24"/>
              </w:rPr>
            </w:pPr>
            <w:r w:rsidRPr="00955CB1">
              <w:rPr>
                <w:sz w:val="24"/>
                <w:szCs w:val="24"/>
              </w:rPr>
              <w:t>0.062**</w:t>
            </w:r>
          </w:p>
        </w:tc>
        <w:tc>
          <w:tcPr>
            <w:tcW w:w="859" w:type="pct"/>
            <w:hideMark/>
          </w:tcPr>
          <w:p w14:paraId="78D62C2A" w14:textId="77777777" w:rsidR="00673F93" w:rsidRPr="00955CB1" w:rsidRDefault="00673F93" w:rsidP="00C93F5A">
            <w:pPr>
              <w:pStyle w:val="NoSpacing"/>
              <w:rPr>
                <w:sz w:val="24"/>
                <w:szCs w:val="24"/>
              </w:rPr>
            </w:pPr>
            <w:r w:rsidRPr="00955CB1">
              <w:rPr>
                <w:sz w:val="24"/>
                <w:szCs w:val="24"/>
              </w:rPr>
              <w:t>2.05</w:t>
            </w:r>
          </w:p>
        </w:tc>
      </w:tr>
      <w:tr w:rsidR="00673F93" w:rsidRPr="00955CB1" w14:paraId="69D863D9" w14:textId="77777777" w:rsidTr="005A3923">
        <w:tc>
          <w:tcPr>
            <w:tcW w:w="3189" w:type="pct"/>
            <w:hideMark/>
          </w:tcPr>
          <w:p w14:paraId="1D46D550" w14:textId="77777777" w:rsidR="00673F93" w:rsidRPr="005A3923" w:rsidRDefault="00673F93" w:rsidP="00C93F5A">
            <w:pPr>
              <w:pStyle w:val="NoSpacing"/>
              <w:rPr>
                <w:i/>
                <w:iCs/>
                <w:sz w:val="24"/>
                <w:szCs w:val="24"/>
              </w:rPr>
            </w:pPr>
            <w:r w:rsidRPr="005A3923">
              <w:rPr>
                <w:i/>
                <w:iCs/>
                <w:sz w:val="24"/>
                <w:szCs w:val="24"/>
              </w:rPr>
              <w:t>FORECAST</w:t>
            </w:r>
          </w:p>
        </w:tc>
        <w:tc>
          <w:tcPr>
            <w:tcW w:w="952" w:type="pct"/>
            <w:hideMark/>
          </w:tcPr>
          <w:p w14:paraId="41722BD7" w14:textId="77777777" w:rsidR="00673F93" w:rsidRPr="00955CB1" w:rsidRDefault="00673F93" w:rsidP="00C93F5A">
            <w:pPr>
              <w:pStyle w:val="NoSpacing"/>
              <w:rPr>
                <w:sz w:val="24"/>
                <w:szCs w:val="24"/>
              </w:rPr>
            </w:pPr>
            <w:r w:rsidRPr="00955CB1">
              <w:rPr>
                <w:sz w:val="24"/>
                <w:szCs w:val="24"/>
              </w:rPr>
              <w:t>−0.013</w:t>
            </w:r>
          </w:p>
        </w:tc>
        <w:tc>
          <w:tcPr>
            <w:tcW w:w="859" w:type="pct"/>
            <w:hideMark/>
          </w:tcPr>
          <w:p w14:paraId="54089F69" w14:textId="77777777" w:rsidR="00673F93" w:rsidRPr="00955CB1" w:rsidRDefault="00673F93" w:rsidP="00C93F5A">
            <w:pPr>
              <w:pStyle w:val="NoSpacing"/>
              <w:rPr>
                <w:sz w:val="24"/>
                <w:szCs w:val="24"/>
              </w:rPr>
            </w:pPr>
            <w:r w:rsidRPr="00955CB1">
              <w:rPr>
                <w:sz w:val="24"/>
                <w:szCs w:val="24"/>
              </w:rPr>
              <w:t>−0.79</w:t>
            </w:r>
          </w:p>
        </w:tc>
      </w:tr>
      <w:tr w:rsidR="00673F93" w:rsidRPr="00955CB1" w14:paraId="145C5504" w14:textId="77777777" w:rsidTr="005A3923">
        <w:tc>
          <w:tcPr>
            <w:tcW w:w="3189" w:type="pct"/>
            <w:hideMark/>
          </w:tcPr>
          <w:p w14:paraId="2D7B5A78" w14:textId="77777777" w:rsidR="00673F93" w:rsidRPr="00955CB1" w:rsidRDefault="00673F93" w:rsidP="00C93F5A">
            <w:pPr>
              <w:pStyle w:val="NoSpacing"/>
              <w:rPr>
                <w:sz w:val="24"/>
                <w:szCs w:val="24"/>
              </w:rPr>
            </w:pPr>
            <w:r w:rsidRPr="00955CB1">
              <w:rPr>
                <w:sz w:val="24"/>
                <w:szCs w:val="24"/>
              </w:rPr>
              <w:t>Year FE</w:t>
            </w:r>
          </w:p>
        </w:tc>
        <w:tc>
          <w:tcPr>
            <w:tcW w:w="952" w:type="pct"/>
            <w:hideMark/>
          </w:tcPr>
          <w:p w14:paraId="704A70E0" w14:textId="77777777" w:rsidR="00673F93" w:rsidRPr="00955CB1" w:rsidRDefault="00673F93" w:rsidP="00C93F5A">
            <w:pPr>
              <w:pStyle w:val="NoSpacing"/>
              <w:rPr>
                <w:sz w:val="24"/>
                <w:szCs w:val="24"/>
              </w:rPr>
            </w:pPr>
            <w:r w:rsidRPr="00955CB1">
              <w:rPr>
                <w:sz w:val="24"/>
                <w:szCs w:val="24"/>
              </w:rPr>
              <w:t>Yes</w:t>
            </w:r>
          </w:p>
        </w:tc>
        <w:tc>
          <w:tcPr>
            <w:tcW w:w="859" w:type="pct"/>
            <w:hideMark/>
          </w:tcPr>
          <w:p w14:paraId="72D945EC" w14:textId="77777777" w:rsidR="00673F93" w:rsidRPr="00955CB1" w:rsidRDefault="00673F93" w:rsidP="00C93F5A">
            <w:pPr>
              <w:pStyle w:val="NoSpacing"/>
              <w:rPr>
                <w:sz w:val="24"/>
                <w:szCs w:val="24"/>
              </w:rPr>
            </w:pPr>
          </w:p>
        </w:tc>
      </w:tr>
      <w:tr w:rsidR="00673F93" w:rsidRPr="00955CB1" w14:paraId="5456AB3D" w14:textId="77777777" w:rsidTr="005A3923">
        <w:tc>
          <w:tcPr>
            <w:tcW w:w="3189" w:type="pct"/>
            <w:hideMark/>
          </w:tcPr>
          <w:p w14:paraId="35362BAF" w14:textId="77777777" w:rsidR="00673F93" w:rsidRPr="00955CB1" w:rsidRDefault="00673F93" w:rsidP="00C93F5A">
            <w:pPr>
              <w:pStyle w:val="NoSpacing"/>
              <w:rPr>
                <w:sz w:val="24"/>
                <w:szCs w:val="24"/>
              </w:rPr>
            </w:pPr>
            <w:r w:rsidRPr="00955CB1">
              <w:rPr>
                <w:sz w:val="24"/>
                <w:szCs w:val="24"/>
              </w:rPr>
              <w:t>Month FE</w:t>
            </w:r>
          </w:p>
        </w:tc>
        <w:tc>
          <w:tcPr>
            <w:tcW w:w="952" w:type="pct"/>
            <w:hideMark/>
          </w:tcPr>
          <w:p w14:paraId="7A369902" w14:textId="77777777" w:rsidR="00673F93" w:rsidRPr="00955CB1" w:rsidRDefault="00673F93" w:rsidP="00C93F5A">
            <w:pPr>
              <w:pStyle w:val="NoSpacing"/>
              <w:rPr>
                <w:sz w:val="24"/>
                <w:szCs w:val="24"/>
              </w:rPr>
            </w:pPr>
            <w:r w:rsidRPr="00955CB1">
              <w:rPr>
                <w:sz w:val="24"/>
                <w:szCs w:val="24"/>
              </w:rPr>
              <w:t>Yes</w:t>
            </w:r>
          </w:p>
        </w:tc>
        <w:tc>
          <w:tcPr>
            <w:tcW w:w="859" w:type="pct"/>
            <w:hideMark/>
          </w:tcPr>
          <w:p w14:paraId="1B98EA06" w14:textId="77777777" w:rsidR="00673F93" w:rsidRPr="00955CB1" w:rsidRDefault="00673F93" w:rsidP="00C93F5A">
            <w:pPr>
              <w:pStyle w:val="NoSpacing"/>
              <w:rPr>
                <w:sz w:val="24"/>
                <w:szCs w:val="24"/>
              </w:rPr>
            </w:pPr>
          </w:p>
        </w:tc>
      </w:tr>
      <w:tr w:rsidR="00673F93" w:rsidRPr="00955CB1" w14:paraId="3F58F79C" w14:textId="77777777" w:rsidTr="005A3923">
        <w:tc>
          <w:tcPr>
            <w:tcW w:w="3189" w:type="pct"/>
            <w:hideMark/>
          </w:tcPr>
          <w:p w14:paraId="1BF432CE" w14:textId="77777777" w:rsidR="00673F93" w:rsidRPr="00955CB1" w:rsidRDefault="00673F93" w:rsidP="00C93F5A">
            <w:pPr>
              <w:pStyle w:val="NoSpacing"/>
              <w:rPr>
                <w:sz w:val="24"/>
                <w:szCs w:val="24"/>
              </w:rPr>
            </w:pPr>
            <w:r w:rsidRPr="00955CB1">
              <w:rPr>
                <w:sz w:val="24"/>
                <w:szCs w:val="24"/>
              </w:rPr>
              <w:t>Weekday FE</w:t>
            </w:r>
          </w:p>
        </w:tc>
        <w:tc>
          <w:tcPr>
            <w:tcW w:w="952" w:type="pct"/>
            <w:hideMark/>
          </w:tcPr>
          <w:p w14:paraId="024DD50B" w14:textId="77777777" w:rsidR="00673F93" w:rsidRPr="00955CB1" w:rsidRDefault="00673F93" w:rsidP="00C93F5A">
            <w:pPr>
              <w:pStyle w:val="NoSpacing"/>
              <w:rPr>
                <w:sz w:val="24"/>
                <w:szCs w:val="24"/>
              </w:rPr>
            </w:pPr>
            <w:r w:rsidRPr="00955CB1">
              <w:rPr>
                <w:sz w:val="24"/>
                <w:szCs w:val="24"/>
              </w:rPr>
              <w:t>Yes</w:t>
            </w:r>
          </w:p>
        </w:tc>
        <w:tc>
          <w:tcPr>
            <w:tcW w:w="859" w:type="pct"/>
            <w:hideMark/>
          </w:tcPr>
          <w:p w14:paraId="7EF2B00E" w14:textId="77777777" w:rsidR="00673F93" w:rsidRPr="00955CB1" w:rsidRDefault="00673F93" w:rsidP="00C93F5A">
            <w:pPr>
              <w:pStyle w:val="NoSpacing"/>
              <w:rPr>
                <w:sz w:val="24"/>
                <w:szCs w:val="24"/>
              </w:rPr>
            </w:pPr>
          </w:p>
        </w:tc>
      </w:tr>
      <w:tr w:rsidR="00673F93" w:rsidRPr="00955CB1" w14:paraId="413F4D47" w14:textId="77777777" w:rsidTr="005A3923">
        <w:tc>
          <w:tcPr>
            <w:tcW w:w="3189" w:type="pct"/>
            <w:hideMark/>
          </w:tcPr>
          <w:p w14:paraId="531FE314" w14:textId="77777777" w:rsidR="00673F93" w:rsidRPr="00955CB1" w:rsidRDefault="00673F93" w:rsidP="00C93F5A">
            <w:pPr>
              <w:pStyle w:val="NoSpacing"/>
              <w:rPr>
                <w:sz w:val="24"/>
                <w:szCs w:val="24"/>
              </w:rPr>
            </w:pPr>
            <w:r w:rsidRPr="00955CB1">
              <w:rPr>
                <w:sz w:val="24"/>
                <w:szCs w:val="24"/>
              </w:rPr>
              <w:t>Firm FE</w:t>
            </w:r>
          </w:p>
        </w:tc>
        <w:tc>
          <w:tcPr>
            <w:tcW w:w="952" w:type="pct"/>
            <w:hideMark/>
          </w:tcPr>
          <w:p w14:paraId="09575414" w14:textId="77777777" w:rsidR="00673F93" w:rsidRPr="00955CB1" w:rsidRDefault="00673F93" w:rsidP="00C93F5A">
            <w:pPr>
              <w:pStyle w:val="NoSpacing"/>
              <w:rPr>
                <w:sz w:val="24"/>
                <w:szCs w:val="24"/>
              </w:rPr>
            </w:pPr>
            <w:r w:rsidRPr="00955CB1">
              <w:rPr>
                <w:sz w:val="24"/>
                <w:szCs w:val="24"/>
              </w:rPr>
              <w:t>Yes</w:t>
            </w:r>
          </w:p>
        </w:tc>
        <w:tc>
          <w:tcPr>
            <w:tcW w:w="859" w:type="pct"/>
            <w:hideMark/>
          </w:tcPr>
          <w:p w14:paraId="764146A0" w14:textId="77777777" w:rsidR="00673F93" w:rsidRPr="00955CB1" w:rsidRDefault="00673F93" w:rsidP="00C93F5A">
            <w:pPr>
              <w:pStyle w:val="NoSpacing"/>
              <w:rPr>
                <w:sz w:val="24"/>
                <w:szCs w:val="24"/>
              </w:rPr>
            </w:pPr>
          </w:p>
        </w:tc>
      </w:tr>
      <w:tr w:rsidR="00673F93" w:rsidRPr="00955CB1" w14:paraId="2A5B337A" w14:textId="77777777" w:rsidTr="005A3923">
        <w:tc>
          <w:tcPr>
            <w:tcW w:w="3189" w:type="pct"/>
            <w:hideMark/>
          </w:tcPr>
          <w:p w14:paraId="34847F06" w14:textId="77777777" w:rsidR="00673F93" w:rsidRPr="00955CB1" w:rsidRDefault="00673F93" w:rsidP="00C93F5A">
            <w:pPr>
              <w:pStyle w:val="NoSpacing"/>
              <w:rPr>
                <w:sz w:val="24"/>
                <w:szCs w:val="24"/>
              </w:rPr>
            </w:pPr>
            <w:r w:rsidRPr="00955CB1">
              <w:rPr>
                <w:sz w:val="24"/>
                <w:szCs w:val="24"/>
              </w:rPr>
              <w:t>Observations</w:t>
            </w:r>
          </w:p>
        </w:tc>
        <w:tc>
          <w:tcPr>
            <w:tcW w:w="952" w:type="pct"/>
            <w:hideMark/>
          </w:tcPr>
          <w:p w14:paraId="5A09E80A" w14:textId="77777777" w:rsidR="00673F93" w:rsidRPr="00955CB1" w:rsidRDefault="00673F93" w:rsidP="00C93F5A">
            <w:pPr>
              <w:pStyle w:val="NoSpacing"/>
              <w:rPr>
                <w:sz w:val="24"/>
                <w:szCs w:val="24"/>
              </w:rPr>
            </w:pPr>
            <w:r w:rsidRPr="00955CB1">
              <w:rPr>
                <w:sz w:val="24"/>
                <w:szCs w:val="24"/>
              </w:rPr>
              <w:t>197,403</w:t>
            </w:r>
          </w:p>
        </w:tc>
        <w:tc>
          <w:tcPr>
            <w:tcW w:w="859" w:type="pct"/>
            <w:hideMark/>
          </w:tcPr>
          <w:p w14:paraId="49179FD3" w14:textId="77777777" w:rsidR="00673F93" w:rsidRPr="00955CB1" w:rsidRDefault="00673F93" w:rsidP="00C93F5A">
            <w:pPr>
              <w:pStyle w:val="NoSpacing"/>
              <w:rPr>
                <w:sz w:val="24"/>
                <w:szCs w:val="24"/>
              </w:rPr>
            </w:pPr>
          </w:p>
        </w:tc>
      </w:tr>
      <w:tr w:rsidR="00673F93" w:rsidRPr="00955CB1" w14:paraId="23458E16" w14:textId="77777777" w:rsidTr="005A3923">
        <w:tc>
          <w:tcPr>
            <w:tcW w:w="3189" w:type="pct"/>
            <w:hideMark/>
          </w:tcPr>
          <w:p w14:paraId="07D29049" w14:textId="77777777" w:rsidR="00673F93" w:rsidRPr="00955CB1" w:rsidRDefault="00673F93" w:rsidP="00C93F5A">
            <w:pPr>
              <w:pStyle w:val="NoSpacing"/>
              <w:rPr>
                <w:sz w:val="24"/>
                <w:szCs w:val="24"/>
              </w:rPr>
            </w:pPr>
            <w:r w:rsidRPr="00955CB1">
              <w:rPr>
                <w:sz w:val="24"/>
                <w:szCs w:val="24"/>
              </w:rPr>
              <w:t>Adj. R</w:t>
            </w:r>
            <w:r w:rsidRPr="00955CB1">
              <w:rPr>
                <w:sz w:val="24"/>
                <w:szCs w:val="24"/>
                <w:vertAlign w:val="superscript"/>
              </w:rPr>
              <w:t>2</w:t>
            </w:r>
          </w:p>
        </w:tc>
        <w:tc>
          <w:tcPr>
            <w:tcW w:w="952" w:type="pct"/>
            <w:hideMark/>
          </w:tcPr>
          <w:p w14:paraId="33F60681" w14:textId="77777777" w:rsidR="00673F93" w:rsidRPr="00955CB1" w:rsidRDefault="00673F93" w:rsidP="00C93F5A">
            <w:pPr>
              <w:pStyle w:val="NoSpacing"/>
              <w:rPr>
                <w:sz w:val="24"/>
                <w:szCs w:val="24"/>
              </w:rPr>
            </w:pPr>
            <w:r w:rsidRPr="00955CB1">
              <w:rPr>
                <w:sz w:val="24"/>
                <w:szCs w:val="24"/>
              </w:rPr>
              <w:t>0.103</w:t>
            </w:r>
          </w:p>
        </w:tc>
        <w:tc>
          <w:tcPr>
            <w:tcW w:w="859" w:type="pct"/>
            <w:hideMark/>
          </w:tcPr>
          <w:p w14:paraId="00644F5F" w14:textId="77777777" w:rsidR="00673F93" w:rsidRPr="00955CB1" w:rsidRDefault="00673F93" w:rsidP="00C93F5A">
            <w:pPr>
              <w:pStyle w:val="NoSpacing"/>
              <w:rPr>
                <w:sz w:val="24"/>
                <w:szCs w:val="24"/>
              </w:rPr>
            </w:pPr>
          </w:p>
        </w:tc>
      </w:tr>
    </w:tbl>
    <w:p w14:paraId="3E6899AA" w14:textId="4B1D03B3" w:rsidR="00673F93" w:rsidRPr="00673F93" w:rsidRDefault="00673F93" w:rsidP="00955CB1">
      <w:pPr>
        <w:pStyle w:val="NoSpacing"/>
      </w:pPr>
      <w:r w:rsidRPr="00673F93">
        <w:t>This table reports the regression results of CSR and abnormal Google searches. Our sample includes S&amp;P 500 firms between 2005 and 2008. Coefficients are estimated based on the model presented in Equation (</w:t>
      </w:r>
      <w:hyperlink r:id="rId51" w:anchor="bib6" w:tooltip="6" w:history="1">
        <w:r w:rsidRPr="00673F93">
          <w:rPr>
            <w:rStyle w:val="Hyperlink"/>
            <w:rFonts w:cstheme="minorHAnsi"/>
            <w:sz w:val="24"/>
            <w:szCs w:val="24"/>
          </w:rPr>
          <w:t>6</w:t>
        </w:r>
      </w:hyperlink>
      <w:r w:rsidRPr="00673F93">
        <w:t>). The dependent variable is daily abnormal Google search (</w:t>
      </w:r>
      <w:r w:rsidRPr="00673F93">
        <w:rPr>
          <w:i/>
          <w:iCs/>
        </w:rPr>
        <w:t>GSEARCH</w:t>
      </w:r>
      <w:r w:rsidRPr="00673F93">
        <w:t>). The main variables of interest are the interaction of the pre‐earnings announcement date indicator and CSR score (</w:t>
      </w:r>
      <w:r w:rsidRPr="00673F93">
        <w:rPr>
          <w:i/>
          <w:iCs/>
        </w:rPr>
        <w:t>EARNINGS_ANNOUNCEMENT[−5,‐1] × CSR</w:t>
      </w:r>
      <w:r w:rsidRPr="00673F93">
        <w:t>), the interaction of the earnings announcement date indicator and CSR score (</w:t>
      </w:r>
      <w:r w:rsidRPr="00673F93">
        <w:rPr>
          <w:i/>
          <w:iCs/>
        </w:rPr>
        <w:t>EARNINGS_ANNOUNCEMENT[0] × CSR</w:t>
      </w:r>
      <w:r w:rsidRPr="00673F93">
        <w:t xml:space="preserve">), and the interaction of the post earnings announcement date indicator </w:t>
      </w:r>
      <w:r w:rsidRPr="00673F93">
        <w:lastRenderedPageBreak/>
        <w:t>and CSR score (</w:t>
      </w:r>
      <w:r w:rsidRPr="00673F93">
        <w:rPr>
          <w:i/>
          <w:iCs/>
        </w:rPr>
        <w:t>EARNINGS_ANNOUNCEMENT[</w:t>
      </w:r>
      <w:hyperlink r:id="rId52" w:anchor="bib1" w:tooltip="1" w:history="1">
        <w:r w:rsidRPr="00673F93">
          <w:rPr>
            <w:rStyle w:val="Hyperlink"/>
            <w:rFonts w:cstheme="minorHAnsi"/>
            <w:i/>
            <w:iCs/>
            <w:sz w:val="24"/>
            <w:szCs w:val="24"/>
          </w:rPr>
          <w:t>1</w:t>
        </w:r>
      </w:hyperlink>
      <w:r w:rsidRPr="00673F93">
        <w:rPr>
          <w:i/>
          <w:iCs/>
        </w:rPr>
        <w:t>,</w:t>
      </w:r>
      <w:hyperlink r:id="rId53" w:anchor="bib5" w:tooltip="5" w:history="1">
        <w:r w:rsidRPr="00673F93">
          <w:rPr>
            <w:rStyle w:val="Hyperlink"/>
            <w:rFonts w:cstheme="minorHAnsi"/>
            <w:i/>
            <w:iCs/>
            <w:sz w:val="24"/>
            <w:szCs w:val="24"/>
          </w:rPr>
          <w:t>5</w:t>
        </w:r>
      </w:hyperlink>
      <w:r w:rsidRPr="00673F93">
        <w:rPr>
          <w:i/>
          <w:iCs/>
        </w:rPr>
        <w:t>] × CSR</w:t>
      </w:r>
      <w:r w:rsidRPr="00673F93">
        <w:t>). Independent variables other than the (pre‐ and post) earnings announcement date indicator generally lag dependent variables by one year as described in Equation (</w:t>
      </w:r>
      <w:hyperlink r:id="rId54" w:anchor="bib6" w:tooltip="6" w:history="1">
        <w:r w:rsidRPr="00673F93">
          <w:rPr>
            <w:rStyle w:val="Hyperlink"/>
            <w:rFonts w:cstheme="minorHAnsi"/>
            <w:sz w:val="24"/>
            <w:szCs w:val="24"/>
          </w:rPr>
          <w:t>6</w:t>
        </w:r>
      </w:hyperlink>
      <w:r w:rsidRPr="00673F93">
        <w:t>). Detailed variable definitions, including control variables, are described in the Appendix. Standard errors are adjusted for heteroskedasticity and clustered by firm and earnings announcement day. ***, ** and * denote statistical significance at the 1, 5 and 10 percent levels, respectively.</w:t>
      </w:r>
    </w:p>
    <w:p w14:paraId="7EAAC6FB" w14:textId="77777777" w:rsidR="00955CB1" w:rsidRDefault="00955CB1" w:rsidP="00673F93">
      <w:pPr>
        <w:rPr>
          <w:rFonts w:cstheme="minorHAnsi"/>
          <w:sz w:val="24"/>
          <w:szCs w:val="24"/>
        </w:rPr>
      </w:pPr>
    </w:p>
    <w:p w14:paraId="4DDBF569" w14:textId="3323C78A" w:rsidR="00673F93" w:rsidRPr="00673F93" w:rsidRDefault="00673F93" w:rsidP="00673F93">
      <w:pPr>
        <w:rPr>
          <w:rFonts w:cstheme="minorHAnsi"/>
          <w:sz w:val="24"/>
          <w:szCs w:val="24"/>
        </w:rPr>
      </w:pPr>
      <w:r w:rsidRPr="00673F93">
        <w:rPr>
          <w:rFonts w:cstheme="minorHAnsi"/>
          <w:sz w:val="24"/>
          <w:szCs w:val="24"/>
        </w:rPr>
        <w:t>Overall, the results in Tables 3 and 4 support hypothesis H2a and suggest that more socially responsible firms are associated with greater investor search activity for firm‐specific information around major disclosure events. These results provide direct evidence that greater CSR commitment encourages investors to actively acquire information and lends further support to the ethical and reputational view of CSR.</w:t>
      </w:r>
    </w:p>
    <w:p w14:paraId="0A629125" w14:textId="77777777" w:rsidR="00673F93" w:rsidRPr="00955CB1" w:rsidRDefault="00D71504" w:rsidP="00955CB1">
      <w:pPr>
        <w:pStyle w:val="Heading2"/>
      </w:pPr>
      <w:hyperlink r:id="rId55" w:anchor="toc" w:tooltip="CSR and future earnings captured in stock prices" w:history="1">
        <w:r w:rsidR="00673F93" w:rsidRPr="00955CB1">
          <w:rPr>
            <w:rStyle w:val="Hyperlink"/>
            <w:color w:val="262626" w:themeColor="text1" w:themeTint="D9"/>
            <w:u w:val="none"/>
          </w:rPr>
          <w:t>CSR and future earnings captured in stock prices</w:t>
        </w:r>
      </w:hyperlink>
    </w:p>
    <w:p w14:paraId="0266DD4F" w14:textId="30DFF72E" w:rsidR="00673F93" w:rsidRDefault="00673F93" w:rsidP="00673F93">
      <w:pPr>
        <w:rPr>
          <w:rFonts w:cstheme="minorHAnsi"/>
          <w:sz w:val="24"/>
          <w:szCs w:val="24"/>
        </w:rPr>
      </w:pPr>
      <w:r w:rsidRPr="00673F93">
        <w:rPr>
          <w:rFonts w:cstheme="minorHAnsi"/>
          <w:sz w:val="24"/>
          <w:szCs w:val="24"/>
        </w:rPr>
        <w:t>We use an alternative measure of price informativeness as a robustness check and to examine Hypotheses H3a and H3b. Namely, we examine how CSR affects the extent to which current stock prices reflect future firm‐specific information as captured in FERC. The intuition is that if CSR incentivises (or discourages) information acquisition and trading, then current stock returns should be more (or less) predictive of future firm earnings. We follow prior literature (Kothari and Sloan, 1992; Choi </w:t>
      </w:r>
      <w:r w:rsidR="005A3923">
        <w:rPr>
          <w:rFonts w:cstheme="minorHAnsi"/>
          <w:i/>
          <w:iCs/>
          <w:sz w:val="24"/>
          <w:szCs w:val="24"/>
        </w:rPr>
        <w:t xml:space="preserve">et al., </w:t>
      </w:r>
      <w:r w:rsidRPr="00673F93">
        <w:rPr>
          <w:rFonts w:cstheme="minorHAnsi"/>
          <w:sz w:val="24"/>
          <w:szCs w:val="24"/>
        </w:rPr>
        <w:t>2011) and estimate the following model:</w:t>
      </w:r>
      <w:r w:rsidR="00E51B42" w:rsidRPr="00E51B42">
        <w:rPr>
          <w:rFonts w:cstheme="minorHAnsi"/>
          <w:sz w:val="24"/>
          <w:szCs w:val="24"/>
          <w:vertAlign w:val="superscript"/>
        </w:rPr>
        <w:t>33</w:t>
      </w:r>
    </w:p>
    <w:p w14:paraId="608D5364" w14:textId="79E6AAD3" w:rsidR="00CF026E" w:rsidRPr="00673F93" w:rsidRDefault="00CF026E" w:rsidP="00673F93">
      <w:pPr>
        <w:rPr>
          <w:rFonts w:cstheme="minorHAnsi"/>
          <w:sz w:val="24"/>
          <w:szCs w:val="24"/>
        </w:rPr>
      </w:pPr>
    </w:p>
    <w:p w14:paraId="3F44E143" w14:textId="1327D36D" w:rsidR="00673F93" w:rsidRPr="00673F93" w:rsidRDefault="00CF026E" w:rsidP="00673F93">
      <w:pPr>
        <w:rPr>
          <w:rFonts w:cstheme="minorHAnsi"/>
          <w:sz w:val="24"/>
          <w:szCs w:val="24"/>
        </w:rPr>
      </w:pPr>
      <w:r>
        <w:rPr>
          <w:rFonts w:cstheme="minorHAnsi"/>
          <w:sz w:val="24"/>
          <w:szCs w:val="24"/>
        </w:rPr>
        <w:t>(</w:t>
      </w:r>
      <w:r w:rsidR="00673F93" w:rsidRPr="00673F93">
        <w:rPr>
          <w:rFonts w:cstheme="minorHAnsi"/>
          <w:sz w:val="24"/>
          <w:szCs w:val="24"/>
        </w:rPr>
        <w:t>7</w:t>
      </w:r>
      <w:r>
        <w:rPr>
          <w:rFonts w:cstheme="minorHAnsi"/>
          <w:sz w:val="24"/>
          <w:szCs w:val="24"/>
        </w:rPr>
        <w:t xml:space="preserve">) </w:t>
      </w:r>
      <m:oMath>
        <m:m>
          <m:mPr>
            <m:mcs>
              <m:mc>
                <m:mcPr>
                  <m:count m:val="1"/>
                  <m:mcJc m:val="center"/>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RET</m:t>
                  </m:r>
                </m:e>
                <m:sub>
                  <m:r>
                    <w:rPr>
                      <w:rFonts w:ascii="Cambria Math" w:hAnsi="Cambria Math" w:cstheme="minorHAnsi"/>
                      <w:sz w:val="24"/>
                      <w:szCs w:val="24"/>
                    </w:rPr>
                    <m:t>i,t</m:t>
                  </m:r>
                </m:sub>
              </m:sSub>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
                  </m:e>
                </m:mr>
              </m:m>
            </m:e>
          </m:mr>
        </m:m>
        <m:m>
          <m:mPr>
            <m:cGp m:val="8"/>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sSub>
                <m:sSubPr>
                  <m:ctrlPr>
                    <w:rPr>
                      <w:rFonts w:ascii="Cambria Math" w:hAnsi="Cambria Math" w:cstheme="minorHAnsi"/>
                      <w:i/>
                      <w:sz w:val="24"/>
                      <w:szCs w:val="24"/>
                    </w:rPr>
                  </m:ctrlPr>
                </m:sSubPr>
                <m:e>
                  <m:r>
                    <w:rPr>
                      <w:rFonts w:ascii="Cambria Math" w:hAnsi="Cambria Math" w:cstheme="minorHAnsi"/>
                      <w:sz w:val="24"/>
                      <w:szCs w:val="24"/>
                    </w:rPr>
                    <m:t>CSR</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EARN</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sSub>
                <m:sSubPr>
                  <m:ctrlPr>
                    <w:rPr>
                      <w:rFonts w:ascii="Cambria Math" w:hAnsi="Cambria Math" w:cstheme="minorHAnsi"/>
                      <w:i/>
                      <w:sz w:val="24"/>
                      <w:szCs w:val="24"/>
                    </w:rPr>
                  </m:ctrlPr>
                </m:sSubPr>
                <m:e>
                  <m:r>
                    <w:rPr>
                      <w:rFonts w:ascii="Cambria Math" w:hAnsi="Cambria Math" w:cstheme="minorHAnsi"/>
                      <w:sz w:val="24"/>
                      <w:szCs w:val="24"/>
                    </w:rPr>
                    <m:t>CSR</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EARN</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3</m:t>
                  </m:r>
                </m:sub>
              </m:sSub>
              <m:sSub>
                <m:sSubPr>
                  <m:ctrlPr>
                    <w:rPr>
                      <w:rFonts w:ascii="Cambria Math" w:hAnsi="Cambria Math" w:cstheme="minorHAnsi"/>
                      <w:i/>
                      <w:sz w:val="24"/>
                      <w:szCs w:val="24"/>
                    </w:rPr>
                  </m:ctrlPr>
                </m:sSubPr>
                <m:e>
                  <m:r>
                    <w:rPr>
                      <w:rFonts w:ascii="Cambria Math" w:hAnsi="Cambria Math" w:cstheme="minorHAnsi"/>
                      <w:sz w:val="24"/>
                      <w:szCs w:val="24"/>
                    </w:rPr>
                    <m:t>CSR</m:t>
                  </m:r>
                </m:e>
                <m:sub>
                  <m:r>
                    <w:rPr>
                      <w:rFonts w:ascii="Cambria Math" w:hAnsi="Cambria Math" w:cstheme="minorHAnsi"/>
                      <w:sz w:val="24"/>
                      <w:szCs w:val="24"/>
                    </w:rPr>
                    <m:t>i,t</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EARN</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4</m:t>
                  </m:r>
                </m:sub>
              </m:sSub>
              <m:sSub>
                <m:sSubPr>
                  <m:ctrlPr>
                    <w:rPr>
                      <w:rFonts w:ascii="Cambria Math" w:hAnsi="Cambria Math" w:cstheme="minorHAnsi"/>
                      <w:i/>
                      <w:sz w:val="24"/>
                      <w:szCs w:val="24"/>
                    </w:rPr>
                  </m:ctrlPr>
                </m:sSubPr>
                <m:e>
                  <m:r>
                    <w:rPr>
                      <w:rFonts w:ascii="Cambria Math" w:hAnsi="Cambria Math" w:cstheme="minorHAnsi"/>
                      <w:sz w:val="24"/>
                      <w:szCs w:val="24"/>
                    </w:rPr>
                    <m:t>CSR</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RET</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5</m:t>
                  </m:r>
                </m:sub>
              </m:sSub>
              <m:sSub>
                <m:sSubPr>
                  <m:ctrlPr>
                    <w:rPr>
                      <w:rFonts w:ascii="Cambria Math" w:hAnsi="Cambria Math" w:cstheme="minorHAnsi"/>
                      <w:i/>
                      <w:sz w:val="24"/>
                      <w:szCs w:val="24"/>
                    </w:rPr>
                  </m:ctrlPr>
                </m:sSubPr>
                <m:e>
                  <m:r>
                    <w:rPr>
                      <w:rFonts w:ascii="Cambria Math" w:hAnsi="Cambria Math" w:cstheme="minorHAnsi"/>
                      <w:sz w:val="24"/>
                      <w:szCs w:val="24"/>
                    </w:rPr>
                    <m:t>CSR</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EARN_P</m:t>
                  </m:r>
                </m:e>
                <m:sub>
                  <m:r>
                    <w:rPr>
                      <w:rFonts w:ascii="Cambria Math" w:hAnsi="Cambria Math" w:cstheme="minorHAnsi"/>
                      <w:sz w:val="24"/>
                      <w:szCs w:val="24"/>
                    </w:rPr>
                    <m:t>i,t‐1</m:t>
                  </m:r>
                </m:sub>
              </m:sSub>
            </m:e>
          </m:mr>
          <m:mr>
            <m:e>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6</m:t>
                        </m:r>
                      </m:sub>
                    </m:sSub>
                    <m:sSub>
                      <m:sSubPr>
                        <m:ctrlPr>
                          <w:rPr>
                            <w:rFonts w:ascii="Cambria Math" w:hAnsi="Cambria Math" w:cstheme="minorHAnsi"/>
                            <w:i/>
                            <w:sz w:val="24"/>
                            <w:szCs w:val="24"/>
                          </w:rPr>
                        </m:ctrlPr>
                      </m:sSubPr>
                      <m:e>
                        <m:r>
                          <w:rPr>
                            <w:rFonts w:ascii="Cambria Math" w:hAnsi="Cambria Math" w:cstheme="minorHAnsi"/>
                            <w:sz w:val="24"/>
                            <w:szCs w:val="24"/>
                          </w:rPr>
                          <m:t>EARN_P</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7</m:t>
                        </m:r>
                      </m:sub>
                    </m:sSub>
                    <m:sSub>
                      <m:sSubPr>
                        <m:ctrlPr>
                          <w:rPr>
                            <w:rFonts w:ascii="Cambria Math" w:hAnsi="Cambria Math" w:cstheme="minorHAnsi"/>
                            <w:i/>
                            <w:sz w:val="24"/>
                            <w:szCs w:val="24"/>
                          </w:rPr>
                        </m:ctrlPr>
                      </m:sSubPr>
                      <m:e>
                        <m:r>
                          <w:rPr>
                            <w:rFonts w:ascii="Cambria Math" w:hAnsi="Cambria Math" w:cstheme="minorHAnsi"/>
                            <w:sz w:val="24"/>
                            <w:szCs w:val="24"/>
                          </w:rPr>
                          <m:t>EARN</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8</m:t>
                        </m:r>
                      </m:sub>
                    </m:sSub>
                    <m:sSub>
                      <m:sSubPr>
                        <m:ctrlPr>
                          <w:rPr>
                            <w:rFonts w:ascii="Cambria Math" w:hAnsi="Cambria Math" w:cstheme="minorHAnsi"/>
                            <w:i/>
                            <w:sz w:val="24"/>
                            <w:szCs w:val="24"/>
                          </w:rPr>
                        </m:ctrlPr>
                      </m:sSubPr>
                      <m:e>
                        <m:r>
                          <w:rPr>
                            <w:rFonts w:ascii="Cambria Math" w:hAnsi="Cambria Math" w:cstheme="minorHAnsi"/>
                            <w:sz w:val="24"/>
                            <w:szCs w:val="24"/>
                          </w:rPr>
                          <m:t>EARN</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9</m:t>
                        </m:r>
                      </m:sub>
                    </m:sSub>
                    <m:sSub>
                      <m:sSubPr>
                        <m:ctrlPr>
                          <w:rPr>
                            <w:rFonts w:ascii="Cambria Math" w:hAnsi="Cambria Math" w:cstheme="minorHAnsi"/>
                            <w:i/>
                            <w:sz w:val="24"/>
                            <w:szCs w:val="24"/>
                          </w:rPr>
                        </m:ctrlPr>
                      </m:sSubPr>
                      <m:e>
                        <m:r>
                          <w:rPr>
                            <w:rFonts w:ascii="Cambria Math" w:hAnsi="Cambria Math" w:cstheme="minorHAnsi"/>
                            <w:sz w:val="24"/>
                            <w:szCs w:val="24"/>
                          </w:rPr>
                          <m:t>EARN</m:t>
                        </m:r>
                      </m:e>
                      <m:sub>
                        <m:r>
                          <w:rPr>
                            <w:rFonts w:ascii="Cambria Math" w:hAnsi="Cambria Math" w:cstheme="minorHAnsi"/>
                            <w:sz w:val="24"/>
                            <w:szCs w:val="24"/>
                          </w:rPr>
                          <m:t>i,t+1</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10</m:t>
                        </m:r>
                      </m:sub>
                    </m:sSub>
                    <m:sSub>
                      <m:sSubPr>
                        <m:ctrlPr>
                          <w:rPr>
                            <w:rFonts w:ascii="Cambria Math" w:hAnsi="Cambria Math" w:cstheme="minorHAnsi"/>
                            <w:i/>
                            <w:sz w:val="24"/>
                            <w:szCs w:val="24"/>
                          </w:rPr>
                        </m:ctrlPr>
                      </m:sSubPr>
                      <m:e>
                        <m:r>
                          <w:rPr>
                            <w:rFonts w:ascii="Cambria Math" w:hAnsi="Cambria Math" w:cstheme="minorHAnsi"/>
                            <w:sz w:val="24"/>
                            <w:szCs w:val="24"/>
                          </w:rPr>
                          <m:t>RET</m:t>
                        </m:r>
                      </m:e>
                      <m:sub>
                        <m:r>
                          <w:rPr>
                            <w:rFonts w:ascii="Cambria Math" w:hAnsi="Cambria Math" w:cstheme="minorHAnsi"/>
                            <w:sz w:val="24"/>
                            <w:szCs w:val="24"/>
                          </w:rPr>
                          <m:t>i,t+1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11</m:t>
                        </m:r>
                      </m:sub>
                    </m:sSub>
                    <m:sSub>
                      <m:sSubPr>
                        <m:ctrlPr>
                          <w:rPr>
                            <w:rFonts w:ascii="Cambria Math" w:hAnsi="Cambria Math" w:cstheme="minorHAnsi"/>
                            <w:i/>
                            <w:sz w:val="24"/>
                            <w:szCs w:val="24"/>
                          </w:rPr>
                        </m:ctrlPr>
                      </m:sSubPr>
                      <m:e>
                        <m:r>
                          <w:rPr>
                            <w:rFonts w:ascii="Cambria Math" w:hAnsi="Cambria Math" w:cstheme="minorHAnsi"/>
                            <w:sz w:val="24"/>
                            <w:szCs w:val="24"/>
                          </w:rPr>
                          <m:t>CSR</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12</m:t>
                        </m:r>
                      </m:sub>
                    </m:sSub>
                    <m:sSub>
                      <m:sSubPr>
                        <m:ctrlPr>
                          <w:rPr>
                            <w:rFonts w:ascii="Cambria Math" w:hAnsi="Cambria Math" w:cstheme="minorHAnsi"/>
                            <w:i/>
                            <w:sz w:val="24"/>
                            <w:szCs w:val="24"/>
                          </w:rPr>
                        </m:ctrlPr>
                      </m:sSubPr>
                      <m:e>
                        <m:r>
                          <w:rPr>
                            <w:rFonts w:ascii="Cambria Math" w:hAnsi="Cambria Math" w:cstheme="minorHAnsi"/>
                            <w:sz w:val="24"/>
                            <w:szCs w:val="24"/>
                          </w:rPr>
                          <m:t>SIZE</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13</m:t>
                        </m:r>
                      </m:sub>
                    </m:sSub>
                    <m:sSub>
                      <m:sSubPr>
                        <m:ctrlPr>
                          <w:rPr>
                            <w:rFonts w:ascii="Cambria Math" w:hAnsi="Cambria Math" w:cstheme="minorHAnsi"/>
                            <w:i/>
                            <w:sz w:val="24"/>
                            <w:szCs w:val="24"/>
                          </w:rPr>
                        </m:ctrlPr>
                      </m:sSubPr>
                      <m:e>
                        <m:r>
                          <w:rPr>
                            <w:rFonts w:ascii="Cambria Math" w:hAnsi="Cambria Math" w:cstheme="minorHAnsi"/>
                            <w:sz w:val="24"/>
                            <w:szCs w:val="24"/>
                          </w:rPr>
                          <m:t>ATGROWTH</m:t>
                        </m:r>
                      </m:e>
                      <m:sub>
                        <m:r>
                          <w:rPr>
                            <w:rFonts w:ascii="Cambria Math" w:hAnsi="Cambria Math" w:cstheme="minorHAnsi"/>
                            <w:sz w:val="24"/>
                            <w:szCs w:val="24"/>
                          </w:rPr>
                          <m:t>i,t</m:t>
                        </m:r>
                      </m:sub>
                    </m:sSub>
                  </m:e>
                </m:mr>
                <m:mr>
                  <m:e>
                    <m:m>
                      <m:mPr>
                        <m:cGp m:val="8"/>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14</m:t>
                              </m:r>
                            </m:sub>
                          </m:sSub>
                          <m:sSub>
                            <m:sSubPr>
                              <m:ctrlPr>
                                <w:rPr>
                                  <w:rFonts w:ascii="Cambria Math" w:hAnsi="Cambria Math" w:cstheme="minorHAnsi"/>
                                  <w:i/>
                                  <w:sz w:val="24"/>
                                  <w:szCs w:val="24"/>
                                </w:rPr>
                              </m:ctrlPr>
                            </m:sSubPr>
                            <m:e>
                              <m:r>
                                <w:rPr>
                                  <w:rFonts w:ascii="Cambria Math" w:hAnsi="Cambria Math" w:cstheme="minorHAnsi"/>
                                  <w:sz w:val="24"/>
                                  <w:szCs w:val="24"/>
                                </w:rPr>
                                <m:t>LOSS</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15</m:t>
                              </m:r>
                            </m:sub>
                          </m:sSub>
                          <m:sSub>
                            <m:sSubPr>
                              <m:ctrlPr>
                                <w:rPr>
                                  <w:rFonts w:ascii="Cambria Math" w:hAnsi="Cambria Math" w:cstheme="minorHAnsi"/>
                                  <w:i/>
                                  <w:sz w:val="24"/>
                                  <w:szCs w:val="24"/>
                                </w:rPr>
                              </m:ctrlPr>
                            </m:sSubPr>
                            <m:e>
                              <m:r>
                                <w:rPr>
                                  <w:rFonts w:ascii="Cambria Math" w:hAnsi="Cambria Math" w:cstheme="minorHAnsi"/>
                                  <w:sz w:val="24"/>
                                  <w:szCs w:val="24"/>
                                </w:rPr>
                                <m:t>INSTOWN</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16</m:t>
                              </m:r>
                            </m:sub>
                          </m:sSub>
                          <m:sSub>
                            <m:sSubPr>
                              <m:ctrlPr>
                                <w:rPr>
                                  <w:rFonts w:ascii="Cambria Math" w:hAnsi="Cambria Math" w:cstheme="minorHAnsi"/>
                                  <w:i/>
                                  <w:sz w:val="24"/>
                                  <w:szCs w:val="24"/>
                                </w:rPr>
                              </m:ctrlPr>
                            </m:sSubPr>
                            <m:e>
                              <m:r>
                                <w:rPr>
                                  <w:rFonts w:ascii="Cambria Math" w:hAnsi="Cambria Math" w:cstheme="minorHAnsi"/>
                                  <w:sz w:val="24"/>
                                  <w:szCs w:val="24"/>
                                </w:rPr>
                                <m:t>STDEARN</m:t>
                              </m:r>
                            </m:e>
                            <m:sub>
                              <m:r>
                                <w:rPr>
                                  <w:rFonts w:ascii="Cambria Math" w:hAnsi="Cambria Math" w:cstheme="minorHAnsi"/>
                                  <w:sz w:val="24"/>
                                  <w:szCs w:val="24"/>
                                </w:rPr>
                                <m:t>i,t</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17</m:t>
                              </m:r>
                            </m:sub>
                          </m:sSub>
                          <m:sSub>
                            <m:sSubPr>
                              <m:ctrlPr>
                                <w:rPr>
                                  <w:rFonts w:ascii="Cambria Math" w:hAnsi="Cambria Math" w:cstheme="minorHAnsi"/>
                                  <w:i/>
                                  <w:sz w:val="24"/>
                                  <w:szCs w:val="24"/>
                                </w:rPr>
                              </m:ctrlPr>
                            </m:sSubPr>
                            <m:e>
                              <m:r>
                                <w:rPr>
                                  <w:rFonts w:ascii="Cambria Math" w:hAnsi="Cambria Math" w:cstheme="minorHAnsi"/>
                                  <w:sz w:val="24"/>
                                  <w:szCs w:val="24"/>
                                </w:rPr>
                                <m:t>BETA</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ε</m:t>
                              </m:r>
                            </m:e>
                            <m:sub>
                              <m:r>
                                <w:rPr>
                                  <w:rFonts w:ascii="Cambria Math" w:hAnsi="Cambria Math" w:cstheme="minorHAnsi"/>
                                  <w:sz w:val="24"/>
                                  <w:szCs w:val="24"/>
                                </w:rPr>
                                <m:t>i,t</m:t>
                              </m:r>
                            </m:sub>
                          </m:sSub>
                        </m:e>
                      </m:mr>
                    </m:m>
                  </m:e>
                </m:mr>
              </m:m>
            </m:e>
          </m:mr>
        </m:m>
      </m:oMath>
    </w:p>
    <w:p w14:paraId="71DEDE71" w14:textId="77777777" w:rsidR="00E30EE0" w:rsidRDefault="00E30EE0" w:rsidP="00673F93">
      <w:pPr>
        <w:rPr>
          <w:rFonts w:cstheme="minorHAnsi"/>
          <w:sz w:val="24"/>
          <w:szCs w:val="24"/>
        </w:rPr>
      </w:pPr>
    </w:p>
    <w:p w14:paraId="50829EB5" w14:textId="5E0F8CAD" w:rsidR="00673F93" w:rsidRPr="00673F93" w:rsidRDefault="00673F93" w:rsidP="00673F93">
      <w:pPr>
        <w:rPr>
          <w:rFonts w:cstheme="minorHAnsi"/>
          <w:sz w:val="24"/>
          <w:szCs w:val="24"/>
        </w:rPr>
      </w:pPr>
      <w:r w:rsidRPr="00673F93">
        <w:rPr>
          <w:rFonts w:cstheme="minorHAnsi"/>
          <w:sz w:val="24"/>
          <w:szCs w:val="24"/>
        </w:rPr>
        <w:t>In Equation (</w:t>
      </w:r>
      <w:hyperlink r:id="rId56" w:anchor="bib7" w:tooltip="7" w:history="1">
        <w:r w:rsidRPr="00673F93">
          <w:rPr>
            <w:rStyle w:val="Hyperlink"/>
            <w:rFonts w:cstheme="minorHAnsi"/>
            <w:sz w:val="24"/>
            <w:szCs w:val="24"/>
          </w:rPr>
          <w:t>7</w:t>
        </w:r>
      </w:hyperlink>
      <w:r w:rsidRPr="00673F93">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RET</m:t>
            </m:r>
          </m:e>
          <m:sub>
            <m:r>
              <w:rPr>
                <w:rFonts w:ascii="Cambria Math" w:hAnsi="Cambria Math" w:cstheme="minorHAnsi"/>
                <w:sz w:val="24"/>
                <w:szCs w:val="24"/>
                <w:vertAlign w:val="subscript"/>
              </w:rPr>
              <m:t>i,t</m:t>
            </m:r>
          </m:sub>
        </m:sSub>
      </m:oMath>
      <w:r w:rsidRPr="00673F93">
        <w:rPr>
          <w:rFonts w:cstheme="minorHAnsi"/>
          <w:sz w:val="24"/>
          <w:szCs w:val="24"/>
        </w:rPr>
        <w:t> is the annual return for firm </w:t>
      </w:r>
      <m:oMath>
        <m:r>
          <w:rPr>
            <w:rFonts w:ascii="Cambria Math" w:hAnsi="Cambria Math" w:cstheme="minorHAnsi"/>
            <w:sz w:val="24"/>
            <w:szCs w:val="24"/>
          </w:rPr>
          <m:t>i</m:t>
        </m:r>
      </m:oMath>
      <w:r w:rsidRPr="00673F93">
        <w:rPr>
          <w:rFonts w:cstheme="minorHAnsi"/>
          <w:sz w:val="24"/>
          <w:szCs w:val="24"/>
        </w:rPr>
        <w:t> at the end of fiscal year </w:t>
      </w:r>
      <m:oMath>
        <m:r>
          <w:rPr>
            <w:rFonts w:ascii="Cambria Math" w:hAnsi="Cambria Math" w:cstheme="minorHAnsi"/>
            <w:sz w:val="24"/>
            <w:szCs w:val="24"/>
          </w:rPr>
          <m:t>t</m:t>
        </m:r>
      </m:oMath>
      <w:r w:rsidRPr="00673F93">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EARN</m:t>
            </m:r>
          </m:e>
          <m:sub>
            <m:r>
              <w:rPr>
                <w:rFonts w:ascii="Cambria Math" w:hAnsi="Cambria Math" w:cstheme="minorHAnsi"/>
                <w:sz w:val="24"/>
                <w:szCs w:val="24"/>
                <w:vertAlign w:val="subscript"/>
              </w:rPr>
              <m:t>i,t-1</m:t>
            </m:r>
          </m:sub>
        </m:sSub>
      </m:oMath>
      <w:r w:rsidRPr="00673F93">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EARN</m:t>
            </m:r>
          </m:e>
          <m:sub>
            <m:r>
              <w:rPr>
                <w:rFonts w:ascii="Cambria Math" w:hAnsi="Cambria Math" w:cstheme="minorHAnsi"/>
                <w:sz w:val="24"/>
                <w:szCs w:val="24"/>
                <w:vertAlign w:val="subscript"/>
              </w:rPr>
              <m:t>i,t</m:t>
            </m:r>
          </m:sub>
        </m:sSub>
      </m:oMath>
      <w:r w:rsidRPr="00673F93">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EARN</m:t>
            </m:r>
          </m:e>
          <m:sub>
            <m:r>
              <w:rPr>
                <w:rFonts w:ascii="Cambria Math" w:hAnsi="Cambria Math" w:cstheme="minorHAnsi"/>
                <w:sz w:val="24"/>
                <w:szCs w:val="24"/>
                <w:vertAlign w:val="subscript"/>
              </w:rPr>
              <m:t>i,t+1</m:t>
            </m:r>
          </m:sub>
        </m:sSub>
      </m:oMath>
      <w:r w:rsidRPr="00673F93">
        <w:rPr>
          <w:rFonts w:cstheme="minorHAnsi"/>
          <w:sz w:val="24"/>
          <w:szCs w:val="24"/>
        </w:rPr>
        <w:t> represent earnings per share for fiscal year </w:t>
      </w:r>
      <m:oMath>
        <m:r>
          <w:rPr>
            <w:rFonts w:ascii="Cambria Math" w:hAnsi="Cambria Math" w:cstheme="minorHAnsi"/>
            <w:sz w:val="24"/>
            <w:szCs w:val="24"/>
          </w:rPr>
          <m:t>t - 1</m:t>
        </m:r>
      </m:oMath>
      <w:r w:rsidRPr="00673F93">
        <w:rPr>
          <w:rFonts w:cstheme="minorHAnsi"/>
          <w:sz w:val="24"/>
          <w:szCs w:val="24"/>
        </w:rPr>
        <w:t>, </w:t>
      </w:r>
      <m:oMath>
        <m:r>
          <w:rPr>
            <w:rFonts w:ascii="Cambria Math" w:hAnsi="Cambria Math" w:cstheme="minorHAnsi"/>
            <w:sz w:val="24"/>
            <w:szCs w:val="24"/>
          </w:rPr>
          <m:t>t</m:t>
        </m:r>
      </m:oMath>
      <w:r w:rsidRPr="00673F93">
        <w:rPr>
          <w:rFonts w:cstheme="minorHAnsi"/>
          <w:sz w:val="24"/>
          <w:szCs w:val="24"/>
        </w:rPr>
        <w:t>, and </w:t>
      </w:r>
      <m:oMath>
        <m:r>
          <w:rPr>
            <w:rFonts w:ascii="Cambria Math" w:hAnsi="Cambria Math" w:cstheme="minorHAnsi"/>
            <w:sz w:val="24"/>
            <w:szCs w:val="24"/>
          </w:rPr>
          <m:t>t + 1</m:t>
        </m:r>
      </m:oMath>
      <w:r w:rsidRPr="00673F93">
        <w:rPr>
          <w:rFonts w:cstheme="minorHAnsi"/>
          <w:sz w:val="24"/>
          <w:szCs w:val="24"/>
        </w:rPr>
        <w:t xml:space="preserve"> deflated by the stock price at the beginning of the fiscal year </w:t>
      </w:r>
      <m:oMath>
        <m:r>
          <w:rPr>
            <w:rFonts w:ascii="Cambria Math" w:hAnsi="Cambria Math" w:cstheme="minorHAnsi"/>
            <w:sz w:val="24"/>
            <w:szCs w:val="24"/>
          </w:rPr>
          <m:t>t</m:t>
        </m:r>
      </m:oMath>
      <w:r w:rsidRPr="00673F93">
        <w:rPr>
          <w:rFonts w:cstheme="minorHAnsi"/>
          <w:sz w:val="24"/>
          <w:szCs w:val="24"/>
        </w:rPr>
        <w:t>. The coefficient of interest is </w:t>
      </w:r>
      <m:oMath>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3</m:t>
            </m:r>
          </m:sub>
        </m:sSub>
      </m:oMath>
      <w:r w:rsidRPr="00673F93">
        <w:rPr>
          <w:rFonts w:cstheme="minorHAnsi"/>
          <w:sz w:val="24"/>
          <w:szCs w:val="24"/>
        </w:rPr>
        <w:t>. If CSR increases the extent to which future earnings is reflected in current period stock returns, then we would expect to observe a significantly positive </w:t>
      </w:r>
      <m:oMath>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3</m:t>
            </m:r>
          </m:sub>
        </m:sSub>
      </m:oMath>
      <w:r w:rsidRPr="00673F93">
        <w:rPr>
          <w:rFonts w:cstheme="minorHAnsi"/>
          <w:sz w:val="24"/>
          <w:szCs w:val="24"/>
        </w:rPr>
        <w:t xml:space="preserve">. Following prior research, we controls for future firm‐level stock returns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RET</m:t>
            </m:r>
          </m:e>
          <m:sub>
            <m:r>
              <w:rPr>
                <w:rFonts w:ascii="Cambria Math" w:hAnsi="Cambria Math" w:cstheme="minorHAnsi"/>
                <w:sz w:val="24"/>
                <w:szCs w:val="24"/>
                <w:vertAlign w:val="subscript"/>
              </w:rPr>
              <m:t>i,t</m:t>
            </m:r>
          </m:sub>
        </m:sSub>
        <m:r>
          <w:rPr>
            <w:rFonts w:ascii="Cambria Math" w:hAnsi="Cambria Math" w:cstheme="minorHAnsi"/>
            <w:sz w:val="24"/>
            <w:szCs w:val="24"/>
          </w:rPr>
          <m:t>)</m:t>
        </m:r>
      </m:oMath>
      <w:r w:rsidRPr="00673F93">
        <w:rPr>
          <w:rFonts w:cstheme="minorHAnsi"/>
          <w:sz w:val="24"/>
          <w:szCs w:val="24"/>
        </w:rPr>
        <w:t>, firm size (</w:t>
      </w:r>
      <w:r w:rsidRPr="00673F93">
        <w:rPr>
          <w:rFonts w:cstheme="minorHAnsi"/>
          <w:i/>
          <w:iCs/>
          <w:sz w:val="24"/>
          <w:szCs w:val="24"/>
        </w:rPr>
        <w:t>SIZE</w:t>
      </w:r>
      <w:r w:rsidRPr="00673F93">
        <w:rPr>
          <w:rFonts w:cstheme="minorHAnsi"/>
          <w:sz w:val="24"/>
          <w:szCs w:val="24"/>
        </w:rPr>
        <w:t>), total firm asset growth (</w:t>
      </w:r>
      <w:r w:rsidRPr="00673F93">
        <w:rPr>
          <w:rFonts w:cstheme="minorHAnsi"/>
          <w:i/>
          <w:iCs/>
          <w:sz w:val="24"/>
          <w:szCs w:val="24"/>
        </w:rPr>
        <w:t>ATGROWTH</w:t>
      </w:r>
      <w:r w:rsidRPr="00673F93">
        <w:rPr>
          <w:rFonts w:cstheme="minorHAnsi"/>
          <w:sz w:val="24"/>
          <w:szCs w:val="24"/>
        </w:rPr>
        <w:t>), an indicator set to 1 (and 0 otherwise) if the firm experienced a loss in the current year (</w:t>
      </w:r>
      <w:r w:rsidRPr="00673F93">
        <w:rPr>
          <w:rFonts w:cstheme="minorHAnsi"/>
          <w:i/>
          <w:iCs/>
          <w:sz w:val="24"/>
          <w:szCs w:val="24"/>
        </w:rPr>
        <w:t>LOSS</w:t>
      </w:r>
      <w:r w:rsidRPr="00673F93">
        <w:rPr>
          <w:rFonts w:cstheme="minorHAnsi"/>
          <w:sz w:val="24"/>
          <w:szCs w:val="24"/>
        </w:rPr>
        <w:t>), percentage of shares held by institutional investors (</w:t>
      </w:r>
      <w:r w:rsidRPr="00673F93">
        <w:rPr>
          <w:rFonts w:cstheme="minorHAnsi"/>
          <w:i/>
          <w:iCs/>
          <w:sz w:val="24"/>
          <w:szCs w:val="24"/>
        </w:rPr>
        <w:t>INSTOWN</w:t>
      </w:r>
      <w:r w:rsidRPr="00673F93">
        <w:rPr>
          <w:rFonts w:cstheme="minorHAnsi"/>
          <w:sz w:val="24"/>
          <w:szCs w:val="24"/>
        </w:rPr>
        <w:t>), future earnings volatility (</w:t>
      </w:r>
      <w:r w:rsidRPr="00673F93">
        <w:rPr>
          <w:rFonts w:cstheme="minorHAnsi"/>
          <w:i/>
          <w:iCs/>
          <w:sz w:val="24"/>
          <w:szCs w:val="24"/>
        </w:rPr>
        <w:t>STDEARN</w:t>
      </w:r>
      <w:r w:rsidRPr="00673F93">
        <w:rPr>
          <w:rFonts w:cstheme="minorHAnsi"/>
          <w:sz w:val="24"/>
          <w:szCs w:val="24"/>
        </w:rPr>
        <w:t>) and firm beta (</w:t>
      </w:r>
      <w:r w:rsidRPr="00673F93">
        <w:rPr>
          <w:rFonts w:cstheme="minorHAnsi"/>
          <w:i/>
          <w:iCs/>
          <w:sz w:val="24"/>
          <w:szCs w:val="24"/>
        </w:rPr>
        <w:t>BETA</w:t>
      </w:r>
      <w:r w:rsidRPr="00673F93">
        <w:rPr>
          <w:rFonts w:cstheme="minorHAnsi"/>
          <w:sz w:val="24"/>
          <w:szCs w:val="24"/>
        </w:rPr>
        <w:t xml:space="preserve">). We also control for earnings persistence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EARN_P</m:t>
            </m:r>
          </m:e>
          <m:sub>
            <m:r>
              <w:rPr>
                <w:rFonts w:ascii="Cambria Math" w:hAnsi="Cambria Math" w:cstheme="minorHAnsi"/>
                <w:sz w:val="24"/>
                <w:szCs w:val="24"/>
                <w:vertAlign w:val="subscript"/>
              </w:rPr>
              <m:t>t-1</m:t>
            </m:r>
          </m:sub>
        </m:sSub>
        <m:r>
          <w:rPr>
            <w:rFonts w:ascii="Cambria Math" w:hAnsi="Cambria Math" w:cstheme="minorHAnsi"/>
            <w:sz w:val="24"/>
            <w:szCs w:val="24"/>
          </w:rPr>
          <m:t>)</m:t>
        </m:r>
      </m:oMath>
      <w:r w:rsidRPr="00673F93">
        <w:rPr>
          <w:rFonts w:cstheme="minorHAnsi"/>
          <w:sz w:val="24"/>
          <w:szCs w:val="24"/>
        </w:rPr>
        <w:t xml:space="preserve"> and its interaction with </w:t>
      </w:r>
      <w:r w:rsidRPr="00673F93">
        <w:rPr>
          <w:rFonts w:cstheme="minorHAnsi"/>
          <w:i/>
          <w:iCs/>
          <w:sz w:val="24"/>
          <w:szCs w:val="24"/>
        </w:rPr>
        <w:t>CSR</w:t>
      </w:r>
      <w:r w:rsidRPr="00673F93">
        <w:rPr>
          <w:rFonts w:cstheme="minorHAnsi"/>
          <w:sz w:val="24"/>
          <w:szCs w:val="24"/>
        </w:rPr>
        <w:t> to account for the potential differences in earnings persistence among firms with different CSR involvement and its effect on FERC. We further include year and firm fixed effects (</w:t>
      </w:r>
      <m:oMath>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t</m:t>
            </m:r>
          </m:sub>
        </m:sSub>
      </m:oMath>
      <w:r w:rsidRPr="00673F93">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i</m:t>
            </m:r>
          </m:sub>
        </m:sSub>
      </m:oMath>
      <w:r w:rsidRPr="00673F93">
        <w:rPr>
          <w:rFonts w:cstheme="minorHAnsi"/>
          <w:sz w:val="24"/>
          <w:szCs w:val="24"/>
        </w:rPr>
        <w:t>).</w:t>
      </w:r>
    </w:p>
    <w:p w14:paraId="3E0F6EA7" w14:textId="5BCAEDCA" w:rsidR="00673F93" w:rsidRPr="00673F93" w:rsidRDefault="00673F93" w:rsidP="00673F93">
      <w:pPr>
        <w:rPr>
          <w:rFonts w:cstheme="minorHAnsi"/>
          <w:sz w:val="24"/>
          <w:szCs w:val="24"/>
        </w:rPr>
      </w:pPr>
      <w:r w:rsidRPr="00673F93">
        <w:rPr>
          <w:rFonts w:cstheme="minorHAnsi"/>
          <w:sz w:val="24"/>
          <w:szCs w:val="24"/>
        </w:rPr>
        <w:t>The regression results on FERC are reported in Table 5. As the table shows, the coefficient for the interaction term </w:t>
      </w:r>
      <m:oMath>
        <m:sSub>
          <m:sSubPr>
            <m:ctrlPr>
              <w:rPr>
                <w:rFonts w:ascii="Cambria Math" w:hAnsi="Cambria Math" w:cstheme="minorHAnsi"/>
                <w:i/>
                <w:iCs/>
                <w:sz w:val="24"/>
                <w:szCs w:val="24"/>
              </w:rPr>
            </m:ctrlPr>
          </m:sSubPr>
          <m:e>
            <m:r>
              <w:rPr>
                <w:rFonts w:ascii="Cambria Math" w:hAnsi="Cambria Math" w:cstheme="minorHAnsi"/>
                <w:sz w:val="24"/>
                <w:szCs w:val="24"/>
              </w:rPr>
              <m:t>CSR</m:t>
            </m:r>
          </m:e>
          <m:sub>
            <m:r>
              <w:rPr>
                <w:rFonts w:ascii="Cambria Math" w:hAnsi="Cambria Math" w:cstheme="minorHAnsi"/>
                <w:sz w:val="24"/>
                <w:szCs w:val="24"/>
                <w:vertAlign w:val="subscript"/>
              </w:rPr>
              <m:t>t</m:t>
            </m:r>
          </m:sub>
        </m:sSub>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EARN</m:t>
            </m:r>
          </m:e>
          <m:sub>
            <m:r>
              <w:rPr>
                <w:rFonts w:ascii="Cambria Math" w:hAnsi="Cambria Math" w:cstheme="minorHAnsi"/>
                <w:sz w:val="24"/>
                <w:szCs w:val="24"/>
                <w:vertAlign w:val="subscript"/>
              </w:rPr>
              <m:t>t+1</m:t>
            </m:r>
          </m:sub>
        </m:sSub>
      </m:oMath>
      <w:r w:rsidRPr="00673F93">
        <w:rPr>
          <w:rFonts w:cstheme="minorHAnsi"/>
          <w:sz w:val="24"/>
          <w:szCs w:val="24"/>
        </w:rPr>
        <w:t> is positive and statistically significant (coefficient = 0.319, </w:t>
      </w:r>
      <w:r w:rsidRPr="00673F93">
        <w:rPr>
          <w:rFonts w:cstheme="minorHAnsi"/>
          <w:i/>
          <w:iCs/>
          <w:sz w:val="24"/>
          <w:szCs w:val="24"/>
        </w:rPr>
        <w:t>t</w:t>
      </w:r>
      <w:r w:rsidRPr="00673F93">
        <w:rPr>
          <w:rFonts w:cstheme="minorHAnsi"/>
          <w:sz w:val="24"/>
          <w:szCs w:val="24"/>
        </w:rPr>
        <w:t>‐statistic = 2.00).</w:t>
      </w:r>
      <w:r w:rsidR="009250D5" w:rsidRPr="009250D5">
        <w:rPr>
          <w:rFonts w:cstheme="minorHAnsi"/>
          <w:sz w:val="24"/>
          <w:szCs w:val="24"/>
          <w:vertAlign w:val="superscript"/>
        </w:rPr>
        <w:t>34</w:t>
      </w:r>
      <w:r w:rsidRPr="00673F93">
        <w:rPr>
          <w:rFonts w:cstheme="minorHAnsi"/>
          <w:sz w:val="24"/>
          <w:szCs w:val="24"/>
        </w:rPr>
        <w:t xml:space="preserve"> The results suggest that after controlling for a host of variables suggested by prior </w:t>
      </w:r>
      <w:r w:rsidRPr="00673F93">
        <w:rPr>
          <w:rFonts w:cstheme="minorHAnsi"/>
          <w:sz w:val="24"/>
          <w:szCs w:val="24"/>
        </w:rPr>
        <w:lastRenderedPageBreak/>
        <w:t>literature, firms with greater CSR commitment are associated with a higher FERC. That is, stock prices of socially responsible firms reflect more information about future earnings. This table provides further evidence to support our main findings in Table 2.</w:t>
      </w:r>
    </w:p>
    <w:p w14:paraId="7114E1E5" w14:textId="3DF40689" w:rsidR="00673F93" w:rsidRPr="00673F93" w:rsidRDefault="00673F93" w:rsidP="00AD3C8E">
      <w:pPr>
        <w:spacing w:after="0"/>
        <w:rPr>
          <w:rFonts w:cstheme="minorHAnsi"/>
          <w:sz w:val="24"/>
          <w:szCs w:val="24"/>
        </w:rPr>
      </w:pPr>
      <w:r w:rsidRPr="00673F93">
        <w:rPr>
          <w:rFonts w:cstheme="minorHAnsi"/>
          <w:sz w:val="24"/>
          <w:szCs w:val="24"/>
        </w:rPr>
        <w:t>5 Table</w:t>
      </w:r>
      <w:r w:rsidR="00955CB1">
        <w:rPr>
          <w:rFonts w:cstheme="minorHAnsi"/>
          <w:sz w:val="24"/>
          <w:szCs w:val="24"/>
        </w:rPr>
        <w:t xml:space="preserve"> </w:t>
      </w:r>
      <w:r w:rsidRPr="00673F93">
        <w:rPr>
          <w:rFonts w:cstheme="minorHAnsi"/>
          <w:sz w:val="24"/>
          <w:szCs w:val="24"/>
        </w:rPr>
        <w:t>CSR and future earnings captured in stock prices</w:t>
      </w:r>
    </w:p>
    <w:tbl>
      <w:tblPr>
        <w:tblStyle w:val="TableGrid"/>
        <w:tblW w:w="5000" w:type="pct"/>
        <w:tblLook w:val="04A0" w:firstRow="1" w:lastRow="0" w:firstColumn="1" w:lastColumn="0" w:noHBand="0" w:noVBand="1"/>
      </w:tblPr>
      <w:tblGrid>
        <w:gridCol w:w="4338"/>
        <w:gridCol w:w="3013"/>
        <w:gridCol w:w="2719"/>
      </w:tblGrid>
      <w:tr w:rsidR="00955CB1" w:rsidRPr="00C87141" w14:paraId="2DA65AB4" w14:textId="77777777" w:rsidTr="00BA2CCC">
        <w:tc>
          <w:tcPr>
            <w:tcW w:w="2154" w:type="pct"/>
            <w:hideMark/>
          </w:tcPr>
          <w:p w14:paraId="492AF73E" w14:textId="77777777" w:rsidR="00955CB1" w:rsidRPr="00955CB1" w:rsidRDefault="00955CB1" w:rsidP="00955CB1">
            <w:pPr>
              <w:pStyle w:val="NoSpacing"/>
              <w:rPr>
                <w:sz w:val="24"/>
                <w:szCs w:val="24"/>
              </w:rPr>
            </w:pPr>
          </w:p>
        </w:tc>
        <w:tc>
          <w:tcPr>
            <w:tcW w:w="1496" w:type="pct"/>
          </w:tcPr>
          <w:p w14:paraId="4734C386" w14:textId="547ED764" w:rsidR="00955CB1" w:rsidRPr="00C87141" w:rsidRDefault="00D71504" w:rsidP="00C87141">
            <w:pPr>
              <w:pStyle w:val="NoSpacing"/>
              <w:jc w:val="both"/>
              <w:rPr>
                <w:rFonts w:ascii="Cambria Math" w:hAnsi="Cambria Math"/>
                <w:sz w:val="24"/>
                <w:szCs w:val="24"/>
                <w:oMath/>
              </w:rPr>
            </w:pPr>
            <m:oMathPara>
              <m:oMathParaPr>
                <m:jc m:val="left"/>
              </m:oMathParaPr>
              <m:oMath>
                <m:sSub>
                  <m:sSubPr>
                    <m:ctrlPr>
                      <w:rPr>
                        <w:rFonts w:ascii="Cambria Math" w:hAnsi="Cambria Math"/>
                        <w:b/>
                        <w:bCs/>
                        <w:i/>
                        <w:sz w:val="24"/>
                        <w:szCs w:val="24"/>
                      </w:rPr>
                    </m:ctrlPr>
                  </m:sSubPr>
                  <m:e>
                    <m:r>
                      <m:rPr>
                        <m:sty m:val="bi"/>
                      </m:rPr>
                      <w:rPr>
                        <w:rFonts w:ascii="Cambria Math" w:hAnsi="Cambria Math"/>
                        <w:sz w:val="24"/>
                        <w:szCs w:val="24"/>
                      </w:rPr>
                      <m:t>RET</m:t>
                    </m:r>
                  </m:e>
                  <m:sub>
                    <m:r>
                      <m:rPr>
                        <m:sty m:val="bi"/>
                      </m:rPr>
                      <w:rPr>
                        <w:rFonts w:ascii="Cambria Math" w:hAnsi="Cambria Math"/>
                        <w:sz w:val="24"/>
                        <w:szCs w:val="24"/>
                        <w:vertAlign w:val="subscript"/>
                      </w:rPr>
                      <m:t>t</m:t>
                    </m:r>
                  </m:sub>
                </m:sSub>
              </m:oMath>
            </m:oMathPara>
          </w:p>
        </w:tc>
        <w:tc>
          <w:tcPr>
            <w:tcW w:w="1350" w:type="pct"/>
            <w:hideMark/>
          </w:tcPr>
          <w:p w14:paraId="105BD27A" w14:textId="7084AB74" w:rsidR="00955CB1" w:rsidRPr="00C87141" w:rsidRDefault="00955CB1" w:rsidP="00C87141">
            <w:pPr>
              <w:pStyle w:val="NoSpacing"/>
              <w:jc w:val="both"/>
              <w:rPr>
                <w:rFonts w:ascii="Cambria Math" w:hAnsi="Cambria Math"/>
                <w:sz w:val="24"/>
                <w:szCs w:val="24"/>
                <w:oMath/>
              </w:rPr>
            </w:pPr>
          </w:p>
        </w:tc>
      </w:tr>
      <w:tr w:rsidR="00673F93" w:rsidRPr="00955CB1" w14:paraId="43F31632" w14:textId="77777777" w:rsidTr="00BA2CCC">
        <w:tc>
          <w:tcPr>
            <w:tcW w:w="2154" w:type="pct"/>
            <w:hideMark/>
          </w:tcPr>
          <w:p w14:paraId="61F270B3" w14:textId="77777777" w:rsidR="00673F93" w:rsidRPr="00955CB1" w:rsidRDefault="00673F93" w:rsidP="00955CB1">
            <w:pPr>
              <w:pStyle w:val="NoSpacing"/>
              <w:rPr>
                <w:b/>
                <w:bCs/>
                <w:sz w:val="24"/>
                <w:szCs w:val="24"/>
              </w:rPr>
            </w:pPr>
          </w:p>
        </w:tc>
        <w:tc>
          <w:tcPr>
            <w:tcW w:w="1496" w:type="pct"/>
            <w:hideMark/>
          </w:tcPr>
          <w:p w14:paraId="2CDA5D8B" w14:textId="77777777" w:rsidR="00673F93" w:rsidRPr="00955CB1" w:rsidRDefault="00673F93" w:rsidP="00955CB1">
            <w:pPr>
              <w:pStyle w:val="NoSpacing"/>
              <w:rPr>
                <w:b/>
                <w:bCs/>
                <w:sz w:val="24"/>
                <w:szCs w:val="24"/>
              </w:rPr>
            </w:pPr>
            <w:r w:rsidRPr="00955CB1">
              <w:rPr>
                <w:b/>
                <w:bCs/>
                <w:sz w:val="24"/>
                <w:szCs w:val="24"/>
              </w:rPr>
              <w:t>Coefficient</w:t>
            </w:r>
          </w:p>
        </w:tc>
        <w:tc>
          <w:tcPr>
            <w:tcW w:w="1350" w:type="pct"/>
            <w:hideMark/>
          </w:tcPr>
          <w:p w14:paraId="50436128" w14:textId="77777777" w:rsidR="00673F93" w:rsidRPr="00955CB1" w:rsidRDefault="00673F93" w:rsidP="00955CB1">
            <w:pPr>
              <w:pStyle w:val="NoSpacing"/>
              <w:rPr>
                <w:b/>
                <w:bCs/>
                <w:sz w:val="24"/>
                <w:szCs w:val="24"/>
              </w:rPr>
            </w:pPr>
            <w:r w:rsidRPr="00955CB1">
              <w:rPr>
                <w:b/>
                <w:bCs/>
                <w:sz w:val="24"/>
                <w:szCs w:val="24"/>
              </w:rPr>
              <w:t>t‐Statistic</w:t>
            </w:r>
          </w:p>
        </w:tc>
      </w:tr>
      <w:tr w:rsidR="00673F93" w:rsidRPr="00955CB1" w14:paraId="73AB3B50" w14:textId="77777777" w:rsidTr="00BA2CCC">
        <w:tc>
          <w:tcPr>
            <w:tcW w:w="2154" w:type="pct"/>
            <w:hideMark/>
          </w:tcPr>
          <w:p w14:paraId="5FA74DC2" w14:textId="79413A7B" w:rsidR="00673F93" w:rsidRPr="007B0384" w:rsidRDefault="00D71504" w:rsidP="00955CB1">
            <w:pPr>
              <w:pStyle w:val="NoSpacing"/>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CSR</m:t>
                    </m:r>
                  </m:e>
                  <m:sub>
                    <m:r>
                      <w:rPr>
                        <w:rFonts w:ascii="Cambria Math" w:hAnsi="Cambria Math"/>
                        <w:sz w:val="24"/>
                        <w:szCs w:val="24"/>
                        <w:vertAlign w:val="subscript"/>
                      </w:rPr>
                      <m:t>t</m:t>
                    </m:r>
                  </m:sub>
                </m:sSub>
                <m:r>
                  <w:rPr>
                    <w:rFonts w:ascii="Cambria Math" w:hAnsi="Cambria Math"/>
                    <w:sz w:val="24"/>
                    <w:szCs w:val="24"/>
                  </w:rPr>
                  <m:t> × </m:t>
                </m:r>
                <m:sSub>
                  <m:sSubPr>
                    <m:ctrlPr>
                      <w:rPr>
                        <w:rFonts w:ascii="Cambria Math" w:hAnsi="Cambria Math"/>
                        <w:i/>
                        <w:sz w:val="24"/>
                        <w:szCs w:val="24"/>
                      </w:rPr>
                    </m:ctrlPr>
                  </m:sSubPr>
                  <m:e>
                    <m:r>
                      <w:rPr>
                        <w:rFonts w:ascii="Cambria Math" w:hAnsi="Cambria Math"/>
                        <w:sz w:val="24"/>
                        <w:szCs w:val="24"/>
                      </w:rPr>
                      <m:t>EARN</m:t>
                    </m:r>
                  </m:e>
                  <m:sub>
                    <m:r>
                      <w:rPr>
                        <w:rFonts w:ascii="Cambria Math" w:hAnsi="Cambria Math"/>
                        <w:sz w:val="24"/>
                        <w:szCs w:val="24"/>
                        <w:vertAlign w:val="subscript"/>
                      </w:rPr>
                      <m:t>t-1</m:t>
                    </m:r>
                  </m:sub>
                </m:sSub>
              </m:oMath>
            </m:oMathPara>
          </w:p>
        </w:tc>
        <w:tc>
          <w:tcPr>
            <w:tcW w:w="1496" w:type="pct"/>
            <w:hideMark/>
          </w:tcPr>
          <w:p w14:paraId="305F0443" w14:textId="77777777" w:rsidR="00673F93" w:rsidRPr="00955CB1" w:rsidRDefault="00673F93" w:rsidP="00955CB1">
            <w:pPr>
              <w:pStyle w:val="NoSpacing"/>
              <w:rPr>
                <w:sz w:val="24"/>
                <w:szCs w:val="24"/>
              </w:rPr>
            </w:pPr>
            <w:r w:rsidRPr="00955CB1">
              <w:rPr>
                <w:sz w:val="24"/>
                <w:szCs w:val="24"/>
              </w:rPr>
              <w:t>−0.146</w:t>
            </w:r>
          </w:p>
        </w:tc>
        <w:tc>
          <w:tcPr>
            <w:tcW w:w="1350" w:type="pct"/>
            <w:hideMark/>
          </w:tcPr>
          <w:p w14:paraId="483350B0" w14:textId="77777777" w:rsidR="00673F93" w:rsidRPr="00955CB1" w:rsidRDefault="00673F93" w:rsidP="00955CB1">
            <w:pPr>
              <w:pStyle w:val="NoSpacing"/>
              <w:rPr>
                <w:sz w:val="24"/>
                <w:szCs w:val="24"/>
              </w:rPr>
            </w:pPr>
            <w:r w:rsidRPr="00955CB1">
              <w:rPr>
                <w:sz w:val="24"/>
                <w:szCs w:val="24"/>
              </w:rPr>
              <w:t>−0.99</w:t>
            </w:r>
          </w:p>
        </w:tc>
      </w:tr>
      <w:tr w:rsidR="00673F93" w:rsidRPr="00955CB1" w14:paraId="2D3EA6D7" w14:textId="77777777" w:rsidTr="00BA2CCC">
        <w:tc>
          <w:tcPr>
            <w:tcW w:w="2154" w:type="pct"/>
            <w:hideMark/>
          </w:tcPr>
          <w:p w14:paraId="0B0F61EE" w14:textId="4855E227" w:rsidR="00673F93" w:rsidRPr="007B0384" w:rsidRDefault="00D71504" w:rsidP="00955CB1">
            <w:pPr>
              <w:pStyle w:val="NoSpacing"/>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CSR</m:t>
                    </m:r>
                  </m:e>
                  <m:sub>
                    <m:r>
                      <w:rPr>
                        <w:rFonts w:ascii="Cambria Math" w:hAnsi="Cambria Math"/>
                        <w:sz w:val="24"/>
                        <w:szCs w:val="24"/>
                        <w:vertAlign w:val="subscript"/>
                      </w:rPr>
                      <m:t>t</m:t>
                    </m:r>
                  </m:sub>
                </m:sSub>
                <m:r>
                  <w:rPr>
                    <w:rFonts w:ascii="Cambria Math" w:hAnsi="Cambria Math"/>
                    <w:sz w:val="24"/>
                    <w:szCs w:val="24"/>
                  </w:rPr>
                  <m:t> × </m:t>
                </m:r>
                <m:sSub>
                  <m:sSubPr>
                    <m:ctrlPr>
                      <w:rPr>
                        <w:rFonts w:ascii="Cambria Math" w:hAnsi="Cambria Math"/>
                        <w:i/>
                        <w:sz w:val="24"/>
                        <w:szCs w:val="24"/>
                      </w:rPr>
                    </m:ctrlPr>
                  </m:sSubPr>
                  <m:e>
                    <m:r>
                      <w:rPr>
                        <w:rFonts w:ascii="Cambria Math" w:hAnsi="Cambria Math"/>
                        <w:sz w:val="24"/>
                        <w:szCs w:val="24"/>
                      </w:rPr>
                      <m:t>EARN</m:t>
                    </m:r>
                  </m:e>
                  <m:sub>
                    <m:r>
                      <w:rPr>
                        <w:rFonts w:ascii="Cambria Math" w:hAnsi="Cambria Math"/>
                        <w:sz w:val="24"/>
                        <w:szCs w:val="24"/>
                        <w:vertAlign w:val="subscript"/>
                      </w:rPr>
                      <m:t>t</m:t>
                    </m:r>
                  </m:sub>
                </m:sSub>
              </m:oMath>
            </m:oMathPara>
          </w:p>
        </w:tc>
        <w:tc>
          <w:tcPr>
            <w:tcW w:w="1496" w:type="pct"/>
            <w:hideMark/>
          </w:tcPr>
          <w:p w14:paraId="682C904B" w14:textId="77777777" w:rsidR="00673F93" w:rsidRPr="00955CB1" w:rsidRDefault="00673F93" w:rsidP="00955CB1">
            <w:pPr>
              <w:pStyle w:val="NoSpacing"/>
              <w:rPr>
                <w:sz w:val="24"/>
                <w:szCs w:val="24"/>
              </w:rPr>
            </w:pPr>
            <w:r w:rsidRPr="00955CB1">
              <w:rPr>
                <w:sz w:val="24"/>
                <w:szCs w:val="24"/>
              </w:rPr>
              <w:t>0.017</w:t>
            </w:r>
          </w:p>
        </w:tc>
        <w:tc>
          <w:tcPr>
            <w:tcW w:w="1350" w:type="pct"/>
            <w:hideMark/>
          </w:tcPr>
          <w:p w14:paraId="10A88D3A" w14:textId="77777777" w:rsidR="00673F93" w:rsidRPr="00955CB1" w:rsidRDefault="00673F93" w:rsidP="00955CB1">
            <w:pPr>
              <w:pStyle w:val="NoSpacing"/>
              <w:rPr>
                <w:sz w:val="24"/>
                <w:szCs w:val="24"/>
              </w:rPr>
            </w:pPr>
            <w:r w:rsidRPr="00955CB1">
              <w:rPr>
                <w:sz w:val="24"/>
                <w:szCs w:val="24"/>
              </w:rPr>
              <w:t>0.09</w:t>
            </w:r>
          </w:p>
        </w:tc>
      </w:tr>
      <w:tr w:rsidR="00673F93" w:rsidRPr="00955CB1" w14:paraId="0F3E93C1" w14:textId="77777777" w:rsidTr="00BA2CCC">
        <w:tc>
          <w:tcPr>
            <w:tcW w:w="2154" w:type="pct"/>
            <w:hideMark/>
          </w:tcPr>
          <w:p w14:paraId="5793457E" w14:textId="34B6A2BC" w:rsidR="00673F93" w:rsidRPr="007B0384" w:rsidRDefault="00D71504" w:rsidP="00955CB1">
            <w:pPr>
              <w:pStyle w:val="NoSpacing"/>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CSR</m:t>
                    </m:r>
                  </m:e>
                  <m:sub>
                    <m:r>
                      <w:rPr>
                        <w:rFonts w:ascii="Cambria Math" w:hAnsi="Cambria Math"/>
                        <w:sz w:val="24"/>
                        <w:szCs w:val="24"/>
                        <w:vertAlign w:val="subscript"/>
                      </w:rPr>
                      <m:t>t</m:t>
                    </m:r>
                  </m:sub>
                </m:sSub>
                <m:r>
                  <w:rPr>
                    <w:rFonts w:ascii="Cambria Math" w:hAnsi="Cambria Math"/>
                    <w:sz w:val="24"/>
                    <w:szCs w:val="24"/>
                  </w:rPr>
                  <m:t> × </m:t>
                </m:r>
                <m:sSub>
                  <m:sSubPr>
                    <m:ctrlPr>
                      <w:rPr>
                        <w:rFonts w:ascii="Cambria Math" w:hAnsi="Cambria Math"/>
                        <w:i/>
                        <w:sz w:val="24"/>
                        <w:szCs w:val="24"/>
                      </w:rPr>
                    </m:ctrlPr>
                  </m:sSubPr>
                  <m:e>
                    <m:r>
                      <w:rPr>
                        <w:rFonts w:ascii="Cambria Math" w:hAnsi="Cambria Math"/>
                        <w:sz w:val="24"/>
                        <w:szCs w:val="24"/>
                      </w:rPr>
                      <m:t>EARN</m:t>
                    </m:r>
                  </m:e>
                  <m:sub>
                    <m:r>
                      <w:rPr>
                        <w:rFonts w:ascii="Cambria Math" w:hAnsi="Cambria Math"/>
                        <w:sz w:val="24"/>
                        <w:szCs w:val="24"/>
                        <w:vertAlign w:val="subscript"/>
                      </w:rPr>
                      <m:t>t+1</m:t>
                    </m:r>
                  </m:sub>
                </m:sSub>
              </m:oMath>
            </m:oMathPara>
          </w:p>
        </w:tc>
        <w:tc>
          <w:tcPr>
            <w:tcW w:w="1496" w:type="pct"/>
            <w:hideMark/>
          </w:tcPr>
          <w:p w14:paraId="47DDE63D" w14:textId="77777777" w:rsidR="00673F93" w:rsidRPr="00955CB1" w:rsidRDefault="00673F93" w:rsidP="00955CB1">
            <w:pPr>
              <w:pStyle w:val="NoSpacing"/>
              <w:rPr>
                <w:sz w:val="24"/>
                <w:szCs w:val="24"/>
              </w:rPr>
            </w:pPr>
            <w:r w:rsidRPr="00955CB1">
              <w:rPr>
                <w:sz w:val="24"/>
                <w:szCs w:val="24"/>
              </w:rPr>
              <w:t>0.319**</w:t>
            </w:r>
          </w:p>
        </w:tc>
        <w:tc>
          <w:tcPr>
            <w:tcW w:w="1350" w:type="pct"/>
            <w:hideMark/>
          </w:tcPr>
          <w:p w14:paraId="26D6887B" w14:textId="77777777" w:rsidR="00673F93" w:rsidRPr="00955CB1" w:rsidRDefault="00673F93" w:rsidP="00955CB1">
            <w:pPr>
              <w:pStyle w:val="NoSpacing"/>
              <w:rPr>
                <w:sz w:val="24"/>
                <w:szCs w:val="24"/>
              </w:rPr>
            </w:pPr>
            <w:r w:rsidRPr="00955CB1">
              <w:rPr>
                <w:sz w:val="24"/>
                <w:szCs w:val="24"/>
              </w:rPr>
              <w:t>2.00</w:t>
            </w:r>
          </w:p>
        </w:tc>
      </w:tr>
      <w:tr w:rsidR="00673F93" w:rsidRPr="00955CB1" w14:paraId="3E082859" w14:textId="77777777" w:rsidTr="00BA2CCC">
        <w:tc>
          <w:tcPr>
            <w:tcW w:w="2154" w:type="pct"/>
            <w:hideMark/>
          </w:tcPr>
          <w:p w14:paraId="6EB70803" w14:textId="7B748B02" w:rsidR="00673F93" w:rsidRPr="007B0384" w:rsidRDefault="00D71504" w:rsidP="00955CB1">
            <w:pPr>
              <w:pStyle w:val="NoSpacing"/>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CSR</m:t>
                    </m:r>
                  </m:e>
                  <m:sub>
                    <m:r>
                      <w:rPr>
                        <w:rFonts w:ascii="Cambria Math" w:hAnsi="Cambria Math"/>
                        <w:sz w:val="24"/>
                        <w:szCs w:val="24"/>
                        <w:vertAlign w:val="subscript"/>
                      </w:rPr>
                      <m:t>t</m:t>
                    </m:r>
                  </m:sub>
                </m:sSub>
                <m:r>
                  <w:rPr>
                    <w:rFonts w:ascii="Cambria Math" w:hAnsi="Cambria Math"/>
                    <w:sz w:val="24"/>
                    <w:szCs w:val="24"/>
                  </w:rPr>
                  <m:t> × </m:t>
                </m:r>
                <m:sSub>
                  <m:sSubPr>
                    <m:ctrlPr>
                      <w:rPr>
                        <w:rFonts w:ascii="Cambria Math" w:hAnsi="Cambria Math"/>
                        <w:i/>
                        <w:sz w:val="24"/>
                        <w:szCs w:val="24"/>
                      </w:rPr>
                    </m:ctrlPr>
                  </m:sSubPr>
                  <m:e>
                    <m:r>
                      <w:rPr>
                        <w:rFonts w:ascii="Cambria Math" w:hAnsi="Cambria Math"/>
                        <w:sz w:val="24"/>
                        <w:szCs w:val="24"/>
                      </w:rPr>
                      <m:t>RET</m:t>
                    </m:r>
                  </m:e>
                  <m:sub>
                    <m:r>
                      <w:rPr>
                        <w:rFonts w:ascii="Cambria Math" w:hAnsi="Cambria Math"/>
                        <w:sz w:val="24"/>
                        <w:szCs w:val="24"/>
                        <w:vertAlign w:val="subscript"/>
                      </w:rPr>
                      <m:t>t+1</m:t>
                    </m:r>
                  </m:sub>
                </m:sSub>
              </m:oMath>
            </m:oMathPara>
          </w:p>
        </w:tc>
        <w:tc>
          <w:tcPr>
            <w:tcW w:w="1496" w:type="pct"/>
            <w:hideMark/>
          </w:tcPr>
          <w:p w14:paraId="7EBB3E11" w14:textId="77777777" w:rsidR="00673F93" w:rsidRPr="00955CB1" w:rsidRDefault="00673F93" w:rsidP="00955CB1">
            <w:pPr>
              <w:pStyle w:val="NoSpacing"/>
              <w:rPr>
                <w:sz w:val="24"/>
                <w:szCs w:val="24"/>
              </w:rPr>
            </w:pPr>
            <w:r w:rsidRPr="00955CB1">
              <w:rPr>
                <w:sz w:val="24"/>
                <w:szCs w:val="24"/>
              </w:rPr>
              <w:t>−1.227***</w:t>
            </w:r>
          </w:p>
        </w:tc>
        <w:tc>
          <w:tcPr>
            <w:tcW w:w="1350" w:type="pct"/>
            <w:hideMark/>
          </w:tcPr>
          <w:p w14:paraId="7049106D" w14:textId="77777777" w:rsidR="00673F93" w:rsidRPr="00955CB1" w:rsidRDefault="00673F93" w:rsidP="00955CB1">
            <w:pPr>
              <w:pStyle w:val="NoSpacing"/>
              <w:rPr>
                <w:sz w:val="24"/>
                <w:szCs w:val="24"/>
              </w:rPr>
            </w:pPr>
            <w:r w:rsidRPr="00955CB1">
              <w:rPr>
                <w:sz w:val="24"/>
                <w:szCs w:val="24"/>
              </w:rPr>
              <w:t>−15.82</w:t>
            </w:r>
          </w:p>
        </w:tc>
      </w:tr>
      <w:tr w:rsidR="00673F93" w:rsidRPr="00955CB1" w14:paraId="48F990CF" w14:textId="77777777" w:rsidTr="00BA2CCC">
        <w:tc>
          <w:tcPr>
            <w:tcW w:w="2154" w:type="pct"/>
            <w:hideMark/>
          </w:tcPr>
          <w:p w14:paraId="5A00B6D2" w14:textId="207B97BC" w:rsidR="00673F93" w:rsidRPr="007B0384" w:rsidRDefault="00D71504" w:rsidP="00955CB1">
            <w:pPr>
              <w:pStyle w:val="NoSpacing"/>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CSR</m:t>
                    </m:r>
                  </m:e>
                  <m:sub>
                    <m:r>
                      <w:rPr>
                        <w:rFonts w:ascii="Cambria Math" w:hAnsi="Cambria Math"/>
                        <w:sz w:val="24"/>
                        <w:szCs w:val="24"/>
                        <w:vertAlign w:val="subscript"/>
                      </w:rPr>
                      <m:t>t</m:t>
                    </m:r>
                  </m:sub>
                </m:sSub>
                <m:r>
                  <w:rPr>
                    <w:rFonts w:ascii="Cambria Math" w:hAnsi="Cambria Math"/>
                    <w:sz w:val="24"/>
                    <w:szCs w:val="24"/>
                  </w:rPr>
                  <m:t> ×</m:t>
                </m:r>
                <m:sSub>
                  <m:sSubPr>
                    <m:ctrlPr>
                      <w:rPr>
                        <w:rFonts w:ascii="Cambria Math" w:hAnsi="Cambria Math"/>
                        <w:i/>
                        <w:sz w:val="24"/>
                        <w:szCs w:val="24"/>
                      </w:rPr>
                    </m:ctrlPr>
                  </m:sSubPr>
                  <m:e>
                    <m:r>
                      <w:rPr>
                        <w:rFonts w:ascii="Cambria Math" w:hAnsi="Cambria Math"/>
                        <w:sz w:val="24"/>
                        <w:szCs w:val="24"/>
                      </w:rPr>
                      <m:t> EARN_P</m:t>
                    </m:r>
                  </m:e>
                  <m:sub>
                    <m:r>
                      <w:rPr>
                        <w:rFonts w:ascii="Cambria Math" w:hAnsi="Cambria Math"/>
                        <w:sz w:val="24"/>
                        <w:szCs w:val="24"/>
                        <w:vertAlign w:val="subscript"/>
                      </w:rPr>
                      <m:t>t-1</m:t>
                    </m:r>
                  </m:sub>
                </m:sSub>
              </m:oMath>
            </m:oMathPara>
          </w:p>
        </w:tc>
        <w:tc>
          <w:tcPr>
            <w:tcW w:w="1496" w:type="pct"/>
            <w:hideMark/>
          </w:tcPr>
          <w:p w14:paraId="687283FB" w14:textId="77777777" w:rsidR="00673F93" w:rsidRPr="00955CB1" w:rsidRDefault="00673F93" w:rsidP="00955CB1">
            <w:pPr>
              <w:pStyle w:val="NoSpacing"/>
              <w:rPr>
                <w:sz w:val="24"/>
                <w:szCs w:val="24"/>
              </w:rPr>
            </w:pPr>
            <w:r w:rsidRPr="00955CB1">
              <w:rPr>
                <w:sz w:val="24"/>
                <w:szCs w:val="24"/>
              </w:rPr>
              <w:t>0.061</w:t>
            </w:r>
          </w:p>
        </w:tc>
        <w:tc>
          <w:tcPr>
            <w:tcW w:w="1350" w:type="pct"/>
            <w:hideMark/>
          </w:tcPr>
          <w:p w14:paraId="0C3E3164" w14:textId="77777777" w:rsidR="00673F93" w:rsidRPr="00955CB1" w:rsidRDefault="00673F93" w:rsidP="00955CB1">
            <w:pPr>
              <w:pStyle w:val="NoSpacing"/>
              <w:rPr>
                <w:sz w:val="24"/>
                <w:szCs w:val="24"/>
              </w:rPr>
            </w:pPr>
            <w:r w:rsidRPr="00955CB1">
              <w:rPr>
                <w:sz w:val="24"/>
                <w:szCs w:val="24"/>
              </w:rPr>
              <w:t>1.51</w:t>
            </w:r>
          </w:p>
        </w:tc>
      </w:tr>
      <w:tr w:rsidR="00673F93" w:rsidRPr="00955CB1" w14:paraId="4FBAB479" w14:textId="77777777" w:rsidTr="00BA2CCC">
        <w:tc>
          <w:tcPr>
            <w:tcW w:w="2154" w:type="pct"/>
            <w:hideMark/>
          </w:tcPr>
          <w:p w14:paraId="293539FB" w14:textId="0D045F5F" w:rsidR="00673F93" w:rsidRPr="007B0384" w:rsidRDefault="00D71504" w:rsidP="00955CB1">
            <w:pPr>
              <w:pStyle w:val="NoSpacing"/>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 EARN_P</m:t>
                    </m:r>
                  </m:e>
                  <m:sub>
                    <m:r>
                      <w:rPr>
                        <w:rFonts w:ascii="Cambria Math" w:hAnsi="Cambria Math"/>
                        <w:sz w:val="24"/>
                        <w:szCs w:val="24"/>
                        <w:vertAlign w:val="subscript"/>
                      </w:rPr>
                      <m:t>t-1</m:t>
                    </m:r>
                  </m:sub>
                </m:sSub>
              </m:oMath>
            </m:oMathPara>
          </w:p>
        </w:tc>
        <w:tc>
          <w:tcPr>
            <w:tcW w:w="1496" w:type="pct"/>
            <w:hideMark/>
          </w:tcPr>
          <w:p w14:paraId="79FE116B" w14:textId="77777777" w:rsidR="00673F93" w:rsidRPr="00955CB1" w:rsidRDefault="00673F93" w:rsidP="00955CB1">
            <w:pPr>
              <w:pStyle w:val="NoSpacing"/>
              <w:rPr>
                <w:sz w:val="24"/>
                <w:szCs w:val="24"/>
              </w:rPr>
            </w:pPr>
            <w:r w:rsidRPr="00955CB1">
              <w:rPr>
                <w:sz w:val="24"/>
                <w:szCs w:val="24"/>
              </w:rPr>
              <w:t>−0.048*</w:t>
            </w:r>
          </w:p>
        </w:tc>
        <w:tc>
          <w:tcPr>
            <w:tcW w:w="1350" w:type="pct"/>
            <w:hideMark/>
          </w:tcPr>
          <w:p w14:paraId="22EF41C4" w14:textId="77777777" w:rsidR="00673F93" w:rsidRPr="00955CB1" w:rsidRDefault="00673F93" w:rsidP="00955CB1">
            <w:pPr>
              <w:pStyle w:val="NoSpacing"/>
              <w:rPr>
                <w:sz w:val="24"/>
                <w:szCs w:val="24"/>
              </w:rPr>
            </w:pPr>
            <w:r w:rsidRPr="00955CB1">
              <w:rPr>
                <w:sz w:val="24"/>
                <w:szCs w:val="24"/>
              </w:rPr>
              <w:t>−1.85</w:t>
            </w:r>
          </w:p>
        </w:tc>
      </w:tr>
      <w:tr w:rsidR="00673F93" w:rsidRPr="00955CB1" w14:paraId="1962955F" w14:textId="77777777" w:rsidTr="00BA2CCC">
        <w:tc>
          <w:tcPr>
            <w:tcW w:w="2154" w:type="pct"/>
            <w:hideMark/>
          </w:tcPr>
          <w:p w14:paraId="48AA6F9B" w14:textId="48F4F982" w:rsidR="00673F93" w:rsidRPr="007B0384" w:rsidRDefault="00D71504" w:rsidP="00955CB1">
            <w:pPr>
              <w:pStyle w:val="NoSpacing"/>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 EARN_P</m:t>
                    </m:r>
                  </m:e>
                  <m:sub>
                    <m:r>
                      <w:rPr>
                        <w:rFonts w:ascii="Cambria Math" w:hAnsi="Cambria Math"/>
                        <w:sz w:val="24"/>
                        <w:szCs w:val="24"/>
                        <w:vertAlign w:val="subscript"/>
                      </w:rPr>
                      <m:t>t+1</m:t>
                    </m:r>
                  </m:sub>
                </m:sSub>
              </m:oMath>
            </m:oMathPara>
          </w:p>
        </w:tc>
        <w:tc>
          <w:tcPr>
            <w:tcW w:w="1496" w:type="pct"/>
            <w:hideMark/>
          </w:tcPr>
          <w:p w14:paraId="4D886B7E" w14:textId="77777777" w:rsidR="00673F93" w:rsidRPr="00955CB1" w:rsidRDefault="00673F93" w:rsidP="00955CB1">
            <w:pPr>
              <w:pStyle w:val="NoSpacing"/>
              <w:rPr>
                <w:sz w:val="24"/>
                <w:szCs w:val="24"/>
              </w:rPr>
            </w:pPr>
            <w:r w:rsidRPr="00955CB1">
              <w:rPr>
                <w:sz w:val="24"/>
                <w:szCs w:val="24"/>
              </w:rPr>
              <w:t>0.481***</w:t>
            </w:r>
          </w:p>
        </w:tc>
        <w:tc>
          <w:tcPr>
            <w:tcW w:w="1350" w:type="pct"/>
            <w:hideMark/>
          </w:tcPr>
          <w:p w14:paraId="0590A6FB" w14:textId="77777777" w:rsidR="00673F93" w:rsidRPr="00955CB1" w:rsidRDefault="00673F93" w:rsidP="00955CB1">
            <w:pPr>
              <w:pStyle w:val="NoSpacing"/>
              <w:rPr>
                <w:sz w:val="24"/>
                <w:szCs w:val="24"/>
              </w:rPr>
            </w:pPr>
            <w:r w:rsidRPr="00955CB1">
              <w:rPr>
                <w:sz w:val="24"/>
                <w:szCs w:val="24"/>
              </w:rPr>
              <w:t>4.02</w:t>
            </w:r>
          </w:p>
        </w:tc>
      </w:tr>
      <w:tr w:rsidR="00673F93" w:rsidRPr="00955CB1" w14:paraId="536863C9" w14:textId="77777777" w:rsidTr="00BA2CCC">
        <w:tc>
          <w:tcPr>
            <w:tcW w:w="2154" w:type="pct"/>
            <w:hideMark/>
          </w:tcPr>
          <w:p w14:paraId="76091B1A" w14:textId="592D561D" w:rsidR="00673F93" w:rsidRPr="007B0384" w:rsidRDefault="00D71504" w:rsidP="00955CB1">
            <w:pPr>
              <w:pStyle w:val="NoSpacing"/>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EARN</m:t>
                    </m:r>
                  </m:e>
                  <m:sub>
                    <m:r>
                      <w:rPr>
                        <w:rFonts w:ascii="Cambria Math" w:hAnsi="Cambria Math"/>
                        <w:sz w:val="24"/>
                        <w:szCs w:val="24"/>
                        <w:vertAlign w:val="subscript"/>
                      </w:rPr>
                      <m:t>t</m:t>
                    </m:r>
                  </m:sub>
                </m:sSub>
              </m:oMath>
            </m:oMathPara>
          </w:p>
        </w:tc>
        <w:tc>
          <w:tcPr>
            <w:tcW w:w="1496" w:type="pct"/>
            <w:hideMark/>
          </w:tcPr>
          <w:p w14:paraId="56619A1F" w14:textId="77777777" w:rsidR="00673F93" w:rsidRPr="00955CB1" w:rsidRDefault="00673F93" w:rsidP="00955CB1">
            <w:pPr>
              <w:pStyle w:val="NoSpacing"/>
              <w:rPr>
                <w:sz w:val="24"/>
                <w:szCs w:val="24"/>
              </w:rPr>
            </w:pPr>
            <w:r w:rsidRPr="00955CB1">
              <w:rPr>
                <w:sz w:val="24"/>
                <w:szCs w:val="24"/>
              </w:rPr>
              <w:t>1.156***</w:t>
            </w:r>
          </w:p>
        </w:tc>
        <w:tc>
          <w:tcPr>
            <w:tcW w:w="1350" w:type="pct"/>
            <w:hideMark/>
          </w:tcPr>
          <w:p w14:paraId="796283D4" w14:textId="77777777" w:rsidR="00673F93" w:rsidRPr="00955CB1" w:rsidRDefault="00673F93" w:rsidP="00955CB1">
            <w:pPr>
              <w:pStyle w:val="NoSpacing"/>
              <w:rPr>
                <w:sz w:val="24"/>
                <w:szCs w:val="24"/>
              </w:rPr>
            </w:pPr>
            <w:r w:rsidRPr="00955CB1">
              <w:rPr>
                <w:sz w:val="24"/>
                <w:szCs w:val="24"/>
              </w:rPr>
              <w:t>11.51</w:t>
            </w:r>
          </w:p>
        </w:tc>
      </w:tr>
      <w:tr w:rsidR="00673F93" w:rsidRPr="00955CB1" w14:paraId="361718B0" w14:textId="77777777" w:rsidTr="00BA2CCC">
        <w:tc>
          <w:tcPr>
            <w:tcW w:w="2154" w:type="pct"/>
            <w:hideMark/>
          </w:tcPr>
          <w:p w14:paraId="66C8F4F4" w14:textId="36542012" w:rsidR="00673F93" w:rsidRPr="007B0384" w:rsidRDefault="00D71504" w:rsidP="00955CB1">
            <w:pPr>
              <w:pStyle w:val="NoSpacing"/>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EARN</m:t>
                    </m:r>
                  </m:e>
                  <m:sub>
                    <m:r>
                      <w:rPr>
                        <w:rFonts w:ascii="Cambria Math" w:hAnsi="Cambria Math"/>
                        <w:sz w:val="24"/>
                        <w:szCs w:val="24"/>
                        <w:vertAlign w:val="subscript"/>
                      </w:rPr>
                      <m:t>t+1</m:t>
                    </m:r>
                  </m:sub>
                </m:sSub>
              </m:oMath>
            </m:oMathPara>
          </w:p>
        </w:tc>
        <w:tc>
          <w:tcPr>
            <w:tcW w:w="1496" w:type="pct"/>
            <w:hideMark/>
          </w:tcPr>
          <w:p w14:paraId="466A13CD" w14:textId="77777777" w:rsidR="00673F93" w:rsidRPr="00955CB1" w:rsidRDefault="00673F93" w:rsidP="00955CB1">
            <w:pPr>
              <w:pStyle w:val="NoSpacing"/>
              <w:rPr>
                <w:sz w:val="24"/>
                <w:szCs w:val="24"/>
              </w:rPr>
            </w:pPr>
            <w:r w:rsidRPr="00955CB1">
              <w:rPr>
                <w:sz w:val="24"/>
                <w:szCs w:val="24"/>
              </w:rPr>
              <w:t>−0.038**</w:t>
            </w:r>
          </w:p>
        </w:tc>
        <w:tc>
          <w:tcPr>
            <w:tcW w:w="1350" w:type="pct"/>
            <w:hideMark/>
          </w:tcPr>
          <w:p w14:paraId="6E866D2C" w14:textId="77777777" w:rsidR="00673F93" w:rsidRPr="00955CB1" w:rsidRDefault="00673F93" w:rsidP="00955CB1">
            <w:pPr>
              <w:pStyle w:val="NoSpacing"/>
              <w:rPr>
                <w:sz w:val="24"/>
                <w:szCs w:val="24"/>
              </w:rPr>
            </w:pPr>
            <w:r w:rsidRPr="00955CB1">
              <w:rPr>
                <w:sz w:val="24"/>
                <w:szCs w:val="24"/>
              </w:rPr>
              <w:t>−2.37</w:t>
            </w:r>
          </w:p>
        </w:tc>
      </w:tr>
      <w:tr w:rsidR="00673F93" w:rsidRPr="00955CB1" w14:paraId="649AAD39" w14:textId="77777777" w:rsidTr="00BA2CCC">
        <w:tc>
          <w:tcPr>
            <w:tcW w:w="2154" w:type="pct"/>
            <w:hideMark/>
          </w:tcPr>
          <w:p w14:paraId="2F1ADA66" w14:textId="16299C4A" w:rsidR="00673F93" w:rsidRPr="007B0384" w:rsidRDefault="00D71504" w:rsidP="00955CB1">
            <w:pPr>
              <w:pStyle w:val="NoSpacing"/>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RET</m:t>
                    </m:r>
                  </m:e>
                  <m:sub>
                    <m:r>
                      <w:rPr>
                        <w:rFonts w:ascii="Cambria Math" w:hAnsi="Cambria Math"/>
                        <w:sz w:val="24"/>
                        <w:szCs w:val="24"/>
                        <w:vertAlign w:val="subscript"/>
                      </w:rPr>
                      <m:t>t+1</m:t>
                    </m:r>
                  </m:sub>
                </m:sSub>
              </m:oMath>
            </m:oMathPara>
          </w:p>
        </w:tc>
        <w:tc>
          <w:tcPr>
            <w:tcW w:w="1496" w:type="pct"/>
            <w:hideMark/>
          </w:tcPr>
          <w:p w14:paraId="34395951" w14:textId="77777777" w:rsidR="00673F93" w:rsidRPr="00955CB1" w:rsidRDefault="00673F93" w:rsidP="00955CB1">
            <w:pPr>
              <w:pStyle w:val="NoSpacing"/>
              <w:rPr>
                <w:sz w:val="24"/>
                <w:szCs w:val="24"/>
              </w:rPr>
            </w:pPr>
            <w:r w:rsidRPr="00955CB1">
              <w:rPr>
                <w:sz w:val="24"/>
                <w:szCs w:val="24"/>
              </w:rPr>
              <w:t>−0.022</w:t>
            </w:r>
          </w:p>
        </w:tc>
        <w:tc>
          <w:tcPr>
            <w:tcW w:w="1350" w:type="pct"/>
            <w:hideMark/>
          </w:tcPr>
          <w:p w14:paraId="17243F3C" w14:textId="77777777" w:rsidR="00673F93" w:rsidRPr="00955CB1" w:rsidRDefault="00673F93" w:rsidP="00955CB1">
            <w:pPr>
              <w:pStyle w:val="NoSpacing"/>
              <w:rPr>
                <w:sz w:val="24"/>
                <w:szCs w:val="24"/>
              </w:rPr>
            </w:pPr>
            <w:r w:rsidRPr="00955CB1">
              <w:rPr>
                <w:sz w:val="24"/>
                <w:szCs w:val="24"/>
              </w:rPr>
              <w:t>−0.87</w:t>
            </w:r>
          </w:p>
        </w:tc>
      </w:tr>
      <w:tr w:rsidR="00673F93" w:rsidRPr="00955CB1" w14:paraId="4F27ABB9" w14:textId="77777777" w:rsidTr="00BA2CCC">
        <w:tc>
          <w:tcPr>
            <w:tcW w:w="2154" w:type="pct"/>
            <w:hideMark/>
          </w:tcPr>
          <w:p w14:paraId="1CF4480A" w14:textId="757F6B78" w:rsidR="00673F93" w:rsidRPr="007B0384" w:rsidRDefault="00D71504" w:rsidP="00955CB1">
            <w:pPr>
              <w:pStyle w:val="NoSpacing"/>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CSR</m:t>
                    </m:r>
                  </m:e>
                  <m:sub>
                    <m:r>
                      <w:rPr>
                        <w:rFonts w:ascii="Cambria Math" w:hAnsi="Cambria Math"/>
                        <w:sz w:val="24"/>
                        <w:szCs w:val="24"/>
                        <w:vertAlign w:val="subscript"/>
                      </w:rPr>
                      <m:t>t</m:t>
                    </m:r>
                  </m:sub>
                </m:sSub>
              </m:oMath>
            </m:oMathPara>
          </w:p>
        </w:tc>
        <w:tc>
          <w:tcPr>
            <w:tcW w:w="1496" w:type="pct"/>
            <w:hideMark/>
          </w:tcPr>
          <w:p w14:paraId="627C636C" w14:textId="77777777" w:rsidR="00673F93" w:rsidRPr="00955CB1" w:rsidRDefault="00673F93" w:rsidP="00955CB1">
            <w:pPr>
              <w:pStyle w:val="NoSpacing"/>
              <w:rPr>
                <w:sz w:val="24"/>
                <w:szCs w:val="24"/>
              </w:rPr>
            </w:pPr>
            <w:r w:rsidRPr="00955CB1">
              <w:rPr>
                <w:sz w:val="24"/>
                <w:szCs w:val="24"/>
              </w:rPr>
              <w:t>0.001</w:t>
            </w:r>
          </w:p>
        </w:tc>
        <w:tc>
          <w:tcPr>
            <w:tcW w:w="1350" w:type="pct"/>
            <w:hideMark/>
          </w:tcPr>
          <w:p w14:paraId="58FF247D" w14:textId="77777777" w:rsidR="00673F93" w:rsidRPr="00955CB1" w:rsidRDefault="00673F93" w:rsidP="00955CB1">
            <w:pPr>
              <w:pStyle w:val="NoSpacing"/>
              <w:rPr>
                <w:sz w:val="24"/>
                <w:szCs w:val="24"/>
              </w:rPr>
            </w:pPr>
            <w:r w:rsidRPr="00955CB1">
              <w:rPr>
                <w:sz w:val="24"/>
                <w:szCs w:val="24"/>
              </w:rPr>
              <w:t>0.03</w:t>
            </w:r>
          </w:p>
        </w:tc>
      </w:tr>
      <w:tr w:rsidR="00673F93" w:rsidRPr="00955CB1" w14:paraId="5789FF20" w14:textId="77777777" w:rsidTr="00BA2CCC">
        <w:tc>
          <w:tcPr>
            <w:tcW w:w="2154" w:type="pct"/>
            <w:hideMark/>
          </w:tcPr>
          <w:p w14:paraId="3FF3A9A8" w14:textId="77777777" w:rsidR="00673F93" w:rsidRPr="007B0384" w:rsidRDefault="00673F93" w:rsidP="00955CB1">
            <w:pPr>
              <w:pStyle w:val="NoSpacing"/>
              <w:rPr>
                <w:i/>
                <w:iCs/>
                <w:sz w:val="24"/>
                <w:szCs w:val="24"/>
              </w:rPr>
            </w:pPr>
            <w:r w:rsidRPr="007B0384">
              <w:rPr>
                <w:i/>
                <w:iCs/>
                <w:sz w:val="24"/>
                <w:szCs w:val="24"/>
              </w:rPr>
              <w:t>SIZE</w:t>
            </w:r>
          </w:p>
        </w:tc>
        <w:tc>
          <w:tcPr>
            <w:tcW w:w="1496" w:type="pct"/>
            <w:hideMark/>
          </w:tcPr>
          <w:p w14:paraId="01C05685" w14:textId="77777777" w:rsidR="00673F93" w:rsidRPr="00955CB1" w:rsidRDefault="00673F93" w:rsidP="00955CB1">
            <w:pPr>
              <w:pStyle w:val="NoSpacing"/>
              <w:rPr>
                <w:sz w:val="24"/>
                <w:szCs w:val="24"/>
              </w:rPr>
            </w:pPr>
            <w:r w:rsidRPr="00955CB1">
              <w:rPr>
                <w:sz w:val="24"/>
                <w:szCs w:val="24"/>
              </w:rPr>
              <w:t>0.354***</w:t>
            </w:r>
          </w:p>
        </w:tc>
        <w:tc>
          <w:tcPr>
            <w:tcW w:w="1350" w:type="pct"/>
            <w:hideMark/>
          </w:tcPr>
          <w:p w14:paraId="4AC3E08B" w14:textId="77777777" w:rsidR="00673F93" w:rsidRPr="00955CB1" w:rsidRDefault="00673F93" w:rsidP="00955CB1">
            <w:pPr>
              <w:pStyle w:val="NoSpacing"/>
              <w:rPr>
                <w:sz w:val="24"/>
                <w:szCs w:val="24"/>
              </w:rPr>
            </w:pPr>
            <w:r w:rsidRPr="00955CB1">
              <w:rPr>
                <w:sz w:val="24"/>
                <w:szCs w:val="24"/>
              </w:rPr>
              <w:t>20.84</w:t>
            </w:r>
          </w:p>
        </w:tc>
      </w:tr>
      <w:tr w:rsidR="00673F93" w:rsidRPr="00955CB1" w14:paraId="5C880340" w14:textId="77777777" w:rsidTr="00BA2CCC">
        <w:tc>
          <w:tcPr>
            <w:tcW w:w="2154" w:type="pct"/>
            <w:hideMark/>
          </w:tcPr>
          <w:p w14:paraId="640D5C2B" w14:textId="77777777" w:rsidR="00673F93" w:rsidRPr="007B0384" w:rsidRDefault="00673F93" w:rsidP="00955CB1">
            <w:pPr>
              <w:pStyle w:val="NoSpacing"/>
              <w:rPr>
                <w:i/>
                <w:iCs/>
                <w:sz w:val="24"/>
                <w:szCs w:val="24"/>
              </w:rPr>
            </w:pPr>
            <w:r w:rsidRPr="007B0384">
              <w:rPr>
                <w:i/>
                <w:iCs/>
                <w:sz w:val="24"/>
                <w:szCs w:val="24"/>
              </w:rPr>
              <w:t>ATGROWTH</w:t>
            </w:r>
          </w:p>
        </w:tc>
        <w:tc>
          <w:tcPr>
            <w:tcW w:w="1496" w:type="pct"/>
            <w:hideMark/>
          </w:tcPr>
          <w:p w14:paraId="6F95CCE3" w14:textId="77777777" w:rsidR="00673F93" w:rsidRPr="00955CB1" w:rsidRDefault="00673F93" w:rsidP="00955CB1">
            <w:pPr>
              <w:pStyle w:val="NoSpacing"/>
              <w:rPr>
                <w:sz w:val="24"/>
                <w:szCs w:val="24"/>
              </w:rPr>
            </w:pPr>
            <w:r w:rsidRPr="00955CB1">
              <w:rPr>
                <w:sz w:val="24"/>
                <w:szCs w:val="24"/>
              </w:rPr>
              <w:t>0.114***</w:t>
            </w:r>
          </w:p>
        </w:tc>
        <w:tc>
          <w:tcPr>
            <w:tcW w:w="1350" w:type="pct"/>
            <w:hideMark/>
          </w:tcPr>
          <w:p w14:paraId="60E2168D" w14:textId="77777777" w:rsidR="00673F93" w:rsidRPr="00955CB1" w:rsidRDefault="00673F93" w:rsidP="00955CB1">
            <w:pPr>
              <w:pStyle w:val="NoSpacing"/>
              <w:rPr>
                <w:sz w:val="24"/>
                <w:szCs w:val="24"/>
              </w:rPr>
            </w:pPr>
            <w:r w:rsidRPr="00955CB1">
              <w:rPr>
                <w:sz w:val="24"/>
                <w:szCs w:val="24"/>
              </w:rPr>
              <w:t>4.87</w:t>
            </w:r>
          </w:p>
        </w:tc>
      </w:tr>
      <w:tr w:rsidR="00673F93" w:rsidRPr="00955CB1" w14:paraId="0FFE7EF2" w14:textId="77777777" w:rsidTr="00BA2CCC">
        <w:tc>
          <w:tcPr>
            <w:tcW w:w="2154" w:type="pct"/>
            <w:hideMark/>
          </w:tcPr>
          <w:p w14:paraId="68F19AE5" w14:textId="77777777" w:rsidR="00673F93" w:rsidRPr="007B0384" w:rsidRDefault="00673F93" w:rsidP="00955CB1">
            <w:pPr>
              <w:pStyle w:val="NoSpacing"/>
              <w:rPr>
                <w:i/>
                <w:iCs/>
                <w:sz w:val="24"/>
                <w:szCs w:val="24"/>
              </w:rPr>
            </w:pPr>
            <w:r w:rsidRPr="007B0384">
              <w:rPr>
                <w:i/>
                <w:iCs/>
                <w:sz w:val="24"/>
                <w:szCs w:val="24"/>
              </w:rPr>
              <w:t>LOSS</w:t>
            </w:r>
          </w:p>
        </w:tc>
        <w:tc>
          <w:tcPr>
            <w:tcW w:w="1496" w:type="pct"/>
            <w:hideMark/>
          </w:tcPr>
          <w:p w14:paraId="17D02B92" w14:textId="77777777" w:rsidR="00673F93" w:rsidRPr="00955CB1" w:rsidRDefault="00673F93" w:rsidP="00955CB1">
            <w:pPr>
              <w:pStyle w:val="NoSpacing"/>
              <w:rPr>
                <w:sz w:val="24"/>
                <w:szCs w:val="24"/>
              </w:rPr>
            </w:pPr>
            <w:r w:rsidRPr="00955CB1">
              <w:rPr>
                <w:sz w:val="24"/>
                <w:szCs w:val="24"/>
              </w:rPr>
              <w:t>0.021</w:t>
            </w:r>
          </w:p>
        </w:tc>
        <w:tc>
          <w:tcPr>
            <w:tcW w:w="1350" w:type="pct"/>
            <w:hideMark/>
          </w:tcPr>
          <w:p w14:paraId="2824347E" w14:textId="77777777" w:rsidR="00673F93" w:rsidRPr="00955CB1" w:rsidRDefault="00673F93" w:rsidP="00955CB1">
            <w:pPr>
              <w:pStyle w:val="NoSpacing"/>
              <w:rPr>
                <w:sz w:val="24"/>
                <w:szCs w:val="24"/>
              </w:rPr>
            </w:pPr>
            <w:r w:rsidRPr="00955CB1">
              <w:rPr>
                <w:sz w:val="24"/>
                <w:szCs w:val="24"/>
              </w:rPr>
              <w:t>0.95</w:t>
            </w:r>
          </w:p>
        </w:tc>
      </w:tr>
      <w:tr w:rsidR="00673F93" w:rsidRPr="00955CB1" w14:paraId="519DFBFE" w14:textId="77777777" w:rsidTr="00BA2CCC">
        <w:tc>
          <w:tcPr>
            <w:tcW w:w="2154" w:type="pct"/>
            <w:hideMark/>
          </w:tcPr>
          <w:p w14:paraId="3158D418" w14:textId="77777777" w:rsidR="00673F93" w:rsidRPr="007B0384" w:rsidRDefault="00673F93" w:rsidP="00955CB1">
            <w:pPr>
              <w:pStyle w:val="NoSpacing"/>
              <w:rPr>
                <w:i/>
                <w:iCs/>
                <w:sz w:val="24"/>
                <w:szCs w:val="24"/>
              </w:rPr>
            </w:pPr>
            <w:r w:rsidRPr="007B0384">
              <w:rPr>
                <w:i/>
                <w:iCs/>
                <w:sz w:val="24"/>
                <w:szCs w:val="24"/>
              </w:rPr>
              <w:t>INSTOWN</w:t>
            </w:r>
          </w:p>
        </w:tc>
        <w:tc>
          <w:tcPr>
            <w:tcW w:w="1496" w:type="pct"/>
            <w:hideMark/>
          </w:tcPr>
          <w:p w14:paraId="37CD6FD1" w14:textId="77777777" w:rsidR="00673F93" w:rsidRPr="00955CB1" w:rsidRDefault="00673F93" w:rsidP="00955CB1">
            <w:pPr>
              <w:pStyle w:val="NoSpacing"/>
              <w:rPr>
                <w:sz w:val="24"/>
                <w:szCs w:val="24"/>
              </w:rPr>
            </w:pPr>
            <w:r w:rsidRPr="00955CB1">
              <w:rPr>
                <w:sz w:val="24"/>
                <w:szCs w:val="24"/>
              </w:rPr>
              <w:t>0.128*</w:t>
            </w:r>
          </w:p>
        </w:tc>
        <w:tc>
          <w:tcPr>
            <w:tcW w:w="1350" w:type="pct"/>
            <w:hideMark/>
          </w:tcPr>
          <w:p w14:paraId="5F476942" w14:textId="77777777" w:rsidR="00673F93" w:rsidRPr="00955CB1" w:rsidRDefault="00673F93" w:rsidP="00955CB1">
            <w:pPr>
              <w:pStyle w:val="NoSpacing"/>
              <w:rPr>
                <w:sz w:val="24"/>
                <w:szCs w:val="24"/>
              </w:rPr>
            </w:pPr>
            <w:r w:rsidRPr="00955CB1">
              <w:rPr>
                <w:sz w:val="24"/>
                <w:szCs w:val="24"/>
              </w:rPr>
              <w:t>1.92</w:t>
            </w:r>
          </w:p>
        </w:tc>
      </w:tr>
      <w:tr w:rsidR="00673F93" w:rsidRPr="00955CB1" w14:paraId="56373E4F" w14:textId="77777777" w:rsidTr="00BA2CCC">
        <w:tc>
          <w:tcPr>
            <w:tcW w:w="2154" w:type="pct"/>
            <w:hideMark/>
          </w:tcPr>
          <w:p w14:paraId="34D91225" w14:textId="77777777" w:rsidR="00673F93" w:rsidRPr="007B0384" w:rsidRDefault="00673F93" w:rsidP="00955CB1">
            <w:pPr>
              <w:pStyle w:val="NoSpacing"/>
              <w:rPr>
                <w:i/>
                <w:iCs/>
                <w:sz w:val="24"/>
                <w:szCs w:val="24"/>
              </w:rPr>
            </w:pPr>
            <w:r w:rsidRPr="007B0384">
              <w:rPr>
                <w:i/>
                <w:iCs/>
                <w:sz w:val="24"/>
                <w:szCs w:val="24"/>
              </w:rPr>
              <w:t>STDEARN</w:t>
            </w:r>
          </w:p>
        </w:tc>
        <w:tc>
          <w:tcPr>
            <w:tcW w:w="1496" w:type="pct"/>
            <w:hideMark/>
          </w:tcPr>
          <w:p w14:paraId="0699EB3D" w14:textId="77777777" w:rsidR="00673F93" w:rsidRPr="00955CB1" w:rsidRDefault="00673F93" w:rsidP="00955CB1">
            <w:pPr>
              <w:pStyle w:val="NoSpacing"/>
              <w:rPr>
                <w:sz w:val="24"/>
                <w:szCs w:val="24"/>
              </w:rPr>
            </w:pPr>
            <w:r w:rsidRPr="00955CB1">
              <w:rPr>
                <w:sz w:val="24"/>
                <w:szCs w:val="24"/>
              </w:rPr>
              <w:t>0.500***</w:t>
            </w:r>
          </w:p>
        </w:tc>
        <w:tc>
          <w:tcPr>
            <w:tcW w:w="1350" w:type="pct"/>
            <w:hideMark/>
          </w:tcPr>
          <w:p w14:paraId="59E235CF" w14:textId="77777777" w:rsidR="00673F93" w:rsidRPr="00955CB1" w:rsidRDefault="00673F93" w:rsidP="00955CB1">
            <w:pPr>
              <w:pStyle w:val="NoSpacing"/>
              <w:rPr>
                <w:sz w:val="24"/>
                <w:szCs w:val="24"/>
              </w:rPr>
            </w:pPr>
            <w:r w:rsidRPr="00955CB1">
              <w:rPr>
                <w:sz w:val="24"/>
                <w:szCs w:val="24"/>
              </w:rPr>
              <w:t>6.53</w:t>
            </w:r>
          </w:p>
        </w:tc>
      </w:tr>
      <w:tr w:rsidR="00673F93" w:rsidRPr="00955CB1" w14:paraId="1D4D5DF0" w14:textId="77777777" w:rsidTr="00BA2CCC">
        <w:tc>
          <w:tcPr>
            <w:tcW w:w="2154" w:type="pct"/>
            <w:hideMark/>
          </w:tcPr>
          <w:p w14:paraId="205E3D0F" w14:textId="77777777" w:rsidR="00673F93" w:rsidRPr="007B0384" w:rsidRDefault="00673F93" w:rsidP="00955CB1">
            <w:pPr>
              <w:pStyle w:val="NoSpacing"/>
              <w:rPr>
                <w:i/>
                <w:iCs/>
                <w:sz w:val="24"/>
                <w:szCs w:val="24"/>
              </w:rPr>
            </w:pPr>
            <w:r w:rsidRPr="007B0384">
              <w:rPr>
                <w:i/>
                <w:iCs/>
                <w:sz w:val="24"/>
                <w:szCs w:val="24"/>
              </w:rPr>
              <w:t>BETA</w:t>
            </w:r>
          </w:p>
        </w:tc>
        <w:tc>
          <w:tcPr>
            <w:tcW w:w="1496" w:type="pct"/>
            <w:hideMark/>
          </w:tcPr>
          <w:p w14:paraId="5A59328D" w14:textId="77777777" w:rsidR="00673F93" w:rsidRPr="00955CB1" w:rsidRDefault="00673F93" w:rsidP="00955CB1">
            <w:pPr>
              <w:pStyle w:val="NoSpacing"/>
              <w:rPr>
                <w:sz w:val="24"/>
                <w:szCs w:val="24"/>
              </w:rPr>
            </w:pPr>
            <w:r w:rsidRPr="00955CB1">
              <w:rPr>
                <w:sz w:val="24"/>
                <w:szCs w:val="24"/>
              </w:rPr>
              <w:t>0.090***</w:t>
            </w:r>
          </w:p>
        </w:tc>
        <w:tc>
          <w:tcPr>
            <w:tcW w:w="1350" w:type="pct"/>
            <w:hideMark/>
          </w:tcPr>
          <w:p w14:paraId="2AF53DB7" w14:textId="77777777" w:rsidR="00673F93" w:rsidRPr="00955CB1" w:rsidRDefault="00673F93" w:rsidP="00955CB1">
            <w:pPr>
              <w:pStyle w:val="NoSpacing"/>
              <w:rPr>
                <w:sz w:val="24"/>
                <w:szCs w:val="24"/>
              </w:rPr>
            </w:pPr>
            <w:r w:rsidRPr="00955CB1">
              <w:rPr>
                <w:sz w:val="24"/>
                <w:szCs w:val="24"/>
              </w:rPr>
              <w:t>5.24</w:t>
            </w:r>
          </w:p>
        </w:tc>
      </w:tr>
      <w:tr w:rsidR="00673F93" w:rsidRPr="00955CB1" w14:paraId="75D30108" w14:textId="77777777" w:rsidTr="00BA2CCC">
        <w:tc>
          <w:tcPr>
            <w:tcW w:w="2154" w:type="pct"/>
            <w:hideMark/>
          </w:tcPr>
          <w:p w14:paraId="3C198C77" w14:textId="77777777" w:rsidR="00673F93" w:rsidRPr="00955CB1" w:rsidRDefault="00673F93" w:rsidP="00955CB1">
            <w:pPr>
              <w:pStyle w:val="NoSpacing"/>
              <w:rPr>
                <w:sz w:val="24"/>
                <w:szCs w:val="24"/>
              </w:rPr>
            </w:pPr>
            <w:r w:rsidRPr="00955CB1">
              <w:rPr>
                <w:sz w:val="24"/>
                <w:szCs w:val="24"/>
              </w:rPr>
              <w:t>Year FE</w:t>
            </w:r>
          </w:p>
        </w:tc>
        <w:tc>
          <w:tcPr>
            <w:tcW w:w="1496" w:type="pct"/>
            <w:hideMark/>
          </w:tcPr>
          <w:p w14:paraId="3B2E87A0" w14:textId="77777777" w:rsidR="00673F93" w:rsidRPr="00955CB1" w:rsidRDefault="00673F93" w:rsidP="00955CB1">
            <w:pPr>
              <w:pStyle w:val="NoSpacing"/>
              <w:rPr>
                <w:sz w:val="24"/>
                <w:szCs w:val="24"/>
              </w:rPr>
            </w:pPr>
            <w:r w:rsidRPr="00955CB1">
              <w:rPr>
                <w:sz w:val="24"/>
                <w:szCs w:val="24"/>
              </w:rPr>
              <w:t>Yes</w:t>
            </w:r>
          </w:p>
        </w:tc>
        <w:tc>
          <w:tcPr>
            <w:tcW w:w="1350" w:type="pct"/>
            <w:hideMark/>
          </w:tcPr>
          <w:p w14:paraId="0315C92A" w14:textId="77777777" w:rsidR="00673F93" w:rsidRPr="00955CB1" w:rsidRDefault="00673F93" w:rsidP="00955CB1">
            <w:pPr>
              <w:pStyle w:val="NoSpacing"/>
              <w:rPr>
                <w:sz w:val="24"/>
                <w:szCs w:val="24"/>
              </w:rPr>
            </w:pPr>
          </w:p>
        </w:tc>
      </w:tr>
      <w:tr w:rsidR="00673F93" w:rsidRPr="00955CB1" w14:paraId="6BB41C38" w14:textId="77777777" w:rsidTr="00BA2CCC">
        <w:tc>
          <w:tcPr>
            <w:tcW w:w="2154" w:type="pct"/>
            <w:hideMark/>
          </w:tcPr>
          <w:p w14:paraId="3ADB99A1" w14:textId="77777777" w:rsidR="00673F93" w:rsidRPr="00955CB1" w:rsidRDefault="00673F93" w:rsidP="00955CB1">
            <w:pPr>
              <w:pStyle w:val="NoSpacing"/>
              <w:rPr>
                <w:sz w:val="24"/>
                <w:szCs w:val="24"/>
              </w:rPr>
            </w:pPr>
            <w:r w:rsidRPr="00955CB1">
              <w:rPr>
                <w:sz w:val="24"/>
                <w:szCs w:val="24"/>
              </w:rPr>
              <w:t>Firm FE</w:t>
            </w:r>
          </w:p>
        </w:tc>
        <w:tc>
          <w:tcPr>
            <w:tcW w:w="1496" w:type="pct"/>
            <w:hideMark/>
          </w:tcPr>
          <w:p w14:paraId="15A17A80" w14:textId="77777777" w:rsidR="00673F93" w:rsidRPr="00955CB1" w:rsidRDefault="00673F93" w:rsidP="00955CB1">
            <w:pPr>
              <w:pStyle w:val="NoSpacing"/>
              <w:rPr>
                <w:sz w:val="24"/>
                <w:szCs w:val="24"/>
              </w:rPr>
            </w:pPr>
            <w:r w:rsidRPr="00955CB1">
              <w:rPr>
                <w:sz w:val="24"/>
                <w:szCs w:val="24"/>
              </w:rPr>
              <w:t>Yes</w:t>
            </w:r>
          </w:p>
        </w:tc>
        <w:tc>
          <w:tcPr>
            <w:tcW w:w="1350" w:type="pct"/>
            <w:hideMark/>
          </w:tcPr>
          <w:p w14:paraId="6EE53F23" w14:textId="77777777" w:rsidR="00673F93" w:rsidRPr="00955CB1" w:rsidRDefault="00673F93" w:rsidP="00955CB1">
            <w:pPr>
              <w:pStyle w:val="NoSpacing"/>
              <w:rPr>
                <w:sz w:val="24"/>
                <w:szCs w:val="24"/>
              </w:rPr>
            </w:pPr>
          </w:p>
        </w:tc>
      </w:tr>
      <w:tr w:rsidR="00673F93" w:rsidRPr="00955CB1" w14:paraId="3CBF3679" w14:textId="77777777" w:rsidTr="00BA2CCC">
        <w:tc>
          <w:tcPr>
            <w:tcW w:w="2154" w:type="pct"/>
            <w:hideMark/>
          </w:tcPr>
          <w:p w14:paraId="77AB8FF2" w14:textId="77777777" w:rsidR="00673F93" w:rsidRPr="00955CB1" w:rsidRDefault="00673F93" w:rsidP="00955CB1">
            <w:pPr>
              <w:pStyle w:val="NoSpacing"/>
              <w:rPr>
                <w:sz w:val="24"/>
                <w:szCs w:val="24"/>
              </w:rPr>
            </w:pPr>
            <w:r w:rsidRPr="00955CB1">
              <w:rPr>
                <w:sz w:val="24"/>
                <w:szCs w:val="24"/>
              </w:rPr>
              <w:t>Observations</w:t>
            </w:r>
          </w:p>
        </w:tc>
        <w:tc>
          <w:tcPr>
            <w:tcW w:w="1496" w:type="pct"/>
            <w:hideMark/>
          </w:tcPr>
          <w:p w14:paraId="0BBE1DA5" w14:textId="77777777" w:rsidR="00673F93" w:rsidRPr="00955CB1" w:rsidRDefault="00673F93" w:rsidP="00955CB1">
            <w:pPr>
              <w:pStyle w:val="NoSpacing"/>
              <w:rPr>
                <w:sz w:val="24"/>
                <w:szCs w:val="24"/>
              </w:rPr>
            </w:pPr>
            <w:r w:rsidRPr="00955CB1">
              <w:rPr>
                <w:sz w:val="24"/>
                <w:szCs w:val="24"/>
              </w:rPr>
              <w:t>11,141</w:t>
            </w:r>
          </w:p>
        </w:tc>
        <w:tc>
          <w:tcPr>
            <w:tcW w:w="1350" w:type="pct"/>
            <w:hideMark/>
          </w:tcPr>
          <w:p w14:paraId="1783F79E" w14:textId="77777777" w:rsidR="00673F93" w:rsidRPr="00955CB1" w:rsidRDefault="00673F93" w:rsidP="00955CB1">
            <w:pPr>
              <w:pStyle w:val="NoSpacing"/>
              <w:rPr>
                <w:sz w:val="24"/>
                <w:szCs w:val="24"/>
              </w:rPr>
            </w:pPr>
          </w:p>
        </w:tc>
      </w:tr>
      <w:tr w:rsidR="00673F93" w:rsidRPr="00955CB1" w14:paraId="399BD891" w14:textId="77777777" w:rsidTr="00BA2CCC">
        <w:tc>
          <w:tcPr>
            <w:tcW w:w="2154" w:type="pct"/>
            <w:hideMark/>
          </w:tcPr>
          <w:p w14:paraId="0E99A424" w14:textId="77777777" w:rsidR="00673F93" w:rsidRPr="00955CB1" w:rsidRDefault="00673F93" w:rsidP="00955CB1">
            <w:pPr>
              <w:pStyle w:val="NoSpacing"/>
              <w:rPr>
                <w:sz w:val="24"/>
                <w:szCs w:val="24"/>
              </w:rPr>
            </w:pPr>
            <w:r w:rsidRPr="00955CB1">
              <w:rPr>
                <w:sz w:val="24"/>
                <w:szCs w:val="24"/>
              </w:rPr>
              <w:t>Adj. R</w:t>
            </w:r>
            <w:r w:rsidRPr="00955CB1">
              <w:rPr>
                <w:sz w:val="24"/>
                <w:szCs w:val="24"/>
                <w:vertAlign w:val="superscript"/>
              </w:rPr>
              <w:t>2</w:t>
            </w:r>
          </w:p>
        </w:tc>
        <w:tc>
          <w:tcPr>
            <w:tcW w:w="1496" w:type="pct"/>
            <w:hideMark/>
          </w:tcPr>
          <w:p w14:paraId="373AA6EF" w14:textId="77777777" w:rsidR="00673F93" w:rsidRPr="00955CB1" w:rsidRDefault="00673F93" w:rsidP="00955CB1">
            <w:pPr>
              <w:pStyle w:val="NoSpacing"/>
              <w:rPr>
                <w:sz w:val="24"/>
                <w:szCs w:val="24"/>
              </w:rPr>
            </w:pPr>
            <w:r w:rsidRPr="00955CB1">
              <w:rPr>
                <w:sz w:val="24"/>
                <w:szCs w:val="24"/>
              </w:rPr>
              <w:t>0.381</w:t>
            </w:r>
          </w:p>
        </w:tc>
        <w:tc>
          <w:tcPr>
            <w:tcW w:w="1350" w:type="pct"/>
            <w:hideMark/>
          </w:tcPr>
          <w:p w14:paraId="6022FEF5" w14:textId="77777777" w:rsidR="00673F93" w:rsidRPr="00955CB1" w:rsidRDefault="00673F93" w:rsidP="00955CB1">
            <w:pPr>
              <w:pStyle w:val="NoSpacing"/>
              <w:rPr>
                <w:sz w:val="24"/>
                <w:szCs w:val="24"/>
              </w:rPr>
            </w:pPr>
          </w:p>
        </w:tc>
      </w:tr>
    </w:tbl>
    <w:p w14:paraId="2AD00B2B" w14:textId="7A836C75" w:rsidR="00673F93" w:rsidRDefault="00673F93" w:rsidP="00AD3C8E">
      <w:pPr>
        <w:pStyle w:val="NoSpacing"/>
      </w:pPr>
      <w:r w:rsidRPr="00673F93">
        <w:t xml:space="preserve">This table reports the regression results of CSR and an alternative measure of price informativeness, future earnings response coefficient (or FERC). The sample period is from 1995 to 2010. The dependent variable is the current period stock returns </w:t>
      </w:r>
      <m:oMath>
        <m:r>
          <w:rPr>
            <w:rFonts w:ascii="Cambria Math" w:hAnsi="Cambria Math"/>
          </w:rPr>
          <m:t>(</m:t>
        </m:r>
        <m:sSub>
          <m:sSubPr>
            <m:ctrlPr>
              <w:rPr>
                <w:rFonts w:ascii="Cambria Math" w:hAnsi="Cambria Math"/>
                <w:i/>
                <w:iCs/>
              </w:rPr>
            </m:ctrlPr>
          </m:sSubPr>
          <m:e>
            <m:r>
              <w:rPr>
                <w:rFonts w:ascii="Cambria Math" w:hAnsi="Cambria Math"/>
              </w:rPr>
              <m:t>RET</m:t>
            </m:r>
          </m:e>
          <m:sub>
            <m:r>
              <w:rPr>
                <w:rFonts w:ascii="Cambria Math" w:hAnsi="Cambria Math"/>
                <w:vertAlign w:val="subscript"/>
              </w:rPr>
              <m:t>t</m:t>
            </m:r>
          </m:sub>
        </m:sSub>
        <m:r>
          <w:rPr>
            <w:rFonts w:ascii="Cambria Math" w:hAnsi="Cambria Math"/>
          </w:rPr>
          <m:t>)</m:t>
        </m:r>
      </m:oMath>
      <w:r w:rsidRPr="00673F93">
        <w:t xml:space="preserve">. The main variable of interest is the interaction term of CSR and earnings per share in the following year </w:t>
      </w:r>
      <m:oMath>
        <m:r>
          <w:rPr>
            <w:rFonts w:ascii="Cambria Math" w:hAnsi="Cambria Math"/>
          </w:rPr>
          <m:t>(</m:t>
        </m:r>
        <m:sSub>
          <m:sSubPr>
            <m:ctrlPr>
              <w:rPr>
                <w:rFonts w:ascii="Cambria Math" w:hAnsi="Cambria Math"/>
                <w:i/>
                <w:iCs/>
              </w:rPr>
            </m:ctrlPr>
          </m:sSubPr>
          <m:e>
            <m:r>
              <w:rPr>
                <w:rFonts w:ascii="Cambria Math" w:hAnsi="Cambria Math"/>
              </w:rPr>
              <m:t>CSR</m:t>
            </m:r>
          </m:e>
          <m:sub>
            <m:r>
              <w:rPr>
                <w:rFonts w:ascii="Cambria Math" w:hAnsi="Cambria Math"/>
                <w:vertAlign w:val="subscript"/>
              </w:rPr>
              <m:t>t</m:t>
            </m:r>
          </m:sub>
        </m:sSub>
        <m:r>
          <w:rPr>
            <w:rFonts w:ascii="Cambria Math" w:hAnsi="Cambria Math"/>
          </w:rPr>
          <m:t> × </m:t>
        </m:r>
        <m:sSub>
          <m:sSubPr>
            <m:ctrlPr>
              <w:rPr>
                <w:rFonts w:ascii="Cambria Math" w:hAnsi="Cambria Math"/>
                <w:i/>
                <w:iCs/>
              </w:rPr>
            </m:ctrlPr>
          </m:sSubPr>
          <m:e>
            <m:r>
              <w:rPr>
                <w:rFonts w:ascii="Cambria Math" w:hAnsi="Cambria Math"/>
              </w:rPr>
              <m:t>EARN</m:t>
            </m:r>
          </m:e>
          <m:sub>
            <m:r>
              <w:rPr>
                <w:rFonts w:ascii="Cambria Math" w:hAnsi="Cambria Math"/>
                <w:vertAlign w:val="subscript"/>
              </w:rPr>
              <m:t>t+1</m:t>
            </m:r>
          </m:sub>
        </m:sSub>
        <m:r>
          <w:rPr>
            <w:rFonts w:ascii="Cambria Math" w:hAnsi="Cambria Math"/>
          </w:rPr>
          <m:t>)</m:t>
        </m:r>
      </m:oMath>
      <w:r w:rsidRPr="00673F93">
        <w:t>. Contemporaneous control variables are used as described in Equation (</w:t>
      </w:r>
      <w:hyperlink r:id="rId57" w:anchor="bib8" w:tooltip="8" w:history="1">
        <w:r w:rsidRPr="00673F93">
          <w:rPr>
            <w:rStyle w:val="Hyperlink"/>
            <w:rFonts w:cstheme="minorHAnsi"/>
            <w:sz w:val="24"/>
            <w:szCs w:val="24"/>
          </w:rPr>
          <w:t>8</w:t>
        </w:r>
      </w:hyperlink>
      <w:r w:rsidRPr="00673F93">
        <w:t>). Detailed variable definitions, including control variables, are described in the Appendix. Standard errors are clustered by firm. ***, ** and * denote statistical significance at the 1, 5 and 10 percent levels respectively.</w:t>
      </w:r>
    </w:p>
    <w:p w14:paraId="0A4937F5" w14:textId="77777777" w:rsidR="00673F93" w:rsidRPr="00AD3C8E" w:rsidRDefault="00D71504" w:rsidP="00AD3C8E">
      <w:pPr>
        <w:pStyle w:val="Heading1"/>
      </w:pPr>
      <w:hyperlink r:id="rId58" w:anchor="toc" w:tooltip="Interpretation of the relation between CSR and price informativeness" w:history="1">
        <w:r w:rsidR="00673F93" w:rsidRPr="00AD3C8E">
          <w:rPr>
            <w:rStyle w:val="Hyperlink"/>
            <w:color w:val="262626" w:themeColor="text1" w:themeTint="D9"/>
            <w:u w:val="none"/>
          </w:rPr>
          <w:t>Interpretation of the relation between CSR and price informativeness</w:t>
        </w:r>
      </w:hyperlink>
    </w:p>
    <w:p w14:paraId="35F4627C" w14:textId="77777777" w:rsidR="00673F93" w:rsidRPr="00AD3C8E" w:rsidRDefault="00D71504" w:rsidP="00AD3C8E">
      <w:pPr>
        <w:pStyle w:val="Heading2"/>
      </w:pPr>
      <w:hyperlink r:id="rId59" w:anchor="toc" w:tooltip="Lead‐lag analysis" w:history="1">
        <w:r w:rsidR="00673F93" w:rsidRPr="00AD3C8E">
          <w:rPr>
            <w:rStyle w:val="Hyperlink"/>
            <w:color w:val="262626" w:themeColor="text1" w:themeTint="D9"/>
            <w:u w:val="none"/>
          </w:rPr>
          <w:t>Lead‐lag analysis</w:t>
        </w:r>
      </w:hyperlink>
    </w:p>
    <w:p w14:paraId="7B72F686" w14:textId="3B4270D8" w:rsidR="00673F93" w:rsidRPr="00673F93" w:rsidRDefault="00673F93" w:rsidP="00673F93">
      <w:pPr>
        <w:rPr>
          <w:rFonts w:cstheme="minorHAnsi"/>
          <w:sz w:val="24"/>
          <w:szCs w:val="24"/>
        </w:rPr>
      </w:pPr>
      <w:r w:rsidRPr="00673F93">
        <w:rPr>
          <w:rFonts w:cstheme="minorHAnsi"/>
          <w:sz w:val="24"/>
          <w:szCs w:val="24"/>
        </w:rPr>
        <w:t>Prior studies suggest that the information embedded in stock prices can impact corporate decisions such as investments (Chen </w:t>
      </w:r>
      <w:r w:rsidR="005A3923">
        <w:rPr>
          <w:rFonts w:cstheme="minorHAnsi"/>
          <w:i/>
          <w:iCs/>
          <w:sz w:val="24"/>
          <w:szCs w:val="24"/>
        </w:rPr>
        <w:t xml:space="preserve">et al., </w:t>
      </w:r>
      <w:r w:rsidRPr="00673F93">
        <w:rPr>
          <w:rFonts w:cstheme="minorHAnsi"/>
          <w:sz w:val="24"/>
          <w:szCs w:val="24"/>
        </w:rPr>
        <w:t>2007), corporate governance (Ferreira </w:t>
      </w:r>
      <w:r w:rsidR="005A3923">
        <w:rPr>
          <w:rFonts w:cstheme="minorHAnsi"/>
          <w:i/>
          <w:iCs/>
          <w:sz w:val="24"/>
          <w:szCs w:val="24"/>
        </w:rPr>
        <w:t xml:space="preserve">et al., </w:t>
      </w:r>
      <w:r w:rsidRPr="00673F93">
        <w:rPr>
          <w:rFonts w:cstheme="minorHAnsi"/>
          <w:sz w:val="24"/>
          <w:szCs w:val="24"/>
        </w:rPr>
        <w:t xml:space="preserve">2011) and management forecasts (Zuo, 2016). It is possible that managers learn of information in the stock price and make CSR investments accordingly. </w:t>
      </w:r>
      <w:proofErr w:type="gramStart"/>
      <w:r w:rsidRPr="00673F93">
        <w:rPr>
          <w:rFonts w:cstheme="minorHAnsi"/>
          <w:sz w:val="24"/>
          <w:szCs w:val="24"/>
        </w:rPr>
        <w:t>Similar to</w:t>
      </w:r>
      <w:proofErr w:type="gramEnd"/>
      <w:r w:rsidRPr="00673F93">
        <w:rPr>
          <w:rFonts w:cstheme="minorHAnsi"/>
          <w:sz w:val="24"/>
          <w:szCs w:val="24"/>
        </w:rPr>
        <w:t xml:space="preserve"> Ramalingegowda and Yu (2012), we conduct a lead‐lag analysis by regressing contemporaneous </w:t>
      </w:r>
      <m:oMath>
        <m:r>
          <m:rPr>
            <m:sty m:val="p"/>
          </m:rPr>
          <w:rPr>
            <w:rFonts w:ascii="Cambria Math" w:hAnsi="Cambria Math" w:cstheme="minorHAnsi"/>
            <w:sz w:val="24"/>
            <w:szCs w:val="24"/>
          </w:rPr>
          <m:t>Ψ</m:t>
        </m:r>
      </m:oMath>
      <w:r w:rsidRPr="00673F93">
        <w:rPr>
          <w:rFonts w:cstheme="minorHAnsi"/>
          <w:sz w:val="24"/>
          <w:szCs w:val="24"/>
        </w:rPr>
        <w:t xml:space="preserve"> and </w:t>
      </w:r>
      <w:r w:rsidRPr="00673F93">
        <w:rPr>
          <w:rFonts w:cstheme="minorHAnsi"/>
          <w:i/>
          <w:iCs/>
          <w:sz w:val="24"/>
          <w:szCs w:val="24"/>
        </w:rPr>
        <w:t>PIN</w:t>
      </w:r>
      <w:r w:rsidRPr="00673F93">
        <w:rPr>
          <w:rFonts w:cstheme="minorHAnsi"/>
          <w:sz w:val="24"/>
          <w:szCs w:val="24"/>
        </w:rPr>
        <w:t xml:space="preserve"> on CSR levels in the lagged, current and lead year. If greater CSR commitment leads to more informative stock prices, only lagged values of CSR should impact contemporaneous levels of price informativeness. In contrast, if there is reverse causality and (or) </w:t>
      </w:r>
      <w:r w:rsidRPr="00673F93">
        <w:rPr>
          <w:rFonts w:cstheme="minorHAnsi"/>
          <w:sz w:val="24"/>
          <w:szCs w:val="24"/>
        </w:rPr>
        <w:lastRenderedPageBreak/>
        <w:t>simultaneity, we would observe significant associations between lead and (or) current levels of CSR and contemporaneous price informativeness.</w:t>
      </w:r>
    </w:p>
    <w:p w14:paraId="04687DD3" w14:textId="7160033E" w:rsidR="00673F93" w:rsidRPr="00673F93" w:rsidRDefault="00673F93" w:rsidP="00673F93">
      <w:pPr>
        <w:rPr>
          <w:rFonts w:cstheme="minorHAnsi"/>
          <w:sz w:val="24"/>
          <w:szCs w:val="24"/>
        </w:rPr>
      </w:pPr>
      <w:r w:rsidRPr="00673F93">
        <w:rPr>
          <w:rFonts w:cstheme="minorHAnsi"/>
          <w:sz w:val="24"/>
          <w:szCs w:val="24"/>
        </w:rPr>
        <w:t>Table 6 presents the lead‐lag regression results. In column (</w:t>
      </w:r>
      <w:hyperlink r:id="rId60" w:anchor="bib1" w:tooltip="1" w:history="1">
        <w:r w:rsidRPr="00673F93">
          <w:rPr>
            <w:rStyle w:val="Hyperlink"/>
            <w:rFonts w:cstheme="minorHAnsi"/>
            <w:sz w:val="24"/>
            <w:szCs w:val="24"/>
          </w:rPr>
          <w:t>1</w:t>
        </w:r>
      </w:hyperlink>
      <w:r w:rsidRPr="00673F93">
        <w:rPr>
          <w:rFonts w:cstheme="minorHAnsi"/>
          <w:sz w:val="24"/>
          <w:szCs w:val="24"/>
        </w:rPr>
        <w:t xml:space="preserve">), when we regress </w:t>
      </w:r>
      <m:oMath>
        <m:r>
          <m:rPr>
            <m:sty m:val="p"/>
          </m:rPr>
          <w:rPr>
            <w:rFonts w:ascii="Cambria Math" w:hAnsi="Cambria Math" w:cstheme="minorHAnsi"/>
            <w:sz w:val="24"/>
            <w:szCs w:val="24"/>
          </w:rPr>
          <m:t>Ψ</m:t>
        </m:r>
      </m:oMath>
      <w:r w:rsidRPr="00673F93">
        <w:rPr>
          <w:rFonts w:cstheme="minorHAnsi"/>
          <w:sz w:val="24"/>
          <w:szCs w:val="24"/>
        </w:rPr>
        <w:t xml:space="preserve"> on </w:t>
      </w:r>
      <m:oMath>
        <m:sSub>
          <m:sSubPr>
            <m:ctrlPr>
              <w:rPr>
                <w:rFonts w:ascii="Cambria Math" w:hAnsi="Cambria Math" w:cstheme="minorHAnsi"/>
                <w:i/>
                <w:iCs/>
                <w:sz w:val="24"/>
                <w:szCs w:val="24"/>
              </w:rPr>
            </m:ctrlPr>
          </m:sSubPr>
          <m:e>
            <m:r>
              <w:rPr>
                <w:rFonts w:ascii="Cambria Math" w:hAnsi="Cambria Math" w:cstheme="minorHAnsi"/>
                <w:sz w:val="24"/>
                <w:szCs w:val="24"/>
              </w:rPr>
              <m:t>CSR</m:t>
            </m:r>
          </m:e>
          <m:sub>
            <m:r>
              <w:rPr>
                <w:rFonts w:ascii="Cambria Math" w:hAnsi="Cambria Math" w:cstheme="minorHAnsi"/>
                <w:sz w:val="24"/>
                <w:szCs w:val="24"/>
                <w:vertAlign w:val="subscript"/>
              </w:rPr>
              <m:t>t+1</m:t>
            </m:r>
          </m:sub>
        </m:sSub>
      </m:oMath>
      <w:r w:rsidRPr="00673F93">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CSR</m:t>
            </m:r>
          </m:e>
          <m:sub>
            <m:r>
              <w:rPr>
                <w:rFonts w:ascii="Cambria Math" w:hAnsi="Cambria Math" w:cstheme="minorHAnsi"/>
                <w:sz w:val="24"/>
                <w:szCs w:val="24"/>
                <w:vertAlign w:val="subscript"/>
              </w:rPr>
              <m:t>t</m:t>
            </m:r>
          </m:sub>
        </m:sSub>
      </m:oMath>
      <w:r w:rsidRPr="00673F93">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CSR</m:t>
            </m:r>
          </m:e>
          <m:sub>
            <m:r>
              <w:rPr>
                <w:rFonts w:ascii="Cambria Math" w:hAnsi="Cambria Math" w:cstheme="minorHAnsi"/>
                <w:sz w:val="24"/>
                <w:szCs w:val="24"/>
                <w:vertAlign w:val="subscript"/>
              </w:rPr>
              <m:t>t-1</m:t>
            </m:r>
          </m:sub>
        </m:sSub>
      </m:oMath>
      <w:r w:rsidRPr="00673F93">
        <w:rPr>
          <w:rFonts w:cstheme="minorHAnsi"/>
          <w:sz w:val="24"/>
          <w:szCs w:val="24"/>
        </w:rPr>
        <w:t>, only the coefficient of </w:t>
      </w:r>
      <m:oMath>
        <m:sSub>
          <m:sSubPr>
            <m:ctrlPr>
              <w:rPr>
                <w:rFonts w:ascii="Cambria Math" w:hAnsi="Cambria Math" w:cstheme="minorHAnsi"/>
                <w:i/>
                <w:iCs/>
                <w:sz w:val="24"/>
                <w:szCs w:val="24"/>
              </w:rPr>
            </m:ctrlPr>
          </m:sSubPr>
          <m:e>
            <m:r>
              <w:rPr>
                <w:rFonts w:ascii="Cambria Math" w:hAnsi="Cambria Math" w:cstheme="minorHAnsi"/>
                <w:sz w:val="24"/>
                <w:szCs w:val="24"/>
              </w:rPr>
              <m:t>CSR</m:t>
            </m:r>
          </m:e>
          <m:sub>
            <m:r>
              <w:rPr>
                <w:rFonts w:ascii="Cambria Math" w:hAnsi="Cambria Math" w:cstheme="minorHAnsi"/>
                <w:sz w:val="24"/>
                <w:szCs w:val="24"/>
                <w:vertAlign w:val="subscript"/>
              </w:rPr>
              <m:t>t-1</m:t>
            </m:r>
          </m:sub>
        </m:sSub>
      </m:oMath>
      <w:r w:rsidRPr="00673F93">
        <w:rPr>
          <w:rFonts w:cstheme="minorHAnsi"/>
          <w:sz w:val="24"/>
          <w:szCs w:val="24"/>
        </w:rPr>
        <w:t> is statistically significant (coefficient = 0.144, </w:t>
      </w:r>
      <w:r w:rsidRPr="00673F93">
        <w:rPr>
          <w:rFonts w:cstheme="minorHAnsi"/>
          <w:i/>
          <w:iCs/>
          <w:sz w:val="24"/>
          <w:szCs w:val="24"/>
        </w:rPr>
        <w:t>t</w:t>
      </w:r>
      <w:r w:rsidRPr="00673F93">
        <w:rPr>
          <w:rFonts w:cstheme="minorHAnsi"/>
          <w:sz w:val="24"/>
          <w:szCs w:val="24"/>
        </w:rPr>
        <w:t>‐statistic = 3.21). Similarly, in column (</w:t>
      </w:r>
      <w:hyperlink r:id="rId61" w:anchor="bib2" w:tooltip="2" w:history="1">
        <w:r w:rsidRPr="00673F93">
          <w:rPr>
            <w:rStyle w:val="Hyperlink"/>
            <w:rFonts w:cstheme="minorHAnsi"/>
            <w:sz w:val="24"/>
            <w:szCs w:val="24"/>
          </w:rPr>
          <w:t>2</w:t>
        </w:r>
      </w:hyperlink>
      <w:r w:rsidRPr="00673F93">
        <w:rPr>
          <w:rFonts w:cstheme="minorHAnsi"/>
          <w:sz w:val="24"/>
          <w:szCs w:val="24"/>
        </w:rPr>
        <w:t>), when the dependent variable is </w:t>
      </w:r>
      <w:r w:rsidRPr="00673F93">
        <w:rPr>
          <w:rFonts w:cstheme="minorHAnsi"/>
          <w:i/>
          <w:iCs/>
          <w:sz w:val="24"/>
          <w:szCs w:val="24"/>
        </w:rPr>
        <w:t>PIN</w:t>
      </w:r>
      <w:r w:rsidRPr="00673F93">
        <w:rPr>
          <w:rFonts w:cstheme="minorHAnsi"/>
          <w:sz w:val="24"/>
          <w:szCs w:val="24"/>
        </w:rPr>
        <w:t>, the only statistically significant coefficient is </w:t>
      </w:r>
      <m:oMath>
        <m:sSub>
          <m:sSubPr>
            <m:ctrlPr>
              <w:rPr>
                <w:rFonts w:ascii="Cambria Math" w:hAnsi="Cambria Math" w:cstheme="minorHAnsi"/>
                <w:i/>
                <w:iCs/>
                <w:sz w:val="24"/>
                <w:szCs w:val="24"/>
              </w:rPr>
            </m:ctrlPr>
          </m:sSubPr>
          <m:e>
            <m:r>
              <w:rPr>
                <w:rFonts w:ascii="Cambria Math" w:hAnsi="Cambria Math" w:cstheme="minorHAnsi"/>
                <w:sz w:val="24"/>
                <w:szCs w:val="24"/>
              </w:rPr>
              <m:t>CSR</m:t>
            </m:r>
          </m:e>
          <m:sub>
            <m:r>
              <w:rPr>
                <w:rFonts w:ascii="Cambria Math" w:hAnsi="Cambria Math" w:cstheme="minorHAnsi"/>
                <w:sz w:val="24"/>
                <w:szCs w:val="24"/>
                <w:vertAlign w:val="subscript"/>
              </w:rPr>
              <m:t>t-1</m:t>
            </m:r>
          </m:sub>
        </m:sSub>
      </m:oMath>
      <w:r w:rsidRPr="00673F93">
        <w:rPr>
          <w:rFonts w:cstheme="minorHAnsi"/>
          <w:sz w:val="24"/>
          <w:szCs w:val="24"/>
        </w:rPr>
        <w:t>. Thus, in both columns, only past year CSR is positively associated with measures of stock price informativeness.</w:t>
      </w:r>
      <w:r w:rsidR="00CD1985" w:rsidRPr="00CD1985">
        <w:rPr>
          <w:rFonts w:cstheme="minorHAnsi"/>
          <w:sz w:val="24"/>
          <w:szCs w:val="24"/>
          <w:vertAlign w:val="superscript"/>
        </w:rPr>
        <w:t>35</w:t>
      </w:r>
      <w:r w:rsidRPr="00673F93">
        <w:rPr>
          <w:rFonts w:cstheme="minorHAnsi"/>
          <w:sz w:val="24"/>
          <w:szCs w:val="24"/>
        </w:rPr>
        <w:t xml:space="preserve"> These results further alleviate the concerns about reverse causality and simultaneity.</w:t>
      </w:r>
    </w:p>
    <w:p w14:paraId="37AFC6F8" w14:textId="0896EB75" w:rsidR="00673F93" w:rsidRPr="00673F93" w:rsidRDefault="00673F93" w:rsidP="00154750">
      <w:pPr>
        <w:spacing w:after="0"/>
        <w:rPr>
          <w:rFonts w:cstheme="minorHAnsi"/>
          <w:sz w:val="24"/>
          <w:szCs w:val="24"/>
        </w:rPr>
      </w:pPr>
      <w:r w:rsidRPr="00673F93">
        <w:rPr>
          <w:rFonts w:cstheme="minorHAnsi"/>
          <w:sz w:val="24"/>
          <w:szCs w:val="24"/>
        </w:rPr>
        <w:t>6 Table</w:t>
      </w:r>
      <w:r w:rsidR="00154750">
        <w:rPr>
          <w:rFonts w:cstheme="minorHAnsi"/>
          <w:sz w:val="24"/>
          <w:szCs w:val="24"/>
        </w:rPr>
        <w:t xml:space="preserve"> </w:t>
      </w:r>
      <w:r w:rsidRPr="00673F93">
        <w:rPr>
          <w:rFonts w:cstheme="minorHAnsi"/>
          <w:sz w:val="24"/>
          <w:szCs w:val="24"/>
        </w:rPr>
        <w:t>Lead‐lag regressions of CSR and price informativeness</w:t>
      </w:r>
    </w:p>
    <w:tbl>
      <w:tblPr>
        <w:tblStyle w:val="TableGrid"/>
        <w:tblW w:w="5000" w:type="pct"/>
        <w:tblLook w:val="04A0" w:firstRow="1" w:lastRow="0" w:firstColumn="1" w:lastColumn="0" w:noHBand="0" w:noVBand="1"/>
      </w:tblPr>
      <w:tblGrid>
        <w:gridCol w:w="2355"/>
        <w:gridCol w:w="2029"/>
        <w:gridCol w:w="1829"/>
        <w:gridCol w:w="2028"/>
        <w:gridCol w:w="1829"/>
      </w:tblGrid>
      <w:tr w:rsidR="00154750" w:rsidRPr="00154750" w14:paraId="6EFE27CF" w14:textId="77777777" w:rsidTr="00D96184">
        <w:tc>
          <w:tcPr>
            <w:tcW w:w="1169" w:type="pct"/>
            <w:hideMark/>
          </w:tcPr>
          <w:p w14:paraId="6D70DE39" w14:textId="77777777" w:rsidR="00154750" w:rsidRPr="00154750" w:rsidRDefault="00154750" w:rsidP="00154750">
            <w:pPr>
              <w:pStyle w:val="NoSpacing"/>
              <w:rPr>
                <w:sz w:val="24"/>
                <w:szCs w:val="24"/>
              </w:rPr>
            </w:pPr>
          </w:p>
        </w:tc>
        <w:tc>
          <w:tcPr>
            <w:tcW w:w="1007" w:type="pct"/>
            <w:hideMark/>
          </w:tcPr>
          <w:p w14:paraId="1E0A3183" w14:textId="77777777" w:rsidR="00154750" w:rsidRPr="00154750" w:rsidRDefault="00154750" w:rsidP="00154750">
            <w:pPr>
              <w:pStyle w:val="NoSpacing"/>
              <w:rPr>
                <w:b/>
                <w:bCs/>
                <w:sz w:val="24"/>
                <w:szCs w:val="24"/>
              </w:rPr>
            </w:pPr>
            <w:r w:rsidRPr="00154750">
              <w:rPr>
                <w:b/>
                <w:bCs/>
                <w:sz w:val="24"/>
                <w:szCs w:val="24"/>
              </w:rPr>
              <w:t>(1) ΔPIN</w:t>
            </w:r>
          </w:p>
        </w:tc>
        <w:tc>
          <w:tcPr>
            <w:tcW w:w="908" w:type="pct"/>
          </w:tcPr>
          <w:p w14:paraId="4EE0D4F9" w14:textId="77777777" w:rsidR="00154750" w:rsidRPr="00154750" w:rsidRDefault="00154750" w:rsidP="00154750">
            <w:pPr>
              <w:pStyle w:val="NoSpacing"/>
              <w:rPr>
                <w:b/>
                <w:bCs/>
                <w:sz w:val="24"/>
                <w:szCs w:val="24"/>
              </w:rPr>
            </w:pPr>
          </w:p>
        </w:tc>
        <w:tc>
          <w:tcPr>
            <w:tcW w:w="1007" w:type="pct"/>
          </w:tcPr>
          <w:p w14:paraId="0B2DFBC5" w14:textId="2BFB58F9" w:rsidR="00154750" w:rsidRPr="00154750" w:rsidRDefault="00154750" w:rsidP="00154750">
            <w:pPr>
              <w:pStyle w:val="NoSpacing"/>
              <w:rPr>
                <w:b/>
                <w:bCs/>
                <w:sz w:val="24"/>
                <w:szCs w:val="24"/>
              </w:rPr>
            </w:pPr>
            <w:r w:rsidRPr="00154750">
              <w:rPr>
                <w:b/>
                <w:bCs/>
                <w:sz w:val="24"/>
                <w:szCs w:val="24"/>
              </w:rPr>
              <w:t>(2)</w:t>
            </w:r>
          </w:p>
        </w:tc>
        <w:tc>
          <w:tcPr>
            <w:tcW w:w="908" w:type="pct"/>
          </w:tcPr>
          <w:p w14:paraId="081A2B5C" w14:textId="74623CDF" w:rsidR="00154750" w:rsidRPr="00154750" w:rsidRDefault="00154750" w:rsidP="00154750">
            <w:pPr>
              <w:pStyle w:val="NoSpacing"/>
              <w:rPr>
                <w:b/>
                <w:bCs/>
                <w:sz w:val="24"/>
                <w:szCs w:val="24"/>
              </w:rPr>
            </w:pPr>
          </w:p>
        </w:tc>
      </w:tr>
      <w:tr w:rsidR="00154750" w:rsidRPr="00154750" w14:paraId="06EECD09" w14:textId="77777777" w:rsidTr="00D96184">
        <w:tc>
          <w:tcPr>
            <w:tcW w:w="1169" w:type="pct"/>
            <w:hideMark/>
          </w:tcPr>
          <w:p w14:paraId="274A23AA" w14:textId="6DC59E85" w:rsidR="00154750" w:rsidRPr="00154750" w:rsidRDefault="00154750" w:rsidP="00154750">
            <w:pPr>
              <w:pStyle w:val="NoSpacing"/>
              <w:rPr>
                <w:b/>
                <w:bCs/>
                <w:sz w:val="24"/>
                <w:szCs w:val="24"/>
              </w:rPr>
            </w:pPr>
          </w:p>
        </w:tc>
        <w:tc>
          <w:tcPr>
            <w:tcW w:w="1007" w:type="pct"/>
            <w:hideMark/>
          </w:tcPr>
          <w:p w14:paraId="62470726" w14:textId="5B15F869" w:rsidR="00154750" w:rsidRPr="00F24C44" w:rsidRDefault="00D71504" w:rsidP="00154750">
            <w:pPr>
              <w:pStyle w:val="NoSpacing"/>
              <w:rPr>
                <w:b/>
                <w:bCs/>
                <w:iCs/>
                <w:sz w:val="24"/>
                <w:szCs w:val="24"/>
              </w:rPr>
            </w:pPr>
            <m:oMathPara>
              <m:oMathParaPr>
                <m:jc m:val="left"/>
              </m:oMathParaPr>
              <m:oMath>
                <m:sSub>
                  <m:sSubPr>
                    <m:ctrlPr>
                      <w:rPr>
                        <w:rFonts w:ascii="Cambria Math" w:hAnsi="Cambria Math"/>
                        <w:b/>
                        <w:bCs/>
                        <w:iCs/>
                        <w:sz w:val="24"/>
                        <w:szCs w:val="24"/>
                      </w:rPr>
                    </m:ctrlPr>
                  </m:sSubPr>
                  <m:e>
                    <m:r>
                      <m:rPr>
                        <m:sty m:val="b"/>
                      </m:rPr>
                      <w:rPr>
                        <w:rFonts w:ascii="Cambria Math" w:hAnsi="Cambria Math"/>
                        <w:sz w:val="24"/>
                        <w:szCs w:val="24"/>
                      </w:rPr>
                      <m:t>Ψ</m:t>
                    </m:r>
                  </m:e>
                  <m:sub>
                    <m:r>
                      <m:rPr>
                        <m:sty m:val="b"/>
                      </m:rPr>
                      <w:rPr>
                        <w:rFonts w:ascii="Cambria Math" w:hAnsi="Cambria Math"/>
                        <w:sz w:val="24"/>
                        <w:szCs w:val="24"/>
                        <w:vertAlign w:val="subscript"/>
                      </w:rPr>
                      <m:t>t</m:t>
                    </m:r>
                  </m:sub>
                </m:sSub>
              </m:oMath>
            </m:oMathPara>
          </w:p>
        </w:tc>
        <w:tc>
          <w:tcPr>
            <w:tcW w:w="908" w:type="pct"/>
          </w:tcPr>
          <w:p w14:paraId="0708B261" w14:textId="77777777" w:rsidR="00154750" w:rsidRPr="00154750" w:rsidRDefault="00154750" w:rsidP="00154750">
            <w:pPr>
              <w:pStyle w:val="NoSpacing"/>
              <w:rPr>
                <w:sz w:val="24"/>
                <w:szCs w:val="24"/>
              </w:rPr>
            </w:pPr>
          </w:p>
        </w:tc>
        <w:tc>
          <w:tcPr>
            <w:tcW w:w="1007" w:type="pct"/>
          </w:tcPr>
          <w:p w14:paraId="4C076DBC" w14:textId="393031AD" w:rsidR="00154750" w:rsidRPr="00F24C44" w:rsidRDefault="00D71504" w:rsidP="00154750">
            <w:pPr>
              <w:pStyle w:val="NoSpacing"/>
              <w:rPr>
                <w:b/>
                <w:bCs/>
                <w:sz w:val="24"/>
                <w:szCs w:val="24"/>
              </w:rPr>
            </w:pPr>
            <m:oMathPara>
              <m:oMathParaPr>
                <m:jc m:val="left"/>
              </m:oMathParaPr>
              <m:oMath>
                <m:sSub>
                  <m:sSubPr>
                    <m:ctrlPr>
                      <w:rPr>
                        <w:rFonts w:ascii="Cambria Math" w:hAnsi="Cambria Math"/>
                        <w:b/>
                        <w:bCs/>
                        <w:i/>
                        <w:sz w:val="24"/>
                        <w:szCs w:val="24"/>
                      </w:rPr>
                    </m:ctrlPr>
                  </m:sSubPr>
                  <m:e>
                    <m:r>
                      <m:rPr>
                        <m:sty m:val="bi"/>
                      </m:rPr>
                      <w:rPr>
                        <w:rFonts w:ascii="Cambria Math" w:hAnsi="Cambria Math"/>
                        <w:sz w:val="24"/>
                        <w:szCs w:val="24"/>
                      </w:rPr>
                      <m:t>PIN</m:t>
                    </m:r>
                  </m:e>
                  <m:sub>
                    <m:r>
                      <m:rPr>
                        <m:sty m:val="bi"/>
                      </m:rPr>
                      <w:rPr>
                        <w:rFonts w:ascii="Cambria Math" w:hAnsi="Cambria Math"/>
                        <w:sz w:val="24"/>
                        <w:szCs w:val="24"/>
                        <w:vertAlign w:val="subscript"/>
                      </w:rPr>
                      <m:t>t</m:t>
                    </m:r>
                  </m:sub>
                </m:sSub>
              </m:oMath>
            </m:oMathPara>
          </w:p>
        </w:tc>
        <w:tc>
          <w:tcPr>
            <w:tcW w:w="908" w:type="pct"/>
          </w:tcPr>
          <w:p w14:paraId="59EA2734" w14:textId="77C62ED2" w:rsidR="00154750" w:rsidRPr="00154750" w:rsidRDefault="00154750" w:rsidP="00154750">
            <w:pPr>
              <w:pStyle w:val="NoSpacing"/>
              <w:rPr>
                <w:sz w:val="24"/>
                <w:szCs w:val="24"/>
              </w:rPr>
            </w:pPr>
          </w:p>
        </w:tc>
      </w:tr>
      <w:tr w:rsidR="00154750" w:rsidRPr="00154750" w14:paraId="26B8307F" w14:textId="77777777" w:rsidTr="00D96184">
        <w:tc>
          <w:tcPr>
            <w:tcW w:w="1169" w:type="pct"/>
            <w:hideMark/>
          </w:tcPr>
          <w:p w14:paraId="123C8F44" w14:textId="16FB606E" w:rsidR="00154750" w:rsidRPr="00154750" w:rsidRDefault="00154750" w:rsidP="00154750">
            <w:pPr>
              <w:pStyle w:val="NoSpacing"/>
              <w:rPr>
                <w:b/>
                <w:bCs/>
                <w:sz w:val="24"/>
                <w:szCs w:val="24"/>
              </w:rPr>
            </w:pPr>
          </w:p>
        </w:tc>
        <w:tc>
          <w:tcPr>
            <w:tcW w:w="1007" w:type="pct"/>
            <w:hideMark/>
          </w:tcPr>
          <w:p w14:paraId="3850D1A3" w14:textId="44AF0E9D" w:rsidR="00154750" w:rsidRPr="00154750" w:rsidRDefault="00154750" w:rsidP="00154750">
            <w:pPr>
              <w:pStyle w:val="NoSpacing"/>
              <w:rPr>
                <w:b/>
                <w:bCs/>
                <w:sz w:val="24"/>
                <w:szCs w:val="24"/>
              </w:rPr>
            </w:pPr>
            <w:r w:rsidRPr="00154750">
              <w:rPr>
                <w:b/>
                <w:bCs/>
                <w:sz w:val="24"/>
                <w:szCs w:val="24"/>
              </w:rPr>
              <w:t>Coefficient</w:t>
            </w:r>
          </w:p>
        </w:tc>
        <w:tc>
          <w:tcPr>
            <w:tcW w:w="908" w:type="pct"/>
            <w:hideMark/>
          </w:tcPr>
          <w:p w14:paraId="0F871AF5" w14:textId="7564BA5E" w:rsidR="00154750" w:rsidRPr="00154750" w:rsidRDefault="00154750" w:rsidP="00154750">
            <w:pPr>
              <w:pStyle w:val="NoSpacing"/>
              <w:rPr>
                <w:b/>
                <w:bCs/>
                <w:sz w:val="24"/>
                <w:szCs w:val="24"/>
              </w:rPr>
            </w:pPr>
            <w:r w:rsidRPr="00F24C44">
              <w:rPr>
                <w:b/>
                <w:bCs/>
                <w:i/>
                <w:iCs/>
                <w:sz w:val="24"/>
                <w:szCs w:val="24"/>
              </w:rPr>
              <w:t>t</w:t>
            </w:r>
            <w:r w:rsidRPr="00154750">
              <w:rPr>
                <w:b/>
                <w:bCs/>
                <w:sz w:val="24"/>
                <w:szCs w:val="24"/>
              </w:rPr>
              <w:t>‐Statistic</w:t>
            </w:r>
          </w:p>
        </w:tc>
        <w:tc>
          <w:tcPr>
            <w:tcW w:w="1007" w:type="pct"/>
          </w:tcPr>
          <w:p w14:paraId="3929CA15" w14:textId="525A4E8B" w:rsidR="00154750" w:rsidRPr="00154750" w:rsidRDefault="00154750" w:rsidP="00154750">
            <w:pPr>
              <w:pStyle w:val="NoSpacing"/>
              <w:rPr>
                <w:b/>
                <w:bCs/>
                <w:sz w:val="24"/>
                <w:szCs w:val="24"/>
              </w:rPr>
            </w:pPr>
            <w:r w:rsidRPr="00154750">
              <w:rPr>
                <w:b/>
                <w:bCs/>
                <w:sz w:val="24"/>
                <w:szCs w:val="24"/>
              </w:rPr>
              <w:t>Coefficient</w:t>
            </w:r>
          </w:p>
        </w:tc>
        <w:tc>
          <w:tcPr>
            <w:tcW w:w="908" w:type="pct"/>
            <w:hideMark/>
          </w:tcPr>
          <w:p w14:paraId="4D21DA15" w14:textId="1FA93382" w:rsidR="00154750" w:rsidRPr="00154750" w:rsidRDefault="00154750" w:rsidP="00154750">
            <w:pPr>
              <w:pStyle w:val="NoSpacing"/>
              <w:rPr>
                <w:b/>
                <w:bCs/>
                <w:sz w:val="24"/>
                <w:szCs w:val="24"/>
              </w:rPr>
            </w:pPr>
            <w:r w:rsidRPr="00F24C44">
              <w:rPr>
                <w:b/>
                <w:bCs/>
                <w:i/>
                <w:iCs/>
                <w:sz w:val="24"/>
                <w:szCs w:val="24"/>
              </w:rPr>
              <w:t>t</w:t>
            </w:r>
            <w:r w:rsidRPr="00154750">
              <w:rPr>
                <w:b/>
                <w:bCs/>
                <w:sz w:val="24"/>
                <w:szCs w:val="24"/>
              </w:rPr>
              <w:t>‐Statistic</w:t>
            </w:r>
          </w:p>
        </w:tc>
      </w:tr>
      <w:tr w:rsidR="00154750" w:rsidRPr="00154750" w14:paraId="6DBC9763" w14:textId="77777777" w:rsidTr="00D96184">
        <w:tc>
          <w:tcPr>
            <w:tcW w:w="1169" w:type="pct"/>
            <w:hideMark/>
          </w:tcPr>
          <w:p w14:paraId="03293BF3" w14:textId="4C7DBCD2" w:rsidR="00154750" w:rsidRPr="00F24C44" w:rsidRDefault="00D71504" w:rsidP="00154750">
            <w:pPr>
              <w:pStyle w:val="NoSpacing"/>
              <w:rPr>
                <w:sz w:val="24"/>
                <w:szCs w:val="24"/>
              </w:rPr>
            </w:pPr>
            <m:oMathPara>
              <m:oMathParaPr>
                <m:jc m:val="left"/>
              </m:oMathParaPr>
              <m:oMath>
                <m:sSub>
                  <m:sSubPr>
                    <m:ctrlPr>
                      <w:rPr>
                        <w:rFonts w:ascii="Cambria Math" w:hAnsi="Cambria Math" w:cstheme="minorHAnsi"/>
                        <w:i/>
                        <w:iCs/>
                        <w:sz w:val="24"/>
                        <w:szCs w:val="24"/>
                      </w:rPr>
                    </m:ctrlPr>
                  </m:sSubPr>
                  <m:e>
                    <m:r>
                      <w:rPr>
                        <w:rFonts w:ascii="Cambria Math" w:hAnsi="Cambria Math" w:cstheme="minorHAnsi"/>
                        <w:sz w:val="24"/>
                        <w:szCs w:val="24"/>
                      </w:rPr>
                      <m:t>CSR</m:t>
                    </m:r>
                  </m:e>
                  <m:sub>
                    <m:r>
                      <w:rPr>
                        <w:rFonts w:ascii="Cambria Math" w:hAnsi="Cambria Math" w:cstheme="minorHAnsi"/>
                        <w:sz w:val="24"/>
                        <w:szCs w:val="24"/>
                        <w:vertAlign w:val="subscript"/>
                      </w:rPr>
                      <m:t>t+1</m:t>
                    </m:r>
                  </m:sub>
                </m:sSub>
              </m:oMath>
            </m:oMathPara>
          </w:p>
        </w:tc>
        <w:tc>
          <w:tcPr>
            <w:tcW w:w="1007" w:type="pct"/>
            <w:hideMark/>
          </w:tcPr>
          <w:p w14:paraId="5FED9B83" w14:textId="77777777" w:rsidR="00154750" w:rsidRPr="00154750" w:rsidRDefault="00154750" w:rsidP="00154750">
            <w:pPr>
              <w:pStyle w:val="NoSpacing"/>
              <w:rPr>
                <w:sz w:val="24"/>
                <w:szCs w:val="24"/>
              </w:rPr>
            </w:pPr>
            <w:r w:rsidRPr="00154750">
              <w:rPr>
                <w:sz w:val="24"/>
                <w:szCs w:val="24"/>
              </w:rPr>
              <w:t>0.045</w:t>
            </w:r>
          </w:p>
        </w:tc>
        <w:tc>
          <w:tcPr>
            <w:tcW w:w="908" w:type="pct"/>
            <w:hideMark/>
          </w:tcPr>
          <w:p w14:paraId="3973E050" w14:textId="77777777" w:rsidR="00154750" w:rsidRPr="00154750" w:rsidRDefault="00154750" w:rsidP="00154750">
            <w:pPr>
              <w:pStyle w:val="NoSpacing"/>
              <w:rPr>
                <w:sz w:val="24"/>
                <w:szCs w:val="24"/>
              </w:rPr>
            </w:pPr>
            <w:r w:rsidRPr="00154750">
              <w:rPr>
                <w:sz w:val="24"/>
                <w:szCs w:val="24"/>
              </w:rPr>
              <w:t>1.20</w:t>
            </w:r>
          </w:p>
        </w:tc>
        <w:tc>
          <w:tcPr>
            <w:tcW w:w="1007" w:type="pct"/>
            <w:hideMark/>
          </w:tcPr>
          <w:p w14:paraId="2D7120E0" w14:textId="77777777" w:rsidR="00154750" w:rsidRPr="00154750" w:rsidRDefault="00154750" w:rsidP="00154750">
            <w:pPr>
              <w:pStyle w:val="NoSpacing"/>
              <w:rPr>
                <w:sz w:val="24"/>
                <w:szCs w:val="24"/>
              </w:rPr>
            </w:pPr>
            <w:r w:rsidRPr="00154750">
              <w:rPr>
                <w:sz w:val="24"/>
                <w:szCs w:val="24"/>
              </w:rPr>
              <w:t>0.002</w:t>
            </w:r>
          </w:p>
        </w:tc>
        <w:tc>
          <w:tcPr>
            <w:tcW w:w="908" w:type="pct"/>
            <w:hideMark/>
          </w:tcPr>
          <w:p w14:paraId="6806F39C" w14:textId="77777777" w:rsidR="00154750" w:rsidRPr="00154750" w:rsidRDefault="00154750" w:rsidP="00154750">
            <w:pPr>
              <w:pStyle w:val="NoSpacing"/>
              <w:rPr>
                <w:sz w:val="24"/>
                <w:szCs w:val="24"/>
              </w:rPr>
            </w:pPr>
            <w:r w:rsidRPr="00154750">
              <w:rPr>
                <w:sz w:val="24"/>
                <w:szCs w:val="24"/>
              </w:rPr>
              <w:t>1.51</w:t>
            </w:r>
          </w:p>
        </w:tc>
      </w:tr>
      <w:tr w:rsidR="00154750" w:rsidRPr="00154750" w14:paraId="2DBE4A15" w14:textId="77777777" w:rsidTr="00D96184">
        <w:tc>
          <w:tcPr>
            <w:tcW w:w="1169" w:type="pct"/>
            <w:hideMark/>
          </w:tcPr>
          <w:p w14:paraId="7708AA7F" w14:textId="7AB78D4D" w:rsidR="00154750" w:rsidRPr="00F24C44" w:rsidRDefault="00D71504" w:rsidP="00154750">
            <w:pPr>
              <w:pStyle w:val="NoSpacing"/>
              <w:rPr>
                <w:sz w:val="24"/>
                <w:szCs w:val="24"/>
              </w:rPr>
            </w:pPr>
            <m:oMathPara>
              <m:oMathParaPr>
                <m:jc m:val="left"/>
              </m:oMathParaPr>
              <m:oMath>
                <m:sSub>
                  <m:sSubPr>
                    <m:ctrlPr>
                      <w:rPr>
                        <w:rFonts w:ascii="Cambria Math" w:hAnsi="Cambria Math" w:cstheme="minorHAnsi"/>
                        <w:i/>
                        <w:iCs/>
                        <w:sz w:val="24"/>
                        <w:szCs w:val="24"/>
                      </w:rPr>
                    </m:ctrlPr>
                  </m:sSubPr>
                  <m:e>
                    <m:r>
                      <w:rPr>
                        <w:rFonts w:ascii="Cambria Math" w:hAnsi="Cambria Math" w:cstheme="minorHAnsi"/>
                        <w:sz w:val="24"/>
                        <w:szCs w:val="24"/>
                      </w:rPr>
                      <m:t>CSR</m:t>
                    </m:r>
                  </m:e>
                  <m:sub>
                    <m:r>
                      <w:rPr>
                        <w:rFonts w:ascii="Cambria Math" w:hAnsi="Cambria Math" w:cstheme="minorHAnsi"/>
                        <w:sz w:val="24"/>
                        <w:szCs w:val="24"/>
                        <w:vertAlign w:val="subscript"/>
                      </w:rPr>
                      <m:t>t</m:t>
                    </m:r>
                  </m:sub>
                </m:sSub>
              </m:oMath>
            </m:oMathPara>
          </w:p>
        </w:tc>
        <w:tc>
          <w:tcPr>
            <w:tcW w:w="1007" w:type="pct"/>
            <w:hideMark/>
          </w:tcPr>
          <w:p w14:paraId="2281BBF4" w14:textId="77777777" w:rsidR="00154750" w:rsidRPr="00154750" w:rsidRDefault="00154750" w:rsidP="00154750">
            <w:pPr>
              <w:pStyle w:val="NoSpacing"/>
              <w:rPr>
                <w:sz w:val="24"/>
                <w:szCs w:val="24"/>
              </w:rPr>
            </w:pPr>
            <w:r w:rsidRPr="00154750">
              <w:rPr>
                <w:sz w:val="24"/>
                <w:szCs w:val="24"/>
              </w:rPr>
              <w:t>0.021</w:t>
            </w:r>
          </w:p>
        </w:tc>
        <w:tc>
          <w:tcPr>
            <w:tcW w:w="908" w:type="pct"/>
            <w:hideMark/>
          </w:tcPr>
          <w:p w14:paraId="6614562E" w14:textId="77777777" w:rsidR="00154750" w:rsidRPr="00154750" w:rsidRDefault="00154750" w:rsidP="00154750">
            <w:pPr>
              <w:pStyle w:val="NoSpacing"/>
              <w:rPr>
                <w:sz w:val="24"/>
                <w:szCs w:val="24"/>
              </w:rPr>
            </w:pPr>
            <w:r w:rsidRPr="00154750">
              <w:rPr>
                <w:sz w:val="24"/>
                <w:szCs w:val="24"/>
              </w:rPr>
              <w:t>0.63</w:t>
            </w:r>
          </w:p>
        </w:tc>
        <w:tc>
          <w:tcPr>
            <w:tcW w:w="1007" w:type="pct"/>
            <w:hideMark/>
          </w:tcPr>
          <w:p w14:paraId="353B1B0C" w14:textId="77777777" w:rsidR="00154750" w:rsidRPr="00154750" w:rsidRDefault="00154750" w:rsidP="00154750">
            <w:pPr>
              <w:pStyle w:val="NoSpacing"/>
              <w:rPr>
                <w:sz w:val="24"/>
                <w:szCs w:val="24"/>
              </w:rPr>
            </w:pPr>
            <w:r w:rsidRPr="00154750">
              <w:rPr>
                <w:sz w:val="24"/>
                <w:szCs w:val="24"/>
              </w:rPr>
              <w:t>0.001</w:t>
            </w:r>
          </w:p>
        </w:tc>
        <w:tc>
          <w:tcPr>
            <w:tcW w:w="908" w:type="pct"/>
            <w:hideMark/>
          </w:tcPr>
          <w:p w14:paraId="37896A42" w14:textId="77777777" w:rsidR="00154750" w:rsidRPr="00154750" w:rsidRDefault="00154750" w:rsidP="00154750">
            <w:pPr>
              <w:pStyle w:val="NoSpacing"/>
              <w:rPr>
                <w:sz w:val="24"/>
                <w:szCs w:val="24"/>
              </w:rPr>
            </w:pPr>
            <w:r w:rsidRPr="00154750">
              <w:rPr>
                <w:sz w:val="24"/>
                <w:szCs w:val="24"/>
              </w:rPr>
              <w:t>1.06</w:t>
            </w:r>
          </w:p>
        </w:tc>
      </w:tr>
      <w:tr w:rsidR="00154750" w:rsidRPr="00154750" w14:paraId="3DCFF31D" w14:textId="77777777" w:rsidTr="00D96184">
        <w:tc>
          <w:tcPr>
            <w:tcW w:w="1169" w:type="pct"/>
            <w:hideMark/>
          </w:tcPr>
          <w:p w14:paraId="782CD4E0" w14:textId="2DC1BE0E" w:rsidR="00154750" w:rsidRPr="00F24C44" w:rsidRDefault="00D71504" w:rsidP="00154750">
            <w:pPr>
              <w:pStyle w:val="NoSpacing"/>
              <w:rPr>
                <w:sz w:val="24"/>
                <w:szCs w:val="24"/>
              </w:rPr>
            </w:pPr>
            <m:oMathPara>
              <m:oMathParaPr>
                <m:jc m:val="left"/>
              </m:oMathParaPr>
              <m:oMath>
                <m:sSub>
                  <m:sSubPr>
                    <m:ctrlPr>
                      <w:rPr>
                        <w:rFonts w:ascii="Cambria Math" w:hAnsi="Cambria Math" w:cstheme="minorHAnsi"/>
                        <w:i/>
                        <w:iCs/>
                        <w:sz w:val="24"/>
                        <w:szCs w:val="24"/>
                      </w:rPr>
                    </m:ctrlPr>
                  </m:sSubPr>
                  <m:e>
                    <m:r>
                      <w:rPr>
                        <w:rFonts w:ascii="Cambria Math" w:hAnsi="Cambria Math" w:cstheme="minorHAnsi"/>
                        <w:sz w:val="24"/>
                        <w:szCs w:val="24"/>
                      </w:rPr>
                      <m:t>CSR</m:t>
                    </m:r>
                  </m:e>
                  <m:sub>
                    <m:r>
                      <w:rPr>
                        <w:rFonts w:ascii="Cambria Math" w:hAnsi="Cambria Math" w:cstheme="minorHAnsi"/>
                        <w:sz w:val="24"/>
                        <w:szCs w:val="24"/>
                        <w:vertAlign w:val="subscript"/>
                      </w:rPr>
                      <m:t>t-1</m:t>
                    </m:r>
                  </m:sub>
                </m:sSub>
              </m:oMath>
            </m:oMathPara>
          </w:p>
        </w:tc>
        <w:tc>
          <w:tcPr>
            <w:tcW w:w="1007" w:type="pct"/>
            <w:hideMark/>
          </w:tcPr>
          <w:p w14:paraId="6AEF9FFD" w14:textId="77777777" w:rsidR="00154750" w:rsidRPr="00154750" w:rsidRDefault="00154750" w:rsidP="00154750">
            <w:pPr>
              <w:pStyle w:val="NoSpacing"/>
              <w:rPr>
                <w:sz w:val="24"/>
                <w:szCs w:val="24"/>
              </w:rPr>
            </w:pPr>
            <w:r w:rsidRPr="00154750">
              <w:rPr>
                <w:sz w:val="24"/>
                <w:szCs w:val="24"/>
              </w:rPr>
              <w:t>0.144***</w:t>
            </w:r>
          </w:p>
        </w:tc>
        <w:tc>
          <w:tcPr>
            <w:tcW w:w="908" w:type="pct"/>
            <w:hideMark/>
          </w:tcPr>
          <w:p w14:paraId="05D9AE9D" w14:textId="77777777" w:rsidR="00154750" w:rsidRPr="00154750" w:rsidRDefault="00154750" w:rsidP="00154750">
            <w:pPr>
              <w:pStyle w:val="NoSpacing"/>
              <w:rPr>
                <w:sz w:val="24"/>
                <w:szCs w:val="24"/>
              </w:rPr>
            </w:pPr>
            <w:r w:rsidRPr="00154750">
              <w:rPr>
                <w:sz w:val="24"/>
                <w:szCs w:val="24"/>
              </w:rPr>
              <w:t>3.21</w:t>
            </w:r>
          </w:p>
        </w:tc>
        <w:tc>
          <w:tcPr>
            <w:tcW w:w="1007" w:type="pct"/>
            <w:hideMark/>
          </w:tcPr>
          <w:p w14:paraId="0B0C80B3" w14:textId="77777777" w:rsidR="00154750" w:rsidRPr="00154750" w:rsidRDefault="00154750" w:rsidP="00154750">
            <w:pPr>
              <w:pStyle w:val="NoSpacing"/>
              <w:rPr>
                <w:sz w:val="24"/>
                <w:szCs w:val="24"/>
              </w:rPr>
            </w:pPr>
            <w:r w:rsidRPr="00154750">
              <w:rPr>
                <w:sz w:val="24"/>
                <w:szCs w:val="24"/>
              </w:rPr>
              <w:t>0.006***</w:t>
            </w:r>
          </w:p>
        </w:tc>
        <w:tc>
          <w:tcPr>
            <w:tcW w:w="908" w:type="pct"/>
            <w:hideMark/>
          </w:tcPr>
          <w:p w14:paraId="79B20753" w14:textId="77777777" w:rsidR="00154750" w:rsidRPr="00154750" w:rsidRDefault="00154750" w:rsidP="00154750">
            <w:pPr>
              <w:pStyle w:val="NoSpacing"/>
              <w:rPr>
                <w:sz w:val="24"/>
                <w:szCs w:val="24"/>
              </w:rPr>
            </w:pPr>
            <w:r w:rsidRPr="00154750">
              <w:rPr>
                <w:sz w:val="24"/>
                <w:szCs w:val="24"/>
              </w:rPr>
              <w:t>2.96</w:t>
            </w:r>
          </w:p>
        </w:tc>
      </w:tr>
      <w:tr w:rsidR="00154750" w:rsidRPr="00154750" w14:paraId="3124F5CB" w14:textId="77777777" w:rsidTr="00D96184">
        <w:tc>
          <w:tcPr>
            <w:tcW w:w="1169" w:type="pct"/>
            <w:hideMark/>
          </w:tcPr>
          <w:p w14:paraId="6DAE7207" w14:textId="77777777" w:rsidR="00154750" w:rsidRPr="00F24C44" w:rsidRDefault="00154750" w:rsidP="00154750">
            <w:pPr>
              <w:pStyle w:val="NoSpacing"/>
              <w:rPr>
                <w:i/>
                <w:iCs/>
                <w:sz w:val="24"/>
                <w:szCs w:val="24"/>
              </w:rPr>
            </w:pPr>
            <w:r w:rsidRPr="00F24C44">
              <w:rPr>
                <w:i/>
                <w:iCs/>
                <w:sz w:val="24"/>
                <w:szCs w:val="24"/>
              </w:rPr>
              <w:t>SIZE</w:t>
            </w:r>
          </w:p>
        </w:tc>
        <w:tc>
          <w:tcPr>
            <w:tcW w:w="1007" w:type="pct"/>
            <w:hideMark/>
          </w:tcPr>
          <w:p w14:paraId="58597638" w14:textId="77777777" w:rsidR="00154750" w:rsidRPr="00154750" w:rsidRDefault="00154750" w:rsidP="00154750">
            <w:pPr>
              <w:pStyle w:val="NoSpacing"/>
              <w:rPr>
                <w:sz w:val="24"/>
                <w:szCs w:val="24"/>
              </w:rPr>
            </w:pPr>
            <w:r w:rsidRPr="00154750">
              <w:rPr>
                <w:sz w:val="24"/>
                <w:szCs w:val="24"/>
              </w:rPr>
              <w:t>−0.270***</w:t>
            </w:r>
          </w:p>
        </w:tc>
        <w:tc>
          <w:tcPr>
            <w:tcW w:w="908" w:type="pct"/>
            <w:hideMark/>
          </w:tcPr>
          <w:p w14:paraId="7B192FF6" w14:textId="77777777" w:rsidR="00154750" w:rsidRPr="00154750" w:rsidRDefault="00154750" w:rsidP="00154750">
            <w:pPr>
              <w:pStyle w:val="NoSpacing"/>
              <w:rPr>
                <w:sz w:val="24"/>
                <w:szCs w:val="24"/>
              </w:rPr>
            </w:pPr>
            <w:r w:rsidRPr="00154750">
              <w:rPr>
                <w:sz w:val="24"/>
                <w:szCs w:val="24"/>
              </w:rPr>
              <w:t>−7.53</w:t>
            </w:r>
          </w:p>
        </w:tc>
        <w:tc>
          <w:tcPr>
            <w:tcW w:w="1007" w:type="pct"/>
            <w:hideMark/>
          </w:tcPr>
          <w:p w14:paraId="1051E69B" w14:textId="77777777" w:rsidR="00154750" w:rsidRPr="00154750" w:rsidRDefault="00154750" w:rsidP="00154750">
            <w:pPr>
              <w:pStyle w:val="NoSpacing"/>
              <w:rPr>
                <w:sz w:val="24"/>
                <w:szCs w:val="24"/>
              </w:rPr>
            </w:pPr>
            <w:r w:rsidRPr="00154750">
              <w:rPr>
                <w:sz w:val="24"/>
                <w:szCs w:val="24"/>
              </w:rPr>
              <w:t>−0.006**</w:t>
            </w:r>
          </w:p>
        </w:tc>
        <w:tc>
          <w:tcPr>
            <w:tcW w:w="908" w:type="pct"/>
            <w:hideMark/>
          </w:tcPr>
          <w:p w14:paraId="31089410" w14:textId="77777777" w:rsidR="00154750" w:rsidRPr="00154750" w:rsidRDefault="00154750" w:rsidP="00154750">
            <w:pPr>
              <w:pStyle w:val="NoSpacing"/>
              <w:rPr>
                <w:sz w:val="24"/>
                <w:szCs w:val="24"/>
              </w:rPr>
            </w:pPr>
            <w:r w:rsidRPr="00154750">
              <w:rPr>
                <w:sz w:val="24"/>
                <w:szCs w:val="24"/>
              </w:rPr>
              <w:t>−2.43</w:t>
            </w:r>
          </w:p>
        </w:tc>
      </w:tr>
      <w:tr w:rsidR="00154750" w:rsidRPr="00154750" w14:paraId="132C36FC" w14:textId="77777777" w:rsidTr="00D96184">
        <w:tc>
          <w:tcPr>
            <w:tcW w:w="1169" w:type="pct"/>
            <w:hideMark/>
          </w:tcPr>
          <w:p w14:paraId="71F62743" w14:textId="77777777" w:rsidR="00154750" w:rsidRPr="00F24C44" w:rsidRDefault="00154750" w:rsidP="00154750">
            <w:pPr>
              <w:pStyle w:val="NoSpacing"/>
              <w:rPr>
                <w:i/>
                <w:iCs/>
                <w:sz w:val="24"/>
                <w:szCs w:val="24"/>
              </w:rPr>
            </w:pPr>
            <w:r w:rsidRPr="00F24C44">
              <w:rPr>
                <w:i/>
                <w:iCs/>
                <w:sz w:val="24"/>
                <w:szCs w:val="24"/>
              </w:rPr>
              <w:t>MB</w:t>
            </w:r>
          </w:p>
        </w:tc>
        <w:tc>
          <w:tcPr>
            <w:tcW w:w="1007" w:type="pct"/>
            <w:hideMark/>
          </w:tcPr>
          <w:p w14:paraId="0B4D303A" w14:textId="77777777" w:rsidR="00154750" w:rsidRPr="00154750" w:rsidRDefault="00154750" w:rsidP="00154750">
            <w:pPr>
              <w:pStyle w:val="NoSpacing"/>
              <w:rPr>
                <w:sz w:val="24"/>
                <w:szCs w:val="24"/>
              </w:rPr>
            </w:pPr>
            <w:r w:rsidRPr="00154750">
              <w:rPr>
                <w:sz w:val="24"/>
                <w:szCs w:val="24"/>
              </w:rPr>
              <w:t>−0.060*</w:t>
            </w:r>
          </w:p>
        </w:tc>
        <w:tc>
          <w:tcPr>
            <w:tcW w:w="908" w:type="pct"/>
            <w:hideMark/>
          </w:tcPr>
          <w:p w14:paraId="2B3FD05A" w14:textId="77777777" w:rsidR="00154750" w:rsidRPr="00154750" w:rsidRDefault="00154750" w:rsidP="00154750">
            <w:pPr>
              <w:pStyle w:val="NoSpacing"/>
              <w:rPr>
                <w:sz w:val="24"/>
                <w:szCs w:val="24"/>
              </w:rPr>
            </w:pPr>
            <w:r w:rsidRPr="00154750">
              <w:rPr>
                <w:sz w:val="24"/>
                <w:szCs w:val="24"/>
              </w:rPr>
              <w:t>−1.96</w:t>
            </w:r>
          </w:p>
        </w:tc>
        <w:tc>
          <w:tcPr>
            <w:tcW w:w="1007" w:type="pct"/>
            <w:hideMark/>
          </w:tcPr>
          <w:p w14:paraId="4A28D7C6" w14:textId="77777777" w:rsidR="00154750" w:rsidRPr="00154750" w:rsidRDefault="00154750" w:rsidP="00154750">
            <w:pPr>
              <w:pStyle w:val="NoSpacing"/>
              <w:rPr>
                <w:sz w:val="24"/>
                <w:szCs w:val="24"/>
              </w:rPr>
            </w:pPr>
            <w:r w:rsidRPr="00154750">
              <w:rPr>
                <w:sz w:val="24"/>
                <w:szCs w:val="24"/>
              </w:rPr>
              <w:t>−0.002</w:t>
            </w:r>
          </w:p>
        </w:tc>
        <w:tc>
          <w:tcPr>
            <w:tcW w:w="908" w:type="pct"/>
            <w:hideMark/>
          </w:tcPr>
          <w:p w14:paraId="1BEAA0EC" w14:textId="77777777" w:rsidR="00154750" w:rsidRPr="00154750" w:rsidRDefault="00154750" w:rsidP="00154750">
            <w:pPr>
              <w:pStyle w:val="NoSpacing"/>
              <w:rPr>
                <w:sz w:val="24"/>
                <w:szCs w:val="24"/>
              </w:rPr>
            </w:pPr>
            <w:r w:rsidRPr="00154750">
              <w:rPr>
                <w:sz w:val="24"/>
                <w:szCs w:val="24"/>
              </w:rPr>
              <w:t>−1.55</w:t>
            </w:r>
          </w:p>
        </w:tc>
      </w:tr>
      <w:tr w:rsidR="00154750" w:rsidRPr="00154750" w14:paraId="7FB1EC4D" w14:textId="77777777" w:rsidTr="00D96184">
        <w:tc>
          <w:tcPr>
            <w:tcW w:w="1169" w:type="pct"/>
            <w:hideMark/>
          </w:tcPr>
          <w:p w14:paraId="22460C55" w14:textId="77777777" w:rsidR="00154750" w:rsidRPr="00F24C44" w:rsidRDefault="00154750" w:rsidP="00154750">
            <w:pPr>
              <w:pStyle w:val="NoSpacing"/>
              <w:rPr>
                <w:i/>
                <w:iCs/>
                <w:sz w:val="24"/>
                <w:szCs w:val="24"/>
              </w:rPr>
            </w:pPr>
            <w:r w:rsidRPr="00F24C44">
              <w:rPr>
                <w:i/>
                <w:iCs/>
                <w:sz w:val="24"/>
                <w:szCs w:val="24"/>
              </w:rPr>
              <w:t>ROE</w:t>
            </w:r>
          </w:p>
        </w:tc>
        <w:tc>
          <w:tcPr>
            <w:tcW w:w="1007" w:type="pct"/>
            <w:hideMark/>
          </w:tcPr>
          <w:p w14:paraId="7453E7DA" w14:textId="77777777" w:rsidR="00154750" w:rsidRPr="00154750" w:rsidRDefault="00154750" w:rsidP="00154750">
            <w:pPr>
              <w:pStyle w:val="NoSpacing"/>
              <w:rPr>
                <w:sz w:val="24"/>
                <w:szCs w:val="24"/>
              </w:rPr>
            </w:pPr>
            <w:r w:rsidRPr="00154750">
              <w:rPr>
                <w:sz w:val="24"/>
                <w:szCs w:val="24"/>
              </w:rPr>
              <w:t>−0.076*</w:t>
            </w:r>
          </w:p>
        </w:tc>
        <w:tc>
          <w:tcPr>
            <w:tcW w:w="908" w:type="pct"/>
            <w:hideMark/>
          </w:tcPr>
          <w:p w14:paraId="51F28144" w14:textId="77777777" w:rsidR="00154750" w:rsidRPr="00154750" w:rsidRDefault="00154750" w:rsidP="00154750">
            <w:pPr>
              <w:pStyle w:val="NoSpacing"/>
              <w:rPr>
                <w:sz w:val="24"/>
                <w:szCs w:val="24"/>
              </w:rPr>
            </w:pPr>
            <w:r w:rsidRPr="00154750">
              <w:rPr>
                <w:sz w:val="24"/>
                <w:szCs w:val="24"/>
              </w:rPr>
              <w:t>−1.73</w:t>
            </w:r>
          </w:p>
        </w:tc>
        <w:tc>
          <w:tcPr>
            <w:tcW w:w="1007" w:type="pct"/>
            <w:hideMark/>
          </w:tcPr>
          <w:p w14:paraId="5F55FD45" w14:textId="77777777" w:rsidR="00154750" w:rsidRPr="00154750" w:rsidRDefault="00154750" w:rsidP="00154750">
            <w:pPr>
              <w:pStyle w:val="NoSpacing"/>
              <w:rPr>
                <w:sz w:val="24"/>
                <w:szCs w:val="24"/>
              </w:rPr>
            </w:pPr>
            <w:r w:rsidRPr="00154750">
              <w:rPr>
                <w:sz w:val="24"/>
                <w:szCs w:val="24"/>
              </w:rPr>
              <w:t>−0.001</w:t>
            </w:r>
          </w:p>
        </w:tc>
        <w:tc>
          <w:tcPr>
            <w:tcW w:w="908" w:type="pct"/>
            <w:hideMark/>
          </w:tcPr>
          <w:p w14:paraId="00E22BAB" w14:textId="77777777" w:rsidR="00154750" w:rsidRPr="00154750" w:rsidRDefault="00154750" w:rsidP="00154750">
            <w:pPr>
              <w:pStyle w:val="NoSpacing"/>
              <w:rPr>
                <w:sz w:val="24"/>
                <w:szCs w:val="24"/>
              </w:rPr>
            </w:pPr>
            <w:r w:rsidRPr="00154750">
              <w:rPr>
                <w:sz w:val="24"/>
                <w:szCs w:val="24"/>
              </w:rPr>
              <w:t>−0.43</w:t>
            </w:r>
          </w:p>
        </w:tc>
      </w:tr>
      <w:tr w:rsidR="00154750" w:rsidRPr="00154750" w14:paraId="48BF8B0A" w14:textId="77777777" w:rsidTr="00D96184">
        <w:tc>
          <w:tcPr>
            <w:tcW w:w="1169" w:type="pct"/>
            <w:hideMark/>
          </w:tcPr>
          <w:p w14:paraId="67C3341E" w14:textId="77777777" w:rsidR="00154750" w:rsidRPr="00F24C44" w:rsidRDefault="00154750" w:rsidP="00154750">
            <w:pPr>
              <w:pStyle w:val="NoSpacing"/>
              <w:rPr>
                <w:i/>
                <w:iCs/>
                <w:sz w:val="24"/>
                <w:szCs w:val="24"/>
              </w:rPr>
            </w:pPr>
            <w:r w:rsidRPr="00F24C44">
              <w:rPr>
                <w:i/>
                <w:iCs/>
                <w:sz w:val="24"/>
                <w:szCs w:val="24"/>
              </w:rPr>
              <w:t>VROE</w:t>
            </w:r>
          </w:p>
        </w:tc>
        <w:tc>
          <w:tcPr>
            <w:tcW w:w="1007" w:type="pct"/>
            <w:hideMark/>
          </w:tcPr>
          <w:p w14:paraId="46B348BA" w14:textId="77777777" w:rsidR="00154750" w:rsidRPr="00154750" w:rsidRDefault="00154750" w:rsidP="00154750">
            <w:pPr>
              <w:pStyle w:val="NoSpacing"/>
              <w:rPr>
                <w:sz w:val="24"/>
                <w:szCs w:val="24"/>
              </w:rPr>
            </w:pPr>
            <w:r w:rsidRPr="00154750">
              <w:rPr>
                <w:sz w:val="24"/>
                <w:szCs w:val="24"/>
              </w:rPr>
              <w:t>0.014</w:t>
            </w:r>
          </w:p>
        </w:tc>
        <w:tc>
          <w:tcPr>
            <w:tcW w:w="908" w:type="pct"/>
            <w:hideMark/>
          </w:tcPr>
          <w:p w14:paraId="66F9DBA3" w14:textId="77777777" w:rsidR="00154750" w:rsidRPr="00154750" w:rsidRDefault="00154750" w:rsidP="00154750">
            <w:pPr>
              <w:pStyle w:val="NoSpacing"/>
              <w:rPr>
                <w:sz w:val="24"/>
                <w:szCs w:val="24"/>
              </w:rPr>
            </w:pPr>
            <w:r w:rsidRPr="00154750">
              <w:rPr>
                <w:sz w:val="24"/>
                <w:szCs w:val="24"/>
              </w:rPr>
              <w:t>0.98</w:t>
            </w:r>
          </w:p>
        </w:tc>
        <w:tc>
          <w:tcPr>
            <w:tcW w:w="1007" w:type="pct"/>
            <w:hideMark/>
          </w:tcPr>
          <w:p w14:paraId="1A6BF4C7" w14:textId="77777777" w:rsidR="00154750" w:rsidRPr="00154750" w:rsidRDefault="00154750" w:rsidP="00154750">
            <w:pPr>
              <w:pStyle w:val="NoSpacing"/>
              <w:rPr>
                <w:sz w:val="24"/>
                <w:szCs w:val="24"/>
              </w:rPr>
            </w:pPr>
            <w:r w:rsidRPr="00154750">
              <w:rPr>
                <w:sz w:val="24"/>
                <w:szCs w:val="24"/>
              </w:rPr>
              <w:t>−0.000</w:t>
            </w:r>
          </w:p>
        </w:tc>
        <w:tc>
          <w:tcPr>
            <w:tcW w:w="908" w:type="pct"/>
            <w:hideMark/>
          </w:tcPr>
          <w:p w14:paraId="3A9A33BC" w14:textId="77777777" w:rsidR="00154750" w:rsidRPr="00154750" w:rsidRDefault="00154750" w:rsidP="00154750">
            <w:pPr>
              <w:pStyle w:val="NoSpacing"/>
              <w:rPr>
                <w:sz w:val="24"/>
                <w:szCs w:val="24"/>
              </w:rPr>
            </w:pPr>
            <w:r w:rsidRPr="00154750">
              <w:rPr>
                <w:sz w:val="24"/>
                <w:szCs w:val="24"/>
              </w:rPr>
              <w:t>−0.21</w:t>
            </w:r>
          </w:p>
        </w:tc>
      </w:tr>
      <w:tr w:rsidR="00154750" w:rsidRPr="00154750" w14:paraId="2D6A8C8B" w14:textId="77777777" w:rsidTr="00D96184">
        <w:tc>
          <w:tcPr>
            <w:tcW w:w="1169" w:type="pct"/>
            <w:hideMark/>
          </w:tcPr>
          <w:p w14:paraId="7745CD01" w14:textId="77777777" w:rsidR="00154750" w:rsidRPr="00F24C44" w:rsidRDefault="00154750" w:rsidP="00154750">
            <w:pPr>
              <w:pStyle w:val="NoSpacing"/>
              <w:rPr>
                <w:i/>
                <w:iCs/>
                <w:sz w:val="24"/>
                <w:szCs w:val="24"/>
              </w:rPr>
            </w:pPr>
            <w:r w:rsidRPr="00F24C44">
              <w:rPr>
                <w:i/>
                <w:iCs/>
                <w:sz w:val="24"/>
                <w:szCs w:val="24"/>
              </w:rPr>
              <w:t>LEV</w:t>
            </w:r>
          </w:p>
        </w:tc>
        <w:tc>
          <w:tcPr>
            <w:tcW w:w="1007" w:type="pct"/>
            <w:hideMark/>
          </w:tcPr>
          <w:p w14:paraId="4BD69F6A" w14:textId="77777777" w:rsidR="00154750" w:rsidRPr="00154750" w:rsidRDefault="00154750" w:rsidP="00154750">
            <w:pPr>
              <w:pStyle w:val="NoSpacing"/>
              <w:rPr>
                <w:sz w:val="24"/>
                <w:szCs w:val="24"/>
              </w:rPr>
            </w:pPr>
            <w:r w:rsidRPr="00154750">
              <w:rPr>
                <w:sz w:val="24"/>
                <w:szCs w:val="24"/>
              </w:rPr>
              <w:t>0.068</w:t>
            </w:r>
          </w:p>
        </w:tc>
        <w:tc>
          <w:tcPr>
            <w:tcW w:w="908" w:type="pct"/>
            <w:hideMark/>
          </w:tcPr>
          <w:p w14:paraId="03AE8FAF" w14:textId="77777777" w:rsidR="00154750" w:rsidRPr="00154750" w:rsidRDefault="00154750" w:rsidP="00154750">
            <w:pPr>
              <w:pStyle w:val="NoSpacing"/>
              <w:rPr>
                <w:sz w:val="24"/>
                <w:szCs w:val="24"/>
              </w:rPr>
            </w:pPr>
            <w:r w:rsidRPr="00154750">
              <w:rPr>
                <w:sz w:val="24"/>
                <w:szCs w:val="24"/>
              </w:rPr>
              <w:t>0.55</w:t>
            </w:r>
          </w:p>
        </w:tc>
        <w:tc>
          <w:tcPr>
            <w:tcW w:w="1007" w:type="pct"/>
            <w:hideMark/>
          </w:tcPr>
          <w:p w14:paraId="5ACAEECF" w14:textId="77777777" w:rsidR="00154750" w:rsidRPr="00154750" w:rsidRDefault="00154750" w:rsidP="00154750">
            <w:pPr>
              <w:pStyle w:val="NoSpacing"/>
              <w:rPr>
                <w:sz w:val="24"/>
                <w:szCs w:val="24"/>
              </w:rPr>
            </w:pPr>
            <w:r w:rsidRPr="00154750">
              <w:rPr>
                <w:sz w:val="24"/>
                <w:szCs w:val="24"/>
              </w:rPr>
              <w:t>−0.002</w:t>
            </w:r>
          </w:p>
        </w:tc>
        <w:tc>
          <w:tcPr>
            <w:tcW w:w="908" w:type="pct"/>
            <w:hideMark/>
          </w:tcPr>
          <w:p w14:paraId="36386AEB" w14:textId="77777777" w:rsidR="00154750" w:rsidRPr="00154750" w:rsidRDefault="00154750" w:rsidP="00154750">
            <w:pPr>
              <w:pStyle w:val="NoSpacing"/>
              <w:rPr>
                <w:sz w:val="24"/>
                <w:szCs w:val="24"/>
              </w:rPr>
            </w:pPr>
            <w:r w:rsidRPr="00154750">
              <w:rPr>
                <w:sz w:val="24"/>
                <w:szCs w:val="24"/>
              </w:rPr>
              <w:t>−0.45</w:t>
            </w:r>
          </w:p>
        </w:tc>
      </w:tr>
      <w:tr w:rsidR="00154750" w:rsidRPr="00154750" w14:paraId="6BAE7AC5" w14:textId="77777777" w:rsidTr="00D96184">
        <w:tc>
          <w:tcPr>
            <w:tcW w:w="1169" w:type="pct"/>
            <w:hideMark/>
          </w:tcPr>
          <w:p w14:paraId="6B9E7BCC" w14:textId="77777777" w:rsidR="00154750" w:rsidRPr="00F24C44" w:rsidRDefault="00154750" w:rsidP="00154750">
            <w:pPr>
              <w:pStyle w:val="NoSpacing"/>
              <w:rPr>
                <w:i/>
                <w:iCs/>
                <w:sz w:val="24"/>
                <w:szCs w:val="24"/>
              </w:rPr>
            </w:pPr>
            <w:r w:rsidRPr="00F24C44">
              <w:rPr>
                <w:i/>
                <w:iCs/>
                <w:sz w:val="24"/>
                <w:szCs w:val="24"/>
              </w:rPr>
              <w:t>AGE</w:t>
            </w:r>
          </w:p>
        </w:tc>
        <w:tc>
          <w:tcPr>
            <w:tcW w:w="1007" w:type="pct"/>
            <w:hideMark/>
          </w:tcPr>
          <w:p w14:paraId="3A003001" w14:textId="77777777" w:rsidR="00154750" w:rsidRPr="00154750" w:rsidRDefault="00154750" w:rsidP="00154750">
            <w:pPr>
              <w:pStyle w:val="NoSpacing"/>
              <w:rPr>
                <w:sz w:val="24"/>
                <w:szCs w:val="24"/>
              </w:rPr>
            </w:pPr>
            <w:r w:rsidRPr="00154750">
              <w:rPr>
                <w:sz w:val="24"/>
                <w:szCs w:val="24"/>
              </w:rPr>
              <w:t>−0.721***</w:t>
            </w:r>
          </w:p>
        </w:tc>
        <w:tc>
          <w:tcPr>
            <w:tcW w:w="908" w:type="pct"/>
            <w:hideMark/>
          </w:tcPr>
          <w:p w14:paraId="343E699C" w14:textId="77777777" w:rsidR="00154750" w:rsidRPr="00154750" w:rsidRDefault="00154750" w:rsidP="00154750">
            <w:pPr>
              <w:pStyle w:val="NoSpacing"/>
              <w:rPr>
                <w:sz w:val="24"/>
                <w:szCs w:val="24"/>
              </w:rPr>
            </w:pPr>
            <w:r w:rsidRPr="00154750">
              <w:rPr>
                <w:sz w:val="24"/>
                <w:szCs w:val="24"/>
              </w:rPr>
              <w:t>−5.91</w:t>
            </w:r>
          </w:p>
        </w:tc>
        <w:tc>
          <w:tcPr>
            <w:tcW w:w="1007" w:type="pct"/>
            <w:hideMark/>
          </w:tcPr>
          <w:p w14:paraId="596657F1" w14:textId="77777777" w:rsidR="00154750" w:rsidRPr="00154750" w:rsidRDefault="00154750" w:rsidP="00154750">
            <w:pPr>
              <w:pStyle w:val="NoSpacing"/>
              <w:rPr>
                <w:sz w:val="24"/>
                <w:szCs w:val="24"/>
              </w:rPr>
            </w:pPr>
            <w:r w:rsidRPr="00154750">
              <w:rPr>
                <w:sz w:val="24"/>
                <w:szCs w:val="24"/>
              </w:rPr>
              <w:t>0.002</w:t>
            </w:r>
          </w:p>
        </w:tc>
        <w:tc>
          <w:tcPr>
            <w:tcW w:w="908" w:type="pct"/>
            <w:hideMark/>
          </w:tcPr>
          <w:p w14:paraId="4648A353" w14:textId="77777777" w:rsidR="00154750" w:rsidRPr="00154750" w:rsidRDefault="00154750" w:rsidP="00154750">
            <w:pPr>
              <w:pStyle w:val="NoSpacing"/>
              <w:rPr>
                <w:sz w:val="24"/>
                <w:szCs w:val="24"/>
              </w:rPr>
            </w:pPr>
            <w:r w:rsidRPr="00154750">
              <w:rPr>
                <w:sz w:val="24"/>
                <w:szCs w:val="24"/>
              </w:rPr>
              <w:t>0.29</w:t>
            </w:r>
          </w:p>
        </w:tc>
      </w:tr>
      <w:tr w:rsidR="00154750" w:rsidRPr="00154750" w14:paraId="038B6B8D" w14:textId="77777777" w:rsidTr="00D96184">
        <w:tc>
          <w:tcPr>
            <w:tcW w:w="1169" w:type="pct"/>
            <w:hideMark/>
          </w:tcPr>
          <w:p w14:paraId="1FA8CCAE" w14:textId="77777777" w:rsidR="00154750" w:rsidRPr="00F24C44" w:rsidRDefault="00154750" w:rsidP="00154750">
            <w:pPr>
              <w:pStyle w:val="NoSpacing"/>
              <w:rPr>
                <w:i/>
                <w:iCs/>
                <w:sz w:val="24"/>
                <w:szCs w:val="24"/>
              </w:rPr>
            </w:pPr>
            <w:r w:rsidRPr="00F24C44">
              <w:rPr>
                <w:i/>
                <w:iCs/>
                <w:sz w:val="24"/>
                <w:szCs w:val="24"/>
              </w:rPr>
              <w:t>DD</w:t>
            </w:r>
          </w:p>
        </w:tc>
        <w:tc>
          <w:tcPr>
            <w:tcW w:w="1007" w:type="pct"/>
            <w:hideMark/>
          </w:tcPr>
          <w:p w14:paraId="29C10575" w14:textId="77777777" w:rsidR="00154750" w:rsidRPr="00154750" w:rsidRDefault="00154750" w:rsidP="00154750">
            <w:pPr>
              <w:pStyle w:val="NoSpacing"/>
              <w:rPr>
                <w:sz w:val="24"/>
                <w:szCs w:val="24"/>
              </w:rPr>
            </w:pPr>
            <w:r w:rsidRPr="00154750">
              <w:rPr>
                <w:sz w:val="24"/>
                <w:szCs w:val="24"/>
              </w:rPr>
              <w:t>0.098**</w:t>
            </w:r>
          </w:p>
        </w:tc>
        <w:tc>
          <w:tcPr>
            <w:tcW w:w="908" w:type="pct"/>
            <w:hideMark/>
          </w:tcPr>
          <w:p w14:paraId="6CFB0F9A" w14:textId="77777777" w:rsidR="00154750" w:rsidRPr="00154750" w:rsidRDefault="00154750" w:rsidP="00154750">
            <w:pPr>
              <w:pStyle w:val="NoSpacing"/>
              <w:rPr>
                <w:sz w:val="24"/>
                <w:szCs w:val="24"/>
              </w:rPr>
            </w:pPr>
            <w:r w:rsidRPr="00154750">
              <w:rPr>
                <w:sz w:val="24"/>
                <w:szCs w:val="24"/>
              </w:rPr>
              <w:t>2.12</w:t>
            </w:r>
          </w:p>
        </w:tc>
        <w:tc>
          <w:tcPr>
            <w:tcW w:w="1007" w:type="pct"/>
            <w:hideMark/>
          </w:tcPr>
          <w:p w14:paraId="76926653" w14:textId="77777777" w:rsidR="00154750" w:rsidRPr="00154750" w:rsidRDefault="00154750" w:rsidP="00154750">
            <w:pPr>
              <w:pStyle w:val="NoSpacing"/>
              <w:rPr>
                <w:sz w:val="24"/>
                <w:szCs w:val="24"/>
              </w:rPr>
            </w:pPr>
            <w:r w:rsidRPr="00154750">
              <w:rPr>
                <w:sz w:val="24"/>
                <w:szCs w:val="24"/>
              </w:rPr>
              <w:t>−0.001</w:t>
            </w:r>
          </w:p>
        </w:tc>
        <w:tc>
          <w:tcPr>
            <w:tcW w:w="908" w:type="pct"/>
            <w:hideMark/>
          </w:tcPr>
          <w:p w14:paraId="696C8732" w14:textId="77777777" w:rsidR="00154750" w:rsidRPr="00154750" w:rsidRDefault="00154750" w:rsidP="00154750">
            <w:pPr>
              <w:pStyle w:val="NoSpacing"/>
              <w:rPr>
                <w:sz w:val="24"/>
                <w:szCs w:val="24"/>
              </w:rPr>
            </w:pPr>
            <w:r w:rsidRPr="00154750">
              <w:rPr>
                <w:sz w:val="24"/>
                <w:szCs w:val="24"/>
              </w:rPr>
              <w:t>−0.56</w:t>
            </w:r>
          </w:p>
        </w:tc>
      </w:tr>
      <w:tr w:rsidR="00154750" w:rsidRPr="00154750" w14:paraId="4FA5F4D2" w14:textId="77777777" w:rsidTr="00D96184">
        <w:tc>
          <w:tcPr>
            <w:tcW w:w="1169" w:type="pct"/>
            <w:hideMark/>
          </w:tcPr>
          <w:p w14:paraId="16A9A04B" w14:textId="77777777" w:rsidR="00154750" w:rsidRPr="00F24C44" w:rsidRDefault="00154750" w:rsidP="00154750">
            <w:pPr>
              <w:pStyle w:val="NoSpacing"/>
              <w:rPr>
                <w:i/>
                <w:iCs/>
                <w:sz w:val="24"/>
                <w:szCs w:val="24"/>
              </w:rPr>
            </w:pPr>
            <w:r w:rsidRPr="00F24C44">
              <w:rPr>
                <w:i/>
                <w:iCs/>
                <w:sz w:val="24"/>
                <w:szCs w:val="24"/>
              </w:rPr>
              <w:t>DIVER</w:t>
            </w:r>
          </w:p>
        </w:tc>
        <w:tc>
          <w:tcPr>
            <w:tcW w:w="1007" w:type="pct"/>
            <w:hideMark/>
          </w:tcPr>
          <w:p w14:paraId="04772D33" w14:textId="77777777" w:rsidR="00154750" w:rsidRPr="00154750" w:rsidRDefault="00154750" w:rsidP="00154750">
            <w:pPr>
              <w:pStyle w:val="NoSpacing"/>
              <w:rPr>
                <w:sz w:val="24"/>
                <w:szCs w:val="24"/>
              </w:rPr>
            </w:pPr>
            <w:r w:rsidRPr="00154750">
              <w:rPr>
                <w:sz w:val="24"/>
                <w:szCs w:val="24"/>
              </w:rPr>
              <w:t>−0.012</w:t>
            </w:r>
          </w:p>
        </w:tc>
        <w:tc>
          <w:tcPr>
            <w:tcW w:w="908" w:type="pct"/>
            <w:hideMark/>
          </w:tcPr>
          <w:p w14:paraId="6B0DA9BC" w14:textId="77777777" w:rsidR="00154750" w:rsidRPr="00154750" w:rsidRDefault="00154750" w:rsidP="00154750">
            <w:pPr>
              <w:pStyle w:val="NoSpacing"/>
              <w:rPr>
                <w:sz w:val="24"/>
                <w:szCs w:val="24"/>
              </w:rPr>
            </w:pPr>
            <w:r w:rsidRPr="00154750">
              <w:rPr>
                <w:sz w:val="24"/>
                <w:szCs w:val="24"/>
              </w:rPr>
              <w:t>−0.21</w:t>
            </w:r>
          </w:p>
        </w:tc>
        <w:tc>
          <w:tcPr>
            <w:tcW w:w="1007" w:type="pct"/>
            <w:hideMark/>
          </w:tcPr>
          <w:p w14:paraId="06357195" w14:textId="77777777" w:rsidR="00154750" w:rsidRPr="00154750" w:rsidRDefault="00154750" w:rsidP="00154750">
            <w:pPr>
              <w:pStyle w:val="NoSpacing"/>
              <w:rPr>
                <w:sz w:val="24"/>
                <w:szCs w:val="24"/>
              </w:rPr>
            </w:pPr>
            <w:r w:rsidRPr="00154750">
              <w:rPr>
                <w:sz w:val="24"/>
                <w:szCs w:val="24"/>
              </w:rPr>
              <w:t>0.001</w:t>
            </w:r>
          </w:p>
        </w:tc>
        <w:tc>
          <w:tcPr>
            <w:tcW w:w="908" w:type="pct"/>
            <w:hideMark/>
          </w:tcPr>
          <w:p w14:paraId="4B532457" w14:textId="77777777" w:rsidR="00154750" w:rsidRPr="00154750" w:rsidRDefault="00154750" w:rsidP="00154750">
            <w:pPr>
              <w:pStyle w:val="NoSpacing"/>
              <w:rPr>
                <w:sz w:val="24"/>
                <w:szCs w:val="24"/>
              </w:rPr>
            </w:pPr>
            <w:r w:rsidRPr="00154750">
              <w:rPr>
                <w:sz w:val="24"/>
                <w:szCs w:val="24"/>
              </w:rPr>
              <w:t>0.23</w:t>
            </w:r>
          </w:p>
        </w:tc>
      </w:tr>
      <w:tr w:rsidR="00154750" w:rsidRPr="00154750" w14:paraId="5E788CF9" w14:textId="77777777" w:rsidTr="00D96184">
        <w:tc>
          <w:tcPr>
            <w:tcW w:w="1169" w:type="pct"/>
            <w:hideMark/>
          </w:tcPr>
          <w:p w14:paraId="2CAE069D" w14:textId="77777777" w:rsidR="00154750" w:rsidRPr="00F24C44" w:rsidRDefault="00154750" w:rsidP="00154750">
            <w:pPr>
              <w:pStyle w:val="NoSpacing"/>
              <w:rPr>
                <w:i/>
                <w:iCs/>
                <w:sz w:val="24"/>
                <w:szCs w:val="24"/>
              </w:rPr>
            </w:pPr>
            <w:r w:rsidRPr="00F24C44">
              <w:rPr>
                <w:i/>
                <w:iCs/>
                <w:sz w:val="24"/>
                <w:szCs w:val="24"/>
              </w:rPr>
              <w:t>ANALYSTS</w:t>
            </w:r>
          </w:p>
        </w:tc>
        <w:tc>
          <w:tcPr>
            <w:tcW w:w="1007" w:type="pct"/>
            <w:hideMark/>
          </w:tcPr>
          <w:p w14:paraId="2B408536" w14:textId="77777777" w:rsidR="00154750" w:rsidRPr="00154750" w:rsidRDefault="00154750" w:rsidP="00154750">
            <w:pPr>
              <w:pStyle w:val="NoSpacing"/>
              <w:rPr>
                <w:sz w:val="24"/>
                <w:szCs w:val="24"/>
              </w:rPr>
            </w:pPr>
            <w:r w:rsidRPr="00154750">
              <w:rPr>
                <w:sz w:val="24"/>
                <w:szCs w:val="24"/>
              </w:rPr>
              <w:t>−0.208***</w:t>
            </w:r>
          </w:p>
        </w:tc>
        <w:tc>
          <w:tcPr>
            <w:tcW w:w="908" w:type="pct"/>
            <w:hideMark/>
          </w:tcPr>
          <w:p w14:paraId="654329BA" w14:textId="77777777" w:rsidR="00154750" w:rsidRPr="00154750" w:rsidRDefault="00154750" w:rsidP="00154750">
            <w:pPr>
              <w:pStyle w:val="NoSpacing"/>
              <w:rPr>
                <w:sz w:val="24"/>
                <w:szCs w:val="24"/>
              </w:rPr>
            </w:pPr>
            <w:r w:rsidRPr="00154750">
              <w:rPr>
                <w:sz w:val="24"/>
                <w:szCs w:val="24"/>
              </w:rPr>
              <w:t>−6.41</w:t>
            </w:r>
          </w:p>
        </w:tc>
        <w:tc>
          <w:tcPr>
            <w:tcW w:w="1007" w:type="pct"/>
            <w:hideMark/>
          </w:tcPr>
          <w:p w14:paraId="5CA4BEDA" w14:textId="77777777" w:rsidR="00154750" w:rsidRPr="00154750" w:rsidRDefault="00154750" w:rsidP="00154750">
            <w:pPr>
              <w:pStyle w:val="NoSpacing"/>
              <w:rPr>
                <w:sz w:val="24"/>
                <w:szCs w:val="24"/>
              </w:rPr>
            </w:pPr>
            <w:r w:rsidRPr="00154750">
              <w:rPr>
                <w:sz w:val="24"/>
                <w:szCs w:val="24"/>
              </w:rPr>
              <w:t>−0.003**</w:t>
            </w:r>
          </w:p>
        </w:tc>
        <w:tc>
          <w:tcPr>
            <w:tcW w:w="908" w:type="pct"/>
            <w:hideMark/>
          </w:tcPr>
          <w:p w14:paraId="373A9BD2" w14:textId="77777777" w:rsidR="00154750" w:rsidRPr="00154750" w:rsidRDefault="00154750" w:rsidP="00154750">
            <w:pPr>
              <w:pStyle w:val="NoSpacing"/>
              <w:rPr>
                <w:sz w:val="24"/>
                <w:szCs w:val="24"/>
              </w:rPr>
            </w:pPr>
            <w:r w:rsidRPr="00154750">
              <w:rPr>
                <w:sz w:val="24"/>
                <w:szCs w:val="24"/>
              </w:rPr>
              <w:t>−2.30</w:t>
            </w:r>
          </w:p>
        </w:tc>
      </w:tr>
      <w:tr w:rsidR="00154750" w:rsidRPr="00154750" w14:paraId="15DCAAEC" w14:textId="77777777" w:rsidTr="00D96184">
        <w:tc>
          <w:tcPr>
            <w:tcW w:w="1169" w:type="pct"/>
            <w:hideMark/>
          </w:tcPr>
          <w:p w14:paraId="51C50373" w14:textId="77777777" w:rsidR="00154750" w:rsidRPr="00F24C44" w:rsidRDefault="00154750" w:rsidP="00154750">
            <w:pPr>
              <w:pStyle w:val="NoSpacing"/>
              <w:rPr>
                <w:i/>
                <w:iCs/>
                <w:sz w:val="24"/>
                <w:szCs w:val="24"/>
              </w:rPr>
            </w:pPr>
            <w:r w:rsidRPr="00F24C44">
              <w:rPr>
                <w:i/>
                <w:iCs/>
                <w:sz w:val="24"/>
                <w:szCs w:val="24"/>
              </w:rPr>
              <w:t>BETA</w:t>
            </w:r>
          </w:p>
        </w:tc>
        <w:tc>
          <w:tcPr>
            <w:tcW w:w="1007" w:type="pct"/>
            <w:hideMark/>
          </w:tcPr>
          <w:p w14:paraId="0E222833" w14:textId="77777777" w:rsidR="00154750" w:rsidRPr="00154750" w:rsidRDefault="00154750" w:rsidP="00154750">
            <w:pPr>
              <w:pStyle w:val="NoSpacing"/>
              <w:rPr>
                <w:sz w:val="24"/>
                <w:szCs w:val="24"/>
              </w:rPr>
            </w:pPr>
            <w:r w:rsidRPr="00154750">
              <w:rPr>
                <w:sz w:val="24"/>
                <w:szCs w:val="24"/>
              </w:rPr>
              <w:t>−0.231***</w:t>
            </w:r>
          </w:p>
        </w:tc>
        <w:tc>
          <w:tcPr>
            <w:tcW w:w="908" w:type="pct"/>
            <w:hideMark/>
          </w:tcPr>
          <w:p w14:paraId="4F6CE2B3" w14:textId="77777777" w:rsidR="00154750" w:rsidRPr="00154750" w:rsidRDefault="00154750" w:rsidP="00154750">
            <w:pPr>
              <w:pStyle w:val="NoSpacing"/>
              <w:rPr>
                <w:sz w:val="24"/>
                <w:szCs w:val="24"/>
              </w:rPr>
            </w:pPr>
            <w:r w:rsidRPr="00154750">
              <w:rPr>
                <w:sz w:val="24"/>
                <w:szCs w:val="24"/>
              </w:rPr>
              <w:t>−8.51</w:t>
            </w:r>
          </w:p>
        </w:tc>
        <w:tc>
          <w:tcPr>
            <w:tcW w:w="1007" w:type="pct"/>
            <w:hideMark/>
          </w:tcPr>
          <w:p w14:paraId="1F41D362" w14:textId="77777777" w:rsidR="00154750" w:rsidRPr="00154750" w:rsidRDefault="00154750" w:rsidP="00154750">
            <w:pPr>
              <w:pStyle w:val="NoSpacing"/>
              <w:rPr>
                <w:sz w:val="24"/>
                <w:szCs w:val="24"/>
              </w:rPr>
            </w:pPr>
            <w:r w:rsidRPr="00154750">
              <w:rPr>
                <w:sz w:val="24"/>
                <w:szCs w:val="24"/>
              </w:rPr>
              <w:t>−0.011***</w:t>
            </w:r>
          </w:p>
        </w:tc>
        <w:tc>
          <w:tcPr>
            <w:tcW w:w="908" w:type="pct"/>
            <w:hideMark/>
          </w:tcPr>
          <w:p w14:paraId="3B570EB9" w14:textId="77777777" w:rsidR="00154750" w:rsidRPr="00154750" w:rsidRDefault="00154750" w:rsidP="00154750">
            <w:pPr>
              <w:pStyle w:val="NoSpacing"/>
              <w:rPr>
                <w:sz w:val="24"/>
                <w:szCs w:val="24"/>
              </w:rPr>
            </w:pPr>
            <w:r w:rsidRPr="00154750">
              <w:rPr>
                <w:sz w:val="24"/>
                <w:szCs w:val="24"/>
              </w:rPr>
              <w:t>−8.15</w:t>
            </w:r>
          </w:p>
        </w:tc>
      </w:tr>
      <w:tr w:rsidR="00154750" w:rsidRPr="00154750" w14:paraId="7FFC0E46" w14:textId="77777777" w:rsidTr="00D96184">
        <w:tc>
          <w:tcPr>
            <w:tcW w:w="1169" w:type="pct"/>
            <w:hideMark/>
          </w:tcPr>
          <w:p w14:paraId="4D95DFCC" w14:textId="77777777" w:rsidR="00154750" w:rsidRPr="00F24C44" w:rsidRDefault="00154750" w:rsidP="00154750">
            <w:pPr>
              <w:pStyle w:val="NoSpacing"/>
              <w:rPr>
                <w:i/>
                <w:iCs/>
                <w:sz w:val="24"/>
                <w:szCs w:val="24"/>
              </w:rPr>
            </w:pPr>
            <w:r w:rsidRPr="00F24C44">
              <w:rPr>
                <w:i/>
                <w:iCs/>
                <w:sz w:val="24"/>
                <w:szCs w:val="24"/>
              </w:rPr>
              <w:t>EQ</w:t>
            </w:r>
          </w:p>
        </w:tc>
        <w:tc>
          <w:tcPr>
            <w:tcW w:w="1007" w:type="pct"/>
            <w:hideMark/>
          </w:tcPr>
          <w:p w14:paraId="09B77A91" w14:textId="77777777" w:rsidR="00154750" w:rsidRPr="00154750" w:rsidRDefault="00154750" w:rsidP="00154750">
            <w:pPr>
              <w:pStyle w:val="NoSpacing"/>
              <w:rPr>
                <w:sz w:val="24"/>
                <w:szCs w:val="24"/>
              </w:rPr>
            </w:pPr>
            <w:r w:rsidRPr="00154750">
              <w:rPr>
                <w:sz w:val="24"/>
                <w:szCs w:val="24"/>
              </w:rPr>
              <w:t>−0.010**</w:t>
            </w:r>
          </w:p>
        </w:tc>
        <w:tc>
          <w:tcPr>
            <w:tcW w:w="908" w:type="pct"/>
            <w:hideMark/>
          </w:tcPr>
          <w:p w14:paraId="5EE5BDE7" w14:textId="77777777" w:rsidR="00154750" w:rsidRPr="00154750" w:rsidRDefault="00154750" w:rsidP="00154750">
            <w:pPr>
              <w:pStyle w:val="NoSpacing"/>
              <w:rPr>
                <w:sz w:val="24"/>
                <w:szCs w:val="24"/>
              </w:rPr>
            </w:pPr>
            <w:r w:rsidRPr="00154750">
              <w:rPr>
                <w:sz w:val="24"/>
                <w:szCs w:val="24"/>
              </w:rPr>
              <w:t>−2.19</w:t>
            </w:r>
          </w:p>
        </w:tc>
        <w:tc>
          <w:tcPr>
            <w:tcW w:w="1007" w:type="pct"/>
            <w:hideMark/>
          </w:tcPr>
          <w:p w14:paraId="2EB32DB9" w14:textId="77777777" w:rsidR="00154750" w:rsidRPr="00154750" w:rsidRDefault="00154750" w:rsidP="00154750">
            <w:pPr>
              <w:pStyle w:val="NoSpacing"/>
              <w:rPr>
                <w:sz w:val="24"/>
                <w:szCs w:val="24"/>
              </w:rPr>
            </w:pPr>
            <w:r w:rsidRPr="00154750">
              <w:rPr>
                <w:sz w:val="24"/>
                <w:szCs w:val="24"/>
              </w:rPr>
              <w:t>−0.000</w:t>
            </w:r>
          </w:p>
        </w:tc>
        <w:tc>
          <w:tcPr>
            <w:tcW w:w="908" w:type="pct"/>
            <w:hideMark/>
          </w:tcPr>
          <w:p w14:paraId="2AEDCDC7" w14:textId="77777777" w:rsidR="00154750" w:rsidRPr="00154750" w:rsidRDefault="00154750" w:rsidP="00154750">
            <w:pPr>
              <w:pStyle w:val="NoSpacing"/>
              <w:rPr>
                <w:sz w:val="24"/>
                <w:szCs w:val="24"/>
              </w:rPr>
            </w:pPr>
            <w:r w:rsidRPr="00154750">
              <w:rPr>
                <w:sz w:val="24"/>
                <w:szCs w:val="24"/>
              </w:rPr>
              <w:t>−0.68</w:t>
            </w:r>
          </w:p>
        </w:tc>
      </w:tr>
      <w:tr w:rsidR="00154750" w:rsidRPr="00154750" w14:paraId="4F3030FA" w14:textId="77777777" w:rsidTr="00D96184">
        <w:tc>
          <w:tcPr>
            <w:tcW w:w="1169" w:type="pct"/>
            <w:hideMark/>
          </w:tcPr>
          <w:p w14:paraId="03BCA279" w14:textId="77777777" w:rsidR="00154750" w:rsidRPr="00F24C44" w:rsidRDefault="00154750" w:rsidP="00154750">
            <w:pPr>
              <w:pStyle w:val="NoSpacing"/>
              <w:rPr>
                <w:i/>
                <w:iCs/>
                <w:sz w:val="24"/>
                <w:szCs w:val="24"/>
              </w:rPr>
            </w:pPr>
            <w:r w:rsidRPr="00F24C44">
              <w:rPr>
                <w:i/>
                <w:iCs/>
                <w:sz w:val="24"/>
                <w:szCs w:val="24"/>
              </w:rPr>
              <w:t>INSTRADE</w:t>
            </w:r>
          </w:p>
        </w:tc>
        <w:tc>
          <w:tcPr>
            <w:tcW w:w="1007" w:type="pct"/>
            <w:hideMark/>
          </w:tcPr>
          <w:p w14:paraId="76B1A5FD" w14:textId="77777777" w:rsidR="00154750" w:rsidRPr="00154750" w:rsidRDefault="00154750" w:rsidP="00154750">
            <w:pPr>
              <w:pStyle w:val="NoSpacing"/>
              <w:rPr>
                <w:sz w:val="24"/>
                <w:szCs w:val="24"/>
              </w:rPr>
            </w:pPr>
            <w:r w:rsidRPr="00154750">
              <w:rPr>
                <w:sz w:val="24"/>
                <w:szCs w:val="24"/>
              </w:rPr>
              <w:t>−0.441</w:t>
            </w:r>
          </w:p>
        </w:tc>
        <w:tc>
          <w:tcPr>
            <w:tcW w:w="908" w:type="pct"/>
            <w:hideMark/>
          </w:tcPr>
          <w:p w14:paraId="1839D74B" w14:textId="77777777" w:rsidR="00154750" w:rsidRPr="00154750" w:rsidRDefault="00154750" w:rsidP="00154750">
            <w:pPr>
              <w:pStyle w:val="NoSpacing"/>
              <w:rPr>
                <w:sz w:val="24"/>
                <w:szCs w:val="24"/>
              </w:rPr>
            </w:pPr>
            <w:r w:rsidRPr="00154750">
              <w:rPr>
                <w:sz w:val="24"/>
                <w:szCs w:val="24"/>
              </w:rPr>
              <w:t>−1.27</w:t>
            </w:r>
          </w:p>
        </w:tc>
        <w:tc>
          <w:tcPr>
            <w:tcW w:w="1007" w:type="pct"/>
            <w:hideMark/>
          </w:tcPr>
          <w:p w14:paraId="7E051FCD" w14:textId="77777777" w:rsidR="00154750" w:rsidRPr="00154750" w:rsidRDefault="00154750" w:rsidP="00154750">
            <w:pPr>
              <w:pStyle w:val="NoSpacing"/>
              <w:rPr>
                <w:sz w:val="24"/>
                <w:szCs w:val="24"/>
              </w:rPr>
            </w:pPr>
            <w:r w:rsidRPr="00154750">
              <w:rPr>
                <w:sz w:val="24"/>
                <w:szCs w:val="24"/>
              </w:rPr>
              <w:t>−0.018*</w:t>
            </w:r>
          </w:p>
        </w:tc>
        <w:tc>
          <w:tcPr>
            <w:tcW w:w="908" w:type="pct"/>
            <w:hideMark/>
          </w:tcPr>
          <w:p w14:paraId="25A1E739" w14:textId="77777777" w:rsidR="00154750" w:rsidRPr="00154750" w:rsidRDefault="00154750" w:rsidP="00154750">
            <w:pPr>
              <w:pStyle w:val="NoSpacing"/>
              <w:rPr>
                <w:sz w:val="24"/>
                <w:szCs w:val="24"/>
              </w:rPr>
            </w:pPr>
            <w:r w:rsidRPr="00154750">
              <w:rPr>
                <w:sz w:val="24"/>
                <w:szCs w:val="24"/>
              </w:rPr>
              <w:t>−1.68</w:t>
            </w:r>
          </w:p>
        </w:tc>
      </w:tr>
      <w:tr w:rsidR="00154750" w:rsidRPr="00154750" w14:paraId="6648C645" w14:textId="77777777" w:rsidTr="00D96184">
        <w:tc>
          <w:tcPr>
            <w:tcW w:w="1169" w:type="pct"/>
            <w:hideMark/>
          </w:tcPr>
          <w:p w14:paraId="06D3B44D" w14:textId="77777777" w:rsidR="00154750" w:rsidRPr="00F24C44" w:rsidRDefault="00154750" w:rsidP="00154750">
            <w:pPr>
              <w:pStyle w:val="NoSpacing"/>
              <w:rPr>
                <w:i/>
                <w:iCs/>
                <w:sz w:val="24"/>
                <w:szCs w:val="24"/>
              </w:rPr>
            </w:pPr>
            <w:r w:rsidRPr="00F24C44">
              <w:rPr>
                <w:i/>
                <w:iCs/>
                <w:sz w:val="24"/>
                <w:szCs w:val="24"/>
              </w:rPr>
              <w:t>CGSCORE</w:t>
            </w:r>
          </w:p>
        </w:tc>
        <w:tc>
          <w:tcPr>
            <w:tcW w:w="1007" w:type="pct"/>
            <w:hideMark/>
          </w:tcPr>
          <w:p w14:paraId="02B89A69" w14:textId="77777777" w:rsidR="00154750" w:rsidRPr="00154750" w:rsidRDefault="00154750" w:rsidP="00154750">
            <w:pPr>
              <w:pStyle w:val="NoSpacing"/>
              <w:rPr>
                <w:sz w:val="24"/>
                <w:szCs w:val="24"/>
              </w:rPr>
            </w:pPr>
            <w:r w:rsidRPr="00154750">
              <w:rPr>
                <w:sz w:val="24"/>
                <w:szCs w:val="24"/>
              </w:rPr>
              <w:t>0.288***</w:t>
            </w:r>
          </w:p>
        </w:tc>
        <w:tc>
          <w:tcPr>
            <w:tcW w:w="908" w:type="pct"/>
            <w:hideMark/>
          </w:tcPr>
          <w:p w14:paraId="7F08569A" w14:textId="77777777" w:rsidR="00154750" w:rsidRPr="00154750" w:rsidRDefault="00154750" w:rsidP="00154750">
            <w:pPr>
              <w:pStyle w:val="NoSpacing"/>
              <w:rPr>
                <w:sz w:val="24"/>
                <w:szCs w:val="24"/>
              </w:rPr>
            </w:pPr>
            <w:r w:rsidRPr="00154750">
              <w:rPr>
                <w:sz w:val="24"/>
                <w:szCs w:val="24"/>
              </w:rPr>
              <w:t>3.65</w:t>
            </w:r>
          </w:p>
        </w:tc>
        <w:tc>
          <w:tcPr>
            <w:tcW w:w="1007" w:type="pct"/>
            <w:hideMark/>
          </w:tcPr>
          <w:p w14:paraId="7DEF5571" w14:textId="77777777" w:rsidR="00154750" w:rsidRPr="00154750" w:rsidRDefault="00154750" w:rsidP="00154750">
            <w:pPr>
              <w:pStyle w:val="NoSpacing"/>
              <w:rPr>
                <w:sz w:val="24"/>
                <w:szCs w:val="24"/>
              </w:rPr>
            </w:pPr>
            <w:r w:rsidRPr="00154750">
              <w:rPr>
                <w:sz w:val="24"/>
                <w:szCs w:val="24"/>
              </w:rPr>
              <w:t>0.014***</w:t>
            </w:r>
          </w:p>
        </w:tc>
        <w:tc>
          <w:tcPr>
            <w:tcW w:w="908" w:type="pct"/>
            <w:hideMark/>
          </w:tcPr>
          <w:p w14:paraId="61ADDECA" w14:textId="77777777" w:rsidR="00154750" w:rsidRPr="00154750" w:rsidRDefault="00154750" w:rsidP="00154750">
            <w:pPr>
              <w:pStyle w:val="NoSpacing"/>
              <w:rPr>
                <w:sz w:val="24"/>
                <w:szCs w:val="24"/>
              </w:rPr>
            </w:pPr>
            <w:r w:rsidRPr="00154750">
              <w:rPr>
                <w:sz w:val="24"/>
                <w:szCs w:val="24"/>
              </w:rPr>
              <w:t>4.43</w:t>
            </w:r>
          </w:p>
        </w:tc>
      </w:tr>
      <w:tr w:rsidR="00154750" w:rsidRPr="00154750" w14:paraId="66EC1CF9" w14:textId="77777777" w:rsidTr="00D96184">
        <w:tc>
          <w:tcPr>
            <w:tcW w:w="1169" w:type="pct"/>
            <w:hideMark/>
          </w:tcPr>
          <w:p w14:paraId="10EB2B92" w14:textId="77777777" w:rsidR="00154750" w:rsidRPr="00F24C44" w:rsidRDefault="00154750" w:rsidP="00154750">
            <w:pPr>
              <w:pStyle w:val="NoSpacing"/>
              <w:rPr>
                <w:i/>
                <w:iCs/>
                <w:sz w:val="24"/>
                <w:szCs w:val="24"/>
              </w:rPr>
            </w:pPr>
            <w:r w:rsidRPr="00F24C44">
              <w:rPr>
                <w:i/>
                <w:iCs/>
                <w:sz w:val="24"/>
                <w:szCs w:val="24"/>
              </w:rPr>
              <w:t>INSTNUM</w:t>
            </w:r>
          </w:p>
        </w:tc>
        <w:tc>
          <w:tcPr>
            <w:tcW w:w="1007" w:type="pct"/>
            <w:hideMark/>
          </w:tcPr>
          <w:p w14:paraId="28F34619" w14:textId="77777777" w:rsidR="00154750" w:rsidRPr="00154750" w:rsidRDefault="00154750" w:rsidP="00154750">
            <w:pPr>
              <w:pStyle w:val="NoSpacing"/>
              <w:rPr>
                <w:sz w:val="24"/>
                <w:szCs w:val="24"/>
              </w:rPr>
            </w:pPr>
            <w:r w:rsidRPr="00154750">
              <w:rPr>
                <w:sz w:val="24"/>
                <w:szCs w:val="24"/>
              </w:rPr>
              <w:t>−0.385***</w:t>
            </w:r>
          </w:p>
        </w:tc>
        <w:tc>
          <w:tcPr>
            <w:tcW w:w="908" w:type="pct"/>
            <w:hideMark/>
          </w:tcPr>
          <w:p w14:paraId="17D5008E" w14:textId="77777777" w:rsidR="00154750" w:rsidRPr="00154750" w:rsidRDefault="00154750" w:rsidP="00154750">
            <w:pPr>
              <w:pStyle w:val="NoSpacing"/>
              <w:rPr>
                <w:sz w:val="24"/>
                <w:szCs w:val="24"/>
              </w:rPr>
            </w:pPr>
            <w:r w:rsidRPr="00154750">
              <w:rPr>
                <w:sz w:val="24"/>
                <w:szCs w:val="24"/>
              </w:rPr>
              <w:t>−5.02</w:t>
            </w:r>
          </w:p>
        </w:tc>
        <w:tc>
          <w:tcPr>
            <w:tcW w:w="1007" w:type="pct"/>
            <w:hideMark/>
          </w:tcPr>
          <w:p w14:paraId="61830866" w14:textId="77777777" w:rsidR="00154750" w:rsidRPr="00154750" w:rsidRDefault="00154750" w:rsidP="00154750">
            <w:pPr>
              <w:pStyle w:val="NoSpacing"/>
              <w:rPr>
                <w:sz w:val="24"/>
                <w:szCs w:val="24"/>
              </w:rPr>
            </w:pPr>
            <w:r w:rsidRPr="00154750">
              <w:rPr>
                <w:sz w:val="24"/>
                <w:szCs w:val="24"/>
              </w:rPr>
              <w:t>−0.044***</w:t>
            </w:r>
          </w:p>
        </w:tc>
        <w:tc>
          <w:tcPr>
            <w:tcW w:w="908" w:type="pct"/>
            <w:hideMark/>
          </w:tcPr>
          <w:p w14:paraId="7AE60F76" w14:textId="77777777" w:rsidR="00154750" w:rsidRPr="00154750" w:rsidRDefault="00154750" w:rsidP="00154750">
            <w:pPr>
              <w:pStyle w:val="NoSpacing"/>
              <w:rPr>
                <w:sz w:val="24"/>
                <w:szCs w:val="24"/>
              </w:rPr>
            </w:pPr>
            <w:r w:rsidRPr="00154750">
              <w:rPr>
                <w:sz w:val="24"/>
                <w:szCs w:val="24"/>
              </w:rPr>
              <w:t>−5.05</w:t>
            </w:r>
          </w:p>
        </w:tc>
      </w:tr>
      <w:tr w:rsidR="00154750" w:rsidRPr="00154750" w14:paraId="25149E4D" w14:textId="77777777" w:rsidTr="00D96184">
        <w:tc>
          <w:tcPr>
            <w:tcW w:w="1169" w:type="pct"/>
            <w:hideMark/>
          </w:tcPr>
          <w:p w14:paraId="0B206715" w14:textId="77777777" w:rsidR="00154750" w:rsidRPr="00F24C44" w:rsidRDefault="00154750" w:rsidP="00154750">
            <w:pPr>
              <w:pStyle w:val="NoSpacing"/>
              <w:rPr>
                <w:i/>
                <w:iCs/>
                <w:sz w:val="24"/>
                <w:szCs w:val="24"/>
              </w:rPr>
            </w:pPr>
            <w:r w:rsidRPr="00F24C44">
              <w:rPr>
                <w:i/>
                <w:iCs/>
                <w:sz w:val="24"/>
                <w:szCs w:val="24"/>
              </w:rPr>
              <w:t>FREQ</w:t>
            </w:r>
          </w:p>
        </w:tc>
        <w:tc>
          <w:tcPr>
            <w:tcW w:w="1007" w:type="pct"/>
            <w:hideMark/>
          </w:tcPr>
          <w:p w14:paraId="751F564F" w14:textId="77777777" w:rsidR="00154750" w:rsidRPr="00154750" w:rsidRDefault="00154750" w:rsidP="00154750">
            <w:pPr>
              <w:pStyle w:val="NoSpacing"/>
              <w:rPr>
                <w:sz w:val="24"/>
                <w:szCs w:val="24"/>
              </w:rPr>
            </w:pPr>
            <w:r w:rsidRPr="00154750">
              <w:rPr>
                <w:sz w:val="24"/>
                <w:szCs w:val="24"/>
              </w:rPr>
              <w:t>−0.003</w:t>
            </w:r>
          </w:p>
        </w:tc>
        <w:tc>
          <w:tcPr>
            <w:tcW w:w="908" w:type="pct"/>
            <w:hideMark/>
          </w:tcPr>
          <w:p w14:paraId="4E3F120E" w14:textId="77777777" w:rsidR="00154750" w:rsidRPr="00154750" w:rsidRDefault="00154750" w:rsidP="00154750">
            <w:pPr>
              <w:pStyle w:val="NoSpacing"/>
              <w:rPr>
                <w:sz w:val="24"/>
                <w:szCs w:val="24"/>
              </w:rPr>
            </w:pPr>
            <w:r w:rsidRPr="00154750">
              <w:rPr>
                <w:sz w:val="24"/>
                <w:szCs w:val="24"/>
              </w:rPr>
              <w:t>−0.18</w:t>
            </w:r>
          </w:p>
        </w:tc>
        <w:tc>
          <w:tcPr>
            <w:tcW w:w="1007" w:type="pct"/>
            <w:hideMark/>
          </w:tcPr>
          <w:p w14:paraId="64A47894" w14:textId="77777777" w:rsidR="00154750" w:rsidRPr="00154750" w:rsidRDefault="00154750" w:rsidP="00154750">
            <w:pPr>
              <w:pStyle w:val="NoSpacing"/>
              <w:rPr>
                <w:sz w:val="24"/>
                <w:szCs w:val="24"/>
              </w:rPr>
            </w:pPr>
            <w:r w:rsidRPr="00154750">
              <w:rPr>
                <w:sz w:val="24"/>
                <w:szCs w:val="24"/>
              </w:rPr>
              <w:t>−0.001</w:t>
            </w:r>
          </w:p>
        </w:tc>
        <w:tc>
          <w:tcPr>
            <w:tcW w:w="908" w:type="pct"/>
            <w:hideMark/>
          </w:tcPr>
          <w:p w14:paraId="14B2A946" w14:textId="77777777" w:rsidR="00154750" w:rsidRPr="00154750" w:rsidRDefault="00154750" w:rsidP="00154750">
            <w:pPr>
              <w:pStyle w:val="NoSpacing"/>
              <w:rPr>
                <w:sz w:val="24"/>
                <w:szCs w:val="24"/>
              </w:rPr>
            </w:pPr>
            <w:r w:rsidRPr="00154750">
              <w:rPr>
                <w:sz w:val="24"/>
                <w:szCs w:val="24"/>
              </w:rPr>
              <w:t>−1.34</w:t>
            </w:r>
          </w:p>
        </w:tc>
      </w:tr>
      <w:tr w:rsidR="00154750" w:rsidRPr="00154750" w14:paraId="1F3E3D34" w14:textId="77777777" w:rsidTr="00D96184">
        <w:tc>
          <w:tcPr>
            <w:tcW w:w="1169" w:type="pct"/>
            <w:hideMark/>
          </w:tcPr>
          <w:p w14:paraId="2309A878" w14:textId="77777777" w:rsidR="00154750" w:rsidRPr="00154750" w:rsidRDefault="00154750" w:rsidP="00154750">
            <w:pPr>
              <w:pStyle w:val="NoSpacing"/>
              <w:rPr>
                <w:sz w:val="24"/>
                <w:szCs w:val="24"/>
              </w:rPr>
            </w:pPr>
            <w:r w:rsidRPr="00154750">
              <w:rPr>
                <w:sz w:val="24"/>
                <w:szCs w:val="24"/>
              </w:rPr>
              <w:t>Year FE</w:t>
            </w:r>
          </w:p>
        </w:tc>
        <w:tc>
          <w:tcPr>
            <w:tcW w:w="1007" w:type="pct"/>
            <w:hideMark/>
          </w:tcPr>
          <w:p w14:paraId="4490DBC9" w14:textId="77777777" w:rsidR="00154750" w:rsidRPr="00154750" w:rsidRDefault="00154750" w:rsidP="00154750">
            <w:pPr>
              <w:pStyle w:val="NoSpacing"/>
              <w:rPr>
                <w:sz w:val="24"/>
                <w:szCs w:val="24"/>
              </w:rPr>
            </w:pPr>
            <w:r w:rsidRPr="00154750">
              <w:rPr>
                <w:sz w:val="24"/>
                <w:szCs w:val="24"/>
              </w:rPr>
              <w:t>Yes</w:t>
            </w:r>
          </w:p>
        </w:tc>
        <w:tc>
          <w:tcPr>
            <w:tcW w:w="908" w:type="pct"/>
          </w:tcPr>
          <w:p w14:paraId="044C7FD8" w14:textId="7C1E87AA" w:rsidR="00154750" w:rsidRPr="00154750" w:rsidRDefault="00154750" w:rsidP="00154750">
            <w:pPr>
              <w:pStyle w:val="NoSpacing"/>
              <w:rPr>
                <w:sz w:val="24"/>
                <w:szCs w:val="24"/>
              </w:rPr>
            </w:pPr>
          </w:p>
        </w:tc>
        <w:tc>
          <w:tcPr>
            <w:tcW w:w="1007" w:type="pct"/>
            <w:hideMark/>
          </w:tcPr>
          <w:p w14:paraId="05D1426F" w14:textId="63C09E81" w:rsidR="00154750" w:rsidRPr="00154750" w:rsidRDefault="00154750" w:rsidP="00154750">
            <w:pPr>
              <w:pStyle w:val="NoSpacing"/>
              <w:rPr>
                <w:sz w:val="24"/>
                <w:szCs w:val="24"/>
              </w:rPr>
            </w:pPr>
            <w:r w:rsidRPr="00154750">
              <w:rPr>
                <w:sz w:val="24"/>
                <w:szCs w:val="24"/>
              </w:rPr>
              <w:t>Yes</w:t>
            </w:r>
          </w:p>
        </w:tc>
        <w:tc>
          <w:tcPr>
            <w:tcW w:w="908" w:type="pct"/>
            <w:hideMark/>
          </w:tcPr>
          <w:p w14:paraId="47EE624F" w14:textId="77777777" w:rsidR="00154750" w:rsidRPr="00154750" w:rsidRDefault="00154750" w:rsidP="00154750">
            <w:pPr>
              <w:pStyle w:val="NoSpacing"/>
              <w:rPr>
                <w:sz w:val="24"/>
                <w:szCs w:val="24"/>
              </w:rPr>
            </w:pPr>
          </w:p>
        </w:tc>
      </w:tr>
      <w:tr w:rsidR="00154750" w:rsidRPr="00154750" w14:paraId="4F49A802" w14:textId="77777777" w:rsidTr="00D96184">
        <w:tc>
          <w:tcPr>
            <w:tcW w:w="1169" w:type="pct"/>
            <w:hideMark/>
          </w:tcPr>
          <w:p w14:paraId="31BEB8D3" w14:textId="77777777" w:rsidR="00154750" w:rsidRPr="00154750" w:rsidRDefault="00154750" w:rsidP="00154750">
            <w:pPr>
              <w:pStyle w:val="NoSpacing"/>
              <w:rPr>
                <w:sz w:val="24"/>
                <w:szCs w:val="24"/>
              </w:rPr>
            </w:pPr>
            <w:r w:rsidRPr="00154750">
              <w:rPr>
                <w:sz w:val="24"/>
                <w:szCs w:val="24"/>
              </w:rPr>
              <w:t>Firm FE</w:t>
            </w:r>
          </w:p>
        </w:tc>
        <w:tc>
          <w:tcPr>
            <w:tcW w:w="1007" w:type="pct"/>
            <w:hideMark/>
          </w:tcPr>
          <w:p w14:paraId="7CC554AF" w14:textId="77777777" w:rsidR="00154750" w:rsidRPr="00154750" w:rsidRDefault="00154750" w:rsidP="00154750">
            <w:pPr>
              <w:pStyle w:val="NoSpacing"/>
              <w:rPr>
                <w:sz w:val="24"/>
                <w:szCs w:val="24"/>
              </w:rPr>
            </w:pPr>
            <w:r w:rsidRPr="00154750">
              <w:rPr>
                <w:sz w:val="24"/>
                <w:szCs w:val="24"/>
              </w:rPr>
              <w:t>Yes</w:t>
            </w:r>
          </w:p>
        </w:tc>
        <w:tc>
          <w:tcPr>
            <w:tcW w:w="908" w:type="pct"/>
          </w:tcPr>
          <w:p w14:paraId="394EBC34" w14:textId="3A477886" w:rsidR="00154750" w:rsidRPr="00154750" w:rsidRDefault="00154750" w:rsidP="00154750">
            <w:pPr>
              <w:pStyle w:val="NoSpacing"/>
              <w:rPr>
                <w:sz w:val="24"/>
                <w:szCs w:val="24"/>
              </w:rPr>
            </w:pPr>
          </w:p>
        </w:tc>
        <w:tc>
          <w:tcPr>
            <w:tcW w:w="1007" w:type="pct"/>
            <w:hideMark/>
          </w:tcPr>
          <w:p w14:paraId="1C96EFD5" w14:textId="6F8D9D9E" w:rsidR="00154750" w:rsidRPr="00154750" w:rsidRDefault="00154750" w:rsidP="00154750">
            <w:pPr>
              <w:pStyle w:val="NoSpacing"/>
              <w:rPr>
                <w:sz w:val="24"/>
                <w:szCs w:val="24"/>
              </w:rPr>
            </w:pPr>
            <w:r w:rsidRPr="00154750">
              <w:rPr>
                <w:sz w:val="24"/>
                <w:szCs w:val="24"/>
              </w:rPr>
              <w:t>Yes</w:t>
            </w:r>
          </w:p>
        </w:tc>
        <w:tc>
          <w:tcPr>
            <w:tcW w:w="908" w:type="pct"/>
            <w:hideMark/>
          </w:tcPr>
          <w:p w14:paraId="657B8928" w14:textId="77777777" w:rsidR="00154750" w:rsidRPr="00154750" w:rsidRDefault="00154750" w:rsidP="00154750">
            <w:pPr>
              <w:pStyle w:val="NoSpacing"/>
              <w:rPr>
                <w:sz w:val="24"/>
                <w:szCs w:val="24"/>
              </w:rPr>
            </w:pPr>
          </w:p>
        </w:tc>
      </w:tr>
      <w:tr w:rsidR="00154750" w:rsidRPr="00154750" w14:paraId="75BE2C74" w14:textId="77777777" w:rsidTr="00D96184">
        <w:tc>
          <w:tcPr>
            <w:tcW w:w="1169" w:type="pct"/>
            <w:hideMark/>
          </w:tcPr>
          <w:p w14:paraId="57BF44D1" w14:textId="77777777" w:rsidR="00154750" w:rsidRPr="00154750" w:rsidRDefault="00154750" w:rsidP="00154750">
            <w:pPr>
              <w:pStyle w:val="NoSpacing"/>
              <w:rPr>
                <w:sz w:val="24"/>
                <w:szCs w:val="24"/>
              </w:rPr>
            </w:pPr>
            <w:r w:rsidRPr="00154750">
              <w:rPr>
                <w:sz w:val="24"/>
                <w:szCs w:val="24"/>
              </w:rPr>
              <w:t>Observations</w:t>
            </w:r>
          </w:p>
        </w:tc>
        <w:tc>
          <w:tcPr>
            <w:tcW w:w="1007" w:type="pct"/>
            <w:hideMark/>
          </w:tcPr>
          <w:p w14:paraId="5FBFFBF0" w14:textId="77777777" w:rsidR="00154750" w:rsidRPr="00154750" w:rsidRDefault="00154750" w:rsidP="00154750">
            <w:pPr>
              <w:pStyle w:val="NoSpacing"/>
              <w:rPr>
                <w:sz w:val="24"/>
                <w:szCs w:val="24"/>
              </w:rPr>
            </w:pPr>
            <w:r w:rsidRPr="00154750">
              <w:rPr>
                <w:sz w:val="24"/>
                <w:szCs w:val="24"/>
              </w:rPr>
              <w:t>8,552</w:t>
            </w:r>
          </w:p>
        </w:tc>
        <w:tc>
          <w:tcPr>
            <w:tcW w:w="908" w:type="pct"/>
          </w:tcPr>
          <w:p w14:paraId="6331033F" w14:textId="62E77895" w:rsidR="00154750" w:rsidRPr="00154750" w:rsidRDefault="00154750" w:rsidP="00154750">
            <w:pPr>
              <w:pStyle w:val="NoSpacing"/>
              <w:rPr>
                <w:sz w:val="24"/>
                <w:szCs w:val="24"/>
              </w:rPr>
            </w:pPr>
          </w:p>
        </w:tc>
        <w:tc>
          <w:tcPr>
            <w:tcW w:w="1007" w:type="pct"/>
            <w:hideMark/>
          </w:tcPr>
          <w:p w14:paraId="6A5678A7" w14:textId="26E49FAD" w:rsidR="00154750" w:rsidRPr="00154750" w:rsidRDefault="00154750" w:rsidP="00154750">
            <w:pPr>
              <w:pStyle w:val="NoSpacing"/>
              <w:rPr>
                <w:sz w:val="24"/>
                <w:szCs w:val="24"/>
              </w:rPr>
            </w:pPr>
            <w:r w:rsidRPr="00154750">
              <w:rPr>
                <w:sz w:val="24"/>
                <w:szCs w:val="24"/>
              </w:rPr>
              <w:t>8,552</w:t>
            </w:r>
          </w:p>
        </w:tc>
        <w:tc>
          <w:tcPr>
            <w:tcW w:w="908" w:type="pct"/>
            <w:hideMark/>
          </w:tcPr>
          <w:p w14:paraId="125F86AC" w14:textId="77777777" w:rsidR="00154750" w:rsidRPr="00154750" w:rsidRDefault="00154750" w:rsidP="00154750">
            <w:pPr>
              <w:pStyle w:val="NoSpacing"/>
              <w:rPr>
                <w:sz w:val="24"/>
                <w:szCs w:val="24"/>
              </w:rPr>
            </w:pPr>
          </w:p>
        </w:tc>
      </w:tr>
      <w:tr w:rsidR="00154750" w:rsidRPr="00154750" w14:paraId="5CCC6725" w14:textId="77777777" w:rsidTr="00D96184">
        <w:tc>
          <w:tcPr>
            <w:tcW w:w="1169" w:type="pct"/>
            <w:hideMark/>
          </w:tcPr>
          <w:p w14:paraId="1BBC5248" w14:textId="77777777" w:rsidR="00154750" w:rsidRPr="00154750" w:rsidRDefault="00154750" w:rsidP="00154750">
            <w:pPr>
              <w:pStyle w:val="NoSpacing"/>
              <w:rPr>
                <w:sz w:val="24"/>
                <w:szCs w:val="24"/>
              </w:rPr>
            </w:pPr>
            <w:r w:rsidRPr="00154750">
              <w:rPr>
                <w:sz w:val="24"/>
                <w:szCs w:val="24"/>
              </w:rPr>
              <w:t>Adj. R</w:t>
            </w:r>
            <w:r w:rsidRPr="00154750">
              <w:rPr>
                <w:sz w:val="24"/>
                <w:szCs w:val="24"/>
                <w:vertAlign w:val="superscript"/>
              </w:rPr>
              <w:t>2</w:t>
            </w:r>
          </w:p>
        </w:tc>
        <w:tc>
          <w:tcPr>
            <w:tcW w:w="1007" w:type="pct"/>
            <w:hideMark/>
          </w:tcPr>
          <w:p w14:paraId="22AD5C9D" w14:textId="77777777" w:rsidR="00154750" w:rsidRPr="00154750" w:rsidRDefault="00154750" w:rsidP="00154750">
            <w:pPr>
              <w:pStyle w:val="NoSpacing"/>
              <w:rPr>
                <w:sz w:val="24"/>
                <w:szCs w:val="24"/>
              </w:rPr>
            </w:pPr>
            <w:r w:rsidRPr="00154750">
              <w:rPr>
                <w:sz w:val="24"/>
                <w:szCs w:val="24"/>
              </w:rPr>
              <w:t>0.715</w:t>
            </w:r>
          </w:p>
        </w:tc>
        <w:tc>
          <w:tcPr>
            <w:tcW w:w="908" w:type="pct"/>
          </w:tcPr>
          <w:p w14:paraId="6FC6BF4F" w14:textId="6509C60A" w:rsidR="00154750" w:rsidRPr="00154750" w:rsidRDefault="00154750" w:rsidP="00154750">
            <w:pPr>
              <w:pStyle w:val="NoSpacing"/>
              <w:rPr>
                <w:sz w:val="24"/>
                <w:szCs w:val="24"/>
              </w:rPr>
            </w:pPr>
          </w:p>
        </w:tc>
        <w:tc>
          <w:tcPr>
            <w:tcW w:w="1007" w:type="pct"/>
            <w:hideMark/>
          </w:tcPr>
          <w:p w14:paraId="36A63675" w14:textId="2BCE6B44" w:rsidR="00154750" w:rsidRPr="00154750" w:rsidRDefault="00154750" w:rsidP="00154750">
            <w:pPr>
              <w:pStyle w:val="NoSpacing"/>
              <w:rPr>
                <w:sz w:val="24"/>
                <w:szCs w:val="24"/>
              </w:rPr>
            </w:pPr>
            <w:r w:rsidRPr="00154750">
              <w:rPr>
                <w:sz w:val="24"/>
                <w:szCs w:val="24"/>
              </w:rPr>
              <w:t>0.733</w:t>
            </w:r>
          </w:p>
        </w:tc>
        <w:tc>
          <w:tcPr>
            <w:tcW w:w="908" w:type="pct"/>
            <w:hideMark/>
          </w:tcPr>
          <w:p w14:paraId="2183EA9E" w14:textId="77777777" w:rsidR="00154750" w:rsidRPr="00154750" w:rsidRDefault="00154750" w:rsidP="00154750">
            <w:pPr>
              <w:pStyle w:val="NoSpacing"/>
              <w:rPr>
                <w:sz w:val="24"/>
                <w:szCs w:val="24"/>
              </w:rPr>
            </w:pPr>
          </w:p>
        </w:tc>
      </w:tr>
    </w:tbl>
    <w:p w14:paraId="289DD5AD" w14:textId="2993B029" w:rsidR="00673F93" w:rsidRPr="00176368" w:rsidRDefault="00673F93" w:rsidP="00176368">
      <w:pPr>
        <w:pStyle w:val="NoSpacing"/>
      </w:pPr>
      <w:r w:rsidRPr="00176368">
        <w:t>This table reports the lead‐lag regression results of CSR and price informativeness (</w:t>
      </w:r>
      <m:oMath>
        <m:r>
          <m:rPr>
            <m:sty m:val="p"/>
          </m:rPr>
          <w:rPr>
            <w:rFonts w:ascii="Cambria Math" w:hAnsi="Cambria Math"/>
          </w:rPr>
          <m:t>Ψ</m:t>
        </m:r>
      </m:oMath>
      <w:r w:rsidRPr="00176368">
        <w:t xml:space="preserve"> and PIN). The sample period is from 1995 to 2010. Column (</w:t>
      </w:r>
      <w:hyperlink r:id="rId62" w:anchor="bib1" w:tooltip="1" w:history="1">
        <w:r w:rsidRPr="00176368">
          <w:rPr>
            <w:rStyle w:val="Hyperlink"/>
            <w:color w:val="auto"/>
            <w:u w:val="none"/>
          </w:rPr>
          <w:t>1</w:t>
        </w:r>
      </w:hyperlink>
      <w:r w:rsidRPr="00176368">
        <w:t xml:space="preserve">) reports the results with contemporaneous </w:t>
      </w:r>
      <m:oMath>
        <m:r>
          <m:rPr>
            <m:sty m:val="p"/>
          </m:rPr>
          <w:rPr>
            <w:rFonts w:ascii="Cambria Math" w:hAnsi="Cambria Math"/>
          </w:rPr>
          <m:t>Ψ</m:t>
        </m:r>
      </m:oMath>
      <w:r w:rsidRPr="00176368">
        <w:t xml:space="preserve"> as the dependent variable. Column (</w:t>
      </w:r>
      <w:hyperlink r:id="rId63" w:anchor="bib2" w:tooltip="2" w:history="1">
        <w:r w:rsidRPr="00176368">
          <w:rPr>
            <w:rStyle w:val="Hyperlink"/>
            <w:color w:val="auto"/>
            <w:u w:val="none"/>
          </w:rPr>
          <w:t>2</w:t>
        </w:r>
      </w:hyperlink>
      <w:r w:rsidRPr="00176368">
        <w:t>) displays the results with contemporaneous PIN as the dependent variable. </w:t>
      </w:r>
      <m:oMath>
        <m:sSub>
          <m:sSubPr>
            <m:ctrlPr>
              <w:rPr>
                <w:rFonts w:ascii="Cambria Math" w:hAnsi="Cambria Math"/>
              </w:rPr>
            </m:ctrlPr>
          </m:sSubPr>
          <m:e>
            <m:r>
              <w:rPr>
                <w:rFonts w:ascii="Cambria Math" w:hAnsi="Cambria Math"/>
              </w:rPr>
              <m:t>CSR</m:t>
            </m:r>
          </m:e>
          <m:sub>
            <m:r>
              <w:rPr>
                <w:rFonts w:ascii="Cambria Math" w:hAnsi="Cambria Math"/>
              </w:rPr>
              <m:t>t</m:t>
            </m:r>
            <m:r>
              <m:rPr>
                <m:sty m:val="p"/>
              </m:rPr>
              <w:rPr>
                <w:rFonts w:ascii="Cambria Math" w:hAnsi="Cambria Math"/>
              </w:rPr>
              <m:t>+1</m:t>
            </m:r>
          </m:sub>
        </m:sSub>
      </m:oMath>
      <w:r w:rsidRPr="00176368">
        <w:t>, </w:t>
      </w:r>
      <m:oMath>
        <m:sSub>
          <m:sSubPr>
            <m:ctrlPr>
              <w:rPr>
                <w:rFonts w:ascii="Cambria Math" w:hAnsi="Cambria Math"/>
              </w:rPr>
            </m:ctrlPr>
          </m:sSubPr>
          <m:e>
            <m:r>
              <w:rPr>
                <w:rFonts w:ascii="Cambria Math" w:hAnsi="Cambria Math"/>
              </w:rPr>
              <m:t>CSR</m:t>
            </m:r>
          </m:e>
          <m:sub>
            <m:r>
              <w:rPr>
                <w:rFonts w:ascii="Cambria Math" w:hAnsi="Cambria Math"/>
              </w:rPr>
              <m:t>t</m:t>
            </m:r>
          </m:sub>
        </m:sSub>
      </m:oMath>
      <w:r w:rsidRPr="00176368">
        <w:t> and </w:t>
      </w:r>
      <m:oMath>
        <m:sSub>
          <m:sSubPr>
            <m:ctrlPr>
              <w:rPr>
                <w:rFonts w:ascii="Cambria Math" w:hAnsi="Cambria Math"/>
              </w:rPr>
            </m:ctrlPr>
          </m:sSubPr>
          <m:e>
            <m:r>
              <w:rPr>
                <w:rFonts w:ascii="Cambria Math" w:hAnsi="Cambria Math"/>
              </w:rPr>
              <m:t>CSR</m:t>
            </m:r>
          </m:e>
          <m:sub>
            <m:r>
              <w:rPr>
                <w:rFonts w:ascii="Cambria Math" w:hAnsi="Cambria Math"/>
              </w:rPr>
              <m:t>t</m:t>
            </m:r>
            <m:r>
              <m:rPr>
                <m:sty m:val="p"/>
              </m:rPr>
              <w:rPr>
                <w:rFonts w:ascii="Cambria Math" w:hAnsi="Cambria Math"/>
              </w:rPr>
              <m:t>-1</m:t>
            </m:r>
          </m:sub>
        </m:sSub>
      </m:oMath>
      <w:r w:rsidRPr="00176368">
        <w:t> are the lead, current and lagged CSR scores, respectively. Control variables generally lag dependent variables by 1 year as described in Equation (</w:t>
      </w:r>
      <w:hyperlink r:id="rId64" w:anchor="bib5" w:tooltip="5" w:history="1">
        <w:r w:rsidRPr="00176368">
          <w:rPr>
            <w:rStyle w:val="Hyperlink"/>
            <w:color w:val="auto"/>
            <w:u w:val="none"/>
          </w:rPr>
          <w:t>5</w:t>
        </w:r>
      </w:hyperlink>
      <w:r w:rsidRPr="00176368">
        <w:t>). Detailed variable definitions, including control variables, are described in the Appendix. Standard errors are adjusted for heteroskedasticity and clustered by firm. ***, ** and * denote statistical significance at the 1, 5 and 10 percent levels.</w:t>
      </w:r>
    </w:p>
    <w:p w14:paraId="1A9A3AB5" w14:textId="77777777" w:rsidR="00154750" w:rsidRPr="00673F93" w:rsidRDefault="00154750" w:rsidP="00673F93">
      <w:pPr>
        <w:rPr>
          <w:rFonts w:cstheme="minorHAnsi"/>
          <w:sz w:val="24"/>
          <w:szCs w:val="24"/>
        </w:rPr>
      </w:pPr>
    </w:p>
    <w:p w14:paraId="4A1B2284" w14:textId="77777777" w:rsidR="00673F93" w:rsidRPr="00154750" w:rsidRDefault="00D71504" w:rsidP="00154750">
      <w:pPr>
        <w:pStyle w:val="Heading2"/>
      </w:pPr>
      <w:hyperlink r:id="rId65" w:anchor="toc" w:tooltip="Propensity score matched sample" w:history="1">
        <w:r w:rsidR="00673F93" w:rsidRPr="00154750">
          <w:rPr>
            <w:rStyle w:val="Hyperlink"/>
            <w:color w:val="262626" w:themeColor="text1" w:themeTint="D9"/>
            <w:u w:val="none"/>
          </w:rPr>
          <w:t xml:space="preserve">Propensity </w:t>
        </w:r>
        <w:proofErr w:type="gramStart"/>
        <w:r w:rsidR="00673F93" w:rsidRPr="00154750">
          <w:rPr>
            <w:rStyle w:val="Hyperlink"/>
            <w:color w:val="262626" w:themeColor="text1" w:themeTint="D9"/>
            <w:u w:val="none"/>
          </w:rPr>
          <w:t>score</w:t>
        </w:r>
        <w:proofErr w:type="gramEnd"/>
        <w:r w:rsidR="00673F93" w:rsidRPr="00154750">
          <w:rPr>
            <w:rStyle w:val="Hyperlink"/>
            <w:color w:val="262626" w:themeColor="text1" w:themeTint="D9"/>
            <w:u w:val="none"/>
          </w:rPr>
          <w:t xml:space="preserve"> matched sample</w:t>
        </w:r>
      </w:hyperlink>
    </w:p>
    <w:p w14:paraId="5311E0FE" w14:textId="52E81234" w:rsidR="00176368" w:rsidRPr="00673F93" w:rsidRDefault="00673F93" w:rsidP="00673F93">
      <w:pPr>
        <w:rPr>
          <w:rFonts w:cstheme="minorHAnsi"/>
          <w:sz w:val="24"/>
          <w:szCs w:val="24"/>
        </w:rPr>
      </w:pPr>
      <w:r w:rsidRPr="00673F93">
        <w:rPr>
          <w:rFonts w:cstheme="minorHAnsi"/>
          <w:sz w:val="24"/>
          <w:szCs w:val="24"/>
        </w:rPr>
        <w:t>To address potential endogeneity concerns of the observed positive association between CSR and informative stock prices, we use a propensity score matched (PSM) sample. We begin by estimating the likelihood of a firm having high CSR using a probit model:</w:t>
      </w:r>
    </w:p>
    <w:p w14:paraId="64C91B9B" w14:textId="386ECA2C" w:rsidR="00673F93" w:rsidRPr="00673F93" w:rsidRDefault="00176368" w:rsidP="00673F93">
      <w:pPr>
        <w:rPr>
          <w:rFonts w:cstheme="minorHAnsi"/>
          <w:sz w:val="24"/>
          <w:szCs w:val="24"/>
        </w:rPr>
      </w:pPr>
      <w:r>
        <w:rPr>
          <w:rFonts w:cstheme="minorHAnsi"/>
          <w:sz w:val="24"/>
          <w:szCs w:val="24"/>
        </w:rPr>
        <w:t>(</w:t>
      </w:r>
      <w:r w:rsidR="00673F93" w:rsidRPr="00673F93">
        <w:rPr>
          <w:rFonts w:cstheme="minorHAnsi"/>
          <w:sz w:val="24"/>
          <w:szCs w:val="24"/>
        </w:rPr>
        <w:t>8</w:t>
      </w:r>
      <w:r>
        <w:rPr>
          <w:rFonts w:cstheme="minorHAnsi"/>
          <w:sz w:val="24"/>
          <w:szCs w:val="24"/>
        </w:rPr>
        <w:t xml:space="preserve">) </w:t>
      </w:r>
      <m:oMath>
        <m:m>
          <m:mPr>
            <m:mcs>
              <m:mc>
                <m:mcPr>
                  <m:count m:val="1"/>
                  <m:mcJc m:val="center"/>
                </m:mcPr>
              </m:mc>
            </m:mcs>
            <m:ctrlPr>
              <w:rPr>
                <w:rFonts w:ascii="Cambria Math" w:hAnsi="Cambria Math" w:cstheme="minorHAnsi"/>
                <w:i/>
                <w:sz w:val="24"/>
                <w:szCs w:val="24"/>
              </w:rPr>
            </m:ctrlPr>
          </m:mPr>
          <m:mr>
            <m:e>
              <m:r>
                <m:rPr>
                  <m:sty m:val="p"/>
                </m:rPr>
                <w:rPr>
                  <w:rFonts w:ascii="Cambria Math" w:hAnsi="Cambria Math" w:cstheme="minorHAnsi"/>
                  <w:sz w:val="24"/>
                  <w:szCs w:val="24"/>
                </w:rPr>
                <m:t>Prob</m:t>
              </m:r>
              <m:sSub>
                <m:sSubPr>
                  <m:ctrlPr>
                    <w:rPr>
                      <w:rFonts w:ascii="Cambria Math" w:hAnsi="Cambria Math" w:cstheme="minorHAnsi"/>
                      <w:i/>
                      <w:sz w:val="24"/>
                      <w:szCs w:val="24"/>
                    </w:rPr>
                  </m:ctrlPr>
                </m:sSubPr>
                <m:e>
                  <m:d>
                    <m:dPr>
                      <m:ctrlPr>
                        <w:rPr>
                          <w:rFonts w:ascii="Cambria Math" w:hAnsi="Cambria Math" w:cstheme="minorHAnsi"/>
                          <w:i/>
                          <w:sz w:val="24"/>
                          <w:szCs w:val="24"/>
                        </w:rPr>
                      </m:ctrlPr>
                    </m:dPr>
                    <m:e>
                      <m:r>
                        <w:rPr>
                          <w:rFonts w:ascii="Cambria Math" w:hAnsi="Cambria Math" w:cstheme="minorHAnsi"/>
                          <w:sz w:val="24"/>
                          <w:szCs w:val="24"/>
                        </w:rPr>
                        <m:t>High CSR=1</m:t>
                      </m:r>
                    </m:e>
                  </m:d>
                </m:e>
                <m:sub>
                  <m:r>
                    <w:rPr>
                      <w:rFonts w:ascii="Cambria Math" w:hAnsi="Cambria Math" w:cstheme="minorHAnsi"/>
                      <w:sz w:val="24"/>
                      <w:szCs w:val="24"/>
                    </w:rPr>
                    <m:t>i,t</m:t>
                  </m:r>
                </m:sub>
              </m:sSub>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
            </m:e>
          </m:mr>
        </m:m>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sSub>
                <m:sSubPr>
                  <m:ctrlPr>
                    <w:rPr>
                      <w:rFonts w:ascii="Cambria Math" w:hAnsi="Cambria Math" w:cstheme="minorHAnsi"/>
                      <w:i/>
                      <w:sz w:val="24"/>
                      <w:szCs w:val="24"/>
                    </w:rPr>
                  </m:ctrlPr>
                </m:sSubPr>
                <m:e>
                  <m:r>
                    <w:rPr>
                      <w:rFonts w:ascii="Cambria Math" w:hAnsi="Cambria Math" w:cstheme="minorHAnsi"/>
                      <w:sz w:val="24"/>
                      <w:szCs w:val="24"/>
                    </w:rPr>
                    <m:t>ATO</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sSub>
                <m:sSubPr>
                  <m:ctrlPr>
                    <w:rPr>
                      <w:rFonts w:ascii="Cambria Math" w:hAnsi="Cambria Math" w:cstheme="minorHAnsi"/>
                      <w:i/>
                      <w:sz w:val="24"/>
                      <w:szCs w:val="24"/>
                    </w:rPr>
                  </m:ctrlPr>
                </m:sSubPr>
                <m:e>
                  <m:r>
                    <w:rPr>
                      <w:rFonts w:ascii="Cambria Math" w:hAnsi="Cambria Math" w:cstheme="minorHAnsi"/>
                      <w:sz w:val="24"/>
                      <w:szCs w:val="24"/>
                    </w:rPr>
                    <m:t>PM</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3</m:t>
                  </m:r>
                </m:sub>
              </m:sSub>
              <m:sSub>
                <m:sSubPr>
                  <m:ctrlPr>
                    <w:rPr>
                      <w:rFonts w:ascii="Cambria Math" w:hAnsi="Cambria Math" w:cstheme="minorHAnsi"/>
                      <w:i/>
                      <w:sz w:val="24"/>
                      <w:szCs w:val="24"/>
                    </w:rPr>
                  </m:ctrlPr>
                </m:sSubPr>
                <m:e>
                  <m:r>
                    <w:rPr>
                      <w:rFonts w:ascii="Cambria Math" w:hAnsi="Cambria Math" w:cstheme="minorHAnsi"/>
                      <w:sz w:val="24"/>
                      <w:szCs w:val="24"/>
                    </w:rPr>
                    <m:t>CASH</m:t>
                  </m:r>
                </m:e>
                <m:sub>
                  <m:r>
                    <w:rPr>
                      <w:rFonts w:ascii="Cambria Math" w:hAnsi="Cambria Math" w:cstheme="minorHAnsi"/>
                      <w:sz w:val="24"/>
                      <w:szCs w:val="24"/>
                    </w:rPr>
                    <m:t>i,t</m:t>
                  </m:r>
                </m:sub>
              </m:sSub>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4</m:t>
                  </m:r>
                </m:sub>
              </m:sSub>
              <m:sSub>
                <m:sSubPr>
                  <m:ctrlPr>
                    <w:rPr>
                      <w:rFonts w:ascii="Cambria Math" w:hAnsi="Cambria Math" w:cstheme="minorHAnsi"/>
                      <w:i/>
                      <w:sz w:val="24"/>
                      <w:szCs w:val="24"/>
                    </w:rPr>
                  </m:ctrlPr>
                </m:sSubPr>
                <m:e>
                  <m:r>
                    <w:rPr>
                      <w:rFonts w:ascii="Cambria Math" w:hAnsi="Cambria Math" w:cstheme="minorHAnsi"/>
                      <w:sz w:val="24"/>
                      <w:szCs w:val="24"/>
                    </w:rPr>
                    <m:t>CFO</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5</m:t>
                  </m:r>
                </m:sub>
              </m:sSub>
              <m:sSub>
                <m:sSubPr>
                  <m:ctrlPr>
                    <w:rPr>
                      <w:rFonts w:ascii="Cambria Math" w:hAnsi="Cambria Math" w:cstheme="minorHAnsi"/>
                      <w:i/>
                      <w:sz w:val="24"/>
                      <w:szCs w:val="24"/>
                    </w:rPr>
                  </m:ctrlPr>
                </m:sSubPr>
                <m:e>
                  <m:r>
                    <w:rPr>
                      <w:rFonts w:ascii="Cambria Math" w:hAnsi="Cambria Math" w:cstheme="minorHAnsi"/>
                      <w:sz w:val="24"/>
                      <w:szCs w:val="24"/>
                    </w:rPr>
                    <m:t>LEV</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6</m:t>
                  </m:r>
                </m:sub>
              </m:sSub>
              <m:sSub>
                <m:sSubPr>
                  <m:ctrlPr>
                    <w:rPr>
                      <w:rFonts w:ascii="Cambria Math" w:hAnsi="Cambria Math" w:cstheme="minorHAnsi"/>
                      <w:i/>
                      <w:sz w:val="24"/>
                      <w:szCs w:val="24"/>
                    </w:rPr>
                  </m:ctrlPr>
                </m:sSubPr>
                <m:e>
                  <m:r>
                    <w:rPr>
                      <w:rFonts w:ascii="Cambria Math" w:hAnsi="Cambria Math" w:cstheme="minorHAnsi"/>
                      <w:sz w:val="24"/>
                      <w:szCs w:val="24"/>
                    </w:rPr>
                    <m:t>MB</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7</m:t>
                  </m:r>
                </m:sub>
              </m:sSub>
              <m:sSub>
                <m:sSubPr>
                  <m:ctrlPr>
                    <w:rPr>
                      <w:rFonts w:ascii="Cambria Math" w:hAnsi="Cambria Math" w:cstheme="minorHAnsi"/>
                      <w:i/>
                      <w:sz w:val="24"/>
                      <w:szCs w:val="24"/>
                    </w:rPr>
                  </m:ctrlPr>
                </m:sSubPr>
                <m:e>
                  <m:r>
                    <w:rPr>
                      <w:rFonts w:ascii="Cambria Math" w:hAnsi="Cambria Math" w:cstheme="minorHAnsi"/>
                      <w:sz w:val="24"/>
                      <w:szCs w:val="24"/>
                    </w:rPr>
                    <m:t>SIZE</m:t>
                  </m:r>
                </m:e>
                <m:sub>
                  <m:r>
                    <w:rPr>
                      <w:rFonts w:ascii="Cambria Math" w:hAnsi="Cambria Math" w:cstheme="minorHAnsi"/>
                      <w:sz w:val="24"/>
                      <w:szCs w:val="24"/>
                    </w:rPr>
                    <m:t>i,t</m:t>
                  </m:r>
                </m:sub>
              </m:sSub>
            </m:e>
          </m:mr>
          <m:mr>
            <m:e>
              <m:m>
                <m:mPr>
                  <m:mcs>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8</m:t>
                        </m:r>
                      </m:sub>
                    </m:sSub>
                    <m:sSub>
                      <m:sSubPr>
                        <m:ctrlPr>
                          <w:rPr>
                            <w:rFonts w:ascii="Cambria Math" w:hAnsi="Cambria Math" w:cstheme="minorHAnsi"/>
                            <w:i/>
                            <w:sz w:val="24"/>
                            <w:szCs w:val="24"/>
                          </w:rPr>
                        </m:ctrlPr>
                      </m:sSubPr>
                      <m:e>
                        <m:r>
                          <w:rPr>
                            <w:rFonts w:ascii="Cambria Math" w:hAnsi="Cambria Math" w:cstheme="minorHAnsi"/>
                            <w:sz w:val="24"/>
                            <w:szCs w:val="24"/>
                          </w:rPr>
                          <m:t>RD</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9</m:t>
                        </m:r>
                      </m:sub>
                    </m:sSub>
                    <m:sSub>
                      <m:sSubPr>
                        <m:ctrlPr>
                          <w:rPr>
                            <w:rFonts w:ascii="Cambria Math" w:hAnsi="Cambria Math" w:cstheme="minorHAnsi"/>
                            <w:i/>
                            <w:sz w:val="24"/>
                            <w:szCs w:val="24"/>
                          </w:rPr>
                        </m:ctrlPr>
                      </m:sSubPr>
                      <m:e>
                        <m:r>
                          <w:rPr>
                            <w:rFonts w:ascii="Cambria Math" w:hAnsi="Cambria Math" w:cstheme="minorHAnsi"/>
                            <w:sz w:val="24"/>
                            <w:szCs w:val="24"/>
                          </w:rPr>
                          <m:t>ADVERTISING</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10</m:t>
                        </m:r>
                      </m:sub>
                    </m:sSub>
                    <m:sSub>
                      <m:sSubPr>
                        <m:ctrlPr>
                          <w:rPr>
                            <w:rFonts w:ascii="Cambria Math" w:hAnsi="Cambria Math" w:cstheme="minorHAnsi"/>
                            <w:i/>
                            <w:sz w:val="24"/>
                            <w:szCs w:val="24"/>
                          </w:rPr>
                        </m:ctrlPr>
                      </m:sSubPr>
                      <m:e>
                        <m:r>
                          <w:rPr>
                            <w:rFonts w:ascii="Cambria Math" w:hAnsi="Cambria Math" w:cstheme="minorHAnsi"/>
                            <w:sz w:val="24"/>
                            <w:szCs w:val="24"/>
                          </w:rPr>
                          <m:t>LIT</m:t>
                        </m:r>
                      </m:e>
                      <m:sub>
                        <m:r>
                          <w:rPr>
                            <w:rFonts w:ascii="Cambria Math" w:hAnsi="Cambria Math" w:cstheme="minorHAnsi"/>
                            <w:sz w:val="24"/>
                            <w:szCs w:val="24"/>
                          </w:rPr>
                          <m:t>i,t</m:t>
                        </m:r>
                      </m:sub>
                    </m:sSub>
                  </m:e>
                </m:mr>
                <m:mr>
                  <m:e>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11</m:t>
                        </m:r>
                      </m:sub>
                    </m:sSub>
                    <m:sSub>
                      <m:sSubPr>
                        <m:ctrlPr>
                          <w:rPr>
                            <w:rFonts w:ascii="Cambria Math" w:hAnsi="Cambria Math" w:cstheme="minorHAnsi"/>
                            <w:i/>
                            <w:sz w:val="24"/>
                            <w:szCs w:val="24"/>
                          </w:rPr>
                        </m:ctrlPr>
                      </m:sSubPr>
                      <m:e>
                        <m:r>
                          <w:rPr>
                            <w:rFonts w:ascii="Cambria Math" w:hAnsi="Cambria Math" w:cstheme="minorHAnsi"/>
                            <w:sz w:val="24"/>
                            <w:szCs w:val="24"/>
                          </w:rPr>
                          <m:t>CGSCORE</m:t>
                        </m:r>
                      </m:e>
                      <m:sub>
                        <m:r>
                          <w:rPr>
                            <w:rFonts w:ascii="Cambria Math" w:hAnsi="Cambria Math" w:cstheme="minorHAnsi"/>
                            <w:sz w:val="24"/>
                            <w:szCs w:val="24"/>
                          </w:rPr>
                          <m:t>i,t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ε</m:t>
                        </m:r>
                      </m:e>
                      <m:sub>
                        <m:r>
                          <w:rPr>
                            <w:rFonts w:ascii="Cambria Math" w:hAnsi="Cambria Math" w:cstheme="minorHAnsi"/>
                            <w:sz w:val="24"/>
                            <w:szCs w:val="24"/>
                          </w:rPr>
                          <m:t>i,t</m:t>
                        </m:r>
                      </m:sub>
                    </m:sSub>
                  </m:e>
                </m:mr>
              </m:m>
            </m:e>
          </m:mr>
        </m:m>
      </m:oMath>
    </w:p>
    <w:p w14:paraId="1234E40D" w14:textId="201A686C" w:rsidR="00673F93" w:rsidRPr="00673F93" w:rsidRDefault="00673F93" w:rsidP="00673F93">
      <w:pPr>
        <w:rPr>
          <w:rFonts w:cstheme="minorHAnsi"/>
          <w:sz w:val="24"/>
          <w:szCs w:val="24"/>
        </w:rPr>
      </w:pPr>
      <w:r w:rsidRPr="00673F93">
        <w:rPr>
          <w:rFonts w:cstheme="minorHAnsi"/>
          <w:sz w:val="24"/>
          <w:szCs w:val="24"/>
        </w:rPr>
        <w:t>where </w:t>
      </w:r>
      <m:oMath>
        <m:r>
          <w:rPr>
            <w:rFonts w:ascii="Cambria Math" w:hAnsi="Cambria Math" w:cstheme="minorHAnsi"/>
            <w:sz w:val="24"/>
            <w:szCs w:val="24"/>
          </w:rPr>
          <m:t>i</m:t>
        </m:r>
      </m:oMath>
      <w:r w:rsidR="005A3923">
        <w:rPr>
          <w:rFonts w:cstheme="minorHAnsi"/>
          <w:i/>
          <w:iCs/>
          <w:sz w:val="24"/>
          <w:szCs w:val="24"/>
        </w:rPr>
        <w:t xml:space="preserve"> </w:t>
      </w:r>
      <w:r w:rsidR="005A3923" w:rsidRPr="00673F93">
        <w:rPr>
          <w:rFonts w:cstheme="minorHAnsi"/>
          <w:sz w:val="24"/>
          <w:szCs w:val="24"/>
        </w:rPr>
        <w:t>indexes</w:t>
      </w:r>
      <w:r w:rsidRPr="00673F93">
        <w:rPr>
          <w:rFonts w:cstheme="minorHAnsi"/>
          <w:sz w:val="24"/>
          <w:szCs w:val="24"/>
        </w:rPr>
        <w:t xml:space="preserve"> the firm and </w:t>
      </w:r>
      <m:oMath>
        <m:r>
          <w:rPr>
            <w:rFonts w:ascii="Cambria Math" w:hAnsi="Cambria Math" w:cstheme="minorHAnsi"/>
            <w:sz w:val="24"/>
            <w:szCs w:val="24"/>
          </w:rPr>
          <m:t>t</m:t>
        </m:r>
      </m:oMath>
      <w:r w:rsidR="005A3923">
        <w:rPr>
          <w:rFonts w:cstheme="minorHAnsi"/>
          <w:i/>
          <w:iCs/>
          <w:sz w:val="24"/>
          <w:szCs w:val="24"/>
        </w:rPr>
        <w:t xml:space="preserve"> </w:t>
      </w:r>
      <w:r w:rsidR="005A3923" w:rsidRPr="00673F93">
        <w:rPr>
          <w:rFonts w:cstheme="minorHAnsi"/>
          <w:sz w:val="24"/>
          <w:szCs w:val="24"/>
        </w:rPr>
        <w:t>indexes</w:t>
      </w:r>
      <w:r w:rsidRPr="00673F93">
        <w:rPr>
          <w:rFonts w:cstheme="minorHAnsi"/>
          <w:sz w:val="24"/>
          <w:szCs w:val="24"/>
        </w:rPr>
        <w:t xml:space="preserve"> the year. </w:t>
      </w:r>
      <w:r w:rsidRPr="00673F93">
        <w:rPr>
          <w:rFonts w:cstheme="minorHAnsi"/>
          <w:i/>
          <w:iCs/>
          <w:sz w:val="24"/>
          <w:szCs w:val="24"/>
        </w:rPr>
        <w:t>High CSR</w:t>
      </w:r>
      <w:r w:rsidRPr="00673F93">
        <w:rPr>
          <w:rFonts w:cstheme="minorHAnsi"/>
          <w:sz w:val="24"/>
          <w:szCs w:val="24"/>
        </w:rPr>
        <w:t> is coded as one if CSR is greater than the median and zero otherwise. Our prediction model for CSR is based on the model developed by Lys </w:t>
      </w:r>
      <w:r w:rsidR="005A3923">
        <w:rPr>
          <w:rFonts w:cstheme="minorHAnsi"/>
          <w:i/>
          <w:iCs/>
          <w:sz w:val="24"/>
          <w:szCs w:val="24"/>
        </w:rPr>
        <w:t xml:space="preserve">et al. </w:t>
      </w:r>
      <w:r w:rsidRPr="00673F93">
        <w:rPr>
          <w:rFonts w:cstheme="minorHAnsi"/>
          <w:sz w:val="24"/>
          <w:szCs w:val="24"/>
        </w:rPr>
        <w:t>(2015), which synthesises the determinants of CSR documented in the previously literature. Specifically, these determinants are sales to assets (</w:t>
      </w:r>
      <w:r w:rsidRPr="00673F93">
        <w:rPr>
          <w:rFonts w:cstheme="minorHAnsi"/>
          <w:i/>
          <w:iCs/>
          <w:sz w:val="24"/>
          <w:szCs w:val="24"/>
        </w:rPr>
        <w:t>ATO</w:t>
      </w:r>
      <w:r w:rsidRPr="00673F93">
        <w:rPr>
          <w:rFonts w:cstheme="minorHAnsi"/>
          <w:sz w:val="24"/>
          <w:szCs w:val="24"/>
        </w:rPr>
        <w:t>), profit margin (</w:t>
      </w:r>
      <w:r w:rsidRPr="00673F93">
        <w:rPr>
          <w:rFonts w:cstheme="minorHAnsi"/>
          <w:i/>
          <w:iCs/>
          <w:sz w:val="24"/>
          <w:szCs w:val="24"/>
        </w:rPr>
        <w:t>PM</w:t>
      </w:r>
      <w:r w:rsidRPr="00673F93">
        <w:rPr>
          <w:rFonts w:cstheme="minorHAnsi"/>
          <w:sz w:val="24"/>
          <w:szCs w:val="24"/>
        </w:rPr>
        <w:t>), cash holdings (</w:t>
      </w:r>
      <w:r w:rsidRPr="00673F93">
        <w:rPr>
          <w:rFonts w:cstheme="minorHAnsi"/>
          <w:i/>
          <w:iCs/>
          <w:sz w:val="24"/>
          <w:szCs w:val="24"/>
        </w:rPr>
        <w:t>CASH</w:t>
      </w:r>
      <w:r w:rsidRPr="00673F93">
        <w:rPr>
          <w:rFonts w:cstheme="minorHAnsi"/>
          <w:sz w:val="24"/>
          <w:szCs w:val="24"/>
        </w:rPr>
        <w:t>), operating cash flows (</w:t>
      </w:r>
      <w:r w:rsidRPr="00673F93">
        <w:rPr>
          <w:rFonts w:cstheme="minorHAnsi"/>
          <w:i/>
          <w:iCs/>
          <w:sz w:val="24"/>
          <w:szCs w:val="24"/>
        </w:rPr>
        <w:t>CFO</w:t>
      </w:r>
      <w:r w:rsidRPr="00673F93">
        <w:rPr>
          <w:rFonts w:cstheme="minorHAnsi"/>
          <w:sz w:val="24"/>
          <w:szCs w:val="24"/>
        </w:rPr>
        <w:t>), book leverage (</w:t>
      </w:r>
      <w:r w:rsidRPr="00673F93">
        <w:rPr>
          <w:rFonts w:cstheme="minorHAnsi"/>
          <w:i/>
          <w:iCs/>
          <w:sz w:val="24"/>
          <w:szCs w:val="24"/>
        </w:rPr>
        <w:t>LEV</w:t>
      </w:r>
      <w:r w:rsidRPr="00673F93">
        <w:rPr>
          <w:rFonts w:cstheme="minorHAnsi"/>
          <w:sz w:val="24"/>
          <w:szCs w:val="24"/>
        </w:rPr>
        <w:t>), market‐to‐book (</w:t>
      </w:r>
      <w:r w:rsidRPr="00673F93">
        <w:rPr>
          <w:rFonts w:cstheme="minorHAnsi"/>
          <w:i/>
          <w:iCs/>
          <w:sz w:val="24"/>
          <w:szCs w:val="24"/>
        </w:rPr>
        <w:t>MB</w:t>
      </w:r>
      <w:r w:rsidRPr="00673F93">
        <w:rPr>
          <w:rFonts w:cstheme="minorHAnsi"/>
          <w:sz w:val="24"/>
          <w:szCs w:val="24"/>
        </w:rPr>
        <w:t>), firm size (</w:t>
      </w:r>
      <w:r w:rsidRPr="00673F93">
        <w:rPr>
          <w:rFonts w:cstheme="minorHAnsi"/>
          <w:i/>
          <w:iCs/>
          <w:sz w:val="24"/>
          <w:szCs w:val="24"/>
        </w:rPr>
        <w:t>SIZE</w:t>
      </w:r>
      <w:r w:rsidRPr="00673F93">
        <w:rPr>
          <w:rFonts w:cstheme="minorHAnsi"/>
          <w:sz w:val="24"/>
          <w:szCs w:val="24"/>
        </w:rPr>
        <w:t>), research and development expenses (</w:t>
      </w:r>
      <w:r w:rsidRPr="00673F93">
        <w:rPr>
          <w:rFonts w:cstheme="minorHAnsi"/>
          <w:i/>
          <w:iCs/>
          <w:sz w:val="24"/>
          <w:szCs w:val="24"/>
        </w:rPr>
        <w:t>RD</w:t>
      </w:r>
      <w:r w:rsidRPr="00673F93">
        <w:rPr>
          <w:rFonts w:cstheme="minorHAnsi"/>
          <w:sz w:val="24"/>
          <w:szCs w:val="24"/>
        </w:rPr>
        <w:t>), advertising (</w:t>
      </w:r>
      <w:r w:rsidRPr="00673F93">
        <w:rPr>
          <w:rFonts w:cstheme="minorHAnsi"/>
          <w:i/>
          <w:iCs/>
          <w:sz w:val="24"/>
          <w:szCs w:val="24"/>
        </w:rPr>
        <w:t>ADVERTISING</w:t>
      </w:r>
      <w:r w:rsidRPr="00673F93">
        <w:rPr>
          <w:rFonts w:cstheme="minorHAnsi"/>
          <w:sz w:val="24"/>
          <w:szCs w:val="24"/>
        </w:rPr>
        <w:t>), litigation expenses (</w:t>
      </w:r>
      <w:r w:rsidRPr="00673F93">
        <w:rPr>
          <w:rFonts w:cstheme="minorHAnsi"/>
          <w:i/>
          <w:iCs/>
          <w:sz w:val="24"/>
          <w:szCs w:val="24"/>
        </w:rPr>
        <w:t>LIT</w:t>
      </w:r>
      <w:r w:rsidRPr="00673F93">
        <w:rPr>
          <w:rFonts w:cstheme="minorHAnsi"/>
          <w:sz w:val="24"/>
          <w:szCs w:val="24"/>
        </w:rPr>
        <w:t>) and corporate governance (</w:t>
      </w:r>
      <w:r w:rsidRPr="00673F93">
        <w:rPr>
          <w:rFonts w:cstheme="minorHAnsi"/>
          <w:i/>
          <w:iCs/>
          <w:sz w:val="24"/>
          <w:szCs w:val="24"/>
        </w:rPr>
        <w:t>CGSCORE</w:t>
      </w:r>
      <w:r w:rsidRPr="00673F93">
        <w:rPr>
          <w:rFonts w:cstheme="minorHAnsi"/>
          <w:sz w:val="24"/>
          <w:szCs w:val="24"/>
        </w:rPr>
        <w:t>). Year (</w:t>
      </w:r>
      <m:oMath>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t</m:t>
            </m:r>
          </m:sub>
        </m:sSub>
      </m:oMath>
      <w:r w:rsidRPr="00673F93">
        <w:rPr>
          <w:rFonts w:cstheme="minorHAnsi"/>
          <w:sz w:val="24"/>
          <w:szCs w:val="24"/>
        </w:rPr>
        <w:t xml:space="preserve">) and industry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j</m:t>
            </m:r>
          </m:sub>
        </m:sSub>
        <m:r>
          <w:rPr>
            <w:rFonts w:ascii="Cambria Math" w:hAnsi="Cambria Math" w:cstheme="minorHAnsi"/>
            <w:sz w:val="24"/>
            <w:szCs w:val="24"/>
          </w:rPr>
          <m:t>)</m:t>
        </m:r>
      </m:oMath>
      <w:r w:rsidRPr="00673F93">
        <w:rPr>
          <w:rFonts w:cstheme="minorHAnsi"/>
          <w:sz w:val="24"/>
          <w:szCs w:val="24"/>
        </w:rPr>
        <w:t xml:space="preserve"> fixed effects are included because certain macroeconomic and industry factors may influence firm commitment to CSR. We then match firms with high CSR to firms with low CSR based on the estimated propensity score.</w:t>
      </w:r>
    </w:p>
    <w:p w14:paraId="121D78EE" w14:textId="6C9995E7" w:rsidR="00673F93" w:rsidRPr="00673F93" w:rsidRDefault="00673F93" w:rsidP="00673F93">
      <w:pPr>
        <w:rPr>
          <w:rFonts w:cstheme="minorHAnsi"/>
          <w:sz w:val="24"/>
          <w:szCs w:val="24"/>
        </w:rPr>
      </w:pPr>
      <w:r w:rsidRPr="00673F93">
        <w:rPr>
          <w:rFonts w:cstheme="minorHAnsi"/>
          <w:sz w:val="24"/>
          <w:szCs w:val="24"/>
        </w:rPr>
        <w:t>Panel A of Table 7 reports the results of estimating Equation (</w:t>
      </w:r>
      <w:hyperlink r:id="rId66" w:anchor="bib8" w:tooltip="8" w:history="1">
        <w:r w:rsidRPr="00673F93">
          <w:rPr>
            <w:rStyle w:val="Hyperlink"/>
            <w:rFonts w:cstheme="minorHAnsi"/>
            <w:sz w:val="24"/>
            <w:szCs w:val="24"/>
          </w:rPr>
          <w:t>8</w:t>
        </w:r>
      </w:hyperlink>
      <w:r w:rsidRPr="00673F93">
        <w:rPr>
          <w:rFonts w:cstheme="minorHAnsi"/>
          <w:sz w:val="24"/>
          <w:szCs w:val="24"/>
        </w:rPr>
        <w:t>). In the pre‐match sample, several characteristics differentiate high from low CSR firms as shown in column (</w:t>
      </w:r>
      <w:hyperlink r:id="rId67" w:anchor="bib1" w:tooltip="1" w:history="1">
        <w:r w:rsidRPr="00673F93">
          <w:rPr>
            <w:rStyle w:val="Hyperlink"/>
            <w:rFonts w:cstheme="minorHAnsi"/>
            <w:sz w:val="24"/>
            <w:szCs w:val="24"/>
          </w:rPr>
          <w:t>1</w:t>
        </w:r>
      </w:hyperlink>
      <w:r w:rsidRPr="00673F93">
        <w:rPr>
          <w:rFonts w:cstheme="minorHAnsi"/>
          <w:sz w:val="24"/>
          <w:szCs w:val="24"/>
        </w:rPr>
        <w:t>). These variables are </w:t>
      </w:r>
      <w:r w:rsidRPr="00673F93">
        <w:rPr>
          <w:rFonts w:cstheme="minorHAnsi"/>
          <w:i/>
          <w:iCs/>
          <w:sz w:val="24"/>
          <w:szCs w:val="24"/>
        </w:rPr>
        <w:t>CFO</w:t>
      </w:r>
      <w:r w:rsidRPr="00673F93">
        <w:rPr>
          <w:rFonts w:cstheme="minorHAnsi"/>
          <w:sz w:val="24"/>
          <w:szCs w:val="24"/>
        </w:rPr>
        <w:t>, </w:t>
      </w:r>
      <w:r w:rsidRPr="00673F93">
        <w:rPr>
          <w:rFonts w:cstheme="minorHAnsi"/>
          <w:i/>
          <w:iCs/>
          <w:sz w:val="24"/>
          <w:szCs w:val="24"/>
        </w:rPr>
        <w:t>LEV</w:t>
      </w:r>
      <w:r w:rsidRPr="00673F93">
        <w:rPr>
          <w:rFonts w:cstheme="minorHAnsi"/>
          <w:sz w:val="24"/>
          <w:szCs w:val="24"/>
        </w:rPr>
        <w:t>, </w:t>
      </w:r>
      <w:r w:rsidRPr="00673F93">
        <w:rPr>
          <w:rFonts w:cstheme="minorHAnsi"/>
          <w:i/>
          <w:iCs/>
          <w:sz w:val="24"/>
          <w:szCs w:val="24"/>
        </w:rPr>
        <w:t>MB</w:t>
      </w:r>
      <w:r w:rsidRPr="00673F93">
        <w:rPr>
          <w:rFonts w:cstheme="minorHAnsi"/>
          <w:sz w:val="24"/>
          <w:szCs w:val="24"/>
        </w:rPr>
        <w:t>, </w:t>
      </w:r>
      <w:r w:rsidRPr="00673F93">
        <w:rPr>
          <w:rFonts w:cstheme="minorHAnsi"/>
          <w:i/>
          <w:iCs/>
          <w:sz w:val="24"/>
          <w:szCs w:val="24"/>
        </w:rPr>
        <w:t>SIZE</w:t>
      </w:r>
      <w:r w:rsidRPr="00673F93">
        <w:rPr>
          <w:rFonts w:cstheme="minorHAnsi"/>
          <w:sz w:val="24"/>
          <w:szCs w:val="24"/>
        </w:rPr>
        <w:t> and </w:t>
      </w:r>
      <w:r w:rsidRPr="00673F93">
        <w:rPr>
          <w:rFonts w:cstheme="minorHAnsi"/>
          <w:i/>
          <w:iCs/>
          <w:sz w:val="24"/>
          <w:szCs w:val="24"/>
        </w:rPr>
        <w:t>CGSCORE</w:t>
      </w:r>
      <w:r w:rsidRPr="00673F93">
        <w:rPr>
          <w:rFonts w:cstheme="minorHAnsi"/>
          <w:sz w:val="24"/>
          <w:szCs w:val="24"/>
        </w:rPr>
        <w:t xml:space="preserve">. In the post‐match sample, none of those characteristics are statistically significant as shown in column </w:t>
      </w:r>
      <w:r w:rsidR="007B1EBF">
        <w:rPr>
          <w:rFonts w:cstheme="minorHAnsi"/>
          <w:sz w:val="24"/>
          <w:szCs w:val="24"/>
        </w:rPr>
        <w:t>(</w:t>
      </w:r>
      <w:hyperlink r:id="rId68" w:anchor="bib2" w:tooltip="2" w:history="1">
        <w:r w:rsidRPr="00673F93">
          <w:rPr>
            <w:rStyle w:val="Hyperlink"/>
            <w:rFonts w:cstheme="minorHAnsi"/>
            <w:sz w:val="24"/>
            <w:szCs w:val="24"/>
          </w:rPr>
          <w:t>2</w:t>
        </w:r>
      </w:hyperlink>
      <w:r w:rsidRPr="00673F93">
        <w:rPr>
          <w:rFonts w:cstheme="minorHAnsi"/>
          <w:sz w:val="24"/>
          <w:szCs w:val="24"/>
        </w:rPr>
        <w:t>), suggesting that the differences in observed firm characteristics largely disappear in the matched sample. Panel B of Table 6 reports the estimation results after re‐running the baseline model, following Equation </w:t>
      </w:r>
      <w:r w:rsidR="007B1EBF">
        <w:rPr>
          <w:rFonts w:cstheme="minorHAnsi"/>
          <w:sz w:val="24"/>
          <w:szCs w:val="24"/>
        </w:rPr>
        <w:t>(</w:t>
      </w:r>
      <w:hyperlink r:id="rId69" w:anchor="bib4" w:tooltip="4" w:history="1">
        <w:r w:rsidRPr="00673F93">
          <w:rPr>
            <w:rStyle w:val="Hyperlink"/>
            <w:rFonts w:cstheme="minorHAnsi"/>
            <w:sz w:val="24"/>
            <w:szCs w:val="24"/>
          </w:rPr>
          <w:t>4</w:t>
        </w:r>
      </w:hyperlink>
      <w:r w:rsidRPr="00673F93">
        <w:rPr>
          <w:rFonts w:cstheme="minorHAnsi"/>
          <w:sz w:val="24"/>
          <w:szCs w:val="24"/>
        </w:rPr>
        <w:t xml:space="preserve">), using the matched sample. There remains a significant, </w:t>
      </w:r>
      <w:proofErr w:type="gramStart"/>
      <w:r w:rsidRPr="00673F93">
        <w:rPr>
          <w:rFonts w:cstheme="minorHAnsi"/>
          <w:sz w:val="24"/>
          <w:szCs w:val="24"/>
        </w:rPr>
        <w:t>positive</w:t>
      </w:r>
      <w:proofErr w:type="gramEnd"/>
      <w:r w:rsidRPr="00673F93">
        <w:rPr>
          <w:rFonts w:cstheme="minorHAnsi"/>
          <w:sz w:val="24"/>
          <w:szCs w:val="24"/>
        </w:rPr>
        <w:t xml:space="preserve"> and significant association between CSR and price informativeness, measured by </w:t>
      </w:r>
      <m:oMath>
        <m:r>
          <m:rPr>
            <m:sty m:val="p"/>
          </m:rPr>
          <w:rPr>
            <w:rFonts w:ascii="Cambria Math" w:hAnsi="Cambria Math" w:cstheme="minorHAnsi"/>
            <w:sz w:val="24"/>
            <w:szCs w:val="24"/>
          </w:rPr>
          <m:t>Ψ</m:t>
        </m:r>
      </m:oMath>
      <w:r w:rsidRPr="00673F93">
        <w:rPr>
          <w:rFonts w:cstheme="minorHAnsi"/>
          <w:sz w:val="24"/>
          <w:szCs w:val="24"/>
        </w:rPr>
        <w:t xml:space="preserve"> and </w:t>
      </w:r>
      <w:r w:rsidRPr="00673F93">
        <w:rPr>
          <w:rFonts w:cstheme="minorHAnsi"/>
          <w:i/>
          <w:iCs/>
          <w:sz w:val="24"/>
          <w:szCs w:val="24"/>
        </w:rPr>
        <w:t>PIN</w:t>
      </w:r>
      <w:r w:rsidRPr="00673F93">
        <w:rPr>
          <w:rFonts w:cstheme="minorHAnsi"/>
          <w:sz w:val="24"/>
          <w:szCs w:val="24"/>
        </w:rPr>
        <w:t>. The economic and statistical significance of the coefficient for </w:t>
      </w:r>
      <w:r w:rsidRPr="00673F93">
        <w:rPr>
          <w:rFonts w:cstheme="minorHAnsi"/>
          <w:i/>
          <w:iCs/>
          <w:sz w:val="24"/>
          <w:szCs w:val="24"/>
        </w:rPr>
        <w:t>CSR</w:t>
      </w:r>
      <w:r w:rsidRPr="00673F93">
        <w:rPr>
          <w:rFonts w:cstheme="minorHAnsi"/>
          <w:sz w:val="24"/>
          <w:szCs w:val="24"/>
        </w:rPr>
        <w:t> is comparable to the coefficient of </w:t>
      </w:r>
      <w:r w:rsidRPr="00673F93">
        <w:rPr>
          <w:rFonts w:cstheme="minorHAnsi"/>
          <w:i/>
          <w:iCs/>
          <w:sz w:val="24"/>
          <w:szCs w:val="24"/>
        </w:rPr>
        <w:t>CSR</w:t>
      </w:r>
      <w:r w:rsidRPr="00673F93">
        <w:rPr>
          <w:rFonts w:cstheme="minorHAnsi"/>
          <w:sz w:val="24"/>
          <w:szCs w:val="24"/>
        </w:rPr>
        <w:t> in the baseline regression in Table 2. Overall, this set of results mitigates the endogeneity concern that factors which contribute to a firm's choice of CSR involvement explain the differential in price informativeness.</w:t>
      </w:r>
    </w:p>
    <w:p w14:paraId="100047AE" w14:textId="77777777" w:rsidR="00146CC8" w:rsidRDefault="00146CC8" w:rsidP="00D665CF">
      <w:pPr>
        <w:spacing w:after="0"/>
        <w:rPr>
          <w:rFonts w:cstheme="minorHAnsi"/>
          <w:sz w:val="24"/>
          <w:szCs w:val="24"/>
        </w:rPr>
        <w:sectPr w:rsidR="00146CC8" w:rsidSect="00CF253A">
          <w:pgSz w:w="12240" w:h="15840"/>
          <w:pgMar w:top="1080" w:right="1080" w:bottom="1080" w:left="1080" w:header="720" w:footer="720" w:gutter="0"/>
          <w:cols w:space="720"/>
          <w:docGrid w:linePitch="360"/>
        </w:sectPr>
      </w:pPr>
    </w:p>
    <w:p w14:paraId="0FB4EA67" w14:textId="14D305CC" w:rsidR="00673F93" w:rsidRPr="00673F93" w:rsidRDefault="00673F93" w:rsidP="00D665CF">
      <w:pPr>
        <w:spacing w:after="0"/>
        <w:rPr>
          <w:rFonts w:cstheme="minorHAnsi"/>
          <w:sz w:val="24"/>
          <w:szCs w:val="24"/>
        </w:rPr>
      </w:pPr>
      <w:r w:rsidRPr="00673F93">
        <w:rPr>
          <w:rFonts w:cstheme="minorHAnsi"/>
          <w:sz w:val="24"/>
          <w:szCs w:val="24"/>
        </w:rPr>
        <w:lastRenderedPageBreak/>
        <w:t>7 Table</w:t>
      </w:r>
      <w:r w:rsidR="00D665CF">
        <w:rPr>
          <w:rFonts w:cstheme="minorHAnsi"/>
          <w:sz w:val="24"/>
          <w:szCs w:val="24"/>
        </w:rPr>
        <w:t xml:space="preserve"> </w:t>
      </w:r>
      <w:r w:rsidRPr="00673F93">
        <w:rPr>
          <w:rFonts w:cstheme="minorHAnsi"/>
          <w:sz w:val="24"/>
          <w:szCs w:val="24"/>
        </w:rPr>
        <w:t>Propensity score matched sample</w:t>
      </w:r>
    </w:p>
    <w:tbl>
      <w:tblPr>
        <w:tblStyle w:val="TableGrid"/>
        <w:tblW w:w="5000" w:type="pct"/>
        <w:tblLook w:val="04A0" w:firstRow="1" w:lastRow="0" w:firstColumn="1" w:lastColumn="0" w:noHBand="0" w:noVBand="1"/>
      </w:tblPr>
      <w:tblGrid>
        <w:gridCol w:w="7375"/>
        <w:gridCol w:w="2070"/>
        <w:gridCol w:w="1474"/>
        <w:gridCol w:w="1348"/>
        <w:gridCol w:w="1403"/>
      </w:tblGrid>
      <w:tr w:rsidR="00D665CF" w:rsidRPr="00673F93" w14:paraId="1C302327" w14:textId="77777777" w:rsidTr="003245D9">
        <w:tc>
          <w:tcPr>
            <w:tcW w:w="2698" w:type="pct"/>
          </w:tcPr>
          <w:p w14:paraId="60B20072" w14:textId="77BF8FA1" w:rsidR="00D665CF" w:rsidRPr="008100E4" w:rsidRDefault="00D665CF" w:rsidP="00D665CF">
            <w:pPr>
              <w:pStyle w:val="NoSpacing"/>
              <w:rPr>
                <w:b/>
                <w:bCs/>
              </w:rPr>
            </w:pPr>
            <w:r w:rsidRPr="008100E4">
              <w:rPr>
                <w:b/>
                <w:bCs/>
              </w:rPr>
              <w:t>Panel A: Probit regressions before and after propensity score matching</w:t>
            </w:r>
          </w:p>
        </w:tc>
        <w:tc>
          <w:tcPr>
            <w:tcW w:w="757" w:type="pct"/>
            <w:hideMark/>
          </w:tcPr>
          <w:p w14:paraId="259062A8" w14:textId="77777777" w:rsidR="00D665CF" w:rsidRPr="00673F93" w:rsidRDefault="00D665CF" w:rsidP="00D665CF">
            <w:pPr>
              <w:pStyle w:val="NoSpacing"/>
            </w:pPr>
          </w:p>
        </w:tc>
        <w:tc>
          <w:tcPr>
            <w:tcW w:w="539" w:type="pct"/>
          </w:tcPr>
          <w:p w14:paraId="2F258526" w14:textId="77777777" w:rsidR="00D665CF" w:rsidRPr="00673F93" w:rsidRDefault="00D665CF" w:rsidP="00D665CF">
            <w:pPr>
              <w:pStyle w:val="NoSpacing"/>
            </w:pPr>
          </w:p>
        </w:tc>
        <w:tc>
          <w:tcPr>
            <w:tcW w:w="493" w:type="pct"/>
          </w:tcPr>
          <w:p w14:paraId="4D71CC89" w14:textId="77777777" w:rsidR="00D665CF" w:rsidRPr="00673F93" w:rsidRDefault="00D665CF" w:rsidP="00D665CF">
            <w:pPr>
              <w:pStyle w:val="NoSpacing"/>
            </w:pPr>
          </w:p>
        </w:tc>
        <w:tc>
          <w:tcPr>
            <w:tcW w:w="513" w:type="pct"/>
          </w:tcPr>
          <w:p w14:paraId="2A911DC7" w14:textId="45ECB960" w:rsidR="00D665CF" w:rsidRPr="00673F93" w:rsidRDefault="00D665CF" w:rsidP="00D665CF">
            <w:pPr>
              <w:pStyle w:val="NoSpacing"/>
            </w:pPr>
          </w:p>
        </w:tc>
      </w:tr>
      <w:tr w:rsidR="00D665CF" w:rsidRPr="00673F93" w14:paraId="581BA4AD" w14:textId="77777777" w:rsidTr="003245D9">
        <w:tc>
          <w:tcPr>
            <w:tcW w:w="2698" w:type="pct"/>
            <w:hideMark/>
          </w:tcPr>
          <w:p w14:paraId="7DC14A0F" w14:textId="77777777" w:rsidR="00D665CF" w:rsidRPr="00673F93" w:rsidRDefault="00D665CF" w:rsidP="00D665CF">
            <w:pPr>
              <w:pStyle w:val="NoSpacing"/>
            </w:pPr>
          </w:p>
        </w:tc>
        <w:tc>
          <w:tcPr>
            <w:tcW w:w="757" w:type="pct"/>
          </w:tcPr>
          <w:p w14:paraId="6BCF5D5D" w14:textId="3960DA6F" w:rsidR="00D665CF" w:rsidRPr="00673F93" w:rsidRDefault="00146CC8" w:rsidP="00D665CF">
            <w:pPr>
              <w:pStyle w:val="NoSpacing"/>
            </w:pPr>
            <w:proofErr w:type="gramStart"/>
            <w:r w:rsidRPr="00673F93">
              <w:t>Prob(</w:t>
            </w:r>
            <w:proofErr w:type="gramEnd"/>
            <w:r w:rsidRPr="00673F93">
              <w:t>High CSR = 1)</w:t>
            </w:r>
          </w:p>
        </w:tc>
        <w:tc>
          <w:tcPr>
            <w:tcW w:w="539" w:type="pct"/>
            <w:hideMark/>
          </w:tcPr>
          <w:p w14:paraId="64A9343A" w14:textId="04407F50" w:rsidR="00D665CF" w:rsidRPr="00673F93" w:rsidRDefault="00D665CF" w:rsidP="00D665CF">
            <w:pPr>
              <w:pStyle w:val="NoSpacing"/>
            </w:pPr>
          </w:p>
        </w:tc>
        <w:tc>
          <w:tcPr>
            <w:tcW w:w="493" w:type="pct"/>
          </w:tcPr>
          <w:p w14:paraId="4A458CBB" w14:textId="77777777" w:rsidR="00D665CF" w:rsidRPr="00673F93" w:rsidRDefault="00D665CF" w:rsidP="00D665CF">
            <w:pPr>
              <w:pStyle w:val="NoSpacing"/>
            </w:pPr>
          </w:p>
        </w:tc>
        <w:tc>
          <w:tcPr>
            <w:tcW w:w="513" w:type="pct"/>
          </w:tcPr>
          <w:p w14:paraId="7B4318CF" w14:textId="1ABD210A" w:rsidR="00D665CF" w:rsidRPr="00673F93" w:rsidRDefault="00D665CF" w:rsidP="00D665CF">
            <w:pPr>
              <w:pStyle w:val="NoSpacing"/>
            </w:pPr>
          </w:p>
        </w:tc>
      </w:tr>
      <w:tr w:rsidR="00D665CF" w:rsidRPr="00673F93" w14:paraId="38851139" w14:textId="77777777" w:rsidTr="003245D9">
        <w:tc>
          <w:tcPr>
            <w:tcW w:w="2698" w:type="pct"/>
            <w:hideMark/>
          </w:tcPr>
          <w:p w14:paraId="378954D8" w14:textId="77777777" w:rsidR="00D665CF" w:rsidRPr="00673F93" w:rsidRDefault="00D665CF" w:rsidP="00D665CF">
            <w:pPr>
              <w:pStyle w:val="NoSpacing"/>
            </w:pPr>
          </w:p>
        </w:tc>
        <w:tc>
          <w:tcPr>
            <w:tcW w:w="757" w:type="pct"/>
            <w:hideMark/>
          </w:tcPr>
          <w:p w14:paraId="2A88ADB3" w14:textId="77777777" w:rsidR="00D665CF" w:rsidRPr="00673F93" w:rsidRDefault="00D665CF" w:rsidP="00D665CF">
            <w:pPr>
              <w:pStyle w:val="NoSpacing"/>
            </w:pPr>
            <w:r w:rsidRPr="00673F93">
              <w:t>(1)</w:t>
            </w:r>
          </w:p>
        </w:tc>
        <w:tc>
          <w:tcPr>
            <w:tcW w:w="539" w:type="pct"/>
          </w:tcPr>
          <w:p w14:paraId="21C67C77" w14:textId="77777777" w:rsidR="00D665CF" w:rsidRPr="00673F93" w:rsidRDefault="00D665CF" w:rsidP="00D665CF">
            <w:pPr>
              <w:pStyle w:val="NoSpacing"/>
            </w:pPr>
          </w:p>
        </w:tc>
        <w:tc>
          <w:tcPr>
            <w:tcW w:w="493" w:type="pct"/>
            <w:hideMark/>
          </w:tcPr>
          <w:p w14:paraId="11E11266" w14:textId="77777777" w:rsidR="00D665CF" w:rsidRPr="00673F93" w:rsidRDefault="00D665CF" w:rsidP="00D665CF">
            <w:pPr>
              <w:pStyle w:val="NoSpacing"/>
            </w:pPr>
            <w:r w:rsidRPr="00673F93">
              <w:t>(2)</w:t>
            </w:r>
          </w:p>
        </w:tc>
        <w:tc>
          <w:tcPr>
            <w:tcW w:w="513" w:type="pct"/>
          </w:tcPr>
          <w:p w14:paraId="587C6D97" w14:textId="1A498787" w:rsidR="00D665CF" w:rsidRPr="00673F93" w:rsidRDefault="00D665CF" w:rsidP="00D665CF">
            <w:pPr>
              <w:pStyle w:val="NoSpacing"/>
            </w:pPr>
          </w:p>
        </w:tc>
      </w:tr>
      <w:tr w:rsidR="00146CC8" w:rsidRPr="00673F93" w14:paraId="746A3DD7" w14:textId="77777777" w:rsidTr="003245D9">
        <w:tc>
          <w:tcPr>
            <w:tcW w:w="2698" w:type="pct"/>
            <w:hideMark/>
          </w:tcPr>
          <w:p w14:paraId="63F2899A" w14:textId="77777777" w:rsidR="00D665CF" w:rsidRPr="00673F93" w:rsidRDefault="00D665CF" w:rsidP="00D665CF">
            <w:pPr>
              <w:pStyle w:val="NoSpacing"/>
            </w:pPr>
          </w:p>
        </w:tc>
        <w:tc>
          <w:tcPr>
            <w:tcW w:w="757" w:type="pct"/>
            <w:hideMark/>
          </w:tcPr>
          <w:p w14:paraId="6A95C73D" w14:textId="77777777" w:rsidR="00D665CF" w:rsidRPr="00673F93" w:rsidRDefault="00D665CF" w:rsidP="00D665CF">
            <w:pPr>
              <w:pStyle w:val="NoSpacing"/>
            </w:pPr>
            <w:r w:rsidRPr="00673F93">
              <w:t>Pre‐match</w:t>
            </w:r>
          </w:p>
        </w:tc>
        <w:tc>
          <w:tcPr>
            <w:tcW w:w="539" w:type="pct"/>
          </w:tcPr>
          <w:p w14:paraId="4E10E8B1" w14:textId="77777777" w:rsidR="00D665CF" w:rsidRPr="00673F93" w:rsidRDefault="00D665CF" w:rsidP="00D665CF">
            <w:pPr>
              <w:pStyle w:val="NoSpacing"/>
            </w:pPr>
          </w:p>
        </w:tc>
        <w:tc>
          <w:tcPr>
            <w:tcW w:w="493" w:type="pct"/>
          </w:tcPr>
          <w:p w14:paraId="0452994F" w14:textId="77777777" w:rsidR="00D665CF" w:rsidRPr="00673F93" w:rsidRDefault="00D665CF" w:rsidP="00D665CF">
            <w:pPr>
              <w:pStyle w:val="NoSpacing"/>
            </w:pPr>
          </w:p>
        </w:tc>
        <w:tc>
          <w:tcPr>
            <w:tcW w:w="513" w:type="pct"/>
            <w:hideMark/>
          </w:tcPr>
          <w:p w14:paraId="0F095764" w14:textId="1D1D33A2" w:rsidR="00D665CF" w:rsidRPr="00673F93" w:rsidRDefault="00D665CF" w:rsidP="00D665CF">
            <w:pPr>
              <w:pStyle w:val="NoSpacing"/>
            </w:pPr>
            <w:r w:rsidRPr="00673F93">
              <w:t>Post‐match</w:t>
            </w:r>
          </w:p>
        </w:tc>
      </w:tr>
      <w:tr w:rsidR="00146CC8" w:rsidRPr="00673F93" w14:paraId="459CB329" w14:textId="77777777" w:rsidTr="003245D9">
        <w:tc>
          <w:tcPr>
            <w:tcW w:w="2698" w:type="pct"/>
            <w:hideMark/>
          </w:tcPr>
          <w:p w14:paraId="2AD348E2" w14:textId="77777777" w:rsidR="00673F93" w:rsidRPr="00673F93" w:rsidRDefault="00673F93" w:rsidP="00D665CF">
            <w:pPr>
              <w:pStyle w:val="NoSpacing"/>
            </w:pPr>
          </w:p>
        </w:tc>
        <w:tc>
          <w:tcPr>
            <w:tcW w:w="757" w:type="pct"/>
            <w:hideMark/>
          </w:tcPr>
          <w:p w14:paraId="069FCF9C" w14:textId="77777777" w:rsidR="00673F93" w:rsidRPr="00673F93" w:rsidRDefault="00673F93" w:rsidP="00D665CF">
            <w:pPr>
              <w:pStyle w:val="NoSpacing"/>
            </w:pPr>
            <w:r w:rsidRPr="00673F93">
              <w:t>Coefficient</w:t>
            </w:r>
          </w:p>
        </w:tc>
        <w:tc>
          <w:tcPr>
            <w:tcW w:w="539" w:type="pct"/>
            <w:hideMark/>
          </w:tcPr>
          <w:p w14:paraId="3BEC4E6B" w14:textId="77777777" w:rsidR="00673F93" w:rsidRPr="00673F93" w:rsidRDefault="00673F93" w:rsidP="00D665CF">
            <w:pPr>
              <w:pStyle w:val="NoSpacing"/>
            </w:pPr>
            <w:r w:rsidRPr="00673F93">
              <w:t>t‐Statistic</w:t>
            </w:r>
          </w:p>
        </w:tc>
        <w:tc>
          <w:tcPr>
            <w:tcW w:w="493" w:type="pct"/>
            <w:hideMark/>
          </w:tcPr>
          <w:p w14:paraId="738921EE" w14:textId="77777777" w:rsidR="00673F93" w:rsidRPr="00673F93" w:rsidRDefault="00673F93" w:rsidP="00D665CF">
            <w:pPr>
              <w:pStyle w:val="NoSpacing"/>
            </w:pPr>
            <w:r w:rsidRPr="00673F93">
              <w:t>Coefficient</w:t>
            </w:r>
          </w:p>
        </w:tc>
        <w:tc>
          <w:tcPr>
            <w:tcW w:w="513" w:type="pct"/>
            <w:hideMark/>
          </w:tcPr>
          <w:p w14:paraId="6EE7971A" w14:textId="77777777" w:rsidR="00673F93" w:rsidRPr="00673F93" w:rsidRDefault="00673F93" w:rsidP="00D665CF">
            <w:pPr>
              <w:pStyle w:val="NoSpacing"/>
            </w:pPr>
            <w:r w:rsidRPr="00673F93">
              <w:t>t‐Statistic</w:t>
            </w:r>
          </w:p>
        </w:tc>
      </w:tr>
      <w:tr w:rsidR="00146CC8" w:rsidRPr="00673F93" w14:paraId="70B5DF8F" w14:textId="77777777" w:rsidTr="003245D9">
        <w:tc>
          <w:tcPr>
            <w:tcW w:w="2698" w:type="pct"/>
            <w:hideMark/>
          </w:tcPr>
          <w:p w14:paraId="27920955" w14:textId="77777777" w:rsidR="00673F93" w:rsidRPr="00162019" w:rsidRDefault="00673F93" w:rsidP="00D665CF">
            <w:pPr>
              <w:pStyle w:val="NoSpacing"/>
              <w:rPr>
                <w:i/>
                <w:iCs/>
              </w:rPr>
            </w:pPr>
            <w:r w:rsidRPr="00162019">
              <w:rPr>
                <w:i/>
                <w:iCs/>
              </w:rPr>
              <w:t>ATO</w:t>
            </w:r>
          </w:p>
        </w:tc>
        <w:tc>
          <w:tcPr>
            <w:tcW w:w="757" w:type="pct"/>
            <w:hideMark/>
          </w:tcPr>
          <w:p w14:paraId="287CC8C3" w14:textId="77777777" w:rsidR="00673F93" w:rsidRPr="00673F93" w:rsidRDefault="00673F93" w:rsidP="00D665CF">
            <w:pPr>
              <w:pStyle w:val="NoSpacing"/>
            </w:pPr>
            <w:r w:rsidRPr="00673F93">
              <w:t>0.026</w:t>
            </w:r>
          </w:p>
        </w:tc>
        <w:tc>
          <w:tcPr>
            <w:tcW w:w="539" w:type="pct"/>
            <w:hideMark/>
          </w:tcPr>
          <w:p w14:paraId="562EB43C" w14:textId="77777777" w:rsidR="00673F93" w:rsidRPr="00673F93" w:rsidRDefault="00673F93" w:rsidP="00D665CF">
            <w:pPr>
              <w:pStyle w:val="NoSpacing"/>
            </w:pPr>
            <w:r w:rsidRPr="00673F93">
              <w:t>0.38</w:t>
            </w:r>
          </w:p>
        </w:tc>
        <w:tc>
          <w:tcPr>
            <w:tcW w:w="493" w:type="pct"/>
            <w:hideMark/>
          </w:tcPr>
          <w:p w14:paraId="58C54201" w14:textId="77777777" w:rsidR="00673F93" w:rsidRPr="00673F93" w:rsidRDefault="00673F93" w:rsidP="00D665CF">
            <w:pPr>
              <w:pStyle w:val="NoSpacing"/>
            </w:pPr>
            <w:r w:rsidRPr="00673F93">
              <w:t>0.079</w:t>
            </w:r>
          </w:p>
        </w:tc>
        <w:tc>
          <w:tcPr>
            <w:tcW w:w="513" w:type="pct"/>
            <w:hideMark/>
          </w:tcPr>
          <w:p w14:paraId="228202E5" w14:textId="77777777" w:rsidR="00673F93" w:rsidRPr="00673F93" w:rsidRDefault="00673F93" w:rsidP="00D665CF">
            <w:pPr>
              <w:pStyle w:val="NoSpacing"/>
            </w:pPr>
            <w:r w:rsidRPr="00673F93">
              <w:t>0.99</w:t>
            </w:r>
          </w:p>
        </w:tc>
      </w:tr>
      <w:tr w:rsidR="00146CC8" w:rsidRPr="00673F93" w14:paraId="428AF21F" w14:textId="77777777" w:rsidTr="003245D9">
        <w:tc>
          <w:tcPr>
            <w:tcW w:w="2698" w:type="pct"/>
            <w:hideMark/>
          </w:tcPr>
          <w:p w14:paraId="0C4E5F06" w14:textId="77777777" w:rsidR="00673F93" w:rsidRPr="00162019" w:rsidRDefault="00673F93" w:rsidP="00D665CF">
            <w:pPr>
              <w:pStyle w:val="NoSpacing"/>
              <w:rPr>
                <w:i/>
                <w:iCs/>
              </w:rPr>
            </w:pPr>
            <w:r w:rsidRPr="00162019">
              <w:rPr>
                <w:i/>
                <w:iCs/>
              </w:rPr>
              <w:t>PM</w:t>
            </w:r>
          </w:p>
        </w:tc>
        <w:tc>
          <w:tcPr>
            <w:tcW w:w="757" w:type="pct"/>
            <w:hideMark/>
          </w:tcPr>
          <w:p w14:paraId="35A01636" w14:textId="77777777" w:rsidR="00673F93" w:rsidRPr="00673F93" w:rsidRDefault="00673F93" w:rsidP="00D665CF">
            <w:pPr>
              <w:pStyle w:val="NoSpacing"/>
            </w:pPr>
            <w:r w:rsidRPr="00673F93">
              <w:t>−0.019</w:t>
            </w:r>
          </w:p>
        </w:tc>
        <w:tc>
          <w:tcPr>
            <w:tcW w:w="539" w:type="pct"/>
            <w:hideMark/>
          </w:tcPr>
          <w:p w14:paraId="5980F5D3" w14:textId="77777777" w:rsidR="00673F93" w:rsidRPr="00673F93" w:rsidRDefault="00673F93" w:rsidP="00D665CF">
            <w:pPr>
              <w:pStyle w:val="NoSpacing"/>
            </w:pPr>
            <w:r w:rsidRPr="00673F93">
              <w:t>−0.17</w:t>
            </w:r>
          </w:p>
        </w:tc>
        <w:tc>
          <w:tcPr>
            <w:tcW w:w="493" w:type="pct"/>
            <w:hideMark/>
          </w:tcPr>
          <w:p w14:paraId="4363822F" w14:textId="77777777" w:rsidR="00673F93" w:rsidRPr="00673F93" w:rsidRDefault="00673F93" w:rsidP="00D665CF">
            <w:pPr>
              <w:pStyle w:val="NoSpacing"/>
            </w:pPr>
            <w:r w:rsidRPr="00673F93">
              <w:t>−0.010</w:t>
            </w:r>
          </w:p>
        </w:tc>
        <w:tc>
          <w:tcPr>
            <w:tcW w:w="513" w:type="pct"/>
            <w:hideMark/>
          </w:tcPr>
          <w:p w14:paraId="5B861971" w14:textId="77777777" w:rsidR="00673F93" w:rsidRPr="00673F93" w:rsidRDefault="00673F93" w:rsidP="00D665CF">
            <w:pPr>
              <w:pStyle w:val="NoSpacing"/>
            </w:pPr>
            <w:r w:rsidRPr="00673F93">
              <w:t>−0.05</w:t>
            </w:r>
          </w:p>
        </w:tc>
      </w:tr>
      <w:tr w:rsidR="00146CC8" w:rsidRPr="00673F93" w14:paraId="47029D37" w14:textId="77777777" w:rsidTr="003245D9">
        <w:tc>
          <w:tcPr>
            <w:tcW w:w="2698" w:type="pct"/>
            <w:hideMark/>
          </w:tcPr>
          <w:p w14:paraId="67776294" w14:textId="77777777" w:rsidR="00673F93" w:rsidRPr="00162019" w:rsidRDefault="00673F93" w:rsidP="00D665CF">
            <w:pPr>
              <w:pStyle w:val="NoSpacing"/>
              <w:rPr>
                <w:i/>
                <w:iCs/>
              </w:rPr>
            </w:pPr>
            <w:r w:rsidRPr="00162019">
              <w:rPr>
                <w:i/>
                <w:iCs/>
              </w:rPr>
              <w:t>CASH</w:t>
            </w:r>
          </w:p>
        </w:tc>
        <w:tc>
          <w:tcPr>
            <w:tcW w:w="757" w:type="pct"/>
            <w:hideMark/>
          </w:tcPr>
          <w:p w14:paraId="6A0DC75E" w14:textId="77777777" w:rsidR="00673F93" w:rsidRPr="00673F93" w:rsidRDefault="00673F93" w:rsidP="00D665CF">
            <w:pPr>
              <w:pStyle w:val="NoSpacing"/>
            </w:pPr>
            <w:r w:rsidRPr="00673F93">
              <w:t>−0.291</w:t>
            </w:r>
          </w:p>
        </w:tc>
        <w:tc>
          <w:tcPr>
            <w:tcW w:w="539" w:type="pct"/>
            <w:hideMark/>
          </w:tcPr>
          <w:p w14:paraId="2DA647CD" w14:textId="77777777" w:rsidR="00673F93" w:rsidRPr="00673F93" w:rsidRDefault="00673F93" w:rsidP="00D665CF">
            <w:pPr>
              <w:pStyle w:val="NoSpacing"/>
            </w:pPr>
            <w:r w:rsidRPr="00673F93">
              <w:t>−1.06</w:t>
            </w:r>
          </w:p>
        </w:tc>
        <w:tc>
          <w:tcPr>
            <w:tcW w:w="493" w:type="pct"/>
            <w:hideMark/>
          </w:tcPr>
          <w:p w14:paraId="5F1D5777" w14:textId="77777777" w:rsidR="00673F93" w:rsidRPr="00673F93" w:rsidRDefault="00673F93" w:rsidP="00D665CF">
            <w:pPr>
              <w:pStyle w:val="NoSpacing"/>
            </w:pPr>
            <w:r w:rsidRPr="00673F93">
              <w:t>−0.446</w:t>
            </w:r>
          </w:p>
        </w:tc>
        <w:tc>
          <w:tcPr>
            <w:tcW w:w="513" w:type="pct"/>
            <w:hideMark/>
          </w:tcPr>
          <w:p w14:paraId="03B161D3" w14:textId="77777777" w:rsidR="00673F93" w:rsidRPr="00673F93" w:rsidRDefault="00673F93" w:rsidP="00D665CF">
            <w:pPr>
              <w:pStyle w:val="NoSpacing"/>
            </w:pPr>
            <w:r w:rsidRPr="00673F93">
              <w:t>−1.07</w:t>
            </w:r>
          </w:p>
        </w:tc>
      </w:tr>
      <w:tr w:rsidR="00146CC8" w:rsidRPr="00673F93" w14:paraId="3ABFEF82" w14:textId="77777777" w:rsidTr="003245D9">
        <w:tc>
          <w:tcPr>
            <w:tcW w:w="2698" w:type="pct"/>
            <w:hideMark/>
          </w:tcPr>
          <w:p w14:paraId="4A561E59" w14:textId="77777777" w:rsidR="00673F93" w:rsidRPr="00162019" w:rsidRDefault="00673F93" w:rsidP="00D665CF">
            <w:pPr>
              <w:pStyle w:val="NoSpacing"/>
              <w:rPr>
                <w:i/>
                <w:iCs/>
              </w:rPr>
            </w:pPr>
            <w:r w:rsidRPr="00162019">
              <w:rPr>
                <w:i/>
                <w:iCs/>
              </w:rPr>
              <w:t>CFO</w:t>
            </w:r>
          </w:p>
        </w:tc>
        <w:tc>
          <w:tcPr>
            <w:tcW w:w="757" w:type="pct"/>
            <w:hideMark/>
          </w:tcPr>
          <w:p w14:paraId="64D70E3A" w14:textId="77777777" w:rsidR="00673F93" w:rsidRPr="00673F93" w:rsidRDefault="00673F93" w:rsidP="00D665CF">
            <w:pPr>
              <w:pStyle w:val="NoSpacing"/>
            </w:pPr>
            <w:r w:rsidRPr="00673F93">
              <w:t>1.139***</w:t>
            </w:r>
          </w:p>
        </w:tc>
        <w:tc>
          <w:tcPr>
            <w:tcW w:w="539" w:type="pct"/>
            <w:hideMark/>
          </w:tcPr>
          <w:p w14:paraId="2949B55E" w14:textId="77777777" w:rsidR="00673F93" w:rsidRPr="00673F93" w:rsidRDefault="00673F93" w:rsidP="00D665CF">
            <w:pPr>
              <w:pStyle w:val="NoSpacing"/>
            </w:pPr>
            <w:r w:rsidRPr="00673F93">
              <w:t>3.32</w:t>
            </w:r>
          </w:p>
        </w:tc>
        <w:tc>
          <w:tcPr>
            <w:tcW w:w="493" w:type="pct"/>
            <w:hideMark/>
          </w:tcPr>
          <w:p w14:paraId="0BBF9904" w14:textId="77777777" w:rsidR="00673F93" w:rsidRPr="00673F93" w:rsidRDefault="00673F93" w:rsidP="00D665CF">
            <w:pPr>
              <w:pStyle w:val="NoSpacing"/>
            </w:pPr>
            <w:r w:rsidRPr="00673F93">
              <w:t>0.450</w:t>
            </w:r>
          </w:p>
        </w:tc>
        <w:tc>
          <w:tcPr>
            <w:tcW w:w="513" w:type="pct"/>
            <w:hideMark/>
          </w:tcPr>
          <w:p w14:paraId="505DD4F7" w14:textId="77777777" w:rsidR="00673F93" w:rsidRPr="00673F93" w:rsidRDefault="00673F93" w:rsidP="00D665CF">
            <w:pPr>
              <w:pStyle w:val="NoSpacing"/>
            </w:pPr>
            <w:r w:rsidRPr="00673F93">
              <w:t>0.99</w:t>
            </w:r>
          </w:p>
        </w:tc>
      </w:tr>
      <w:tr w:rsidR="00146CC8" w:rsidRPr="00673F93" w14:paraId="49109C6F" w14:textId="77777777" w:rsidTr="003245D9">
        <w:tc>
          <w:tcPr>
            <w:tcW w:w="2698" w:type="pct"/>
            <w:hideMark/>
          </w:tcPr>
          <w:p w14:paraId="705417A7" w14:textId="77777777" w:rsidR="00673F93" w:rsidRPr="00162019" w:rsidRDefault="00673F93" w:rsidP="00D665CF">
            <w:pPr>
              <w:pStyle w:val="NoSpacing"/>
              <w:rPr>
                <w:i/>
                <w:iCs/>
              </w:rPr>
            </w:pPr>
            <w:r w:rsidRPr="00162019">
              <w:rPr>
                <w:i/>
                <w:iCs/>
              </w:rPr>
              <w:t>LEV</w:t>
            </w:r>
          </w:p>
        </w:tc>
        <w:tc>
          <w:tcPr>
            <w:tcW w:w="757" w:type="pct"/>
            <w:hideMark/>
          </w:tcPr>
          <w:p w14:paraId="651C622B" w14:textId="77777777" w:rsidR="00673F93" w:rsidRPr="00673F93" w:rsidRDefault="00673F93" w:rsidP="00D665CF">
            <w:pPr>
              <w:pStyle w:val="NoSpacing"/>
            </w:pPr>
            <w:r w:rsidRPr="00673F93">
              <w:t>−0.719***</w:t>
            </w:r>
          </w:p>
        </w:tc>
        <w:tc>
          <w:tcPr>
            <w:tcW w:w="539" w:type="pct"/>
            <w:hideMark/>
          </w:tcPr>
          <w:p w14:paraId="0CEEF93F" w14:textId="77777777" w:rsidR="00673F93" w:rsidRPr="00673F93" w:rsidRDefault="00673F93" w:rsidP="00D665CF">
            <w:pPr>
              <w:pStyle w:val="NoSpacing"/>
            </w:pPr>
            <w:r w:rsidRPr="00673F93">
              <w:t>−3.23</w:t>
            </w:r>
          </w:p>
        </w:tc>
        <w:tc>
          <w:tcPr>
            <w:tcW w:w="493" w:type="pct"/>
            <w:hideMark/>
          </w:tcPr>
          <w:p w14:paraId="46DC8F66" w14:textId="77777777" w:rsidR="00673F93" w:rsidRPr="00673F93" w:rsidRDefault="00673F93" w:rsidP="00D665CF">
            <w:pPr>
              <w:pStyle w:val="NoSpacing"/>
            </w:pPr>
            <w:r w:rsidRPr="00673F93">
              <w:t>0.318</w:t>
            </w:r>
          </w:p>
        </w:tc>
        <w:tc>
          <w:tcPr>
            <w:tcW w:w="513" w:type="pct"/>
            <w:hideMark/>
          </w:tcPr>
          <w:p w14:paraId="167607A9" w14:textId="77777777" w:rsidR="00673F93" w:rsidRPr="00673F93" w:rsidRDefault="00673F93" w:rsidP="00D665CF">
            <w:pPr>
              <w:pStyle w:val="NoSpacing"/>
            </w:pPr>
            <w:r w:rsidRPr="00673F93">
              <w:t>1.19</w:t>
            </w:r>
          </w:p>
        </w:tc>
      </w:tr>
      <w:tr w:rsidR="00146CC8" w:rsidRPr="00673F93" w14:paraId="0C3F4CCE" w14:textId="77777777" w:rsidTr="003245D9">
        <w:tc>
          <w:tcPr>
            <w:tcW w:w="2698" w:type="pct"/>
            <w:hideMark/>
          </w:tcPr>
          <w:p w14:paraId="1D4E3773" w14:textId="77777777" w:rsidR="00673F93" w:rsidRPr="00162019" w:rsidRDefault="00673F93" w:rsidP="00D665CF">
            <w:pPr>
              <w:pStyle w:val="NoSpacing"/>
              <w:rPr>
                <w:i/>
                <w:iCs/>
              </w:rPr>
            </w:pPr>
            <w:r w:rsidRPr="00162019">
              <w:rPr>
                <w:i/>
                <w:iCs/>
              </w:rPr>
              <w:t>MB</w:t>
            </w:r>
          </w:p>
        </w:tc>
        <w:tc>
          <w:tcPr>
            <w:tcW w:w="757" w:type="pct"/>
            <w:hideMark/>
          </w:tcPr>
          <w:p w14:paraId="5CB20A8C" w14:textId="77777777" w:rsidR="00673F93" w:rsidRPr="00673F93" w:rsidRDefault="00673F93" w:rsidP="00D665CF">
            <w:pPr>
              <w:pStyle w:val="NoSpacing"/>
            </w:pPr>
            <w:r w:rsidRPr="00673F93">
              <w:t>0.213***</w:t>
            </w:r>
          </w:p>
        </w:tc>
        <w:tc>
          <w:tcPr>
            <w:tcW w:w="539" w:type="pct"/>
            <w:hideMark/>
          </w:tcPr>
          <w:p w14:paraId="354B798C" w14:textId="77777777" w:rsidR="00673F93" w:rsidRPr="00673F93" w:rsidRDefault="00673F93" w:rsidP="00D665CF">
            <w:pPr>
              <w:pStyle w:val="NoSpacing"/>
            </w:pPr>
            <w:r w:rsidRPr="00673F93">
              <w:t>4.46</w:t>
            </w:r>
          </w:p>
        </w:tc>
        <w:tc>
          <w:tcPr>
            <w:tcW w:w="493" w:type="pct"/>
            <w:hideMark/>
          </w:tcPr>
          <w:p w14:paraId="2B82BDC9" w14:textId="77777777" w:rsidR="00673F93" w:rsidRPr="00673F93" w:rsidRDefault="00673F93" w:rsidP="00D665CF">
            <w:pPr>
              <w:pStyle w:val="NoSpacing"/>
            </w:pPr>
            <w:r w:rsidRPr="00673F93">
              <w:t>−0.056</w:t>
            </w:r>
          </w:p>
        </w:tc>
        <w:tc>
          <w:tcPr>
            <w:tcW w:w="513" w:type="pct"/>
            <w:hideMark/>
          </w:tcPr>
          <w:p w14:paraId="51B79E43" w14:textId="77777777" w:rsidR="00673F93" w:rsidRPr="00673F93" w:rsidRDefault="00673F93" w:rsidP="00D665CF">
            <w:pPr>
              <w:pStyle w:val="NoSpacing"/>
            </w:pPr>
            <w:r w:rsidRPr="00673F93">
              <w:t>−0.95</w:t>
            </w:r>
          </w:p>
        </w:tc>
      </w:tr>
      <w:tr w:rsidR="00146CC8" w:rsidRPr="00673F93" w14:paraId="3E495609" w14:textId="77777777" w:rsidTr="003245D9">
        <w:tc>
          <w:tcPr>
            <w:tcW w:w="2698" w:type="pct"/>
            <w:hideMark/>
          </w:tcPr>
          <w:p w14:paraId="737233DB" w14:textId="77777777" w:rsidR="00673F93" w:rsidRPr="00162019" w:rsidRDefault="00673F93" w:rsidP="00D665CF">
            <w:pPr>
              <w:pStyle w:val="NoSpacing"/>
              <w:rPr>
                <w:i/>
                <w:iCs/>
              </w:rPr>
            </w:pPr>
            <w:r w:rsidRPr="00162019">
              <w:rPr>
                <w:i/>
                <w:iCs/>
              </w:rPr>
              <w:t>SIZE</w:t>
            </w:r>
          </w:p>
        </w:tc>
        <w:tc>
          <w:tcPr>
            <w:tcW w:w="757" w:type="pct"/>
            <w:hideMark/>
          </w:tcPr>
          <w:p w14:paraId="7F3C3B29" w14:textId="77777777" w:rsidR="00673F93" w:rsidRPr="00673F93" w:rsidRDefault="00673F93" w:rsidP="00D665CF">
            <w:pPr>
              <w:pStyle w:val="NoSpacing"/>
            </w:pPr>
            <w:r w:rsidRPr="00673F93">
              <w:t>0.149***</w:t>
            </w:r>
          </w:p>
        </w:tc>
        <w:tc>
          <w:tcPr>
            <w:tcW w:w="539" w:type="pct"/>
            <w:hideMark/>
          </w:tcPr>
          <w:p w14:paraId="44B69598" w14:textId="77777777" w:rsidR="00673F93" w:rsidRPr="00673F93" w:rsidRDefault="00673F93" w:rsidP="00D665CF">
            <w:pPr>
              <w:pStyle w:val="NoSpacing"/>
            </w:pPr>
            <w:r w:rsidRPr="00673F93">
              <w:t>5.04</w:t>
            </w:r>
          </w:p>
        </w:tc>
        <w:tc>
          <w:tcPr>
            <w:tcW w:w="493" w:type="pct"/>
            <w:hideMark/>
          </w:tcPr>
          <w:p w14:paraId="2B95D23E" w14:textId="77777777" w:rsidR="00673F93" w:rsidRPr="00673F93" w:rsidRDefault="00673F93" w:rsidP="00D665CF">
            <w:pPr>
              <w:pStyle w:val="NoSpacing"/>
            </w:pPr>
            <w:r w:rsidRPr="00673F93">
              <w:t>0.049</w:t>
            </w:r>
          </w:p>
        </w:tc>
        <w:tc>
          <w:tcPr>
            <w:tcW w:w="513" w:type="pct"/>
            <w:hideMark/>
          </w:tcPr>
          <w:p w14:paraId="2DAF6F30" w14:textId="77777777" w:rsidR="00673F93" w:rsidRPr="00673F93" w:rsidRDefault="00673F93" w:rsidP="00D665CF">
            <w:pPr>
              <w:pStyle w:val="NoSpacing"/>
            </w:pPr>
            <w:r w:rsidRPr="00673F93">
              <w:t>1.44</w:t>
            </w:r>
          </w:p>
        </w:tc>
      </w:tr>
      <w:tr w:rsidR="00146CC8" w:rsidRPr="00673F93" w14:paraId="09923C10" w14:textId="77777777" w:rsidTr="003245D9">
        <w:tc>
          <w:tcPr>
            <w:tcW w:w="2698" w:type="pct"/>
            <w:hideMark/>
          </w:tcPr>
          <w:p w14:paraId="1E7669B1" w14:textId="77777777" w:rsidR="00673F93" w:rsidRPr="00162019" w:rsidRDefault="00673F93" w:rsidP="00D665CF">
            <w:pPr>
              <w:pStyle w:val="NoSpacing"/>
              <w:rPr>
                <w:i/>
                <w:iCs/>
              </w:rPr>
            </w:pPr>
            <w:r w:rsidRPr="00162019">
              <w:rPr>
                <w:i/>
                <w:iCs/>
              </w:rPr>
              <w:t>RD</w:t>
            </w:r>
          </w:p>
        </w:tc>
        <w:tc>
          <w:tcPr>
            <w:tcW w:w="757" w:type="pct"/>
            <w:hideMark/>
          </w:tcPr>
          <w:p w14:paraId="3FC17DA6" w14:textId="77777777" w:rsidR="00673F93" w:rsidRPr="00673F93" w:rsidRDefault="00673F93" w:rsidP="00D665CF">
            <w:pPr>
              <w:pStyle w:val="NoSpacing"/>
            </w:pPr>
            <w:r w:rsidRPr="00673F93">
              <w:t>0.157</w:t>
            </w:r>
          </w:p>
        </w:tc>
        <w:tc>
          <w:tcPr>
            <w:tcW w:w="539" w:type="pct"/>
            <w:hideMark/>
          </w:tcPr>
          <w:p w14:paraId="7CFE14AE" w14:textId="77777777" w:rsidR="00673F93" w:rsidRPr="00673F93" w:rsidRDefault="00673F93" w:rsidP="00D665CF">
            <w:pPr>
              <w:pStyle w:val="NoSpacing"/>
            </w:pPr>
            <w:r w:rsidRPr="00673F93">
              <w:t>0.88</w:t>
            </w:r>
          </w:p>
        </w:tc>
        <w:tc>
          <w:tcPr>
            <w:tcW w:w="493" w:type="pct"/>
            <w:hideMark/>
          </w:tcPr>
          <w:p w14:paraId="3A6C4D13" w14:textId="77777777" w:rsidR="00673F93" w:rsidRPr="00673F93" w:rsidRDefault="00673F93" w:rsidP="00D665CF">
            <w:pPr>
              <w:pStyle w:val="NoSpacing"/>
            </w:pPr>
            <w:r w:rsidRPr="00673F93">
              <w:t>0.035</w:t>
            </w:r>
          </w:p>
        </w:tc>
        <w:tc>
          <w:tcPr>
            <w:tcW w:w="513" w:type="pct"/>
            <w:hideMark/>
          </w:tcPr>
          <w:p w14:paraId="67D5A119" w14:textId="77777777" w:rsidR="00673F93" w:rsidRPr="00673F93" w:rsidRDefault="00673F93" w:rsidP="00D665CF">
            <w:pPr>
              <w:pStyle w:val="NoSpacing"/>
            </w:pPr>
            <w:r w:rsidRPr="00673F93">
              <w:t>0.11</w:t>
            </w:r>
          </w:p>
        </w:tc>
      </w:tr>
      <w:tr w:rsidR="00146CC8" w:rsidRPr="00673F93" w14:paraId="670B64CD" w14:textId="77777777" w:rsidTr="003245D9">
        <w:tc>
          <w:tcPr>
            <w:tcW w:w="2698" w:type="pct"/>
            <w:hideMark/>
          </w:tcPr>
          <w:p w14:paraId="4A16EE94" w14:textId="77777777" w:rsidR="00673F93" w:rsidRPr="00162019" w:rsidRDefault="00673F93" w:rsidP="00D665CF">
            <w:pPr>
              <w:pStyle w:val="NoSpacing"/>
              <w:rPr>
                <w:i/>
                <w:iCs/>
              </w:rPr>
            </w:pPr>
            <w:r w:rsidRPr="00162019">
              <w:rPr>
                <w:i/>
                <w:iCs/>
              </w:rPr>
              <w:t>ADVERTISING</w:t>
            </w:r>
          </w:p>
        </w:tc>
        <w:tc>
          <w:tcPr>
            <w:tcW w:w="757" w:type="pct"/>
            <w:hideMark/>
          </w:tcPr>
          <w:p w14:paraId="6CCB8984" w14:textId="77777777" w:rsidR="00673F93" w:rsidRPr="00673F93" w:rsidRDefault="00673F93" w:rsidP="00D665CF">
            <w:pPr>
              <w:pStyle w:val="NoSpacing"/>
            </w:pPr>
            <w:r w:rsidRPr="00673F93">
              <w:t>0.377</w:t>
            </w:r>
          </w:p>
        </w:tc>
        <w:tc>
          <w:tcPr>
            <w:tcW w:w="539" w:type="pct"/>
            <w:hideMark/>
          </w:tcPr>
          <w:p w14:paraId="5767806B" w14:textId="77777777" w:rsidR="00673F93" w:rsidRPr="00673F93" w:rsidRDefault="00673F93" w:rsidP="00D665CF">
            <w:pPr>
              <w:pStyle w:val="NoSpacing"/>
            </w:pPr>
            <w:r w:rsidRPr="00673F93">
              <w:t>0.57</w:t>
            </w:r>
          </w:p>
        </w:tc>
        <w:tc>
          <w:tcPr>
            <w:tcW w:w="493" w:type="pct"/>
            <w:hideMark/>
          </w:tcPr>
          <w:p w14:paraId="38B65F44" w14:textId="77777777" w:rsidR="00673F93" w:rsidRPr="00673F93" w:rsidRDefault="00673F93" w:rsidP="00D665CF">
            <w:pPr>
              <w:pStyle w:val="NoSpacing"/>
            </w:pPr>
            <w:r w:rsidRPr="00673F93">
              <w:t>−0.387</w:t>
            </w:r>
          </w:p>
        </w:tc>
        <w:tc>
          <w:tcPr>
            <w:tcW w:w="513" w:type="pct"/>
            <w:hideMark/>
          </w:tcPr>
          <w:p w14:paraId="477177BD" w14:textId="77777777" w:rsidR="00673F93" w:rsidRPr="00673F93" w:rsidRDefault="00673F93" w:rsidP="00D665CF">
            <w:pPr>
              <w:pStyle w:val="NoSpacing"/>
            </w:pPr>
            <w:r w:rsidRPr="00673F93">
              <w:t>−0.28</w:t>
            </w:r>
          </w:p>
        </w:tc>
      </w:tr>
      <w:tr w:rsidR="00146CC8" w:rsidRPr="00673F93" w14:paraId="769D1E2F" w14:textId="77777777" w:rsidTr="003245D9">
        <w:tc>
          <w:tcPr>
            <w:tcW w:w="2698" w:type="pct"/>
            <w:hideMark/>
          </w:tcPr>
          <w:p w14:paraId="3B26EFD4" w14:textId="77777777" w:rsidR="00673F93" w:rsidRPr="00162019" w:rsidRDefault="00673F93" w:rsidP="00D665CF">
            <w:pPr>
              <w:pStyle w:val="NoSpacing"/>
              <w:rPr>
                <w:i/>
                <w:iCs/>
              </w:rPr>
            </w:pPr>
            <w:r w:rsidRPr="00162019">
              <w:rPr>
                <w:i/>
                <w:iCs/>
              </w:rPr>
              <w:t>LIT</w:t>
            </w:r>
          </w:p>
        </w:tc>
        <w:tc>
          <w:tcPr>
            <w:tcW w:w="757" w:type="pct"/>
            <w:hideMark/>
          </w:tcPr>
          <w:p w14:paraId="5FCB6C4F" w14:textId="77777777" w:rsidR="00673F93" w:rsidRPr="00673F93" w:rsidRDefault="00673F93" w:rsidP="00D665CF">
            <w:pPr>
              <w:pStyle w:val="NoSpacing"/>
            </w:pPr>
            <w:r w:rsidRPr="00673F93">
              <w:t>1.750</w:t>
            </w:r>
          </w:p>
        </w:tc>
        <w:tc>
          <w:tcPr>
            <w:tcW w:w="539" w:type="pct"/>
            <w:hideMark/>
          </w:tcPr>
          <w:p w14:paraId="1A06F9CE" w14:textId="77777777" w:rsidR="00673F93" w:rsidRPr="00673F93" w:rsidRDefault="00673F93" w:rsidP="00D665CF">
            <w:pPr>
              <w:pStyle w:val="NoSpacing"/>
            </w:pPr>
            <w:r w:rsidRPr="00673F93">
              <w:t>0.69</w:t>
            </w:r>
          </w:p>
        </w:tc>
        <w:tc>
          <w:tcPr>
            <w:tcW w:w="493" w:type="pct"/>
            <w:hideMark/>
          </w:tcPr>
          <w:p w14:paraId="18AA04EB" w14:textId="77777777" w:rsidR="00673F93" w:rsidRPr="00673F93" w:rsidRDefault="00673F93" w:rsidP="00D665CF">
            <w:pPr>
              <w:pStyle w:val="NoSpacing"/>
            </w:pPr>
            <w:r w:rsidRPr="00673F93">
              <w:t>1.636</w:t>
            </w:r>
          </w:p>
        </w:tc>
        <w:tc>
          <w:tcPr>
            <w:tcW w:w="513" w:type="pct"/>
            <w:hideMark/>
          </w:tcPr>
          <w:p w14:paraId="4D8B5DDF" w14:textId="77777777" w:rsidR="00673F93" w:rsidRPr="00673F93" w:rsidRDefault="00673F93" w:rsidP="00D665CF">
            <w:pPr>
              <w:pStyle w:val="NoSpacing"/>
            </w:pPr>
            <w:r w:rsidRPr="00673F93">
              <w:t>0.51</w:t>
            </w:r>
          </w:p>
        </w:tc>
      </w:tr>
      <w:tr w:rsidR="00146CC8" w:rsidRPr="00673F93" w14:paraId="16582436" w14:textId="77777777" w:rsidTr="003245D9">
        <w:tc>
          <w:tcPr>
            <w:tcW w:w="2698" w:type="pct"/>
            <w:hideMark/>
          </w:tcPr>
          <w:p w14:paraId="049BD9AE" w14:textId="77777777" w:rsidR="00673F93" w:rsidRPr="00162019" w:rsidRDefault="00673F93" w:rsidP="00D665CF">
            <w:pPr>
              <w:pStyle w:val="NoSpacing"/>
              <w:rPr>
                <w:i/>
                <w:iCs/>
              </w:rPr>
            </w:pPr>
            <w:r w:rsidRPr="00162019">
              <w:rPr>
                <w:i/>
                <w:iCs/>
              </w:rPr>
              <w:t>CGSCORE</w:t>
            </w:r>
          </w:p>
        </w:tc>
        <w:tc>
          <w:tcPr>
            <w:tcW w:w="757" w:type="pct"/>
            <w:hideMark/>
          </w:tcPr>
          <w:p w14:paraId="69FA8B33" w14:textId="77777777" w:rsidR="00673F93" w:rsidRPr="00673F93" w:rsidRDefault="00673F93" w:rsidP="00D665CF">
            <w:pPr>
              <w:pStyle w:val="NoSpacing"/>
            </w:pPr>
            <w:r w:rsidRPr="00673F93">
              <w:t>0.467***</w:t>
            </w:r>
          </w:p>
        </w:tc>
        <w:tc>
          <w:tcPr>
            <w:tcW w:w="539" w:type="pct"/>
            <w:hideMark/>
          </w:tcPr>
          <w:p w14:paraId="4BBB1D10" w14:textId="77777777" w:rsidR="00673F93" w:rsidRPr="00673F93" w:rsidRDefault="00673F93" w:rsidP="00D665CF">
            <w:pPr>
              <w:pStyle w:val="NoSpacing"/>
            </w:pPr>
            <w:r w:rsidRPr="00673F93">
              <w:t>2.75</w:t>
            </w:r>
          </w:p>
        </w:tc>
        <w:tc>
          <w:tcPr>
            <w:tcW w:w="493" w:type="pct"/>
            <w:hideMark/>
          </w:tcPr>
          <w:p w14:paraId="6456BA1D" w14:textId="77777777" w:rsidR="00673F93" w:rsidRPr="00673F93" w:rsidRDefault="00673F93" w:rsidP="00D665CF">
            <w:pPr>
              <w:pStyle w:val="NoSpacing"/>
            </w:pPr>
            <w:r w:rsidRPr="00673F93">
              <w:t>−0.019</w:t>
            </w:r>
          </w:p>
        </w:tc>
        <w:tc>
          <w:tcPr>
            <w:tcW w:w="513" w:type="pct"/>
            <w:hideMark/>
          </w:tcPr>
          <w:p w14:paraId="6E2ED96D" w14:textId="77777777" w:rsidR="00673F93" w:rsidRPr="00673F93" w:rsidRDefault="00673F93" w:rsidP="00D665CF">
            <w:pPr>
              <w:pStyle w:val="NoSpacing"/>
            </w:pPr>
            <w:r w:rsidRPr="00673F93">
              <w:t>−0.09</w:t>
            </w:r>
          </w:p>
        </w:tc>
      </w:tr>
      <w:tr w:rsidR="00146CC8" w:rsidRPr="00673F93" w14:paraId="1122E2C0" w14:textId="77777777" w:rsidTr="003245D9">
        <w:tc>
          <w:tcPr>
            <w:tcW w:w="2698" w:type="pct"/>
            <w:hideMark/>
          </w:tcPr>
          <w:p w14:paraId="4E71D799" w14:textId="77777777" w:rsidR="00673F93" w:rsidRPr="00162019" w:rsidRDefault="00673F93" w:rsidP="00D665CF">
            <w:pPr>
              <w:pStyle w:val="NoSpacing"/>
              <w:rPr>
                <w:i/>
                <w:iCs/>
              </w:rPr>
            </w:pPr>
            <w:r w:rsidRPr="00162019">
              <w:rPr>
                <w:i/>
                <w:iCs/>
              </w:rPr>
              <w:t>CONSTANT</w:t>
            </w:r>
          </w:p>
        </w:tc>
        <w:tc>
          <w:tcPr>
            <w:tcW w:w="757" w:type="pct"/>
            <w:hideMark/>
          </w:tcPr>
          <w:p w14:paraId="0068FA54" w14:textId="77777777" w:rsidR="00673F93" w:rsidRPr="00673F93" w:rsidRDefault="00673F93" w:rsidP="00D665CF">
            <w:pPr>
              <w:pStyle w:val="NoSpacing"/>
            </w:pPr>
            <w:r w:rsidRPr="00673F93">
              <w:t>−1.774*</w:t>
            </w:r>
          </w:p>
        </w:tc>
        <w:tc>
          <w:tcPr>
            <w:tcW w:w="539" w:type="pct"/>
            <w:hideMark/>
          </w:tcPr>
          <w:p w14:paraId="565811A6" w14:textId="77777777" w:rsidR="00673F93" w:rsidRPr="00673F93" w:rsidRDefault="00673F93" w:rsidP="00D665CF">
            <w:pPr>
              <w:pStyle w:val="NoSpacing"/>
            </w:pPr>
            <w:r w:rsidRPr="00673F93">
              <w:t>−1.72</w:t>
            </w:r>
          </w:p>
        </w:tc>
        <w:tc>
          <w:tcPr>
            <w:tcW w:w="493" w:type="pct"/>
            <w:hideMark/>
          </w:tcPr>
          <w:p w14:paraId="0BAA02CC" w14:textId="77777777" w:rsidR="00673F93" w:rsidRPr="00673F93" w:rsidRDefault="00673F93" w:rsidP="00D665CF">
            <w:pPr>
              <w:pStyle w:val="NoSpacing"/>
            </w:pPr>
            <w:r w:rsidRPr="00673F93">
              <w:t>−0.720</w:t>
            </w:r>
          </w:p>
        </w:tc>
        <w:tc>
          <w:tcPr>
            <w:tcW w:w="513" w:type="pct"/>
            <w:hideMark/>
          </w:tcPr>
          <w:p w14:paraId="143A06C8" w14:textId="77777777" w:rsidR="00673F93" w:rsidRPr="00673F93" w:rsidRDefault="00673F93" w:rsidP="00D665CF">
            <w:pPr>
              <w:pStyle w:val="NoSpacing"/>
            </w:pPr>
            <w:r w:rsidRPr="00673F93">
              <w:t>−0.71</w:t>
            </w:r>
          </w:p>
        </w:tc>
      </w:tr>
      <w:tr w:rsidR="008100E4" w:rsidRPr="00673F93" w14:paraId="1DE343C4" w14:textId="77777777" w:rsidTr="003245D9">
        <w:tc>
          <w:tcPr>
            <w:tcW w:w="2698" w:type="pct"/>
            <w:hideMark/>
          </w:tcPr>
          <w:p w14:paraId="0261AD28" w14:textId="77777777" w:rsidR="008100E4" w:rsidRPr="00673F93" w:rsidRDefault="008100E4" w:rsidP="008100E4">
            <w:pPr>
              <w:pStyle w:val="NoSpacing"/>
            </w:pPr>
            <w:r w:rsidRPr="00673F93">
              <w:t>Year FE</w:t>
            </w:r>
          </w:p>
        </w:tc>
        <w:tc>
          <w:tcPr>
            <w:tcW w:w="757" w:type="pct"/>
            <w:hideMark/>
          </w:tcPr>
          <w:p w14:paraId="783C7CFE" w14:textId="77777777" w:rsidR="008100E4" w:rsidRPr="00673F93" w:rsidRDefault="008100E4" w:rsidP="008100E4">
            <w:pPr>
              <w:pStyle w:val="NoSpacing"/>
            </w:pPr>
            <w:r w:rsidRPr="00673F93">
              <w:t>Yes</w:t>
            </w:r>
          </w:p>
        </w:tc>
        <w:tc>
          <w:tcPr>
            <w:tcW w:w="539" w:type="pct"/>
          </w:tcPr>
          <w:p w14:paraId="43941596" w14:textId="202ED5FB" w:rsidR="008100E4" w:rsidRPr="00673F93" w:rsidRDefault="008100E4" w:rsidP="008100E4">
            <w:pPr>
              <w:pStyle w:val="NoSpacing"/>
            </w:pPr>
          </w:p>
        </w:tc>
        <w:tc>
          <w:tcPr>
            <w:tcW w:w="493" w:type="pct"/>
            <w:hideMark/>
          </w:tcPr>
          <w:p w14:paraId="230CE8E5" w14:textId="7B601EB4" w:rsidR="008100E4" w:rsidRPr="00673F93" w:rsidRDefault="008100E4" w:rsidP="008100E4">
            <w:pPr>
              <w:pStyle w:val="NoSpacing"/>
            </w:pPr>
            <w:r w:rsidRPr="00673F93">
              <w:t>Yes</w:t>
            </w:r>
          </w:p>
        </w:tc>
        <w:tc>
          <w:tcPr>
            <w:tcW w:w="513" w:type="pct"/>
            <w:hideMark/>
          </w:tcPr>
          <w:p w14:paraId="414F6505" w14:textId="77777777" w:rsidR="008100E4" w:rsidRPr="00673F93" w:rsidRDefault="008100E4" w:rsidP="008100E4">
            <w:pPr>
              <w:pStyle w:val="NoSpacing"/>
            </w:pPr>
          </w:p>
        </w:tc>
      </w:tr>
      <w:tr w:rsidR="008100E4" w:rsidRPr="00673F93" w14:paraId="3180C472" w14:textId="77777777" w:rsidTr="003245D9">
        <w:tc>
          <w:tcPr>
            <w:tcW w:w="2698" w:type="pct"/>
            <w:hideMark/>
          </w:tcPr>
          <w:p w14:paraId="32AB6C9A" w14:textId="77777777" w:rsidR="008100E4" w:rsidRPr="00673F93" w:rsidRDefault="008100E4" w:rsidP="008100E4">
            <w:pPr>
              <w:pStyle w:val="NoSpacing"/>
            </w:pPr>
            <w:r w:rsidRPr="00673F93">
              <w:t>Industry FE</w:t>
            </w:r>
          </w:p>
        </w:tc>
        <w:tc>
          <w:tcPr>
            <w:tcW w:w="757" w:type="pct"/>
            <w:hideMark/>
          </w:tcPr>
          <w:p w14:paraId="757224D6" w14:textId="77777777" w:rsidR="008100E4" w:rsidRPr="00673F93" w:rsidRDefault="008100E4" w:rsidP="008100E4">
            <w:pPr>
              <w:pStyle w:val="NoSpacing"/>
            </w:pPr>
            <w:r w:rsidRPr="00673F93">
              <w:t>Yes</w:t>
            </w:r>
          </w:p>
        </w:tc>
        <w:tc>
          <w:tcPr>
            <w:tcW w:w="539" w:type="pct"/>
          </w:tcPr>
          <w:p w14:paraId="36FC1E3A" w14:textId="3FD3C97D" w:rsidR="008100E4" w:rsidRPr="00673F93" w:rsidRDefault="008100E4" w:rsidP="008100E4">
            <w:pPr>
              <w:pStyle w:val="NoSpacing"/>
            </w:pPr>
          </w:p>
        </w:tc>
        <w:tc>
          <w:tcPr>
            <w:tcW w:w="493" w:type="pct"/>
            <w:hideMark/>
          </w:tcPr>
          <w:p w14:paraId="012073E9" w14:textId="3186DB9F" w:rsidR="008100E4" w:rsidRPr="00673F93" w:rsidRDefault="008100E4" w:rsidP="008100E4">
            <w:pPr>
              <w:pStyle w:val="NoSpacing"/>
            </w:pPr>
            <w:r w:rsidRPr="00673F93">
              <w:t>Yes</w:t>
            </w:r>
          </w:p>
        </w:tc>
        <w:tc>
          <w:tcPr>
            <w:tcW w:w="513" w:type="pct"/>
            <w:hideMark/>
          </w:tcPr>
          <w:p w14:paraId="550B6724" w14:textId="77777777" w:rsidR="008100E4" w:rsidRPr="00673F93" w:rsidRDefault="008100E4" w:rsidP="008100E4">
            <w:pPr>
              <w:pStyle w:val="NoSpacing"/>
            </w:pPr>
          </w:p>
        </w:tc>
      </w:tr>
      <w:tr w:rsidR="008100E4" w:rsidRPr="00673F93" w14:paraId="0E594390" w14:textId="77777777" w:rsidTr="003245D9">
        <w:tc>
          <w:tcPr>
            <w:tcW w:w="2698" w:type="pct"/>
            <w:hideMark/>
          </w:tcPr>
          <w:p w14:paraId="33FD0BBA" w14:textId="77777777" w:rsidR="008100E4" w:rsidRPr="00673F93" w:rsidRDefault="008100E4" w:rsidP="008100E4">
            <w:pPr>
              <w:pStyle w:val="NoSpacing"/>
            </w:pPr>
            <w:r w:rsidRPr="00673F93">
              <w:t>Observations</w:t>
            </w:r>
          </w:p>
        </w:tc>
        <w:tc>
          <w:tcPr>
            <w:tcW w:w="757" w:type="pct"/>
            <w:hideMark/>
          </w:tcPr>
          <w:p w14:paraId="0DB7AEE6" w14:textId="77777777" w:rsidR="008100E4" w:rsidRPr="00673F93" w:rsidRDefault="008100E4" w:rsidP="008100E4">
            <w:pPr>
              <w:pStyle w:val="NoSpacing"/>
            </w:pPr>
            <w:r w:rsidRPr="00673F93">
              <w:t>11,259</w:t>
            </w:r>
          </w:p>
        </w:tc>
        <w:tc>
          <w:tcPr>
            <w:tcW w:w="539" w:type="pct"/>
          </w:tcPr>
          <w:p w14:paraId="5ABD563D" w14:textId="3AE588F1" w:rsidR="008100E4" w:rsidRPr="00673F93" w:rsidRDefault="008100E4" w:rsidP="008100E4">
            <w:pPr>
              <w:pStyle w:val="NoSpacing"/>
            </w:pPr>
          </w:p>
        </w:tc>
        <w:tc>
          <w:tcPr>
            <w:tcW w:w="493" w:type="pct"/>
            <w:hideMark/>
          </w:tcPr>
          <w:p w14:paraId="2CA25434" w14:textId="1DA442E6" w:rsidR="008100E4" w:rsidRPr="00673F93" w:rsidRDefault="008100E4" w:rsidP="008100E4">
            <w:pPr>
              <w:pStyle w:val="NoSpacing"/>
            </w:pPr>
            <w:r w:rsidRPr="00673F93">
              <w:t>9,649</w:t>
            </w:r>
          </w:p>
        </w:tc>
        <w:tc>
          <w:tcPr>
            <w:tcW w:w="513" w:type="pct"/>
            <w:hideMark/>
          </w:tcPr>
          <w:p w14:paraId="6A8513E6" w14:textId="77777777" w:rsidR="008100E4" w:rsidRPr="00673F93" w:rsidRDefault="008100E4" w:rsidP="008100E4">
            <w:pPr>
              <w:pStyle w:val="NoSpacing"/>
            </w:pPr>
          </w:p>
        </w:tc>
      </w:tr>
      <w:tr w:rsidR="008100E4" w:rsidRPr="00673F93" w14:paraId="7BE8711F" w14:textId="77777777" w:rsidTr="003245D9">
        <w:tc>
          <w:tcPr>
            <w:tcW w:w="2698" w:type="pct"/>
            <w:hideMark/>
          </w:tcPr>
          <w:p w14:paraId="11819919" w14:textId="77777777" w:rsidR="008100E4" w:rsidRPr="00673F93" w:rsidRDefault="008100E4" w:rsidP="008100E4">
            <w:pPr>
              <w:pStyle w:val="NoSpacing"/>
            </w:pPr>
            <w:r w:rsidRPr="00673F93">
              <w:t>Adj. R</w:t>
            </w:r>
            <w:r w:rsidRPr="00673F93">
              <w:rPr>
                <w:vertAlign w:val="superscript"/>
              </w:rPr>
              <w:t>2</w:t>
            </w:r>
          </w:p>
        </w:tc>
        <w:tc>
          <w:tcPr>
            <w:tcW w:w="757" w:type="pct"/>
            <w:hideMark/>
          </w:tcPr>
          <w:p w14:paraId="33DB06E2" w14:textId="77777777" w:rsidR="008100E4" w:rsidRPr="00673F93" w:rsidRDefault="008100E4" w:rsidP="008100E4">
            <w:pPr>
              <w:pStyle w:val="NoSpacing"/>
            </w:pPr>
            <w:r w:rsidRPr="00673F93">
              <w:t>0.057</w:t>
            </w:r>
          </w:p>
        </w:tc>
        <w:tc>
          <w:tcPr>
            <w:tcW w:w="539" w:type="pct"/>
          </w:tcPr>
          <w:p w14:paraId="74A3EBC8" w14:textId="12C358CD" w:rsidR="008100E4" w:rsidRPr="00673F93" w:rsidRDefault="008100E4" w:rsidP="008100E4">
            <w:pPr>
              <w:pStyle w:val="NoSpacing"/>
            </w:pPr>
          </w:p>
        </w:tc>
        <w:tc>
          <w:tcPr>
            <w:tcW w:w="493" w:type="pct"/>
            <w:hideMark/>
          </w:tcPr>
          <w:p w14:paraId="4F995622" w14:textId="41A726C1" w:rsidR="008100E4" w:rsidRPr="00673F93" w:rsidRDefault="008100E4" w:rsidP="008100E4">
            <w:pPr>
              <w:pStyle w:val="NoSpacing"/>
            </w:pPr>
            <w:r w:rsidRPr="00673F93">
              <w:t>0.047</w:t>
            </w:r>
          </w:p>
        </w:tc>
        <w:tc>
          <w:tcPr>
            <w:tcW w:w="513" w:type="pct"/>
            <w:hideMark/>
          </w:tcPr>
          <w:p w14:paraId="488A4791" w14:textId="77777777" w:rsidR="008100E4" w:rsidRPr="00673F93" w:rsidRDefault="008100E4" w:rsidP="008100E4">
            <w:pPr>
              <w:pStyle w:val="NoSpacing"/>
            </w:pPr>
          </w:p>
        </w:tc>
      </w:tr>
    </w:tbl>
    <w:p w14:paraId="1F489E3C" w14:textId="285767FB" w:rsidR="00673F93" w:rsidRDefault="00673F93" w:rsidP="00673F93">
      <w:pPr>
        <w:rPr>
          <w:rFonts w:cstheme="minorHAnsi"/>
          <w:sz w:val="24"/>
          <w:szCs w:val="24"/>
        </w:rPr>
      </w:pPr>
    </w:p>
    <w:tbl>
      <w:tblPr>
        <w:tblStyle w:val="TableGrid"/>
        <w:tblW w:w="5000" w:type="pct"/>
        <w:tblLook w:val="04A0" w:firstRow="1" w:lastRow="0" w:firstColumn="1" w:lastColumn="0" w:noHBand="0" w:noVBand="1"/>
      </w:tblPr>
      <w:tblGrid>
        <w:gridCol w:w="8854"/>
        <w:gridCol w:w="1217"/>
        <w:gridCol w:w="1288"/>
        <w:gridCol w:w="1217"/>
        <w:gridCol w:w="1094"/>
      </w:tblGrid>
      <w:tr w:rsidR="008100E4" w:rsidRPr="00673F93" w14:paraId="3D32B8B3" w14:textId="77777777" w:rsidTr="0039362A">
        <w:tc>
          <w:tcPr>
            <w:tcW w:w="3239" w:type="pct"/>
          </w:tcPr>
          <w:p w14:paraId="149C4AF8" w14:textId="0E9DA314" w:rsidR="008100E4" w:rsidRPr="00673F93" w:rsidRDefault="008100E4" w:rsidP="008100E4">
            <w:pPr>
              <w:pStyle w:val="NoSpacing"/>
            </w:pPr>
            <w:r w:rsidRPr="00673F93">
              <w:t>Panel B: Regressions of CSR and price informativeness using propensity score matched sample</w:t>
            </w:r>
          </w:p>
        </w:tc>
        <w:tc>
          <w:tcPr>
            <w:tcW w:w="445" w:type="pct"/>
            <w:hideMark/>
          </w:tcPr>
          <w:p w14:paraId="449027E4" w14:textId="77777777" w:rsidR="008100E4" w:rsidRPr="00673F93" w:rsidRDefault="008100E4" w:rsidP="008100E4">
            <w:pPr>
              <w:pStyle w:val="NoSpacing"/>
            </w:pPr>
          </w:p>
        </w:tc>
        <w:tc>
          <w:tcPr>
            <w:tcW w:w="471" w:type="pct"/>
          </w:tcPr>
          <w:p w14:paraId="69573210" w14:textId="77777777" w:rsidR="008100E4" w:rsidRPr="00673F93" w:rsidRDefault="008100E4" w:rsidP="008100E4">
            <w:pPr>
              <w:pStyle w:val="NoSpacing"/>
            </w:pPr>
          </w:p>
        </w:tc>
        <w:tc>
          <w:tcPr>
            <w:tcW w:w="445" w:type="pct"/>
          </w:tcPr>
          <w:p w14:paraId="512880A7" w14:textId="77777777" w:rsidR="008100E4" w:rsidRPr="00673F93" w:rsidRDefault="008100E4" w:rsidP="008100E4">
            <w:pPr>
              <w:pStyle w:val="NoSpacing"/>
            </w:pPr>
          </w:p>
        </w:tc>
        <w:tc>
          <w:tcPr>
            <w:tcW w:w="400" w:type="pct"/>
          </w:tcPr>
          <w:p w14:paraId="3FEB33E5" w14:textId="7D3DBD32" w:rsidR="008100E4" w:rsidRPr="00673F93" w:rsidRDefault="008100E4" w:rsidP="008100E4">
            <w:pPr>
              <w:pStyle w:val="NoSpacing"/>
            </w:pPr>
          </w:p>
        </w:tc>
      </w:tr>
      <w:tr w:rsidR="0039362A" w:rsidRPr="00673F93" w14:paraId="7505E915" w14:textId="77777777" w:rsidTr="0039362A">
        <w:tc>
          <w:tcPr>
            <w:tcW w:w="3239" w:type="pct"/>
            <w:hideMark/>
          </w:tcPr>
          <w:p w14:paraId="5DE48311" w14:textId="77777777" w:rsidR="008100E4" w:rsidRPr="00673F93" w:rsidRDefault="008100E4" w:rsidP="008100E4">
            <w:pPr>
              <w:pStyle w:val="NoSpacing"/>
            </w:pPr>
          </w:p>
        </w:tc>
        <w:tc>
          <w:tcPr>
            <w:tcW w:w="445" w:type="pct"/>
            <w:hideMark/>
          </w:tcPr>
          <w:p w14:paraId="22850D6D" w14:textId="77777777" w:rsidR="008100E4" w:rsidRPr="00673F93" w:rsidRDefault="008100E4" w:rsidP="008100E4">
            <w:pPr>
              <w:pStyle w:val="NoSpacing"/>
            </w:pPr>
            <w:r w:rsidRPr="00673F93">
              <w:t>(1)</w:t>
            </w:r>
          </w:p>
          <w:p w14:paraId="6560D7CD" w14:textId="77777777" w:rsidR="008100E4" w:rsidRPr="00673F93" w:rsidRDefault="008100E4" w:rsidP="008100E4">
            <w:pPr>
              <w:pStyle w:val="NoSpacing"/>
            </w:pPr>
            <w:r w:rsidRPr="00673F93">
              <w:t>ΔPIN</w:t>
            </w:r>
          </w:p>
        </w:tc>
        <w:tc>
          <w:tcPr>
            <w:tcW w:w="471" w:type="pct"/>
          </w:tcPr>
          <w:p w14:paraId="161D3443" w14:textId="77777777" w:rsidR="008100E4" w:rsidRPr="00673F93" w:rsidRDefault="008100E4" w:rsidP="008100E4">
            <w:pPr>
              <w:pStyle w:val="NoSpacing"/>
            </w:pPr>
          </w:p>
        </w:tc>
        <w:tc>
          <w:tcPr>
            <w:tcW w:w="445" w:type="pct"/>
          </w:tcPr>
          <w:p w14:paraId="36DAC529" w14:textId="24949847" w:rsidR="008100E4" w:rsidRPr="00673F93" w:rsidRDefault="00972362" w:rsidP="008100E4">
            <w:pPr>
              <w:pStyle w:val="NoSpacing"/>
            </w:pPr>
            <w:r w:rsidRPr="00673F93">
              <w:t>(2)</w:t>
            </w:r>
          </w:p>
        </w:tc>
        <w:tc>
          <w:tcPr>
            <w:tcW w:w="400" w:type="pct"/>
            <w:hideMark/>
          </w:tcPr>
          <w:p w14:paraId="4F43BF12" w14:textId="7C09F1F7" w:rsidR="008100E4" w:rsidRPr="00673F93" w:rsidRDefault="008100E4" w:rsidP="008100E4">
            <w:pPr>
              <w:pStyle w:val="NoSpacing"/>
            </w:pPr>
          </w:p>
        </w:tc>
      </w:tr>
      <w:tr w:rsidR="008100E4" w:rsidRPr="00673F93" w14:paraId="71E5CC8B" w14:textId="77777777" w:rsidTr="0039362A">
        <w:tc>
          <w:tcPr>
            <w:tcW w:w="3239" w:type="pct"/>
            <w:hideMark/>
          </w:tcPr>
          <w:p w14:paraId="7ECBB8C5" w14:textId="77777777" w:rsidR="008100E4" w:rsidRPr="00673F93" w:rsidRDefault="008100E4" w:rsidP="008100E4">
            <w:pPr>
              <w:pStyle w:val="NoSpacing"/>
            </w:pPr>
          </w:p>
        </w:tc>
        <w:tc>
          <w:tcPr>
            <w:tcW w:w="445" w:type="pct"/>
            <w:hideMark/>
          </w:tcPr>
          <w:p w14:paraId="687C5E5E" w14:textId="2CC5D25F" w:rsidR="008100E4" w:rsidRPr="00972362" w:rsidRDefault="008100E4" w:rsidP="008100E4">
            <w:pPr>
              <w:pStyle w:val="NoSpacing"/>
            </w:pPr>
            <m:oMathPara>
              <m:oMathParaPr>
                <m:jc m:val="left"/>
              </m:oMathParaPr>
              <m:oMath>
                <m:r>
                  <m:rPr>
                    <m:sty m:val="p"/>
                  </m:rPr>
                  <w:rPr>
                    <w:rFonts w:ascii="Cambria Math" w:hAnsi="Cambria Math"/>
                  </w:rPr>
                  <m:t>Ψ</m:t>
                </m:r>
              </m:oMath>
            </m:oMathPara>
          </w:p>
        </w:tc>
        <w:tc>
          <w:tcPr>
            <w:tcW w:w="471" w:type="pct"/>
          </w:tcPr>
          <w:p w14:paraId="6C556981" w14:textId="77777777" w:rsidR="008100E4" w:rsidRPr="00673F93" w:rsidRDefault="008100E4" w:rsidP="008100E4">
            <w:pPr>
              <w:pStyle w:val="NoSpacing"/>
            </w:pPr>
          </w:p>
        </w:tc>
        <w:tc>
          <w:tcPr>
            <w:tcW w:w="445" w:type="pct"/>
          </w:tcPr>
          <w:p w14:paraId="7CC58B6B" w14:textId="10E3D95C" w:rsidR="008100E4" w:rsidRPr="00673F93" w:rsidRDefault="00972362" w:rsidP="008100E4">
            <w:pPr>
              <w:pStyle w:val="NoSpacing"/>
            </w:pPr>
            <w:r w:rsidRPr="00673F93">
              <w:t>PIN</w:t>
            </w:r>
          </w:p>
        </w:tc>
        <w:tc>
          <w:tcPr>
            <w:tcW w:w="400" w:type="pct"/>
            <w:hideMark/>
          </w:tcPr>
          <w:p w14:paraId="063D1F48" w14:textId="3669B8D0" w:rsidR="008100E4" w:rsidRPr="00673F93" w:rsidRDefault="008100E4" w:rsidP="008100E4">
            <w:pPr>
              <w:pStyle w:val="NoSpacing"/>
            </w:pPr>
          </w:p>
        </w:tc>
      </w:tr>
      <w:tr w:rsidR="0039362A" w:rsidRPr="00673F93" w14:paraId="1C7787DE" w14:textId="77777777" w:rsidTr="0039362A">
        <w:tc>
          <w:tcPr>
            <w:tcW w:w="3239" w:type="pct"/>
            <w:hideMark/>
          </w:tcPr>
          <w:p w14:paraId="17E4E3F7" w14:textId="77777777" w:rsidR="00673F93" w:rsidRPr="00673F93" w:rsidRDefault="00673F93" w:rsidP="008100E4">
            <w:pPr>
              <w:pStyle w:val="NoSpacing"/>
            </w:pPr>
          </w:p>
        </w:tc>
        <w:tc>
          <w:tcPr>
            <w:tcW w:w="445" w:type="pct"/>
            <w:hideMark/>
          </w:tcPr>
          <w:p w14:paraId="430A2AC2" w14:textId="77777777" w:rsidR="00673F93" w:rsidRPr="00673F93" w:rsidRDefault="00673F93" w:rsidP="008100E4">
            <w:pPr>
              <w:pStyle w:val="NoSpacing"/>
            </w:pPr>
            <w:r w:rsidRPr="00673F93">
              <w:t>Coefficient</w:t>
            </w:r>
          </w:p>
        </w:tc>
        <w:tc>
          <w:tcPr>
            <w:tcW w:w="471" w:type="pct"/>
            <w:hideMark/>
          </w:tcPr>
          <w:p w14:paraId="78173EDF" w14:textId="77777777" w:rsidR="00673F93" w:rsidRPr="00673F93" w:rsidRDefault="00673F93" w:rsidP="008100E4">
            <w:pPr>
              <w:pStyle w:val="NoSpacing"/>
            </w:pPr>
            <w:r w:rsidRPr="00673F93">
              <w:t>t‐Statistic</w:t>
            </w:r>
          </w:p>
        </w:tc>
        <w:tc>
          <w:tcPr>
            <w:tcW w:w="445" w:type="pct"/>
            <w:hideMark/>
          </w:tcPr>
          <w:p w14:paraId="2ED3EE85" w14:textId="77777777" w:rsidR="00673F93" w:rsidRPr="00673F93" w:rsidRDefault="00673F93" w:rsidP="008100E4">
            <w:pPr>
              <w:pStyle w:val="NoSpacing"/>
            </w:pPr>
            <w:r w:rsidRPr="00673F93">
              <w:t>Coefficient</w:t>
            </w:r>
          </w:p>
        </w:tc>
        <w:tc>
          <w:tcPr>
            <w:tcW w:w="400" w:type="pct"/>
            <w:hideMark/>
          </w:tcPr>
          <w:p w14:paraId="13722163" w14:textId="77777777" w:rsidR="00673F93" w:rsidRPr="00673F93" w:rsidRDefault="00673F93" w:rsidP="008100E4">
            <w:pPr>
              <w:pStyle w:val="NoSpacing"/>
            </w:pPr>
            <w:r w:rsidRPr="00673F93">
              <w:t>t‐Statistic</w:t>
            </w:r>
          </w:p>
        </w:tc>
      </w:tr>
      <w:tr w:rsidR="0039362A" w:rsidRPr="00673F93" w14:paraId="17FA3C38" w14:textId="77777777" w:rsidTr="0039362A">
        <w:tc>
          <w:tcPr>
            <w:tcW w:w="3239" w:type="pct"/>
            <w:hideMark/>
          </w:tcPr>
          <w:p w14:paraId="30A40C44" w14:textId="77777777" w:rsidR="00673F93" w:rsidRPr="00162019" w:rsidRDefault="00673F93" w:rsidP="008100E4">
            <w:pPr>
              <w:pStyle w:val="NoSpacing"/>
              <w:rPr>
                <w:i/>
                <w:iCs/>
              </w:rPr>
            </w:pPr>
            <w:r w:rsidRPr="00162019">
              <w:rPr>
                <w:i/>
                <w:iCs/>
              </w:rPr>
              <w:t>CSR</w:t>
            </w:r>
          </w:p>
        </w:tc>
        <w:tc>
          <w:tcPr>
            <w:tcW w:w="445" w:type="pct"/>
            <w:hideMark/>
          </w:tcPr>
          <w:p w14:paraId="20776485" w14:textId="77777777" w:rsidR="00673F93" w:rsidRPr="00673F93" w:rsidRDefault="00673F93" w:rsidP="008100E4">
            <w:pPr>
              <w:pStyle w:val="NoSpacing"/>
            </w:pPr>
            <w:r w:rsidRPr="00673F93">
              <w:t>0.065**</w:t>
            </w:r>
          </w:p>
        </w:tc>
        <w:tc>
          <w:tcPr>
            <w:tcW w:w="471" w:type="pct"/>
            <w:hideMark/>
          </w:tcPr>
          <w:p w14:paraId="1F5817A9" w14:textId="77777777" w:rsidR="00673F93" w:rsidRPr="00673F93" w:rsidRDefault="00673F93" w:rsidP="008100E4">
            <w:pPr>
              <w:pStyle w:val="NoSpacing"/>
            </w:pPr>
            <w:r w:rsidRPr="00673F93">
              <w:t>1.98</w:t>
            </w:r>
          </w:p>
        </w:tc>
        <w:tc>
          <w:tcPr>
            <w:tcW w:w="445" w:type="pct"/>
            <w:hideMark/>
          </w:tcPr>
          <w:p w14:paraId="119083F7" w14:textId="77777777" w:rsidR="00673F93" w:rsidRPr="00673F93" w:rsidRDefault="00673F93" w:rsidP="008100E4">
            <w:pPr>
              <w:pStyle w:val="NoSpacing"/>
            </w:pPr>
            <w:r w:rsidRPr="00673F93">
              <w:t>0.005***</w:t>
            </w:r>
          </w:p>
        </w:tc>
        <w:tc>
          <w:tcPr>
            <w:tcW w:w="400" w:type="pct"/>
            <w:hideMark/>
          </w:tcPr>
          <w:p w14:paraId="70235ED6" w14:textId="77777777" w:rsidR="00673F93" w:rsidRPr="00673F93" w:rsidRDefault="00673F93" w:rsidP="008100E4">
            <w:pPr>
              <w:pStyle w:val="NoSpacing"/>
            </w:pPr>
            <w:r w:rsidRPr="00673F93">
              <w:t>4.05</w:t>
            </w:r>
          </w:p>
        </w:tc>
      </w:tr>
      <w:tr w:rsidR="0039362A" w:rsidRPr="00673F93" w14:paraId="27AE47D5" w14:textId="77777777" w:rsidTr="0039362A">
        <w:tc>
          <w:tcPr>
            <w:tcW w:w="3239" w:type="pct"/>
            <w:hideMark/>
          </w:tcPr>
          <w:p w14:paraId="75E4E936" w14:textId="77777777" w:rsidR="00673F93" w:rsidRPr="00162019" w:rsidRDefault="00673F93" w:rsidP="008100E4">
            <w:pPr>
              <w:pStyle w:val="NoSpacing"/>
              <w:rPr>
                <w:i/>
                <w:iCs/>
              </w:rPr>
            </w:pPr>
            <w:r w:rsidRPr="00162019">
              <w:rPr>
                <w:i/>
                <w:iCs/>
              </w:rPr>
              <w:t>SIZE</w:t>
            </w:r>
          </w:p>
        </w:tc>
        <w:tc>
          <w:tcPr>
            <w:tcW w:w="445" w:type="pct"/>
            <w:hideMark/>
          </w:tcPr>
          <w:p w14:paraId="69D3B7A6" w14:textId="77777777" w:rsidR="00673F93" w:rsidRPr="00673F93" w:rsidRDefault="00673F93" w:rsidP="008100E4">
            <w:pPr>
              <w:pStyle w:val="NoSpacing"/>
            </w:pPr>
            <w:r w:rsidRPr="00673F93">
              <w:t>−0.225***</w:t>
            </w:r>
          </w:p>
        </w:tc>
        <w:tc>
          <w:tcPr>
            <w:tcW w:w="471" w:type="pct"/>
            <w:hideMark/>
          </w:tcPr>
          <w:p w14:paraId="7A393F08" w14:textId="77777777" w:rsidR="00673F93" w:rsidRPr="00673F93" w:rsidRDefault="00673F93" w:rsidP="008100E4">
            <w:pPr>
              <w:pStyle w:val="NoSpacing"/>
            </w:pPr>
            <w:r w:rsidRPr="00673F93">
              <w:t>−5.95</w:t>
            </w:r>
          </w:p>
        </w:tc>
        <w:tc>
          <w:tcPr>
            <w:tcW w:w="445" w:type="pct"/>
            <w:hideMark/>
          </w:tcPr>
          <w:p w14:paraId="01340D0C" w14:textId="77777777" w:rsidR="00673F93" w:rsidRPr="00673F93" w:rsidRDefault="00673F93" w:rsidP="008100E4">
            <w:pPr>
              <w:pStyle w:val="NoSpacing"/>
            </w:pPr>
            <w:r w:rsidRPr="00673F93">
              <w:t>−0.008***</w:t>
            </w:r>
          </w:p>
        </w:tc>
        <w:tc>
          <w:tcPr>
            <w:tcW w:w="400" w:type="pct"/>
            <w:hideMark/>
          </w:tcPr>
          <w:p w14:paraId="44E531A4" w14:textId="77777777" w:rsidR="00673F93" w:rsidRPr="00673F93" w:rsidRDefault="00673F93" w:rsidP="008100E4">
            <w:pPr>
              <w:pStyle w:val="NoSpacing"/>
            </w:pPr>
            <w:r w:rsidRPr="00673F93">
              <w:t>−2.96</w:t>
            </w:r>
          </w:p>
        </w:tc>
      </w:tr>
      <w:tr w:rsidR="0039362A" w:rsidRPr="00673F93" w14:paraId="0D850508" w14:textId="77777777" w:rsidTr="0039362A">
        <w:tc>
          <w:tcPr>
            <w:tcW w:w="3239" w:type="pct"/>
            <w:hideMark/>
          </w:tcPr>
          <w:p w14:paraId="640680DB" w14:textId="77777777" w:rsidR="00673F93" w:rsidRPr="00162019" w:rsidRDefault="00673F93" w:rsidP="008100E4">
            <w:pPr>
              <w:pStyle w:val="NoSpacing"/>
              <w:rPr>
                <w:i/>
                <w:iCs/>
              </w:rPr>
            </w:pPr>
            <w:r w:rsidRPr="00162019">
              <w:rPr>
                <w:i/>
                <w:iCs/>
              </w:rPr>
              <w:t>MB</w:t>
            </w:r>
          </w:p>
        </w:tc>
        <w:tc>
          <w:tcPr>
            <w:tcW w:w="445" w:type="pct"/>
            <w:hideMark/>
          </w:tcPr>
          <w:p w14:paraId="688A4086" w14:textId="77777777" w:rsidR="00673F93" w:rsidRPr="00673F93" w:rsidRDefault="00673F93" w:rsidP="008100E4">
            <w:pPr>
              <w:pStyle w:val="NoSpacing"/>
            </w:pPr>
            <w:r w:rsidRPr="00673F93">
              <w:t>0.003</w:t>
            </w:r>
          </w:p>
        </w:tc>
        <w:tc>
          <w:tcPr>
            <w:tcW w:w="471" w:type="pct"/>
            <w:hideMark/>
          </w:tcPr>
          <w:p w14:paraId="1ADA5542" w14:textId="77777777" w:rsidR="00673F93" w:rsidRPr="00673F93" w:rsidRDefault="00673F93" w:rsidP="008100E4">
            <w:pPr>
              <w:pStyle w:val="NoSpacing"/>
            </w:pPr>
            <w:r w:rsidRPr="00673F93">
              <w:t>0.11</w:t>
            </w:r>
          </w:p>
        </w:tc>
        <w:tc>
          <w:tcPr>
            <w:tcW w:w="445" w:type="pct"/>
            <w:hideMark/>
          </w:tcPr>
          <w:p w14:paraId="45059320" w14:textId="77777777" w:rsidR="00673F93" w:rsidRPr="00673F93" w:rsidRDefault="00673F93" w:rsidP="008100E4">
            <w:pPr>
              <w:pStyle w:val="NoSpacing"/>
            </w:pPr>
            <w:r w:rsidRPr="00673F93">
              <w:t>−0.000</w:t>
            </w:r>
          </w:p>
        </w:tc>
        <w:tc>
          <w:tcPr>
            <w:tcW w:w="400" w:type="pct"/>
            <w:hideMark/>
          </w:tcPr>
          <w:p w14:paraId="01EA1DC7" w14:textId="77777777" w:rsidR="00673F93" w:rsidRPr="00673F93" w:rsidRDefault="00673F93" w:rsidP="008100E4">
            <w:pPr>
              <w:pStyle w:val="NoSpacing"/>
            </w:pPr>
            <w:r w:rsidRPr="00673F93">
              <w:t>−0.26</w:t>
            </w:r>
          </w:p>
        </w:tc>
      </w:tr>
      <w:tr w:rsidR="0039362A" w:rsidRPr="00673F93" w14:paraId="34833BB0" w14:textId="77777777" w:rsidTr="0039362A">
        <w:tc>
          <w:tcPr>
            <w:tcW w:w="3239" w:type="pct"/>
            <w:hideMark/>
          </w:tcPr>
          <w:p w14:paraId="431EBE0E" w14:textId="77777777" w:rsidR="00673F93" w:rsidRPr="00162019" w:rsidRDefault="00673F93" w:rsidP="008100E4">
            <w:pPr>
              <w:pStyle w:val="NoSpacing"/>
              <w:rPr>
                <w:i/>
                <w:iCs/>
              </w:rPr>
            </w:pPr>
            <w:r w:rsidRPr="00162019">
              <w:rPr>
                <w:i/>
                <w:iCs/>
              </w:rPr>
              <w:t>ROE</w:t>
            </w:r>
          </w:p>
        </w:tc>
        <w:tc>
          <w:tcPr>
            <w:tcW w:w="445" w:type="pct"/>
            <w:hideMark/>
          </w:tcPr>
          <w:p w14:paraId="0D6DE7C5" w14:textId="77777777" w:rsidR="00673F93" w:rsidRPr="00673F93" w:rsidRDefault="00673F93" w:rsidP="008100E4">
            <w:pPr>
              <w:pStyle w:val="NoSpacing"/>
            </w:pPr>
            <w:r w:rsidRPr="00673F93">
              <w:t>−0.107**</w:t>
            </w:r>
          </w:p>
        </w:tc>
        <w:tc>
          <w:tcPr>
            <w:tcW w:w="471" w:type="pct"/>
            <w:hideMark/>
          </w:tcPr>
          <w:p w14:paraId="4C612B62" w14:textId="77777777" w:rsidR="00673F93" w:rsidRPr="00673F93" w:rsidRDefault="00673F93" w:rsidP="008100E4">
            <w:pPr>
              <w:pStyle w:val="NoSpacing"/>
            </w:pPr>
            <w:r w:rsidRPr="00673F93">
              <w:t>−2.33</w:t>
            </w:r>
          </w:p>
        </w:tc>
        <w:tc>
          <w:tcPr>
            <w:tcW w:w="445" w:type="pct"/>
            <w:hideMark/>
          </w:tcPr>
          <w:p w14:paraId="46CA3EFE" w14:textId="77777777" w:rsidR="00673F93" w:rsidRPr="00673F93" w:rsidRDefault="00673F93" w:rsidP="008100E4">
            <w:pPr>
              <w:pStyle w:val="NoSpacing"/>
            </w:pPr>
            <w:r w:rsidRPr="00673F93">
              <w:t>−0.001</w:t>
            </w:r>
          </w:p>
        </w:tc>
        <w:tc>
          <w:tcPr>
            <w:tcW w:w="400" w:type="pct"/>
            <w:hideMark/>
          </w:tcPr>
          <w:p w14:paraId="57DF81CB" w14:textId="77777777" w:rsidR="00673F93" w:rsidRPr="00673F93" w:rsidRDefault="00673F93" w:rsidP="008100E4">
            <w:pPr>
              <w:pStyle w:val="NoSpacing"/>
            </w:pPr>
            <w:r w:rsidRPr="00673F93">
              <w:t>−0.49</w:t>
            </w:r>
          </w:p>
        </w:tc>
      </w:tr>
      <w:tr w:rsidR="0039362A" w:rsidRPr="00673F93" w14:paraId="57172687" w14:textId="77777777" w:rsidTr="0039362A">
        <w:tc>
          <w:tcPr>
            <w:tcW w:w="3239" w:type="pct"/>
            <w:hideMark/>
          </w:tcPr>
          <w:p w14:paraId="29959AD7" w14:textId="77777777" w:rsidR="00673F93" w:rsidRPr="00162019" w:rsidRDefault="00673F93" w:rsidP="008100E4">
            <w:pPr>
              <w:pStyle w:val="NoSpacing"/>
              <w:rPr>
                <w:i/>
                <w:iCs/>
              </w:rPr>
            </w:pPr>
            <w:r w:rsidRPr="00162019">
              <w:rPr>
                <w:i/>
                <w:iCs/>
              </w:rPr>
              <w:t>VROE</w:t>
            </w:r>
          </w:p>
        </w:tc>
        <w:tc>
          <w:tcPr>
            <w:tcW w:w="445" w:type="pct"/>
            <w:hideMark/>
          </w:tcPr>
          <w:p w14:paraId="6B620404" w14:textId="77777777" w:rsidR="00673F93" w:rsidRPr="00673F93" w:rsidRDefault="00673F93" w:rsidP="008100E4">
            <w:pPr>
              <w:pStyle w:val="NoSpacing"/>
            </w:pPr>
            <w:r w:rsidRPr="00673F93">
              <w:t>0.018</w:t>
            </w:r>
          </w:p>
        </w:tc>
        <w:tc>
          <w:tcPr>
            <w:tcW w:w="471" w:type="pct"/>
            <w:hideMark/>
          </w:tcPr>
          <w:p w14:paraId="2A410C75" w14:textId="77777777" w:rsidR="00673F93" w:rsidRPr="00673F93" w:rsidRDefault="00673F93" w:rsidP="008100E4">
            <w:pPr>
              <w:pStyle w:val="NoSpacing"/>
            </w:pPr>
            <w:r w:rsidRPr="00673F93">
              <w:t>1.08</w:t>
            </w:r>
          </w:p>
        </w:tc>
        <w:tc>
          <w:tcPr>
            <w:tcW w:w="445" w:type="pct"/>
            <w:hideMark/>
          </w:tcPr>
          <w:p w14:paraId="1C87B9DA" w14:textId="77777777" w:rsidR="00673F93" w:rsidRPr="00673F93" w:rsidRDefault="00673F93" w:rsidP="008100E4">
            <w:pPr>
              <w:pStyle w:val="NoSpacing"/>
            </w:pPr>
            <w:r w:rsidRPr="00673F93">
              <w:t>0.000</w:t>
            </w:r>
          </w:p>
        </w:tc>
        <w:tc>
          <w:tcPr>
            <w:tcW w:w="400" w:type="pct"/>
            <w:hideMark/>
          </w:tcPr>
          <w:p w14:paraId="1DF18F67" w14:textId="77777777" w:rsidR="00673F93" w:rsidRPr="00673F93" w:rsidRDefault="00673F93" w:rsidP="008100E4">
            <w:pPr>
              <w:pStyle w:val="NoSpacing"/>
            </w:pPr>
            <w:r w:rsidRPr="00673F93">
              <w:t>0.50</w:t>
            </w:r>
          </w:p>
        </w:tc>
      </w:tr>
      <w:tr w:rsidR="0039362A" w:rsidRPr="00673F93" w14:paraId="06D5DDE7" w14:textId="77777777" w:rsidTr="0039362A">
        <w:tc>
          <w:tcPr>
            <w:tcW w:w="3239" w:type="pct"/>
            <w:hideMark/>
          </w:tcPr>
          <w:p w14:paraId="2E2DE728" w14:textId="77777777" w:rsidR="00673F93" w:rsidRPr="00162019" w:rsidRDefault="00673F93" w:rsidP="008100E4">
            <w:pPr>
              <w:pStyle w:val="NoSpacing"/>
              <w:rPr>
                <w:i/>
                <w:iCs/>
              </w:rPr>
            </w:pPr>
            <w:r w:rsidRPr="00162019">
              <w:rPr>
                <w:i/>
                <w:iCs/>
              </w:rPr>
              <w:t>LEV</w:t>
            </w:r>
          </w:p>
        </w:tc>
        <w:tc>
          <w:tcPr>
            <w:tcW w:w="445" w:type="pct"/>
            <w:hideMark/>
          </w:tcPr>
          <w:p w14:paraId="3209A267" w14:textId="77777777" w:rsidR="00673F93" w:rsidRPr="00673F93" w:rsidRDefault="00673F93" w:rsidP="008100E4">
            <w:pPr>
              <w:pStyle w:val="NoSpacing"/>
            </w:pPr>
            <w:r w:rsidRPr="00673F93">
              <w:t>0.111</w:t>
            </w:r>
          </w:p>
        </w:tc>
        <w:tc>
          <w:tcPr>
            <w:tcW w:w="471" w:type="pct"/>
            <w:hideMark/>
          </w:tcPr>
          <w:p w14:paraId="36A81E16" w14:textId="77777777" w:rsidR="00673F93" w:rsidRPr="00673F93" w:rsidRDefault="00673F93" w:rsidP="008100E4">
            <w:pPr>
              <w:pStyle w:val="NoSpacing"/>
            </w:pPr>
            <w:r w:rsidRPr="00673F93">
              <w:t>0.93</w:t>
            </w:r>
          </w:p>
        </w:tc>
        <w:tc>
          <w:tcPr>
            <w:tcW w:w="445" w:type="pct"/>
            <w:hideMark/>
          </w:tcPr>
          <w:p w14:paraId="6A971592" w14:textId="77777777" w:rsidR="00673F93" w:rsidRPr="00673F93" w:rsidRDefault="00673F93" w:rsidP="008100E4">
            <w:pPr>
              <w:pStyle w:val="NoSpacing"/>
            </w:pPr>
            <w:r w:rsidRPr="00673F93">
              <w:t>−0.004</w:t>
            </w:r>
          </w:p>
        </w:tc>
        <w:tc>
          <w:tcPr>
            <w:tcW w:w="400" w:type="pct"/>
            <w:hideMark/>
          </w:tcPr>
          <w:p w14:paraId="41236B3D" w14:textId="77777777" w:rsidR="00673F93" w:rsidRPr="00673F93" w:rsidRDefault="00673F93" w:rsidP="008100E4">
            <w:pPr>
              <w:pStyle w:val="NoSpacing"/>
            </w:pPr>
            <w:r w:rsidRPr="00673F93">
              <w:t>−0.85</w:t>
            </w:r>
          </w:p>
        </w:tc>
      </w:tr>
      <w:tr w:rsidR="0039362A" w:rsidRPr="00673F93" w14:paraId="303E9F1A" w14:textId="77777777" w:rsidTr="0039362A">
        <w:tc>
          <w:tcPr>
            <w:tcW w:w="3239" w:type="pct"/>
            <w:hideMark/>
          </w:tcPr>
          <w:p w14:paraId="55AE991E" w14:textId="77777777" w:rsidR="00673F93" w:rsidRPr="00162019" w:rsidRDefault="00673F93" w:rsidP="008100E4">
            <w:pPr>
              <w:pStyle w:val="NoSpacing"/>
              <w:rPr>
                <w:i/>
                <w:iCs/>
              </w:rPr>
            </w:pPr>
            <w:r w:rsidRPr="00162019">
              <w:rPr>
                <w:i/>
                <w:iCs/>
              </w:rPr>
              <w:t>AGE</w:t>
            </w:r>
          </w:p>
        </w:tc>
        <w:tc>
          <w:tcPr>
            <w:tcW w:w="445" w:type="pct"/>
            <w:hideMark/>
          </w:tcPr>
          <w:p w14:paraId="26350890" w14:textId="77777777" w:rsidR="00673F93" w:rsidRPr="00673F93" w:rsidRDefault="00673F93" w:rsidP="008100E4">
            <w:pPr>
              <w:pStyle w:val="NoSpacing"/>
            </w:pPr>
            <w:r w:rsidRPr="00673F93">
              <w:t>−0.383***</w:t>
            </w:r>
          </w:p>
        </w:tc>
        <w:tc>
          <w:tcPr>
            <w:tcW w:w="471" w:type="pct"/>
            <w:hideMark/>
          </w:tcPr>
          <w:p w14:paraId="5B964F08" w14:textId="77777777" w:rsidR="00673F93" w:rsidRPr="00673F93" w:rsidRDefault="00673F93" w:rsidP="008100E4">
            <w:pPr>
              <w:pStyle w:val="NoSpacing"/>
            </w:pPr>
            <w:r w:rsidRPr="00673F93">
              <w:t>−3.34</w:t>
            </w:r>
          </w:p>
        </w:tc>
        <w:tc>
          <w:tcPr>
            <w:tcW w:w="445" w:type="pct"/>
            <w:hideMark/>
          </w:tcPr>
          <w:p w14:paraId="3062D421" w14:textId="77777777" w:rsidR="00673F93" w:rsidRPr="00673F93" w:rsidRDefault="00673F93" w:rsidP="008100E4">
            <w:pPr>
              <w:pStyle w:val="NoSpacing"/>
            </w:pPr>
            <w:r w:rsidRPr="00673F93">
              <w:t>−0.007</w:t>
            </w:r>
          </w:p>
        </w:tc>
        <w:tc>
          <w:tcPr>
            <w:tcW w:w="400" w:type="pct"/>
            <w:hideMark/>
          </w:tcPr>
          <w:p w14:paraId="5A70B0E1" w14:textId="77777777" w:rsidR="00673F93" w:rsidRPr="00673F93" w:rsidRDefault="00673F93" w:rsidP="008100E4">
            <w:pPr>
              <w:pStyle w:val="NoSpacing"/>
            </w:pPr>
            <w:r w:rsidRPr="00673F93">
              <w:t>−1.27</w:t>
            </w:r>
          </w:p>
        </w:tc>
      </w:tr>
      <w:tr w:rsidR="0039362A" w:rsidRPr="00673F93" w14:paraId="5E5BBC7F" w14:textId="77777777" w:rsidTr="0039362A">
        <w:tc>
          <w:tcPr>
            <w:tcW w:w="3239" w:type="pct"/>
            <w:hideMark/>
          </w:tcPr>
          <w:p w14:paraId="6D6A697B" w14:textId="77777777" w:rsidR="00673F93" w:rsidRPr="00162019" w:rsidRDefault="00673F93" w:rsidP="008100E4">
            <w:pPr>
              <w:pStyle w:val="NoSpacing"/>
              <w:rPr>
                <w:i/>
                <w:iCs/>
              </w:rPr>
            </w:pPr>
            <w:r w:rsidRPr="00162019">
              <w:rPr>
                <w:i/>
                <w:iCs/>
              </w:rPr>
              <w:lastRenderedPageBreak/>
              <w:t>DIV</w:t>
            </w:r>
          </w:p>
        </w:tc>
        <w:tc>
          <w:tcPr>
            <w:tcW w:w="445" w:type="pct"/>
            <w:hideMark/>
          </w:tcPr>
          <w:p w14:paraId="265D8700" w14:textId="77777777" w:rsidR="00673F93" w:rsidRPr="00673F93" w:rsidRDefault="00673F93" w:rsidP="008100E4">
            <w:pPr>
              <w:pStyle w:val="NoSpacing"/>
            </w:pPr>
            <w:r w:rsidRPr="00673F93">
              <w:t>0.033</w:t>
            </w:r>
          </w:p>
        </w:tc>
        <w:tc>
          <w:tcPr>
            <w:tcW w:w="471" w:type="pct"/>
            <w:hideMark/>
          </w:tcPr>
          <w:p w14:paraId="6D10D374" w14:textId="77777777" w:rsidR="00673F93" w:rsidRPr="00673F93" w:rsidRDefault="00673F93" w:rsidP="008100E4">
            <w:pPr>
              <w:pStyle w:val="NoSpacing"/>
            </w:pPr>
            <w:r w:rsidRPr="00673F93">
              <w:t>0.64</w:t>
            </w:r>
          </w:p>
        </w:tc>
        <w:tc>
          <w:tcPr>
            <w:tcW w:w="445" w:type="pct"/>
            <w:hideMark/>
          </w:tcPr>
          <w:p w14:paraId="398CFBC8" w14:textId="77777777" w:rsidR="00673F93" w:rsidRPr="00673F93" w:rsidRDefault="00673F93" w:rsidP="008100E4">
            <w:pPr>
              <w:pStyle w:val="NoSpacing"/>
            </w:pPr>
            <w:r w:rsidRPr="00673F93">
              <w:t>−0.002</w:t>
            </w:r>
          </w:p>
        </w:tc>
        <w:tc>
          <w:tcPr>
            <w:tcW w:w="400" w:type="pct"/>
            <w:hideMark/>
          </w:tcPr>
          <w:p w14:paraId="70A3FE32" w14:textId="77777777" w:rsidR="00673F93" w:rsidRPr="00673F93" w:rsidRDefault="00673F93" w:rsidP="008100E4">
            <w:pPr>
              <w:pStyle w:val="NoSpacing"/>
            </w:pPr>
            <w:r w:rsidRPr="00673F93">
              <w:t>−1.11</w:t>
            </w:r>
          </w:p>
        </w:tc>
      </w:tr>
      <w:tr w:rsidR="0039362A" w:rsidRPr="00673F93" w14:paraId="2944B61B" w14:textId="77777777" w:rsidTr="0039362A">
        <w:tc>
          <w:tcPr>
            <w:tcW w:w="3239" w:type="pct"/>
            <w:hideMark/>
          </w:tcPr>
          <w:p w14:paraId="005B498E" w14:textId="77777777" w:rsidR="00673F93" w:rsidRPr="00162019" w:rsidRDefault="00673F93" w:rsidP="008100E4">
            <w:pPr>
              <w:pStyle w:val="NoSpacing"/>
              <w:rPr>
                <w:i/>
                <w:iCs/>
              </w:rPr>
            </w:pPr>
            <w:r w:rsidRPr="00162019">
              <w:rPr>
                <w:i/>
                <w:iCs/>
              </w:rPr>
              <w:t>DIVER</w:t>
            </w:r>
          </w:p>
        </w:tc>
        <w:tc>
          <w:tcPr>
            <w:tcW w:w="445" w:type="pct"/>
            <w:hideMark/>
          </w:tcPr>
          <w:p w14:paraId="492171E6" w14:textId="77777777" w:rsidR="00673F93" w:rsidRPr="00673F93" w:rsidRDefault="00673F93" w:rsidP="008100E4">
            <w:pPr>
              <w:pStyle w:val="NoSpacing"/>
            </w:pPr>
            <w:r w:rsidRPr="00673F93">
              <w:t>−0.070</w:t>
            </w:r>
          </w:p>
        </w:tc>
        <w:tc>
          <w:tcPr>
            <w:tcW w:w="471" w:type="pct"/>
            <w:hideMark/>
          </w:tcPr>
          <w:p w14:paraId="231B6FEE" w14:textId="77777777" w:rsidR="00673F93" w:rsidRPr="00673F93" w:rsidRDefault="00673F93" w:rsidP="008100E4">
            <w:pPr>
              <w:pStyle w:val="NoSpacing"/>
            </w:pPr>
            <w:r w:rsidRPr="00673F93">
              <w:t>−1.13</w:t>
            </w:r>
          </w:p>
        </w:tc>
        <w:tc>
          <w:tcPr>
            <w:tcW w:w="445" w:type="pct"/>
            <w:hideMark/>
          </w:tcPr>
          <w:p w14:paraId="6EA1CA7C" w14:textId="77777777" w:rsidR="00673F93" w:rsidRPr="00673F93" w:rsidRDefault="00673F93" w:rsidP="008100E4">
            <w:pPr>
              <w:pStyle w:val="NoSpacing"/>
            </w:pPr>
            <w:r w:rsidRPr="00673F93">
              <w:t>−0.001</w:t>
            </w:r>
          </w:p>
        </w:tc>
        <w:tc>
          <w:tcPr>
            <w:tcW w:w="400" w:type="pct"/>
            <w:hideMark/>
          </w:tcPr>
          <w:p w14:paraId="4FE1ECC2" w14:textId="77777777" w:rsidR="00673F93" w:rsidRPr="00673F93" w:rsidRDefault="00673F93" w:rsidP="008100E4">
            <w:pPr>
              <w:pStyle w:val="NoSpacing"/>
            </w:pPr>
            <w:r w:rsidRPr="00673F93">
              <w:t>−0.47</w:t>
            </w:r>
          </w:p>
        </w:tc>
      </w:tr>
      <w:tr w:rsidR="0039362A" w:rsidRPr="00673F93" w14:paraId="714864B9" w14:textId="77777777" w:rsidTr="0039362A">
        <w:tc>
          <w:tcPr>
            <w:tcW w:w="3239" w:type="pct"/>
            <w:hideMark/>
          </w:tcPr>
          <w:p w14:paraId="4C0AE54D" w14:textId="77777777" w:rsidR="00673F93" w:rsidRPr="00162019" w:rsidRDefault="00673F93" w:rsidP="008100E4">
            <w:pPr>
              <w:pStyle w:val="NoSpacing"/>
              <w:rPr>
                <w:i/>
                <w:iCs/>
              </w:rPr>
            </w:pPr>
            <w:r w:rsidRPr="00162019">
              <w:rPr>
                <w:i/>
                <w:iCs/>
              </w:rPr>
              <w:t>ANALYSTS</w:t>
            </w:r>
          </w:p>
        </w:tc>
        <w:tc>
          <w:tcPr>
            <w:tcW w:w="445" w:type="pct"/>
            <w:hideMark/>
          </w:tcPr>
          <w:p w14:paraId="590B9D5A" w14:textId="77777777" w:rsidR="00673F93" w:rsidRPr="00673F93" w:rsidRDefault="00673F93" w:rsidP="008100E4">
            <w:pPr>
              <w:pStyle w:val="NoSpacing"/>
            </w:pPr>
            <w:r w:rsidRPr="00673F93">
              <w:t>−0.182***</w:t>
            </w:r>
          </w:p>
        </w:tc>
        <w:tc>
          <w:tcPr>
            <w:tcW w:w="471" w:type="pct"/>
            <w:hideMark/>
          </w:tcPr>
          <w:p w14:paraId="2DA0727E" w14:textId="77777777" w:rsidR="00673F93" w:rsidRPr="00673F93" w:rsidRDefault="00673F93" w:rsidP="008100E4">
            <w:pPr>
              <w:pStyle w:val="NoSpacing"/>
            </w:pPr>
            <w:r w:rsidRPr="00673F93">
              <w:t>−5.43</w:t>
            </w:r>
          </w:p>
        </w:tc>
        <w:tc>
          <w:tcPr>
            <w:tcW w:w="445" w:type="pct"/>
            <w:hideMark/>
          </w:tcPr>
          <w:p w14:paraId="7F551BB8" w14:textId="77777777" w:rsidR="00673F93" w:rsidRPr="00673F93" w:rsidRDefault="00673F93" w:rsidP="008100E4">
            <w:pPr>
              <w:pStyle w:val="NoSpacing"/>
            </w:pPr>
            <w:r w:rsidRPr="00673F93">
              <w:t>−0.003*</w:t>
            </w:r>
          </w:p>
        </w:tc>
        <w:tc>
          <w:tcPr>
            <w:tcW w:w="400" w:type="pct"/>
            <w:hideMark/>
          </w:tcPr>
          <w:p w14:paraId="7F155AC6" w14:textId="77777777" w:rsidR="00673F93" w:rsidRPr="00673F93" w:rsidRDefault="00673F93" w:rsidP="008100E4">
            <w:pPr>
              <w:pStyle w:val="NoSpacing"/>
            </w:pPr>
            <w:r w:rsidRPr="00673F93">
              <w:t>−1.75</w:t>
            </w:r>
          </w:p>
        </w:tc>
      </w:tr>
      <w:tr w:rsidR="0039362A" w:rsidRPr="00673F93" w14:paraId="41FA775D" w14:textId="77777777" w:rsidTr="0039362A">
        <w:tc>
          <w:tcPr>
            <w:tcW w:w="3239" w:type="pct"/>
            <w:hideMark/>
          </w:tcPr>
          <w:p w14:paraId="014D04B9" w14:textId="77777777" w:rsidR="00673F93" w:rsidRPr="00162019" w:rsidRDefault="00673F93" w:rsidP="008100E4">
            <w:pPr>
              <w:pStyle w:val="NoSpacing"/>
              <w:rPr>
                <w:i/>
                <w:iCs/>
              </w:rPr>
            </w:pPr>
            <w:r w:rsidRPr="00162019">
              <w:rPr>
                <w:i/>
                <w:iCs/>
              </w:rPr>
              <w:t>BETA</w:t>
            </w:r>
          </w:p>
        </w:tc>
        <w:tc>
          <w:tcPr>
            <w:tcW w:w="445" w:type="pct"/>
            <w:hideMark/>
          </w:tcPr>
          <w:p w14:paraId="02BAD5E6" w14:textId="77777777" w:rsidR="00673F93" w:rsidRPr="00673F93" w:rsidRDefault="00673F93" w:rsidP="008100E4">
            <w:pPr>
              <w:pStyle w:val="NoSpacing"/>
            </w:pPr>
            <w:r w:rsidRPr="00673F93">
              <w:t>−0.213***</w:t>
            </w:r>
          </w:p>
        </w:tc>
        <w:tc>
          <w:tcPr>
            <w:tcW w:w="471" w:type="pct"/>
            <w:hideMark/>
          </w:tcPr>
          <w:p w14:paraId="54AC7DDF" w14:textId="77777777" w:rsidR="00673F93" w:rsidRPr="00673F93" w:rsidRDefault="00673F93" w:rsidP="008100E4">
            <w:pPr>
              <w:pStyle w:val="NoSpacing"/>
            </w:pPr>
            <w:r w:rsidRPr="00673F93">
              <w:t>−6.96</w:t>
            </w:r>
          </w:p>
        </w:tc>
        <w:tc>
          <w:tcPr>
            <w:tcW w:w="445" w:type="pct"/>
            <w:hideMark/>
          </w:tcPr>
          <w:p w14:paraId="7865A484" w14:textId="77777777" w:rsidR="00673F93" w:rsidRPr="00673F93" w:rsidRDefault="00673F93" w:rsidP="008100E4">
            <w:pPr>
              <w:pStyle w:val="NoSpacing"/>
            </w:pPr>
            <w:r w:rsidRPr="00673F93">
              <w:t>−0.012***</w:t>
            </w:r>
          </w:p>
        </w:tc>
        <w:tc>
          <w:tcPr>
            <w:tcW w:w="400" w:type="pct"/>
            <w:hideMark/>
          </w:tcPr>
          <w:p w14:paraId="6E655F00" w14:textId="77777777" w:rsidR="00673F93" w:rsidRPr="00673F93" w:rsidRDefault="00673F93" w:rsidP="008100E4">
            <w:pPr>
              <w:pStyle w:val="NoSpacing"/>
            </w:pPr>
            <w:r w:rsidRPr="00673F93">
              <w:t>−8.25</w:t>
            </w:r>
          </w:p>
        </w:tc>
      </w:tr>
      <w:tr w:rsidR="0039362A" w:rsidRPr="00673F93" w14:paraId="01C62CB8" w14:textId="77777777" w:rsidTr="0039362A">
        <w:tc>
          <w:tcPr>
            <w:tcW w:w="3239" w:type="pct"/>
            <w:hideMark/>
          </w:tcPr>
          <w:p w14:paraId="40C20812" w14:textId="77777777" w:rsidR="00673F93" w:rsidRPr="00162019" w:rsidRDefault="00673F93" w:rsidP="008100E4">
            <w:pPr>
              <w:pStyle w:val="NoSpacing"/>
              <w:rPr>
                <w:i/>
                <w:iCs/>
              </w:rPr>
            </w:pPr>
            <w:r w:rsidRPr="00162019">
              <w:rPr>
                <w:i/>
                <w:iCs/>
              </w:rPr>
              <w:t>EQ</w:t>
            </w:r>
          </w:p>
        </w:tc>
        <w:tc>
          <w:tcPr>
            <w:tcW w:w="445" w:type="pct"/>
            <w:hideMark/>
          </w:tcPr>
          <w:p w14:paraId="6EBC79D8" w14:textId="77777777" w:rsidR="00673F93" w:rsidRPr="00673F93" w:rsidRDefault="00673F93" w:rsidP="008100E4">
            <w:pPr>
              <w:pStyle w:val="NoSpacing"/>
            </w:pPr>
            <w:r w:rsidRPr="00673F93">
              <w:t>0.012**</w:t>
            </w:r>
          </w:p>
        </w:tc>
        <w:tc>
          <w:tcPr>
            <w:tcW w:w="471" w:type="pct"/>
            <w:hideMark/>
          </w:tcPr>
          <w:p w14:paraId="4F9B5578" w14:textId="77777777" w:rsidR="00673F93" w:rsidRPr="00673F93" w:rsidRDefault="00673F93" w:rsidP="008100E4">
            <w:pPr>
              <w:pStyle w:val="NoSpacing"/>
            </w:pPr>
            <w:r w:rsidRPr="00673F93">
              <w:t>2.48</w:t>
            </w:r>
          </w:p>
        </w:tc>
        <w:tc>
          <w:tcPr>
            <w:tcW w:w="445" w:type="pct"/>
            <w:hideMark/>
          </w:tcPr>
          <w:p w14:paraId="152ABC21" w14:textId="77777777" w:rsidR="00673F93" w:rsidRPr="00673F93" w:rsidRDefault="00673F93" w:rsidP="008100E4">
            <w:pPr>
              <w:pStyle w:val="NoSpacing"/>
            </w:pPr>
            <w:r w:rsidRPr="00673F93">
              <w:t>0.000</w:t>
            </w:r>
          </w:p>
        </w:tc>
        <w:tc>
          <w:tcPr>
            <w:tcW w:w="400" w:type="pct"/>
            <w:hideMark/>
          </w:tcPr>
          <w:p w14:paraId="2380082B" w14:textId="77777777" w:rsidR="00673F93" w:rsidRPr="00673F93" w:rsidRDefault="00673F93" w:rsidP="008100E4">
            <w:pPr>
              <w:pStyle w:val="NoSpacing"/>
            </w:pPr>
            <w:r w:rsidRPr="00673F93">
              <w:t>0.70</w:t>
            </w:r>
          </w:p>
        </w:tc>
      </w:tr>
      <w:tr w:rsidR="0039362A" w:rsidRPr="00673F93" w14:paraId="43CB0479" w14:textId="77777777" w:rsidTr="0039362A">
        <w:tc>
          <w:tcPr>
            <w:tcW w:w="3239" w:type="pct"/>
            <w:hideMark/>
          </w:tcPr>
          <w:p w14:paraId="2AAE532E" w14:textId="77777777" w:rsidR="00673F93" w:rsidRPr="00162019" w:rsidRDefault="00673F93" w:rsidP="008100E4">
            <w:pPr>
              <w:pStyle w:val="NoSpacing"/>
              <w:rPr>
                <w:i/>
                <w:iCs/>
              </w:rPr>
            </w:pPr>
            <w:r w:rsidRPr="00162019">
              <w:rPr>
                <w:i/>
                <w:iCs/>
              </w:rPr>
              <w:t>INSTRADE</w:t>
            </w:r>
          </w:p>
        </w:tc>
        <w:tc>
          <w:tcPr>
            <w:tcW w:w="445" w:type="pct"/>
            <w:hideMark/>
          </w:tcPr>
          <w:p w14:paraId="7CB9D85D" w14:textId="77777777" w:rsidR="00673F93" w:rsidRPr="00673F93" w:rsidRDefault="00673F93" w:rsidP="008100E4">
            <w:pPr>
              <w:pStyle w:val="NoSpacing"/>
            </w:pPr>
            <w:r w:rsidRPr="00673F93">
              <w:t>−0.715**</w:t>
            </w:r>
          </w:p>
        </w:tc>
        <w:tc>
          <w:tcPr>
            <w:tcW w:w="471" w:type="pct"/>
            <w:hideMark/>
          </w:tcPr>
          <w:p w14:paraId="00AE51AA" w14:textId="77777777" w:rsidR="00673F93" w:rsidRPr="00673F93" w:rsidRDefault="00673F93" w:rsidP="008100E4">
            <w:pPr>
              <w:pStyle w:val="NoSpacing"/>
            </w:pPr>
            <w:r w:rsidRPr="00673F93">
              <w:t>−2.37</w:t>
            </w:r>
          </w:p>
        </w:tc>
        <w:tc>
          <w:tcPr>
            <w:tcW w:w="445" w:type="pct"/>
            <w:hideMark/>
          </w:tcPr>
          <w:p w14:paraId="3A7F8D32" w14:textId="77777777" w:rsidR="00673F93" w:rsidRPr="00673F93" w:rsidRDefault="00673F93" w:rsidP="008100E4">
            <w:pPr>
              <w:pStyle w:val="NoSpacing"/>
            </w:pPr>
            <w:r w:rsidRPr="00673F93">
              <w:t>−0.014</w:t>
            </w:r>
          </w:p>
        </w:tc>
        <w:tc>
          <w:tcPr>
            <w:tcW w:w="400" w:type="pct"/>
            <w:hideMark/>
          </w:tcPr>
          <w:p w14:paraId="4A5897F9" w14:textId="77777777" w:rsidR="00673F93" w:rsidRPr="00673F93" w:rsidRDefault="00673F93" w:rsidP="008100E4">
            <w:pPr>
              <w:pStyle w:val="NoSpacing"/>
            </w:pPr>
            <w:r w:rsidRPr="00673F93">
              <w:t>−1.18</w:t>
            </w:r>
          </w:p>
        </w:tc>
      </w:tr>
      <w:tr w:rsidR="0039362A" w:rsidRPr="00673F93" w14:paraId="458C0AF8" w14:textId="77777777" w:rsidTr="0039362A">
        <w:tc>
          <w:tcPr>
            <w:tcW w:w="3239" w:type="pct"/>
            <w:hideMark/>
          </w:tcPr>
          <w:p w14:paraId="5E7767B4" w14:textId="77777777" w:rsidR="00673F93" w:rsidRPr="00162019" w:rsidRDefault="00673F93" w:rsidP="008100E4">
            <w:pPr>
              <w:pStyle w:val="NoSpacing"/>
              <w:rPr>
                <w:i/>
                <w:iCs/>
              </w:rPr>
            </w:pPr>
            <w:r w:rsidRPr="00162019">
              <w:rPr>
                <w:i/>
                <w:iCs/>
              </w:rPr>
              <w:t>CGSCORE</w:t>
            </w:r>
          </w:p>
        </w:tc>
        <w:tc>
          <w:tcPr>
            <w:tcW w:w="445" w:type="pct"/>
            <w:hideMark/>
          </w:tcPr>
          <w:p w14:paraId="25D244C0" w14:textId="77777777" w:rsidR="00673F93" w:rsidRPr="00673F93" w:rsidRDefault="00673F93" w:rsidP="008100E4">
            <w:pPr>
              <w:pStyle w:val="NoSpacing"/>
            </w:pPr>
            <w:r w:rsidRPr="00673F93">
              <w:t>0.302***</w:t>
            </w:r>
          </w:p>
        </w:tc>
        <w:tc>
          <w:tcPr>
            <w:tcW w:w="471" w:type="pct"/>
            <w:hideMark/>
          </w:tcPr>
          <w:p w14:paraId="0EA443DB" w14:textId="77777777" w:rsidR="00673F93" w:rsidRPr="00673F93" w:rsidRDefault="00673F93" w:rsidP="008100E4">
            <w:pPr>
              <w:pStyle w:val="NoSpacing"/>
            </w:pPr>
            <w:r w:rsidRPr="00673F93">
              <w:t>4.31</w:t>
            </w:r>
          </w:p>
        </w:tc>
        <w:tc>
          <w:tcPr>
            <w:tcW w:w="445" w:type="pct"/>
            <w:hideMark/>
          </w:tcPr>
          <w:p w14:paraId="4ECBF4AF" w14:textId="77777777" w:rsidR="00673F93" w:rsidRPr="00673F93" w:rsidRDefault="00673F93" w:rsidP="008100E4">
            <w:pPr>
              <w:pStyle w:val="NoSpacing"/>
            </w:pPr>
            <w:r w:rsidRPr="00673F93">
              <w:t>0.014***</w:t>
            </w:r>
          </w:p>
        </w:tc>
        <w:tc>
          <w:tcPr>
            <w:tcW w:w="400" w:type="pct"/>
            <w:hideMark/>
          </w:tcPr>
          <w:p w14:paraId="0176CC66" w14:textId="77777777" w:rsidR="00673F93" w:rsidRPr="00673F93" w:rsidRDefault="00673F93" w:rsidP="008100E4">
            <w:pPr>
              <w:pStyle w:val="NoSpacing"/>
            </w:pPr>
            <w:r w:rsidRPr="00673F93">
              <w:t>4.26</w:t>
            </w:r>
          </w:p>
        </w:tc>
      </w:tr>
      <w:tr w:rsidR="0039362A" w:rsidRPr="00673F93" w14:paraId="598CC906" w14:textId="77777777" w:rsidTr="0039362A">
        <w:tc>
          <w:tcPr>
            <w:tcW w:w="3239" w:type="pct"/>
            <w:hideMark/>
          </w:tcPr>
          <w:p w14:paraId="288DA27D" w14:textId="77777777" w:rsidR="00673F93" w:rsidRPr="00162019" w:rsidRDefault="00673F93" w:rsidP="008100E4">
            <w:pPr>
              <w:pStyle w:val="NoSpacing"/>
              <w:rPr>
                <w:i/>
                <w:iCs/>
              </w:rPr>
            </w:pPr>
            <w:r w:rsidRPr="00162019">
              <w:rPr>
                <w:i/>
                <w:iCs/>
              </w:rPr>
              <w:t>INSTNUM</w:t>
            </w:r>
          </w:p>
        </w:tc>
        <w:tc>
          <w:tcPr>
            <w:tcW w:w="445" w:type="pct"/>
            <w:hideMark/>
          </w:tcPr>
          <w:p w14:paraId="5C9F64E8" w14:textId="77777777" w:rsidR="00673F93" w:rsidRPr="00673F93" w:rsidRDefault="00673F93" w:rsidP="008100E4">
            <w:pPr>
              <w:pStyle w:val="NoSpacing"/>
            </w:pPr>
            <w:r w:rsidRPr="00673F93">
              <w:t>−0.386***</w:t>
            </w:r>
          </w:p>
        </w:tc>
        <w:tc>
          <w:tcPr>
            <w:tcW w:w="471" w:type="pct"/>
            <w:hideMark/>
          </w:tcPr>
          <w:p w14:paraId="69EF0DC4" w14:textId="77777777" w:rsidR="00673F93" w:rsidRPr="00673F93" w:rsidRDefault="00673F93" w:rsidP="008100E4">
            <w:pPr>
              <w:pStyle w:val="NoSpacing"/>
            </w:pPr>
            <w:r w:rsidRPr="00673F93">
              <w:t>−4.72</w:t>
            </w:r>
          </w:p>
        </w:tc>
        <w:tc>
          <w:tcPr>
            <w:tcW w:w="445" w:type="pct"/>
            <w:hideMark/>
          </w:tcPr>
          <w:p w14:paraId="12F01137" w14:textId="77777777" w:rsidR="00673F93" w:rsidRPr="00673F93" w:rsidRDefault="00673F93" w:rsidP="008100E4">
            <w:pPr>
              <w:pStyle w:val="NoSpacing"/>
            </w:pPr>
            <w:r w:rsidRPr="00673F93">
              <w:t>−0.040***</w:t>
            </w:r>
          </w:p>
        </w:tc>
        <w:tc>
          <w:tcPr>
            <w:tcW w:w="400" w:type="pct"/>
            <w:hideMark/>
          </w:tcPr>
          <w:p w14:paraId="1ED12BDF" w14:textId="77777777" w:rsidR="00673F93" w:rsidRPr="00673F93" w:rsidRDefault="00673F93" w:rsidP="008100E4">
            <w:pPr>
              <w:pStyle w:val="NoSpacing"/>
            </w:pPr>
            <w:r w:rsidRPr="00673F93">
              <w:t>−4.95</w:t>
            </w:r>
          </w:p>
        </w:tc>
      </w:tr>
      <w:tr w:rsidR="0039362A" w:rsidRPr="00673F93" w14:paraId="5CF3B13D" w14:textId="77777777" w:rsidTr="0039362A">
        <w:tc>
          <w:tcPr>
            <w:tcW w:w="3239" w:type="pct"/>
            <w:hideMark/>
          </w:tcPr>
          <w:p w14:paraId="0908E22B" w14:textId="77777777" w:rsidR="00673F93" w:rsidRPr="00162019" w:rsidRDefault="00673F93" w:rsidP="008100E4">
            <w:pPr>
              <w:pStyle w:val="NoSpacing"/>
              <w:rPr>
                <w:i/>
                <w:iCs/>
              </w:rPr>
            </w:pPr>
            <w:r w:rsidRPr="00162019">
              <w:rPr>
                <w:i/>
                <w:iCs/>
              </w:rPr>
              <w:t>FREQ</w:t>
            </w:r>
          </w:p>
        </w:tc>
        <w:tc>
          <w:tcPr>
            <w:tcW w:w="445" w:type="pct"/>
            <w:hideMark/>
          </w:tcPr>
          <w:p w14:paraId="34D9502E" w14:textId="77777777" w:rsidR="00673F93" w:rsidRPr="00673F93" w:rsidRDefault="00673F93" w:rsidP="008100E4">
            <w:pPr>
              <w:pStyle w:val="NoSpacing"/>
            </w:pPr>
            <w:r w:rsidRPr="00673F93">
              <w:t>−0.006</w:t>
            </w:r>
          </w:p>
        </w:tc>
        <w:tc>
          <w:tcPr>
            <w:tcW w:w="471" w:type="pct"/>
            <w:hideMark/>
          </w:tcPr>
          <w:p w14:paraId="0FE5D645" w14:textId="77777777" w:rsidR="00673F93" w:rsidRPr="00673F93" w:rsidRDefault="00673F93" w:rsidP="008100E4">
            <w:pPr>
              <w:pStyle w:val="NoSpacing"/>
            </w:pPr>
            <w:r w:rsidRPr="00673F93">
              <w:t>−0.38</w:t>
            </w:r>
          </w:p>
        </w:tc>
        <w:tc>
          <w:tcPr>
            <w:tcW w:w="445" w:type="pct"/>
            <w:hideMark/>
          </w:tcPr>
          <w:p w14:paraId="7F59DB92" w14:textId="77777777" w:rsidR="00673F93" w:rsidRPr="00673F93" w:rsidRDefault="00673F93" w:rsidP="008100E4">
            <w:pPr>
              <w:pStyle w:val="NoSpacing"/>
            </w:pPr>
            <w:r w:rsidRPr="00673F93">
              <w:t>−0.001</w:t>
            </w:r>
          </w:p>
        </w:tc>
        <w:tc>
          <w:tcPr>
            <w:tcW w:w="400" w:type="pct"/>
            <w:hideMark/>
          </w:tcPr>
          <w:p w14:paraId="35496D52" w14:textId="77777777" w:rsidR="00673F93" w:rsidRPr="00673F93" w:rsidRDefault="00673F93" w:rsidP="008100E4">
            <w:pPr>
              <w:pStyle w:val="NoSpacing"/>
            </w:pPr>
            <w:r w:rsidRPr="00673F93">
              <w:t>−1.25</w:t>
            </w:r>
          </w:p>
        </w:tc>
      </w:tr>
      <w:tr w:rsidR="00241E5E" w:rsidRPr="00673F93" w14:paraId="00362C7F" w14:textId="77777777" w:rsidTr="0039362A">
        <w:tc>
          <w:tcPr>
            <w:tcW w:w="3239" w:type="pct"/>
            <w:hideMark/>
          </w:tcPr>
          <w:p w14:paraId="0BE351D2" w14:textId="77777777" w:rsidR="00241E5E" w:rsidRPr="00673F93" w:rsidRDefault="00241E5E" w:rsidP="00241E5E">
            <w:pPr>
              <w:pStyle w:val="NoSpacing"/>
            </w:pPr>
            <w:r w:rsidRPr="00673F93">
              <w:t>Year FE</w:t>
            </w:r>
          </w:p>
        </w:tc>
        <w:tc>
          <w:tcPr>
            <w:tcW w:w="445" w:type="pct"/>
            <w:hideMark/>
          </w:tcPr>
          <w:p w14:paraId="2AC6A4E8" w14:textId="77777777" w:rsidR="00241E5E" w:rsidRPr="00673F93" w:rsidRDefault="00241E5E" w:rsidP="00241E5E">
            <w:pPr>
              <w:pStyle w:val="NoSpacing"/>
            </w:pPr>
            <w:r w:rsidRPr="00673F93">
              <w:t>Yes</w:t>
            </w:r>
          </w:p>
        </w:tc>
        <w:tc>
          <w:tcPr>
            <w:tcW w:w="471" w:type="pct"/>
          </w:tcPr>
          <w:p w14:paraId="21B113ED" w14:textId="6C8B6595" w:rsidR="00241E5E" w:rsidRPr="00673F93" w:rsidRDefault="00241E5E" w:rsidP="00241E5E">
            <w:pPr>
              <w:pStyle w:val="NoSpacing"/>
            </w:pPr>
          </w:p>
        </w:tc>
        <w:tc>
          <w:tcPr>
            <w:tcW w:w="445" w:type="pct"/>
            <w:hideMark/>
          </w:tcPr>
          <w:p w14:paraId="2156350E" w14:textId="72C0D4D5" w:rsidR="00241E5E" w:rsidRPr="00673F93" w:rsidRDefault="00241E5E" w:rsidP="00241E5E">
            <w:pPr>
              <w:pStyle w:val="NoSpacing"/>
            </w:pPr>
            <w:r w:rsidRPr="00673F93">
              <w:t>Yes</w:t>
            </w:r>
          </w:p>
        </w:tc>
        <w:tc>
          <w:tcPr>
            <w:tcW w:w="400" w:type="pct"/>
            <w:hideMark/>
          </w:tcPr>
          <w:p w14:paraId="033E1848" w14:textId="77777777" w:rsidR="00241E5E" w:rsidRPr="00673F93" w:rsidRDefault="00241E5E" w:rsidP="00241E5E">
            <w:pPr>
              <w:pStyle w:val="NoSpacing"/>
            </w:pPr>
          </w:p>
        </w:tc>
      </w:tr>
      <w:tr w:rsidR="00241E5E" w:rsidRPr="00673F93" w14:paraId="188D148F" w14:textId="77777777" w:rsidTr="0039362A">
        <w:tc>
          <w:tcPr>
            <w:tcW w:w="3239" w:type="pct"/>
            <w:hideMark/>
          </w:tcPr>
          <w:p w14:paraId="3955A94E" w14:textId="77777777" w:rsidR="00241E5E" w:rsidRPr="00673F93" w:rsidRDefault="00241E5E" w:rsidP="00241E5E">
            <w:pPr>
              <w:pStyle w:val="NoSpacing"/>
            </w:pPr>
            <w:r w:rsidRPr="00673F93">
              <w:t>Firm FE</w:t>
            </w:r>
          </w:p>
        </w:tc>
        <w:tc>
          <w:tcPr>
            <w:tcW w:w="445" w:type="pct"/>
            <w:hideMark/>
          </w:tcPr>
          <w:p w14:paraId="264CE368" w14:textId="77777777" w:rsidR="00241E5E" w:rsidRPr="00673F93" w:rsidRDefault="00241E5E" w:rsidP="00241E5E">
            <w:pPr>
              <w:pStyle w:val="NoSpacing"/>
            </w:pPr>
            <w:r w:rsidRPr="00673F93">
              <w:t>Yes</w:t>
            </w:r>
          </w:p>
        </w:tc>
        <w:tc>
          <w:tcPr>
            <w:tcW w:w="471" w:type="pct"/>
          </w:tcPr>
          <w:p w14:paraId="6EBCE0B3" w14:textId="3AC4F380" w:rsidR="00241E5E" w:rsidRPr="00673F93" w:rsidRDefault="00241E5E" w:rsidP="00241E5E">
            <w:pPr>
              <w:pStyle w:val="NoSpacing"/>
            </w:pPr>
          </w:p>
        </w:tc>
        <w:tc>
          <w:tcPr>
            <w:tcW w:w="445" w:type="pct"/>
            <w:hideMark/>
          </w:tcPr>
          <w:p w14:paraId="5F051DA6" w14:textId="6AB1DFEB" w:rsidR="00241E5E" w:rsidRPr="00673F93" w:rsidRDefault="00241E5E" w:rsidP="00241E5E">
            <w:pPr>
              <w:pStyle w:val="NoSpacing"/>
            </w:pPr>
            <w:r w:rsidRPr="00673F93">
              <w:t>Yes</w:t>
            </w:r>
          </w:p>
        </w:tc>
        <w:tc>
          <w:tcPr>
            <w:tcW w:w="400" w:type="pct"/>
            <w:hideMark/>
          </w:tcPr>
          <w:p w14:paraId="624F556D" w14:textId="77777777" w:rsidR="00241E5E" w:rsidRPr="00673F93" w:rsidRDefault="00241E5E" w:rsidP="00241E5E">
            <w:pPr>
              <w:pStyle w:val="NoSpacing"/>
            </w:pPr>
          </w:p>
        </w:tc>
      </w:tr>
      <w:tr w:rsidR="00241E5E" w:rsidRPr="00673F93" w14:paraId="6A99EBAD" w14:textId="77777777" w:rsidTr="0039362A">
        <w:tc>
          <w:tcPr>
            <w:tcW w:w="3239" w:type="pct"/>
            <w:hideMark/>
          </w:tcPr>
          <w:p w14:paraId="775A833E" w14:textId="77777777" w:rsidR="00241E5E" w:rsidRPr="00673F93" w:rsidRDefault="00241E5E" w:rsidP="00241E5E">
            <w:pPr>
              <w:pStyle w:val="NoSpacing"/>
            </w:pPr>
            <w:r w:rsidRPr="00673F93">
              <w:t>Observations</w:t>
            </w:r>
          </w:p>
        </w:tc>
        <w:tc>
          <w:tcPr>
            <w:tcW w:w="445" w:type="pct"/>
            <w:hideMark/>
          </w:tcPr>
          <w:p w14:paraId="6669E4CC" w14:textId="77777777" w:rsidR="00241E5E" w:rsidRPr="00673F93" w:rsidRDefault="00241E5E" w:rsidP="00241E5E">
            <w:pPr>
              <w:pStyle w:val="NoSpacing"/>
            </w:pPr>
            <w:r w:rsidRPr="00673F93">
              <w:t>9,649</w:t>
            </w:r>
          </w:p>
        </w:tc>
        <w:tc>
          <w:tcPr>
            <w:tcW w:w="471" w:type="pct"/>
          </w:tcPr>
          <w:p w14:paraId="077B48F2" w14:textId="30BE3E68" w:rsidR="00241E5E" w:rsidRPr="00673F93" w:rsidRDefault="00241E5E" w:rsidP="00241E5E">
            <w:pPr>
              <w:pStyle w:val="NoSpacing"/>
            </w:pPr>
          </w:p>
        </w:tc>
        <w:tc>
          <w:tcPr>
            <w:tcW w:w="445" w:type="pct"/>
            <w:hideMark/>
          </w:tcPr>
          <w:p w14:paraId="1FAA0F6F" w14:textId="44E833FB" w:rsidR="00241E5E" w:rsidRPr="00673F93" w:rsidRDefault="00241E5E" w:rsidP="00241E5E">
            <w:pPr>
              <w:pStyle w:val="NoSpacing"/>
            </w:pPr>
            <w:r w:rsidRPr="00673F93">
              <w:t>9,649</w:t>
            </w:r>
          </w:p>
        </w:tc>
        <w:tc>
          <w:tcPr>
            <w:tcW w:w="400" w:type="pct"/>
            <w:hideMark/>
          </w:tcPr>
          <w:p w14:paraId="5A1ECC8C" w14:textId="77777777" w:rsidR="00241E5E" w:rsidRPr="00673F93" w:rsidRDefault="00241E5E" w:rsidP="00241E5E">
            <w:pPr>
              <w:pStyle w:val="NoSpacing"/>
            </w:pPr>
          </w:p>
        </w:tc>
      </w:tr>
      <w:tr w:rsidR="00241E5E" w:rsidRPr="00673F93" w14:paraId="22FDAF61" w14:textId="77777777" w:rsidTr="0039362A">
        <w:tc>
          <w:tcPr>
            <w:tcW w:w="3239" w:type="pct"/>
            <w:hideMark/>
          </w:tcPr>
          <w:p w14:paraId="2DF33D5E" w14:textId="77777777" w:rsidR="00241E5E" w:rsidRPr="00673F93" w:rsidRDefault="00241E5E" w:rsidP="00241E5E">
            <w:pPr>
              <w:pStyle w:val="NoSpacing"/>
            </w:pPr>
            <w:r w:rsidRPr="00673F93">
              <w:t>Adj. R</w:t>
            </w:r>
            <w:r w:rsidRPr="00673F93">
              <w:rPr>
                <w:vertAlign w:val="superscript"/>
              </w:rPr>
              <w:t>2</w:t>
            </w:r>
          </w:p>
        </w:tc>
        <w:tc>
          <w:tcPr>
            <w:tcW w:w="445" w:type="pct"/>
            <w:hideMark/>
          </w:tcPr>
          <w:p w14:paraId="6785F9BE" w14:textId="77777777" w:rsidR="00241E5E" w:rsidRPr="00673F93" w:rsidRDefault="00241E5E" w:rsidP="00241E5E">
            <w:pPr>
              <w:pStyle w:val="NoSpacing"/>
            </w:pPr>
            <w:r w:rsidRPr="00673F93">
              <w:t>0.751</w:t>
            </w:r>
          </w:p>
        </w:tc>
        <w:tc>
          <w:tcPr>
            <w:tcW w:w="471" w:type="pct"/>
          </w:tcPr>
          <w:p w14:paraId="19CAC983" w14:textId="0D6CEB82" w:rsidR="00241E5E" w:rsidRPr="00673F93" w:rsidRDefault="00241E5E" w:rsidP="00241E5E">
            <w:pPr>
              <w:pStyle w:val="NoSpacing"/>
            </w:pPr>
          </w:p>
        </w:tc>
        <w:tc>
          <w:tcPr>
            <w:tcW w:w="445" w:type="pct"/>
            <w:hideMark/>
          </w:tcPr>
          <w:p w14:paraId="13A1781D" w14:textId="1B1EF675" w:rsidR="00241E5E" w:rsidRPr="00673F93" w:rsidRDefault="00241E5E" w:rsidP="00241E5E">
            <w:pPr>
              <w:pStyle w:val="NoSpacing"/>
            </w:pPr>
            <w:r w:rsidRPr="00673F93">
              <w:t>0.775</w:t>
            </w:r>
          </w:p>
        </w:tc>
        <w:tc>
          <w:tcPr>
            <w:tcW w:w="400" w:type="pct"/>
            <w:hideMark/>
          </w:tcPr>
          <w:p w14:paraId="3489BBFD" w14:textId="77777777" w:rsidR="00241E5E" w:rsidRPr="00673F93" w:rsidRDefault="00241E5E" w:rsidP="00241E5E">
            <w:pPr>
              <w:pStyle w:val="NoSpacing"/>
            </w:pPr>
          </w:p>
        </w:tc>
      </w:tr>
    </w:tbl>
    <w:p w14:paraId="793DE73D" w14:textId="5508F4A3" w:rsidR="00673F93" w:rsidRPr="00673F93" w:rsidRDefault="00673F93" w:rsidP="00241E5E">
      <w:pPr>
        <w:pStyle w:val="NoSpacing"/>
      </w:pPr>
      <w:r w:rsidRPr="00673F93">
        <w:t>This table reports estimation results from a propensity score matched (PSM) sample. The sample period is from 1995 to 2010. A probit model is first used to estimate the likelihood of firms exhibiting high levels of CSR. Contemporaneous independent variables are used as described in Equation (</w:t>
      </w:r>
      <w:hyperlink r:id="rId70" w:anchor="bib7" w:tooltip="7" w:history="1">
        <w:r w:rsidRPr="00673F93">
          <w:rPr>
            <w:rStyle w:val="Hyperlink"/>
            <w:rFonts w:cstheme="minorHAnsi"/>
            <w:sz w:val="24"/>
            <w:szCs w:val="24"/>
          </w:rPr>
          <w:t>7</w:t>
        </w:r>
      </w:hyperlink>
      <w:r w:rsidRPr="00673F93">
        <w:t>). The estimation result is reported in column (</w:t>
      </w:r>
      <w:hyperlink r:id="rId71" w:anchor="bib1" w:tooltip="1" w:history="1">
        <w:r w:rsidRPr="00673F93">
          <w:rPr>
            <w:rStyle w:val="Hyperlink"/>
            <w:rFonts w:cstheme="minorHAnsi"/>
            <w:sz w:val="24"/>
            <w:szCs w:val="24"/>
          </w:rPr>
          <w:t>1</w:t>
        </w:r>
      </w:hyperlink>
      <w:r w:rsidRPr="00673F93">
        <w:t>) of Panel A, with the dependent variable being a dichotomous variable that equals 1 if a firm has a high level of CSR. We then match firms based on the estimated propensity scores. Column (</w:t>
      </w:r>
      <w:hyperlink r:id="rId72" w:anchor="bib2" w:tooltip="2" w:history="1">
        <w:r w:rsidRPr="00673F93">
          <w:rPr>
            <w:rStyle w:val="Hyperlink"/>
            <w:rFonts w:cstheme="minorHAnsi"/>
            <w:sz w:val="24"/>
            <w:szCs w:val="24"/>
          </w:rPr>
          <w:t>2</w:t>
        </w:r>
      </w:hyperlink>
      <w:r w:rsidRPr="00673F93">
        <w:t>) of Panel A reports the post‐match regression results. Panel B reports the estimation results when we regress measures of price informativeness on CSR using the matched sample. Independent variables lag dependent variables by 1 year as described in Equation (</w:t>
      </w:r>
      <w:hyperlink r:id="rId73" w:anchor="bib4" w:tooltip="4" w:history="1">
        <w:r w:rsidRPr="00673F93">
          <w:rPr>
            <w:rStyle w:val="Hyperlink"/>
            <w:rFonts w:cstheme="minorHAnsi"/>
            <w:sz w:val="24"/>
            <w:szCs w:val="24"/>
          </w:rPr>
          <w:t>4</w:t>
        </w:r>
      </w:hyperlink>
      <w:r w:rsidRPr="00673F93">
        <w:t>). Detailed variable definitions are given in the Appendix. Standard errors are adjusted for heteroskedasticity and firm‐level clustering. *, ** and *** indicate a significance level of less than 0.10, 0.05 and 0.01, respectively, based on a two‐tailed test.</w:t>
      </w:r>
    </w:p>
    <w:p w14:paraId="14D5BFC9" w14:textId="77777777" w:rsidR="00241E5E" w:rsidRDefault="00241E5E" w:rsidP="00673F93">
      <w:pPr>
        <w:rPr>
          <w:rFonts w:cstheme="minorHAnsi"/>
          <w:b/>
          <w:bCs/>
          <w:sz w:val="24"/>
          <w:szCs w:val="24"/>
        </w:rPr>
        <w:sectPr w:rsidR="00241E5E" w:rsidSect="00146CC8">
          <w:pgSz w:w="15840" w:h="12240" w:orient="landscape"/>
          <w:pgMar w:top="1080" w:right="1080" w:bottom="1080" w:left="1080" w:header="720" w:footer="720" w:gutter="0"/>
          <w:cols w:space="720"/>
          <w:docGrid w:linePitch="360"/>
        </w:sectPr>
      </w:pPr>
    </w:p>
    <w:p w14:paraId="56DD088B" w14:textId="77777777" w:rsidR="00673F93" w:rsidRPr="0039362A" w:rsidRDefault="00D71504" w:rsidP="0039362A">
      <w:pPr>
        <w:pStyle w:val="Heading2"/>
      </w:pPr>
      <w:hyperlink r:id="rId74" w:anchor="toc" w:tooltip="CSR strengths and concerns" w:history="1">
        <w:r w:rsidR="00673F93" w:rsidRPr="0039362A">
          <w:rPr>
            <w:rStyle w:val="Hyperlink"/>
            <w:color w:val="262626" w:themeColor="text1" w:themeTint="D9"/>
            <w:u w:val="none"/>
          </w:rPr>
          <w:t>CSR strengths and concerns</w:t>
        </w:r>
      </w:hyperlink>
    </w:p>
    <w:p w14:paraId="789DA039" w14:textId="64A91D62" w:rsidR="00673F93" w:rsidRPr="00673F93" w:rsidRDefault="00673F93" w:rsidP="00673F93">
      <w:pPr>
        <w:rPr>
          <w:rFonts w:cstheme="minorHAnsi"/>
          <w:sz w:val="24"/>
          <w:szCs w:val="24"/>
        </w:rPr>
      </w:pPr>
      <w:r w:rsidRPr="00673F93">
        <w:rPr>
          <w:rFonts w:cstheme="minorHAnsi"/>
          <w:sz w:val="24"/>
          <w:szCs w:val="24"/>
        </w:rPr>
        <w:t>Our measure of CSR follows prior literature (Deng </w:t>
      </w:r>
      <w:r w:rsidR="005A3923">
        <w:rPr>
          <w:rFonts w:cstheme="minorHAnsi"/>
          <w:i/>
          <w:iCs/>
          <w:sz w:val="24"/>
          <w:szCs w:val="24"/>
        </w:rPr>
        <w:t xml:space="preserve">et al., </w:t>
      </w:r>
      <w:r w:rsidRPr="00673F93">
        <w:rPr>
          <w:rFonts w:cstheme="minorHAnsi"/>
          <w:sz w:val="24"/>
          <w:szCs w:val="24"/>
        </w:rPr>
        <w:t xml:space="preserve">2013) where we compute a net score, subtracting adjusted CSR concerns from strengths. CSR strengths are reflective of proactive firm policies such as pollution prevention and a diverse labour force, while concerns are often associated with public incidents such as workplace accidents, </w:t>
      </w:r>
      <w:proofErr w:type="gramStart"/>
      <w:r w:rsidRPr="00673F93">
        <w:rPr>
          <w:rFonts w:cstheme="minorHAnsi"/>
          <w:sz w:val="24"/>
          <w:szCs w:val="24"/>
        </w:rPr>
        <w:t>lawsuits</w:t>
      </w:r>
      <w:proofErr w:type="gramEnd"/>
      <w:r w:rsidRPr="00673F93">
        <w:rPr>
          <w:rFonts w:cstheme="minorHAnsi"/>
          <w:sz w:val="24"/>
          <w:szCs w:val="24"/>
        </w:rPr>
        <w:t xml:space="preserve"> and regulatory problems. While a commitment to CSR can incentivise information acquisition, CSR concerns, such as the 2010 British Petroleum oil spill or other major public incidents, might also draw attention and trigger greater investor search for information. To investigate the differential relation between CSR strengths and weaknesses on price informativeness, we separate our CSR score into a score for CSR strengths (</w:t>
      </w:r>
      <w:r w:rsidRPr="00673F93">
        <w:rPr>
          <w:rFonts w:cstheme="minorHAnsi"/>
          <w:i/>
          <w:iCs/>
          <w:sz w:val="24"/>
          <w:szCs w:val="24"/>
        </w:rPr>
        <w:t>CSR_STR</w:t>
      </w:r>
      <w:r w:rsidRPr="00673F93">
        <w:rPr>
          <w:rFonts w:cstheme="minorHAnsi"/>
          <w:sz w:val="24"/>
          <w:szCs w:val="24"/>
        </w:rPr>
        <w:t>) and a score for CSR concerns (</w:t>
      </w:r>
      <w:r w:rsidRPr="00673F93">
        <w:rPr>
          <w:rFonts w:cstheme="minorHAnsi"/>
          <w:i/>
          <w:iCs/>
          <w:sz w:val="24"/>
          <w:szCs w:val="24"/>
        </w:rPr>
        <w:t>CSR_CON</w:t>
      </w:r>
      <w:r w:rsidRPr="00673F93">
        <w:rPr>
          <w:rFonts w:cstheme="minorHAnsi"/>
          <w:sz w:val="24"/>
          <w:szCs w:val="24"/>
        </w:rPr>
        <w:t>) and rerun our baseline model in Equation (</w:t>
      </w:r>
      <w:hyperlink r:id="rId75" w:anchor="bib4" w:tooltip="4" w:history="1">
        <w:r w:rsidRPr="00673F93">
          <w:rPr>
            <w:rStyle w:val="Hyperlink"/>
            <w:rFonts w:cstheme="minorHAnsi"/>
            <w:sz w:val="24"/>
            <w:szCs w:val="24"/>
          </w:rPr>
          <w:t>4</w:t>
        </w:r>
      </w:hyperlink>
      <w:r w:rsidRPr="00673F93">
        <w:rPr>
          <w:rFonts w:cstheme="minorHAnsi"/>
          <w:sz w:val="24"/>
          <w:szCs w:val="24"/>
        </w:rPr>
        <w:t>).</w:t>
      </w:r>
    </w:p>
    <w:p w14:paraId="5218A1D8" w14:textId="1EC048A7" w:rsidR="00673F93" w:rsidRPr="00673F93" w:rsidRDefault="00673F93" w:rsidP="00673F93">
      <w:pPr>
        <w:rPr>
          <w:rFonts w:cstheme="minorHAnsi"/>
          <w:sz w:val="24"/>
          <w:szCs w:val="24"/>
        </w:rPr>
      </w:pPr>
      <w:r w:rsidRPr="00673F93">
        <w:rPr>
          <w:rFonts w:cstheme="minorHAnsi"/>
          <w:sz w:val="24"/>
          <w:szCs w:val="24"/>
        </w:rPr>
        <w:t>Table 8 presents the results. We first examine the inclusion of </w:t>
      </w:r>
      <w:r w:rsidRPr="00673F93">
        <w:rPr>
          <w:rFonts w:cstheme="minorHAnsi"/>
          <w:i/>
          <w:iCs/>
          <w:sz w:val="24"/>
          <w:szCs w:val="24"/>
        </w:rPr>
        <w:t>CSR_STR</w:t>
      </w:r>
      <w:r w:rsidRPr="00673F93">
        <w:rPr>
          <w:rFonts w:cstheme="minorHAnsi"/>
          <w:sz w:val="24"/>
          <w:szCs w:val="24"/>
        </w:rPr>
        <w:t> and </w:t>
      </w:r>
      <w:r w:rsidRPr="00673F93">
        <w:rPr>
          <w:rFonts w:cstheme="minorHAnsi"/>
          <w:i/>
          <w:iCs/>
          <w:sz w:val="24"/>
          <w:szCs w:val="24"/>
        </w:rPr>
        <w:t>CSR_CON</w:t>
      </w:r>
      <w:r w:rsidRPr="00673F93">
        <w:rPr>
          <w:rFonts w:cstheme="minorHAnsi"/>
          <w:sz w:val="24"/>
          <w:szCs w:val="24"/>
        </w:rPr>
        <w:t> separately. As shown in columns (</w:t>
      </w:r>
      <w:hyperlink r:id="rId76" w:anchor="bib1" w:tooltip="1" w:history="1">
        <w:r w:rsidRPr="00673F93">
          <w:rPr>
            <w:rStyle w:val="Hyperlink"/>
            <w:rFonts w:cstheme="minorHAnsi"/>
            <w:sz w:val="24"/>
            <w:szCs w:val="24"/>
          </w:rPr>
          <w:t>1</w:t>
        </w:r>
      </w:hyperlink>
      <w:r w:rsidRPr="00673F93">
        <w:rPr>
          <w:rFonts w:cstheme="minorHAnsi"/>
          <w:sz w:val="24"/>
          <w:szCs w:val="24"/>
        </w:rPr>
        <w:t>) and (</w:t>
      </w:r>
      <w:hyperlink r:id="rId77" w:anchor="bib4" w:tooltip="4" w:history="1">
        <w:r w:rsidRPr="00673F93">
          <w:rPr>
            <w:rStyle w:val="Hyperlink"/>
            <w:rFonts w:cstheme="minorHAnsi"/>
            <w:sz w:val="24"/>
            <w:szCs w:val="24"/>
          </w:rPr>
          <w:t>4</w:t>
        </w:r>
      </w:hyperlink>
      <w:r w:rsidRPr="00673F93">
        <w:rPr>
          <w:rFonts w:cstheme="minorHAnsi"/>
          <w:sz w:val="24"/>
          <w:szCs w:val="24"/>
        </w:rPr>
        <w:t>), the coefficient of </w:t>
      </w:r>
      <w:r w:rsidRPr="00673F93">
        <w:rPr>
          <w:rFonts w:cstheme="minorHAnsi"/>
          <w:i/>
          <w:iCs/>
          <w:sz w:val="24"/>
          <w:szCs w:val="24"/>
        </w:rPr>
        <w:t>CSR_STR</w:t>
      </w:r>
      <w:r w:rsidRPr="00673F93">
        <w:rPr>
          <w:rFonts w:cstheme="minorHAnsi"/>
          <w:sz w:val="24"/>
          <w:szCs w:val="24"/>
        </w:rPr>
        <w:t xml:space="preserve"> is positive and statistically significant at the 1 percent level for both </w:t>
      </w:r>
      <m:oMath>
        <m:r>
          <m:rPr>
            <m:sty m:val="p"/>
          </m:rPr>
          <w:rPr>
            <w:rFonts w:ascii="Cambria Math" w:hAnsi="Cambria Math" w:cstheme="minorHAnsi"/>
            <w:sz w:val="24"/>
            <w:szCs w:val="24"/>
          </w:rPr>
          <m:t>Ψ</m:t>
        </m:r>
      </m:oMath>
      <w:r w:rsidRPr="00673F93">
        <w:rPr>
          <w:rFonts w:cstheme="minorHAnsi"/>
          <w:sz w:val="24"/>
          <w:szCs w:val="24"/>
        </w:rPr>
        <w:t xml:space="preserve"> and </w:t>
      </w:r>
      <w:r w:rsidRPr="00673F93">
        <w:rPr>
          <w:rFonts w:cstheme="minorHAnsi"/>
          <w:i/>
          <w:iCs/>
          <w:sz w:val="24"/>
          <w:szCs w:val="24"/>
        </w:rPr>
        <w:t>PIN</w:t>
      </w:r>
      <w:r w:rsidRPr="00673F93">
        <w:rPr>
          <w:rFonts w:cstheme="minorHAnsi"/>
          <w:sz w:val="24"/>
          <w:szCs w:val="24"/>
        </w:rPr>
        <w:t>. However, in columns (</w:t>
      </w:r>
      <w:hyperlink r:id="rId78" w:anchor="bib2" w:tooltip="2" w:history="1">
        <w:r w:rsidRPr="00673F93">
          <w:rPr>
            <w:rStyle w:val="Hyperlink"/>
            <w:rFonts w:cstheme="minorHAnsi"/>
            <w:sz w:val="24"/>
            <w:szCs w:val="24"/>
          </w:rPr>
          <w:t>2</w:t>
        </w:r>
      </w:hyperlink>
      <w:r w:rsidRPr="00673F93">
        <w:rPr>
          <w:rFonts w:cstheme="minorHAnsi"/>
          <w:sz w:val="24"/>
          <w:szCs w:val="24"/>
        </w:rPr>
        <w:t>) and (</w:t>
      </w:r>
      <w:hyperlink r:id="rId79" w:anchor="bib5" w:tooltip="5" w:history="1">
        <w:r w:rsidRPr="00673F93">
          <w:rPr>
            <w:rStyle w:val="Hyperlink"/>
            <w:rFonts w:cstheme="minorHAnsi"/>
            <w:sz w:val="24"/>
            <w:szCs w:val="24"/>
          </w:rPr>
          <w:t>5</w:t>
        </w:r>
      </w:hyperlink>
      <w:r w:rsidRPr="00673F93">
        <w:rPr>
          <w:rFonts w:cstheme="minorHAnsi"/>
          <w:sz w:val="24"/>
          <w:szCs w:val="24"/>
        </w:rPr>
        <w:t>) the coefficient of </w:t>
      </w:r>
      <w:r w:rsidRPr="00673F93">
        <w:rPr>
          <w:rFonts w:cstheme="minorHAnsi"/>
          <w:i/>
          <w:iCs/>
          <w:sz w:val="24"/>
          <w:szCs w:val="24"/>
        </w:rPr>
        <w:t>CSR_CON</w:t>
      </w:r>
      <w:r w:rsidRPr="00673F93">
        <w:rPr>
          <w:rFonts w:cstheme="minorHAnsi"/>
          <w:sz w:val="24"/>
          <w:szCs w:val="24"/>
        </w:rPr>
        <w:t xml:space="preserve"> is statistically insignificant for </w:t>
      </w:r>
      <m:oMath>
        <m:r>
          <m:rPr>
            <m:sty m:val="p"/>
          </m:rPr>
          <w:rPr>
            <w:rFonts w:ascii="Cambria Math" w:hAnsi="Cambria Math" w:cstheme="minorHAnsi"/>
            <w:sz w:val="24"/>
            <w:szCs w:val="24"/>
          </w:rPr>
          <m:t>Ψ</m:t>
        </m:r>
      </m:oMath>
      <w:r w:rsidRPr="00673F93">
        <w:rPr>
          <w:rFonts w:cstheme="minorHAnsi"/>
          <w:sz w:val="24"/>
          <w:szCs w:val="24"/>
        </w:rPr>
        <w:t xml:space="preserve"> and significantly negative for </w:t>
      </w:r>
      <w:r w:rsidRPr="00673F93">
        <w:rPr>
          <w:rFonts w:cstheme="minorHAnsi"/>
          <w:i/>
          <w:iCs/>
          <w:sz w:val="24"/>
          <w:szCs w:val="24"/>
        </w:rPr>
        <w:t>PIN</w:t>
      </w:r>
      <w:r w:rsidRPr="00673F93">
        <w:rPr>
          <w:rFonts w:cstheme="minorHAnsi"/>
          <w:sz w:val="24"/>
          <w:szCs w:val="24"/>
        </w:rPr>
        <w:t>. Similar results are presented in column (</w:t>
      </w:r>
      <w:hyperlink r:id="rId80" w:anchor="bib3" w:tooltip="3" w:history="1">
        <w:r w:rsidRPr="00673F93">
          <w:rPr>
            <w:rStyle w:val="Hyperlink"/>
            <w:rFonts w:cstheme="minorHAnsi"/>
            <w:sz w:val="24"/>
            <w:szCs w:val="24"/>
          </w:rPr>
          <w:t>3</w:t>
        </w:r>
      </w:hyperlink>
      <w:r w:rsidRPr="00673F93">
        <w:rPr>
          <w:rFonts w:cstheme="minorHAnsi"/>
          <w:sz w:val="24"/>
          <w:szCs w:val="24"/>
        </w:rPr>
        <w:t>) and (</w:t>
      </w:r>
      <w:hyperlink r:id="rId81" w:anchor="bib6" w:tooltip="6" w:history="1">
        <w:r w:rsidRPr="00673F93">
          <w:rPr>
            <w:rStyle w:val="Hyperlink"/>
            <w:rFonts w:cstheme="minorHAnsi"/>
            <w:sz w:val="24"/>
            <w:szCs w:val="24"/>
          </w:rPr>
          <w:t>6</w:t>
        </w:r>
      </w:hyperlink>
      <w:r w:rsidRPr="00673F93">
        <w:rPr>
          <w:rFonts w:cstheme="minorHAnsi"/>
          <w:sz w:val="24"/>
          <w:szCs w:val="24"/>
        </w:rPr>
        <w:t>) when both </w:t>
      </w:r>
      <w:r w:rsidRPr="00673F93">
        <w:rPr>
          <w:rFonts w:cstheme="minorHAnsi"/>
          <w:i/>
          <w:iCs/>
          <w:sz w:val="24"/>
          <w:szCs w:val="24"/>
        </w:rPr>
        <w:t>CSR_STR</w:t>
      </w:r>
      <w:r w:rsidRPr="00673F93">
        <w:rPr>
          <w:rFonts w:cstheme="minorHAnsi"/>
          <w:sz w:val="24"/>
          <w:szCs w:val="24"/>
        </w:rPr>
        <w:t> and </w:t>
      </w:r>
      <w:r w:rsidRPr="00673F93">
        <w:rPr>
          <w:rFonts w:cstheme="minorHAnsi"/>
          <w:i/>
          <w:iCs/>
          <w:sz w:val="24"/>
          <w:szCs w:val="24"/>
        </w:rPr>
        <w:t>CSR_CON</w:t>
      </w:r>
      <w:r w:rsidRPr="00673F93">
        <w:rPr>
          <w:rFonts w:cstheme="minorHAnsi"/>
          <w:sz w:val="24"/>
          <w:szCs w:val="24"/>
        </w:rPr>
        <w:t xml:space="preserve"> are included in the same regression. Overall, this table provides evidence suggesting that firms' proactive involvement in CSR activities, as measured by CSR strengths, draws more </w:t>
      </w:r>
      <w:proofErr w:type="gramStart"/>
      <w:r w:rsidRPr="00673F93">
        <w:rPr>
          <w:rFonts w:cstheme="minorHAnsi"/>
          <w:sz w:val="24"/>
          <w:szCs w:val="24"/>
        </w:rPr>
        <w:t>trading</w:t>
      </w:r>
      <w:proofErr w:type="gramEnd"/>
      <w:r w:rsidRPr="00673F93">
        <w:rPr>
          <w:rFonts w:cstheme="minorHAnsi"/>
          <w:sz w:val="24"/>
          <w:szCs w:val="24"/>
        </w:rPr>
        <w:t xml:space="preserve"> and searches for information and promotes more informative stock prices.</w:t>
      </w:r>
    </w:p>
    <w:p w14:paraId="1605AE1E" w14:textId="2C1ABB61" w:rsidR="00673F93" w:rsidRPr="00673F93" w:rsidRDefault="00673F93" w:rsidP="00157A40">
      <w:pPr>
        <w:spacing w:after="0"/>
        <w:rPr>
          <w:rFonts w:cstheme="minorHAnsi"/>
          <w:sz w:val="24"/>
          <w:szCs w:val="24"/>
        </w:rPr>
      </w:pPr>
      <w:r w:rsidRPr="00673F93">
        <w:rPr>
          <w:rFonts w:cstheme="minorHAnsi"/>
          <w:sz w:val="24"/>
          <w:szCs w:val="24"/>
        </w:rPr>
        <w:t>8 Table</w:t>
      </w:r>
      <w:r w:rsidR="00157A40">
        <w:rPr>
          <w:rFonts w:cstheme="minorHAnsi"/>
          <w:sz w:val="24"/>
          <w:szCs w:val="24"/>
        </w:rPr>
        <w:t xml:space="preserve"> </w:t>
      </w:r>
      <w:r w:rsidRPr="00673F93">
        <w:rPr>
          <w:rFonts w:cstheme="minorHAnsi"/>
          <w:sz w:val="24"/>
          <w:szCs w:val="24"/>
        </w:rPr>
        <w:t>Differential impact of CSR strengths and concerns</w:t>
      </w:r>
    </w:p>
    <w:tbl>
      <w:tblPr>
        <w:tblStyle w:val="TableGrid"/>
        <w:tblW w:w="5000" w:type="pct"/>
        <w:tblLook w:val="04A0" w:firstRow="1" w:lastRow="0" w:firstColumn="1" w:lastColumn="0" w:noHBand="0" w:noVBand="1"/>
      </w:tblPr>
      <w:tblGrid>
        <w:gridCol w:w="1584"/>
        <w:gridCol w:w="1257"/>
        <w:gridCol w:w="1257"/>
        <w:gridCol w:w="1508"/>
        <w:gridCol w:w="1508"/>
        <w:gridCol w:w="1508"/>
        <w:gridCol w:w="1448"/>
      </w:tblGrid>
      <w:tr w:rsidR="00157A40" w:rsidRPr="00157A40" w14:paraId="240239A5" w14:textId="77777777" w:rsidTr="003C19CB">
        <w:tc>
          <w:tcPr>
            <w:tcW w:w="786" w:type="pct"/>
            <w:hideMark/>
          </w:tcPr>
          <w:p w14:paraId="72F575C9" w14:textId="77777777" w:rsidR="00157A40" w:rsidRPr="00157A40" w:rsidRDefault="00157A40" w:rsidP="00157A40">
            <w:pPr>
              <w:pStyle w:val="NoSpacing"/>
              <w:rPr>
                <w:sz w:val="24"/>
                <w:szCs w:val="24"/>
              </w:rPr>
            </w:pPr>
          </w:p>
        </w:tc>
        <w:tc>
          <w:tcPr>
            <w:tcW w:w="624" w:type="pct"/>
            <w:hideMark/>
          </w:tcPr>
          <w:p w14:paraId="4DB48566" w14:textId="78BA957C" w:rsidR="00157A40" w:rsidRPr="00157A40" w:rsidRDefault="00157A40" w:rsidP="00157A40">
            <w:pPr>
              <w:pStyle w:val="NoSpacing"/>
              <w:rPr>
                <w:b/>
                <w:bCs/>
                <w:sz w:val="24"/>
                <w:szCs w:val="24"/>
              </w:rPr>
            </w:pPr>
            <m:oMathPara>
              <m:oMathParaPr>
                <m:jc m:val="left"/>
              </m:oMathParaPr>
              <m:oMath>
                <m:r>
                  <m:rPr>
                    <m:sty m:val="p"/>
                  </m:rPr>
                  <w:rPr>
                    <w:rFonts w:ascii="Cambria Math" w:hAnsi="Cambria Math"/>
                    <w:sz w:val="24"/>
                    <w:szCs w:val="24"/>
                  </w:rPr>
                  <m:t>Ψ</m:t>
                </m:r>
              </m:oMath>
            </m:oMathPara>
          </w:p>
        </w:tc>
        <w:tc>
          <w:tcPr>
            <w:tcW w:w="624" w:type="pct"/>
          </w:tcPr>
          <w:p w14:paraId="5A853758" w14:textId="77777777" w:rsidR="00157A40" w:rsidRPr="00157A40" w:rsidRDefault="00157A40" w:rsidP="00157A40">
            <w:pPr>
              <w:pStyle w:val="NoSpacing"/>
              <w:rPr>
                <w:b/>
                <w:bCs/>
                <w:sz w:val="24"/>
                <w:szCs w:val="24"/>
              </w:rPr>
            </w:pPr>
          </w:p>
        </w:tc>
        <w:tc>
          <w:tcPr>
            <w:tcW w:w="749" w:type="pct"/>
            <w:hideMark/>
          </w:tcPr>
          <w:p w14:paraId="4C331852" w14:textId="50FE5519" w:rsidR="00157A40" w:rsidRPr="00157A40" w:rsidRDefault="00157A40" w:rsidP="00157A40">
            <w:pPr>
              <w:pStyle w:val="NoSpacing"/>
              <w:rPr>
                <w:b/>
                <w:bCs/>
                <w:sz w:val="24"/>
                <w:szCs w:val="24"/>
              </w:rPr>
            </w:pPr>
          </w:p>
        </w:tc>
        <w:tc>
          <w:tcPr>
            <w:tcW w:w="749" w:type="pct"/>
          </w:tcPr>
          <w:p w14:paraId="5F38F22E" w14:textId="48137473" w:rsidR="00157A40" w:rsidRPr="00157A40" w:rsidRDefault="00157A40" w:rsidP="00157A40">
            <w:pPr>
              <w:pStyle w:val="NoSpacing"/>
              <w:rPr>
                <w:b/>
                <w:bCs/>
                <w:sz w:val="24"/>
                <w:szCs w:val="24"/>
              </w:rPr>
            </w:pPr>
            <w:r w:rsidRPr="00157A40">
              <w:rPr>
                <w:b/>
                <w:bCs/>
                <w:sz w:val="24"/>
                <w:szCs w:val="24"/>
              </w:rPr>
              <w:t>PIN</w:t>
            </w:r>
          </w:p>
        </w:tc>
        <w:tc>
          <w:tcPr>
            <w:tcW w:w="749" w:type="pct"/>
          </w:tcPr>
          <w:p w14:paraId="26AFBA3C" w14:textId="77777777" w:rsidR="00157A40" w:rsidRPr="00157A40" w:rsidRDefault="00157A40" w:rsidP="00157A40">
            <w:pPr>
              <w:pStyle w:val="NoSpacing"/>
              <w:rPr>
                <w:b/>
                <w:bCs/>
                <w:sz w:val="24"/>
                <w:szCs w:val="24"/>
              </w:rPr>
            </w:pPr>
          </w:p>
        </w:tc>
        <w:tc>
          <w:tcPr>
            <w:tcW w:w="719" w:type="pct"/>
          </w:tcPr>
          <w:p w14:paraId="216E6AC1" w14:textId="29D0D975" w:rsidR="00157A40" w:rsidRPr="00157A40" w:rsidRDefault="00157A40" w:rsidP="00157A40">
            <w:pPr>
              <w:pStyle w:val="NoSpacing"/>
              <w:rPr>
                <w:b/>
                <w:bCs/>
                <w:sz w:val="24"/>
                <w:szCs w:val="24"/>
              </w:rPr>
            </w:pPr>
          </w:p>
        </w:tc>
      </w:tr>
      <w:tr w:rsidR="00737096" w:rsidRPr="00157A40" w14:paraId="12EEAC51" w14:textId="77777777" w:rsidTr="003C19CB">
        <w:tc>
          <w:tcPr>
            <w:tcW w:w="786" w:type="pct"/>
            <w:hideMark/>
          </w:tcPr>
          <w:p w14:paraId="046A2605" w14:textId="50C55646" w:rsidR="00157A40" w:rsidRPr="00157A40" w:rsidRDefault="00157A40" w:rsidP="00157A40">
            <w:pPr>
              <w:pStyle w:val="NoSpacing"/>
              <w:rPr>
                <w:b/>
                <w:bCs/>
                <w:sz w:val="24"/>
                <w:szCs w:val="24"/>
              </w:rPr>
            </w:pPr>
          </w:p>
        </w:tc>
        <w:tc>
          <w:tcPr>
            <w:tcW w:w="624" w:type="pct"/>
            <w:hideMark/>
          </w:tcPr>
          <w:p w14:paraId="77412E55" w14:textId="3D8BAD3F" w:rsidR="00157A40" w:rsidRPr="00157A40" w:rsidRDefault="00157A40" w:rsidP="00157A40">
            <w:pPr>
              <w:pStyle w:val="NoSpacing"/>
              <w:rPr>
                <w:b/>
                <w:bCs/>
                <w:sz w:val="24"/>
                <w:szCs w:val="24"/>
              </w:rPr>
            </w:pPr>
            <w:r w:rsidRPr="00157A40">
              <w:rPr>
                <w:b/>
                <w:bCs/>
                <w:sz w:val="24"/>
                <w:szCs w:val="24"/>
              </w:rPr>
              <w:t>(1)</w:t>
            </w:r>
          </w:p>
        </w:tc>
        <w:tc>
          <w:tcPr>
            <w:tcW w:w="624" w:type="pct"/>
            <w:hideMark/>
          </w:tcPr>
          <w:p w14:paraId="1A9B6CA4" w14:textId="562837CF" w:rsidR="00157A40" w:rsidRPr="00157A40" w:rsidRDefault="00157A40" w:rsidP="00157A40">
            <w:pPr>
              <w:pStyle w:val="NoSpacing"/>
              <w:rPr>
                <w:b/>
                <w:bCs/>
                <w:sz w:val="24"/>
                <w:szCs w:val="24"/>
              </w:rPr>
            </w:pPr>
            <w:r w:rsidRPr="00157A40">
              <w:rPr>
                <w:b/>
                <w:bCs/>
                <w:sz w:val="24"/>
                <w:szCs w:val="24"/>
              </w:rPr>
              <w:t>(2)</w:t>
            </w:r>
          </w:p>
        </w:tc>
        <w:tc>
          <w:tcPr>
            <w:tcW w:w="749" w:type="pct"/>
            <w:hideMark/>
          </w:tcPr>
          <w:p w14:paraId="57A3897F" w14:textId="1EB606D8" w:rsidR="00157A40" w:rsidRPr="00157A40" w:rsidRDefault="00157A40" w:rsidP="00157A40">
            <w:pPr>
              <w:pStyle w:val="NoSpacing"/>
              <w:rPr>
                <w:b/>
                <w:bCs/>
                <w:sz w:val="24"/>
                <w:szCs w:val="24"/>
              </w:rPr>
            </w:pPr>
            <w:r w:rsidRPr="00157A40">
              <w:rPr>
                <w:b/>
                <w:bCs/>
                <w:sz w:val="24"/>
                <w:szCs w:val="24"/>
              </w:rPr>
              <w:t>(3)</w:t>
            </w:r>
          </w:p>
        </w:tc>
        <w:tc>
          <w:tcPr>
            <w:tcW w:w="749" w:type="pct"/>
            <w:hideMark/>
          </w:tcPr>
          <w:p w14:paraId="37DEB6A3" w14:textId="4D9628C7" w:rsidR="00157A40" w:rsidRPr="00157A40" w:rsidRDefault="00157A40" w:rsidP="00157A40">
            <w:pPr>
              <w:pStyle w:val="NoSpacing"/>
              <w:rPr>
                <w:b/>
                <w:bCs/>
                <w:sz w:val="24"/>
                <w:szCs w:val="24"/>
              </w:rPr>
            </w:pPr>
            <w:r w:rsidRPr="00157A40">
              <w:rPr>
                <w:b/>
                <w:bCs/>
                <w:sz w:val="24"/>
                <w:szCs w:val="24"/>
              </w:rPr>
              <w:t>(4)</w:t>
            </w:r>
          </w:p>
        </w:tc>
        <w:tc>
          <w:tcPr>
            <w:tcW w:w="749" w:type="pct"/>
          </w:tcPr>
          <w:p w14:paraId="2890832E" w14:textId="16025FAE" w:rsidR="00157A40" w:rsidRPr="00157A40" w:rsidRDefault="00157A40" w:rsidP="00157A40">
            <w:pPr>
              <w:pStyle w:val="NoSpacing"/>
              <w:rPr>
                <w:b/>
                <w:bCs/>
                <w:sz w:val="24"/>
                <w:szCs w:val="24"/>
              </w:rPr>
            </w:pPr>
            <w:r w:rsidRPr="00157A40">
              <w:rPr>
                <w:b/>
                <w:bCs/>
                <w:sz w:val="24"/>
                <w:szCs w:val="24"/>
              </w:rPr>
              <w:t>(5)</w:t>
            </w:r>
          </w:p>
        </w:tc>
        <w:tc>
          <w:tcPr>
            <w:tcW w:w="719" w:type="pct"/>
            <w:hideMark/>
          </w:tcPr>
          <w:p w14:paraId="76115B76" w14:textId="717B76FC" w:rsidR="00157A40" w:rsidRPr="00157A40" w:rsidRDefault="00157A40" w:rsidP="00157A40">
            <w:pPr>
              <w:pStyle w:val="NoSpacing"/>
              <w:rPr>
                <w:b/>
                <w:bCs/>
                <w:sz w:val="24"/>
                <w:szCs w:val="24"/>
              </w:rPr>
            </w:pPr>
            <w:r w:rsidRPr="00157A40">
              <w:rPr>
                <w:b/>
                <w:bCs/>
                <w:sz w:val="24"/>
                <w:szCs w:val="24"/>
              </w:rPr>
              <w:t>(6)</w:t>
            </w:r>
          </w:p>
        </w:tc>
      </w:tr>
      <w:tr w:rsidR="003C19CB" w:rsidRPr="00157A40" w14:paraId="14625856" w14:textId="77777777" w:rsidTr="003C19CB">
        <w:trPr>
          <w:trHeight w:val="596"/>
        </w:trPr>
        <w:tc>
          <w:tcPr>
            <w:tcW w:w="786" w:type="pct"/>
            <w:hideMark/>
          </w:tcPr>
          <w:p w14:paraId="69554902" w14:textId="77777777" w:rsidR="003C19CB" w:rsidRPr="00162019" w:rsidRDefault="003C19CB" w:rsidP="00157A40">
            <w:pPr>
              <w:pStyle w:val="NoSpacing"/>
              <w:rPr>
                <w:i/>
                <w:iCs/>
                <w:sz w:val="24"/>
                <w:szCs w:val="24"/>
              </w:rPr>
            </w:pPr>
            <w:r w:rsidRPr="00162019">
              <w:rPr>
                <w:i/>
                <w:iCs/>
                <w:sz w:val="24"/>
                <w:szCs w:val="24"/>
              </w:rPr>
              <w:t>CSR_STR</w:t>
            </w:r>
          </w:p>
        </w:tc>
        <w:tc>
          <w:tcPr>
            <w:tcW w:w="624" w:type="pct"/>
            <w:hideMark/>
          </w:tcPr>
          <w:p w14:paraId="46B2858F" w14:textId="77777777" w:rsidR="003C19CB" w:rsidRPr="00157A40" w:rsidRDefault="003C19CB" w:rsidP="00157A40">
            <w:pPr>
              <w:pStyle w:val="NoSpacing"/>
              <w:rPr>
                <w:sz w:val="24"/>
                <w:szCs w:val="24"/>
              </w:rPr>
            </w:pPr>
            <w:r w:rsidRPr="00157A40">
              <w:rPr>
                <w:sz w:val="24"/>
                <w:szCs w:val="24"/>
              </w:rPr>
              <w:t>0.122***</w:t>
            </w:r>
          </w:p>
          <w:p w14:paraId="07DECAAA" w14:textId="49BA9C9C" w:rsidR="003C19CB" w:rsidRPr="00157A40" w:rsidRDefault="003C19CB" w:rsidP="00157A40">
            <w:pPr>
              <w:pStyle w:val="NoSpacing"/>
              <w:rPr>
                <w:sz w:val="24"/>
                <w:szCs w:val="24"/>
              </w:rPr>
            </w:pPr>
            <w:r w:rsidRPr="00157A40">
              <w:rPr>
                <w:sz w:val="24"/>
                <w:szCs w:val="24"/>
              </w:rPr>
              <w:t>(3.32)</w:t>
            </w:r>
          </w:p>
        </w:tc>
        <w:tc>
          <w:tcPr>
            <w:tcW w:w="624" w:type="pct"/>
            <w:hideMark/>
          </w:tcPr>
          <w:p w14:paraId="091195AE" w14:textId="77777777" w:rsidR="003C19CB" w:rsidRPr="00157A40" w:rsidRDefault="003C19CB" w:rsidP="00157A40">
            <w:pPr>
              <w:pStyle w:val="NoSpacing"/>
              <w:rPr>
                <w:sz w:val="24"/>
                <w:szCs w:val="24"/>
              </w:rPr>
            </w:pPr>
          </w:p>
        </w:tc>
        <w:tc>
          <w:tcPr>
            <w:tcW w:w="749" w:type="pct"/>
            <w:hideMark/>
          </w:tcPr>
          <w:p w14:paraId="64353E62" w14:textId="77777777" w:rsidR="003C19CB" w:rsidRPr="00157A40" w:rsidRDefault="003C19CB" w:rsidP="00157A40">
            <w:pPr>
              <w:pStyle w:val="NoSpacing"/>
              <w:rPr>
                <w:sz w:val="24"/>
                <w:szCs w:val="24"/>
              </w:rPr>
            </w:pPr>
            <w:r w:rsidRPr="00157A40">
              <w:rPr>
                <w:sz w:val="24"/>
                <w:szCs w:val="24"/>
              </w:rPr>
              <w:t>0.120***</w:t>
            </w:r>
          </w:p>
          <w:p w14:paraId="02A7F75A" w14:textId="69A73175" w:rsidR="003C19CB" w:rsidRPr="00157A40" w:rsidRDefault="003C19CB" w:rsidP="00157A40">
            <w:pPr>
              <w:pStyle w:val="NoSpacing"/>
              <w:rPr>
                <w:sz w:val="24"/>
                <w:szCs w:val="24"/>
              </w:rPr>
            </w:pPr>
            <w:r w:rsidRPr="00157A40">
              <w:rPr>
                <w:sz w:val="24"/>
                <w:szCs w:val="24"/>
              </w:rPr>
              <w:t>(3.29)</w:t>
            </w:r>
          </w:p>
        </w:tc>
        <w:tc>
          <w:tcPr>
            <w:tcW w:w="749" w:type="pct"/>
            <w:hideMark/>
          </w:tcPr>
          <w:p w14:paraId="746EB2BC" w14:textId="77777777" w:rsidR="003C19CB" w:rsidRPr="00157A40" w:rsidRDefault="003C19CB" w:rsidP="00157A40">
            <w:pPr>
              <w:pStyle w:val="NoSpacing"/>
              <w:rPr>
                <w:sz w:val="24"/>
                <w:szCs w:val="24"/>
              </w:rPr>
            </w:pPr>
            <w:r w:rsidRPr="00157A40">
              <w:rPr>
                <w:sz w:val="24"/>
                <w:szCs w:val="24"/>
              </w:rPr>
              <w:t>0.006***</w:t>
            </w:r>
          </w:p>
          <w:p w14:paraId="00C8E196" w14:textId="55CBDBBE" w:rsidR="003C19CB" w:rsidRPr="00157A40" w:rsidRDefault="003C19CB" w:rsidP="00157A40">
            <w:pPr>
              <w:pStyle w:val="NoSpacing"/>
              <w:rPr>
                <w:sz w:val="24"/>
                <w:szCs w:val="24"/>
              </w:rPr>
            </w:pPr>
            <w:r w:rsidRPr="00157A40">
              <w:rPr>
                <w:sz w:val="24"/>
                <w:szCs w:val="24"/>
              </w:rPr>
              <w:t>(5.23)</w:t>
            </w:r>
          </w:p>
        </w:tc>
        <w:tc>
          <w:tcPr>
            <w:tcW w:w="749" w:type="pct"/>
            <w:hideMark/>
          </w:tcPr>
          <w:p w14:paraId="3582D937" w14:textId="77777777" w:rsidR="003C19CB" w:rsidRPr="00157A40" w:rsidRDefault="003C19CB" w:rsidP="00157A40">
            <w:pPr>
              <w:pStyle w:val="NoSpacing"/>
              <w:rPr>
                <w:sz w:val="24"/>
                <w:szCs w:val="24"/>
              </w:rPr>
            </w:pPr>
          </w:p>
        </w:tc>
        <w:tc>
          <w:tcPr>
            <w:tcW w:w="719" w:type="pct"/>
            <w:hideMark/>
          </w:tcPr>
          <w:p w14:paraId="53D114E7" w14:textId="77777777" w:rsidR="003C19CB" w:rsidRPr="00157A40" w:rsidRDefault="003C19CB" w:rsidP="00157A40">
            <w:pPr>
              <w:pStyle w:val="NoSpacing"/>
              <w:rPr>
                <w:sz w:val="24"/>
                <w:szCs w:val="24"/>
              </w:rPr>
            </w:pPr>
            <w:r w:rsidRPr="00157A40">
              <w:rPr>
                <w:sz w:val="24"/>
                <w:szCs w:val="24"/>
              </w:rPr>
              <w:t>0.007***</w:t>
            </w:r>
          </w:p>
          <w:p w14:paraId="77D3D369" w14:textId="171BD383" w:rsidR="003C19CB" w:rsidRPr="00157A40" w:rsidRDefault="003C19CB" w:rsidP="00157A40">
            <w:pPr>
              <w:pStyle w:val="NoSpacing"/>
              <w:rPr>
                <w:sz w:val="24"/>
                <w:szCs w:val="24"/>
              </w:rPr>
            </w:pPr>
            <w:r w:rsidRPr="00157A40">
              <w:rPr>
                <w:sz w:val="24"/>
                <w:szCs w:val="24"/>
              </w:rPr>
              <w:t>(5.36)</w:t>
            </w:r>
          </w:p>
        </w:tc>
      </w:tr>
      <w:tr w:rsidR="003C19CB" w:rsidRPr="00157A40" w14:paraId="30169E47" w14:textId="77777777" w:rsidTr="003C19CB">
        <w:trPr>
          <w:trHeight w:val="586"/>
        </w:trPr>
        <w:tc>
          <w:tcPr>
            <w:tcW w:w="786" w:type="pct"/>
            <w:hideMark/>
          </w:tcPr>
          <w:p w14:paraId="11D45532" w14:textId="77777777" w:rsidR="003C19CB" w:rsidRPr="00162019" w:rsidRDefault="003C19CB" w:rsidP="00157A40">
            <w:pPr>
              <w:pStyle w:val="NoSpacing"/>
              <w:rPr>
                <w:i/>
                <w:iCs/>
                <w:sz w:val="24"/>
                <w:szCs w:val="24"/>
              </w:rPr>
            </w:pPr>
            <w:r w:rsidRPr="00162019">
              <w:rPr>
                <w:i/>
                <w:iCs/>
                <w:sz w:val="24"/>
                <w:szCs w:val="24"/>
              </w:rPr>
              <w:t>CSR_CON</w:t>
            </w:r>
          </w:p>
        </w:tc>
        <w:tc>
          <w:tcPr>
            <w:tcW w:w="624" w:type="pct"/>
            <w:hideMark/>
          </w:tcPr>
          <w:p w14:paraId="19D51497" w14:textId="77777777" w:rsidR="003C19CB" w:rsidRPr="00157A40" w:rsidRDefault="003C19CB" w:rsidP="00157A40">
            <w:pPr>
              <w:pStyle w:val="NoSpacing"/>
              <w:rPr>
                <w:sz w:val="24"/>
                <w:szCs w:val="24"/>
              </w:rPr>
            </w:pPr>
          </w:p>
        </w:tc>
        <w:tc>
          <w:tcPr>
            <w:tcW w:w="624" w:type="pct"/>
            <w:hideMark/>
          </w:tcPr>
          <w:p w14:paraId="13BE5764" w14:textId="77777777" w:rsidR="003C19CB" w:rsidRPr="00157A40" w:rsidRDefault="003C19CB" w:rsidP="00157A40">
            <w:pPr>
              <w:pStyle w:val="NoSpacing"/>
              <w:rPr>
                <w:sz w:val="24"/>
                <w:szCs w:val="24"/>
              </w:rPr>
            </w:pPr>
            <w:r w:rsidRPr="00157A40">
              <w:rPr>
                <w:sz w:val="24"/>
                <w:szCs w:val="24"/>
              </w:rPr>
              <w:t>0.049</w:t>
            </w:r>
          </w:p>
          <w:p w14:paraId="1E83ABE4" w14:textId="082B4470" w:rsidR="003C19CB" w:rsidRPr="00157A40" w:rsidRDefault="003C19CB" w:rsidP="0022389E">
            <w:pPr>
              <w:pStyle w:val="NoSpacing"/>
              <w:rPr>
                <w:sz w:val="24"/>
                <w:szCs w:val="24"/>
              </w:rPr>
            </w:pPr>
            <w:r w:rsidRPr="00157A40">
              <w:rPr>
                <w:sz w:val="24"/>
                <w:szCs w:val="24"/>
              </w:rPr>
              <w:t>(1.26)</w:t>
            </w:r>
          </w:p>
        </w:tc>
        <w:tc>
          <w:tcPr>
            <w:tcW w:w="749" w:type="pct"/>
            <w:hideMark/>
          </w:tcPr>
          <w:p w14:paraId="4288483D" w14:textId="77777777" w:rsidR="003C19CB" w:rsidRPr="00157A40" w:rsidRDefault="003C19CB" w:rsidP="00157A40">
            <w:pPr>
              <w:pStyle w:val="NoSpacing"/>
              <w:rPr>
                <w:sz w:val="24"/>
                <w:szCs w:val="24"/>
              </w:rPr>
            </w:pPr>
            <w:r w:rsidRPr="00157A40">
              <w:rPr>
                <w:sz w:val="24"/>
                <w:szCs w:val="24"/>
              </w:rPr>
              <w:t>0.040</w:t>
            </w:r>
          </w:p>
          <w:p w14:paraId="3C6604CC" w14:textId="014820E9" w:rsidR="003C19CB" w:rsidRPr="00157A40" w:rsidRDefault="003C19CB" w:rsidP="0022389E">
            <w:pPr>
              <w:pStyle w:val="NoSpacing"/>
              <w:rPr>
                <w:sz w:val="24"/>
                <w:szCs w:val="24"/>
              </w:rPr>
            </w:pPr>
            <w:r w:rsidRPr="00157A40">
              <w:rPr>
                <w:sz w:val="24"/>
                <w:szCs w:val="24"/>
              </w:rPr>
              <w:t>(1.06)</w:t>
            </w:r>
          </w:p>
        </w:tc>
        <w:tc>
          <w:tcPr>
            <w:tcW w:w="749" w:type="pct"/>
            <w:hideMark/>
          </w:tcPr>
          <w:p w14:paraId="30D2DE14" w14:textId="77777777" w:rsidR="003C19CB" w:rsidRPr="00157A40" w:rsidRDefault="003C19CB" w:rsidP="00157A40">
            <w:pPr>
              <w:pStyle w:val="NoSpacing"/>
              <w:rPr>
                <w:sz w:val="24"/>
                <w:szCs w:val="24"/>
              </w:rPr>
            </w:pPr>
          </w:p>
        </w:tc>
        <w:tc>
          <w:tcPr>
            <w:tcW w:w="749" w:type="pct"/>
            <w:hideMark/>
          </w:tcPr>
          <w:p w14:paraId="44198D49" w14:textId="77777777" w:rsidR="003C19CB" w:rsidRPr="00157A40" w:rsidRDefault="003C19CB" w:rsidP="00157A40">
            <w:pPr>
              <w:pStyle w:val="NoSpacing"/>
              <w:rPr>
                <w:sz w:val="24"/>
                <w:szCs w:val="24"/>
              </w:rPr>
            </w:pPr>
            <w:r w:rsidRPr="00157A40">
              <w:rPr>
                <w:sz w:val="24"/>
                <w:szCs w:val="24"/>
              </w:rPr>
              <w:t>−0.003*</w:t>
            </w:r>
          </w:p>
          <w:p w14:paraId="249E622F" w14:textId="234E0349" w:rsidR="003C19CB" w:rsidRPr="00157A40" w:rsidRDefault="003C19CB" w:rsidP="0022389E">
            <w:pPr>
              <w:pStyle w:val="NoSpacing"/>
              <w:rPr>
                <w:sz w:val="24"/>
                <w:szCs w:val="24"/>
              </w:rPr>
            </w:pPr>
            <w:r w:rsidRPr="00157A40">
              <w:rPr>
                <w:sz w:val="24"/>
                <w:szCs w:val="24"/>
              </w:rPr>
              <w:t>(−1.91)</w:t>
            </w:r>
          </w:p>
        </w:tc>
        <w:tc>
          <w:tcPr>
            <w:tcW w:w="719" w:type="pct"/>
            <w:hideMark/>
          </w:tcPr>
          <w:p w14:paraId="3EC34A52" w14:textId="77777777" w:rsidR="003C19CB" w:rsidRPr="00157A40" w:rsidRDefault="003C19CB" w:rsidP="00157A40">
            <w:pPr>
              <w:pStyle w:val="NoSpacing"/>
              <w:rPr>
                <w:sz w:val="24"/>
                <w:szCs w:val="24"/>
              </w:rPr>
            </w:pPr>
            <w:r w:rsidRPr="00157A40">
              <w:rPr>
                <w:sz w:val="24"/>
                <w:szCs w:val="24"/>
              </w:rPr>
              <w:t>−0.003**</w:t>
            </w:r>
          </w:p>
          <w:p w14:paraId="6B297266" w14:textId="6506FA63" w:rsidR="003C19CB" w:rsidRPr="00157A40" w:rsidRDefault="003C19CB" w:rsidP="0022389E">
            <w:pPr>
              <w:pStyle w:val="NoSpacing"/>
              <w:rPr>
                <w:sz w:val="24"/>
                <w:szCs w:val="24"/>
              </w:rPr>
            </w:pPr>
            <w:r w:rsidRPr="00157A40">
              <w:rPr>
                <w:sz w:val="24"/>
                <w:szCs w:val="24"/>
              </w:rPr>
              <w:t>(−2.23)</w:t>
            </w:r>
          </w:p>
        </w:tc>
      </w:tr>
      <w:tr w:rsidR="003C19CB" w:rsidRPr="00157A40" w14:paraId="0112126F" w14:textId="77777777" w:rsidTr="005F11C0">
        <w:trPr>
          <w:trHeight w:val="596"/>
        </w:trPr>
        <w:tc>
          <w:tcPr>
            <w:tcW w:w="786" w:type="pct"/>
            <w:hideMark/>
          </w:tcPr>
          <w:p w14:paraId="392D163E" w14:textId="77777777" w:rsidR="003C19CB" w:rsidRPr="00162019" w:rsidRDefault="003C19CB" w:rsidP="00157A40">
            <w:pPr>
              <w:pStyle w:val="NoSpacing"/>
              <w:rPr>
                <w:i/>
                <w:iCs/>
                <w:sz w:val="24"/>
                <w:szCs w:val="24"/>
              </w:rPr>
            </w:pPr>
            <w:r w:rsidRPr="00162019">
              <w:rPr>
                <w:i/>
                <w:iCs/>
                <w:sz w:val="24"/>
                <w:szCs w:val="24"/>
              </w:rPr>
              <w:t>SIZE</w:t>
            </w:r>
          </w:p>
        </w:tc>
        <w:tc>
          <w:tcPr>
            <w:tcW w:w="624" w:type="pct"/>
            <w:hideMark/>
          </w:tcPr>
          <w:p w14:paraId="602259E2" w14:textId="77777777" w:rsidR="003C19CB" w:rsidRPr="00157A40" w:rsidRDefault="003C19CB" w:rsidP="00157A40">
            <w:pPr>
              <w:pStyle w:val="NoSpacing"/>
              <w:rPr>
                <w:sz w:val="24"/>
                <w:szCs w:val="24"/>
              </w:rPr>
            </w:pPr>
            <w:r w:rsidRPr="00157A40">
              <w:rPr>
                <w:sz w:val="24"/>
                <w:szCs w:val="24"/>
              </w:rPr>
              <w:t>−0.226***</w:t>
            </w:r>
          </w:p>
          <w:p w14:paraId="11BB1268" w14:textId="20DF0B12" w:rsidR="003C19CB" w:rsidRPr="00157A40" w:rsidRDefault="003C19CB" w:rsidP="0022389E">
            <w:pPr>
              <w:pStyle w:val="NoSpacing"/>
              <w:rPr>
                <w:sz w:val="24"/>
                <w:szCs w:val="24"/>
              </w:rPr>
            </w:pPr>
            <w:r w:rsidRPr="00157A40">
              <w:rPr>
                <w:sz w:val="24"/>
                <w:szCs w:val="24"/>
              </w:rPr>
              <w:t>(−7.01)</w:t>
            </w:r>
          </w:p>
        </w:tc>
        <w:tc>
          <w:tcPr>
            <w:tcW w:w="624" w:type="pct"/>
            <w:hideMark/>
          </w:tcPr>
          <w:p w14:paraId="7025FEE7" w14:textId="77777777" w:rsidR="003C19CB" w:rsidRPr="00157A40" w:rsidRDefault="003C19CB" w:rsidP="00157A40">
            <w:pPr>
              <w:pStyle w:val="NoSpacing"/>
              <w:rPr>
                <w:sz w:val="24"/>
                <w:szCs w:val="24"/>
              </w:rPr>
            </w:pPr>
            <w:r w:rsidRPr="00157A40">
              <w:rPr>
                <w:sz w:val="24"/>
                <w:szCs w:val="24"/>
              </w:rPr>
              <w:t>−0.225***</w:t>
            </w:r>
          </w:p>
          <w:p w14:paraId="50BDD701" w14:textId="7CB0D415" w:rsidR="003C19CB" w:rsidRPr="00157A40" w:rsidRDefault="003C19CB" w:rsidP="0022389E">
            <w:pPr>
              <w:pStyle w:val="NoSpacing"/>
              <w:rPr>
                <w:sz w:val="24"/>
                <w:szCs w:val="24"/>
              </w:rPr>
            </w:pPr>
            <w:r w:rsidRPr="00157A40">
              <w:rPr>
                <w:sz w:val="24"/>
                <w:szCs w:val="24"/>
              </w:rPr>
              <w:t>(−7.00)</w:t>
            </w:r>
          </w:p>
        </w:tc>
        <w:tc>
          <w:tcPr>
            <w:tcW w:w="749" w:type="pct"/>
            <w:hideMark/>
          </w:tcPr>
          <w:p w14:paraId="3E946020" w14:textId="77777777" w:rsidR="003C19CB" w:rsidRPr="00157A40" w:rsidRDefault="003C19CB" w:rsidP="00157A40">
            <w:pPr>
              <w:pStyle w:val="NoSpacing"/>
              <w:rPr>
                <w:sz w:val="24"/>
                <w:szCs w:val="24"/>
              </w:rPr>
            </w:pPr>
            <w:r w:rsidRPr="00157A40">
              <w:rPr>
                <w:sz w:val="24"/>
                <w:szCs w:val="24"/>
              </w:rPr>
              <w:t>−0.227***</w:t>
            </w:r>
          </w:p>
          <w:p w14:paraId="1DEE162F" w14:textId="5D388B88" w:rsidR="003C19CB" w:rsidRPr="00157A40" w:rsidRDefault="003C19CB" w:rsidP="0022389E">
            <w:pPr>
              <w:pStyle w:val="NoSpacing"/>
              <w:rPr>
                <w:sz w:val="24"/>
                <w:szCs w:val="24"/>
              </w:rPr>
            </w:pPr>
            <w:r w:rsidRPr="00157A40">
              <w:rPr>
                <w:sz w:val="24"/>
                <w:szCs w:val="24"/>
              </w:rPr>
              <w:t>(−7.04)</w:t>
            </w:r>
          </w:p>
        </w:tc>
        <w:tc>
          <w:tcPr>
            <w:tcW w:w="749" w:type="pct"/>
            <w:hideMark/>
          </w:tcPr>
          <w:p w14:paraId="527922E7" w14:textId="77777777" w:rsidR="003C19CB" w:rsidRPr="00157A40" w:rsidRDefault="003C19CB" w:rsidP="00157A40">
            <w:pPr>
              <w:pStyle w:val="NoSpacing"/>
              <w:rPr>
                <w:sz w:val="24"/>
                <w:szCs w:val="24"/>
              </w:rPr>
            </w:pPr>
            <w:r w:rsidRPr="00157A40">
              <w:rPr>
                <w:sz w:val="24"/>
                <w:szCs w:val="24"/>
              </w:rPr>
              <w:t>−0.007***</w:t>
            </w:r>
          </w:p>
          <w:p w14:paraId="51D5D43A" w14:textId="0C3CD49C" w:rsidR="003C19CB" w:rsidRPr="00157A40" w:rsidRDefault="003C19CB" w:rsidP="0022389E">
            <w:pPr>
              <w:pStyle w:val="NoSpacing"/>
              <w:rPr>
                <w:sz w:val="24"/>
                <w:szCs w:val="24"/>
              </w:rPr>
            </w:pPr>
            <w:r w:rsidRPr="00157A40">
              <w:rPr>
                <w:sz w:val="24"/>
                <w:szCs w:val="24"/>
              </w:rPr>
              <w:t>(−3.19)</w:t>
            </w:r>
          </w:p>
        </w:tc>
        <w:tc>
          <w:tcPr>
            <w:tcW w:w="749" w:type="pct"/>
            <w:hideMark/>
          </w:tcPr>
          <w:p w14:paraId="612D40B8" w14:textId="77777777" w:rsidR="003C19CB" w:rsidRPr="00157A40" w:rsidRDefault="003C19CB" w:rsidP="00157A40">
            <w:pPr>
              <w:pStyle w:val="NoSpacing"/>
              <w:rPr>
                <w:sz w:val="24"/>
                <w:szCs w:val="24"/>
              </w:rPr>
            </w:pPr>
            <w:r w:rsidRPr="00157A40">
              <w:rPr>
                <w:sz w:val="24"/>
                <w:szCs w:val="24"/>
              </w:rPr>
              <w:t>−0.006***</w:t>
            </w:r>
          </w:p>
          <w:p w14:paraId="133B9608" w14:textId="2018B7B3" w:rsidR="003C19CB" w:rsidRPr="00157A40" w:rsidRDefault="003C19CB" w:rsidP="0022389E">
            <w:pPr>
              <w:pStyle w:val="NoSpacing"/>
              <w:rPr>
                <w:sz w:val="24"/>
                <w:szCs w:val="24"/>
              </w:rPr>
            </w:pPr>
            <w:r w:rsidRPr="00157A40">
              <w:rPr>
                <w:sz w:val="24"/>
                <w:szCs w:val="24"/>
              </w:rPr>
              <w:t>(−3.11)</w:t>
            </w:r>
          </w:p>
        </w:tc>
        <w:tc>
          <w:tcPr>
            <w:tcW w:w="719" w:type="pct"/>
            <w:hideMark/>
          </w:tcPr>
          <w:p w14:paraId="1B8D7751" w14:textId="77777777" w:rsidR="003C19CB" w:rsidRPr="00157A40" w:rsidRDefault="003C19CB" w:rsidP="00157A40">
            <w:pPr>
              <w:pStyle w:val="NoSpacing"/>
              <w:rPr>
                <w:sz w:val="24"/>
                <w:szCs w:val="24"/>
              </w:rPr>
            </w:pPr>
            <w:r w:rsidRPr="00157A40">
              <w:rPr>
                <w:sz w:val="24"/>
                <w:szCs w:val="24"/>
              </w:rPr>
              <w:t>−0.006***</w:t>
            </w:r>
          </w:p>
          <w:p w14:paraId="6FF76607" w14:textId="1D270FF5" w:rsidR="003C19CB" w:rsidRPr="00157A40" w:rsidRDefault="003C19CB" w:rsidP="0022389E">
            <w:pPr>
              <w:pStyle w:val="NoSpacing"/>
              <w:rPr>
                <w:sz w:val="24"/>
                <w:szCs w:val="24"/>
              </w:rPr>
            </w:pPr>
            <w:r w:rsidRPr="00157A40">
              <w:rPr>
                <w:sz w:val="24"/>
                <w:szCs w:val="24"/>
              </w:rPr>
              <w:t>(−3.15)</w:t>
            </w:r>
          </w:p>
        </w:tc>
      </w:tr>
      <w:tr w:rsidR="003C19CB" w:rsidRPr="00157A40" w14:paraId="31DB75B1" w14:textId="77777777" w:rsidTr="0035164D">
        <w:trPr>
          <w:trHeight w:val="596"/>
        </w:trPr>
        <w:tc>
          <w:tcPr>
            <w:tcW w:w="786" w:type="pct"/>
            <w:hideMark/>
          </w:tcPr>
          <w:p w14:paraId="15227C55" w14:textId="77777777" w:rsidR="003C19CB" w:rsidRPr="00162019" w:rsidRDefault="003C19CB" w:rsidP="00157A40">
            <w:pPr>
              <w:pStyle w:val="NoSpacing"/>
              <w:rPr>
                <w:i/>
                <w:iCs/>
                <w:sz w:val="24"/>
                <w:szCs w:val="24"/>
              </w:rPr>
            </w:pPr>
            <w:r w:rsidRPr="00162019">
              <w:rPr>
                <w:i/>
                <w:iCs/>
                <w:sz w:val="24"/>
                <w:szCs w:val="24"/>
              </w:rPr>
              <w:t>MB</w:t>
            </w:r>
          </w:p>
        </w:tc>
        <w:tc>
          <w:tcPr>
            <w:tcW w:w="624" w:type="pct"/>
            <w:hideMark/>
          </w:tcPr>
          <w:p w14:paraId="73C94BCC" w14:textId="77777777" w:rsidR="003C19CB" w:rsidRPr="00157A40" w:rsidRDefault="003C19CB" w:rsidP="00157A40">
            <w:pPr>
              <w:pStyle w:val="NoSpacing"/>
              <w:rPr>
                <w:sz w:val="24"/>
                <w:szCs w:val="24"/>
              </w:rPr>
            </w:pPr>
            <w:r w:rsidRPr="00157A40">
              <w:rPr>
                <w:sz w:val="24"/>
                <w:szCs w:val="24"/>
              </w:rPr>
              <w:t>−0.033</w:t>
            </w:r>
          </w:p>
          <w:p w14:paraId="67088844" w14:textId="0C6DBA89" w:rsidR="003C19CB" w:rsidRPr="00157A40" w:rsidRDefault="003C19CB" w:rsidP="003B71F3">
            <w:pPr>
              <w:pStyle w:val="NoSpacing"/>
              <w:rPr>
                <w:sz w:val="24"/>
                <w:szCs w:val="24"/>
              </w:rPr>
            </w:pPr>
            <w:r w:rsidRPr="00157A40">
              <w:rPr>
                <w:sz w:val="24"/>
                <w:szCs w:val="24"/>
              </w:rPr>
              <w:t>(−1.26)</w:t>
            </w:r>
          </w:p>
        </w:tc>
        <w:tc>
          <w:tcPr>
            <w:tcW w:w="624" w:type="pct"/>
            <w:hideMark/>
          </w:tcPr>
          <w:p w14:paraId="03C0FB8F" w14:textId="77777777" w:rsidR="003C19CB" w:rsidRPr="00157A40" w:rsidRDefault="003C19CB" w:rsidP="00157A40">
            <w:pPr>
              <w:pStyle w:val="NoSpacing"/>
              <w:rPr>
                <w:sz w:val="24"/>
                <w:szCs w:val="24"/>
              </w:rPr>
            </w:pPr>
            <w:r w:rsidRPr="00157A40">
              <w:rPr>
                <w:sz w:val="24"/>
                <w:szCs w:val="24"/>
              </w:rPr>
              <w:t>−0.037</w:t>
            </w:r>
          </w:p>
          <w:p w14:paraId="4D608C2B" w14:textId="1D7F487C" w:rsidR="003C19CB" w:rsidRPr="00157A40" w:rsidRDefault="003C19CB" w:rsidP="003B71F3">
            <w:pPr>
              <w:pStyle w:val="NoSpacing"/>
              <w:rPr>
                <w:sz w:val="24"/>
                <w:szCs w:val="24"/>
              </w:rPr>
            </w:pPr>
            <w:r w:rsidRPr="00157A40">
              <w:rPr>
                <w:sz w:val="24"/>
                <w:szCs w:val="24"/>
              </w:rPr>
              <w:t>(−1.41)</w:t>
            </w:r>
          </w:p>
        </w:tc>
        <w:tc>
          <w:tcPr>
            <w:tcW w:w="749" w:type="pct"/>
            <w:hideMark/>
          </w:tcPr>
          <w:p w14:paraId="31F55B08" w14:textId="77777777" w:rsidR="003C19CB" w:rsidRPr="00157A40" w:rsidRDefault="003C19CB" w:rsidP="00157A40">
            <w:pPr>
              <w:pStyle w:val="NoSpacing"/>
              <w:rPr>
                <w:sz w:val="24"/>
                <w:szCs w:val="24"/>
              </w:rPr>
            </w:pPr>
            <w:r w:rsidRPr="00157A40">
              <w:rPr>
                <w:sz w:val="24"/>
                <w:szCs w:val="24"/>
              </w:rPr>
              <w:t>−0.033</w:t>
            </w:r>
          </w:p>
          <w:p w14:paraId="0BEE23F1" w14:textId="2CB21CB9" w:rsidR="003C19CB" w:rsidRPr="00157A40" w:rsidRDefault="003C19CB" w:rsidP="003B71F3">
            <w:pPr>
              <w:pStyle w:val="NoSpacing"/>
              <w:rPr>
                <w:sz w:val="24"/>
                <w:szCs w:val="24"/>
              </w:rPr>
            </w:pPr>
            <w:r w:rsidRPr="00157A40">
              <w:rPr>
                <w:sz w:val="24"/>
                <w:szCs w:val="24"/>
              </w:rPr>
              <w:t>(−1.24)</w:t>
            </w:r>
          </w:p>
        </w:tc>
        <w:tc>
          <w:tcPr>
            <w:tcW w:w="749" w:type="pct"/>
            <w:hideMark/>
          </w:tcPr>
          <w:p w14:paraId="3BA356B6" w14:textId="77777777" w:rsidR="003C19CB" w:rsidRPr="00157A40" w:rsidRDefault="003C19CB" w:rsidP="00157A40">
            <w:pPr>
              <w:pStyle w:val="NoSpacing"/>
              <w:rPr>
                <w:sz w:val="24"/>
                <w:szCs w:val="24"/>
              </w:rPr>
            </w:pPr>
            <w:r w:rsidRPr="00157A40">
              <w:rPr>
                <w:sz w:val="24"/>
                <w:szCs w:val="24"/>
              </w:rPr>
              <w:t>−0.002*</w:t>
            </w:r>
          </w:p>
          <w:p w14:paraId="49E5919E" w14:textId="0442490E" w:rsidR="003C19CB" w:rsidRPr="00157A40" w:rsidRDefault="003C19CB" w:rsidP="003B71F3">
            <w:pPr>
              <w:pStyle w:val="NoSpacing"/>
              <w:rPr>
                <w:sz w:val="24"/>
                <w:szCs w:val="24"/>
              </w:rPr>
            </w:pPr>
            <w:r w:rsidRPr="00157A40">
              <w:rPr>
                <w:sz w:val="24"/>
                <w:szCs w:val="24"/>
              </w:rPr>
              <w:t>(−1.86)</w:t>
            </w:r>
          </w:p>
        </w:tc>
        <w:tc>
          <w:tcPr>
            <w:tcW w:w="749" w:type="pct"/>
            <w:hideMark/>
          </w:tcPr>
          <w:p w14:paraId="15B59D34" w14:textId="77777777" w:rsidR="003C19CB" w:rsidRPr="00157A40" w:rsidRDefault="003C19CB" w:rsidP="00157A40">
            <w:pPr>
              <w:pStyle w:val="NoSpacing"/>
              <w:rPr>
                <w:sz w:val="24"/>
                <w:szCs w:val="24"/>
              </w:rPr>
            </w:pPr>
            <w:r w:rsidRPr="00157A40">
              <w:rPr>
                <w:sz w:val="24"/>
                <w:szCs w:val="24"/>
              </w:rPr>
              <w:t>−0.002**</w:t>
            </w:r>
          </w:p>
          <w:p w14:paraId="071035AA" w14:textId="735C8065" w:rsidR="003C19CB" w:rsidRPr="00157A40" w:rsidRDefault="003C19CB" w:rsidP="003B71F3">
            <w:pPr>
              <w:pStyle w:val="NoSpacing"/>
              <w:rPr>
                <w:sz w:val="24"/>
                <w:szCs w:val="24"/>
              </w:rPr>
            </w:pPr>
            <w:r w:rsidRPr="00157A40">
              <w:rPr>
                <w:sz w:val="24"/>
                <w:szCs w:val="24"/>
              </w:rPr>
              <w:t>(−2.16)</w:t>
            </w:r>
          </w:p>
        </w:tc>
        <w:tc>
          <w:tcPr>
            <w:tcW w:w="719" w:type="pct"/>
            <w:hideMark/>
          </w:tcPr>
          <w:p w14:paraId="4EF62DEA" w14:textId="77777777" w:rsidR="003C19CB" w:rsidRPr="00157A40" w:rsidRDefault="003C19CB" w:rsidP="00157A40">
            <w:pPr>
              <w:pStyle w:val="NoSpacing"/>
              <w:rPr>
                <w:sz w:val="24"/>
                <w:szCs w:val="24"/>
              </w:rPr>
            </w:pPr>
            <w:r w:rsidRPr="00157A40">
              <w:rPr>
                <w:sz w:val="24"/>
                <w:szCs w:val="24"/>
              </w:rPr>
              <w:t>−0.002*</w:t>
            </w:r>
          </w:p>
          <w:p w14:paraId="13E77761" w14:textId="554C4425" w:rsidR="003C19CB" w:rsidRPr="00157A40" w:rsidRDefault="003C19CB" w:rsidP="003B71F3">
            <w:pPr>
              <w:pStyle w:val="NoSpacing"/>
              <w:rPr>
                <w:sz w:val="24"/>
                <w:szCs w:val="24"/>
              </w:rPr>
            </w:pPr>
            <w:r w:rsidRPr="00157A40">
              <w:rPr>
                <w:sz w:val="24"/>
                <w:szCs w:val="24"/>
              </w:rPr>
              <w:t>(−1.91)</w:t>
            </w:r>
          </w:p>
        </w:tc>
      </w:tr>
      <w:tr w:rsidR="003C19CB" w:rsidRPr="00157A40" w14:paraId="13B90DB8" w14:textId="77777777" w:rsidTr="00AB4930">
        <w:trPr>
          <w:trHeight w:val="596"/>
        </w:trPr>
        <w:tc>
          <w:tcPr>
            <w:tcW w:w="786" w:type="pct"/>
            <w:hideMark/>
          </w:tcPr>
          <w:p w14:paraId="3A4AE032" w14:textId="77777777" w:rsidR="003C19CB" w:rsidRPr="00162019" w:rsidRDefault="003C19CB" w:rsidP="00157A40">
            <w:pPr>
              <w:pStyle w:val="NoSpacing"/>
              <w:rPr>
                <w:i/>
                <w:iCs/>
                <w:sz w:val="24"/>
                <w:szCs w:val="24"/>
              </w:rPr>
            </w:pPr>
            <w:r w:rsidRPr="00162019">
              <w:rPr>
                <w:i/>
                <w:iCs/>
                <w:sz w:val="24"/>
                <w:szCs w:val="24"/>
              </w:rPr>
              <w:t>ROE</w:t>
            </w:r>
          </w:p>
        </w:tc>
        <w:tc>
          <w:tcPr>
            <w:tcW w:w="624" w:type="pct"/>
            <w:hideMark/>
          </w:tcPr>
          <w:p w14:paraId="69B5C113" w14:textId="77777777" w:rsidR="003C19CB" w:rsidRPr="00157A40" w:rsidRDefault="003C19CB" w:rsidP="00157A40">
            <w:pPr>
              <w:pStyle w:val="NoSpacing"/>
              <w:rPr>
                <w:sz w:val="24"/>
                <w:szCs w:val="24"/>
              </w:rPr>
            </w:pPr>
            <w:r w:rsidRPr="00157A40">
              <w:rPr>
                <w:sz w:val="24"/>
                <w:szCs w:val="24"/>
              </w:rPr>
              <w:t>−0.090**</w:t>
            </w:r>
          </w:p>
          <w:p w14:paraId="6587B6BA" w14:textId="7CBCF7E6" w:rsidR="003C19CB" w:rsidRPr="00157A40" w:rsidRDefault="003C19CB" w:rsidP="003B71F3">
            <w:pPr>
              <w:pStyle w:val="NoSpacing"/>
              <w:rPr>
                <w:sz w:val="24"/>
                <w:szCs w:val="24"/>
              </w:rPr>
            </w:pPr>
            <w:r w:rsidRPr="00157A40">
              <w:rPr>
                <w:sz w:val="24"/>
                <w:szCs w:val="24"/>
              </w:rPr>
              <w:t>(−2.51)</w:t>
            </w:r>
          </w:p>
        </w:tc>
        <w:tc>
          <w:tcPr>
            <w:tcW w:w="624" w:type="pct"/>
            <w:hideMark/>
          </w:tcPr>
          <w:p w14:paraId="258580C0" w14:textId="77777777" w:rsidR="003C19CB" w:rsidRPr="00157A40" w:rsidRDefault="003C19CB" w:rsidP="00157A40">
            <w:pPr>
              <w:pStyle w:val="NoSpacing"/>
              <w:rPr>
                <w:sz w:val="24"/>
                <w:szCs w:val="24"/>
              </w:rPr>
            </w:pPr>
            <w:r w:rsidRPr="00157A40">
              <w:rPr>
                <w:sz w:val="24"/>
                <w:szCs w:val="24"/>
              </w:rPr>
              <w:t>−0.088**</w:t>
            </w:r>
          </w:p>
          <w:p w14:paraId="2279F23C" w14:textId="0DA906F1" w:rsidR="003C19CB" w:rsidRPr="00157A40" w:rsidRDefault="003C19CB" w:rsidP="003B71F3">
            <w:pPr>
              <w:pStyle w:val="NoSpacing"/>
              <w:rPr>
                <w:sz w:val="24"/>
                <w:szCs w:val="24"/>
              </w:rPr>
            </w:pPr>
            <w:r w:rsidRPr="00157A40">
              <w:rPr>
                <w:sz w:val="24"/>
                <w:szCs w:val="24"/>
              </w:rPr>
              <w:t>(−2.45)</w:t>
            </w:r>
          </w:p>
        </w:tc>
        <w:tc>
          <w:tcPr>
            <w:tcW w:w="749" w:type="pct"/>
            <w:hideMark/>
          </w:tcPr>
          <w:p w14:paraId="05008E2D" w14:textId="77777777" w:rsidR="003C19CB" w:rsidRPr="00157A40" w:rsidRDefault="003C19CB" w:rsidP="00157A40">
            <w:pPr>
              <w:pStyle w:val="NoSpacing"/>
              <w:rPr>
                <w:sz w:val="24"/>
                <w:szCs w:val="24"/>
              </w:rPr>
            </w:pPr>
            <w:r w:rsidRPr="00157A40">
              <w:rPr>
                <w:sz w:val="24"/>
                <w:szCs w:val="24"/>
              </w:rPr>
              <w:t>−0.090**</w:t>
            </w:r>
          </w:p>
          <w:p w14:paraId="3B4EBA85" w14:textId="015B1457" w:rsidR="003C19CB" w:rsidRPr="00157A40" w:rsidRDefault="003C19CB" w:rsidP="003B71F3">
            <w:pPr>
              <w:pStyle w:val="NoSpacing"/>
              <w:rPr>
                <w:sz w:val="24"/>
                <w:szCs w:val="24"/>
              </w:rPr>
            </w:pPr>
            <w:r w:rsidRPr="00157A40">
              <w:rPr>
                <w:sz w:val="24"/>
                <w:szCs w:val="24"/>
              </w:rPr>
              <w:t>(−2.51)</w:t>
            </w:r>
          </w:p>
        </w:tc>
        <w:tc>
          <w:tcPr>
            <w:tcW w:w="749" w:type="pct"/>
            <w:hideMark/>
          </w:tcPr>
          <w:p w14:paraId="436B3B05" w14:textId="77777777" w:rsidR="003C19CB" w:rsidRPr="00157A40" w:rsidRDefault="003C19CB" w:rsidP="00157A40">
            <w:pPr>
              <w:pStyle w:val="NoSpacing"/>
              <w:rPr>
                <w:sz w:val="24"/>
                <w:szCs w:val="24"/>
              </w:rPr>
            </w:pPr>
            <w:r w:rsidRPr="00157A40">
              <w:rPr>
                <w:sz w:val="24"/>
                <w:szCs w:val="24"/>
              </w:rPr>
              <w:t>0.001</w:t>
            </w:r>
          </w:p>
          <w:p w14:paraId="5656482C" w14:textId="03C41193" w:rsidR="003C19CB" w:rsidRPr="00157A40" w:rsidRDefault="003C19CB" w:rsidP="003B71F3">
            <w:pPr>
              <w:pStyle w:val="NoSpacing"/>
              <w:rPr>
                <w:sz w:val="24"/>
                <w:szCs w:val="24"/>
              </w:rPr>
            </w:pPr>
            <w:r w:rsidRPr="00157A40">
              <w:rPr>
                <w:sz w:val="24"/>
                <w:szCs w:val="24"/>
              </w:rPr>
              <w:t>(0.82)</w:t>
            </w:r>
          </w:p>
        </w:tc>
        <w:tc>
          <w:tcPr>
            <w:tcW w:w="749" w:type="pct"/>
            <w:hideMark/>
          </w:tcPr>
          <w:p w14:paraId="2E67EF8D" w14:textId="77777777" w:rsidR="003C19CB" w:rsidRPr="00157A40" w:rsidRDefault="003C19CB" w:rsidP="00157A40">
            <w:pPr>
              <w:pStyle w:val="NoSpacing"/>
              <w:rPr>
                <w:sz w:val="24"/>
                <w:szCs w:val="24"/>
              </w:rPr>
            </w:pPr>
            <w:r w:rsidRPr="00157A40">
              <w:rPr>
                <w:sz w:val="24"/>
                <w:szCs w:val="24"/>
              </w:rPr>
              <w:t>0.001</w:t>
            </w:r>
          </w:p>
          <w:p w14:paraId="471BA13E" w14:textId="645DC525" w:rsidR="003C19CB" w:rsidRPr="00157A40" w:rsidRDefault="003C19CB" w:rsidP="003B71F3">
            <w:pPr>
              <w:pStyle w:val="NoSpacing"/>
              <w:rPr>
                <w:sz w:val="24"/>
                <w:szCs w:val="24"/>
              </w:rPr>
            </w:pPr>
            <w:r w:rsidRPr="00157A40">
              <w:rPr>
                <w:sz w:val="24"/>
                <w:szCs w:val="24"/>
              </w:rPr>
              <w:t>(0.87)</w:t>
            </w:r>
          </w:p>
        </w:tc>
        <w:tc>
          <w:tcPr>
            <w:tcW w:w="719" w:type="pct"/>
            <w:hideMark/>
          </w:tcPr>
          <w:p w14:paraId="3E52D0A1" w14:textId="77777777" w:rsidR="003C19CB" w:rsidRPr="00157A40" w:rsidRDefault="003C19CB" w:rsidP="00157A40">
            <w:pPr>
              <w:pStyle w:val="NoSpacing"/>
              <w:rPr>
                <w:sz w:val="24"/>
                <w:szCs w:val="24"/>
              </w:rPr>
            </w:pPr>
            <w:r w:rsidRPr="00157A40">
              <w:rPr>
                <w:sz w:val="24"/>
                <w:szCs w:val="24"/>
              </w:rPr>
              <w:t>0.001</w:t>
            </w:r>
          </w:p>
          <w:p w14:paraId="0A059886" w14:textId="0A1A7B32" w:rsidR="003C19CB" w:rsidRPr="00157A40" w:rsidRDefault="003C19CB" w:rsidP="003B71F3">
            <w:pPr>
              <w:pStyle w:val="NoSpacing"/>
              <w:rPr>
                <w:sz w:val="24"/>
                <w:szCs w:val="24"/>
              </w:rPr>
            </w:pPr>
            <w:r w:rsidRPr="00157A40">
              <w:rPr>
                <w:sz w:val="24"/>
                <w:szCs w:val="24"/>
              </w:rPr>
              <w:t>(0.79)</w:t>
            </w:r>
          </w:p>
        </w:tc>
      </w:tr>
      <w:tr w:rsidR="003C19CB" w:rsidRPr="00157A40" w14:paraId="72F5362A" w14:textId="77777777" w:rsidTr="00DA7CA7">
        <w:trPr>
          <w:trHeight w:val="596"/>
        </w:trPr>
        <w:tc>
          <w:tcPr>
            <w:tcW w:w="786" w:type="pct"/>
            <w:hideMark/>
          </w:tcPr>
          <w:p w14:paraId="66378E09" w14:textId="77777777" w:rsidR="003C19CB" w:rsidRPr="00162019" w:rsidRDefault="003C19CB" w:rsidP="00157A40">
            <w:pPr>
              <w:pStyle w:val="NoSpacing"/>
              <w:rPr>
                <w:i/>
                <w:iCs/>
                <w:sz w:val="24"/>
                <w:szCs w:val="24"/>
              </w:rPr>
            </w:pPr>
            <w:r w:rsidRPr="00162019">
              <w:rPr>
                <w:i/>
                <w:iCs/>
                <w:sz w:val="24"/>
                <w:szCs w:val="24"/>
              </w:rPr>
              <w:t>VROE</w:t>
            </w:r>
          </w:p>
        </w:tc>
        <w:tc>
          <w:tcPr>
            <w:tcW w:w="624" w:type="pct"/>
            <w:hideMark/>
          </w:tcPr>
          <w:p w14:paraId="1B904C86" w14:textId="77777777" w:rsidR="003C19CB" w:rsidRPr="00157A40" w:rsidRDefault="003C19CB" w:rsidP="00157A40">
            <w:pPr>
              <w:pStyle w:val="NoSpacing"/>
              <w:rPr>
                <w:sz w:val="24"/>
                <w:szCs w:val="24"/>
              </w:rPr>
            </w:pPr>
            <w:r w:rsidRPr="00157A40">
              <w:rPr>
                <w:sz w:val="24"/>
                <w:szCs w:val="24"/>
              </w:rPr>
              <w:t>0.023*</w:t>
            </w:r>
          </w:p>
          <w:p w14:paraId="7C50E1C2" w14:textId="09D46AC1" w:rsidR="003C19CB" w:rsidRPr="00157A40" w:rsidRDefault="003C19CB" w:rsidP="003B71F3">
            <w:pPr>
              <w:pStyle w:val="NoSpacing"/>
              <w:rPr>
                <w:sz w:val="24"/>
                <w:szCs w:val="24"/>
              </w:rPr>
            </w:pPr>
            <w:r w:rsidRPr="00157A40">
              <w:rPr>
                <w:sz w:val="24"/>
                <w:szCs w:val="24"/>
              </w:rPr>
              <w:t>(1.85)</w:t>
            </w:r>
          </w:p>
        </w:tc>
        <w:tc>
          <w:tcPr>
            <w:tcW w:w="624" w:type="pct"/>
            <w:hideMark/>
          </w:tcPr>
          <w:p w14:paraId="3C81C3C0" w14:textId="77777777" w:rsidR="003C19CB" w:rsidRPr="00157A40" w:rsidRDefault="003C19CB" w:rsidP="00157A40">
            <w:pPr>
              <w:pStyle w:val="NoSpacing"/>
              <w:rPr>
                <w:sz w:val="24"/>
                <w:szCs w:val="24"/>
              </w:rPr>
            </w:pPr>
            <w:r w:rsidRPr="00157A40">
              <w:rPr>
                <w:sz w:val="24"/>
                <w:szCs w:val="24"/>
              </w:rPr>
              <w:t>0.022*</w:t>
            </w:r>
          </w:p>
          <w:p w14:paraId="45F1BE4C" w14:textId="593F667A" w:rsidR="003C19CB" w:rsidRPr="00157A40" w:rsidRDefault="003C19CB" w:rsidP="003B71F3">
            <w:pPr>
              <w:pStyle w:val="NoSpacing"/>
              <w:rPr>
                <w:sz w:val="24"/>
                <w:szCs w:val="24"/>
              </w:rPr>
            </w:pPr>
            <w:r w:rsidRPr="00157A40">
              <w:rPr>
                <w:sz w:val="24"/>
                <w:szCs w:val="24"/>
              </w:rPr>
              <w:t>(1.86)</w:t>
            </w:r>
          </w:p>
        </w:tc>
        <w:tc>
          <w:tcPr>
            <w:tcW w:w="749" w:type="pct"/>
            <w:hideMark/>
          </w:tcPr>
          <w:p w14:paraId="26A37314" w14:textId="77777777" w:rsidR="003C19CB" w:rsidRPr="00157A40" w:rsidRDefault="003C19CB" w:rsidP="00157A40">
            <w:pPr>
              <w:pStyle w:val="NoSpacing"/>
              <w:rPr>
                <w:sz w:val="24"/>
                <w:szCs w:val="24"/>
              </w:rPr>
            </w:pPr>
            <w:r w:rsidRPr="00157A40">
              <w:rPr>
                <w:sz w:val="24"/>
                <w:szCs w:val="24"/>
              </w:rPr>
              <w:t>0.022*</w:t>
            </w:r>
          </w:p>
          <w:p w14:paraId="661E35F6" w14:textId="67828727" w:rsidR="003C19CB" w:rsidRPr="00157A40" w:rsidRDefault="003C19CB" w:rsidP="003B71F3">
            <w:pPr>
              <w:pStyle w:val="NoSpacing"/>
              <w:rPr>
                <w:sz w:val="24"/>
                <w:szCs w:val="24"/>
              </w:rPr>
            </w:pPr>
            <w:r w:rsidRPr="00157A40">
              <w:rPr>
                <w:sz w:val="24"/>
                <w:szCs w:val="24"/>
              </w:rPr>
              <w:t>(1.84)</w:t>
            </w:r>
          </w:p>
        </w:tc>
        <w:tc>
          <w:tcPr>
            <w:tcW w:w="749" w:type="pct"/>
            <w:hideMark/>
          </w:tcPr>
          <w:p w14:paraId="2B4F5D14" w14:textId="77777777" w:rsidR="003C19CB" w:rsidRPr="00157A40" w:rsidRDefault="003C19CB" w:rsidP="00157A40">
            <w:pPr>
              <w:pStyle w:val="NoSpacing"/>
              <w:rPr>
                <w:sz w:val="24"/>
                <w:szCs w:val="24"/>
              </w:rPr>
            </w:pPr>
            <w:r w:rsidRPr="00157A40">
              <w:rPr>
                <w:sz w:val="24"/>
                <w:szCs w:val="24"/>
              </w:rPr>
              <w:t>0.000</w:t>
            </w:r>
          </w:p>
          <w:p w14:paraId="3008FBBB" w14:textId="1EB28F00" w:rsidR="003C19CB" w:rsidRPr="00157A40" w:rsidRDefault="003C19CB" w:rsidP="003B71F3">
            <w:pPr>
              <w:pStyle w:val="NoSpacing"/>
              <w:rPr>
                <w:sz w:val="24"/>
                <w:szCs w:val="24"/>
              </w:rPr>
            </w:pPr>
            <w:r w:rsidRPr="00157A40">
              <w:rPr>
                <w:sz w:val="24"/>
                <w:szCs w:val="24"/>
              </w:rPr>
              <w:t>(0.03)</w:t>
            </w:r>
          </w:p>
        </w:tc>
        <w:tc>
          <w:tcPr>
            <w:tcW w:w="749" w:type="pct"/>
            <w:hideMark/>
          </w:tcPr>
          <w:p w14:paraId="7CF1D4FB" w14:textId="77777777" w:rsidR="003C19CB" w:rsidRPr="00157A40" w:rsidRDefault="003C19CB" w:rsidP="00157A40">
            <w:pPr>
              <w:pStyle w:val="NoSpacing"/>
              <w:rPr>
                <w:sz w:val="24"/>
                <w:szCs w:val="24"/>
              </w:rPr>
            </w:pPr>
            <w:r w:rsidRPr="00157A40">
              <w:rPr>
                <w:sz w:val="24"/>
                <w:szCs w:val="24"/>
              </w:rPr>
              <w:t>0.000</w:t>
            </w:r>
          </w:p>
          <w:p w14:paraId="63ADF4D8" w14:textId="6484A548" w:rsidR="003C19CB" w:rsidRPr="00157A40" w:rsidRDefault="003C19CB" w:rsidP="003B71F3">
            <w:pPr>
              <w:pStyle w:val="NoSpacing"/>
              <w:rPr>
                <w:sz w:val="24"/>
                <w:szCs w:val="24"/>
              </w:rPr>
            </w:pPr>
            <w:r w:rsidRPr="00157A40">
              <w:rPr>
                <w:sz w:val="24"/>
                <w:szCs w:val="24"/>
              </w:rPr>
              <w:t>(0.07)</w:t>
            </w:r>
          </w:p>
        </w:tc>
        <w:tc>
          <w:tcPr>
            <w:tcW w:w="719" w:type="pct"/>
            <w:hideMark/>
          </w:tcPr>
          <w:p w14:paraId="2201240E" w14:textId="77777777" w:rsidR="003C19CB" w:rsidRPr="00157A40" w:rsidRDefault="003C19CB" w:rsidP="00157A40">
            <w:pPr>
              <w:pStyle w:val="NoSpacing"/>
              <w:rPr>
                <w:sz w:val="24"/>
                <w:szCs w:val="24"/>
              </w:rPr>
            </w:pPr>
            <w:r w:rsidRPr="00157A40">
              <w:rPr>
                <w:sz w:val="24"/>
                <w:szCs w:val="24"/>
              </w:rPr>
              <w:t>0.000</w:t>
            </w:r>
          </w:p>
          <w:p w14:paraId="2397005A" w14:textId="20D0EC07" w:rsidR="003C19CB" w:rsidRPr="00157A40" w:rsidRDefault="003C19CB" w:rsidP="003B71F3">
            <w:pPr>
              <w:pStyle w:val="NoSpacing"/>
              <w:rPr>
                <w:sz w:val="24"/>
                <w:szCs w:val="24"/>
              </w:rPr>
            </w:pPr>
            <w:r w:rsidRPr="00157A40">
              <w:rPr>
                <w:sz w:val="24"/>
                <w:szCs w:val="24"/>
              </w:rPr>
              <w:t>(0.07)</w:t>
            </w:r>
          </w:p>
        </w:tc>
      </w:tr>
      <w:tr w:rsidR="003C19CB" w:rsidRPr="00157A40" w14:paraId="52246B78" w14:textId="77777777" w:rsidTr="00D07B23">
        <w:trPr>
          <w:trHeight w:val="596"/>
        </w:trPr>
        <w:tc>
          <w:tcPr>
            <w:tcW w:w="786" w:type="pct"/>
            <w:hideMark/>
          </w:tcPr>
          <w:p w14:paraId="34C51169" w14:textId="77777777" w:rsidR="003C19CB" w:rsidRPr="00162019" w:rsidRDefault="003C19CB" w:rsidP="00157A40">
            <w:pPr>
              <w:pStyle w:val="NoSpacing"/>
              <w:rPr>
                <w:i/>
                <w:iCs/>
                <w:sz w:val="24"/>
                <w:szCs w:val="24"/>
              </w:rPr>
            </w:pPr>
            <w:r w:rsidRPr="00162019">
              <w:rPr>
                <w:i/>
                <w:iCs/>
                <w:sz w:val="24"/>
                <w:szCs w:val="24"/>
              </w:rPr>
              <w:t>LEV</w:t>
            </w:r>
          </w:p>
        </w:tc>
        <w:tc>
          <w:tcPr>
            <w:tcW w:w="624" w:type="pct"/>
            <w:hideMark/>
          </w:tcPr>
          <w:p w14:paraId="38DE27A2" w14:textId="77777777" w:rsidR="003C19CB" w:rsidRPr="00157A40" w:rsidRDefault="003C19CB" w:rsidP="00157A40">
            <w:pPr>
              <w:pStyle w:val="NoSpacing"/>
              <w:rPr>
                <w:sz w:val="24"/>
                <w:szCs w:val="24"/>
              </w:rPr>
            </w:pPr>
            <w:r w:rsidRPr="00157A40">
              <w:rPr>
                <w:sz w:val="24"/>
                <w:szCs w:val="24"/>
              </w:rPr>
              <w:t>0.038</w:t>
            </w:r>
          </w:p>
          <w:p w14:paraId="0739AFE1" w14:textId="3DA33F67" w:rsidR="003C19CB" w:rsidRPr="00157A40" w:rsidRDefault="003C19CB" w:rsidP="003B71F3">
            <w:pPr>
              <w:pStyle w:val="NoSpacing"/>
              <w:rPr>
                <w:sz w:val="24"/>
                <w:szCs w:val="24"/>
              </w:rPr>
            </w:pPr>
            <w:r w:rsidRPr="00157A40">
              <w:rPr>
                <w:sz w:val="24"/>
                <w:szCs w:val="24"/>
              </w:rPr>
              <w:t>(0.35)</w:t>
            </w:r>
          </w:p>
        </w:tc>
        <w:tc>
          <w:tcPr>
            <w:tcW w:w="624" w:type="pct"/>
            <w:hideMark/>
          </w:tcPr>
          <w:p w14:paraId="7F606D92" w14:textId="77777777" w:rsidR="003C19CB" w:rsidRPr="00157A40" w:rsidRDefault="003C19CB" w:rsidP="00157A40">
            <w:pPr>
              <w:pStyle w:val="NoSpacing"/>
              <w:rPr>
                <w:sz w:val="24"/>
                <w:szCs w:val="24"/>
              </w:rPr>
            </w:pPr>
            <w:r w:rsidRPr="00157A40">
              <w:rPr>
                <w:sz w:val="24"/>
                <w:szCs w:val="24"/>
              </w:rPr>
              <w:t>0.063</w:t>
            </w:r>
          </w:p>
          <w:p w14:paraId="4B1D1032" w14:textId="315874B3" w:rsidR="003C19CB" w:rsidRPr="00157A40" w:rsidRDefault="003C19CB" w:rsidP="003B71F3">
            <w:pPr>
              <w:pStyle w:val="NoSpacing"/>
              <w:rPr>
                <w:sz w:val="24"/>
                <w:szCs w:val="24"/>
              </w:rPr>
            </w:pPr>
            <w:r w:rsidRPr="00157A40">
              <w:rPr>
                <w:sz w:val="24"/>
                <w:szCs w:val="24"/>
              </w:rPr>
              <w:t>(0.59)</w:t>
            </w:r>
          </w:p>
        </w:tc>
        <w:tc>
          <w:tcPr>
            <w:tcW w:w="749" w:type="pct"/>
            <w:hideMark/>
          </w:tcPr>
          <w:p w14:paraId="715FE569" w14:textId="77777777" w:rsidR="003C19CB" w:rsidRPr="00157A40" w:rsidRDefault="003C19CB" w:rsidP="00157A40">
            <w:pPr>
              <w:pStyle w:val="NoSpacing"/>
              <w:rPr>
                <w:sz w:val="24"/>
                <w:szCs w:val="24"/>
              </w:rPr>
            </w:pPr>
            <w:r w:rsidRPr="00157A40">
              <w:rPr>
                <w:sz w:val="24"/>
                <w:szCs w:val="24"/>
              </w:rPr>
              <w:t>0.036</w:t>
            </w:r>
          </w:p>
          <w:p w14:paraId="3503369D" w14:textId="06F0E21D" w:rsidR="003C19CB" w:rsidRPr="00157A40" w:rsidRDefault="003C19CB" w:rsidP="003B71F3">
            <w:pPr>
              <w:pStyle w:val="NoSpacing"/>
              <w:rPr>
                <w:sz w:val="24"/>
                <w:szCs w:val="24"/>
              </w:rPr>
            </w:pPr>
            <w:r w:rsidRPr="00157A40">
              <w:rPr>
                <w:sz w:val="24"/>
                <w:szCs w:val="24"/>
              </w:rPr>
              <w:t>(0.33)</w:t>
            </w:r>
          </w:p>
        </w:tc>
        <w:tc>
          <w:tcPr>
            <w:tcW w:w="749" w:type="pct"/>
            <w:hideMark/>
          </w:tcPr>
          <w:p w14:paraId="44E8F9C9" w14:textId="77777777" w:rsidR="003C19CB" w:rsidRPr="00157A40" w:rsidRDefault="003C19CB" w:rsidP="00157A40">
            <w:pPr>
              <w:pStyle w:val="NoSpacing"/>
              <w:rPr>
                <w:sz w:val="24"/>
                <w:szCs w:val="24"/>
              </w:rPr>
            </w:pPr>
            <w:r w:rsidRPr="00157A40">
              <w:rPr>
                <w:sz w:val="24"/>
                <w:szCs w:val="24"/>
              </w:rPr>
              <w:t>0.001</w:t>
            </w:r>
          </w:p>
          <w:p w14:paraId="575306D1" w14:textId="38C3665E" w:rsidR="003C19CB" w:rsidRPr="00157A40" w:rsidRDefault="003C19CB" w:rsidP="003B71F3">
            <w:pPr>
              <w:pStyle w:val="NoSpacing"/>
              <w:rPr>
                <w:sz w:val="24"/>
                <w:szCs w:val="24"/>
              </w:rPr>
            </w:pPr>
            <w:r w:rsidRPr="00157A40">
              <w:rPr>
                <w:sz w:val="24"/>
                <w:szCs w:val="24"/>
              </w:rPr>
              <w:t>(0.27)</w:t>
            </w:r>
          </w:p>
        </w:tc>
        <w:tc>
          <w:tcPr>
            <w:tcW w:w="749" w:type="pct"/>
            <w:hideMark/>
          </w:tcPr>
          <w:p w14:paraId="24DAF1B0" w14:textId="77777777" w:rsidR="003C19CB" w:rsidRPr="00157A40" w:rsidRDefault="003C19CB" w:rsidP="00157A40">
            <w:pPr>
              <w:pStyle w:val="NoSpacing"/>
              <w:rPr>
                <w:sz w:val="24"/>
                <w:szCs w:val="24"/>
              </w:rPr>
            </w:pPr>
            <w:r w:rsidRPr="00157A40">
              <w:rPr>
                <w:sz w:val="24"/>
                <w:szCs w:val="24"/>
              </w:rPr>
              <w:t>0.003</w:t>
            </w:r>
          </w:p>
          <w:p w14:paraId="27395B57" w14:textId="7E76A73A" w:rsidR="003C19CB" w:rsidRPr="00157A40" w:rsidRDefault="003C19CB" w:rsidP="003B71F3">
            <w:pPr>
              <w:pStyle w:val="NoSpacing"/>
              <w:rPr>
                <w:sz w:val="24"/>
                <w:szCs w:val="24"/>
              </w:rPr>
            </w:pPr>
            <w:r w:rsidRPr="00157A40">
              <w:rPr>
                <w:sz w:val="24"/>
                <w:szCs w:val="24"/>
              </w:rPr>
              <w:t>(0.69)</w:t>
            </w:r>
          </w:p>
        </w:tc>
        <w:tc>
          <w:tcPr>
            <w:tcW w:w="719" w:type="pct"/>
            <w:hideMark/>
          </w:tcPr>
          <w:p w14:paraId="56209A13" w14:textId="77777777" w:rsidR="003C19CB" w:rsidRPr="00157A40" w:rsidRDefault="003C19CB" w:rsidP="00157A40">
            <w:pPr>
              <w:pStyle w:val="NoSpacing"/>
              <w:rPr>
                <w:sz w:val="24"/>
                <w:szCs w:val="24"/>
              </w:rPr>
            </w:pPr>
            <w:r w:rsidRPr="00157A40">
              <w:rPr>
                <w:sz w:val="24"/>
                <w:szCs w:val="24"/>
              </w:rPr>
              <w:t>0.001</w:t>
            </w:r>
          </w:p>
          <w:p w14:paraId="5E71E328" w14:textId="3BC3A50B" w:rsidR="003C19CB" w:rsidRPr="00157A40" w:rsidRDefault="003C19CB" w:rsidP="003B71F3">
            <w:pPr>
              <w:pStyle w:val="NoSpacing"/>
              <w:rPr>
                <w:sz w:val="24"/>
                <w:szCs w:val="24"/>
              </w:rPr>
            </w:pPr>
            <w:r w:rsidRPr="00157A40">
              <w:rPr>
                <w:sz w:val="24"/>
                <w:szCs w:val="24"/>
              </w:rPr>
              <w:t>(0.31)</w:t>
            </w:r>
          </w:p>
        </w:tc>
      </w:tr>
      <w:tr w:rsidR="003C19CB" w:rsidRPr="00157A40" w14:paraId="769964EC" w14:textId="77777777" w:rsidTr="007335A7">
        <w:trPr>
          <w:trHeight w:val="596"/>
        </w:trPr>
        <w:tc>
          <w:tcPr>
            <w:tcW w:w="786" w:type="pct"/>
            <w:hideMark/>
          </w:tcPr>
          <w:p w14:paraId="292EC59C" w14:textId="77777777" w:rsidR="003C19CB" w:rsidRPr="00162019" w:rsidRDefault="003C19CB" w:rsidP="00157A40">
            <w:pPr>
              <w:pStyle w:val="NoSpacing"/>
              <w:rPr>
                <w:i/>
                <w:iCs/>
                <w:sz w:val="24"/>
                <w:szCs w:val="24"/>
              </w:rPr>
            </w:pPr>
            <w:r w:rsidRPr="00162019">
              <w:rPr>
                <w:i/>
                <w:iCs/>
                <w:sz w:val="24"/>
                <w:szCs w:val="24"/>
              </w:rPr>
              <w:t>AGE</w:t>
            </w:r>
          </w:p>
        </w:tc>
        <w:tc>
          <w:tcPr>
            <w:tcW w:w="624" w:type="pct"/>
            <w:hideMark/>
          </w:tcPr>
          <w:p w14:paraId="69681242" w14:textId="77777777" w:rsidR="003C19CB" w:rsidRPr="00157A40" w:rsidRDefault="003C19CB" w:rsidP="00157A40">
            <w:pPr>
              <w:pStyle w:val="NoSpacing"/>
              <w:rPr>
                <w:sz w:val="24"/>
                <w:szCs w:val="24"/>
              </w:rPr>
            </w:pPr>
            <w:r w:rsidRPr="00157A40">
              <w:rPr>
                <w:sz w:val="24"/>
                <w:szCs w:val="24"/>
              </w:rPr>
              <w:t>−0.582***</w:t>
            </w:r>
          </w:p>
          <w:p w14:paraId="025FBB55" w14:textId="589163C3" w:rsidR="003C19CB" w:rsidRPr="00157A40" w:rsidRDefault="003C19CB" w:rsidP="00737096">
            <w:pPr>
              <w:pStyle w:val="NoSpacing"/>
              <w:rPr>
                <w:sz w:val="24"/>
                <w:szCs w:val="24"/>
              </w:rPr>
            </w:pPr>
            <w:r w:rsidRPr="00157A40">
              <w:rPr>
                <w:sz w:val="24"/>
                <w:szCs w:val="24"/>
              </w:rPr>
              <w:t>(−5.50)</w:t>
            </w:r>
          </w:p>
        </w:tc>
        <w:tc>
          <w:tcPr>
            <w:tcW w:w="624" w:type="pct"/>
            <w:hideMark/>
          </w:tcPr>
          <w:p w14:paraId="6D2E1D26" w14:textId="77777777" w:rsidR="003C19CB" w:rsidRPr="00157A40" w:rsidRDefault="003C19CB" w:rsidP="00157A40">
            <w:pPr>
              <w:pStyle w:val="NoSpacing"/>
              <w:rPr>
                <w:sz w:val="24"/>
                <w:szCs w:val="24"/>
              </w:rPr>
            </w:pPr>
            <w:r w:rsidRPr="00157A40">
              <w:rPr>
                <w:sz w:val="24"/>
                <w:szCs w:val="24"/>
              </w:rPr>
              <w:t>−0.604***</w:t>
            </w:r>
          </w:p>
          <w:p w14:paraId="2DA24E33" w14:textId="1D213DDB" w:rsidR="003C19CB" w:rsidRPr="00157A40" w:rsidRDefault="003C19CB" w:rsidP="00737096">
            <w:pPr>
              <w:pStyle w:val="NoSpacing"/>
              <w:rPr>
                <w:sz w:val="24"/>
                <w:szCs w:val="24"/>
              </w:rPr>
            </w:pPr>
            <w:r w:rsidRPr="00157A40">
              <w:rPr>
                <w:sz w:val="24"/>
                <w:szCs w:val="24"/>
              </w:rPr>
              <w:t>(−5.72)</w:t>
            </w:r>
          </w:p>
        </w:tc>
        <w:tc>
          <w:tcPr>
            <w:tcW w:w="749" w:type="pct"/>
            <w:hideMark/>
          </w:tcPr>
          <w:p w14:paraId="2EE32333" w14:textId="77777777" w:rsidR="003C19CB" w:rsidRPr="00157A40" w:rsidRDefault="003C19CB" w:rsidP="00157A40">
            <w:pPr>
              <w:pStyle w:val="NoSpacing"/>
              <w:rPr>
                <w:sz w:val="24"/>
                <w:szCs w:val="24"/>
              </w:rPr>
            </w:pPr>
            <w:r w:rsidRPr="00157A40">
              <w:rPr>
                <w:sz w:val="24"/>
                <w:szCs w:val="24"/>
              </w:rPr>
              <w:t>−0.573***</w:t>
            </w:r>
          </w:p>
          <w:p w14:paraId="469EB559" w14:textId="5ACA2E79" w:rsidR="003C19CB" w:rsidRPr="00157A40" w:rsidRDefault="003C19CB" w:rsidP="00737096">
            <w:pPr>
              <w:pStyle w:val="NoSpacing"/>
              <w:rPr>
                <w:sz w:val="24"/>
                <w:szCs w:val="24"/>
              </w:rPr>
            </w:pPr>
            <w:r w:rsidRPr="00157A40">
              <w:rPr>
                <w:sz w:val="24"/>
                <w:szCs w:val="24"/>
              </w:rPr>
              <w:t>(−5.36)</w:t>
            </w:r>
          </w:p>
        </w:tc>
        <w:tc>
          <w:tcPr>
            <w:tcW w:w="749" w:type="pct"/>
            <w:hideMark/>
          </w:tcPr>
          <w:p w14:paraId="3A51870C" w14:textId="77777777" w:rsidR="003C19CB" w:rsidRPr="00157A40" w:rsidRDefault="003C19CB" w:rsidP="00157A40">
            <w:pPr>
              <w:pStyle w:val="NoSpacing"/>
              <w:rPr>
                <w:sz w:val="24"/>
                <w:szCs w:val="24"/>
              </w:rPr>
            </w:pPr>
            <w:r w:rsidRPr="00157A40">
              <w:rPr>
                <w:sz w:val="24"/>
                <w:szCs w:val="24"/>
              </w:rPr>
              <w:t>−0.004</w:t>
            </w:r>
          </w:p>
          <w:p w14:paraId="519FF85D" w14:textId="64B69BC4" w:rsidR="003C19CB" w:rsidRPr="00157A40" w:rsidRDefault="003C19CB" w:rsidP="00737096">
            <w:pPr>
              <w:pStyle w:val="NoSpacing"/>
              <w:rPr>
                <w:sz w:val="24"/>
                <w:szCs w:val="24"/>
              </w:rPr>
            </w:pPr>
            <w:r w:rsidRPr="00157A40">
              <w:rPr>
                <w:sz w:val="24"/>
                <w:szCs w:val="24"/>
              </w:rPr>
              <w:t>(−0.91)</w:t>
            </w:r>
          </w:p>
        </w:tc>
        <w:tc>
          <w:tcPr>
            <w:tcW w:w="749" w:type="pct"/>
            <w:hideMark/>
          </w:tcPr>
          <w:p w14:paraId="7F1AD25B" w14:textId="77777777" w:rsidR="003C19CB" w:rsidRPr="00157A40" w:rsidRDefault="003C19CB" w:rsidP="00157A40">
            <w:pPr>
              <w:pStyle w:val="NoSpacing"/>
              <w:rPr>
                <w:sz w:val="24"/>
                <w:szCs w:val="24"/>
              </w:rPr>
            </w:pPr>
            <w:r w:rsidRPr="00157A40">
              <w:rPr>
                <w:sz w:val="24"/>
                <w:szCs w:val="24"/>
              </w:rPr>
              <w:t>−0.007</w:t>
            </w:r>
          </w:p>
          <w:p w14:paraId="0107EA3F" w14:textId="4304DD00" w:rsidR="003C19CB" w:rsidRPr="00157A40" w:rsidRDefault="003C19CB" w:rsidP="00737096">
            <w:pPr>
              <w:pStyle w:val="NoSpacing"/>
              <w:rPr>
                <w:sz w:val="24"/>
                <w:szCs w:val="24"/>
              </w:rPr>
            </w:pPr>
            <w:r w:rsidRPr="00157A40">
              <w:rPr>
                <w:sz w:val="24"/>
                <w:szCs w:val="24"/>
              </w:rPr>
              <w:t>(−1.45)</w:t>
            </w:r>
          </w:p>
        </w:tc>
        <w:tc>
          <w:tcPr>
            <w:tcW w:w="719" w:type="pct"/>
            <w:hideMark/>
          </w:tcPr>
          <w:p w14:paraId="7F0FAF35" w14:textId="77777777" w:rsidR="003C19CB" w:rsidRPr="00157A40" w:rsidRDefault="003C19CB" w:rsidP="00157A40">
            <w:pPr>
              <w:pStyle w:val="NoSpacing"/>
              <w:rPr>
                <w:sz w:val="24"/>
                <w:szCs w:val="24"/>
              </w:rPr>
            </w:pPr>
            <w:r w:rsidRPr="00157A40">
              <w:rPr>
                <w:sz w:val="24"/>
                <w:szCs w:val="24"/>
              </w:rPr>
              <w:t>−0.005</w:t>
            </w:r>
          </w:p>
          <w:p w14:paraId="27B219ED" w14:textId="17C1873B" w:rsidR="003C19CB" w:rsidRPr="00157A40" w:rsidRDefault="003C19CB" w:rsidP="00737096">
            <w:pPr>
              <w:pStyle w:val="NoSpacing"/>
              <w:rPr>
                <w:sz w:val="24"/>
                <w:szCs w:val="24"/>
              </w:rPr>
            </w:pPr>
            <w:r w:rsidRPr="00157A40">
              <w:rPr>
                <w:sz w:val="24"/>
                <w:szCs w:val="24"/>
              </w:rPr>
              <w:t>(−1.08)</w:t>
            </w:r>
          </w:p>
        </w:tc>
      </w:tr>
      <w:tr w:rsidR="003C19CB" w:rsidRPr="00157A40" w14:paraId="13DB1073" w14:textId="77777777" w:rsidTr="006728DC">
        <w:trPr>
          <w:trHeight w:val="596"/>
        </w:trPr>
        <w:tc>
          <w:tcPr>
            <w:tcW w:w="786" w:type="pct"/>
            <w:hideMark/>
          </w:tcPr>
          <w:p w14:paraId="5D6E8456" w14:textId="77777777" w:rsidR="003C19CB" w:rsidRPr="00162019" w:rsidRDefault="003C19CB" w:rsidP="00157A40">
            <w:pPr>
              <w:pStyle w:val="NoSpacing"/>
              <w:rPr>
                <w:i/>
                <w:iCs/>
                <w:sz w:val="24"/>
                <w:szCs w:val="24"/>
              </w:rPr>
            </w:pPr>
            <w:r w:rsidRPr="00162019">
              <w:rPr>
                <w:i/>
                <w:iCs/>
                <w:sz w:val="24"/>
                <w:szCs w:val="24"/>
              </w:rPr>
              <w:t>DIV</w:t>
            </w:r>
          </w:p>
        </w:tc>
        <w:tc>
          <w:tcPr>
            <w:tcW w:w="624" w:type="pct"/>
            <w:hideMark/>
          </w:tcPr>
          <w:p w14:paraId="0AE63726" w14:textId="77777777" w:rsidR="003C19CB" w:rsidRPr="00157A40" w:rsidRDefault="003C19CB" w:rsidP="00157A40">
            <w:pPr>
              <w:pStyle w:val="NoSpacing"/>
              <w:rPr>
                <w:sz w:val="24"/>
                <w:szCs w:val="24"/>
              </w:rPr>
            </w:pPr>
            <w:r w:rsidRPr="00157A40">
              <w:rPr>
                <w:sz w:val="24"/>
                <w:szCs w:val="24"/>
              </w:rPr>
              <w:t>0.096**</w:t>
            </w:r>
          </w:p>
          <w:p w14:paraId="73D7C5C2" w14:textId="3CDE5EDB" w:rsidR="003C19CB" w:rsidRPr="00157A40" w:rsidRDefault="003C19CB" w:rsidP="00737096">
            <w:pPr>
              <w:pStyle w:val="NoSpacing"/>
              <w:rPr>
                <w:sz w:val="24"/>
                <w:szCs w:val="24"/>
              </w:rPr>
            </w:pPr>
            <w:r w:rsidRPr="00157A40">
              <w:rPr>
                <w:sz w:val="24"/>
                <w:szCs w:val="24"/>
              </w:rPr>
              <w:t>(2.38)</w:t>
            </w:r>
          </w:p>
        </w:tc>
        <w:tc>
          <w:tcPr>
            <w:tcW w:w="624" w:type="pct"/>
            <w:hideMark/>
          </w:tcPr>
          <w:p w14:paraId="3D83EBAA" w14:textId="77777777" w:rsidR="003C19CB" w:rsidRPr="00157A40" w:rsidRDefault="003C19CB" w:rsidP="00157A40">
            <w:pPr>
              <w:pStyle w:val="NoSpacing"/>
              <w:rPr>
                <w:sz w:val="24"/>
                <w:szCs w:val="24"/>
              </w:rPr>
            </w:pPr>
            <w:r w:rsidRPr="00157A40">
              <w:rPr>
                <w:sz w:val="24"/>
                <w:szCs w:val="24"/>
              </w:rPr>
              <w:t>0.096**</w:t>
            </w:r>
          </w:p>
          <w:p w14:paraId="37CAA09C" w14:textId="08F4A869" w:rsidR="003C19CB" w:rsidRPr="00157A40" w:rsidRDefault="003C19CB" w:rsidP="00737096">
            <w:pPr>
              <w:pStyle w:val="NoSpacing"/>
              <w:rPr>
                <w:sz w:val="24"/>
                <w:szCs w:val="24"/>
              </w:rPr>
            </w:pPr>
            <w:r w:rsidRPr="00157A40">
              <w:rPr>
                <w:sz w:val="24"/>
                <w:szCs w:val="24"/>
              </w:rPr>
              <w:t>(2.38)</w:t>
            </w:r>
          </w:p>
        </w:tc>
        <w:tc>
          <w:tcPr>
            <w:tcW w:w="749" w:type="pct"/>
            <w:hideMark/>
          </w:tcPr>
          <w:p w14:paraId="65FC42D8" w14:textId="77777777" w:rsidR="003C19CB" w:rsidRPr="00157A40" w:rsidRDefault="003C19CB" w:rsidP="00157A40">
            <w:pPr>
              <w:pStyle w:val="NoSpacing"/>
              <w:rPr>
                <w:sz w:val="24"/>
                <w:szCs w:val="24"/>
              </w:rPr>
            </w:pPr>
            <w:r w:rsidRPr="00157A40">
              <w:rPr>
                <w:sz w:val="24"/>
                <w:szCs w:val="24"/>
              </w:rPr>
              <w:t>0.095**</w:t>
            </w:r>
          </w:p>
          <w:p w14:paraId="73804155" w14:textId="199D384E" w:rsidR="003C19CB" w:rsidRPr="00157A40" w:rsidRDefault="003C19CB" w:rsidP="00737096">
            <w:pPr>
              <w:pStyle w:val="NoSpacing"/>
              <w:rPr>
                <w:sz w:val="24"/>
                <w:szCs w:val="24"/>
              </w:rPr>
            </w:pPr>
            <w:r w:rsidRPr="00157A40">
              <w:rPr>
                <w:sz w:val="24"/>
                <w:szCs w:val="24"/>
              </w:rPr>
              <w:t>(2.36)</w:t>
            </w:r>
          </w:p>
        </w:tc>
        <w:tc>
          <w:tcPr>
            <w:tcW w:w="749" w:type="pct"/>
            <w:hideMark/>
          </w:tcPr>
          <w:p w14:paraId="56B5EF20" w14:textId="77777777" w:rsidR="003C19CB" w:rsidRPr="00157A40" w:rsidRDefault="003C19CB" w:rsidP="00157A40">
            <w:pPr>
              <w:pStyle w:val="NoSpacing"/>
              <w:rPr>
                <w:sz w:val="24"/>
                <w:szCs w:val="24"/>
              </w:rPr>
            </w:pPr>
            <w:r w:rsidRPr="00157A40">
              <w:rPr>
                <w:sz w:val="24"/>
                <w:szCs w:val="24"/>
              </w:rPr>
              <w:t>−0.002</w:t>
            </w:r>
          </w:p>
          <w:p w14:paraId="1A5750B8" w14:textId="1CA3952A" w:rsidR="003C19CB" w:rsidRPr="00157A40" w:rsidRDefault="003C19CB" w:rsidP="00737096">
            <w:pPr>
              <w:pStyle w:val="NoSpacing"/>
              <w:rPr>
                <w:sz w:val="24"/>
                <w:szCs w:val="24"/>
              </w:rPr>
            </w:pPr>
            <w:r w:rsidRPr="00157A40">
              <w:rPr>
                <w:sz w:val="24"/>
                <w:szCs w:val="24"/>
              </w:rPr>
              <w:t>(−0.87)</w:t>
            </w:r>
          </w:p>
        </w:tc>
        <w:tc>
          <w:tcPr>
            <w:tcW w:w="749" w:type="pct"/>
            <w:hideMark/>
          </w:tcPr>
          <w:p w14:paraId="20F1ED45" w14:textId="77777777" w:rsidR="003C19CB" w:rsidRPr="00157A40" w:rsidRDefault="003C19CB" w:rsidP="00157A40">
            <w:pPr>
              <w:pStyle w:val="NoSpacing"/>
              <w:rPr>
                <w:sz w:val="24"/>
                <w:szCs w:val="24"/>
              </w:rPr>
            </w:pPr>
            <w:r w:rsidRPr="00157A40">
              <w:rPr>
                <w:sz w:val="24"/>
                <w:szCs w:val="24"/>
              </w:rPr>
              <w:t>−0.002</w:t>
            </w:r>
          </w:p>
          <w:p w14:paraId="22C0599E" w14:textId="7C28214A" w:rsidR="003C19CB" w:rsidRPr="00157A40" w:rsidRDefault="003C19CB" w:rsidP="00737096">
            <w:pPr>
              <w:pStyle w:val="NoSpacing"/>
              <w:rPr>
                <w:sz w:val="24"/>
                <w:szCs w:val="24"/>
              </w:rPr>
            </w:pPr>
            <w:r w:rsidRPr="00157A40">
              <w:rPr>
                <w:sz w:val="24"/>
                <w:szCs w:val="24"/>
              </w:rPr>
              <w:t>(−0.80)</w:t>
            </w:r>
          </w:p>
        </w:tc>
        <w:tc>
          <w:tcPr>
            <w:tcW w:w="719" w:type="pct"/>
            <w:hideMark/>
          </w:tcPr>
          <w:p w14:paraId="59DB306B" w14:textId="77777777" w:rsidR="003C19CB" w:rsidRPr="00157A40" w:rsidRDefault="003C19CB" w:rsidP="00157A40">
            <w:pPr>
              <w:pStyle w:val="NoSpacing"/>
              <w:rPr>
                <w:sz w:val="24"/>
                <w:szCs w:val="24"/>
              </w:rPr>
            </w:pPr>
            <w:r w:rsidRPr="00157A40">
              <w:rPr>
                <w:sz w:val="24"/>
                <w:szCs w:val="24"/>
              </w:rPr>
              <w:t>−0.002</w:t>
            </w:r>
          </w:p>
          <w:p w14:paraId="483AD3C5" w14:textId="48DD50FD" w:rsidR="003C19CB" w:rsidRPr="00157A40" w:rsidRDefault="003C19CB" w:rsidP="00737096">
            <w:pPr>
              <w:pStyle w:val="NoSpacing"/>
              <w:rPr>
                <w:sz w:val="24"/>
                <w:szCs w:val="24"/>
              </w:rPr>
            </w:pPr>
            <w:r w:rsidRPr="00157A40">
              <w:rPr>
                <w:sz w:val="24"/>
                <w:szCs w:val="24"/>
              </w:rPr>
              <w:t>(−0.84)</w:t>
            </w:r>
          </w:p>
        </w:tc>
      </w:tr>
      <w:tr w:rsidR="003C19CB" w:rsidRPr="00157A40" w14:paraId="0B6872F8" w14:textId="77777777" w:rsidTr="007D0802">
        <w:trPr>
          <w:trHeight w:val="596"/>
        </w:trPr>
        <w:tc>
          <w:tcPr>
            <w:tcW w:w="786" w:type="pct"/>
            <w:hideMark/>
          </w:tcPr>
          <w:p w14:paraId="6D633D29" w14:textId="77777777" w:rsidR="003C19CB" w:rsidRPr="00162019" w:rsidRDefault="003C19CB" w:rsidP="00157A40">
            <w:pPr>
              <w:pStyle w:val="NoSpacing"/>
              <w:rPr>
                <w:i/>
                <w:iCs/>
                <w:sz w:val="24"/>
                <w:szCs w:val="24"/>
              </w:rPr>
            </w:pPr>
            <w:r w:rsidRPr="00162019">
              <w:rPr>
                <w:i/>
                <w:iCs/>
                <w:sz w:val="24"/>
                <w:szCs w:val="24"/>
              </w:rPr>
              <w:t>DIVER</w:t>
            </w:r>
          </w:p>
        </w:tc>
        <w:tc>
          <w:tcPr>
            <w:tcW w:w="624" w:type="pct"/>
            <w:hideMark/>
          </w:tcPr>
          <w:p w14:paraId="220A5615" w14:textId="77777777" w:rsidR="003C19CB" w:rsidRPr="00157A40" w:rsidRDefault="003C19CB" w:rsidP="00157A40">
            <w:pPr>
              <w:pStyle w:val="NoSpacing"/>
              <w:rPr>
                <w:sz w:val="24"/>
                <w:szCs w:val="24"/>
              </w:rPr>
            </w:pPr>
            <w:r w:rsidRPr="00157A40">
              <w:rPr>
                <w:sz w:val="24"/>
                <w:szCs w:val="24"/>
              </w:rPr>
              <w:t>0.018</w:t>
            </w:r>
          </w:p>
          <w:p w14:paraId="132E3A52" w14:textId="01952100" w:rsidR="003C19CB" w:rsidRPr="00157A40" w:rsidRDefault="003C19CB" w:rsidP="00737096">
            <w:pPr>
              <w:pStyle w:val="NoSpacing"/>
              <w:rPr>
                <w:sz w:val="24"/>
                <w:szCs w:val="24"/>
              </w:rPr>
            </w:pPr>
            <w:r w:rsidRPr="00157A40">
              <w:rPr>
                <w:sz w:val="24"/>
                <w:szCs w:val="24"/>
              </w:rPr>
              <w:t>(0.32)</w:t>
            </w:r>
          </w:p>
        </w:tc>
        <w:tc>
          <w:tcPr>
            <w:tcW w:w="624" w:type="pct"/>
            <w:hideMark/>
          </w:tcPr>
          <w:p w14:paraId="336411CF" w14:textId="77777777" w:rsidR="003C19CB" w:rsidRPr="00157A40" w:rsidRDefault="003C19CB" w:rsidP="00157A40">
            <w:pPr>
              <w:pStyle w:val="NoSpacing"/>
              <w:rPr>
                <w:sz w:val="24"/>
                <w:szCs w:val="24"/>
              </w:rPr>
            </w:pPr>
            <w:r w:rsidRPr="00157A40">
              <w:rPr>
                <w:sz w:val="24"/>
                <w:szCs w:val="24"/>
              </w:rPr>
              <w:t>0.019</w:t>
            </w:r>
          </w:p>
          <w:p w14:paraId="6F8008F8" w14:textId="210C1076" w:rsidR="003C19CB" w:rsidRPr="00157A40" w:rsidRDefault="003C19CB" w:rsidP="00737096">
            <w:pPr>
              <w:pStyle w:val="NoSpacing"/>
              <w:rPr>
                <w:sz w:val="24"/>
                <w:szCs w:val="24"/>
              </w:rPr>
            </w:pPr>
            <w:r w:rsidRPr="00157A40">
              <w:rPr>
                <w:sz w:val="24"/>
                <w:szCs w:val="24"/>
              </w:rPr>
              <w:t>(0.34)</w:t>
            </w:r>
          </w:p>
        </w:tc>
        <w:tc>
          <w:tcPr>
            <w:tcW w:w="749" w:type="pct"/>
            <w:hideMark/>
          </w:tcPr>
          <w:p w14:paraId="5D829FC1" w14:textId="77777777" w:rsidR="003C19CB" w:rsidRPr="00157A40" w:rsidRDefault="003C19CB" w:rsidP="00157A40">
            <w:pPr>
              <w:pStyle w:val="NoSpacing"/>
              <w:rPr>
                <w:sz w:val="24"/>
                <w:szCs w:val="24"/>
              </w:rPr>
            </w:pPr>
            <w:r w:rsidRPr="00157A40">
              <w:rPr>
                <w:sz w:val="24"/>
                <w:szCs w:val="24"/>
              </w:rPr>
              <w:t>0.019</w:t>
            </w:r>
          </w:p>
          <w:p w14:paraId="1DE5003E" w14:textId="77379A55" w:rsidR="003C19CB" w:rsidRPr="00157A40" w:rsidRDefault="003C19CB" w:rsidP="00737096">
            <w:pPr>
              <w:pStyle w:val="NoSpacing"/>
              <w:rPr>
                <w:sz w:val="24"/>
                <w:szCs w:val="24"/>
              </w:rPr>
            </w:pPr>
            <w:r w:rsidRPr="00157A40">
              <w:rPr>
                <w:sz w:val="24"/>
                <w:szCs w:val="24"/>
              </w:rPr>
              <w:t>(0.35)</w:t>
            </w:r>
          </w:p>
        </w:tc>
        <w:tc>
          <w:tcPr>
            <w:tcW w:w="749" w:type="pct"/>
            <w:hideMark/>
          </w:tcPr>
          <w:p w14:paraId="2502A204" w14:textId="77777777" w:rsidR="003C19CB" w:rsidRPr="00157A40" w:rsidRDefault="003C19CB" w:rsidP="00157A40">
            <w:pPr>
              <w:pStyle w:val="NoSpacing"/>
              <w:rPr>
                <w:sz w:val="24"/>
                <w:szCs w:val="24"/>
              </w:rPr>
            </w:pPr>
            <w:r w:rsidRPr="00157A40">
              <w:rPr>
                <w:sz w:val="24"/>
                <w:szCs w:val="24"/>
              </w:rPr>
              <w:t>−0.001</w:t>
            </w:r>
          </w:p>
          <w:p w14:paraId="7546FE98" w14:textId="710E2EA5" w:rsidR="003C19CB" w:rsidRPr="00157A40" w:rsidRDefault="003C19CB" w:rsidP="00737096">
            <w:pPr>
              <w:pStyle w:val="NoSpacing"/>
              <w:rPr>
                <w:sz w:val="24"/>
                <w:szCs w:val="24"/>
              </w:rPr>
            </w:pPr>
            <w:r w:rsidRPr="00157A40">
              <w:rPr>
                <w:sz w:val="24"/>
                <w:szCs w:val="24"/>
              </w:rPr>
              <w:t>(−0.27)</w:t>
            </w:r>
          </w:p>
        </w:tc>
        <w:tc>
          <w:tcPr>
            <w:tcW w:w="749" w:type="pct"/>
            <w:hideMark/>
          </w:tcPr>
          <w:p w14:paraId="6A675A2E" w14:textId="77777777" w:rsidR="003C19CB" w:rsidRPr="00157A40" w:rsidRDefault="003C19CB" w:rsidP="00157A40">
            <w:pPr>
              <w:pStyle w:val="NoSpacing"/>
              <w:rPr>
                <w:sz w:val="24"/>
                <w:szCs w:val="24"/>
              </w:rPr>
            </w:pPr>
            <w:r w:rsidRPr="00157A40">
              <w:rPr>
                <w:sz w:val="24"/>
                <w:szCs w:val="24"/>
              </w:rPr>
              <w:t>−0.001</w:t>
            </w:r>
          </w:p>
          <w:p w14:paraId="3FA216A3" w14:textId="19FB7965" w:rsidR="003C19CB" w:rsidRPr="00157A40" w:rsidRDefault="003C19CB" w:rsidP="00737096">
            <w:pPr>
              <w:pStyle w:val="NoSpacing"/>
              <w:rPr>
                <w:sz w:val="24"/>
                <w:szCs w:val="24"/>
              </w:rPr>
            </w:pPr>
            <w:r w:rsidRPr="00157A40">
              <w:rPr>
                <w:sz w:val="24"/>
                <w:szCs w:val="24"/>
              </w:rPr>
              <w:t>(−0.33)</w:t>
            </w:r>
          </w:p>
        </w:tc>
        <w:tc>
          <w:tcPr>
            <w:tcW w:w="719" w:type="pct"/>
            <w:hideMark/>
          </w:tcPr>
          <w:p w14:paraId="2A51BFF1" w14:textId="77777777" w:rsidR="003C19CB" w:rsidRPr="00157A40" w:rsidRDefault="003C19CB" w:rsidP="00157A40">
            <w:pPr>
              <w:pStyle w:val="NoSpacing"/>
              <w:rPr>
                <w:sz w:val="24"/>
                <w:szCs w:val="24"/>
              </w:rPr>
            </w:pPr>
            <w:r w:rsidRPr="00157A40">
              <w:rPr>
                <w:sz w:val="24"/>
                <w:szCs w:val="24"/>
              </w:rPr>
              <w:t>−0.001</w:t>
            </w:r>
          </w:p>
          <w:p w14:paraId="484B4A26" w14:textId="1D3D517A" w:rsidR="003C19CB" w:rsidRPr="00157A40" w:rsidRDefault="003C19CB" w:rsidP="00737096">
            <w:pPr>
              <w:pStyle w:val="NoSpacing"/>
              <w:rPr>
                <w:sz w:val="24"/>
                <w:szCs w:val="24"/>
              </w:rPr>
            </w:pPr>
            <w:r w:rsidRPr="00157A40">
              <w:rPr>
                <w:sz w:val="24"/>
                <w:szCs w:val="24"/>
              </w:rPr>
              <w:t>(−0.3</w:t>
            </w:r>
            <w:r>
              <w:rPr>
                <w:sz w:val="24"/>
                <w:szCs w:val="24"/>
              </w:rPr>
              <w:t>2</w:t>
            </w:r>
            <w:r w:rsidRPr="00157A40">
              <w:rPr>
                <w:sz w:val="24"/>
                <w:szCs w:val="24"/>
              </w:rPr>
              <w:t>)</w:t>
            </w:r>
          </w:p>
        </w:tc>
      </w:tr>
      <w:tr w:rsidR="003C19CB" w:rsidRPr="00157A40" w14:paraId="6F88ED3F" w14:textId="77777777" w:rsidTr="007D0562">
        <w:trPr>
          <w:trHeight w:val="596"/>
        </w:trPr>
        <w:tc>
          <w:tcPr>
            <w:tcW w:w="786" w:type="pct"/>
            <w:hideMark/>
          </w:tcPr>
          <w:p w14:paraId="5AA412D8" w14:textId="77777777" w:rsidR="003C19CB" w:rsidRPr="00162019" w:rsidRDefault="003C19CB" w:rsidP="00157A40">
            <w:pPr>
              <w:pStyle w:val="NoSpacing"/>
              <w:rPr>
                <w:i/>
                <w:iCs/>
                <w:sz w:val="24"/>
                <w:szCs w:val="24"/>
              </w:rPr>
            </w:pPr>
            <w:r w:rsidRPr="00162019">
              <w:rPr>
                <w:i/>
                <w:iCs/>
                <w:sz w:val="24"/>
                <w:szCs w:val="24"/>
              </w:rPr>
              <w:t>ANALYSTS</w:t>
            </w:r>
          </w:p>
        </w:tc>
        <w:tc>
          <w:tcPr>
            <w:tcW w:w="624" w:type="pct"/>
            <w:hideMark/>
          </w:tcPr>
          <w:p w14:paraId="0522FF33" w14:textId="77777777" w:rsidR="003C19CB" w:rsidRPr="00157A40" w:rsidRDefault="003C19CB" w:rsidP="00157A40">
            <w:pPr>
              <w:pStyle w:val="NoSpacing"/>
              <w:rPr>
                <w:sz w:val="24"/>
                <w:szCs w:val="24"/>
              </w:rPr>
            </w:pPr>
            <w:r w:rsidRPr="00157A40">
              <w:rPr>
                <w:sz w:val="24"/>
                <w:szCs w:val="24"/>
              </w:rPr>
              <w:t>−0.210***</w:t>
            </w:r>
          </w:p>
          <w:p w14:paraId="6373BFFC" w14:textId="2AA4F22A" w:rsidR="003C19CB" w:rsidRPr="00157A40" w:rsidRDefault="003C19CB" w:rsidP="00737096">
            <w:pPr>
              <w:pStyle w:val="NoSpacing"/>
              <w:rPr>
                <w:sz w:val="24"/>
                <w:szCs w:val="24"/>
              </w:rPr>
            </w:pPr>
            <w:r w:rsidRPr="00157A40">
              <w:rPr>
                <w:sz w:val="24"/>
                <w:szCs w:val="24"/>
              </w:rPr>
              <w:t>(−7.46)</w:t>
            </w:r>
          </w:p>
        </w:tc>
        <w:tc>
          <w:tcPr>
            <w:tcW w:w="624" w:type="pct"/>
            <w:hideMark/>
          </w:tcPr>
          <w:p w14:paraId="749815F1" w14:textId="77777777" w:rsidR="003C19CB" w:rsidRPr="00157A40" w:rsidRDefault="003C19CB" w:rsidP="00157A40">
            <w:pPr>
              <w:pStyle w:val="NoSpacing"/>
              <w:rPr>
                <w:sz w:val="24"/>
                <w:szCs w:val="24"/>
              </w:rPr>
            </w:pPr>
            <w:r w:rsidRPr="00157A40">
              <w:rPr>
                <w:sz w:val="24"/>
                <w:szCs w:val="24"/>
              </w:rPr>
              <w:t>−0.212***</w:t>
            </w:r>
          </w:p>
          <w:p w14:paraId="6A990661" w14:textId="098EC713" w:rsidR="003C19CB" w:rsidRPr="00157A40" w:rsidRDefault="003C19CB" w:rsidP="00737096">
            <w:pPr>
              <w:pStyle w:val="NoSpacing"/>
              <w:rPr>
                <w:sz w:val="24"/>
                <w:szCs w:val="24"/>
              </w:rPr>
            </w:pPr>
            <w:r w:rsidRPr="00157A40">
              <w:rPr>
                <w:sz w:val="24"/>
                <w:szCs w:val="24"/>
              </w:rPr>
              <w:t>(−7.53)</w:t>
            </w:r>
          </w:p>
        </w:tc>
        <w:tc>
          <w:tcPr>
            <w:tcW w:w="749" w:type="pct"/>
            <w:hideMark/>
          </w:tcPr>
          <w:p w14:paraId="2DEC9F54" w14:textId="77777777" w:rsidR="003C19CB" w:rsidRPr="00157A40" w:rsidRDefault="003C19CB" w:rsidP="00157A40">
            <w:pPr>
              <w:pStyle w:val="NoSpacing"/>
              <w:rPr>
                <w:sz w:val="24"/>
                <w:szCs w:val="24"/>
              </w:rPr>
            </w:pPr>
            <w:r w:rsidRPr="00157A40">
              <w:rPr>
                <w:sz w:val="24"/>
                <w:szCs w:val="24"/>
              </w:rPr>
              <w:t>−0.210***</w:t>
            </w:r>
          </w:p>
          <w:p w14:paraId="0B969D4B" w14:textId="69A92D82" w:rsidR="003C19CB" w:rsidRPr="00157A40" w:rsidRDefault="003C19CB" w:rsidP="00737096">
            <w:pPr>
              <w:pStyle w:val="NoSpacing"/>
              <w:rPr>
                <w:sz w:val="24"/>
                <w:szCs w:val="24"/>
              </w:rPr>
            </w:pPr>
            <w:r w:rsidRPr="00157A40">
              <w:rPr>
                <w:sz w:val="24"/>
                <w:szCs w:val="24"/>
              </w:rPr>
              <w:t>(−7.45)</w:t>
            </w:r>
          </w:p>
        </w:tc>
        <w:tc>
          <w:tcPr>
            <w:tcW w:w="749" w:type="pct"/>
            <w:hideMark/>
          </w:tcPr>
          <w:p w14:paraId="627C2061" w14:textId="77777777" w:rsidR="003C19CB" w:rsidRPr="00157A40" w:rsidRDefault="003C19CB" w:rsidP="00157A40">
            <w:pPr>
              <w:pStyle w:val="NoSpacing"/>
              <w:rPr>
                <w:sz w:val="24"/>
                <w:szCs w:val="24"/>
              </w:rPr>
            </w:pPr>
            <w:r w:rsidRPr="00157A40">
              <w:rPr>
                <w:sz w:val="24"/>
                <w:szCs w:val="24"/>
              </w:rPr>
              <w:t>−0.003**</w:t>
            </w:r>
          </w:p>
          <w:p w14:paraId="2C1D08DC" w14:textId="4EF31F66" w:rsidR="003C19CB" w:rsidRPr="00157A40" w:rsidRDefault="003C19CB" w:rsidP="00737096">
            <w:pPr>
              <w:pStyle w:val="NoSpacing"/>
              <w:rPr>
                <w:sz w:val="24"/>
                <w:szCs w:val="24"/>
              </w:rPr>
            </w:pPr>
            <w:r w:rsidRPr="00157A40">
              <w:rPr>
                <w:sz w:val="24"/>
                <w:szCs w:val="24"/>
              </w:rPr>
              <w:t>(−2.38)</w:t>
            </w:r>
          </w:p>
        </w:tc>
        <w:tc>
          <w:tcPr>
            <w:tcW w:w="749" w:type="pct"/>
            <w:hideMark/>
          </w:tcPr>
          <w:p w14:paraId="6BB67D15" w14:textId="77777777" w:rsidR="003C19CB" w:rsidRPr="00157A40" w:rsidRDefault="003C19CB" w:rsidP="00157A40">
            <w:pPr>
              <w:pStyle w:val="NoSpacing"/>
              <w:rPr>
                <w:sz w:val="24"/>
                <w:szCs w:val="24"/>
              </w:rPr>
            </w:pPr>
            <w:r w:rsidRPr="00157A40">
              <w:rPr>
                <w:sz w:val="24"/>
                <w:szCs w:val="24"/>
              </w:rPr>
              <w:t>−0.003**</w:t>
            </w:r>
          </w:p>
          <w:p w14:paraId="70E9A5C1" w14:textId="52E97D60" w:rsidR="003C19CB" w:rsidRPr="00157A40" w:rsidRDefault="003C19CB" w:rsidP="00737096">
            <w:pPr>
              <w:pStyle w:val="NoSpacing"/>
              <w:rPr>
                <w:sz w:val="24"/>
                <w:szCs w:val="24"/>
              </w:rPr>
            </w:pPr>
            <w:r w:rsidRPr="00157A40">
              <w:rPr>
                <w:sz w:val="24"/>
                <w:szCs w:val="24"/>
              </w:rPr>
              <w:t>(−2.51)</w:t>
            </w:r>
          </w:p>
        </w:tc>
        <w:tc>
          <w:tcPr>
            <w:tcW w:w="719" w:type="pct"/>
            <w:hideMark/>
          </w:tcPr>
          <w:p w14:paraId="220AF8BE" w14:textId="77777777" w:rsidR="003C19CB" w:rsidRPr="00157A40" w:rsidRDefault="003C19CB" w:rsidP="00157A40">
            <w:pPr>
              <w:pStyle w:val="NoSpacing"/>
              <w:rPr>
                <w:sz w:val="24"/>
                <w:szCs w:val="24"/>
              </w:rPr>
            </w:pPr>
            <w:r w:rsidRPr="00157A40">
              <w:rPr>
                <w:sz w:val="24"/>
                <w:szCs w:val="24"/>
              </w:rPr>
              <w:t>−0.003**</w:t>
            </w:r>
          </w:p>
          <w:p w14:paraId="4E88C20B" w14:textId="19F563E6" w:rsidR="003C19CB" w:rsidRPr="00157A40" w:rsidRDefault="003C19CB" w:rsidP="00737096">
            <w:pPr>
              <w:pStyle w:val="NoSpacing"/>
              <w:rPr>
                <w:sz w:val="24"/>
                <w:szCs w:val="24"/>
              </w:rPr>
            </w:pPr>
            <w:r w:rsidRPr="00157A40">
              <w:rPr>
                <w:sz w:val="24"/>
                <w:szCs w:val="24"/>
              </w:rPr>
              <w:t>(−2.40)</w:t>
            </w:r>
          </w:p>
        </w:tc>
      </w:tr>
      <w:tr w:rsidR="003C19CB" w:rsidRPr="00157A40" w14:paraId="4E15670D" w14:textId="77777777" w:rsidTr="00883B17">
        <w:trPr>
          <w:trHeight w:val="596"/>
        </w:trPr>
        <w:tc>
          <w:tcPr>
            <w:tcW w:w="786" w:type="pct"/>
            <w:hideMark/>
          </w:tcPr>
          <w:p w14:paraId="44022C2C" w14:textId="77777777" w:rsidR="003C19CB" w:rsidRPr="00162019" w:rsidRDefault="003C19CB" w:rsidP="00157A40">
            <w:pPr>
              <w:pStyle w:val="NoSpacing"/>
              <w:rPr>
                <w:i/>
                <w:iCs/>
                <w:sz w:val="24"/>
                <w:szCs w:val="24"/>
              </w:rPr>
            </w:pPr>
            <w:r w:rsidRPr="00162019">
              <w:rPr>
                <w:i/>
                <w:iCs/>
                <w:sz w:val="24"/>
                <w:szCs w:val="24"/>
              </w:rPr>
              <w:lastRenderedPageBreak/>
              <w:t>BETA</w:t>
            </w:r>
          </w:p>
        </w:tc>
        <w:tc>
          <w:tcPr>
            <w:tcW w:w="624" w:type="pct"/>
            <w:hideMark/>
          </w:tcPr>
          <w:p w14:paraId="743522B6" w14:textId="77777777" w:rsidR="003C19CB" w:rsidRPr="00157A40" w:rsidRDefault="003C19CB" w:rsidP="00157A40">
            <w:pPr>
              <w:pStyle w:val="NoSpacing"/>
              <w:rPr>
                <w:sz w:val="24"/>
                <w:szCs w:val="24"/>
              </w:rPr>
            </w:pPr>
            <w:r w:rsidRPr="00157A40">
              <w:rPr>
                <w:sz w:val="24"/>
                <w:szCs w:val="24"/>
              </w:rPr>
              <w:t>−0.234***</w:t>
            </w:r>
          </w:p>
          <w:p w14:paraId="22655EFD" w14:textId="358195C1" w:rsidR="003C19CB" w:rsidRPr="00157A40" w:rsidRDefault="003C19CB" w:rsidP="00572409">
            <w:pPr>
              <w:pStyle w:val="NoSpacing"/>
              <w:rPr>
                <w:sz w:val="24"/>
                <w:szCs w:val="24"/>
              </w:rPr>
            </w:pPr>
            <w:r w:rsidRPr="00157A40">
              <w:rPr>
                <w:sz w:val="24"/>
                <w:szCs w:val="24"/>
              </w:rPr>
              <w:t>(−9.70)</w:t>
            </w:r>
          </w:p>
        </w:tc>
        <w:tc>
          <w:tcPr>
            <w:tcW w:w="624" w:type="pct"/>
            <w:hideMark/>
          </w:tcPr>
          <w:p w14:paraId="0D9B49CF" w14:textId="77777777" w:rsidR="003C19CB" w:rsidRPr="00157A40" w:rsidRDefault="003C19CB" w:rsidP="00157A40">
            <w:pPr>
              <w:pStyle w:val="NoSpacing"/>
              <w:rPr>
                <w:sz w:val="24"/>
                <w:szCs w:val="24"/>
              </w:rPr>
            </w:pPr>
            <w:r w:rsidRPr="00157A40">
              <w:rPr>
                <w:sz w:val="24"/>
                <w:szCs w:val="24"/>
              </w:rPr>
              <w:t>−0.239***</w:t>
            </w:r>
          </w:p>
          <w:p w14:paraId="25F9E2EF" w14:textId="196B40AD" w:rsidR="003C19CB" w:rsidRPr="00157A40" w:rsidRDefault="003C19CB" w:rsidP="00572409">
            <w:pPr>
              <w:pStyle w:val="NoSpacing"/>
              <w:rPr>
                <w:sz w:val="24"/>
                <w:szCs w:val="24"/>
              </w:rPr>
            </w:pPr>
            <w:r w:rsidRPr="00157A40">
              <w:rPr>
                <w:sz w:val="24"/>
                <w:szCs w:val="24"/>
              </w:rPr>
              <w:t>(−9.76)</w:t>
            </w:r>
          </w:p>
        </w:tc>
        <w:tc>
          <w:tcPr>
            <w:tcW w:w="749" w:type="pct"/>
            <w:hideMark/>
          </w:tcPr>
          <w:p w14:paraId="4DDC8BEA" w14:textId="77777777" w:rsidR="003C19CB" w:rsidRPr="00157A40" w:rsidRDefault="003C19CB" w:rsidP="00157A40">
            <w:pPr>
              <w:pStyle w:val="NoSpacing"/>
              <w:rPr>
                <w:sz w:val="24"/>
                <w:szCs w:val="24"/>
              </w:rPr>
            </w:pPr>
            <w:r w:rsidRPr="00157A40">
              <w:rPr>
                <w:sz w:val="24"/>
                <w:szCs w:val="24"/>
              </w:rPr>
              <w:t>−0.235***</w:t>
            </w:r>
          </w:p>
          <w:p w14:paraId="7E83A830" w14:textId="20F05F95" w:rsidR="003C19CB" w:rsidRPr="00157A40" w:rsidRDefault="003C19CB" w:rsidP="00572409">
            <w:pPr>
              <w:pStyle w:val="NoSpacing"/>
              <w:rPr>
                <w:sz w:val="24"/>
                <w:szCs w:val="24"/>
              </w:rPr>
            </w:pPr>
            <w:r w:rsidRPr="00157A40">
              <w:rPr>
                <w:sz w:val="24"/>
                <w:szCs w:val="24"/>
              </w:rPr>
              <w:t>(−9.71)</w:t>
            </w:r>
          </w:p>
        </w:tc>
        <w:tc>
          <w:tcPr>
            <w:tcW w:w="749" w:type="pct"/>
            <w:hideMark/>
          </w:tcPr>
          <w:p w14:paraId="529B472D" w14:textId="77777777" w:rsidR="003C19CB" w:rsidRPr="00157A40" w:rsidRDefault="003C19CB" w:rsidP="00157A40">
            <w:pPr>
              <w:pStyle w:val="NoSpacing"/>
              <w:rPr>
                <w:sz w:val="24"/>
                <w:szCs w:val="24"/>
              </w:rPr>
            </w:pPr>
            <w:r w:rsidRPr="00157A40">
              <w:rPr>
                <w:sz w:val="24"/>
                <w:szCs w:val="24"/>
              </w:rPr>
              <w:t>−0.013***</w:t>
            </w:r>
          </w:p>
          <w:p w14:paraId="1BD83093" w14:textId="2A067146" w:rsidR="003C19CB" w:rsidRPr="00157A40" w:rsidRDefault="003C19CB" w:rsidP="00572409">
            <w:pPr>
              <w:pStyle w:val="NoSpacing"/>
              <w:rPr>
                <w:sz w:val="24"/>
                <w:szCs w:val="24"/>
              </w:rPr>
            </w:pPr>
            <w:r w:rsidRPr="00157A40">
              <w:rPr>
                <w:sz w:val="24"/>
                <w:szCs w:val="24"/>
              </w:rPr>
              <w:t>(−11.11)</w:t>
            </w:r>
          </w:p>
        </w:tc>
        <w:tc>
          <w:tcPr>
            <w:tcW w:w="749" w:type="pct"/>
            <w:hideMark/>
          </w:tcPr>
          <w:p w14:paraId="623138A2" w14:textId="77777777" w:rsidR="003C19CB" w:rsidRPr="00157A40" w:rsidRDefault="003C19CB" w:rsidP="00157A40">
            <w:pPr>
              <w:pStyle w:val="NoSpacing"/>
              <w:rPr>
                <w:sz w:val="24"/>
                <w:szCs w:val="24"/>
              </w:rPr>
            </w:pPr>
            <w:r w:rsidRPr="00157A40">
              <w:rPr>
                <w:sz w:val="24"/>
                <w:szCs w:val="24"/>
              </w:rPr>
              <w:t>−0.013***</w:t>
            </w:r>
          </w:p>
          <w:p w14:paraId="4FCC4A0C" w14:textId="15568C53" w:rsidR="003C19CB" w:rsidRPr="00157A40" w:rsidRDefault="003C19CB" w:rsidP="00572409">
            <w:pPr>
              <w:pStyle w:val="NoSpacing"/>
              <w:rPr>
                <w:sz w:val="24"/>
                <w:szCs w:val="24"/>
              </w:rPr>
            </w:pPr>
            <w:r w:rsidRPr="00157A40">
              <w:rPr>
                <w:sz w:val="24"/>
                <w:szCs w:val="24"/>
              </w:rPr>
              <w:t>(−11.26)</w:t>
            </w:r>
          </w:p>
        </w:tc>
        <w:tc>
          <w:tcPr>
            <w:tcW w:w="719" w:type="pct"/>
            <w:hideMark/>
          </w:tcPr>
          <w:p w14:paraId="375FE3C7" w14:textId="77777777" w:rsidR="003C19CB" w:rsidRPr="00157A40" w:rsidRDefault="003C19CB" w:rsidP="00157A40">
            <w:pPr>
              <w:pStyle w:val="NoSpacing"/>
              <w:rPr>
                <w:sz w:val="24"/>
                <w:szCs w:val="24"/>
              </w:rPr>
            </w:pPr>
            <w:r w:rsidRPr="00157A40">
              <w:rPr>
                <w:sz w:val="24"/>
                <w:szCs w:val="24"/>
              </w:rPr>
              <w:t>−0.013***</w:t>
            </w:r>
          </w:p>
          <w:p w14:paraId="6B41959C" w14:textId="74B216FE" w:rsidR="003C19CB" w:rsidRPr="00157A40" w:rsidRDefault="003C19CB" w:rsidP="00572409">
            <w:pPr>
              <w:pStyle w:val="NoSpacing"/>
              <w:rPr>
                <w:sz w:val="24"/>
                <w:szCs w:val="24"/>
              </w:rPr>
            </w:pPr>
            <w:r w:rsidRPr="00157A40">
              <w:rPr>
                <w:sz w:val="24"/>
                <w:szCs w:val="24"/>
              </w:rPr>
              <w:t>(−11.</w:t>
            </w:r>
            <w:r>
              <w:rPr>
                <w:sz w:val="24"/>
                <w:szCs w:val="24"/>
              </w:rPr>
              <w:t>09</w:t>
            </w:r>
            <w:r w:rsidRPr="00157A40">
              <w:rPr>
                <w:sz w:val="24"/>
                <w:szCs w:val="24"/>
              </w:rPr>
              <w:t>)</w:t>
            </w:r>
          </w:p>
        </w:tc>
      </w:tr>
      <w:tr w:rsidR="003C19CB" w:rsidRPr="00157A40" w14:paraId="2CD43A83" w14:textId="77777777" w:rsidTr="00A54B55">
        <w:trPr>
          <w:trHeight w:val="596"/>
        </w:trPr>
        <w:tc>
          <w:tcPr>
            <w:tcW w:w="786" w:type="pct"/>
            <w:hideMark/>
          </w:tcPr>
          <w:p w14:paraId="66A502DA" w14:textId="77777777" w:rsidR="003C19CB" w:rsidRPr="00162019" w:rsidRDefault="003C19CB" w:rsidP="00572409">
            <w:pPr>
              <w:pStyle w:val="NoSpacing"/>
              <w:rPr>
                <w:i/>
                <w:iCs/>
                <w:sz w:val="24"/>
                <w:szCs w:val="24"/>
              </w:rPr>
            </w:pPr>
            <w:r w:rsidRPr="00162019">
              <w:rPr>
                <w:i/>
                <w:iCs/>
                <w:sz w:val="24"/>
                <w:szCs w:val="24"/>
              </w:rPr>
              <w:t>EQ</w:t>
            </w:r>
          </w:p>
        </w:tc>
        <w:tc>
          <w:tcPr>
            <w:tcW w:w="624" w:type="pct"/>
            <w:hideMark/>
          </w:tcPr>
          <w:p w14:paraId="30C15E0B" w14:textId="77777777" w:rsidR="003C19CB" w:rsidRPr="00157A40" w:rsidRDefault="003C19CB" w:rsidP="00572409">
            <w:pPr>
              <w:pStyle w:val="NoSpacing"/>
              <w:rPr>
                <w:sz w:val="24"/>
                <w:szCs w:val="24"/>
              </w:rPr>
            </w:pPr>
            <w:r w:rsidRPr="00157A40">
              <w:rPr>
                <w:sz w:val="24"/>
                <w:szCs w:val="24"/>
              </w:rPr>
              <w:t>0.012***</w:t>
            </w:r>
          </w:p>
          <w:p w14:paraId="636B5B5B" w14:textId="0541A0BE" w:rsidR="003C19CB" w:rsidRPr="00157A40" w:rsidRDefault="003C19CB" w:rsidP="00572409">
            <w:pPr>
              <w:pStyle w:val="NoSpacing"/>
              <w:rPr>
                <w:sz w:val="24"/>
                <w:szCs w:val="24"/>
              </w:rPr>
            </w:pPr>
            <w:r w:rsidRPr="00157A40">
              <w:rPr>
                <w:sz w:val="24"/>
                <w:szCs w:val="24"/>
              </w:rPr>
              <w:t>(2.88)</w:t>
            </w:r>
          </w:p>
        </w:tc>
        <w:tc>
          <w:tcPr>
            <w:tcW w:w="624" w:type="pct"/>
            <w:hideMark/>
          </w:tcPr>
          <w:p w14:paraId="1D77D2F0" w14:textId="77777777" w:rsidR="003C19CB" w:rsidRPr="00157A40" w:rsidRDefault="003C19CB" w:rsidP="00572409">
            <w:pPr>
              <w:pStyle w:val="NoSpacing"/>
              <w:rPr>
                <w:sz w:val="24"/>
                <w:szCs w:val="24"/>
              </w:rPr>
            </w:pPr>
            <w:r w:rsidRPr="00157A40">
              <w:rPr>
                <w:sz w:val="24"/>
                <w:szCs w:val="24"/>
              </w:rPr>
              <w:t>0.014***</w:t>
            </w:r>
          </w:p>
          <w:p w14:paraId="289C9D0F" w14:textId="18E40287" w:rsidR="003C19CB" w:rsidRPr="00157A40" w:rsidRDefault="003C19CB" w:rsidP="00572409">
            <w:pPr>
              <w:pStyle w:val="NoSpacing"/>
              <w:rPr>
                <w:sz w:val="24"/>
                <w:szCs w:val="24"/>
              </w:rPr>
            </w:pPr>
            <w:r w:rsidRPr="00157A40">
              <w:rPr>
                <w:sz w:val="24"/>
                <w:szCs w:val="24"/>
              </w:rPr>
              <w:t>(3.23)</w:t>
            </w:r>
          </w:p>
        </w:tc>
        <w:tc>
          <w:tcPr>
            <w:tcW w:w="749" w:type="pct"/>
            <w:hideMark/>
          </w:tcPr>
          <w:p w14:paraId="0EA59BF0" w14:textId="77777777" w:rsidR="003C19CB" w:rsidRPr="00157A40" w:rsidRDefault="003C19CB" w:rsidP="00572409">
            <w:pPr>
              <w:pStyle w:val="NoSpacing"/>
              <w:rPr>
                <w:sz w:val="24"/>
                <w:szCs w:val="24"/>
              </w:rPr>
            </w:pPr>
            <w:r w:rsidRPr="00157A40">
              <w:rPr>
                <w:sz w:val="24"/>
                <w:szCs w:val="24"/>
              </w:rPr>
              <w:t>0.012***</w:t>
            </w:r>
          </w:p>
          <w:p w14:paraId="1B420A9D" w14:textId="025BFBB1" w:rsidR="003C19CB" w:rsidRPr="00157A40" w:rsidRDefault="003C19CB" w:rsidP="00572409">
            <w:pPr>
              <w:pStyle w:val="NoSpacing"/>
              <w:rPr>
                <w:sz w:val="24"/>
                <w:szCs w:val="24"/>
              </w:rPr>
            </w:pPr>
            <w:r w:rsidRPr="00157A40">
              <w:rPr>
                <w:sz w:val="24"/>
                <w:szCs w:val="24"/>
              </w:rPr>
              <w:t>(2.91)</w:t>
            </w:r>
          </w:p>
        </w:tc>
        <w:tc>
          <w:tcPr>
            <w:tcW w:w="749" w:type="pct"/>
            <w:hideMark/>
          </w:tcPr>
          <w:p w14:paraId="2C75D0CD" w14:textId="77777777" w:rsidR="003C19CB" w:rsidRPr="00157A40" w:rsidRDefault="003C19CB" w:rsidP="00572409">
            <w:pPr>
              <w:pStyle w:val="NoSpacing"/>
              <w:rPr>
                <w:sz w:val="24"/>
                <w:szCs w:val="24"/>
              </w:rPr>
            </w:pPr>
            <w:r w:rsidRPr="00157A40">
              <w:rPr>
                <w:sz w:val="24"/>
                <w:szCs w:val="24"/>
              </w:rPr>
              <w:t>0.000</w:t>
            </w:r>
          </w:p>
          <w:p w14:paraId="4F9DEB6C" w14:textId="3ED816EC" w:rsidR="003C19CB" w:rsidRPr="00157A40" w:rsidRDefault="003C19CB" w:rsidP="00572409">
            <w:pPr>
              <w:pStyle w:val="NoSpacing"/>
              <w:rPr>
                <w:sz w:val="24"/>
                <w:szCs w:val="24"/>
              </w:rPr>
            </w:pPr>
            <w:r w:rsidRPr="00157A40">
              <w:rPr>
                <w:sz w:val="24"/>
                <w:szCs w:val="24"/>
              </w:rPr>
              <w:t>(0.68)</w:t>
            </w:r>
          </w:p>
        </w:tc>
        <w:tc>
          <w:tcPr>
            <w:tcW w:w="749" w:type="pct"/>
            <w:hideMark/>
          </w:tcPr>
          <w:p w14:paraId="52F92A55" w14:textId="77777777" w:rsidR="003C19CB" w:rsidRPr="00157A40" w:rsidRDefault="003C19CB" w:rsidP="00572409">
            <w:pPr>
              <w:pStyle w:val="NoSpacing"/>
              <w:rPr>
                <w:sz w:val="24"/>
                <w:szCs w:val="24"/>
              </w:rPr>
            </w:pPr>
            <w:r w:rsidRPr="00157A40">
              <w:rPr>
                <w:sz w:val="24"/>
                <w:szCs w:val="24"/>
              </w:rPr>
              <w:t>0.000</w:t>
            </w:r>
          </w:p>
          <w:p w14:paraId="785D6586" w14:textId="3BD9E7B4" w:rsidR="003C19CB" w:rsidRPr="00157A40" w:rsidRDefault="003C19CB" w:rsidP="00572409">
            <w:pPr>
              <w:pStyle w:val="NoSpacing"/>
              <w:rPr>
                <w:sz w:val="24"/>
                <w:szCs w:val="24"/>
              </w:rPr>
            </w:pPr>
            <w:r w:rsidRPr="00157A40">
              <w:rPr>
                <w:sz w:val="24"/>
                <w:szCs w:val="24"/>
              </w:rPr>
              <w:t>(0.99)</w:t>
            </w:r>
          </w:p>
        </w:tc>
        <w:tc>
          <w:tcPr>
            <w:tcW w:w="719" w:type="pct"/>
            <w:hideMark/>
          </w:tcPr>
          <w:p w14:paraId="0F03FAD9" w14:textId="77777777" w:rsidR="003C19CB" w:rsidRPr="00157A40" w:rsidRDefault="003C19CB" w:rsidP="00572409">
            <w:pPr>
              <w:pStyle w:val="NoSpacing"/>
              <w:rPr>
                <w:sz w:val="24"/>
                <w:szCs w:val="24"/>
              </w:rPr>
            </w:pPr>
            <w:r w:rsidRPr="00157A40">
              <w:rPr>
                <w:sz w:val="24"/>
                <w:szCs w:val="24"/>
              </w:rPr>
              <w:t>0.000</w:t>
            </w:r>
          </w:p>
          <w:p w14:paraId="320CB6F9" w14:textId="26BB0AE9" w:rsidR="003C19CB" w:rsidRPr="00157A40" w:rsidRDefault="003C19CB" w:rsidP="00572409">
            <w:pPr>
              <w:pStyle w:val="NoSpacing"/>
              <w:rPr>
                <w:sz w:val="24"/>
                <w:szCs w:val="24"/>
              </w:rPr>
            </w:pPr>
            <w:r w:rsidRPr="00157A40">
              <w:rPr>
                <w:sz w:val="24"/>
                <w:szCs w:val="24"/>
              </w:rPr>
              <w:t>(0.63)</w:t>
            </w:r>
          </w:p>
        </w:tc>
      </w:tr>
      <w:tr w:rsidR="003C19CB" w:rsidRPr="00157A40" w14:paraId="7F8B8D09" w14:textId="77777777" w:rsidTr="009D6D71">
        <w:trPr>
          <w:trHeight w:val="596"/>
        </w:trPr>
        <w:tc>
          <w:tcPr>
            <w:tcW w:w="786" w:type="pct"/>
            <w:hideMark/>
          </w:tcPr>
          <w:p w14:paraId="16FBCA50" w14:textId="77777777" w:rsidR="003C19CB" w:rsidRPr="00162019" w:rsidRDefault="003C19CB" w:rsidP="00572409">
            <w:pPr>
              <w:pStyle w:val="NoSpacing"/>
              <w:rPr>
                <w:i/>
                <w:iCs/>
                <w:sz w:val="24"/>
                <w:szCs w:val="24"/>
              </w:rPr>
            </w:pPr>
            <w:r w:rsidRPr="00162019">
              <w:rPr>
                <w:i/>
                <w:iCs/>
                <w:sz w:val="24"/>
                <w:szCs w:val="24"/>
              </w:rPr>
              <w:t>INSTRADE</w:t>
            </w:r>
          </w:p>
        </w:tc>
        <w:tc>
          <w:tcPr>
            <w:tcW w:w="624" w:type="pct"/>
            <w:hideMark/>
          </w:tcPr>
          <w:p w14:paraId="0516A55B" w14:textId="77777777" w:rsidR="003C19CB" w:rsidRPr="00157A40" w:rsidRDefault="003C19CB" w:rsidP="00572409">
            <w:pPr>
              <w:pStyle w:val="NoSpacing"/>
              <w:rPr>
                <w:sz w:val="24"/>
                <w:szCs w:val="24"/>
              </w:rPr>
            </w:pPr>
            <w:r w:rsidRPr="00157A40">
              <w:rPr>
                <w:sz w:val="24"/>
                <w:szCs w:val="24"/>
              </w:rPr>
              <w:t>−0.667**</w:t>
            </w:r>
          </w:p>
          <w:p w14:paraId="548D1CE1" w14:textId="50D23FF7" w:rsidR="003C19CB" w:rsidRPr="00157A40" w:rsidRDefault="003C19CB" w:rsidP="00572409">
            <w:pPr>
              <w:pStyle w:val="NoSpacing"/>
              <w:rPr>
                <w:sz w:val="24"/>
                <w:szCs w:val="24"/>
              </w:rPr>
            </w:pPr>
            <w:r w:rsidRPr="00157A40">
              <w:rPr>
                <w:sz w:val="24"/>
                <w:szCs w:val="24"/>
              </w:rPr>
              <w:t>(−2.30)</w:t>
            </w:r>
          </w:p>
        </w:tc>
        <w:tc>
          <w:tcPr>
            <w:tcW w:w="624" w:type="pct"/>
            <w:hideMark/>
          </w:tcPr>
          <w:p w14:paraId="57AB488F" w14:textId="77777777" w:rsidR="003C19CB" w:rsidRPr="00157A40" w:rsidRDefault="003C19CB" w:rsidP="00572409">
            <w:pPr>
              <w:pStyle w:val="NoSpacing"/>
              <w:rPr>
                <w:sz w:val="24"/>
                <w:szCs w:val="24"/>
              </w:rPr>
            </w:pPr>
            <w:r w:rsidRPr="00157A40">
              <w:rPr>
                <w:sz w:val="24"/>
                <w:szCs w:val="24"/>
              </w:rPr>
              <w:t>−0.668**</w:t>
            </w:r>
          </w:p>
          <w:p w14:paraId="4499B7F5" w14:textId="610B81C5" w:rsidR="003C19CB" w:rsidRPr="00157A40" w:rsidRDefault="003C19CB" w:rsidP="00572409">
            <w:pPr>
              <w:pStyle w:val="NoSpacing"/>
              <w:rPr>
                <w:sz w:val="24"/>
                <w:szCs w:val="24"/>
              </w:rPr>
            </w:pPr>
            <w:r w:rsidRPr="00157A40">
              <w:rPr>
                <w:sz w:val="24"/>
                <w:szCs w:val="24"/>
              </w:rPr>
              <w:t>(−2.30)</w:t>
            </w:r>
          </w:p>
        </w:tc>
        <w:tc>
          <w:tcPr>
            <w:tcW w:w="749" w:type="pct"/>
            <w:hideMark/>
          </w:tcPr>
          <w:p w14:paraId="27FA47C3" w14:textId="77777777" w:rsidR="003C19CB" w:rsidRPr="00157A40" w:rsidRDefault="003C19CB" w:rsidP="00572409">
            <w:pPr>
              <w:pStyle w:val="NoSpacing"/>
              <w:rPr>
                <w:sz w:val="24"/>
                <w:szCs w:val="24"/>
              </w:rPr>
            </w:pPr>
            <w:r w:rsidRPr="00157A40">
              <w:rPr>
                <w:sz w:val="24"/>
                <w:szCs w:val="24"/>
              </w:rPr>
              <w:t>−0.669**</w:t>
            </w:r>
          </w:p>
          <w:p w14:paraId="58331223" w14:textId="479FD630" w:rsidR="003C19CB" w:rsidRPr="00157A40" w:rsidRDefault="003C19CB" w:rsidP="00572409">
            <w:pPr>
              <w:pStyle w:val="NoSpacing"/>
              <w:rPr>
                <w:sz w:val="24"/>
                <w:szCs w:val="24"/>
              </w:rPr>
            </w:pPr>
            <w:r w:rsidRPr="00157A40">
              <w:rPr>
                <w:sz w:val="24"/>
                <w:szCs w:val="24"/>
              </w:rPr>
              <w:t>(−2.31)</w:t>
            </w:r>
          </w:p>
        </w:tc>
        <w:tc>
          <w:tcPr>
            <w:tcW w:w="749" w:type="pct"/>
            <w:hideMark/>
          </w:tcPr>
          <w:p w14:paraId="6461EB79" w14:textId="77777777" w:rsidR="003C19CB" w:rsidRPr="00157A40" w:rsidRDefault="003C19CB" w:rsidP="00572409">
            <w:pPr>
              <w:pStyle w:val="NoSpacing"/>
              <w:rPr>
                <w:sz w:val="24"/>
                <w:szCs w:val="24"/>
              </w:rPr>
            </w:pPr>
            <w:r w:rsidRPr="00157A40">
              <w:rPr>
                <w:sz w:val="24"/>
                <w:szCs w:val="24"/>
              </w:rPr>
              <w:t>−0.016*</w:t>
            </w:r>
          </w:p>
          <w:p w14:paraId="3A4BA447" w14:textId="1B935E78" w:rsidR="003C19CB" w:rsidRPr="00157A40" w:rsidRDefault="003C19CB" w:rsidP="00572409">
            <w:pPr>
              <w:pStyle w:val="NoSpacing"/>
              <w:rPr>
                <w:sz w:val="24"/>
                <w:szCs w:val="24"/>
              </w:rPr>
            </w:pPr>
            <w:r w:rsidRPr="00157A40">
              <w:rPr>
                <w:sz w:val="24"/>
                <w:szCs w:val="24"/>
              </w:rPr>
              <w:t>(−1.75)</w:t>
            </w:r>
          </w:p>
        </w:tc>
        <w:tc>
          <w:tcPr>
            <w:tcW w:w="749" w:type="pct"/>
            <w:hideMark/>
          </w:tcPr>
          <w:p w14:paraId="0F633D96" w14:textId="77777777" w:rsidR="003C19CB" w:rsidRPr="00157A40" w:rsidRDefault="003C19CB" w:rsidP="00572409">
            <w:pPr>
              <w:pStyle w:val="NoSpacing"/>
              <w:rPr>
                <w:sz w:val="24"/>
                <w:szCs w:val="24"/>
              </w:rPr>
            </w:pPr>
            <w:r w:rsidRPr="00157A40">
              <w:rPr>
                <w:sz w:val="24"/>
                <w:szCs w:val="24"/>
              </w:rPr>
              <w:t>−0.016*</w:t>
            </w:r>
          </w:p>
          <w:p w14:paraId="02EA104A" w14:textId="6D3E5205" w:rsidR="003C19CB" w:rsidRPr="00157A40" w:rsidRDefault="003C19CB" w:rsidP="00572409">
            <w:pPr>
              <w:pStyle w:val="NoSpacing"/>
              <w:rPr>
                <w:sz w:val="24"/>
                <w:szCs w:val="24"/>
              </w:rPr>
            </w:pPr>
            <w:r w:rsidRPr="00157A40">
              <w:rPr>
                <w:sz w:val="24"/>
                <w:szCs w:val="24"/>
              </w:rPr>
              <w:t>(−1.72)</w:t>
            </w:r>
          </w:p>
        </w:tc>
        <w:tc>
          <w:tcPr>
            <w:tcW w:w="719" w:type="pct"/>
            <w:hideMark/>
          </w:tcPr>
          <w:p w14:paraId="554D7EA6" w14:textId="77777777" w:rsidR="003C19CB" w:rsidRPr="00157A40" w:rsidRDefault="003C19CB" w:rsidP="00572409">
            <w:pPr>
              <w:pStyle w:val="NoSpacing"/>
              <w:rPr>
                <w:sz w:val="24"/>
                <w:szCs w:val="24"/>
              </w:rPr>
            </w:pPr>
            <w:r w:rsidRPr="00157A40">
              <w:rPr>
                <w:sz w:val="24"/>
                <w:szCs w:val="24"/>
              </w:rPr>
              <w:t>−0.016*</w:t>
            </w:r>
          </w:p>
          <w:p w14:paraId="687F87D9" w14:textId="19009859" w:rsidR="003C19CB" w:rsidRPr="00157A40" w:rsidRDefault="003C19CB" w:rsidP="00572409">
            <w:pPr>
              <w:pStyle w:val="NoSpacing"/>
              <w:rPr>
                <w:sz w:val="24"/>
                <w:szCs w:val="24"/>
              </w:rPr>
            </w:pPr>
            <w:r w:rsidRPr="00157A40">
              <w:rPr>
                <w:sz w:val="24"/>
                <w:szCs w:val="24"/>
              </w:rPr>
              <w:t>(−1.7</w:t>
            </w:r>
            <w:r>
              <w:rPr>
                <w:sz w:val="24"/>
                <w:szCs w:val="24"/>
              </w:rPr>
              <w:t>3</w:t>
            </w:r>
            <w:r w:rsidRPr="00157A40">
              <w:rPr>
                <w:sz w:val="24"/>
                <w:szCs w:val="24"/>
              </w:rPr>
              <w:t>)</w:t>
            </w:r>
          </w:p>
        </w:tc>
      </w:tr>
      <w:tr w:rsidR="003C19CB" w:rsidRPr="00157A40" w14:paraId="1774602E" w14:textId="77777777" w:rsidTr="002F3E15">
        <w:trPr>
          <w:trHeight w:val="596"/>
        </w:trPr>
        <w:tc>
          <w:tcPr>
            <w:tcW w:w="786" w:type="pct"/>
            <w:hideMark/>
          </w:tcPr>
          <w:p w14:paraId="730B4EFC" w14:textId="77777777" w:rsidR="003C19CB" w:rsidRPr="00162019" w:rsidRDefault="003C19CB" w:rsidP="00572409">
            <w:pPr>
              <w:pStyle w:val="NoSpacing"/>
              <w:rPr>
                <w:i/>
                <w:iCs/>
                <w:sz w:val="24"/>
                <w:szCs w:val="24"/>
              </w:rPr>
            </w:pPr>
            <w:r w:rsidRPr="00162019">
              <w:rPr>
                <w:i/>
                <w:iCs/>
                <w:sz w:val="24"/>
                <w:szCs w:val="24"/>
              </w:rPr>
              <w:t>CGSCORE</w:t>
            </w:r>
          </w:p>
        </w:tc>
        <w:tc>
          <w:tcPr>
            <w:tcW w:w="624" w:type="pct"/>
            <w:hideMark/>
          </w:tcPr>
          <w:p w14:paraId="776306B0" w14:textId="77777777" w:rsidR="003C19CB" w:rsidRPr="00157A40" w:rsidRDefault="003C19CB" w:rsidP="00572409">
            <w:pPr>
              <w:pStyle w:val="NoSpacing"/>
              <w:rPr>
                <w:sz w:val="24"/>
                <w:szCs w:val="24"/>
              </w:rPr>
            </w:pPr>
            <w:r w:rsidRPr="00157A40">
              <w:rPr>
                <w:sz w:val="24"/>
                <w:szCs w:val="24"/>
              </w:rPr>
              <w:t>0.240***</w:t>
            </w:r>
          </w:p>
          <w:p w14:paraId="13E1FCE8" w14:textId="2D048C58" w:rsidR="003C19CB" w:rsidRPr="00157A40" w:rsidRDefault="003C19CB" w:rsidP="00572409">
            <w:pPr>
              <w:pStyle w:val="NoSpacing"/>
              <w:rPr>
                <w:sz w:val="24"/>
                <w:szCs w:val="24"/>
              </w:rPr>
            </w:pPr>
            <w:r w:rsidRPr="00157A40">
              <w:rPr>
                <w:sz w:val="24"/>
                <w:szCs w:val="24"/>
              </w:rPr>
              <w:t>(3.76)</w:t>
            </w:r>
          </w:p>
        </w:tc>
        <w:tc>
          <w:tcPr>
            <w:tcW w:w="624" w:type="pct"/>
            <w:hideMark/>
          </w:tcPr>
          <w:p w14:paraId="412C9A87" w14:textId="77777777" w:rsidR="003C19CB" w:rsidRPr="00157A40" w:rsidRDefault="003C19CB" w:rsidP="00572409">
            <w:pPr>
              <w:pStyle w:val="NoSpacing"/>
              <w:rPr>
                <w:sz w:val="24"/>
                <w:szCs w:val="24"/>
              </w:rPr>
            </w:pPr>
            <w:r w:rsidRPr="00157A40">
              <w:rPr>
                <w:sz w:val="24"/>
                <w:szCs w:val="24"/>
              </w:rPr>
              <w:t>0.294***</w:t>
            </w:r>
          </w:p>
          <w:p w14:paraId="5FAFFE5C" w14:textId="6730FA11" w:rsidR="003C19CB" w:rsidRPr="00157A40" w:rsidRDefault="003C19CB" w:rsidP="00572409">
            <w:pPr>
              <w:pStyle w:val="NoSpacing"/>
              <w:rPr>
                <w:sz w:val="24"/>
                <w:szCs w:val="24"/>
              </w:rPr>
            </w:pPr>
            <w:r w:rsidRPr="00157A40">
              <w:rPr>
                <w:sz w:val="24"/>
                <w:szCs w:val="24"/>
              </w:rPr>
              <w:t>(5.26)</w:t>
            </w:r>
          </w:p>
        </w:tc>
        <w:tc>
          <w:tcPr>
            <w:tcW w:w="749" w:type="pct"/>
            <w:hideMark/>
          </w:tcPr>
          <w:p w14:paraId="669C6791" w14:textId="77777777" w:rsidR="003C19CB" w:rsidRPr="00157A40" w:rsidRDefault="003C19CB" w:rsidP="00572409">
            <w:pPr>
              <w:pStyle w:val="NoSpacing"/>
              <w:rPr>
                <w:sz w:val="24"/>
                <w:szCs w:val="24"/>
              </w:rPr>
            </w:pPr>
            <w:r w:rsidRPr="00157A40">
              <w:rPr>
                <w:sz w:val="24"/>
                <w:szCs w:val="24"/>
              </w:rPr>
              <w:t>0.241***</w:t>
            </w:r>
          </w:p>
          <w:p w14:paraId="7DBE0475" w14:textId="193E1672" w:rsidR="003C19CB" w:rsidRPr="00157A40" w:rsidRDefault="003C19CB" w:rsidP="00572409">
            <w:pPr>
              <w:pStyle w:val="NoSpacing"/>
              <w:rPr>
                <w:sz w:val="24"/>
                <w:szCs w:val="24"/>
              </w:rPr>
            </w:pPr>
            <w:r w:rsidRPr="00157A40">
              <w:rPr>
                <w:sz w:val="24"/>
                <w:szCs w:val="24"/>
              </w:rPr>
              <w:t>(3.78)</w:t>
            </w:r>
          </w:p>
        </w:tc>
        <w:tc>
          <w:tcPr>
            <w:tcW w:w="749" w:type="pct"/>
            <w:hideMark/>
          </w:tcPr>
          <w:p w14:paraId="06D8028B" w14:textId="77777777" w:rsidR="003C19CB" w:rsidRPr="00157A40" w:rsidRDefault="003C19CB" w:rsidP="00572409">
            <w:pPr>
              <w:pStyle w:val="NoSpacing"/>
              <w:rPr>
                <w:sz w:val="24"/>
                <w:szCs w:val="24"/>
              </w:rPr>
            </w:pPr>
            <w:r w:rsidRPr="00157A40">
              <w:rPr>
                <w:sz w:val="24"/>
                <w:szCs w:val="24"/>
              </w:rPr>
              <w:t>0.011***</w:t>
            </w:r>
          </w:p>
          <w:p w14:paraId="7DBDF210" w14:textId="27E63E61" w:rsidR="003C19CB" w:rsidRPr="00157A40" w:rsidRDefault="003C19CB" w:rsidP="00572409">
            <w:pPr>
              <w:pStyle w:val="NoSpacing"/>
              <w:rPr>
                <w:sz w:val="24"/>
                <w:szCs w:val="24"/>
              </w:rPr>
            </w:pPr>
            <w:r w:rsidRPr="00157A40">
              <w:rPr>
                <w:sz w:val="24"/>
                <w:szCs w:val="24"/>
              </w:rPr>
              <w:t>(4.78)</w:t>
            </w:r>
          </w:p>
        </w:tc>
        <w:tc>
          <w:tcPr>
            <w:tcW w:w="749" w:type="pct"/>
            <w:hideMark/>
          </w:tcPr>
          <w:p w14:paraId="6488FD60" w14:textId="77777777" w:rsidR="003C19CB" w:rsidRPr="00157A40" w:rsidRDefault="003C19CB" w:rsidP="00572409">
            <w:pPr>
              <w:pStyle w:val="NoSpacing"/>
              <w:rPr>
                <w:sz w:val="24"/>
                <w:szCs w:val="24"/>
              </w:rPr>
            </w:pPr>
            <w:r w:rsidRPr="00157A40">
              <w:rPr>
                <w:sz w:val="24"/>
                <w:szCs w:val="24"/>
              </w:rPr>
              <w:t>0.014***</w:t>
            </w:r>
          </w:p>
          <w:p w14:paraId="7AFC4FDD" w14:textId="766D4901" w:rsidR="003C19CB" w:rsidRPr="00157A40" w:rsidRDefault="003C19CB" w:rsidP="00572409">
            <w:pPr>
              <w:pStyle w:val="NoSpacing"/>
              <w:rPr>
                <w:sz w:val="24"/>
                <w:szCs w:val="24"/>
              </w:rPr>
            </w:pPr>
            <w:r w:rsidRPr="00157A40">
              <w:rPr>
                <w:sz w:val="24"/>
                <w:szCs w:val="24"/>
              </w:rPr>
              <w:t>(5.95)</w:t>
            </w:r>
          </w:p>
        </w:tc>
        <w:tc>
          <w:tcPr>
            <w:tcW w:w="719" w:type="pct"/>
            <w:hideMark/>
          </w:tcPr>
          <w:p w14:paraId="4B3B6321" w14:textId="77777777" w:rsidR="003C19CB" w:rsidRPr="00157A40" w:rsidRDefault="003C19CB" w:rsidP="00572409">
            <w:pPr>
              <w:pStyle w:val="NoSpacing"/>
              <w:rPr>
                <w:sz w:val="24"/>
                <w:szCs w:val="24"/>
              </w:rPr>
            </w:pPr>
            <w:r w:rsidRPr="00157A40">
              <w:rPr>
                <w:sz w:val="24"/>
                <w:szCs w:val="24"/>
              </w:rPr>
              <w:t>0.011***</w:t>
            </w:r>
          </w:p>
          <w:p w14:paraId="3C90BB76" w14:textId="4056C30D" w:rsidR="003C19CB" w:rsidRPr="00157A40" w:rsidRDefault="003C19CB" w:rsidP="00572409">
            <w:pPr>
              <w:pStyle w:val="NoSpacing"/>
              <w:rPr>
                <w:sz w:val="24"/>
                <w:szCs w:val="24"/>
              </w:rPr>
            </w:pPr>
            <w:r w:rsidRPr="005C7ED1">
              <w:rPr>
                <w:sz w:val="24"/>
                <w:szCs w:val="24"/>
              </w:rPr>
              <w:t>(4.74)</w:t>
            </w:r>
          </w:p>
        </w:tc>
      </w:tr>
      <w:tr w:rsidR="003C19CB" w:rsidRPr="00157A40" w14:paraId="41250BAE" w14:textId="77777777" w:rsidTr="00CD461B">
        <w:trPr>
          <w:trHeight w:val="596"/>
        </w:trPr>
        <w:tc>
          <w:tcPr>
            <w:tcW w:w="786" w:type="pct"/>
            <w:hideMark/>
          </w:tcPr>
          <w:p w14:paraId="06FE72DB" w14:textId="77777777" w:rsidR="003C19CB" w:rsidRPr="00162019" w:rsidRDefault="003C19CB" w:rsidP="00572409">
            <w:pPr>
              <w:pStyle w:val="NoSpacing"/>
              <w:rPr>
                <w:i/>
                <w:iCs/>
                <w:sz w:val="24"/>
                <w:szCs w:val="24"/>
              </w:rPr>
            </w:pPr>
            <w:r w:rsidRPr="00162019">
              <w:rPr>
                <w:i/>
                <w:iCs/>
                <w:sz w:val="24"/>
                <w:szCs w:val="24"/>
              </w:rPr>
              <w:t>INSTNUM</w:t>
            </w:r>
          </w:p>
        </w:tc>
        <w:tc>
          <w:tcPr>
            <w:tcW w:w="624" w:type="pct"/>
            <w:hideMark/>
          </w:tcPr>
          <w:p w14:paraId="383AC361" w14:textId="77777777" w:rsidR="003C19CB" w:rsidRPr="00157A40" w:rsidRDefault="003C19CB" w:rsidP="00572409">
            <w:pPr>
              <w:pStyle w:val="NoSpacing"/>
              <w:rPr>
                <w:sz w:val="24"/>
                <w:szCs w:val="24"/>
              </w:rPr>
            </w:pPr>
            <w:r w:rsidRPr="00157A40">
              <w:rPr>
                <w:sz w:val="24"/>
                <w:szCs w:val="24"/>
              </w:rPr>
              <w:t>−0.381***</w:t>
            </w:r>
          </w:p>
          <w:p w14:paraId="6A88E704" w14:textId="41663C1A" w:rsidR="003C19CB" w:rsidRPr="00157A40" w:rsidRDefault="003C19CB" w:rsidP="00572409">
            <w:pPr>
              <w:pStyle w:val="NoSpacing"/>
              <w:rPr>
                <w:sz w:val="24"/>
                <w:szCs w:val="24"/>
              </w:rPr>
            </w:pPr>
            <w:r w:rsidRPr="00157A40">
              <w:rPr>
                <w:sz w:val="24"/>
                <w:szCs w:val="24"/>
              </w:rPr>
              <w:t>(−5.81)</w:t>
            </w:r>
          </w:p>
        </w:tc>
        <w:tc>
          <w:tcPr>
            <w:tcW w:w="624" w:type="pct"/>
            <w:hideMark/>
          </w:tcPr>
          <w:p w14:paraId="6D0B7F50" w14:textId="77777777" w:rsidR="003C19CB" w:rsidRPr="00157A40" w:rsidRDefault="003C19CB" w:rsidP="00572409">
            <w:pPr>
              <w:pStyle w:val="NoSpacing"/>
              <w:rPr>
                <w:sz w:val="24"/>
                <w:szCs w:val="24"/>
              </w:rPr>
            </w:pPr>
            <w:r w:rsidRPr="00157A40">
              <w:rPr>
                <w:sz w:val="24"/>
                <w:szCs w:val="24"/>
              </w:rPr>
              <w:t>−0.370***</w:t>
            </w:r>
          </w:p>
          <w:p w14:paraId="21136BC8" w14:textId="6D2018B2" w:rsidR="003C19CB" w:rsidRPr="00157A40" w:rsidRDefault="003C19CB" w:rsidP="00572409">
            <w:pPr>
              <w:pStyle w:val="NoSpacing"/>
              <w:rPr>
                <w:sz w:val="24"/>
                <w:szCs w:val="24"/>
              </w:rPr>
            </w:pPr>
            <w:r w:rsidRPr="00157A40">
              <w:rPr>
                <w:sz w:val="24"/>
                <w:szCs w:val="24"/>
              </w:rPr>
              <w:t>(−5.67)</w:t>
            </w:r>
          </w:p>
        </w:tc>
        <w:tc>
          <w:tcPr>
            <w:tcW w:w="749" w:type="pct"/>
            <w:hideMark/>
          </w:tcPr>
          <w:p w14:paraId="555A2456" w14:textId="77777777" w:rsidR="003C19CB" w:rsidRPr="00157A40" w:rsidRDefault="003C19CB" w:rsidP="00572409">
            <w:pPr>
              <w:pStyle w:val="NoSpacing"/>
              <w:rPr>
                <w:sz w:val="24"/>
                <w:szCs w:val="24"/>
              </w:rPr>
            </w:pPr>
            <w:r w:rsidRPr="00157A40">
              <w:rPr>
                <w:sz w:val="24"/>
                <w:szCs w:val="24"/>
              </w:rPr>
              <w:t>−0.379***</w:t>
            </w:r>
          </w:p>
          <w:p w14:paraId="011A9DA5" w14:textId="7E30EAB4" w:rsidR="003C19CB" w:rsidRPr="00157A40" w:rsidRDefault="003C19CB" w:rsidP="00572409">
            <w:pPr>
              <w:pStyle w:val="NoSpacing"/>
              <w:rPr>
                <w:sz w:val="24"/>
                <w:szCs w:val="24"/>
              </w:rPr>
            </w:pPr>
            <w:r w:rsidRPr="00157A40">
              <w:rPr>
                <w:sz w:val="24"/>
                <w:szCs w:val="24"/>
              </w:rPr>
              <w:t>(−5.78)</w:t>
            </w:r>
          </w:p>
        </w:tc>
        <w:tc>
          <w:tcPr>
            <w:tcW w:w="749" w:type="pct"/>
            <w:hideMark/>
          </w:tcPr>
          <w:p w14:paraId="3F6A4959" w14:textId="77777777" w:rsidR="003C19CB" w:rsidRPr="00157A40" w:rsidRDefault="003C19CB" w:rsidP="00572409">
            <w:pPr>
              <w:pStyle w:val="NoSpacing"/>
              <w:rPr>
                <w:sz w:val="24"/>
                <w:szCs w:val="24"/>
              </w:rPr>
            </w:pPr>
            <w:r w:rsidRPr="00157A40">
              <w:rPr>
                <w:sz w:val="24"/>
                <w:szCs w:val="24"/>
              </w:rPr>
              <w:t>−0.041***</w:t>
            </w:r>
          </w:p>
          <w:p w14:paraId="751E6914" w14:textId="6B8CBE29" w:rsidR="003C19CB" w:rsidRPr="00157A40" w:rsidRDefault="003C19CB" w:rsidP="00572409">
            <w:pPr>
              <w:pStyle w:val="NoSpacing"/>
              <w:rPr>
                <w:sz w:val="24"/>
                <w:szCs w:val="24"/>
              </w:rPr>
            </w:pPr>
            <w:r w:rsidRPr="00157A40">
              <w:rPr>
                <w:sz w:val="24"/>
                <w:szCs w:val="24"/>
              </w:rPr>
              <w:t>(−6.23)</w:t>
            </w:r>
          </w:p>
        </w:tc>
        <w:tc>
          <w:tcPr>
            <w:tcW w:w="749" w:type="pct"/>
            <w:hideMark/>
          </w:tcPr>
          <w:p w14:paraId="324D8B61" w14:textId="77777777" w:rsidR="003C19CB" w:rsidRPr="00157A40" w:rsidRDefault="003C19CB" w:rsidP="00572409">
            <w:pPr>
              <w:pStyle w:val="NoSpacing"/>
              <w:rPr>
                <w:sz w:val="24"/>
                <w:szCs w:val="24"/>
              </w:rPr>
            </w:pPr>
            <w:r w:rsidRPr="00157A40">
              <w:rPr>
                <w:sz w:val="24"/>
                <w:szCs w:val="24"/>
              </w:rPr>
              <w:t>−0.041***</w:t>
            </w:r>
          </w:p>
          <w:p w14:paraId="2AB20F91" w14:textId="63E8E692" w:rsidR="003C19CB" w:rsidRPr="00157A40" w:rsidRDefault="003C19CB" w:rsidP="00572409">
            <w:pPr>
              <w:pStyle w:val="NoSpacing"/>
              <w:rPr>
                <w:sz w:val="24"/>
                <w:szCs w:val="24"/>
              </w:rPr>
            </w:pPr>
            <w:r w:rsidRPr="00157A40">
              <w:rPr>
                <w:sz w:val="24"/>
                <w:szCs w:val="24"/>
              </w:rPr>
              <w:t>(−6.22)</w:t>
            </w:r>
          </w:p>
        </w:tc>
        <w:tc>
          <w:tcPr>
            <w:tcW w:w="719" w:type="pct"/>
            <w:hideMark/>
          </w:tcPr>
          <w:p w14:paraId="692209B4" w14:textId="77777777" w:rsidR="003C19CB" w:rsidRPr="00157A40" w:rsidRDefault="003C19CB" w:rsidP="00572409">
            <w:pPr>
              <w:pStyle w:val="NoSpacing"/>
              <w:rPr>
                <w:sz w:val="24"/>
                <w:szCs w:val="24"/>
              </w:rPr>
            </w:pPr>
            <w:r w:rsidRPr="00157A40">
              <w:rPr>
                <w:sz w:val="24"/>
                <w:szCs w:val="24"/>
              </w:rPr>
              <w:t>−0.042***</w:t>
            </w:r>
          </w:p>
          <w:p w14:paraId="0C0BF0E4" w14:textId="59DB3C7E" w:rsidR="003C19CB" w:rsidRPr="00157A40" w:rsidRDefault="003C19CB" w:rsidP="00572409">
            <w:pPr>
              <w:pStyle w:val="NoSpacing"/>
              <w:rPr>
                <w:sz w:val="24"/>
                <w:szCs w:val="24"/>
              </w:rPr>
            </w:pPr>
            <w:r w:rsidRPr="00157A40">
              <w:rPr>
                <w:sz w:val="24"/>
                <w:szCs w:val="24"/>
              </w:rPr>
              <w:t>(−6.2</w:t>
            </w:r>
            <w:r>
              <w:rPr>
                <w:sz w:val="24"/>
                <w:szCs w:val="24"/>
              </w:rPr>
              <w:t>5</w:t>
            </w:r>
            <w:r w:rsidRPr="00157A40">
              <w:rPr>
                <w:sz w:val="24"/>
                <w:szCs w:val="24"/>
              </w:rPr>
              <w:t>)</w:t>
            </w:r>
          </w:p>
        </w:tc>
      </w:tr>
      <w:tr w:rsidR="003C19CB" w:rsidRPr="00157A40" w14:paraId="6F357A6F" w14:textId="77777777" w:rsidTr="004C3A54">
        <w:trPr>
          <w:trHeight w:val="596"/>
        </w:trPr>
        <w:tc>
          <w:tcPr>
            <w:tcW w:w="786" w:type="pct"/>
            <w:hideMark/>
          </w:tcPr>
          <w:p w14:paraId="14E7EF08" w14:textId="77777777" w:rsidR="003C19CB" w:rsidRPr="00162019" w:rsidRDefault="003C19CB" w:rsidP="00572409">
            <w:pPr>
              <w:pStyle w:val="NoSpacing"/>
              <w:rPr>
                <w:i/>
                <w:iCs/>
                <w:sz w:val="24"/>
                <w:szCs w:val="24"/>
              </w:rPr>
            </w:pPr>
            <w:r w:rsidRPr="00162019">
              <w:rPr>
                <w:i/>
                <w:iCs/>
                <w:sz w:val="24"/>
                <w:szCs w:val="24"/>
              </w:rPr>
              <w:t>FREQ</w:t>
            </w:r>
          </w:p>
        </w:tc>
        <w:tc>
          <w:tcPr>
            <w:tcW w:w="624" w:type="pct"/>
            <w:hideMark/>
          </w:tcPr>
          <w:p w14:paraId="5407E323" w14:textId="77777777" w:rsidR="003C19CB" w:rsidRPr="00157A40" w:rsidRDefault="003C19CB" w:rsidP="00572409">
            <w:pPr>
              <w:pStyle w:val="NoSpacing"/>
              <w:rPr>
                <w:sz w:val="24"/>
                <w:szCs w:val="24"/>
              </w:rPr>
            </w:pPr>
            <w:r w:rsidRPr="00157A40">
              <w:rPr>
                <w:sz w:val="24"/>
                <w:szCs w:val="24"/>
              </w:rPr>
              <w:t>−0.011</w:t>
            </w:r>
          </w:p>
          <w:p w14:paraId="20C9C7C5" w14:textId="4DA1A429" w:rsidR="003C19CB" w:rsidRPr="00157A40" w:rsidRDefault="003C19CB" w:rsidP="00572409">
            <w:pPr>
              <w:pStyle w:val="NoSpacing"/>
              <w:rPr>
                <w:sz w:val="24"/>
                <w:szCs w:val="24"/>
              </w:rPr>
            </w:pPr>
            <w:r w:rsidRPr="00157A40">
              <w:rPr>
                <w:sz w:val="24"/>
                <w:szCs w:val="24"/>
              </w:rPr>
              <w:t>(−0.75)</w:t>
            </w:r>
          </w:p>
        </w:tc>
        <w:tc>
          <w:tcPr>
            <w:tcW w:w="624" w:type="pct"/>
            <w:hideMark/>
          </w:tcPr>
          <w:p w14:paraId="6524DDE8" w14:textId="77777777" w:rsidR="003C19CB" w:rsidRPr="00157A40" w:rsidRDefault="003C19CB" w:rsidP="00572409">
            <w:pPr>
              <w:pStyle w:val="NoSpacing"/>
              <w:rPr>
                <w:sz w:val="24"/>
                <w:szCs w:val="24"/>
              </w:rPr>
            </w:pPr>
            <w:r w:rsidRPr="00157A40">
              <w:rPr>
                <w:sz w:val="24"/>
                <w:szCs w:val="24"/>
              </w:rPr>
              <w:t>−0.010</w:t>
            </w:r>
          </w:p>
          <w:p w14:paraId="78019D71" w14:textId="5261E984" w:rsidR="003C19CB" w:rsidRPr="00157A40" w:rsidRDefault="003C19CB" w:rsidP="00572409">
            <w:pPr>
              <w:pStyle w:val="NoSpacing"/>
              <w:rPr>
                <w:sz w:val="24"/>
                <w:szCs w:val="24"/>
              </w:rPr>
            </w:pPr>
            <w:r w:rsidRPr="00157A40">
              <w:rPr>
                <w:sz w:val="24"/>
                <w:szCs w:val="24"/>
              </w:rPr>
              <w:t>(−0.70)</w:t>
            </w:r>
          </w:p>
        </w:tc>
        <w:tc>
          <w:tcPr>
            <w:tcW w:w="749" w:type="pct"/>
            <w:hideMark/>
          </w:tcPr>
          <w:p w14:paraId="06702211" w14:textId="77777777" w:rsidR="003C19CB" w:rsidRPr="00157A40" w:rsidRDefault="003C19CB" w:rsidP="00572409">
            <w:pPr>
              <w:pStyle w:val="NoSpacing"/>
              <w:rPr>
                <w:sz w:val="24"/>
                <w:szCs w:val="24"/>
              </w:rPr>
            </w:pPr>
            <w:r w:rsidRPr="00157A40">
              <w:rPr>
                <w:sz w:val="24"/>
                <w:szCs w:val="24"/>
              </w:rPr>
              <w:t>−0.010</w:t>
            </w:r>
          </w:p>
          <w:p w14:paraId="7101DFD3" w14:textId="16D78B91" w:rsidR="003C19CB" w:rsidRPr="00157A40" w:rsidRDefault="003C19CB" w:rsidP="00572409">
            <w:pPr>
              <w:pStyle w:val="NoSpacing"/>
              <w:rPr>
                <w:sz w:val="24"/>
                <w:szCs w:val="24"/>
              </w:rPr>
            </w:pPr>
            <w:r w:rsidRPr="00157A40">
              <w:rPr>
                <w:sz w:val="24"/>
                <w:szCs w:val="24"/>
              </w:rPr>
              <w:t>(−0.71)</w:t>
            </w:r>
          </w:p>
        </w:tc>
        <w:tc>
          <w:tcPr>
            <w:tcW w:w="749" w:type="pct"/>
            <w:hideMark/>
          </w:tcPr>
          <w:p w14:paraId="5C8A97C7" w14:textId="77777777" w:rsidR="003C19CB" w:rsidRPr="00157A40" w:rsidRDefault="003C19CB" w:rsidP="00572409">
            <w:pPr>
              <w:pStyle w:val="NoSpacing"/>
              <w:rPr>
                <w:sz w:val="24"/>
                <w:szCs w:val="24"/>
              </w:rPr>
            </w:pPr>
            <w:r w:rsidRPr="00157A40">
              <w:rPr>
                <w:sz w:val="24"/>
                <w:szCs w:val="24"/>
              </w:rPr>
              <w:t>−0.001**</w:t>
            </w:r>
          </w:p>
          <w:p w14:paraId="6FF49185" w14:textId="4BED86FB" w:rsidR="003C19CB" w:rsidRPr="00157A40" w:rsidRDefault="003C19CB" w:rsidP="00572409">
            <w:pPr>
              <w:pStyle w:val="NoSpacing"/>
              <w:rPr>
                <w:sz w:val="24"/>
                <w:szCs w:val="24"/>
              </w:rPr>
            </w:pPr>
            <w:r w:rsidRPr="00157A40">
              <w:rPr>
                <w:sz w:val="24"/>
                <w:szCs w:val="24"/>
              </w:rPr>
              <w:t>(−2.23)</w:t>
            </w:r>
          </w:p>
        </w:tc>
        <w:tc>
          <w:tcPr>
            <w:tcW w:w="749" w:type="pct"/>
            <w:hideMark/>
          </w:tcPr>
          <w:p w14:paraId="3E8D9868" w14:textId="77777777" w:rsidR="003C19CB" w:rsidRPr="00157A40" w:rsidRDefault="003C19CB" w:rsidP="00572409">
            <w:pPr>
              <w:pStyle w:val="NoSpacing"/>
              <w:rPr>
                <w:sz w:val="24"/>
                <w:szCs w:val="24"/>
              </w:rPr>
            </w:pPr>
            <w:r w:rsidRPr="00157A40">
              <w:rPr>
                <w:sz w:val="24"/>
                <w:szCs w:val="24"/>
              </w:rPr>
              <w:t>−0.001**</w:t>
            </w:r>
          </w:p>
          <w:p w14:paraId="147F7C80" w14:textId="591CA153" w:rsidR="003C19CB" w:rsidRPr="00157A40" w:rsidRDefault="003C19CB" w:rsidP="00572409">
            <w:pPr>
              <w:pStyle w:val="NoSpacing"/>
              <w:rPr>
                <w:sz w:val="24"/>
                <w:szCs w:val="24"/>
              </w:rPr>
            </w:pPr>
            <w:r w:rsidRPr="00157A40">
              <w:rPr>
                <w:sz w:val="24"/>
                <w:szCs w:val="24"/>
              </w:rPr>
              <w:t>(−2.29)</w:t>
            </w:r>
          </w:p>
        </w:tc>
        <w:tc>
          <w:tcPr>
            <w:tcW w:w="719" w:type="pct"/>
            <w:hideMark/>
          </w:tcPr>
          <w:p w14:paraId="37CE5382" w14:textId="77777777" w:rsidR="003C19CB" w:rsidRPr="00157A40" w:rsidRDefault="003C19CB" w:rsidP="00572409">
            <w:pPr>
              <w:pStyle w:val="NoSpacing"/>
              <w:rPr>
                <w:sz w:val="24"/>
                <w:szCs w:val="24"/>
              </w:rPr>
            </w:pPr>
            <w:r w:rsidRPr="00157A40">
              <w:rPr>
                <w:sz w:val="24"/>
                <w:szCs w:val="24"/>
              </w:rPr>
              <w:t>−0.001**</w:t>
            </w:r>
          </w:p>
          <w:p w14:paraId="79D8049A" w14:textId="01666405" w:rsidR="003C19CB" w:rsidRPr="00157A40" w:rsidRDefault="003C19CB" w:rsidP="00572409">
            <w:pPr>
              <w:pStyle w:val="NoSpacing"/>
              <w:rPr>
                <w:sz w:val="24"/>
                <w:szCs w:val="24"/>
              </w:rPr>
            </w:pPr>
            <w:r w:rsidRPr="00157A40">
              <w:rPr>
                <w:sz w:val="24"/>
                <w:szCs w:val="24"/>
              </w:rPr>
              <w:t>(−2.31)</w:t>
            </w:r>
          </w:p>
        </w:tc>
      </w:tr>
      <w:tr w:rsidR="00572409" w:rsidRPr="00157A40" w14:paraId="395B03DA" w14:textId="77777777" w:rsidTr="003C19CB">
        <w:tc>
          <w:tcPr>
            <w:tcW w:w="786" w:type="pct"/>
            <w:hideMark/>
          </w:tcPr>
          <w:p w14:paraId="64F3C857" w14:textId="77777777" w:rsidR="00572409" w:rsidRPr="00157A40" w:rsidRDefault="00572409" w:rsidP="00572409">
            <w:pPr>
              <w:pStyle w:val="NoSpacing"/>
              <w:rPr>
                <w:sz w:val="24"/>
                <w:szCs w:val="24"/>
              </w:rPr>
            </w:pPr>
            <w:r w:rsidRPr="00157A40">
              <w:rPr>
                <w:sz w:val="24"/>
                <w:szCs w:val="24"/>
              </w:rPr>
              <w:t>Year FE</w:t>
            </w:r>
          </w:p>
        </w:tc>
        <w:tc>
          <w:tcPr>
            <w:tcW w:w="624" w:type="pct"/>
            <w:hideMark/>
          </w:tcPr>
          <w:p w14:paraId="7759A943" w14:textId="77777777" w:rsidR="00572409" w:rsidRPr="00157A40" w:rsidRDefault="00572409" w:rsidP="00572409">
            <w:pPr>
              <w:pStyle w:val="NoSpacing"/>
              <w:rPr>
                <w:sz w:val="24"/>
                <w:szCs w:val="24"/>
              </w:rPr>
            </w:pPr>
            <w:r w:rsidRPr="00157A40">
              <w:rPr>
                <w:sz w:val="24"/>
                <w:szCs w:val="24"/>
              </w:rPr>
              <w:t>Yes</w:t>
            </w:r>
          </w:p>
        </w:tc>
        <w:tc>
          <w:tcPr>
            <w:tcW w:w="624" w:type="pct"/>
            <w:hideMark/>
          </w:tcPr>
          <w:p w14:paraId="45BF729D" w14:textId="77777777" w:rsidR="00572409" w:rsidRPr="00157A40" w:rsidRDefault="00572409" w:rsidP="00572409">
            <w:pPr>
              <w:pStyle w:val="NoSpacing"/>
              <w:rPr>
                <w:sz w:val="24"/>
                <w:szCs w:val="24"/>
              </w:rPr>
            </w:pPr>
            <w:r w:rsidRPr="00157A40">
              <w:rPr>
                <w:sz w:val="24"/>
                <w:szCs w:val="24"/>
              </w:rPr>
              <w:t>Yes</w:t>
            </w:r>
          </w:p>
        </w:tc>
        <w:tc>
          <w:tcPr>
            <w:tcW w:w="749" w:type="pct"/>
            <w:hideMark/>
          </w:tcPr>
          <w:p w14:paraId="5C9CD3DD" w14:textId="77777777" w:rsidR="00572409" w:rsidRPr="00157A40" w:rsidRDefault="00572409" w:rsidP="00572409">
            <w:pPr>
              <w:pStyle w:val="NoSpacing"/>
              <w:rPr>
                <w:sz w:val="24"/>
                <w:szCs w:val="24"/>
              </w:rPr>
            </w:pPr>
            <w:r w:rsidRPr="00157A40">
              <w:rPr>
                <w:sz w:val="24"/>
                <w:szCs w:val="24"/>
              </w:rPr>
              <w:t>Yes</w:t>
            </w:r>
          </w:p>
        </w:tc>
        <w:tc>
          <w:tcPr>
            <w:tcW w:w="749" w:type="pct"/>
            <w:hideMark/>
          </w:tcPr>
          <w:p w14:paraId="0778B588" w14:textId="77777777" w:rsidR="00572409" w:rsidRPr="00157A40" w:rsidRDefault="00572409" w:rsidP="00572409">
            <w:pPr>
              <w:pStyle w:val="NoSpacing"/>
              <w:rPr>
                <w:sz w:val="24"/>
                <w:szCs w:val="24"/>
              </w:rPr>
            </w:pPr>
            <w:r w:rsidRPr="00157A40">
              <w:rPr>
                <w:sz w:val="24"/>
                <w:szCs w:val="24"/>
              </w:rPr>
              <w:t>Yes</w:t>
            </w:r>
          </w:p>
        </w:tc>
        <w:tc>
          <w:tcPr>
            <w:tcW w:w="749" w:type="pct"/>
            <w:hideMark/>
          </w:tcPr>
          <w:p w14:paraId="3CD8D9A1" w14:textId="77777777" w:rsidR="00572409" w:rsidRPr="00157A40" w:rsidRDefault="00572409" w:rsidP="00572409">
            <w:pPr>
              <w:pStyle w:val="NoSpacing"/>
              <w:rPr>
                <w:sz w:val="24"/>
                <w:szCs w:val="24"/>
              </w:rPr>
            </w:pPr>
            <w:r w:rsidRPr="00157A40">
              <w:rPr>
                <w:sz w:val="24"/>
                <w:szCs w:val="24"/>
              </w:rPr>
              <w:t>Yes</w:t>
            </w:r>
          </w:p>
        </w:tc>
        <w:tc>
          <w:tcPr>
            <w:tcW w:w="719" w:type="pct"/>
            <w:hideMark/>
          </w:tcPr>
          <w:p w14:paraId="6621CA4E" w14:textId="77777777" w:rsidR="00572409" w:rsidRPr="00157A40" w:rsidRDefault="00572409" w:rsidP="00572409">
            <w:pPr>
              <w:pStyle w:val="NoSpacing"/>
              <w:rPr>
                <w:sz w:val="24"/>
                <w:szCs w:val="24"/>
              </w:rPr>
            </w:pPr>
            <w:r w:rsidRPr="00157A40">
              <w:rPr>
                <w:sz w:val="24"/>
                <w:szCs w:val="24"/>
              </w:rPr>
              <w:t>Yes</w:t>
            </w:r>
          </w:p>
        </w:tc>
      </w:tr>
      <w:tr w:rsidR="00572409" w:rsidRPr="00157A40" w14:paraId="213BEF7D" w14:textId="77777777" w:rsidTr="003C19CB">
        <w:tc>
          <w:tcPr>
            <w:tcW w:w="786" w:type="pct"/>
            <w:hideMark/>
          </w:tcPr>
          <w:p w14:paraId="73AFA326" w14:textId="77777777" w:rsidR="00572409" w:rsidRPr="00157A40" w:rsidRDefault="00572409" w:rsidP="00572409">
            <w:pPr>
              <w:pStyle w:val="NoSpacing"/>
              <w:rPr>
                <w:sz w:val="24"/>
                <w:szCs w:val="24"/>
              </w:rPr>
            </w:pPr>
            <w:r w:rsidRPr="00157A40">
              <w:rPr>
                <w:sz w:val="24"/>
                <w:szCs w:val="24"/>
              </w:rPr>
              <w:t>Firm FE</w:t>
            </w:r>
          </w:p>
        </w:tc>
        <w:tc>
          <w:tcPr>
            <w:tcW w:w="624" w:type="pct"/>
            <w:hideMark/>
          </w:tcPr>
          <w:p w14:paraId="3412EAA8" w14:textId="77777777" w:rsidR="00572409" w:rsidRPr="00157A40" w:rsidRDefault="00572409" w:rsidP="00572409">
            <w:pPr>
              <w:pStyle w:val="NoSpacing"/>
              <w:rPr>
                <w:sz w:val="24"/>
                <w:szCs w:val="24"/>
              </w:rPr>
            </w:pPr>
            <w:r w:rsidRPr="00157A40">
              <w:rPr>
                <w:sz w:val="24"/>
                <w:szCs w:val="24"/>
              </w:rPr>
              <w:t>Yes</w:t>
            </w:r>
          </w:p>
        </w:tc>
        <w:tc>
          <w:tcPr>
            <w:tcW w:w="624" w:type="pct"/>
            <w:hideMark/>
          </w:tcPr>
          <w:p w14:paraId="54C100A1" w14:textId="77777777" w:rsidR="00572409" w:rsidRPr="00157A40" w:rsidRDefault="00572409" w:rsidP="00572409">
            <w:pPr>
              <w:pStyle w:val="NoSpacing"/>
              <w:rPr>
                <w:sz w:val="24"/>
                <w:szCs w:val="24"/>
              </w:rPr>
            </w:pPr>
            <w:r w:rsidRPr="00157A40">
              <w:rPr>
                <w:sz w:val="24"/>
                <w:szCs w:val="24"/>
              </w:rPr>
              <w:t>Yes</w:t>
            </w:r>
          </w:p>
        </w:tc>
        <w:tc>
          <w:tcPr>
            <w:tcW w:w="749" w:type="pct"/>
            <w:hideMark/>
          </w:tcPr>
          <w:p w14:paraId="0B41F2EA" w14:textId="77777777" w:rsidR="00572409" w:rsidRPr="00157A40" w:rsidRDefault="00572409" w:rsidP="00572409">
            <w:pPr>
              <w:pStyle w:val="NoSpacing"/>
              <w:rPr>
                <w:sz w:val="24"/>
                <w:szCs w:val="24"/>
              </w:rPr>
            </w:pPr>
            <w:r w:rsidRPr="00157A40">
              <w:rPr>
                <w:sz w:val="24"/>
                <w:szCs w:val="24"/>
              </w:rPr>
              <w:t>Yes</w:t>
            </w:r>
          </w:p>
        </w:tc>
        <w:tc>
          <w:tcPr>
            <w:tcW w:w="749" w:type="pct"/>
            <w:hideMark/>
          </w:tcPr>
          <w:p w14:paraId="7C10A6FD" w14:textId="77777777" w:rsidR="00572409" w:rsidRPr="00157A40" w:rsidRDefault="00572409" w:rsidP="00572409">
            <w:pPr>
              <w:pStyle w:val="NoSpacing"/>
              <w:rPr>
                <w:sz w:val="24"/>
                <w:szCs w:val="24"/>
              </w:rPr>
            </w:pPr>
            <w:r w:rsidRPr="00157A40">
              <w:rPr>
                <w:sz w:val="24"/>
                <w:szCs w:val="24"/>
              </w:rPr>
              <w:t>Yes</w:t>
            </w:r>
          </w:p>
        </w:tc>
        <w:tc>
          <w:tcPr>
            <w:tcW w:w="749" w:type="pct"/>
            <w:hideMark/>
          </w:tcPr>
          <w:p w14:paraId="25E329A7" w14:textId="77777777" w:rsidR="00572409" w:rsidRPr="00157A40" w:rsidRDefault="00572409" w:rsidP="00572409">
            <w:pPr>
              <w:pStyle w:val="NoSpacing"/>
              <w:rPr>
                <w:sz w:val="24"/>
                <w:szCs w:val="24"/>
              </w:rPr>
            </w:pPr>
            <w:r w:rsidRPr="00157A40">
              <w:rPr>
                <w:sz w:val="24"/>
                <w:szCs w:val="24"/>
              </w:rPr>
              <w:t>Yes</w:t>
            </w:r>
          </w:p>
        </w:tc>
        <w:tc>
          <w:tcPr>
            <w:tcW w:w="719" w:type="pct"/>
            <w:hideMark/>
          </w:tcPr>
          <w:p w14:paraId="16C1BB52" w14:textId="77777777" w:rsidR="00572409" w:rsidRPr="00157A40" w:rsidRDefault="00572409" w:rsidP="00572409">
            <w:pPr>
              <w:pStyle w:val="NoSpacing"/>
              <w:rPr>
                <w:sz w:val="24"/>
                <w:szCs w:val="24"/>
              </w:rPr>
            </w:pPr>
            <w:r w:rsidRPr="00157A40">
              <w:rPr>
                <w:sz w:val="24"/>
                <w:szCs w:val="24"/>
              </w:rPr>
              <w:t>Yes</w:t>
            </w:r>
          </w:p>
        </w:tc>
      </w:tr>
      <w:tr w:rsidR="00572409" w:rsidRPr="00157A40" w14:paraId="5B52547F" w14:textId="77777777" w:rsidTr="003C19CB">
        <w:tc>
          <w:tcPr>
            <w:tcW w:w="786" w:type="pct"/>
            <w:hideMark/>
          </w:tcPr>
          <w:p w14:paraId="135F58D1" w14:textId="77777777" w:rsidR="00572409" w:rsidRPr="00157A40" w:rsidRDefault="00572409" w:rsidP="00572409">
            <w:pPr>
              <w:pStyle w:val="NoSpacing"/>
              <w:rPr>
                <w:sz w:val="24"/>
                <w:szCs w:val="24"/>
              </w:rPr>
            </w:pPr>
            <w:r w:rsidRPr="00157A40">
              <w:rPr>
                <w:sz w:val="24"/>
                <w:szCs w:val="24"/>
              </w:rPr>
              <w:t>Observations</w:t>
            </w:r>
          </w:p>
        </w:tc>
        <w:tc>
          <w:tcPr>
            <w:tcW w:w="624" w:type="pct"/>
            <w:hideMark/>
          </w:tcPr>
          <w:p w14:paraId="4BDF0B90" w14:textId="77777777" w:rsidR="00572409" w:rsidRPr="00157A40" w:rsidRDefault="00572409" w:rsidP="00572409">
            <w:pPr>
              <w:pStyle w:val="NoSpacing"/>
              <w:rPr>
                <w:sz w:val="24"/>
                <w:szCs w:val="24"/>
              </w:rPr>
            </w:pPr>
            <w:r w:rsidRPr="00157A40">
              <w:rPr>
                <w:sz w:val="24"/>
                <w:szCs w:val="24"/>
              </w:rPr>
              <w:t>11,312</w:t>
            </w:r>
          </w:p>
        </w:tc>
        <w:tc>
          <w:tcPr>
            <w:tcW w:w="624" w:type="pct"/>
            <w:hideMark/>
          </w:tcPr>
          <w:p w14:paraId="46CB71A6" w14:textId="77777777" w:rsidR="00572409" w:rsidRPr="00157A40" w:rsidRDefault="00572409" w:rsidP="00572409">
            <w:pPr>
              <w:pStyle w:val="NoSpacing"/>
              <w:rPr>
                <w:sz w:val="24"/>
                <w:szCs w:val="24"/>
              </w:rPr>
            </w:pPr>
            <w:r w:rsidRPr="00157A40">
              <w:rPr>
                <w:sz w:val="24"/>
                <w:szCs w:val="24"/>
              </w:rPr>
              <w:t>11,312</w:t>
            </w:r>
          </w:p>
        </w:tc>
        <w:tc>
          <w:tcPr>
            <w:tcW w:w="749" w:type="pct"/>
            <w:hideMark/>
          </w:tcPr>
          <w:p w14:paraId="05D3BB16" w14:textId="77777777" w:rsidR="00572409" w:rsidRPr="00157A40" w:rsidRDefault="00572409" w:rsidP="00572409">
            <w:pPr>
              <w:pStyle w:val="NoSpacing"/>
              <w:rPr>
                <w:sz w:val="24"/>
                <w:szCs w:val="24"/>
              </w:rPr>
            </w:pPr>
            <w:r w:rsidRPr="00157A40">
              <w:rPr>
                <w:sz w:val="24"/>
                <w:szCs w:val="24"/>
              </w:rPr>
              <w:t>11,312</w:t>
            </w:r>
          </w:p>
        </w:tc>
        <w:tc>
          <w:tcPr>
            <w:tcW w:w="749" w:type="pct"/>
            <w:hideMark/>
          </w:tcPr>
          <w:p w14:paraId="26BCDCF0" w14:textId="77777777" w:rsidR="00572409" w:rsidRPr="00157A40" w:rsidRDefault="00572409" w:rsidP="00572409">
            <w:pPr>
              <w:pStyle w:val="NoSpacing"/>
              <w:rPr>
                <w:sz w:val="24"/>
                <w:szCs w:val="24"/>
              </w:rPr>
            </w:pPr>
            <w:r w:rsidRPr="00157A40">
              <w:rPr>
                <w:sz w:val="24"/>
                <w:szCs w:val="24"/>
              </w:rPr>
              <w:t>11,312</w:t>
            </w:r>
          </w:p>
        </w:tc>
        <w:tc>
          <w:tcPr>
            <w:tcW w:w="749" w:type="pct"/>
            <w:hideMark/>
          </w:tcPr>
          <w:p w14:paraId="3674A187" w14:textId="77777777" w:rsidR="00572409" w:rsidRPr="00157A40" w:rsidRDefault="00572409" w:rsidP="00572409">
            <w:pPr>
              <w:pStyle w:val="NoSpacing"/>
              <w:rPr>
                <w:sz w:val="24"/>
                <w:szCs w:val="24"/>
              </w:rPr>
            </w:pPr>
            <w:r w:rsidRPr="00157A40">
              <w:rPr>
                <w:sz w:val="24"/>
                <w:szCs w:val="24"/>
              </w:rPr>
              <w:t>11,312</w:t>
            </w:r>
          </w:p>
        </w:tc>
        <w:tc>
          <w:tcPr>
            <w:tcW w:w="719" w:type="pct"/>
            <w:hideMark/>
          </w:tcPr>
          <w:p w14:paraId="336596AE" w14:textId="77777777" w:rsidR="00572409" w:rsidRPr="00157A40" w:rsidRDefault="00572409" w:rsidP="00572409">
            <w:pPr>
              <w:pStyle w:val="NoSpacing"/>
              <w:rPr>
                <w:sz w:val="24"/>
                <w:szCs w:val="24"/>
              </w:rPr>
            </w:pPr>
            <w:r w:rsidRPr="00157A40">
              <w:rPr>
                <w:sz w:val="24"/>
                <w:szCs w:val="24"/>
              </w:rPr>
              <w:t>11,312</w:t>
            </w:r>
          </w:p>
        </w:tc>
      </w:tr>
      <w:tr w:rsidR="00572409" w:rsidRPr="00157A40" w14:paraId="05EAE61E" w14:textId="77777777" w:rsidTr="003C19CB">
        <w:tc>
          <w:tcPr>
            <w:tcW w:w="786" w:type="pct"/>
            <w:hideMark/>
          </w:tcPr>
          <w:p w14:paraId="00806A53" w14:textId="77777777" w:rsidR="00572409" w:rsidRPr="00157A40" w:rsidRDefault="00572409" w:rsidP="00572409">
            <w:pPr>
              <w:pStyle w:val="NoSpacing"/>
              <w:rPr>
                <w:sz w:val="24"/>
                <w:szCs w:val="24"/>
              </w:rPr>
            </w:pPr>
            <w:r w:rsidRPr="00157A40">
              <w:rPr>
                <w:sz w:val="24"/>
                <w:szCs w:val="24"/>
              </w:rPr>
              <w:t>Adj.R</w:t>
            </w:r>
            <w:r w:rsidRPr="00157A40">
              <w:rPr>
                <w:sz w:val="24"/>
                <w:szCs w:val="24"/>
                <w:vertAlign w:val="superscript"/>
              </w:rPr>
              <w:t>2</w:t>
            </w:r>
          </w:p>
        </w:tc>
        <w:tc>
          <w:tcPr>
            <w:tcW w:w="624" w:type="pct"/>
            <w:hideMark/>
          </w:tcPr>
          <w:p w14:paraId="597BB1FD" w14:textId="77777777" w:rsidR="00572409" w:rsidRPr="00157A40" w:rsidRDefault="00572409" w:rsidP="00572409">
            <w:pPr>
              <w:pStyle w:val="NoSpacing"/>
              <w:rPr>
                <w:sz w:val="24"/>
                <w:szCs w:val="24"/>
              </w:rPr>
            </w:pPr>
            <w:r w:rsidRPr="00157A40">
              <w:rPr>
                <w:sz w:val="24"/>
                <w:szCs w:val="24"/>
              </w:rPr>
              <w:t>0.714</w:t>
            </w:r>
          </w:p>
        </w:tc>
        <w:tc>
          <w:tcPr>
            <w:tcW w:w="624" w:type="pct"/>
            <w:hideMark/>
          </w:tcPr>
          <w:p w14:paraId="79682DD2" w14:textId="77777777" w:rsidR="00572409" w:rsidRPr="00157A40" w:rsidRDefault="00572409" w:rsidP="00572409">
            <w:pPr>
              <w:pStyle w:val="NoSpacing"/>
              <w:rPr>
                <w:sz w:val="24"/>
                <w:szCs w:val="24"/>
              </w:rPr>
            </w:pPr>
            <w:r w:rsidRPr="00157A40">
              <w:rPr>
                <w:sz w:val="24"/>
                <w:szCs w:val="24"/>
              </w:rPr>
              <w:t>0.714</w:t>
            </w:r>
          </w:p>
        </w:tc>
        <w:tc>
          <w:tcPr>
            <w:tcW w:w="749" w:type="pct"/>
            <w:hideMark/>
          </w:tcPr>
          <w:p w14:paraId="2CB2C0B5" w14:textId="77777777" w:rsidR="00572409" w:rsidRPr="00157A40" w:rsidRDefault="00572409" w:rsidP="00572409">
            <w:pPr>
              <w:pStyle w:val="NoSpacing"/>
              <w:rPr>
                <w:sz w:val="24"/>
                <w:szCs w:val="24"/>
              </w:rPr>
            </w:pPr>
            <w:r w:rsidRPr="00157A40">
              <w:rPr>
                <w:sz w:val="24"/>
                <w:szCs w:val="24"/>
              </w:rPr>
              <w:t>0.714</w:t>
            </w:r>
          </w:p>
        </w:tc>
        <w:tc>
          <w:tcPr>
            <w:tcW w:w="749" w:type="pct"/>
            <w:hideMark/>
          </w:tcPr>
          <w:p w14:paraId="6097BD7D" w14:textId="77777777" w:rsidR="00572409" w:rsidRPr="00157A40" w:rsidRDefault="00572409" w:rsidP="00572409">
            <w:pPr>
              <w:pStyle w:val="NoSpacing"/>
              <w:rPr>
                <w:sz w:val="24"/>
                <w:szCs w:val="24"/>
              </w:rPr>
            </w:pPr>
            <w:r w:rsidRPr="00157A40">
              <w:rPr>
                <w:sz w:val="24"/>
                <w:szCs w:val="24"/>
              </w:rPr>
              <w:t>0.744</w:t>
            </w:r>
          </w:p>
        </w:tc>
        <w:tc>
          <w:tcPr>
            <w:tcW w:w="749" w:type="pct"/>
            <w:hideMark/>
          </w:tcPr>
          <w:p w14:paraId="384D472B" w14:textId="77777777" w:rsidR="00572409" w:rsidRPr="00157A40" w:rsidRDefault="00572409" w:rsidP="00572409">
            <w:pPr>
              <w:pStyle w:val="NoSpacing"/>
              <w:rPr>
                <w:sz w:val="24"/>
                <w:szCs w:val="24"/>
              </w:rPr>
            </w:pPr>
            <w:r w:rsidRPr="00157A40">
              <w:rPr>
                <w:sz w:val="24"/>
                <w:szCs w:val="24"/>
              </w:rPr>
              <w:t>0.743</w:t>
            </w:r>
          </w:p>
        </w:tc>
        <w:tc>
          <w:tcPr>
            <w:tcW w:w="719" w:type="pct"/>
            <w:hideMark/>
          </w:tcPr>
          <w:p w14:paraId="07AFFF89" w14:textId="77777777" w:rsidR="00572409" w:rsidRPr="00157A40" w:rsidRDefault="00572409" w:rsidP="00572409">
            <w:pPr>
              <w:pStyle w:val="NoSpacing"/>
              <w:rPr>
                <w:sz w:val="24"/>
                <w:szCs w:val="24"/>
              </w:rPr>
            </w:pPr>
            <w:r w:rsidRPr="00157A40">
              <w:rPr>
                <w:sz w:val="24"/>
                <w:szCs w:val="24"/>
              </w:rPr>
              <w:t>0.744</w:t>
            </w:r>
          </w:p>
        </w:tc>
      </w:tr>
    </w:tbl>
    <w:p w14:paraId="1F8ABAFB" w14:textId="273AB2A7" w:rsidR="00673F93" w:rsidRDefault="00673F93" w:rsidP="005805B4">
      <w:pPr>
        <w:pStyle w:val="NoSpacing"/>
      </w:pPr>
      <w:r w:rsidRPr="00673F93">
        <w:t>This table reports the regression results of CSR strengths (</w:t>
      </w:r>
      <w:r w:rsidRPr="00673F93">
        <w:rPr>
          <w:i/>
          <w:iCs/>
        </w:rPr>
        <w:t>CSR_STR</w:t>
      </w:r>
      <w:r w:rsidRPr="00673F93">
        <w:t>) and concerns (</w:t>
      </w:r>
      <w:r w:rsidRPr="00673F93">
        <w:rPr>
          <w:i/>
          <w:iCs/>
        </w:rPr>
        <w:t>CSR_CON</w:t>
      </w:r>
      <w:r w:rsidRPr="00673F93">
        <w:t xml:space="preserve">) and price informativeness. The sample period is from 1995 to 2010. The dependent variables are idiosyncratic volatility </w:t>
      </w:r>
      <m:oMath>
        <m:r>
          <m:rPr>
            <m:sty m:val="p"/>
          </m:rPr>
          <w:rPr>
            <w:rFonts w:ascii="Cambria Math" w:hAnsi="Cambria Math"/>
          </w:rPr>
          <m:t>(Ψ)</m:t>
        </m:r>
      </m:oMath>
      <w:r w:rsidRPr="00673F93">
        <w:t xml:space="preserve"> in columns (</w:t>
      </w:r>
      <w:hyperlink r:id="rId82" w:anchor="bib1" w:tooltip="1" w:history="1">
        <w:r w:rsidRPr="00673F93">
          <w:rPr>
            <w:rStyle w:val="Hyperlink"/>
            <w:rFonts w:cstheme="minorHAnsi"/>
            <w:sz w:val="24"/>
            <w:szCs w:val="24"/>
          </w:rPr>
          <w:t>1</w:t>
        </w:r>
      </w:hyperlink>
      <w:r w:rsidRPr="00673F93">
        <w:t>)–(</w:t>
      </w:r>
      <w:hyperlink r:id="rId83" w:anchor="bib3" w:tooltip="3" w:history="1">
        <w:r w:rsidRPr="00673F93">
          <w:rPr>
            <w:rStyle w:val="Hyperlink"/>
            <w:rFonts w:cstheme="minorHAnsi"/>
            <w:sz w:val="24"/>
            <w:szCs w:val="24"/>
          </w:rPr>
          <w:t>3</w:t>
        </w:r>
      </w:hyperlink>
      <w:r w:rsidRPr="00673F93">
        <w:t>) and the probability of informed trading (</w:t>
      </w:r>
      <w:r w:rsidRPr="00673F93">
        <w:rPr>
          <w:i/>
          <w:iCs/>
        </w:rPr>
        <w:t>PIN</w:t>
      </w:r>
      <w:r w:rsidRPr="00673F93">
        <w:t>) in columns (</w:t>
      </w:r>
      <w:hyperlink r:id="rId84" w:anchor="bib4" w:tooltip="4" w:history="1">
        <w:r w:rsidRPr="00673F93">
          <w:rPr>
            <w:rStyle w:val="Hyperlink"/>
            <w:rFonts w:cstheme="minorHAnsi"/>
            <w:sz w:val="24"/>
            <w:szCs w:val="24"/>
          </w:rPr>
          <w:t>4</w:t>
        </w:r>
      </w:hyperlink>
      <w:r w:rsidRPr="00673F93">
        <w:t>)–(</w:t>
      </w:r>
      <w:hyperlink r:id="rId85" w:anchor="bib6" w:tooltip="6" w:history="1">
        <w:r w:rsidRPr="00673F93">
          <w:rPr>
            <w:rStyle w:val="Hyperlink"/>
            <w:rFonts w:cstheme="minorHAnsi"/>
            <w:sz w:val="24"/>
            <w:szCs w:val="24"/>
          </w:rPr>
          <w:t>6</w:t>
        </w:r>
      </w:hyperlink>
      <w:r w:rsidRPr="00673F93">
        <w:t>). The main variables of interest are CSR strengths (</w:t>
      </w:r>
      <w:r w:rsidRPr="00673F93">
        <w:rPr>
          <w:i/>
          <w:iCs/>
        </w:rPr>
        <w:t>CSR_STR</w:t>
      </w:r>
      <w:r w:rsidRPr="00673F93">
        <w:t>) and concerns (</w:t>
      </w:r>
      <w:r w:rsidRPr="00673F93">
        <w:rPr>
          <w:i/>
          <w:iCs/>
        </w:rPr>
        <w:t>CSR_CON</w:t>
      </w:r>
      <w:r w:rsidRPr="00673F93">
        <w:t>). Independent variables generally lag dependent variables by 1 year as described in Equation (</w:t>
      </w:r>
      <w:hyperlink r:id="rId86" w:anchor="bib4" w:tooltip="4" w:history="1">
        <w:r w:rsidRPr="00673F93">
          <w:rPr>
            <w:rStyle w:val="Hyperlink"/>
            <w:rFonts w:cstheme="minorHAnsi"/>
            <w:sz w:val="24"/>
            <w:szCs w:val="24"/>
          </w:rPr>
          <w:t>4</w:t>
        </w:r>
      </w:hyperlink>
      <w:r w:rsidRPr="00673F93">
        <w:t>). Detailed variable definitions, including control variables, are described in the Appendix. Standard errors are adjusted for heteroskedasticity and clustered by firm. </w:t>
      </w:r>
      <w:r w:rsidRPr="00673F93">
        <w:rPr>
          <w:i/>
          <w:iCs/>
        </w:rPr>
        <w:t>T</w:t>
      </w:r>
      <w:r w:rsidRPr="00673F93">
        <w:t>‐statistics are reported in parentheses. ***, ** and * denote statistical significance at the 1, 5 and 10 percent levels.</w:t>
      </w:r>
    </w:p>
    <w:p w14:paraId="34E14262" w14:textId="77777777" w:rsidR="00157A40" w:rsidRPr="00673F93" w:rsidRDefault="00157A40" w:rsidP="00673F93">
      <w:pPr>
        <w:rPr>
          <w:rFonts w:cstheme="minorHAnsi"/>
          <w:sz w:val="24"/>
          <w:szCs w:val="24"/>
        </w:rPr>
      </w:pPr>
    </w:p>
    <w:p w14:paraId="2833FDDC" w14:textId="77777777" w:rsidR="00673F93" w:rsidRPr="007B3E6A" w:rsidRDefault="00D71504" w:rsidP="007B3E6A">
      <w:pPr>
        <w:pStyle w:val="Heading2"/>
      </w:pPr>
      <w:hyperlink r:id="rId87" w:anchor="toc" w:tooltip="Alternative explanations" w:history="1">
        <w:r w:rsidR="00673F93" w:rsidRPr="007B3E6A">
          <w:rPr>
            <w:rStyle w:val="Hyperlink"/>
            <w:color w:val="262626" w:themeColor="text1" w:themeTint="D9"/>
            <w:u w:val="none"/>
          </w:rPr>
          <w:t>Alternative explanations</w:t>
        </w:r>
      </w:hyperlink>
    </w:p>
    <w:p w14:paraId="6D9EB01E" w14:textId="77777777" w:rsidR="00673F93" w:rsidRPr="00673F93" w:rsidRDefault="00673F93" w:rsidP="00673F93">
      <w:pPr>
        <w:rPr>
          <w:rFonts w:cstheme="minorHAnsi"/>
          <w:sz w:val="24"/>
          <w:szCs w:val="24"/>
        </w:rPr>
      </w:pPr>
      <w:r w:rsidRPr="00673F93">
        <w:rPr>
          <w:rFonts w:cstheme="minorHAnsi"/>
          <w:sz w:val="24"/>
          <w:szCs w:val="24"/>
        </w:rPr>
        <w:t>We further address several alternative explanations of our results in this subsection. First, it is possible that CSR is implemented strategically to give firms comparative advantages, such as fostering stronger customer relationships (Brown and Dacin, 1997) or attracting and retaining higher quality workers (Greening and Turban, 2000). The distinct investments in CSR may result in lower systematic risk exposures (Bénabou and Tirole, 2010) and thereby mechanically drive higher idiosyncratic volatilities among firms with higher CSR. To further explore this strategic view of CSR, we directly control for the systematic risk, </w:t>
      </w:r>
      <w:r w:rsidRPr="00673F93">
        <w:rPr>
          <w:rFonts w:cstheme="minorHAnsi"/>
          <w:i/>
          <w:iCs/>
          <w:sz w:val="24"/>
          <w:szCs w:val="24"/>
        </w:rPr>
        <w:t>BETA</w:t>
      </w:r>
      <w:r w:rsidRPr="00673F93">
        <w:rPr>
          <w:rFonts w:cstheme="minorHAnsi"/>
          <w:sz w:val="24"/>
          <w:szCs w:val="24"/>
        </w:rPr>
        <w:t>, and continue to find a positive and significant relation between CSR and price informativeness. Our main results continue to hold when we exclude the financial crisis period during which high CSR firms may display a different systematic risk due to their resilience (Bénabou and Tirole, 2010). While we cannot completely rule out the strategic view of CSR, our results suggest that the better information and trading environment of higher CSR firms plays a role in facilitating information flow into stock prices.</w:t>
      </w:r>
    </w:p>
    <w:p w14:paraId="7BD76EDF" w14:textId="3EE7BB30" w:rsidR="00673F93" w:rsidRPr="00673F93" w:rsidRDefault="00673F93" w:rsidP="00673F93">
      <w:pPr>
        <w:rPr>
          <w:rFonts w:cstheme="minorHAnsi"/>
          <w:sz w:val="24"/>
          <w:szCs w:val="24"/>
        </w:rPr>
      </w:pPr>
      <w:r w:rsidRPr="00673F93">
        <w:rPr>
          <w:rFonts w:cstheme="minorHAnsi"/>
          <w:sz w:val="24"/>
          <w:szCs w:val="24"/>
        </w:rPr>
        <w:t>Second, greater CSR expenditures may signal better future financial performance (Lys </w:t>
      </w:r>
      <w:r w:rsidR="005A3923">
        <w:rPr>
          <w:rFonts w:cstheme="minorHAnsi"/>
          <w:i/>
          <w:iCs/>
          <w:sz w:val="24"/>
          <w:szCs w:val="24"/>
        </w:rPr>
        <w:t xml:space="preserve">et al., </w:t>
      </w:r>
      <w:r w:rsidRPr="00673F93">
        <w:rPr>
          <w:rFonts w:cstheme="minorHAnsi"/>
          <w:sz w:val="24"/>
          <w:szCs w:val="24"/>
        </w:rPr>
        <w:t>2015) and attract more information search. Foremost, it is still under debate whether CSR is linked to financial performance. An analysis of 167 studies by Margolis </w:t>
      </w:r>
      <w:r w:rsidR="005A3923">
        <w:rPr>
          <w:rFonts w:cstheme="minorHAnsi"/>
          <w:i/>
          <w:iCs/>
          <w:sz w:val="24"/>
          <w:szCs w:val="24"/>
        </w:rPr>
        <w:t xml:space="preserve">et al. </w:t>
      </w:r>
      <w:r w:rsidRPr="00673F93">
        <w:rPr>
          <w:rFonts w:cstheme="minorHAnsi"/>
          <w:sz w:val="24"/>
          <w:szCs w:val="24"/>
        </w:rPr>
        <w:t> (2007) find only a small positive correlation between CSR and financial performance. Furthermore, even if CSR can signal future financial performance, it is not clear as to why </w:t>
      </w:r>
      <w:r w:rsidRPr="00673F93">
        <w:rPr>
          <w:rFonts w:cstheme="minorHAnsi"/>
          <w:i/>
          <w:iCs/>
          <w:sz w:val="24"/>
          <w:szCs w:val="24"/>
        </w:rPr>
        <w:t>only</w:t>
      </w:r>
      <w:r w:rsidRPr="00673F93">
        <w:rPr>
          <w:rFonts w:cstheme="minorHAnsi"/>
          <w:sz w:val="24"/>
          <w:szCs w:val="24"/>
        </w:rPr>
        <w:t xml:space="preserve"> CSR strength can attract more information search. Indeed, if CSR concerns indicate poorer future financial performance, they can also attract greater information </w:t>
      </w:r>
      <w:r w:rsidRPr="00673F93">
        <w:rPr>
          <w:rFonts w:cstheme="minorHAnsi"/>
          <w:sz w:val="24"/>
          <w:szCs w:val="24"/>
        </w:rPr>
        <w:lastRenderedPageBreak/>
        <w:t>search by investors, who actively exploit arbitrage opportunities. However, Table 8 shows that greater CSR concern is </w:t>
      </w:r>
      <w:r w:rsidRPr="00673F93">
        <w:rPr>
          <w:rFonts w:cstheme="minorHAnsi"/>
          <w:i/>
          <w:iCs/>
          <w:sz w:val="24"/>
          <w:szCs w:val="24"/>
        </w:rPr>
        <w:t>not</w:t>
      </w:r>
      <w:r w:rsidRPr="00673F93">
        <w:rPr>
          <w:rFonts w:cstheme="minorHAnsi"/>
          <w:sz w:val="24"/>
          <w:szCs w:val="24"/>
        </w:rPr>
        <w:t> associated with more information search, which does not support the CSR signalling view.</w:t>
      </w:r>
    </w:p>
    <w:p w14:paraId="12C56A82" w14:textId="56CB3988" w:rsidR="00673F93" w:rsidRPr="00673F93" w:rsidRDefault="00673F93" w:rsidP="00673F93">
      <w:pPr>
        <w:rPr>
          <w:rFonts w:cstheme="minorHAnsi"/>
          <w:sz w:val="24"/>
          <w:szCs w:val="24"/>
        </w:rPr>
      </w:pPr>
      <w:r w:rsidRPr="00673F93">
        <w:rPr>
          <w:rFonts w:cstheme="minorHAnsi"/>
          <w:sz w:val="24"/>
          <w:szCs w:val="24"/>
        </w:rPr>
        <w:t>Third, because prior and concurrent research suggests that the disclosures of CSR activities can potentially attract more dedicated institutional investors and analyst coverage (Dhaliwal </w:t>
      </w:r>
      <w:r w:rsidR="005A3923">
        <w:rPr>
          <w:rFonts w:cstheme="minorHAnsi"/>
          <w:i/>
          <w:iCs/>
          <w:sz w:val="24"/>
          <w:szCs w:val="24"/>
        </w:rPr>
        <w:t xml:space="preserve">et al., </w:t>
      </w:r>
      <w:r w:rsidRPr="00673F93">
        <w:rPr>
          <w:rFonts w:cstheme="minorHAnsi"/>
          <w:sz w:val="24"/>
          <w:szCs w:val="24"/>
        </w:rPr>
        <w:t>2011) and enhance price informativeness (Grewal </w:t>
      </w:r>
      <w:r w:rsidR="005A3923">
        <w:rPr>
          <w:rFonts w:cstheme="minorHAnsi"/>
          <w:i/>
          <w:iCs/>
          <w:sz w:val="24"/>
          <w:szCs w:val="24"/>
        </w:rPr>
        <w:t xml:space="preserve">et al., </w:t>
      </w:r>
      <w:r w:rsidRPr="00673F93">
        <w:rPr>
          <w:rFonts w:cstheme="minorHAnsi"/>
          <w:sz w:val="24"/>
          <w:szCs w:val="24"/>
        </w:rPr>
        <w:t>2020), we further control for CSR disclosures to verify that our results are not driven by CSR disclosures. We measure CSR disclosure by a dummy variable for whether the firm issued a stand‐alone CSR report, as defined by Thomson Reuters Asset4, in our regressions of price informativeness. In untabulated results, we find that CSR ratings remain a positive and significant factor when controlling for the dissemination of CSR activities.</w:t>
      </w:r>
      <w:r w:rsidR="00393CB4" w:rsidRPr="00393CB4">
        <w:rPr>
          <w:rFonts w:cstheme="minorHAnsi"/>
          <w:sz w:val="24"/>
          <w:szCs w:val="24"/>
          <w:vertAlign w:val="superscript"/>
        </w:rPr>
        <w:t>36</w:t>
      </w:r>
      <w:r w:rsidRPr="00673F93">
        <w:rPr>
          <w:rFonts w:cstheme="minorHAnsi"/>
          <w:sz w:val="24"/>
          <w:szCs w:val="24"/>
        </w:rPr>
        <w:t xml:space="preserve"> To further alleviate this concern, we examine investors' requests for new 10‐K filings that rarely contain discussions of CSR issues. A survey by KPMG shows that only 1 percent of the top 100 firms in the United States integrated CSR reports into their 10‐K filings during 2005–2008. Therefore, requests for new 10‐K filings up to 2008 should mostly consist of searches for non‐CSR disclosures. We rerun the regression of 10‐K filing requests using a sample up to year 2008. In untabulated results, we continue to find that higher CSR ratings are associated with more requests for new 10‐K filings on EDGAR. This test further alleviates the concern that CSR disclosures drive our main results.</w:t>
      </w:r>
    </w:p>
    <w:p w14:paraId="3A93BCB1" w14:textId="77777777" w:rsidR="00673F93" w:rsidRPr="007B3E6A" w:rsidRDefault="00D71504" w:rsidP="007B3E6A">
      <w:pPr>
        <w:pStyle w:val="Heading1"/>
      </w:pPr>
      <w:hyperlink r:id="rId88" w:anchor="toc" w:tooltip="Conclusion" w:history="1">
        <w:r w:rsidR="00673F93" w:rsidRPr="007B3E6A">
          <w:rPr>
            <w:rStyle w:val="Hyperlink"/>
            <w:color w:val="262626" w:themeColor="text1" w:themeTint="D9"/>
            <w:u w:val="none"/>
          </w:rPr>
          <w:t>Conclusion</w:t>
        </w:r>
      </w:hyperlink>
    </w:p>
    <w:p w14:paraId="50BAA65F" w14:textId="77777777" w:rsidR="00673F93" w:rsidRPr="00673F93" w:rsidRDefault="00673F93" w:rsidP="00673F93">
      <w:pPr>
        <w:rPr>
          <w:rFonts w:cstheme="minorHAnsi"/>
          <w:sz w:val="24"/>
          <w:szCs w:val="24"/>
        </w:rPr>
      </w:pPr>
      <w:r w:rsidRPr="00673F93">
        <w:rPr>
          <w:rFonts w:cstheme="minorHAnsi"/>
          <w:sz w:val="24"/>
          <w:szCs w:val="24"/>
        </w:rPr>
        <w:t>We examine the role of CSR on the flow of information into stock prices. The ethical and reputational view of CSR hypothesises that firms participate in CSR activities to fulfil their expected social responsibilities and to establish a reputation as good corporate citizens. Therefore, a commitment to CSR can incentivise information acquisition by indicating lower information acquisition costs and greater protection for outside investors. However, the agency view of CSR argues that CSR activities are a manifestation of agency problems in the firm. Self‐serving managers may engage in CSR activities to derive private benefits at the expense of shareholders and may manipulate information to disguise their opportunism, which discourages investor information acquisition and leads to less informed stock prices. We empirically examine the association between CSR and stock price informativeness as measured by idiosyncratic volatility and PIN. Our results consistently show a positive association between CSR and firm‐specific information contained in stock prices.</w:t>
      </w:r>
    </w:p>
    <w:p w14:paraId="238D5CB6" w14:textId="77777777" w:rsidR="00673F93" w:rsidRPr="00673F93" w:rsidRDefault="00673F93" w:rsidP="00673F93">
      <w:pPr>
        <w:rPr>
          <w:rFonts w:cstheme="minorHAnsi"/>
          <w:sz w:val="24"/>
          <w:szCs w:val="24"/>
        </w:rPr>
      </w:pPr>
      <w:r w:rsidRPr="00673F93">
        <w:rPr>
          <w:rFonts w:cstheme="minorHAnsi"/>
          <w:sz w:val="24"/>
          <w:szCs w:val="24"/>
        </w:rPr>
        <w:t>Using data on investors' search activity on EDGAR for new 10‐K filings and on Google for company news around earnings announcements, our findings suggest that investors collect more information from firms that are more socially responsible around these major disclosure events. These results provide direct evidence that CSR engagement encourages more information search activity.</w:t>
      </w:r>
    </w:p>
    <w:p w14:paraId="012A6F90" w14:textId="77777777" w:rsidR="00673F93" w:rsidRPr="00673F93" w:rsidRDefault="00673F93" w:rsidP="00673F93">
      <w:pPr>
        <w:rPr>
          <w:rFonts w:cstheme="minorHAnsi"/>
          <w:sz w:val="24"/>
          <w:szCs w:val="24"/>
        </w:rPr>
      </w:pPr>
      <w:r w:rsidRPr="00673F93">
        <w:rPr>
          <w:rFonts w:cstheme="minorHAnsi"/>
          <w:sz w:val="24"/>
          <w:szCs w:val="24"/>
        </w:rPr>
        <w:t xml:space="preserve">We conduct </w:t>
      </w:r>
      <w:proofErr w:type="gramStart"/>
      <w:r w:rsidRPr="00673F93">
        <w:rPr>
          <w:rFonts w:cstheme="minorHAnsi"/>
          <w:sz w:val="24"/>
          <w:szCs w:val="24"/>
        </w:rPr>
        <w:t>a number of</w:t>
      </w:r>
      <w:proofErr w:type="gramEnd"/>
      <w:r w:rsidRPr="00673F93">
        <w:rPr>
          <w:rFonts w:cstheme="minorHAnsi"/>
          <w:sz w:val="24"/>
          <w:szCs w:val="24"/>
        </w:rPr>
        <w:t xml:space="preserve"> robustness checks using alternative empirical specifications. The lead‐lag analyses suggest a positive relation between lagged CSR (rather than lead or contemporaneous) and price informativeness. Results from a propensity score matched sample are consistent with our main findings and suggest that CSR is not an aggregate proxy of other firm characteristics. Furthermore, results using FERC as an alternative measure of price informativeness provide further support for our main findings. In addition, we show that our results are unlikely to be driven by several alternative explanations. While these robustness checks help alleviate the potential problem of endogeneity, to </w:t>
      </w:r>
      <w:r w:rsidRPr="00673F93">
        <w:rPr>
          <w:rFonts w:cstheme="minorHAnsi"/>
          <w:sz w:val="24"/>
          <w:szCs w:val="24"/>
        </w:rPr>
        <w:lastRenderedPageBreak/>
        <w:t>the extent that these procedures are not exhaustive, one should be cautious in making casual inferences from the findings in this paper.</w:t>
      </w:r>
    </w:p>
    <w:p w14:paraId="540698B0" w14:textId="77777777" w:rsidR="00673F93" w:rsidRPr="00673F93" w:rsidRDefault="00673F93" w:rsidP="00673F93">
      <w:pPr>
        <w:rPr>
          <w:rFonts w:cstheme="minorHAnsi"/>
          <w:sz w:val="24"/>
          <w:szCs w:val="24"/>
        </w:rPr>
      </w:pPr>
      <w:r w:rsidRPr="00673F93">
        <w:rPr>
          <w:rFonts w:cstheme="minorHAnsi"/>
          <w:sz w:val="24"/>
          <w:szCs w:val="24"/>
        </w:rPr>
        <w:t>Our paper adds to the growing literature on price discovery and CSR. We examine whether and how CSR is associated with the flow of information to stock prices – a fundamental question in financial economics. To the best of our knowledge, no study has investigated this topic in‐depth. Overall, our results are consistent with the ethical and reputational view that firms' active engagement in CSR facilitates information flow into stock prices.</w:t>
      </w:r>
    </w:p>
    <w:p w14:paraId="1C1C8CAE" w14:textId="77777777" w:rsidR="00673F93" w:rsidRPr="00673F93" w:rsidRDefault="00673F93" w:rsidP="00673F93">
      <w:pPr>
        <w:rPr>
          <w:rFonts w:cstheme="minorHAnsi"/>
          <w:sz w:val="24"/>
          <w:szCs w:val="24"/>
        </w:rPr>
      </w:pPr>
      <w:r w:rsidRPr="00673F93">
        <w:rPr>
          <w:rFonts w:cstheme="minorHAnsi"/>
          <w:sz w:val="24"/>
          <w:szCs w:val="24"/>
        </w:rPr>
        <w:t>Our study further has some potential policy and research implications. Our results suggest that a commitment to CSR benefits firms with more informative stock prices, which may provide firms more accurate signals to efficiently allocate their capital. The existing literature documents mixed evidence on the relation between CSR and investment efficiency (Bhandari and Javakhadze, 2017; Benlemlih and Bitar, 2018). It can be promising for future research to examine the relation between CSR and corporate capital allocation decisions, particularly how stock price informativeness plays a role in this relation. Our study further informs policy makers. While various policy tools are used to promote capital market efficiency, our study implies that CSR activities can help firms to self‐regulate their information and trading environment and enhance market efficiency.</w:t>
      </w:r>
    </w:p>
    <w:p w14:paraId="56796470" w14:textId="77777777" w:rsidR="002C5AAA" w:rsidRDefault="002C5AAA" w:rsidP="00673F93">
      <w:pPr>
        <w:rPr>
          <w:rFonts w:cstheme="minorHAnsi"/>
          <w:sz w:val="24"/>
          <w:szCs w:val="24"/>
        </w:rPr>
        <w:sectPr w:rsidR="002C5AAA" w:rsidSect="00241E5E">
          <w:pgSz w:w="12240" w:h="15840"/>
          <w:pgMar w:top="1080" w:right="1080" w:bottom="1080" w:left="1080" w:header="720" w:footer="720" w:gutter="0"/>
          <w:cols w:space="720"/>
          <w:docGrid w:linePitch="360"/>
        </w:sectPr>
      </w:pPr>
    </w:p>
    <w:p w14:paraId="0E4DAE01" w14:textId="77777777" w:rsidR="00673F93" w:rsidRPr="00673F93" w:rsidRDefault="00673F93" w:rsidP="002C5AAA">
      <w:pPr>
        <w:spacing w:after="0"/>
        <w:rPr>
          <w:rFonts w:cstheme="minorHAnsi"/>
          <w:sz w:val="24"/>
          <w:szCs w:val="24"/>
        </w:rPr>
      </w:pPr>
      <w:r w:rsidRPr="00673F93">
        <w:rPr>
          <w:rFonts w:cstheme="minorHAnsi"/>
          <w:sz w:val="24"/>
          <w:szCs w:val="24"/>
        </w:rPr>
        <w:lastRenderedPageBreak/>
        <w:t>Appendix Variable definitions</w:t>
      </w:r>
    </w:p>
    <w:tbl>
      <w:tblPr>
        <w:tblStyle w:val="TableGrid"/>
        <w:tblW w:w="0" w:type="auto"/>
        <w:tblLayout w:type="fixed"/>
        <w:tblLook w:val="04A0" w:firstRow="1" w:lastRow="0" w:firstColumn="1" w:lastColumn="0" w:noHBand="0" w:noVBand="1"/>
      </w:tblPr>
      <w:tblGrid>
        <w:gridCol w:w="2875"/>
        <w:gridCol w:w="2607"/>
        <w:gridCol w:w="8188"/>
      </w:tblGrid>
      <w:tr w:rsidR="00D4669F" w:rsidRPr="002C5AAA" w14:paraId="2109F91B" w14:textId="77777777" w:rsidTr="00FB4998">
        <w:tc>
          <w:tcPr>
            <w:tcW w:w="2875" w:type="dxa"/>
            <w:hideMark/>
          </w:tcPr>
          <w:p w14:paraId="55191815" w14:textId="77777777" w:rsidR="00673F93" w:rsidRPr="002C5AAA" w:rsidRDefault="00673F93" w:rsidP="00D4669F">
            <w:pPr>
              <w:pStyle w:val="NoSpacing"/>
              <w:rPr>
                <w:b/>
                <w:bCs/>
              </w:rPr>
            </w:pPr>
            <w:r w:rsidRPr="002C5AAA">
              <w:rPr>
                <w:b/>
                <w:bCs/>
              </w:rPr>
              <w:t>Variables</w:t>
            </w:r>
          </w:p>
        </w:tc>
        <w:tc>
          <w:tcPr>
            <w:tcW w:w="2607" w:type="dxa"/>
            <w:hideMark/>
          </w:tcPr>
          <w:p w14:paraId="3EBDAE8D" w14:textId="77777777" w:rsidR="00673F93" w:rsidRPr="002C5AAA" w:rsidRDefault="00673F93" w:rsidP="00D4669F">
            <w:pPr>
              <w:pStyle w:val="NoSpacing"/>
              <w:rPr>
                <w:b/>
                <w:bCs/>
              </w:rPr>
            </w:pPr>
          </w:p>
        </w:tc>
        <w:tc>
          <w:tcPr>
            <w:tcW w:w="8188" w:type="dxa"/>
            <w:hideMark/>
          </w:tcPr>
          <w:p w14:paraId="0DDE37A9" w14:textId="77777777" w:rsidR="00673F93" w:rsidRPr="002C5AAA" w:rsidRDefault="00673F93" w:rsidP="00D4669F">
            <w:pPr>
              <w:pStyle w:val="NoSpacing"/>
              <w:rPr>
                <w:b/>
                <w:bCs/>
              </w:rPr>
            </w:pPr>
            <w:r w:rsidRPr="002C5AAA">
              <w:rPr>
                <w:b/>
                <w:bCs/>
              </w:rPr>
              <w:t>Definition</w:t>
            </w:r>
          </w:p>
        </w:tc>
      </w:tr>
      <w:tr w:rsidR="00D4669F" w:rsidRPr="00673F93" w14:paraId="2C1E2096" w14:textId="77777777" w:rsidTr="00FB4998">
        <w:tc>
          <w:tcPr>
            <w:tcW w:w="2875" w:type="dxa"/>
            <w:hideMark/>
          </w:tcPr>
          <w:p w14:paraId="16A648D1" w14:textId="77777777" w:rsidR="00673F93" w:rsidRPr="00673F93" w:rsidRDefault="00673F93" w:rsidP="00D4669F">
            <w:pPr>
              <w:pStyle w:val="NoSpacing"/>
            </w:pPr>
            <w:r w:rsidRPr="00673F93">
              <w:t>Price informativeness</w:t>
            </w:r>
          </w:p>
        </w:tc>
        <w:tc>
          <w:tcPr>
            <w:tcW w:w="2607" w:type="dxa"/>
            <w:hideMark/>
          </w:tcPr>
          <w:p w14:paraId="044442C3" w14:textId="77777777" w:rsidR="00673F93" w:rsidRPr="00673F93" w:rsidRDefault="00673F93" w:rsidP="00D4669F">
            <w:pPr>
              <w:pStyle w:val="NoSpacing"/>
            </w:pPr>
          </w:p>
        </w:tc>
        <w:tc>
          <w:tcPr>
            <w:tcW w:w="8188" w:type="dxa"/>
            <w:hideMark/>
          </w:tcPr>
          <w:p w14:paraId="49C1D53B" w14:textId="77777777" w:rsidR="00673F93" w:rsidRPr="00673F93" w:rsidRDefault="00673F93" w:rsidP="00D4669F">
            <w:pPr>
              <w:pStyle w:val="NoSpacing"/>
            </w:pPr>
          </w:p>
        </w:tc>
      </w:tr>
      <w:tr w:rsidR="00D4669F" w:rsidRPr="00673F93" w14:paraId="2BFC1367" w14:textId="77777777" w:rsidTr="00FB4998">
        <w:tc>
          <w:tcPr>
            <w:tcW w:w="2875" w:type="dxa"/>
            <w:hideMark/>
          </w:tcPr>
          <w:p w14:paraId="1AD4E067" w14:textId="77777777" w:rsidR="00673F93" w:rsidRPr="00673F93" w:rsidRDefault="00673F93" w:rsidP="00D4669F">
            <w:pPr>
              <w:pStyle w:val="NoSpacing"/>
            </w:pPr>
            <w:r w:rsidRPr="00673F93">
              <w:t>Idiosyncratic volatility</w:t>
            </w:r>
          </w:p>
        </w:tc>
        <w:tc>
          <w:tcPr>
            <w:tcW w:w="2607" w:type="dxa"/>
            <w:hideMark/>
          </w:tcPr>
          <w:p w14:paraId="73B194F3" w14:textId="6D056585" w:rsidR="00673F93" w:rsidRPr="00673F93" w:rsidRDefault="00D7331A" w:rsidP="00D4669F">
            <w:pPr>
              <w:pStyle w:val="NoSpacing"/>
            </w:pPr>
            <m:oMathPara>
              <m:oMath>
                <m:r>
                  <m:rPr>
                    <m:sty m:val="p"/>
                  </m:rPr>
                  <w:rPr>
                    <w:rFonts w:ascii="Cambria Math" w:hAnsi="Cambria Math"/>
                  </w:rPr>
                  <m:t>Ψ</m:t>
                </m:r>
              </m:oMath>
            </m:oMathPara>
          </w:p>
        </w:tc>
        <w:tc>
          <w:tcPr>
            <w:tcW w:w="8188" w:type="dxa"/>
            <w:hideMark/>
          </w:tcPr>
          <w:p w14:paraId="7EAC1DB1" w14:textId="77777777" w:rsidR="00673F93" w:rsidRPr="00673F93" w:rsidRDefault="00673F93" w:rsidP="00D4669F">
            <w:pPr>
              <w:pStyle w:val="NoSpacing"/>
            </w:pPr>
            <w:r w:rsidRPr="00673F93">
              <w:t>Annual logistic transformed relative volatility estimated from an expanded market model including the Fama‐French 48 industry returns</w:t>
            </w:r>
          </w:p>
        </w:tc>
      </w:tr>
      <w:tr w:rsidR="00D4669F" w:rsidRPr="00673F93" w14:paraId="17F1F905" w14:textId="77777777" w:rsidTr="00FB4998">
        <w:tc>
          <w:tcPr>
            <w:tcW w:w="2875" w:type="dxa"/>
            <w:hideMark/>
          </w:tcPr>
          <w:p w14:paraId="008112E4" w14:textId="77777777" w:rsidR="00673F93" w:rsidRPr="00673F93" w:rsidRDefault="00673F93" w:rsidP="00D4669F">
            <w:pPr>
              <w:pStyle w:val="NoSpacing"/>
            </w:pPr>
            <w:r w:rsidRPr="00673F93">
              <w:t>Probability of information‐based trading</w:t>
            </w:r>
          </w:p>
        </w:tc>
        <w:tc>
          <w:tcPr>
            <w:tcW w:w="2607" w:type="dxa"/>
            <w:hideMark/>
          </w:tcPr>
          <w:p w14:paraId="72BE5857" w14:textId="77777777" w:rsidR="00673F93" w:rsidRPr="008011E4" w:rsidRDefault="00673F93" w:rsidP="00D4669F">
            <w:pPr>
              <w:pStyle w:val="NoSpacing"/>
              <w:rPr>
                <w:i/>
                <w:iCs/>
              </w:rPr>
            </w:pPr>
            <w:r w:rsidRPr="008011E4">
              <w:rPr>
                <w:i/>
                <w:iCs/>
              </w:rPr>
              <w:t>PIN</w:t>
            </w:r>
          </w:p>
        </w:tc>
        <w:tc>
          <w:tcPr>
            <w:tcW w:w="8188" w:type="dxa"/>
            <w:hideMark/>
          </w:tcPr>
          <w:p w14:paraId="0B50058F" w14:textId="1C46A8B7" w:rsidR="00673F93" w:rsidRPr="00673F93" w:rsidRDefault="00673F93" w:rsidP="00D4669F">
            <w:pPr>
              <w:pStyle w:val="NoSpacing"/>
            </w:pPr>
            <w:r w:rsidRPr="00673F93">
              <w:t>Annual probability of information‐based trading as in Easley </w:t>
            </w:r>
            <w:r w:rsidR="005A3923">
              <w:t xml:space="preserve">et al. </w:t>
            </w:r>
            <w:r w:rsidRPr="00673F93">
              <w:t>(2002)</w:t>
            </w:r>
          </w:p>
        </w:tc>
      </w:tr>
      <w:tr w:rsidR="00D4669F" w:rsidRPr="00673F93" w14:paraId="08CF1D29" w14:textId="77777777" w:rsidTr="00FB4998">
        <w:tc>
          <w:tcPr>
            <w:tcW w:w="2875" w:type="dxa"/>
            <w:hideMark/>
          </w:tcPr>
          <w:p w14:paraId="38EB05E4" w14:textId="77777777" w:rsidR="00673F93" w:rsidRPr="00673F93" w:rsidRDefault="00673F93" w:rsidP="00D4669F">
            <w:pPr>
              <w:pStyle w:val="NoSpacing"/>
            </w:pPr>
            <w:r w:rsidRPr="00673F93">
              <w:t>Future earnings response coefficient</w:t>
            </w:r>
          </w:p>
        </w:tc>
        <w:tc>
          <w:tcPr>
            <w:tcW w:w="2607" w:type="dxa"/>
            <w:hideMark/>
          </w:tcPr>
          <w:p w14:paraId="2B4DC3D6" w14:textId="77777777" w:rsidR="00673F93" w:rsidRPr="008011E4" w:rsidRDefault="00673F93" w:rsidP="00D4669F">
            <w:pPr>
              <w:pStyle w:val="NoSpacing"/>
              <w:rPr>
                <w:i/>
                <w:iCs/>
              </w:rPr>
            </w:pPr>
            <w:r w:rsidRPr="008011E4">
              <w:rPr>
                <w:i/>
                <w:iCs/>
              </w:rPr>
              <w:t>FERC</w:t>
            </w:r>
          </w:p>
        </w:tc>
        <w:tc>
          <w:tcPr>
            <w:tcW w:w="8188" w:type="dxa"/>
            <w:hideMark/>
          </w:tcPr>
          <w:p w14:paraId="615EB192" w14:textId="23C3C976" w:rsidR="00673F93" w:rsidRPr="00673F93" w:rsidRDefault="00673F93" w:rsidP="00D4669F">
            <w:pPr>
              <w:pStyle w:val="NoSpacing"/>
            </w:pPr>
            <w:r w:rsidRPr="00673F93">
              <w:t>The coefficient of future earnings captured in stock prices as in Choi </w:t>
            </w:r>
            <w:r w:rsidR="005A3923">
              <w:t xml:space="preserve">et al. </w:t>
            </w:r>
            <w:r w:rsidRPr="00673F93">
              <w:t>(2011)</w:t>
            </w:r>
          </w:p>
        </w:tc>
      </w:tr>
      <w:tr w:rsidR="00D4669F" w:rsidRPr="00673F93" w14:paraId="7C94312E" w14:textId="77777777" w:rsidTr="00FB4998">
        <w:tc>
          <w:tcPr>
            <w:tcW w:w="2875" w:type="dxa"/>
            <w:hideMark/>
          </w:tcPr>
          <w:p w14:paraId="0C9E6FAF" w14:textId="77777777" w:rsidR="00673F93" w:rsidRPr="00673F93" w:rsidRDefault="00673F93" w:rsidP="00D4669F">
            <w:pPr>
              <w:pStyle w:val="NoSpacing"/>
            </w:pPr>
            <w:r w:rsidRPr="00673F93">
              <w:t>Corporate social responsibility (CSR)</w:t>
            </w:r>
          </w:p>
        </w:tc>
        <w:tc>
          <w:tcPr>
            <w:tcW w:w="2607" w:type="dxa"/>
            <w:hideMark/>
          </w:tcPr>
          <w:p w14:paraId="352F527C" w14:textId="77777777" w:rsidR="00673F93" w:rsidRPr="008011E4" w:rsidRDefault="00673F93" w:rsidP="00D4669F">
            <w:pPr>
              <w:pStyle w:val="NoSpacing"/>
              <w:rPr>
                <w:i/>
                <w:iCs/>
              </w:rPr>
            </w:pPr>
          </w:p>
        </w:tc>
        <w:tc>
          <w:tcPr>
            <w:tcW w:w="8188" w:type="dxa"/>
            <w:hideMark/>
          </w:tcPr>
          <w:p w14:paraId="737C2494" w14:textId="77777777" w:rsidR="00673F93" w:rsidRPr="00673F93" w:rsidRDefault="00673F93" w:rsidP="00D4669F">
            <w:pPr>
              <w:pStyle w:val="NoSpacing"/>
            </w:pPr>
          </w:p>
        </w:tc>
      </w:tr>
      <w:tr w:rsidR="00D4669F" w:rsidRPr="00673F93" w14:paraId="1BBF399C" w14:textId="77777777" w:rsidTr="00FB4998">
        <w:tc>
          <w:tcPr>
            <w:tcW w:w="2875" w:type="dxa"/>
            <w:hideMark/>
          </w:tcPr>
          <w:p w14:paraId="5C2FB5CF" w14:textId="77777777" w:rsidR="00673F93" w:rsidRPr="00673F93" w:rsidRDefault="00673F93" w:rsidP="00D4669F">
            <w:pPr>
              <w:pStyle w:val="NoSpacing"/>
            </w:pPr>
            <w:r w:rsidRPr="00673F93">
              <w:t>Corporate social responsibility</w:t>
            </w:r>
          </w:p>
        </w:tc>
        <w:tc>
          <w:tcPr>
            <w:tcW w:w="2607" w:type="dxa"/>
            <w:hideMark/>
          </w:tcPr>
          <w:p w14:paraId="2D5EA908" w14:textId="77777777" w:rsidR="00673F93" w:rsidRPr="008011E4" w:rsidRDefault="00673F93" w:rsidP="00D4669F">
            <w:pPr>
              <w:pStyle w:val="NoSpacing"/>
              <w:rPr>
                <w:i/>
                <w:iCs/>
              </w:rPr>
            </w:pPr>
            <w:r w:rsidRPr="008011E4">
              <w:rPr>
                <w:i/>
                <w:iCs/>
              </w:rPr>
              <w:t>CSR</w:t>
            </w:r>
          </w:p>
        </w:tc>
        <w:tc>
          <w:tcPr>
            <w:tcW w:w="8188" w:type="dxa"/>
            <w:hideMark/>
          </w:tcPr>
          <w:p w14:paraId="238761CA" w14:textId="77777777" w:rsidR="00673F93" w:rsidRPr="00673F93" w:rsidRDefault="00673F93" w:rsidP="00D4669F">
            <w:pPr>
              <w:pStyle w:val="NoSpacing"/>
            </w:pPr>
            <w:r w:rsidRPr="00673F93">
              <w:t>The sum of yearly adjusted community, diversity, employee relations, environment, human rights, and product quality and safety KLD CSR scores. Adjusted CSR is estimated by scaling the raw strength and concern scores of each category by the number of items of the strengths and concerns of that category in the year and then taking the net difference between the strength and concern scores for that category</w:t>
            </w:r>
          </w:p>
        </w:tc>
      </w:tr>
      <w:tr w:rsidR="00D4669F" w:rsidRPr="00673F93" w14:paraId="4B04DBC2" w14:textId="77777777" w:rsidTr="00FB4998">
        <w:tc>
          <w:tcPr>
            <w:tcW w:w="2875" w:type="dxa"/>
            <w:hideMark/>
          </w:tcPr>
          <w:p w14:paraId="1211C421" w14:textId="77777777" w:rsidR="00673F93" w:rsidRPr="00673F93" w:rsidRDefault="00673F93" w:rsidP="00D4669F">
            <w:pPr>
              <w:pStyle w:val="NoSpacing"/>
            </w:pPr>
            <w:r w:rsidRPr="00673F93">
              <w:t>Corporate social responsibility strengths</w:t>
            </w:r>
          </w:p>
        </w:tc>
        <w:tc>
          <w:tcPr>
            <w:tcW w:w="2607" w:type="dxa"/>
            <w:hideMark/>
          </w:tcPr>
          <w:p w14:paraId="4E9DF124" w14:textId="77777777" w:rsidR="00673F93" w:rsidRPr="008011E4" w:rsidRDefault="00673F93" w:rsidP="00D4669F">
            <w:pPr>
              <w:pStyle w:val="NoSpacing"/>
              <w:rPr>
                <w:i/>
                <w:iCs/>
              </w:rPr>
            </w:pPr>
            <w:r w:rsidRPr="008011E4">
              <w:rPr>
                <w:i/>
                <w:iCs/>
              </w:rPr>
              <w:t>CSR_STR</w:t>
            </w:r>
          </w:p>
        </w:tc>
        <w:tc>
          <w:tcPr>
            <w:tcW w:w="8188" w:type="dxa"/>
            <w:hideMark/>
          </w:tcPr>
          <w:p w14:paraId="1C38D30A" w14:textId="77777777" w:rsidR="00673F93" w:rsidRPr="00673F93" w:rsidRDefault="00673F93" w:rsidP="00D4669F">
            <w:pPr>
              <w:pStyle w:val="NoSpacing"/>
            </w:pPr>
            <w:r w:rsidRPr="00673F93">
              <w:t>The sum of adjusted strengths across community, diversity, employee relations, environment, human rights, and product quality and safety categories</w:t>
            </w:r>
          </w:p>
        </w:tc>
      </w:tr>
      <w:tr w:rsidR="00D4669F" w:rsidRPr="00673F93" w14:paraId="565E25AD" w14:textId="77777777" w:rsidTr="00FB4998">
        <w:tc>
          <w:tcPr>
            <w:tcW w:w="2875" w:type="dxa"/>
            <w:hideMark/>
          </w:tcPr>
          <w:p w14:paraId="146F7300" w14:textId="77777777" w:rsidR="00673F93" w:rsidRPr="00673F93" w:rsidRDefault="00673F93" w:rsidP="00D4669F">
            <w:pPr>
              <w:pStyle w:val="NoSpacing"/>
            </w:pPr>
            <w:r w:rsidRPr="00673F93">
              <w:t>Corporate social responsibility weaknesses</w:t>
            </w:r>
          </w:p>
        </w:tc>
        <w:tc>
          <w:tcPr>
            <w:tcW w:w="2607" w:type="dxa"/>
            <w:hideMark/>
          </w:tcPr>
          <w:p w14:paraId="129B9275" w14:textId="77777777" w:rsidR="00673F93" w:rsidRPr="008011E4" w:rsidRDefault="00673F93" w:rsidP="00D4669F">
            <w:pPr>
              <w:pStyle w:val="NoSpacing"/>
              <w:rPr>
                <w:i/>
                <w:iCs/>
              </w:rPr>
            </w:pPr>
            <w:r w:rsidRPr="008011E4">
              <w:rPr>
                <w:i/>
                <w:iCs/>
              </w:rPr>
              <w:t>CSR_CON</w:t>
            </w:r>
          </w:p>
        </w:tc>
        <w:tc>
          <w:tcPr>
            <w:tcW w:w="8188" w:type="dxa"/>
            <w:hideMark/>
          </w:tcPr>
          <w:p w14:paraId="754E429B" w14:textId="77777777" w:rsidR="00673F93" w:rsidRPr="00673F93" w:rsidRDefault="00673F93" w:rsidP="00D4669F">
            <w:pPr>
              <w:pStyle w:val="NoSpacing"/>
            </w:pPr>
            <w:r w:rsidRPr="00673F93">
              <w:t>The sum of adjusted concerns across community, diversity, employee relations, environment, human rights, and product quality and safety categories</w:t>
            </w:r>
          </w:p>
        </w:tc>
      </w:tr>
      <w:tr w:rsidR="00D4669F" w:rsidRPr="00673F93" w14:paraId="07239FCB" w14:textId="77777777" w:rsidTr="00FB4998">
        <w:tc>
          <w:tcPr>
            <w:tcW w:w="2875" w:type="dxa"/>
            <w:hideMark/>
          </w:tcPr>
          <w:p w14:paraId="74D830F1" w14:textId="77777777" w:rsidR="00673F93" w:rsidRPr="00673F93" w:rsidRDefault="00673F93" w:rsidP="00D4669F">
            <w:pPr>
              <w:pStyle w:val="NoSpacing"/>
            </w:pPr>
            <w:r w:rsidRPr="00673F93">
              <w:t>Investor information search</w:t>
            </w:r>
          </w:p>
        </w:tc>
        <w:tc>
          <w:tcPr>
            <w:tcW w:w="2607" w:type="dxa"/>
            <w:hideMark/>
          </w:tcPr>
          <w:p w14:paraId="24DA7840" w14:textId="77777777" w:rsidR="00673F93" w:rsidRPr="008011E4" w:rsidRDefault="00673F93" w:rsidP="00D4669F">
            <w:pPr>
              <w:pStyle w:val="NoSpacing"/>
              <w:rPr>
                <w:i/>
                <w:iCs/>
              </w:rPr>
            </w:pPr>
          </w:p>
        </w:tc>
        <w:tc>
          <w:tcPr>
            <w:tcW w:w="8188" w:type="dxa"/>
            <w:hideMark/>
          </w:tcPr>
          <w:p w14:paraId="6C43FBE6" w14:textId="77777777" w:rsidR="00673F93" w:rsidRPr="00673F93" w:rsidRDefault="00673F93" w:rsidP="00D4669F">
            <w:pPr>
              <w:pStyle w:val="NoSpacing"/>
            </w:pPr>
          </w:p>
        </w:tc>
      </w:tr>
      <w:tr w:rsidR="00D4669F" w:rsidRPr="00673F93" w14:paraId="53F7A3E9" w14:textId="77777777" w:rsidTr="00FB4998">
        <w:tc>
          <w:tcPr>
            <w:tcW w:w="2875" w:type="dxa"/>
            <w:hideMark/>
          </w:tcPr>
          <w:p w14:paraId="7CB5DE52" w14:textId="77777777" w:rsidR="00673F93" w:rsidRPr="00673F93" w:rsidRDefault="00673F93" w:rsidP="00D4669F">
            <w:pPr>
              <w:pStyle w:val="NoSpacing"/>
            </w:pPr>
            <w:r w:rsidRPr="00673F93">
              <w:t>SEC filing requests (filing date)</w:t>
            </w:r>
          </w:p>
        </w:tc>
        <w:tc>
          <w:tcPr>
            <w:tcW w:w="2607" w:type="dxa"/>
            <w:hideMark/>
          </w:tcPr>
          <w:p w14:paraId="681EFD1A" w14:textId="77777777" w:rsidR="00673F93" w:rsidRPr="008011E4" w:rsidRDefault="00673F93" w:rsidP="00D4669F">
            <w:pPr>
              <w:pStyle w:val="NoSpacing"/>
              <w:rPr>
                <w:i/>
                <w:iCs/>
              </w:rPr>
            </w:pPr>
            <w:r w:rsidRPr="008011E4">
              <w:rPr>
                <w:i/>
                <w:iCs/>
              </w:rPr>
              <w:t>EDGAR_1</w:t>
            </w:r>
          </w:p>
        </w:tc>
        <w:tc>
          <w:tcPr>
            <w:tcW w:w="8188" w:type="dxa"/>
            <w:hideMark/>
          </w:tcPr>
          <w:p w14:paraId="07E0BE78" w14:textId="77777777" w:rsidR="00673F93" w:rsidRPr="00673F93" w:rsidRDefault="00673F93" w:rsidP="00D4669F">
            <w:pPr>
              <w:pStyle w:val="NoSpacing"/>
            </w:pPr>
            <w:r w:rsidRPr="00673F93">
              <w:t>The number of non‐automated clicks for an EDGAR 10‐K report on the filing date</w:t>
            </w:r>
          </w:p>
        </w:tc>
      </w:tr>
      <w:tr w:rsidR="00D4669F" w:rsidRPr="00673F93" w14:paraId="44C8B8F8" w14:textId="77777777" w:rsidTr="00FB4998">
        <w:tc>
          <w:tcPr>
            <w:tcW w:w="2875" w:type="dxa"/>
            <w:hideMark/>
          </w:tcPr>
          <w:p w14:paraId="5E5802D3" w14:textId="77777777" w:rsidR="00673F93" w:rsidRPr="00673F93" w:rsidRDefault="00673F93" w:rsidP="00D4669F">
            <w:pPr>
              <w:pStyle w:val="NoSpacing"/>
            </w:pPr>
            <w:r w:rsidRPr="00673F93">
              <w:t>SEC filing requests (3 days)</w:t>
            </w:r>
          </w:p>
        </w:tc>
        <w:tc>
          <w:tcPr>
            <w:tcW w:w="2607" w:type="dxa"/>
            <w:hideMark/>
          </w:tcPr>
          <w:p w14:paraId="7171490B" w14:textId="77777777" w:rsidR="00673F93" w:rsidRPr="008011E4" w:rsidRDefault="00673F93" w:rsidP="00D4669F">
            <w:pPr>
              <w:pStyle w:val="NoSpacing"/>
              <w:rPr>
                <w:i/>
                <w:iCs/>
              </w:rPr>
            </w:pPr>
            <w:r w:rsidRPr="008011E4">
              <w:rPr>
                <w:i/>
                <w:iCs/>
              </w:rPr>
              <w:t>EDGAR_3</w:t>
            </w:r>
          </w:p>
        </w:tc>
        <w:tc>
          <w:tcPr>
            <w:tcW w:w="8188" w:type="dxa"/>
            <w:hideMark/>
          </w:tcPr>
          <w:p w14:paraId="220C1685" w14:textId="77777777" w:rsidR="00673F93" w:rsidRPr="00673F93" w:rsidRDefault="00673F93" w:rsidP="00D4669F">
            <w:pPr>
              <w:pStyle w:val="NoSpacing"/>
            </w:pPr>
            <w:r w:rsidRPr="00673F93">
              <w:t>The number of non‐automated clicks for an EDGAR 10‐K report in a 3‐day window from days [0,2]</w:t>
            </w:r>
          </w:p>
        </w:tc>
      </w:tr>
      <w:tr w:rsidR="00D4669F" w:rsidRPr="00673F93" w14:paraId="1A641C6A" w14:textId="77777777" w:rsidTr="00FB4998">
        <w:tc>
          <w:tcPr>
            <w:tcW w:w="2875" w:type="dxa"/>
            <w:hideMark/>
          </w:tcPr>
          <w:p w14:paraId="636CD4F6" w14:textId="77777777" w:rsidR="00673F93" w:rsidRPr="00673F93" w:rsidRDefault="00673F93" w:rsidP="00D4669F">
            <w:pPr>
              <w:pStyle w:val="NoSpacing"/>
            </w:pPr>
            <w:r w:rsidRPr="00673F93">
              <w:t>SEC filing requests (1 weeks)</w:t>
            </w:r>
          </w:p>
        </w:tc>
        <w:tc>
          <w:tcPr>
            <w:tcW w:w="2607" w:type="dxa"/>
            <w:hideMark/>
          </w:tcPr>
          <w:p w14:paraId="6132DD86" w14:textId="77777777" w:rsidR="00673F93" w:rsidRPr="008011E4" w:rsidRDefault="00673F93" w:rsidP="00D4669F">
            <w:pPr>
              <w:pStyle w:val="NoSpacing"/>
              <w:rPr>
                <w:i/>
                <w:iCs/>
              </w:rPr>
            </w:pPr>
            <w:r w:rsidRPr="008011E4">
              <w:rPr>
                <w:i/>
                <w:iCs/>
              </w:rPr>
              <w:t>EDGAR_1WK</w:t>
            </w:r>
          </w:p>
        </w:tc>
        <w:tc>
          <w:tcPr>
            <w:tcW w:w="8188" w:type="dxa"/>
            <w:hideMark/>
          </w:tcPr>
          <w:p w14:paraId="776936B1" w14:textId="77777777" w:rsidR="00673F93" w:rsidRPr="00673F93" w:rsidRDefault="00673F93" w:rsidP="00D4669F">
            <w:pPr>
              <w:pStyle w:val="NoSpacing"/>
            </w:pPr>
            <w:r w:rsidRPr="00673F93">
              <w:t>The number of non‐automated clicks for an EDGAR 10‐K report in a 7‐day window from days [0,6]</w:t>
            </w:r>
          </w:p>
        </w:tc>
      </w:tr>
      <w:tr w:rsidR="00D4669F" w:rsidRPr="00673F93" w14:paraId="16D7775E" w14:textId="77777777" w:rsidTr="00FB4998">
        <w:tc>
          <w:tcPr>
            <w:tcW w:w="2875" w:type="dxa"/>
            <w:hideMark/>
          </w:tcPr>
          <w:p w14:paraId="0DA2C895" w14:textId="77777777" w:rsidR="00673F93" w:rsidRPr="00673F93" w:rsidRDefault="00673F93" w:rsidP="00D4669F">
            <w:pPr>
              <w:pStyle w:val="NoSpacing"/>
            </w:pPr>
            <w:r w:rsidRPr="00673F93">
              <w:t>Company internet information search</w:t>
            </w:r>
          </w:p>
        </w:tc>
        <w:tc>
          <w:tcPr>
            <w:tcW w:w="2607" w:type="dxa"/>
            <w:hideMark/>
          </w:tcPr>
          <w:p w14:paraId="38F5A6D7" w14:textId="77777777" w:rsidR="00673F93" w:rsidRPr="008011E4" w:rsidRDefault="00673F93" w:rsidP="00D4669F">
            <w:pPr>
              <w:pStyle w:val="NoSpacing"/>
              <w:rPr>
                <w:i/>
                <w:iCs/>
              </w:rPr>
            </w:pPr>
            <w:r w:rsidRPr="008011E4">
              <w:rPr>
                <w:i/>
                <w:iCs/>
              </w:rPr>
              <w:t>GSEARCH</w:t>
            </w:r>
          </w:p>
        </w:tc>
        <w:tc>
          <w:tcPr>
            <w:tcW w:w="8188" w:type="dxa"/>
            <w:hideMark/>
          </w:tcPr>
          <w:p w14:paraId="430E4E1D" w14:textId="2D93C0E1" w:rsidR="00673F93" w:rsidRPr="00673F93" w:rsidRDefault="00673F93" w:rsidP="00D4669F">
            <w:pPr>
              <w:pStyle w:val="NoSpacing"/>
            </w:pPr>
            <w:r w:rsidRPr="00673F93">
              <w:t>Daily abnormal searches for company information as captured by the Google SVI (Drake </w:t>
            </w:r>
            <w:r w:rsidR="005A3923">
              <w:t xml:space="preserve">et al., </w:t>
            </w:r>
            <w:r w:rsidRPr="00673F93">
              <w:t>2012). When the variable is appended with an earnings announcement event window [−5, −1], [0] or [+1, +5], the number of abnormal Google searches is averaged over the specified window. Day 0 is the earnings announcement date.</w:t>
            </w:r>
          </w:p>
        </w:tc>
      </w:tr>
      <w:tr w:rsidR="00D4669F" w:rsidRPr="00673F93" w14:paraId="598A4C4F" w14:textId="77777777" w:rsidTr="00FB4998">
        <w:tc>
          <w:tcPr>
            <w:tcW w:w="2875" w:type="dxa"/>
            <w:hideMark/>
          </w:tcPr>
          <w:p w14:paraId="630B19E7" w14:textId="77777777" w:rsidR="00673F93" w:rsidRPr="00673F93" w:rsidRDefault="00673F93" w:rsidP="00D4669F">
            <w:pPr>
              <w:pStyle w:val="NoSpacing"/>
            </w:pPr>
            <w:r w:rsidRPr="00673F93">
              <w:t>Other variables</w:t>
            </w:r>
          </w:p>
        </w:tc>
        <w:tc>
          <w:tcPr>
            <w:tcW w:w="2607" w:type="dxa"/>
            <w:hideMark/>
          </w:tcPr>
          <w:p w14:paraId="3BED9B12" w14:textId="77777777" w:rsidR="00673F93" w:rsidRPr="008011E4" w:rsidRDefault="00673F93" w:rsidP="00D4669F">
            <w:pPr>
              <w:pStyle w:val="NoSpacing"/>
              <w:rPr>
                <w:i/>
                <w:iCs/>
              </w:rPr>
            </w:pPr>
          </w:p>
        </w:tc>
        <w:tc>
          <w:tcPr>
            <w:tcW w:w="8188" w:type="dxa"/>
            <w:hideMark/>
          </w:tcPr>
          <w:p w14:paraId="2562C773" w14:textId="77777777" w:rsidR="00673F93" w:rsidRPr="00673F93" w:rsidRDefault="00673F93" w:rsidP="00D4669F">
            <w:pPr>
              <w:pStyle w:val="NoSpacing"/>
            </w:pPr>
          </w:p>
        </w:tc>
      </w:tr>
      <w:tr w:rsidR="00D4669F" w:rsidRPr="00673F93" w14:paraId="15A8C4B2" w14:textId="77777777" w:rsidTr="00FB4998">
        <w:tc>
          <w:tcPr>
            <w:tcW w:w="2875" w:type="dxa"/>
            <w:hideMark/>
          </w:tcPr>
          <w:p w14:paraId="299E621F" w14:textId="77777777" w:rsidR="00673F93" w:rsidRPr="00673F93" w:rsidRDefault="00673F93" w:rsidP="00D4669F">
            <w:pPr>
              <w:pStyle w:val="NoSpacing"/>
            </w:pPr>
            <w:r w:rsidRPr="00673F93">
              <w:t>Magnitude of returns</w:t>
            </w:r>
          </w:p>
        </w:tc>
        <w:tc>
          <w:tcPr>
            <w:tcW w:w="2607" w:type="dxa"/>
            <w:hideMark/>
          </w:tcPr>
          <w:p w14:paraId="3C26F68F" w14:textId="77777777" w:rsidR="00673F93" w:rsidRPr="008011E4" w:rsidRDefault="00673F93" w:rsidP="00D4669F">
            <w:pPr>
              <w:pStyle w:val="NoSpacing"/>
              <w:rPr>
                <w:i/>
                <w:iCs/>
              </w:rPr>
            </w:pPr>
            <w:r w:rsidRPr="008011E4">
              <w:rPr>
                <w:i/>
                <w:iCs/>
              </w:rPr>
              <w:t>|RET|</w:t>
            </w:r>
          </w:p>
        </w:tc>
        <w:tc>
          <w:tcPr>
            <w:tcW w:w="8188" w:type="dxa"/>
            <w:hideMark/>
          </w:tcPr>
          <w:p w14:paraId="3DCDA7BD" w14:textId="77777777" w:rsidR="00673F93" w:rsidRPr="00673F93" w:rsidRDefault="00673F93" w:rsidP="00D4669F">
            <w:pPr>
              <w:pStyle w:val="NoSpacing"/>
            </w:pPr>
            <w:r w:rsidRPr="00673F93">
              <w:t>Absolute value of raw stock returns of the firm on that day</w:t>
            </w:r>
          </w:p>
        </w:tc>
      </w:tr>
      <w:tr w:rsidR="00D4669F" w:rsidRPr="00673F93" w14:paraId="6E2D9494" w14:textId="77777777" w:rsidTr="00FB4998">
        <w:tc>
          <w:tcPr>
            <w:tcW w:w="2875" w:type="dxa"/>
            <w:hideMark/>
          </w:tcPr>
          <w:p w14:paraId="068E9BA3" w14:textId="77777777" w:rsidR="00673F93" w:rsidRPr="00673F93" w:rsidRDefault="00673F93" w:rsidP="00D4669F">
            <w:pPr>
              <w:pStyle w:val="NoSpacing"/>
            </w:pPr>
            <w:r w:rsidRPr="00673F93">
              <w:t>Magnitude of firm performance</w:t>
            </w:r>
          </w:p>
        </w:tc>
        <w:tc>
          <w:tcPr>
            <w:tcW w:w="2607" w:type="dxa"/>
            <w:hideMark/>
          </w:tcPr>
          <w:p w14:paraId="27F56DD2" w14:textId="77777777" w:rsidR="00673F93" w:rsidRPr="008011E4" w:rsidRDefault="00673F93" w:rsidP="00D4669F">
            <w:pPr>
              <w:pStyle w:val="NoSpacing"/>
              <w:rPr>
                <w:i/>
                <w:iCs/>
              </w:rPr>
            </w:pPr>
            <w:r w:rsidRPr="008011E4">
              <w:rPr>
                <w:i/>
                <w:iCs/>
              </w:rPr>
              <w:t>|ROA|</w:t>
            </w:r>
          </w:p>
        </w:tc>
        <w:tc>
          <w:tcPr>
            <w:tcW w:w="8188" w:type="dxa"/>
            <w:hideMark/>
          </w:tcPr>
          <w:p w14:paraId="0D82CE36" w14:textId="77777777" w:rsidR="00673F93" w:rsidRPr="00673F93" w:rsidRDefault="00673F93" w:rsidP="00D4669F">
            <w:pPr>
              <w:pStyle w:val="NoSpacing"/>
            </w:pPr>
            <w:r w:rsidRPr="00673F93">
              <w:t>Absolute value of return on assets (earnings before extraordinary items scaled by total assets)</w:t>
            </w:r>
          </w:p>
        </w:tc>
      </w:tr>
      <w:tr w:rsidR="00D4669F" w:rsidRPr="00673F93" w14:paraId="79BF668F" w14:textId="77777777" w:rsidTr="00FB4998">
        <w:tc>
          <w:tcPr>
            <w:tcW w:w="2875" w:type="dxa"/>
            <w:hideMark/>
          </w:tcPr>
          <w:p w14:paraId="65A9DCFC" w14:textId="77777777" w:rsidR="00673F93" w:rsidRPr="00673F93" w:rsidRDefault="00673F93" w:rsidP="00D4669F">
            <w:pPr>
              <w:pStyle w:val="NoSpacing"/>
            </w:pPr>
            <w:r w:rsidRPr="00673F93">
              <w:t>Advertising expense</w:t>
            </w:r>
          </w:p>
        </w:tc>
        <w:tc>
          <w:tcPr>
            <w:tcW w:w="2607" w:type="dxa"/>
            <w:hideMark/>
          </w:tcPr>
          <w:p w14:paraId="408FAD0D" w14:textId="77777777" w:rsidR="00673F93" w:rsidRPr="008011E4" w:rsidRDefault="00673F93" w:rsidP="00D4669F">
            <w:pPr>
              <w:pStyle w:val="NoSpacing"/>
              <w:rPr>
                <w:i/>
                <w:iCs/>
              </w:rPr>
            </w:pPr>
            <w:r w:rsidRPr="008011E4">
              <w:rPr>
                <w:i/>
                <w:iCs/>
              </w:rPr>
              <w:t>ADVERTISING</w:t>
            </w:r>
          </w:p>
        </w:tc>
        <w:tc>
          <w:tcPr>
            <w:tcW w:w="8188" w:type="dxa"/>
            <w:hideMark/>
          </w:tcPr>
          <w:p w14:paraId="62EEAF13" w14:textId="77777777" w:rsidR="00673F93" w:rsidRPr="00673F93" w:rsidRDefault="00673F93" w:rsidP="00D4669F">
            <w:pPr>
              <w:pStyle w:val="NoSpacing"/>
            </w:pPr>
            <w:r w:rsidRPr="00673F93">
              <w:t>Advertising expense scaled by net sales</w:t>
            </w:r>
          </w:p>
        </w:tc>
      </w:tr>
      <w:tr w:rsidR="00D4669F" w:rsidRPr="00673F93" w14:paraId="387C2C70" w14:textId="77777777" w:rsidTr="00FB4998">
        <w:tc>
          <w:tcPr>
            <w:tcW w:w="2875" w:type="dxa"/>
            <w:hideMark/>
          </w:tcPr>
          <w:p w14:paraId="3ECE630D" w14:textId="77777777" w:rsidR="00673F93" w:rsidRPr="00673F93" w:rsidRDefault="00673F93" w:rsidP="00D4669F">
            <w:pPr>
              <w:pStyle w:val="NoSpacing"/>
            </w:pPr>
            <w:r w:rsidRPr="00673F93">
              <w:lastRenderedPageBreak/>
              <w:t>Firm age</w:t>
            </w:r>
          </w:p>
        </w:tc>
        <w:tc>
          <w:tcPr>
            <w:tcW w:w="2607" w:type="dxa"/>
            <w:hideMark/>
          </w:tcPr>
          <w:p w14:paraId="0EBAC12B" w14:textId="77777777" w:rsidR="00673F93" w:rsidRPr="008011E4" w:rsidRDefault="00673F93" w:rsidP="00D4669F">
            <w:pPr>
              <w:pStyle w:val="NoSpacing"/>
              <w:rPr>
                <w:i/>
                <w:iCs/>
              </w:rPr>
            </w:pPr>
            <w:r w:rsidRPr="008011E4">
              <w:rPr>
                <w:i/>
                <w:iCs/>
              </w:rPr>
              <w:t>AGE</w:t>
            </w:r>
          </w:p>
        </w:tc>
        <w:tc>
          <w:tcPr>
            <w:tcW w:w="8188" w:type="dxa"/>
            <w:hideMark/>
          </w:tcPr>
          <w:p w14:paraId="2D914120" w14:textId="77777777" w:rsidR="00673F93" w:rsidRPr="00673F93" w:rsidRDefault="00673F93" w:rsidP="00D4669F">
            <w:pPr>
              <w:pStyle w:val="NoSpacing"/>
            </w:pPr>
            <w:r w:rsidRPr="00673F93">
              <w:t>Natural logarithm of the number of years since the firm's stock was included in CRSP</w:t>
            </w:r>
          </w:p>
        </w:tc>
      </w:tr>
      <w:tr w:rsidR="00D4669F" w:rsidRPr="00673F93" w14:paraId="522D1C5D" w14:textId="77777777" w:rsidTr="00FB4998">
        <w:tc>
          <w:tcPr>
            <w:tcW w:w="2875" w:type="dxa"/>
            <w:hideMark/>
          </w:tcPr>
          <w:p w14:paraId="0EC186ED" w14:textId="77777777" w:rsidR="00673F93" w:rsidRPr="00673F93" w:rsidRDefault="00673F93" w:rsidP="00D4669F">
            <w:pPr>
              <w:pStyle w:val="NoSpacing"/>
            </w:pPr>
            <w:r w:rsidRPr="00673F93">
              <w:t>Analyst coverage</w:t>
            </w:r>
          </w:p>
        </w:tc>
        <w:tc>
          <w:tcPr>
            <w:tcW w:w="2607" w:type="dxa"/>
            <w:hideMark/>
          </w:tcPr>
          <w:p w14:paraId="3161FB74" w14:textId="77777777" w:rsidR="00673F93" w:rsidRPr="008011E4" w:rsidRDefault="00673F93" w:rsidP="00D4669F">
            <w:pPr>
              <w:pStyle w:val="NoSpacing"/>
              <w:rPr>
                <w:i/>
                <w:iCs/>
              </w:rPr>
            </w:pPr>
            <w:r w:rsidRPr="008011E4">
              <w:rPr>
                <w:i/>
                <w:iCs/>
              </w:rPr>
              <w:t>ANALYSTS</w:t>
            </w:r>
          </w:p>
        </w:tc>
        <w:tc>
          <w:tcPr>
            <w:tcW w:w="8188" w:type="dxa"/>
            <w:hideMark/>
          </w:tcPr>
          <w:p w14:paraId="16F86450" w14:textId="77777777" w:rsidR="00673F93" w:rsidRPr="00673F93" w:rsidRDefault="00673F93" w:rsidP="00D4669F">
            <w:pPr>
              <w:pStyle w:val="NoSpacing"/>
            </w:pPr>
            <w:r w:rsidRPr="00673F93">
              <w:t xml:space="preserve">Natural logarithm of 1 plus the number of unique </w:t>
            </w:r>
            <w:proofErr w:type="gramStart"/>
            <w:r w:rsidRPr="00673F93">
              <w:t>analyst</w:t>
            </w:r>
            <w:proofErr w:type="gramEnd"/>
            <w:r w:rsidRPr="00673F93">
              <w:t xml:space="preserve"> estimates for that firm</w:t>
            </w:r>
          </w:p>
        </w:tc>
      </w:tr>
      <w:tr w:rsidR="00D4669F" w:rsidRPr="00673F93" w14:paraId="55F410B4" w14:textId="77777777" w:rsidTr="00FB4998">
        <w:tc>
          <w:tcPr>
            <w:tcW w:w="2875" w:type="dxa"/>
            <w:hideMark/>
          </w:tcPr>
          <w:p w14:paraId="27A60AAE" w14:textId="77777777" w:rsidR="00673F93" w:rsidRPr="00673F93" w:rsidRDefault="00673F93" w:rsidP="00D4669F">
            <w:pPr>
              <w:pStyle w:val="NoSpacing"/>
            </w:pPr>
            <w:r w:rsidRPr="00673F93">
              <w:t>Earnings announcements</w:t>
            </w:r>
          </w:p>
        </w:tc>
        <w:tc>
          <w:tcPr>
            <w:tcW w:w="2607" w:type="dxa"/>
            <w:hideMark/>
          </w:tcPr>
          <w:p w14:paraId="27F48875" w14:textId="77777777" w:rsidR="00673F93" w:rsidRPr="008011E4" w:rsidRDefault="00673F93" w:rsidP="00D4669F">
            <w:pPr>
              <w:pStyle w:val="NoSpacing"/>
              <w:rPr>
                <w:i/>
                <w:iCs/>
              </w:rPr>
            </w:pPr>
            <w:r w:rsidRPr="008011E4">
              <w:rPr>
                <w:i/>
                <w:iCs/>
              </w:rPr>
              <w:t>ANM</w:t>
            </w:r>
          </w:p>
        </w:tc>
        <w:tc>
          <w:tcPr>
            <w:tcW w:w="8188" w:type="dxa"/>
            <w:hideMark/>
          </w:tcPr>
          <w:p w14:paraId="6B23C2C6" w14:textId="77777777" w:rsidR="00673F93" w:rsidRPr="00673F93" w:rsidRDefault="00673F93" w:rsidP="00D4669F">
            <w:pPr>
              <w:pStyle w:val="NoSpacing"/>
            </w:pPr>
            <w:r w:rsidRPr="00673F93">
              <w:t>Number of firms announcing earnings on the same day</w:t>
            </w:r>
          </w:p>
        </w:tc>
      </w:tr>
      <w:tr w:rsidR="00D4669F" w:rsidRPr="00673F93" w14:paraId="28DAD334" w14:textId="77777777" w:rsidTr="00FB4998">
        <w:tc>
          <w:tcPr>
            <w:tcW w:w="2875" w:type="dxa"/>
            <w:hideMark/>
          </w:tcPr>
          <w:p w14:paraId="0F319D17" w14:textId="77777777" w:rsidR="00673F93" w:rsidRPr="00673F93" w:rsidRDefault="00673F93" w:rsidP="00D4669F">
            <w:pPr>
              <w:pStyle w:val="NoSpacing"/>
            </w:pPr>
            <w:r w:rsidRPr="00673F93">
              <w:t>Asset growth</w:t>
            </w:r>
          </w:p>
        </w:tc>
        <w:tc>
          <w:tcPr>
            <w:tcW w:w="2607" w:type="dxa"/>
            <w:hideMark/>
          </w:tcPr>
          <w:p w14:paraId="7D642AB5" w14:textId="77777777" w:rsidR="00673F93" w:rsidRPr="008011E4" w:rsidRDefault="00673F93" w:rsidP="00D4669F">
            <w:pPr>
              <w:pStyle w:val="NoSpacing"/>
              <w:rPr>
                <w:i/>
                <w:iCs/>
              </w:rPr>
            </w:pPr>
            <w:r w:rsidRPr="008011E4">
              <w:rPr>
                <w:i/>
                <w:iCs/>
              </w:rPr>
              <w:t>ATGROWTH</w:t>
            </w:r>
          </w:p>
        </w:tc>
        <w:tc>
          <w:tcPr>
            <w:tcW w:w="8188" w:type="dxa"/>
            <w:hideMark/>
          </w:tcPr>
          <w:p w14:paraId="06C75A2B" w14:textId="77777777" w:rsidR="00673F93" w:rsidRPr="00673F93" w:rsidRDefault="00673F93" w:rsidP="00D4669F">
            <w:pPr>
              <w:pStyle w:val="NoSpacing"/>
            </w:pPr>
            <w:r w:rsidRPr="00673F93">
              <w:t>Growth rate in total assets</w:t>
            </w:r>
          </w:p>
        </w:tc>
      </w:tr>
      <w:tr w:rsidR="00D4669F" w:rsidRPr="00673F93" w14:paraId="768019CA" w14:textId="77777777" w:rsidTr="00FB4998">
        <w:tc>
          <w:tcPr>
            <w:tcW w:w="2875" w:type="dxa"/>
            <w:hideMark/>
          </w:tcPr>
          <w:p w14:paraId="6DE5327A" w14:textId="77777777" w:rsidR="00673F93" w:rsidRPr="00673F93" w:rsidRDefault="00673F93" w:rsidP="00D4669F">
            <w:pPr>
              <w:pStyle w:val="NoSpacing"/>
            </w:pPr>
            <w:r w:rsidRPr="00673F93">
              <w:t>Sales to assets</w:t>
            </w:r>
          </w:p>
        </w:tc>
        <w:tc>
          <w:tcPr>
            <w:tcW w:w="2607" w:type="dxa"/>
            <w:hideMark/>
          </w:tcPr>
          <w:p w14:paraId="0CCE6231" w14:textId="77777777" w:rsidR="00673F93" w:rsidRPr="008011E4" w:rsidRDefault="00673F93" w:rsidP="00D4669F">
            <w:pPr>
              <w:pStyle w:val="NoSpacing"/>
              <w:rPr>
                <w:i/>
                <w:iCs/>
              </w:rPr>
            </w:pPr>
            <w:r w:rsidRPr="008011E4">
              <w:rPr>
                <w:i/>
                <w:iCs/>
              </w:rPr>
              <w:t>ATO</w:t>
            </w:r>
          </w:p>
        </w:tc>
        <w:tc>
          <w:tcPr>
            <w:tcW w:w="8188" w:type="dxa"/>
            <w:hideMark/>
          </w:tcPr>
          <w:p w14:paraId="6499AC9E" w14:textId="77777777" w:rsidR="00673F93" w:rsidRPr="00673F93" w:rsidRDefault="00673F93" w:rsidP="00D4669F">
            <w:pPr>
              <w:pStyle w:val="NoSpacing"/>
            </w:pPr>
            <w:r w:rsidRPr="00673F93">
              <w:t>Net sales scaled by total assets</w:t>
            </w:r>
          </w:p>
        </w:tc>
      </w:tr>
      <w:tr w:rsidR="00D4669F" w:rsidRPr="00673F93" w14:paraId="57A82275" w14:textId="77777777" w:rsidTr="00FB4998">
        <w:tc>
          <w:tcPr>
            <w:tcW w:w="2875" w:type="dxa"/>
            <w:hideMark/>
          </w:tcPr>
          <w:p w14:paraId="2B6A45E8" w14:textId="77777777" w:rsidR="00673F93" w:rsidRPr="00673F93" w:rsidRDefault="00673F93" w:rsidP="00D4669F">
            <w:pPr>
              <w:pStyle w:val="NoSpacing"/>
            </w:pPr>
            <w:r w:rsidRPr="00673F93">
              <w:t>Capital asset pricing model beta</w:t>
            </w:r>
          </w:p>
        </w:tc>
        <w:tc>
          <w:tcPr>
            <w:tcW w:w="2607" w:type="dxa"/>
            <w:hideMark/>
          </w:tcPr>
          <w:p w14:paraId="2708A1EF" w14:textId="77777777" w:rsidR="00673F93" w:rsidRPr="008011E4" w:rsidRDefault="00673F93" w:rsidP="00D4669F">
            <w:pPr>
              <w:pStyle w:val="NoSpacing"/>
              <w:rPr>
                <w:i/>
                <w:iCs/>
              </w:rPr>
            </w:pPr>
            <w:r w:rsidRPr="008011E4">
              <w:rPr>
                <w:i/>
                <w:iCs/>
              </w:rPr>
              <w:t>BETA</w:t>
            </w:r>
          </w:p>
        </w:tc>
        <w:tc>
          <w:tcPr>
            <w:tcW w:w="8188" w:type="dxa"/>
            <w:hideMark/>
          </w:tcPr>
          <w:p w14:paraId="113920B3" w14:textId="77777777" w:rsidR="00673F93" w:rsidRPr="00673F93" w:rsidRDefault="00673F93" w:rsidP="00D4669F">
            <w:pPr>
              <w:pStyle w:val="NoSpacing"/>
            </w:pPr>
            <w:r w:rsidRPr="00673F93">
              <w:t>Market beta estimated from a market model using daily stock returns</w:t>
            </w:r>
          </w:p>
        </w:tc>
      </w:tr>
      <w:tr w:rsidR="00D4669F" w:rsidRPr="00673F93" w14:paraId="1ACC3717" w14:textId="77777777" w:rsidTr="00FB4998">
        <w:tc>
          <w:tcPr>
            <w:tcW w:w="2875" w:type="dxa"/>
            <w:hideMark/>
          </w:tcPr>
          <w:p w14:paraId="683EBB84" w14:textId="77777777" w:rsidR="00673F93" w:rsidRPr="00673F93" w:rsidRDefault="00673F93" w:rsidP="00D4669F">
            <w:pPr>
              <w:pStyle w:val="NoSpacing"/>
            </w:pPr>
            <w:r w:rsidRPr="00673F93">
              <w:t>Bid‐ask spread</w:t>
            </w:r>
          </w:p>
        </w:tc>
        <w:tc>
          <w:tcPr>
            <w:tcW w:w="2607" w:type="dxa"/>
            <w:hideMark/>
          </w:tcPr>
          <w:p w14:paraId="49ACAF10" w14:textId="77777777" w:rsidR="00673F93" w:rsidRPr="008011E4" w:rsidRDefault="00673F93" w:rsidP="00D4669F">
            <w:pPr>
              <w:pStyle w:val="NoSpacing"/>
              <w:rPr>
                <w:i/>
                <w:iCs/>
              </w:rPr>
            </w:pPr>
            <w:r w:rsidRPr="008011E4">
              <w:rPr>
                <w:i/>
                <w:iCs/>
              </w:rPr>
              <w:t>BIDASK</w:t>
            </w:r>
          </w:p>
        </w:tc>
        <w:tc>
          <w:tcPr>
            <w:tcW w:w="8188" w:type="dxa"/>
            <w:hideMark/>
          </w:tcPr>
          <w:p w14:paraId="00C4D92D" w14:textId="77777777" w:rsidR="00673F93" w:rsidRPr="00673F93" w:rsidRDefault="00673F93" w:rsidP="00D4669F">
            <w:pPr>
              <w:pStyle w:val="NoSpacing"/>
            </w:pPr>
            <w:r w:rsidRPr="00673F93">
              <w:t>The high–low estimate of bid‐ask spread for the firm on that day</w:t>
            </w:r>
          </w:p>
        </w:tc>
      </w:tr>
      <w:tr w:rsidR="00D4669F" w:rsidRPr="00673F93" w14:paraId="6CC0D8AF" w14:textId="77777777" w:rsidTr="00FB4998">
        <w:tc>
          <w:tcPr>
            <w:tcW w:w="2875" w:type="dxa"/>
            <w:hideMark/>
          </w:tcPr>
          <w:p w14:paraId="276A397C" w14:textId="77777777" w:rsidR="00673F93" w:rsidRPr="00673F93" w:rsidRDefault="00673F93" w:rsidP="00D4669F">
            <w:pPr>
              <w:pStyle w:val="NoSpacing"/>
            </w:pPr>
            <w:r w:rsidRPr="00673F93">
              <w:t>Cash holdings</w:t>
            </w:r>
          </w:p>
        </w:tc>
        <w:tc>
          <w:tcPr>
            <w:tcW w:w="2607" w:type="dxa"/>
            <w:hideMark/>
          </w:tcPr>
          <w:p w14:paraId="312C1E01" w14:textId="77777777" w:rsidR="00673F93" w:rsidRPr="008011E4" w:rsidRDefault="00673F93" w:rsidP="00D4669F">
            <w:pPr>
              <w:pStyle w:val="NoSpacing"/>
              <w:rPr>
                <w:i/>
                <w:iCs/>
              </w:rPr>
            </w:pPr>
            <w:r w:rsidRPr="008011E4">
              <w:rPr>
                <w:i/>
                <w:iCs/>
              </w:rPr>
              <w:t>CASH</w:t>
            </w:r>
          </w:p>
        </w:tc>
        <w:tc>
          <w:tcPr>
            <w:tcW w:w="8188" w:type="dxa"/>
            <w:hideMark/>
          </w:tcPr>
          <w:p w14:paraId="0487E74B" w14:textId="77777777" w:rsidR="00673F93" w:rsidRPr="00673F93" w:rsidRDefault="00673F93" w:rsidP="00D4669F">
            <w:pPr>
              <w:pStyle w:val="NoSpacing"/>
            </w:pPr>
            <w:r w:rsidRPr="00673F93">
              <w:t>Cash and short‐term investments scaled by total assets</w:t>
            </w:r>
          </w:p>
        </w:tc>
      </w:tr>
      <w:tr w:rsidR="00D4669F" w:rsidRPr="00673F93" w14:paraId="5880423C" w14:textId="77777777" w:rsidTr="00FB4998">
        <w:tc>
          <w:tcPr>
            <w:tcW w:w="2875" w:type="dxa"/>
            <w:hideMark/>
          </w:tcPr>
          <w:p w14:paraId="3D45AF1E" w14:textId="77777777" w:rsidR="00673F93" w:rsidRPr="00673F93" w:rsidRDefault="00673F93" w:rsidP="00D4669F">
            <w:pPr>
              <w:pStyle w:val="NoSpacing"/>
            </w:pPr>
            <w:r w:rsidRPr="00673F93">
              <w:t>Cash flow from operations</w:t>
            </w:r>
          </w:p>
        </w:tc>
        <w:tc>
          <w:tcPr>
            <w:tcW w:w="2607" w:type="dxa"/>
            <w:hideMark/>
          </w:tcPr>
          <w:p w14:paraId="355BE598" w14:textId="77777777" w:rsidR="00673F93" w:rsidRPr="008011E4" w:rsidRDefault="00673F93" w:rsidP="00D4669F">
            <w:pPr>
              <w:pStyle w:val="NoSpacing"/>
              <w:rPr>
                <w:i/>
                <w:iCs/>
              </w:rPr>
            </w:pPr>
            <w:r w:rsidRPr="008011E4">
              <w:rPr>
                <w:i/>
                <w:iCs/>
              </w:rPr>
              <w:t>CFO</w:t>
            </w:r>
          </w:p>
        </w:tc>
        <w:tc>
          <w:tcPr>
            <w:tcW w:w="8188" w:type="dxa"/>
            <w:hideMark/>
          </w:tcPr>
          <w:p w14:paraId="2183CDF0" w14:textId="77777777" w:rsidR="00673F93" w:rsidRPr="00673F93" w:rsidRDefault="00673F93" w:rsidP="00D4669F">
            <w:pPr>
              <w:pStyle w:val="NoSpacing"/>
            </w:pPr>
            <w:r w:rsidRPr="00673F93">
              <w:t>Cash flow from operations scaled by total assets</w:t>
            </w:r>
          </w:p>
        </w:tc>
      </w:tr>
      <w:tr w:rsidR="00D4669F" w:rsidRPr="00673F93" w14:paraId="39E2110A" w14:textId="77777777" w:rsidTr="00FB4998">
        <w:tc>
          <w:tcPr>
            <w:tcW w:w="2875" w:type="dxa"/>
            <w:hideMark/>
          </w:tcPr>
          <w:p w14:paraId="4B79CDAA" w14:textId="77777777" w:rsidR="00673F93" w:rsidRPr="00673F93" w:rsidRDefault="00673F93" w:rsidP="00D4669F">
            <w:pPr>
              <w:pStyle w:val="NoSpacing"/>
            </w:pPr>
            <w:r w:rsidRPr="00673F93">
              <w:t>Corporate governance</w:t>
            </w:r>
          </w:p>
        </w:tc>
        <w:tc>
          <w:tcPr>
            <w:tcW w:w="2607" w:type="dxa"/>
            <w:hideMark/>
          </w:tcPr>
          <w:p w14:paraId="1AD3D2BE" w14:textId="77777777" w:rsidR="00673F93" w:rsidRPr="008011E4" w:rsidRDefault="00673F93" w:rsidP="00D4669F">
            <w:pPr>
              <w:pStyle w:val="NoSpacing"/>
              <w:rPr>
                <w:i/>
                <w:iCs/>
              </w:rPr>
            </w:pPr>
            <w:r w:rsidRPr="008011E4">
              <w:rPr>
                <w:i/>
                <w:iCs/>
              </w:rPr>
              <w:t>CGSCORE</w:t>
            </w:r>
          </w:p>
        </w:tc>
        <w:tc>
          <w:tcPr>
            <w:tcW w:w="8188" w:type="dxa"/>
            <w:hideMark/>
          </w:tcPr>
          <w:p w14:paraId="4B4890A6" w14:textId="77777777" w:rsidR="00673F93" w:rsidRPr="00673F93" w:rsidRDefault="00673F93" w:rsidP="00D4669F">
            <w:pPr>
              <w:pStyle w:val="NoSpacing"/>
            </w:pPr>
            <w:r w:rsidRPr="00673F93">
              <w:t>Corporate governance dimension score of the KLD Index</w:t>
            </w:r>
          </w:p>
        </w:tc>
      </w:tr>
      <w:tr w:rsidR="00D4669F" w:rsidRPr="00673F93" w14:paraId="04E0DFDB" w14:textId="77777777" w:rsidTr="00FB4998">
        <w:tc>
          <w:tcPr>
            <w:tcW w:w="2875" w:type="dxa"/>
            <w:hideMark/>
          </w:tcPr>
          <w:p w14:paraId="30B47337" w14:textId="77777777" w:rsidR="00673F93" w:rsidRPr="00673F93" w:rsidRDefault="00673F93" w:rsidP="00D4669F">
            <w:pPr>
              <w:pStyle w:val="NoSpacing"/>
            </w:pPr>
            <w:r w:rsidRPr="00673F93">
              <w:t>Dividend dummy</w:t>
            </w:r>
          </w:p>
        </w:tc>
        <w:tc>
          <w:tcPr>
            <w:tcW w:w="2607" w:type="dxa"/>
            <w:hideMark/>
          </w:tcPr>
          <w:p w14:paraId="15B4E2DE" w14:textId="77777777" w:rsidR="00673F93" w:rsidRPr="008011E4" w:rsidRDefault="00673F93" w:rsidP="00D4669F">
            <w:pPr>
              <w:pStyle w:val="NoSpacing"/>
              <w:rPr>
                <w:i/>
                <w:iCs/>
              </w:rPr>
            </w:pPr>
            <w:r w:rsidRPr="008011E4">
              <w:rPr>
                <w:i/>
                <w:iCs/>
              </w:rPr>
              <w:t>DIV</w:t>
            </w:r>
          </w:p>
        </w:tc>
        <w:tc>
          <w:tcPr>
            <w:tcW w:w="8188" w:type="dxa"/>
            <w:hideMark/>
          </w:tcPr>
          <w:p w14:paraId="577028FA" w14:textId="77777777" w:rsidR="00673F93" w:rsidRPr="00673F93" w:rsidRDefault="00673F93" w:rsidP="00D4669F">
            <w:pPr>
              <w:pStyle w:val="NoSpacing"/>
            </w:pPr>
            <w:r w:rsidRPr="00673F93">
              <w:t>A dummy variable that equals 1 if a firm paid dividends, and 0 otherwise</w:t>
            </w:r>
          </w:p>
        </w:tc>
      </w:tr>
      <w:tr w:rsidR="00D4669F" w:rsidRPr="00673F93" w14:paraId="5101F318" w14:textId="77777777" w:rsidTr="00FB4998">
        <w:tc>
          <w:tcPr>
            <w:tcW w:w="2875" w:type="dxa"/>
            <w:hideMark/>
          </w:tcPr>
          <w:p w14:paraId="41F890A7" w14:textId="77777777" w:rsidR="00673F93" w:rsidRPr="00673F93" w:rsidRDefault="00673F93" w:rsidP="00D4669F">
            <w:pPr>
              <w:pStyle w:val="NoSpacing"/>
            </w:pPr>
            <w:r w:rsidRPr="00673F93">
              <w:t>Diversification dummy</w:t>
            </w:r>
          </w:p>
        </w:tc>
        <w:tc>
          <w:tcPr>
            <w:tcW w:w="2607" w:type="dxa"/>
            <w:hideMark/>
          </w:tcPr>
          <w:p w14:paraId="77D22411" w14:textId="77777777" w:rsidR="00673F93" w:rsidRPr="008011E4" w:rsidRDefault="00673F93" w:rsidP="00D4669F">
            <w:pPr>
              <w:pStyle w:val="NoSpacing"/>
              <w:rPr>
                <w:i/>
                <w:iCs/>
              </w:rPr>
            </w:pPr>
            <w:r w:rsidRPr="008011E4">
              <w:rPr>
                <w:i/>
                <w:iCs/>
              </w:rPr>
              <w:t>DIVER</w:t>
            </w:r>
          </w:p>
        </w:tc>
        <w:tc>
          <w:tcPr>
            <w:tcW w:w="8188" w:type="dxa"/>
            <w:hideMark/>
          </w:tcPr>
          <w:p w14:paraId="53BE925E" w14:textId="77777777" w:rsidR="00673F93" w:rsidRPr="00673F93" w:rsidRDefault="00673F93" w:rsidP="00D4669F">
            <w:pPr>
              <w:pStyle w:val="NoSpacing"/>
            </w:pPr>
            <w:r w:rsidRPr="00673F93">
              <w:t>A dummy variable that equals 1 if a firm has multiple operating segments, and 0 otherwise</w:t>
            </w:r>
          </w:p>
        </w:tc>
      </w:tr>
      <w:tr w:rsidR="00D4669F" w:rsidRPr="00673F93" w14:paraId="22D8CB4E" w14:textId="77777777" w:rsidTr="00FB4998">
        <w:tc>
          <w:tcPr>
            <w:tcW w:w="2875" w:type="dxa"/>
            <w:hideMark/>
          </w:tcPr>
          <w:p w14:paraId="52D7BC7B" w14:textId="77777777" w:rsidR="00673F93" w:rsidRPr="00673F93" w:rsidRDefault="00673F93" w:rsidP="00D4669F">
            <w:pPr>
              <w:pStyle w:val="NoSpacing"/>
            </w:pPr>
            <w:r w:rsidRPr="00673F93">
              <w:t>Earnings persistence</w:t>
            </w:r>
          </w:p>
        </w:tc>
        <w:tc>
          <w:tcPr>
            <w:tcW w:w="2607" w:type="dxa"/>
            <w:hideMark/>
          </w:tcPr>
          <w:p w14:paraId="39668F94" w14:textId="77777777" w:rsidR="00673F93" w:rsidRPr="008011E4" w:rsidRDefault="00673F93" w:rsidP="00D4669F">
            <w:pPr>
              <w:pStyle w:val="NoSpacing"/>
              <w:rPr>
                <w:i/>
                <w:iCs/>
              </w:rPr>
            </w:pPr>
            <w:r w:rsidRPr="008011E4">
              <w:rPr>
                <w:i/>
                <w:iCs/>
              </w:rPr>
              <w:t>EARN_P</w:t>
            </w:r>
          </w:p>
        </w:tc>
        <w:tc>
          <w:tcPr>
            <w:tcW w:w="8188" w:type="dxa"/>
            <w:hideMark/>
          </w:tcPr>
          <w:p w14:paraId="2E9EF2E3" w14:textId="77777777" w:rsidR="00673F93" w:rsidRPr="00673F93" w:rsidRDefault="00673F93" w:rsidP="00D4669F">
            <w:pPr>
              <w:pStyle w:val="NoSpacing"/>
            </w:pPr>
            <w:r w:rsidRPr="00673F93">
              <w:t>The first‐order autocorrelation coefficient of quarterly earnings per share over the past 4 years</w:t>
            </w:r>
          </w:p>
        </w:tc>
      </w:tr>
      <w:tr w:rsidR="00D4669F" w:rsidRPr="00673F93" w14:paraId="55CBBF15" w14:textId="77777777" w:rsidTr="00FB4998">
        <w:tc>
          <w:tcPr>
            <w:tcW w:w="2875" w:type="dxa"/>
            <w:hideMark/>
          </w:tcPr>
          <w:p w14:paraId="71FC24D5" w14:textId="77777777" w:rsidR="00673F93" w:rsidRPr="00673F93" w:rsidRDefault="00673F93" w:rsidP="00D4669F">
            <w:pPr>
              <w:pStyle w:val="NoSpacing"/>
            </w:pPr>
            <w:r w:rsidRPr="00673F93">
              <w:t>Earnings announcement dummy</w:t>
            </w:r>
          </w:p>
        </w:tc>
        <w:tc>
          <w:tcPr>
            <w:tcW w:w="2607" w:type="dxa"/>
            <w:hideMark/>
          </w:tcPr>
          <w:p w14:paraId="711DF3BD" w14:textId="77777777" w:rsidR="00673F93" w:rsidRPr="008011E4" w:rsidRDefault="00673F93" w:rsidP="00D4669F">
            <w:pPr>
              <w:pStyle w:val="NoSpacing"/>
              <w:rPr>
                <w:i/>
                <w:iCs/>
              </w:rPr>
            </w:pPr>
            <w:r w:rsidRPr="008011E4">
              <w:rPr>
                <w:i/>
                <w:iCs/>
              </w:rPr>
              <w:t>EARNINGS_</w:t>
            </w:r>
            <w:proofErr w:type="gramStart"/>
            <w:r w:rsidRPr="008011E4">
              <w:rPr>
                <w:i/>
                <w:iCs/>
              </w:rPr>
              <w:t>ANNOUNCEMENT[</w:t>
            </w:r>
            <w:proofErr w:type="gramEnd"/>
            <w:r w:rsidRPr="008011E4">
              <w:rPr>
                <w:i/>
                <w:iCs/>
              </w:rPr>
              <w:t>0]</w:t>
            </w:r>
          </w:p>
        </w:tc>
        <w:tc>
          <w:tcPr>
            <w:tcW w:w="8188" w:type="dxa"/>
            <w:hideMark/>
          </w:tcPr>
          <w:p w14:paraId="251C9D50" w14:textId="77777777" w:rsidR="00673F93" w:rsidRPr="00673F93" w:rsidRDefault="00673F93" w:rsidP="00D4669F">
            <w:pPr>
              <w:pStyle w:val="NoSpacing"/>
            </w:pPr>
            <w:r w:rsidRPr="00673F93">
              <w:t>A dummy variable that equals 1 on an earnings announcement day and 0 otherwise</w:t>
            </w:r>
          </w:p>
        </w:tc>
      </w:tr>
      <w:tr w:rsidR="00D4669F" w:rsidRPr="00673F93" w14:paraId="740B8FAA" w14:textId="77777777" w:rsidTr="00FB4998">
        <w:tc>
          <w:tcPr>
            <w:tcW w:w="2875" w:type="dxa"/>
            <w:hideMark/>
          </w:tcPr>
          <w:p w14:paraId="046E6B3D" w14:textId="77777777" w:rsidR="00673F93" w:rsidRPr="00673F93" w:rsidRDefault="00673F93" w:rsidP="00D4669F">
            <w:pPr>
              <w:pStyle w:val="NoSpacing"/>
            </w:pPr>
            <w:r w:rsidRPr="00673F93">
              <w:t>Post earnings announcement date dummy</w:t>
            </w:r>
          </w:p>
        </w:tc>
        <w:tc>
          <w:tcPr>
            <w:tcW w:w="2607" w:type="dxa"/>
            <w:hideMark/>
          </w:tcPr>
          <w:p w14:paraId="1B14B823" w14:textId="77777777" w:rsidR="00673F93" w:rsidRPr="008011E4" w:rsidRDefault="00673F93" w:rsidP="00D4669F">
            <w:pPr>
              <w:pStyle w:val="NoSpacing"/>
              <w:rPr>
                <w:i/>
                <w:iCs/>
              </w:rPr>
            </w:pPr>
            <w:r w:rsidRPr="008011E4">
              <w:rPr>
                <w:i/>
                <w:iCs/>
              </w:rPr>
              <w:t>EARNINGS_</w:t>
            </w:r>
            <w:proofErr w:type="gramStart"/>
            <w:r w:rsidRPr="008011E4">
              <w:rPr>
                <w:i/>
                <w:iCs/>
              </w:rPr>
              <w:t>ANNOUNCEMENT[</w:t>
            </w:r>
            <w:proofErr w:type="gramEnd"/>
            <w:r w:rsidRPr="008011E4">
              <w:rPr>
                <w:i/>
                <w:iCs/>
              </w:rPr>
              <w:t>1,5]</w:t>
            </w:r>
          </w:p>
        </w:tc>
        <w:tc>
          <w:tcPr>
            <w:tcW w:w="8188" w:type="dxa"/>
            <w:hideMark/>
          </w:tcPr>
          <w:p w14:paraId="04E8DA4E" w14:textId="77777777" w:rsidR="00673F93" w:rsidRPr="00673F93" w:rsidRDefault="00673F93" w:rsidP="00D4669F">
            <w:pPr>
              <w:pStyle w:val="NoSpacing"/>
            </w:pPr>
            <w:r w:rsidRPr="00673F93">
              <w:t>A dummy variable that equals 1 if the day is in the window from 1 day to 5 days after the earnings announcement, and 0 otherwise</w:t>
            </w:r>
          </w:p>
        </w:tc>
      </w:tr>
      <w:tr w:rsidR="00D4669F" w:rsidRPr="00673F93" w14:paraId="098E3121" w14:textId="77777777" w:rsidTr="00FB4998">
        <w:tc>
          <w:tcPr>
            <w:tcW w:w="2875" w:type="dxa"/>
            <w:hideMark/>
          </w:tcPr>
          <w:p w14:paraId="7A9368D6" w14:textId="77777777" w:rsidR="00673F93" w:rsidRPr="00673F93" w:rsidRDefault="00673F93" w:rsidP="00D4669F">
            <w:pPr>
              <w:pStyle w:val="NoSpacing"/>
            </w:pPr>
            <w:r w:rsidRPr="00673F93">
              <w:t>Prior earnings announcement date dummy</w:t>
            </w:r>
          </w:p>
        </w:tc>
        <w:tc>
          <w:tcPr>
            <w:tcW w:w="2607" w:type="dxa"/>
            <w:hideMark/>
          </w:tcPr>
          <w:p w14:paraId="0429D228" w14:textId="77777777" w:rsidR="00673F93" w:rsidRPr="008011E4" w:rsidRDefault="00673F93" w:rsidP="00D4669F">
            <w:pPr>
              <w:pStyle w:val="NoSpacing"/>
              <w:rPr>
                <w:i/>
                <w:iCs/>
              </w:rPr>
            </w:pPr>
            <w:r w:rsidRPr="008011E4">
              <w:rPr>
                <w:i/>
                <w:iCs/>
              </w:rPr>
              <w:t>EARNINGS_</w:t>
            </w:r>
            <w:proofErr w:type="gramStart"/>
            <w:r w:rsidRPr="008011E4">
              <w:rPr>
                <w:i/>
                <w:iCs/>
              </w:rPr>
              <w:t>ANNOUNCEMENT[</w:t>
            </w:r>
            <w:proofErr w:type="gramEnd"/>
            <w:r w:rsidRPr="008011E4">
              <w:rPr>
                <w:i/>
                <w:iCs/>
              </w:rPr>
              <w:t>−5,‐1]</w:t>
            </w:r>
          </w:p>
        </w:tc>
        <w:tc>
          <w:tcPr>
            <w:tcW w:w="8188" w:type="dxa"/>
            <w:hideMark/>
          </w:tcPr>
          <w:p w14:paraId="536FF81C" w14:textId="77777777" w:rsidR="00673F93" w:rsidRPr="00673F93" w:rsidRDefault="00673F93" w:rsidP="00D4669F">
            <w:pPr>
              <w:pStyle w:val="NoSpacing"/>
            </w:pPr>
            <w:r w:rsidRPr="00673F93">
              <w:t>A dummy variable that equals 1 if the day is in the window from 5 days to 1 day prior to the earnings announcement, and 0 otherwise</w:t>
            </w:r>
          </w:p>
        </w:tc>
      </w:tr>
      <w:tr w:rsidR="00D4669F" w:rsidRPr="00673F93" w14:paraId="6FB023B8" w14:textId="77777777" w:rsidTr="00FB4998">
        <w:tc>
          <w:tcPr>
            <w:tcW w:w="2875" w:type="dxa"/>
            <w:hideMark/>
          </w:tcPr>
          <w:p w14:paraId="2EFF6222" w14:textId="77777777" w:rsidR="00673F93" w:rsidRPr="00673F93" w:rsidRDefault="00673F93" w:rsidP="00D4669F">
            <w:pPr>
              <w:pStyle w:val="NoSpacing"/>
            </w:pPr>
            <w:r w:rsidRPr="00673F93">
              <w:t>Current earnings</w:t>
            </w:r>
          </w:p>
        </w:tc>
        <w:tc>
          <w:tcPr>
            <w:tcW w:w="2607" w:type="dxa"/>
            <w:hideMark/>
          </w:tcPr>
          <w:p w14:paraId="16646D19" w14:textId="77777777" w:rsidR="00673F93" w:rsidRPr="008011E4" w:rsidRDefault="00673F93" w:rsidP="00D4669F">
            <w:pPr>
              <w:pStyle w:val="NoSpacing"/>
              <w:rPr>
                <w:i/>
                <w:iCs/>
              </w:rPr>
            </w:pPr>
            <w:r w:rsidRPr="008011E4">
              <w:rPr>
                <w:i/>
                <w:iCs/>
              </w:rPr>
              <w:t>EARN</w:t>
            </w:r>
            <w:r w:rsidRPr="008011E4">
              <w:rPr>
                <w:i/>
                <w:iCs/>
                <w:vertAlign w:val="subscript"/>
              </w:rPr>
              <w:t>t</w:t>
            </w:r>
          </w:p>
        </w:tc>
        <w:tc>
          <w:tcPr>
            <w:tcW w:w="8188" w:type="dxa"/>
            <w:hideMark/>
          </w:tcPr>
          <w:p w14:paraId="25BA1B25" w14:textId="77777777" w:rsidR="00673F93" w:rsidRPr="00673F93" w:rsidRDefault="00673F93" w:rsidP="00D4669F">
            <w:pPr>
              <w:pStyle w:val="NoSpacing"/>
            </w:pPr>
            <w:r w:rsidRPr="00673F93">
              <w:t>Earnings per share for the current year, deflated by the stock price at the beginning of the current year</w:t>
            </w:r>
          </w:p>
        </w:tc>
      </w:tr>
      <w:tr w:rsidR="00D4669F" w:rsidRPr="00673F93" w14:paraId="56A472D2" w14:textId="77777777" w:rsidTr="00FB4998">
        <w:tc>
          <w:tcPr>
            <w:tcW w:w="2875" w:type="dxa"/>
            <w:hideMark/>
          </w:tcPr>
          <w:p w14:paraId="53573C69" w14:textId="77777777" w:rsidR="00673F93" w:rsidRPr="00673F93" w:rsidRDefault="00673F93" w:rsidP="00D4669F">
            <w:pPr>
              <w:pStyle w:val="NoSpacing"/>
            </w:pPr>
            <w:r w:rsidRPr="00673F93">
              <w:t>Future earnings</w:t>
            </w:r>
          </w:p>
        </w:tc>
        <w:tc>
          <w:tcPr>
            <w:tcW w:w="2607" w:type="dxa"/>
            <w:hideMark/>
          </w:tcPr>
          <w:p w14:paraId="54B557A4" w14:textId="77777777" w:rsidR="00673F93" w:rsidRPr="008011E4" w:rsidRDefault="00673F93" w:rsidP="00D4669F">
            <w:pPr>
              <w:pStyle w:val="NoSpacing"/>
              <w:rPr>
                <w:i/>
                <w:iCs/>
              </w:rPr>
            </w:pPr>
            <w:r w:rsidRPr="008011E4">
              <w:rPr>
                <w:i/>
                <w:iCs/>
              </w:rPr>
              <w:t>EARN</w:t>
            </w:r>
            <w:r w:rsidRPr="008011E4">
              <w:rPr>
                <w:i/>
                <w:iCs/>
                <w:vertAlign w:val="subscript"/>
              </w:rPr>
              <w:t>t+1</w:t>
            </w:r>
          </w:p>
        </w:tc>
        <w:tc>
          <w:tcPr>
            <w:tcW w:w="8188" w:type="dxa"/>
            <w:hideMark/>
          </w:tcPr>
          <w:p w14:paraId="4BF02411" w14:textId="77777777" w:rsidR="00673F93" w:rsidRPr="00673F93" w:rsidRDefault="00673F93" w:rsidP="00D4669F">
            <w:pPr>
              <w:pStyle w:val="NoSpacing"/>
            </w:pPr>
            <w:r w:rsidRPr="00673F93">
              <w:t>Earnings per share in the following year, deflated by the stock price at the beginning of the current year</w:t>
            </w:r>
          </w:p>
        </w:tc>
      </w:tr>
      <w:tr w:rsidR="00D4669F" w:rsidRPr="00673F93" w14:paraId="2FE5A469" w14:textId="77777777" w:rsidTr="00FB4998">
        <w:tc>
          <w:tcPr>
            <w:tcW w:w="2875" w:type="dxa"/>
            <w:hideMark/>
          </w:tcPr>
          <w:p w14:paraId="7DD5C989" w14:textId="77777777" w:rsidR="00673F93" w:rsidRPr="00673F93" w:rsidRDefault="00673F93" w:rsidP="00D4669F">
            <w:pPr>
              <w:pStyle w:val="NoSpacing"/>
            </w:pPr>
            <w:r w:rsidRPr="00673F93">
              <w:t>Prior earnings</w:t>
            </w:r>
          </w:p>
        </w:tc>
        <w:tc>
          <w:tcPr>
            <w:tcW w:w="2607" w:type="dxa"/>
            <w:hideMark/>
          </w:tcPr>
          <w:p w14:paraId="0DA19884" w14:textId="77777777" w:rsidR="00673F93" w:rsidRPr="008011E4" w:rsidRDefault="00673F93" w:rsidP="00D4669F">
            <w:pPr>
              <w:pStyle w:val="NoSpacing"/>
              <w:rPr>
                <w:i/>
                <w:iCs/>
              </w:rPr>
            </w:pPr>
            <w:r w:rsidRPr="008011E4">
              <w:rPr>
                <w:i/>
                <w:iCs/>
              </w:rPr>
              <w:t>EARN</w:t>
            </w:r>
            <w:r w:rsidRPr="008011E4">
              <w:rPr>
                <w:i/>
                <w:iCs/>
                <w:vertAlign w:val="subscript"/>
              </w:rPr>
              <w:t>t−1</w:t>
            </w:r>
          </w:p>
        </w:tc>
        <w:tc>
          <w:tcPr>
            <w:tcW w:w="8188" w:type="dxa"/>
            <w:hideMark/>
          </w:tcPr>
          <w:p w14:paraId="0B64AA4B" w14:textId="77777777" w:rsidR="00673F93" w:rsidRPr="00673F93" w:rsidRDefault="00673F93" w:rsidP="00D4669F">
            <w:pPr>
              <w:pStyle w:val="NoSpacing"/>
            </w:pPr>
            <w:r w:rsidRPr="00673F93">
              <w:t>Earnings per share in the prior year deflated by the stock price at the beginning of the current year</w:t>
            </w:r>
          </w:p>
        </w:tc>
      </w:tr>
      <w:tr w:rsidR="00D4669F" w:rsidRPr="00673F93" w14:paraId="3F62F741" w14:textId="77777777" w:rsidTr="00FB4998">
        <w:tc>
          <w:tcPr>
            <w:tcW w:w="2875" w:type="dxa"/>
            <w:hideMark/>
          </w:tcPr>
          <w:p w14:paraId="17E12D95" w14:textId="77777777" w:rsidR="00673F93" w:rsidRPr="00673F93" w:rsidRDefault="00673F93" w:rsidP="00D4669F">
            <w:pPr>
              <w:pStyle w:val="NoSpacing"/>
            </w:pPr>
            <w:r w:rsidRPr="00673F93">
              <w:t>Earnings quality</w:t>
            </w:r>
          </w:p>
        </w:tc>
        <w:tc>
          <w:tcPr>
            <w:tcW w:w="2607" w:type="dxa"/>
            <w:hideMark/>
          </w:tcPr>
          <w:p w14:paraId="349E7403" w14:textId="77777777" w:rsidR="00673F93" w:rsidRPr="008011E4" w:rsidRDefault="00673F93" w:rsidP="00D4669F">
            <w:pPr>
              <w:pStyle w:val="NoSpacing"/>
              <w:rPr>
                <w:i/>
                <w:iCs/>
              </w:rPr>
            </w:pPr>
            <w:r w:rsidRPr="008011E4">
              <w:rPr>
                <w:i/>
                <w:iCs/>
              </w:rPr>
              <w:t>EQ</w:t>
            </w:r>
          </w:p>
        </w:tc>
        <w:tc>
          <w:tcPr>
            <w:tcW w:w="8188" w:type="dxa"/>
            <w:hideMark/>
          </w:tcPr>
          <w:p w14:paraId="3DD56A7C" w14:textId="3174846E" w:rsidR="00673F93" w:rsidRPr="00673F93" w:rsidRDefault="00673F93" w:rsidP="00D4669F">
            <w:pPr>
              <w:pStyle w:val="NoSpacing"/>
            </w:pPr>
            <w:r w:rsidRPr="00673F93">
              <w:t xml:space="preserve">Earnings quality measured as the magnitude of discretionary accruals following Jones (1991) as modified by Dechow </w:t>
            </w:r>
            <w:r w:rsidR="005A3923">
              <w:t xml:space="preserve">et al. </w:t>
            </w:r>
            <w:r w:rsidRPr="00673F93">
              <w:t xml:space="preserve"> (1995)</w:t>
            </w:r>
          </w:p>
        </w:tc>
      </w:tr>
      <w:tr w:rsidR="00D4669F" w:rsidRPr="00673F93" w14:paraId="384DCF76" w14:textId="77777777" w:rsidTr="00FB4998">
        <w:tc>
          <w:tcPr>
            <w:tcW w:w="2875" w:type="dxa"/>
            <w:hideMark/>
          </w:tcPr>
          <w:p w14:paraId="52B45B25" w14:textId="77777777" w:rsidR="00673F93" w:rsidRPr="00673F93" w:rsidRDefault="00673F93" w:rsidP="00D4669F">
            <w:pPr>
              <w:pStyle w:val="NoSpacing"/>
            </w:pPr>
            <w:r w:rsidRPr="00673F93">
              <w:t>Concurrent earnings forecasts</w:t>
            </w:r>
          </w:p>
        </w:tc>
        <w:tc>
          <w:tcPr>
            <w:tcW w:w="2607" w:type="dxa"/>
            <w:hideMark/>
          </w:tcPr>
          <w:p w14:paraId="6C196ECF" w14:textId="77777777" w:rsidR="00673F93" w:rsidRPr="008011E4" w:rsidRDefault="00673F93" w:rsidP="00D4669F">
            <w:pPr>
              <w:pStyle w:val="NoSpacing"/>
              <w:rPr>
                <w:i/>
                <w:iCs/>
              </w:rPr>
            </w:pPr>
            <w:r w:rsidRPr="008011E4">
              <w:rPr>
                <w:i/>
                <w:iCs/>
              </w:rPr>
              <w:t>FORECAST</w:t>
            </w:r>
          </w:p>
        </w:tc>
        <w:tc>
          <w:tcPr>
            <w:tcW w:w="8188" w:type="dxa"/>
            <w:hideMark/>
          </w:tcPr>
          <w:p w14:paraId="26BCE945" w14:textId="77777777" w:rsidR="00673F93" w:rsidRPr="00673F93" w:rsidRDefault="00673F93" w:rsidP="00D4669F">
            <w:pPr>
              <w:pStyle w:val="NoSpacing"/>
            </w:pPr>
            <w:r w:rsidRPr="00673F93">
              <w:t>A dummy variable that equals 1 if a management earnings forecast is issued concurrently with the earnings announcement, and 0 otherwise</w:t>
            </w:r>
          </w:p>
        </w:tc>
      </w:tr>
      <w:tr w:rsidR="00D4669F" w:rsidRPr="00673F93" w14:paraId="1FE7EF5F" w14:textId="77777777" w:rsidTr="00FB4998">
        <w:tc>
          <w:tcPr>
            <w:tcW w:w="2875" w:type="dxa"/>
            <w:hideMark/>
          </w:tcPr>
          <w:p w14:paraId="1C1CC214" w14:textId="77777777" w:rsidR="00673F93" w:rsidRPr="00673F93" w:rsidRDefault="00673F93" w:rsidP="00D4669F">
            <w:pPr>
              <w:pStyle w:val="NoSpacing"/>
            </w:pPr>
            <w:r w:rsidRPr="00673F93">
              <w:t>Frequency of earnings forecasts</w:t>
            </w:r>
          </w:p>
        </w:tc>
        <w:tc>
          <w:tcPr>
            <w:tcW w:w="2607" w:type="dxa"/>
            <w:hideMark/>
          </w:tcPr>
          <w:p w14:paraId="164E3570" w14:textId="77777777" w:rsidR="00673F93" w:rsidRPr="008011E4" w:rsidRDefault="00673F93" w:rsidP="00D4669F">
            <w:pPr>
              <w:pStyle w:val="NoSpacing"/>
              <w:rPr>
                <w:i/>
                <w:iCs/>
              </w:rPr>
            </w:pPr>
            <w:r w:rsidRPr="008011E4">
              <w:rPr>
                <w:i/>
                <w:iCs/>
              </w:rPr>
              <w:t>FREQ</w:t>
            </w:r>
          </w:p>
        </w:tc>
        <w:tc>
          <w:tcPr>
            <w:tcW w:w="8188" w:type="dxa"/>
            <w:hideMark/>
          </w:tcPr>
          <w:p w14:paraId="5164B7B1" w14:textId="77777777" w:rsidR="00673F93" w:rsidRPr="00673F93" w:rsidRDefault="00673F93" w:rsidP="00D4669F">
            <w:pPr>
              <w:pStyle w:val="NoSpacing"/>
            </w:pPr>
            <w:r w:rsidRPr="00673F93">
              <w:t>The natural logarithm of one plus the number of management earnings forecasts issued in a year</w:t>
            </w:r>
          </w:p>
        </w:tc>
      </w:tr>
      <w:tr w:rsidR="00D4669F" w:rsidRPr="00673F93" w14:paraId="49ECD8B8" w14:textId="77777777" w:rsidTr="00FB4998">
        <w:tc>
          <w:tcPr>
            <w:tcW w:w="2875" w:type="dxa"/>
            <w:hideMark/>
          </w:tcPr>
          <w:p w14:paraId="1FD6E2D6" w14:textId="77777777" w:rsidR="00673F93" w:rsidRPr="00673F93" w:rsidRDefault="00673F93" w:rsidP="00D4669F">
            <w:pPr>
              <w:pStyle w:val="NoSpacing"/>
            </w:pPr>
            <w:r w:rsidRPr="00673F93">
              <w:t>Number of institutional investors</w:t>
            </w:r>
          </w:p>
        </w:tc>
        <w:tc>
          <w:tcPr>
            <w:tcW w:w="2607" w:type="dxa"/>
            <w:hideMark/>
          </w:tcPr>
          <w:p w14:paraId="11C8DE9F" w14:textId="77777777" w:rsidR="00673F93" w:rsidRPr="008011E4" w:rsidRDefault="00673F93" w:rsidP="00D4669F">
            <w:pPr>
              <w:pStyle w:val="NoSpacing"/>
              <w:rPr>
                <w:i/>
                <w:iCs/>
              </w:rPr>
            </w:pPr>
            <w:r w:rsidRPr="008011E4">
              <w:rPr>
                <w:i/>
                <w:iCs/>
              </w:rPr>
              <w:t>INSTNUM</w:t>
            </w:r>
          </w:p>
        </w:tc>
        <w:tc>
          <w:tcPr>
            <w:tcW w:w="8188" w:type="dxa"/>
            <w:hideMark/>
          </w:tcPr>
          <w:p w14:paraId="62113A0C" w14:textId="77777777" w:rsidR="00673F93" w:rsidRPr="00673F93" w:rsidRDefault="00673F93" w:rsidP="00D4669F">
            <w:pPr>
              <w:pStyle w:val="NoSpacing"/>
            </w:pPr>
            <w:r w:rsidRPr="00673F93">
              <w:t>Number of institutional investors holding shares in a firm</w:t>
            </w:r>
          </w:p>
        </w:tc>
      </w:tr>
      <w:tr w:rsidR="00D4669F" w:rsidRPr="00673F93" w14:paraId="5D40537A" w14:textId="77777777" w:rsidTr="00FB4998">
        <w:tc>
          <w:tcPr>
            <w:tcW w:w="2875" w:type="dxa"/>
            <w:hideMark/>
          </w:tcPr>
          <w:p w14:paraId="1E42D613" w14:textId="77777777" w:rsidR="00673F93" w:rsidRPr="00673F93" w:rsidRDefault="00673F93" w:rsidP="00D4669F">
            <w:pPr>
              <w:pStyle w:val="NoSpacing"/>
            </w:pPr>
            <w:r w:rsidRPr="00673F93">
              <w:lastRenderedPageBreak/>
              <w:t>Institutional ownership</w:t>
            </w:r>
          </w:p>
        </w:tc>
        <w:tc>
          <w:tcPr>
            <w:tcW w:w="2607" w:type="dxa"/>
            <w:hideMark/>
          </w:tcPr>
          <w:p w14:paraId="051B5878" w14:textId="77777777" w:rsidR="00673F93" w:rsidRPr="008011E4" w:rsidRDefault="00673F93" w:rsidP="00D4669F">
            <w:pPr>
              <w:pStyle w:val="NoSpacing"/>
              <w:rPr>
                <w:i/>
                <w:iCs/>
              </w:rPr>
            </w:pPr>
            <w:r w:rsidRPr="008011E4">
              <w:rPr>
                <w:i/>
                <w:iCs/>
              </w:rPr>
              <w:t>INSTOWN</w:t>
            </w:r>
          </w:p>
        </w:tc>
        <w:tc>
          <w:tcPr>
            <w:tcW w:w="8188" w:type="dxa"/>
            <w:hideMark/>
          </w:tcPr>
          <w:p w14:paraId="051DA49A" w14:textId="77777777" w:rsidR="00673F93" w:rsidRPr="00673F93" w:rsidRDefault="00673F93" w:rsidP="00D4669F">
            <w:pPr>
              <w:pStyle w:val="NoSpacing"/>
            </w:pPr>
            <w:r w:rsidRPr="00673F93">
              <w:t>Number of shares owned by institutional investors scaled by total shares outstanding</w:t>
            </w:r>
          </w:p>
        </w:tc>
      </w:tr>
      <w:tr w:rsidR="00D4669F" w:rsidRPr="00673F93" w14:paraId="2B8E38C2" w14:textId="77777777" w:rsidTr="00FB4998">
        <w:tc>
          <w:tcPr>
            <w:tcW w:w="2875" w:type="dxa"/>
            <w:hideMark/>
          </w:tcPr>
          <w:p w14:paraId="07CF5D9E" w14:textId="77777777" w:rsidR="00673F93" w:rsidRPr="00673F93" w:rsidRDefault="00673F93" w:rsidP="00D4669F">
            <w:pPr>
              <w:pStyle w:val="NoSpacing"/>
            </w:pPr>
            <w:r w:rsidRPr="00673F93">
              <w:t>Insider trading</w:t>
            </w:r>
          </w:p>
        </w:tc>
        <w:tc>
          <w:tcPr>
            <w:tcW w:w="2607" w:type="dxa"/>
            <w:hideMark/>
          </w:tcPr>
          <w:p w14:paraId="39473843" w14:textId="77777777" w:rsidR="00673F93" w:rsidRPr="008011E4" w:rsidRDefault="00673F93" w:rsidP="00D4669F">
            <w:pPr>
              <w:pStyle w:val="NoSpacing"/>
              <w:rPr>
                <w:i/>
                <w:iCs/>
              </w:rPr>
            </w:pPr>
            <w:r w:rsidRPr="008011E4">
              <w:rPr>
                <w:i/>
                <w:iCs/>
              </w:rPr>
              <w:t>INSTRADE</w:t>
            </w:r>
          </w:p>
        </w:tc>
        <w:tc>
          <w:tcPr>
            <w:tcW w:w="8188" w:type="dxa"/>
            <w:hideMark/>
          </w:tcPr>
          <w:p w14:paraId="7C462F37" w14:textId="77777777" w:rsidR="00673F93" w:rsidRPr="00673F93" w:rsidRDefault="00673F93" w:rsidP="00D4669F">
            <w:pPr>
              <w:pStyle w:val="NoSpacing"/>
            </w:pPr>
            <w:r w:rsidRPr="00673F93">
              <w:t>Sum of shares purchased/shares outstanding – sum of shares sold/ shares outstanding, where the sum is over each firm's insiders over all days in the year, and where shares outstanding is the number of shares outstanding on the date of the insiders' transaction</w:t>
            </w:r>
          </w:p>
        </w:tc>
      </w:tr>
      <w:tr w:rsidR="00D4669F" w:rsidRPr="00673F93" w14:paraId="2A088CFB" w14:textId="77777777" w:rsidTr="00FB4998">
        <w:tc>
          <w:tcPr>
            <w:tcW w:w="2875" w:type="dxa"/>
            <w:hideMark/>
          </w:tcPr>
          <w:p w14:paraId="0A2433FC" w14:textId="77777777" w:rsidR="00673F93" w:rsidRPr="00673F93" w:rsidRDefault="00673F93" w:rsidP="00D4669F">
            <w:pPr>
              <w:pStyle w:val="NoSpacing"/>
            </w:pPr>
            <w:r w:rsidRPr="00673F93">
              <w:t>Book leverage</w:t>
            </w:r>
          </w:p>
        </w:tc>
        <w:tc>
          <w:tcPr>
            <w:tcW w:w="2607" w:type="dxa"/>
            <w:hideMark/>
          </w:tcPr>
          <w:p w14:paraId="29EB054B" w14:textId="77777777" w:rsidR="00673F93" w:rsidRPr="008011E4" w:rsidRDefault="00673F93" w:rsidP="00D4669F">
            <w:pPr>
              <w:pStyle w:val="NoSpacing"/>
              <w:rPr>
                <w:i/>
                <w:iCs/>
              </w:rPr>
            </w:pPr>
            <w:r w:rsidRPr="008011E4">
              <w:rPr>
                <w:i/>
                <w:iCs/>
              </w:rPr>
              <w:t>LEV</w:t>
            </w:r>
          </w:p>
        </w:tc>
        <w:tc>
          <w:tcPr>
            <w:tcW w:w="8188" w:type="dxa"/>
            <w:hideMark/>
          </w:tcPr>
          <w:p w14:paraId="3836D14F" w14:textId="77777777" w:rsidR="00673F93" w:rsidRPr="00673F93" w:rsidRDefault="00673F93" w:rsidP="00D4669F">
            <w:pPr>
              <w:pStyle w:val="NoSpacing"/>
            </w:pPr>
            <w:r w:rsidRPr="00673F93">
              <w:t>Long‐term debt scaled by total assets</w:t>
            </w:r>
          </w:p>
        </w:tc>
      </w:tr>
      <w:tr w:rsidR="00D4669F" w:rsidRPr="00673F93" w14:paraId="162585D1" w14:textId="77777777" w:rsidTr="00FB4998">
        <w:tc>
          <w:tcPr>
            <w:tcW w:w="2875" w:type="dxa"/>
            <w:hideMark/>
          </w:tcPr>
          <w:p w14:paraId="25154563" w14:textId="77777777" w:rsidR="00673F93" w:rsidRPr="00673F93" w:rsidRDefault="00673F93" w:rsidP="00D4669F">
            <w:pPr>
              <w:pStyle w:val="NoSpacing"/>
            </w:pPr>
            <w:r w:rsidRPr="00673F93">
              <w:t>Litigation expense</w:t>
            </w:r>
          </w:p>
        </w:tc>
        <w:tc>
          <w:tcPr>
            <w:tcW w:w="2607" w:type="dxa"/>
            <w:hideMark/>
          </w:tcPr>
          <w:p w14:paraId="3C13B664" w14:textId="77777777" w:rsidR="00673F93" w:rsidRPr="008011E4" w:rsidRDefault="00673F93" w:rsidP="00D4669F">
            <w:pPr>
              <w:pStyle w:val="NoSpacing"/>
              <w:rPr>
                <w:i/>
                <w:iCs/>
              </w:rPr>
            </w:pPr>
            <w:r w:rsidRPr="008011E4">
              <w:rPr>
                <w:i/>
                <w:iCs/>
              </w:rPr>
              <w:t>LIT</w:t>
            </w:r>
          </w:p>
        </w:tc>
        <w:tc>
          <w:tcPr>
            <w:tcW w:w="8188" w:type="dxa"/>
            <w:hideMark/>
          </w:tcPr>
          <w:p w14:paraId="5B48E27C" w14:textId="77777777" w:rsidR="00673F93" w:rsidRPr="00673F93" w:rsidRDefault="00673F93" w:rsidP="00D4669F">
            <w:pPr>
              <w:pStyle w:val="NoSpacing"/>
            </w:pPr>
            <w:r w:rsidRPr="00673F93">
              <w:t>Litigation expense scaled by net sales</w:t>
            </w:r>
          </w:p>
        </w:tc>
      </w:tr>
      <w:tr w:rsidR="00D4669F" w:rsidRPr="00673F93" w14:paraId="1529E6E5" w14:textId="77777777" w:rsidTr="00FB4998">
        <w:tc>
          <w:tcPr>
            <w:tcW w:w="2875" w:type="dxa"/>
            <w:hideMark/>
          </w:tcPr>
          <w:p w14:paraId="388B6371" w14:textId="77777777" w:rsidR="00673F93" w:rsidRPr="00673F93" w:rsidRDefault="00673F93" w:rsidP="00D4669F">
            <w:pPr>
              <w:pStyle w:val="NoSpacing"/>
            </w:pPr>
            <w:r w:rsidRPr="00673F93">
              <w:t>Earnings loss</w:t>
            </w:r>
          </w:p>
        </w:tc>
        <w:tc>
          <w:tcPr>
            <w:tcW w:w="2607" w:type="dxa"/>
            <w:hideMark/>
          </w:tcPr>
          <w:p w14:paraId="5672A896" w14:textId="77777777" w:rsidR="00673F93" w:rsidRPr="008011E4" w:rsidRDefault="00673F93" w:rsidP="00D4669F">
            <w:pPr>
              <w:pStyle w:val="NoSpacing"/>
              <w:rPr>
                <w:i/>
                <w:iCs/>
              </w:rPr>
            </w:pPr>
            <w:r w:rsidRPr="008011E4">
              <w:rPr>
                <w:i/>
                <w:iCs/>
              </w:rPr>
              <w:t>LOSS</w:t>
            </w:r>
          </w:p>
        </w:tc>
        <w:tc>
          <w:tcPr>
            <w:tcW w:w="8188" w:type="dxa"/>
            <w:hideMark/>
          </w:tcPr>
          <w:p w14:paraId="07BA67B9" w14:textId="77777777" w:rsidR="00673F93" w:rsidRPr="00673F93" w:rsidRDefault="00673F93" w:rsidP="00D4669F">
            <w:pPr>
              <w:pStyle w:val="NoSpacing"/>
            </w:pPr>
            <w:r w:rsidRPr="00673F93">
              <w:t>A dummy variable that equals 1 if a firm experiences negative earnings, and 0 otherwise</w:t>
            </w:r>
          </w:p>
        </w:tc>
      </w:tr>
      <w:tr w:rsidR="00D4669F" w:rsidRPr="00673F93" w14:paraId="342F957A" w14:textId="77777777" w:rsidTr="00FB4998">
        <w:tc>
          <w:tcPr>
            <w:tcW w:w="2875" w:type="dxa"/>
            <w:hideMark/>
          </w:tcPr>
          <w:p w14:paraId="038BABFF" w14:textId="77777777" w:rsidR="00673F93" w:rsidRPr="00673F93" w:rsidRDefault="00673F93" w:rsidP="00D4669F">
            <w:pPr>
              <w:pStyle w:val="NoSpacing"/>
            </w:pPr>
            <w:r w:rsidRPr="00673F93">
              <w:t>Market‐to‐book ratio</w:t>
            </w:r>
          </w:p>
        </w:tc>
        <w:tc>
          <w:tcPr>
            <w:tcW w:w="2607" w:type="dxa"/>
            <w:hideMark/>
          </w:tcPr>
          <w:p w14:paraId="20521015" w14:textId="77777777" w:rsidR="00673F93" w:rsidRPr="008011E4" w:rsidRDefault="00673F93" w:rsidP="00D4669F">
            <w:pPr>
              <w:pStyle w:val="NoSpacing"/>
              <w:rPr>
                <w:i/>
                <w:iCs/>
              </w:rPr>
            </w:pPr>
            <w:r w:rsidRPr="008011E4">
              <w:rPr>
                <w:i/>
                <w:iCs/>
              </w:rPr>
              <w:t>MB</w:t>
            </w:r>
          </w:p>
        </w:tc>
        <w:tc>
          <w:tcPr>
            <w:tcW w:w="8188" w:type="dxa"/>
            <w:hideMark/>
          </w:tcPr>
          <w:p w14:paraId="073FC32F" w14:textId="77777777" w:rsidR="00673F93" w:rsidRPr="00673F93" w:rsidRDefault="00673F93" w:rsidP="00D4669F">
            <w:pPr>
              <w:pStyle w:val="NoSpacing"/>
            </w:pPr>
            <w:r w:rsidRPr="00673F93">
              <w:t>Natural logarithm of market value of equity divided by book value of equity (</w:t>
            </w:r>
            <w:proofErr w:type="gramStart"/>
            <w:r w:rsidRPr="00673F93">
              <w:t>ln(</w:t>
            </w:r>
            <w:proofErr w:type="gramEnd"/>
            <w:r w:rsidRPr="00673F93">
              <w:t>common shares outstanding × fiscal year end stock price/book value of equity)</w:t>
            </w:r>
          </w:p>
        </w:tc>
      </w:tr>
      <w:tr w:rsidR="00D4669F" w:rsidRPr="00673F93" w14:paraId="09D84A72" w14:textId="77777777" w:rsidTr="00FB4998">
        <w:tc>
          <w:tcPr>
            <w:tcW w:w="2875" w:type="dxa"/>
            <w:hideMark/>
          </w:tcPr>
          <w:p w14:paraId="20863407" w14:textId="77777777" w:rsidR="00673F93" w:rsidRPr="00673F93" w:rsidRDefault="00673F93" w:rsidP="00D4669F">
            <w:pPr>
              <w:pStyle w:val="NoSpacing"/>
            </w:pPr>
            <w:r w:rsidRPr="00673F93">
              <w:t>Number of news articles</w:t>
            </w:r>
          </w:p>
        </w:tc>
        <w:tc>
          <w:tcPr>
            <w:tcW w:w="2607" w:type="dxa"/>
            <w:hideMark/>
          </w:tcPr>
          <w:p w14:paraId="5786A7B0" w14:textId="77777777" w:rsidR="00673F93" w:rsidRPr="008011E4" w:rsidRDefault="00673F93" w:rsidP="00D4669F">
            <w:pPr>
              <w:pStyle w:val="NoSpacing"/>
              <w:rPr>
                <w:i/>
                <w:iCs/>
              </w:rPr>
            </w:pPr>
            <w:r w:rsidRPr="008011E4">
              <w:rPr>
                <w:i/>
                <w:iCs/>
              </w:rPr>
              <w:t>NEWS</w:t>
            </w:r>
          </w:p>
        </w:tc>
        <w:tc>
          <w:tcPr>
            <w:tcW w:w="8188" w:type="dxa"/>
            <w:hideMark/>
          </w:tcPr>
          <w:p w14:paraId="63DBFF26" w14:textId="77777777" w:rsidR="00673F93" w:rsidRPr="00673F93" w:rsidRDefault="00673F93" w:rsidP="00D4669F">
            <w:pPr>
              <w:pStyle w:val="NoSpacing"/>
            </w:pPr>
            <w:r w:rsidRPr="00673F93">
              <w:t>Number of news articles in the Wall Street Journal, New York Times, USA Today and the Washington Post that mention the firm on day t (Soltes, 2009). When the variable is appended with an earnings announcement event window [−5, −1], [0] or [+1, +5], the number of articles is averaged over the specified window. Day 0 is the earnings announcement date.</w:t>
            </w:r>
          </w:p>
        </w:tc>
      </w:tr>
      <w:tr w:rsidR="00D4669F" w:rsidRPr="00673F93" w14:paraId="5ECEE44D" w14:textId="77777777" w:rsidTr="00FB4998">
        <w:tc>
          <w:tcPr>
            <w:tcW w:w="2875" w:type="dxa"/>
            <w:hideMark/>
          </w:tcPr>
          <w:p w14:paraId="49ACB1A2" w14:textId="77777777" w:rsidR="00673F93" w:rsidRPr="00673F93" w:rsidRDefault="00673F93" w:rsidP="00D4669F">
            <w:pPr>
              <w:pStyle w:val="NoSpacing"/>
            </w:pPr>
            <w:r w:rsidRPr="00673F93">
              <w:t>NYSE dummy</w:t>
            </w:r>
          </w:p>
        </w:tc>
        <w:tc>
          <w:tcPr>
            <w:tcW w:w="2607" w:type="dxa"/>
            <w:hideMark/>
          </w:tcPr>
          <w:p w14:paraId="012772DD" w14:textId="77777777" w:rsidR="00673F93" w:rsidRPr="008011E4" w:rsidRDefault="00673F93" w:rsidP="00D4669F">
            <w:pPr>
              <w:pStyle w:val="NoSpacing"/>
              <w:rPr>
                <w:i/>
                <w:iCs/>
              </w:rPr>
            </w:pPr>
            <w:r w:rsidRPr="008011E4">
              <w:rPr>
                <w:i/>
                <w:iCs/>
              </w:rPr>
              <w:t>NYSE</w:t>
            </w:r>
          </w:p>
        </w:tc>
        <w:tc>
          <w:tcPr>
            <w:tcW w:w="8188" w:type="dxa"/>
            <w:hideMark/>
          </w:tcPr>
          <w:p w14:paraId="616E480C" w14:textId="77777777" w:rsidR="00673F93" w:rsidRPr="00673F93" w:rsidRDefault="00673F93" w:rsidP="00D4669F">
            <w:pPr>
              <w:pStyle w:val="NoSpacing"/>
            </w:pPr>
            <w:r w:rsidRPr="00673F93">
              <w:t>A dummy variable that equals 1 if the stock is traded on the NYSE, and 0 otherwise</w:t>
            </w:r>
          </w:p>
        </w:tc>
      </w:tr>
      <w:tr w:rsidR="00D4669F" w:rsidRPr="00673F93" w14:paraId="7FF54835" w14:textId="77777777" w:rsidTr="00FB4998">
        <w:tc>
          <w:tcPr>
            <w:tcW w:w="2875" w:type="dxa"/>
            <w:hideMark/>
          </w:tcPr>
          <w:p w14:paraId="42195183" w14:textId="77777777" w:rsidR="00673F93" w:rsidRPr="00673F93" w:rsidRDefault="00673F93" w:rsidP="00D4669F">
            <w:pPr>
              <w:pStyle w:val="NoSpacing"/>
            </w:pPr>
            <w:r w:rsidRPr="00673F93">
              <w:t>Profit margin</w:t>
            </w:r>
          </w:p>
        </w:tc>
        <w:tc>
          <w:tcPr>
            <w:tcW w:w="2607" w:type="dxa"/>
            <w:hideMark/>
          </w:tcPr>
          <w:p w14:paraId="6058EBE0" w14:textId="77777777" w:rsidR="00673F93" w:rsidRPr="008011E4" w:rsidRDefault="00673F93" w:rsidP="00D4669F">
            <w:pPr>
              <w:pStyle w:val="NoSpacing"/>
              <w:rPr>
                <w:i/>
                <w:iCs/>
              </w:rPr>
            </w:pPr>
            <w:r w:rsidRPr="008011E4">
              <w:rPr>
                <w:i/>
                <w:iCs/>
              </w:rPr>
              <w:t>PM</w:t>
            </w:r>
          </w:p>
        </w:tc>
        <w:tc>
          <w:tcPr>
            <w:tcW w:w="8188" w:type="dxa"/>
            <w:hideMark/>
          </w:tcPr>
          <w:p w14:paraId="4E5DCFAF" w14:textId="77777777" w:rsidR="00673F93" w:rsidRPr="00673F93" w:rsidRDefault="00673F93" w:rsidP="00D4669F">
            <w:pPr>
              <w:pStyle w:val="NoSpacing"/>
            </w:pPr>
            <w:r w:rsidRPr="00673F93">
              <w:t>Income before extraordinary items divided by net sales</w:t>
            </w:r>
          </w:p>
        </w:tc>
      </w:tr>
      <w:tr w:rsidR="00D4669F" w:rsidRPr="00673F93" w14:paraId="34CB55BF" w14:textId="77777777" w:rsidTr="00FB4998">
        <w:tc>
          <w:tcPr>
            <w:tcW w:w="2875" w:type="dxa"/>
            <w:hideMark/>
          </w:tcPr>
          <w:p w14:paraId="7FE01F13" w14:textId="77777777" w:rsidR="00673F93" w:rsidRPr="00673F93" w:rsidRDefault="00673F93" w:rsidP="00D4669F">
            <w:pPr>
              <w:pStyle w:val="NoSpacing"/>
            </w:pPr>
            <w:r w:rsidRPr="00673F93">
              <w:t>Fourth quarter</w:t>
            </w:r>
          </w:p>
        </w:tc>
        <w:tc>
          <w:tcPr>
            <w:tcW w:w="2607" w:type="dxa"/>
            <w:hideMark/>
          </w:tcPr>
          <w:p w14:paraId="541505A0" w14:textId="77777777" w:rsidR="00673F93" w:rsidRPr="008011E4" w:rsidRDefault="00673F93" w:rsidP="00D4669F">
            <w:pPr>
              <w:pStyle w:val="NoSpacing"/>
              <w:rPr>
                <w:i/>
                <w:iCs/>
              </w:rPr>
            </w:pPr>
            <w:r w:rsidRPr="008011E4">
              <w:rPr>
                <w:i/>
                <w:iCs/>
              </w:rPr>
              <w:t>QTR4</w:t>
            </w:r>
          </w:p>
        </w:tc>
        <w:tc>
          <w:tcPr>
            <w:tcW w:w="8188" w:type="dxa"/>
            <w:hideMark/>
          </w:tcPr>
          <w:p w14:paraId="4585B05A" w14:textId="77777777" w:rsidR="00673F93" w:rsidRPr="00673F93" w:rsidRDefault="00673F93" w:rsidP="00D4669F">
            <w:pPr>
              <w:pStyle w:val="NoSpacing"/>
            </w:pPr>
            <w:r w:rsidRPr="00673F93">
              <w:t>A dummy variable that equals 1 if the day is in the fourth fiscal quarter of a firm, and 0 otherwise</w:t>
            </w:r>
          </w:p>
        </w:tc>
      </w:tr>
      <w:tr w:rsidR="00D4669F" w:rsidRPr="00673F93" w14:paraId="32D4CB74" w14:textId="77777777" w:rsidTr="00FB4998">
        <w:tc>
          <w:tcPr>
            <w:tcW w:w="2875" w:type="dxa"/>
            <w:hideMark/>
          </w:tcPr>
          <w:p w14:paraId="77A54D2F" w14:textId="77777777" w:rsidR="00673F93" w:rsidRPr="00673F93" w:rsidRDefault="00673F93" w:rsidP="00D4669F">
            <w:pPr>
              <w:pStyle w:val="NoSpacing"/>
            </w:pPr>
            <w:r w:rsidRPr="00673F93">
              <w:t>Research and development expense</w:t>
            </w:r>
          </w:p>
        </w:tc>
        <w:tc>
          <w:tcPr>
            <w:tcW w:w="2607" w:type="dxa"/>
            <w:hideMark/>
          </w:tcPr>
          <w:p w14:paraId="1B8F0B3F" w14:textId="77777777" w:rsidR="00673F93" w:rsidRPr="008011E4" w:rsidRDefault="00673F93" w:rsidP="00D4669F">
            <w:pPr>
              <w:pStyle w:val="NoSpacing"/>
              <w:rPr>
                <w:i/>
                <w:iCs/>
              </w:rPr>
            </w:pPr>
            <w:r w:rsidRPr="008011E4">
              <w:rPr>
                <w:i/>
                <w:iCs/>
              </w:rPr>
              <w:t>RD</w:t>
            </w:r>
          </w:p>
        </w:tc>
        <w:tc>
          <w:tcPr>
            <w:tcW w:w="8188" w:type="dxa"/>
            <w:hideMark/>
          </w:tcPr>
          <w:p w14:paraId="59AF3D70" w14:textId="77777777" w:rsidR="00673F93" w:rsidRPr="00673F93" w:rsidRDefault="00673F93" w:rsidP="00D4669F">
            <w:pPr>
              <w:pStyle w:val="NoSpacing"/>
            </w:pPr>
            <w:r w:rsidRPr="00673F93">
              <w:t>Research and development expenses scaled by net sales</w:t>
            </w:r>
          </w:p>
        </w:tc>
      </w:tr>
      <w:tr w:rsidR="00D4669F" w:rsidRPr="00673F93" w14:paraId="13B0F18C" w14:textId="77777777" w:rsidTr="00FB4998">
        <w:tc>
          <w:tcPr>
            <w:tcW w:w="2875" w:type="dxa"/>
            <w:hideMark/>
          </w:tcPr>
          <w:p w14:paraId="288DEBD9" w14:textId="77777777" w:rsidR="00673F93" w:rsidRPr="00673F93" w:rsidRDefault="00673F93" w:rsidP="00D4669F">
            <w:pPr>
              <w:pStyle w:val="NoSpacing"/>
            </w:pPr>
            <w:r w:rsidRPr="00673F93">
              <w:t>3‐month returns</w:t>
            </w:r>
          </w:p>
        </w:tc>
        <w:tc>
          <w:tcPr>
            <w:tcW w:w="2607" w:type="dxa"/>
            <w:hideMark/>
          </w:tcPr>
          <w:p w14:paraId="679D9AFA" w14:textId="77777777" w:rsidR="00673F93" w:rsidRPr="008011E4" w:rsidRDefault="00673F93" w:rsidP="00D4669F">
            <w:pPr>
              <w:pStyle w:val="NoSpacing"/>
              <w:rPr>
                <w:i/>
                <w:iCs/>
              </w:rPr>
            </w:pPr>
            <w:proofErr w:type="gramStart"/>
            <w:r w:rsidRPr="008011E4">
              <w:rPr>
                <w:i/>
                <w:iCs/>
              </w:rPr>
              <w:t>CRET(</w:t>
            </w:r>
            <w:proofErr w:type="gramEnd"/>
            <w:r w:rsidRPr="008011E4">
              <w:rPr>
                <w:i/>
                <w:iCs/>
              </w:rPr>
              <w:t>m‐3, m)</w:t>
            </w:r>
          </w:p>
        </w:tc>
        <w:tc>
          <w:tcPr>
            <w:tcW w:w="8188" w:type="dxa"/>
            <w:hideMark/>
          </w:tcPr>
          <w:p w14:paraId="244F5D09" w14:textId="77777777" w:rsidR="00673F93" w:rsidRPr="00673F93" w:rsidRDefault="00673F93" w:rsidP="00D4669F">
            <w:pPr>
              <w:pStyle w:val="NoSpacing"/>
            </w:pPr>
            <w:r w:rsidRPr="00673F93">
              <w:t>Cumulative raw stock returns over the previous three months</w:t>
            </w:r>
          </w:p>
        </w:tc>
      </w:tr>
      <w:tr w:rsidR="00D4669F" w:rsidRPr="00673F93" w14:paraId="742AC687" w14:textId="77777777" w:rsidTr="00FB4998">
        <w:tc>
          <w:tcPr>
            <w:tcW w:w="2875" w:type="dxa"/>
            <w:hideMark/>
          </w:tcPr>
          <w:p w14:paraId="062F4215" w14:textId="77777777" w:rsidR="00673F93" w:rsidRPr="00673F93" w:rsidRDefault="00673F93" w:rsidP="00D4669F">
            <w:pPr>
              <w:pStyle w:val="NoSpacing"/>
            </w:pPr>
            <w:r w:rsidRPr="00673F93">
              <w:t>Current returns</w:t>
            </w:r>
          </w:p>
        </w:tc>
        <w:tc>
          <w:tcPr>
            <w:tcW w:w="2607" w:type="dxa"/>
            <w:hideMark/>
          </w:tcPr>
          <w:p w14:paraId="5E06D846" w14:textId="77777777" w:rsidR="00673F93" w:rsidRPr="008011E4" w:rsidRDefault="00673F93" w:rsidP="00D4669F">
            <w:pPr>
              <w:pStyle w:val="NoSpacing"/>
              <w:rPr>
                <w:i/>
                <w:iCs/>
              </w:rPr>
            </w:pPr>
            <w:r w:rsidRPr="008011E4">
              <w:rPr>
                <w:i/>
                <w:iCs/>
              </w:rPr>
              <w:t>RET</w:t>
            </w:r>
            <w:r w:rsidRPr="008011E4">
              <w:rPr>
                <w:i/>
                <w:iCs/>
                <w:vertAlign w:val="subscript"/>
              </w:rPr>
              <w:t>t</w:t>
            </w:r>
          </w:p>
        </w:tc>
        <w:tc>
          <w:tcPr>
            <w:tcW w:w="8188" w:type="dxa"/>
            <w:hideMark/>
          </w:tcPr>
          <w:p w14:paraId="47A3DB8F" w14:textId="77777777" w:rsidR="00673F93" w:rsidRPr="00673F93" w:rsidRDefault="00673F93" w:rsidP="00D4669F">
            <w:pPr>
              <w:pStyle w:val="NoSpacing"/>
            </w:pPr>
            <w:r w:rsidRPr="00673F93">
              <w:t>Annual stock returns for a firm in the current year</w:t>
            </w:r>
          </w:p>
        </w:tc>
      </w:tr>
      <w:tr w:rsidR="00D4669F" w:rsidRPr="00673F93" w14:paraId="31E8CA6F" w14:textId="77777777" w:rsidTr="00FB4998">
        <w:tc>
          <w:tcPr>
            <w:tcW w:w="2875" w:type="dxa"/>
            <w:hideMark/>
          </w:tcPr>
          <w:p w14:paraId="280F111F" w14:textId="77777777" w:rsidR="00673F93" w:rsidRPr="00673F93" w:rsidRDefault="00673F93" w:rsidP="00D4669F">
            <w:pPr>
              <w:pStyle w:val="NoSpacing"/>
            </w:pPr>
            <w:r w:rsidRPr="00673F93">
              <w:t>Lead returns</w:t>
            </w:r>
          </w:p>
        </w:tc>
        <w:tc>
          <w:tcPr>
            <w:tcW w:w="2607" w:type="dxa"/>
            <w:hideMark/>
          </w:tcPr>
          <w:p w14:paraId="65109146" w14:textId="77777777" w:rsidR="00673F93" w:rsidRPr="008011E4" w:rsidRDefault="00673F93" w:rsidP="00D4669F">
            <w:pPr>
              <w:pStyle w:val="NoSpacing"/>
              <w:rPr>
                <w:i/>
                <w:iCs/>
              </w:rPr>
            </w:pPr>
            <w:r w:rsidRPr="008011E4">
              <w:rPr>
                <w:i/>
                <w:iCs/>
              </w:rPr>
              <w:t>RET</w:t>
            </w:r>
            <w:r w:rsidRPr="008011E4">
              <w:rPr>
                <w:i/>
                <w:iCs/>
                <w:vertAlign w:val="subscript"/>
              </w:rPr>
              <w:t>t+1</w:t>
            </w:r>
          </w:p>
        </w:tc>
        <w:tc>
          <w:tcPr>
            <w:tcW w:w="8188" w:type="dxa"/>
            <w:hideMark/>
          </w:tcPr>
          <w:p w14:paraId="47A2216A" w14:textId="77777777" w:rsidR="00673F93" w:rsidRPr="00673F93" w:rsidRDefault="00673F93" w:rsidP="00D4669F">
            <w:pPr>
              <w:pStyle w:val="NoSpacing"/>
            </w:pPr>
            <w:r w:rsidRPr="00673F93">
              <w:t>Annual stock returns for a firm in the next year</w:t>
            </w:r>
          </w:p>
        </w:tc>
      </w:tr>
      <w:tr w:rsidR="00D4669F" w:rsidRPr="00673F93" w14:paraId="18C63F7E" w14:textId="77777777" w:rsidTr="00FB4998">
        <w:tc>
          <w:tcPr>
            <w:tcW w:w="2875" w:type="dxa"/>
            <w:hideMark/>
          </w:tcPr>
          <w:p w14:paraId="4AAABF84" w14:textId="77777777" w:rsidR="00673F93" w:rsidRPr="00673F93" w:rsidRDefault="00673F93" w:rsidP="00D4669F">
            <w:pPr>
              <w:pStyle w:val="NoSpacing"/>
            </w:pPr>
            <w:r w:rsidRPr="00673F93">
              <w:t>Return on equity</w:t>
            </w:r>
          </w:p>
        </w:tc>
        <w:tc>
          <w:tcPr>
            <w:tcW w:w="2607" w:type="dxa"/>
            <w:hideMark/>
          </w:tcPr>
          <w:p w14:paraId="138217D4" w14:textId="77777777" w:rsidR="00673F93" w:rsidRPr="008011E4" w:rsidRDefault="00673F93" w:rsidP="00D4669F">
            <w:pPr>
              <w:pStyle w:val="NoSpacing"/>
              <w:rPr>
                <w:i/>
                <w:iCs/>
              </w:rPr>
            </w:pPr>
            <w:r w:rsidRPr="008011E4">
              <w:rPr>
                <w:i/>
                <w:iCs/>
              </w:rPr>
              <w:t>ROE</w:t>
            </w:r>
          </w:p>
        </w:tc>
        <w:tc>
          <w:tcPr>
            <w:tcW w:w="8188" w:type="dxa"/>
            <w:hideMark/>
          </w:tcPr>
          <w:p w14:paraId="00D8D093" w14:textId="77777777" w:rsidR="00673F93" w:rsidRPr="00673F93" w:rsidRDefault="00673F93" w:rsidP="00D4669F">
            <w:pPr>
              <w:pStyle w:val="NoSpacing"/>
            </w:pPr>
            <w:r w:rsidRPr="00673F93">
              <w:t>Earnings before extraordinary items scaled by book value of equity</w:t>
            </w:r>
          </w:p>
        </w:tc>
      </w:tr>
      <w:tr w:rsidR="00D4669F" w:rsidRPr="00673F93" w14:paraId="36B0958F" w14:textId="77777777" w:rsidTr="00FB4998">
        <w:tc>
          <w:tcPr>
            <w:tcW w:w="2875" w:type="dxa"/>
            <w:hideMark/>
          </w:tcPr>
          <w:p w14:paraId="087E7F13" w14:textId="77777777" w:rsidR="00673F93" w:rsidRPr="00673F93" w:rsidRDefault="00673F93" w:rsidP="00D4669F">
            <w:pPr>
              <w:pStyle w:val="NoSpacing"/>
            </w:pPr>
            <w:r w:rsidRPr="00673F93">
              <w:t>Shorted shares</w:t>
            </w:r>
          </w:p>
        </w:tc>
        <w:tc>
          <w:tcPr>
            <w:tcW w:w="2607" w:type="dxa"/>
            <w:hideMark/>
          </w:tcPr>
          <w:p w14:paraId="77DDA0A7" w14:textId="77777777" w:rsidR="00673F93" w:rsidRPr="008011E4" w:rsidRDefault="00673F93" w:rsidP="00D4669F">
            <w:pPr>
              <w:pStyle w:val="NoSpacing"/>
              <w:rPr>
                <w:i/>
                <w:iCs/>
              </w:rPr>
            </w:pPr>
            <w:r w:rsidRPr="008011E4">
              <w:rPr>
                <w:i/>
                <w:iCs/>
              </w:rPr>
              <w:t>SHORT</w:t>
            </w:r>
          </w:p>
        </w:tc>
        <w:tc>
          <w:tcPr>
            <w:tcW w:w="8188" w:type="dxa"/>
            <w:hideMark/>
          </w:tcPr>
          <w:p w14:paraId="0C691753" w14:textId="77777777" w:rsidR="00673F93" w:rsidRPr="00673F93" w:rsidRDefault="00673F93" w:rsidP="00D4669F">
            <w:pPr>
              <w:pStyle w:val="NoSpacing"/>
            </w:pPr>
            <w:r w:rsidRPr="00673F93">
              <w:t>Monthly level of shares held in a short position scaled by total shares outstanding</w:t>
            </w:r>
          </w:p>
        </w:tc>
      </w:tr>
      <w:tr w:rsidR="00D4669F" w:rsidRPr="00673F93" w14:paraId="723FE60D" w14:textId="77777777" w:rsidTr="00FB4998">
        <w:tc>
          <w:tcPr>
            <w:tcW w:w="2875" w:type="dxa"/>
            <w:hideMark/>
          </w:tcPr>
          <w:p w14:paraId="2F665096" w14:textId="77777777" w:rsidR="00673F93" w:rsidRPr="00673F93" w:rsidRDefault="00673F93" w:rsidP="00D4669F">
            <w:pPr>
              <w:pStyle w:val="NoSpacing"/>
            </w:pPr>
            <w:r w:rsidRPr="00673F93">
              <w:t>Firm size</w:t>
            </w:r>
          </w:p>
        </w:tc>
        <w:tc>
          <w:tcPr>
            <w:tcW w:w="2607" w:type="dxa"/>
            <w:hideMark/>
          </w:tcPr>
          <w:p w14:paraId="032E68D5" w14:textId="77777777" w:rsidR="00673F93" w:rsidRPr="008011E4" w:rsidRDefault="00673F93" w:rsidP="00D4669F">
            <w:pPr>
              <w:pStyle w:val="NoSpacing"/>
              <w:rPr>
                <w:i/>
                <w:iCs/>
              </w:rPr>
            </w:pPr>
            <w:r w:rsidRPr="008011E4">
              <w:rPr>
                <w:i/>
                <w:iCs/>
              </w:rPr>
              <w:t>SIZE</w:t>
            </w:r>
          </w:p>
        </w:tc>
        <w:tc>
          <w:tcPr>
            <w:tcW w:w="8188" w:type="dxa"/>
            <w:hideMark/>
          </w:tcPr>
          <w:p w14:paraId="26785ACB" w14:textId="77777777" w:rsidR="00673F93" w:rsidRPr="00673F93" w:rsidRDefault="00673F93" w:rsidP="00D4669F">
            <w:pPr>
              <w:pStyle w:val="NoSpacing"/>
            </w:pPr>
            <w:r w:rsidRPr="00673F93">
              <w:t>Natural logarithm of annual market capitalisation (common shares outstanding × fiscal year end stock price)</w:t>
            </w:r>
          </w:p>
        </w:tc>
      </w:tr>
      <w:tr w:rsidR="00D4669F" w:rsidRPr="00673F93" w14:paraId="44B085F4" w14:textId="77777777" w:rsidTr="00FB4998">
        <w:tc>
          <w:tcPr>
            <w:tcW w:w="2875" w:type="dxa"/>
            <w:hideMark/>
          </w:tcPr>
          <w:p w14:paraId="18697C6F" w14:textId="77777777" w:rsidR="00673F93" w:rsidRPr="00673F93" w:rsidRDefault="00673F93" w:rsidP="00D4669F">
            <w:pPr>
              <w:pStyle w:val="NoSpacing"/>
            </w:pPr>
            <w:r w:rsidRPr="00673F93">
              <w:t>Future earnings volatility</w:t>
            </w:r>
          </w:p>
        </w:tc>
        <w:tc>
          <w:tcPr>
            <w:tcW w:w="2607" w:type="dxa"/>
            <w:hideMark/>
          </w:tcPr>
          <w:p w14:paraId="21D75D9B" w14:textId="77777777" w:rsidR="00673F93" w:rsidRPr="008011E4" w:rsidRDefault="00673F93" w:rsidP="00D4669F">
            <w:pPr>
              <w:pStyle w:val="NoSpacing"/>
              <w:rPr>
                <w:i/>
                <w:iCs/>
              </w:rPr>
            </w:pPr>
            <w:r w:rsidRPr="008011E4">
              <w:rPr>
                <w:i/>
                <w:iCs/>
              </w:rPr>
              <w:t>STDEARN</w:t>
            </w:r>
          </w:p>
        </w:tc>
        <w:tc>
          <w:tcPr>
            <w:tcW w:w="8188" w:type="dxa"/>
            <w:hideMark/>
          </w:tcPr>
          <w:p w14:paraId="5E2ECE63" w14:textId="77777777" w:rsidR="00673F93" w:rsidRPr="00673F93" w:rsidRDefault="00673F93" w:rsidP="00D4669F">
            <w:pPr>
              <w:pStyle w:val="NoSpacing"/>
            </w:pPr>
            <w:r w:rsidRPr="00673F93">
              <w:t>Standard deviation of earnings per share in the leading three years, deflated by the stock price at the beginning of the current year</w:t>
            </w:r>
          </w:p>
        </w:tc>
      </w:tr>
      <w:tr w:rsidR="00D4669F" w:rsidRPr="00673F93" w14:paraId="38491C9E" w14:textId="77777777" w:rsidTr="00FB4998">
        <w:tc>
          <w:tcPr>
            <w:tcW w:w="2875" w:type="dxa"/>
            <w:hideMark/>
          </w:tcPr>
          <w:p w14:paraId="430FC140" w14:textId="77777777" w:rsidR="00673F93" w:rsidRPr="00673F93" w:rsidRDefault="00673F93" w:rsidP="00D4669F">
            <w:pPr>
              <w:pStyle w:val="NoSpacing"/>
            </w:pPr>
            <w:r w:rsidRPr="00673F93">
              <w:t>Supply of company filings</w:t>
            </w:r>
          </w:p>
        </w:tc>
        <w:tc>
          <w:tcPr>
            <w:tcW w:w="2607" w:type="dxa"/>
            <w:hideMark/>
          </w:tcPr>
          <w:p w14:paraId="4E758566" w14:textId="77777777" w:rsidR="00673F93" w:rsidRPr="008011E4" w:rsidRDefault="00673F93" w:rsidP="00D4669F">
            <w:pPr>
              <w:pStyle w:val="NoSpacing"/>
              <w:rPr>
                <w:i/>
                <w:iCs/>
              </w:rPr>
            </w:pPr>
            <w:r w:rsidRPr="008011E4">
              <w:rPr>
                <w:i/>
                <w:iCs/>
              </w:rPr>
              <w:t>SUPPLY</w:t>
            </w:r>
          </w:p>
        </w:tc>
        <w:tc>
          <w:tcPr>
            <w:tcW w:w="8188" w:type="dxa"/>
            <w:hideMark/>
          </w:tcPr>
          <w:p w14:paraId="0D8B6908" w14:textId="77777777" w:rsidR="00673F93" w:rsidRPr="00673F93" w:rsidRDefault="00673F93" w:rsidP="00D4669F">
            <w:pPr>
              <w:pStyle w:val="NoSpacing"/>
            </w:pPr>
            <w:r w:rsidRPr="00673F93">
              <w:t>Number of past filings made by a firm</w:t>
            </w:r>
          </w:p>
        </w:tc>
      </w:tr>
      <w:tr w:rsidR="00D4669F" w:rsidRPr="00673F93" w14:paraId="394C86BA" w14:textId="77777777" w:rsidTr="00FB4998">
        <w:tc>
          <w:tcPr>
            <w:tcW w:w="2875" w:type="dxa"/>
            <w:hideMark/>
          </w:tcPr>
          <w:p w14:paraId="67DBA287" w14:textId="77777777" w:rsidR="00673F93" w:rsidRPr="00673F93" w:rsidRDefault="00673F93" w:rsidP="00D4669F">
            <w:pPr>
              <w:pStyle w:val="NoSpacing"/>
            </w:pPr>
            <w:r w:rsidRPr="00673F93">
              <w:t>Trading volume</w:t>
            </w:r>
          </w:p>
        </w:tc>
        <w:tc>
          <w:tcPr>
            <w:tcW w:w="2607" w:type="dxa"/>
            <w:hideMark/>
          </w:tcPr>
          <w:p w14:paraId="6FF6F9AB" w14:textId="77777777" w:rsidR="00673F93" w:rsidRPr="008011E4" w:rsidRDefault="00673F93" w:rsidP="00D4669F">
            <w:pPr>
              <w:pStyle w:val="NoSpacing"/>
              <w:rPr>
                <w:i/>
                <w:iCs/>
              </w:rPr>
            </w:pPr>
            <w:r w:rsidRPr="008011E4">
              <w:rPr>
                <w:i/>
                <w:iCs/>
              </w:rPr>
              <w:t>TURNOVER</w:t>
            </w:r>
          </w:p>
        </w:tc>
        <w:tc>
          <w:tcPr>
            <w:tcW w:w="8188" w:type="dxa"/>
            <w:hideMark/>
          </w:tcPr>
          <w:p w14:paraId="70D51326" w14:textId="77777777" w:rsidR="00673F93" w:rsidRPr="00673F93" w:rsidRDefault="00673F93" w:rsidP="00D4669F">
            <w:pPr>
              <w:pStyle w:val="NoSpacing"/>
            </w:pPr>
            <w:r w:rsidRPr="00673F93">
              <w:t>Average monthly trading volume of a firm scaled by the average number of shares outstanding over a one‐year period</w:t>
            </w:r>
          </w:p>
        </w:tc>
      </w:tr>
      <w:tr w:rsidR="00D4669F" w:rsidRPr="00673F93" w14:paraId="3CAC1193" w14:textId="77777777" w:rsidTr="00FB4998">
        <w:tc>
          <w:tcPr>
            <w:tcW w:w="2875" w:type="dxa"/>
            <w:hideMark/>
          </w:tcPr>
          <w:p w14:paraId="47D95307" w14:textId="77777777" w:rsidR="00673F93" w:rsidRPr="00673F93" w:rsidRDefault="00673F93" w:rsidP="00D4669F">
            <w:pPr>
              <w:pStyle w:val="NoSpacing"/>
            </w:pPr>
            <w:r w:rsidRPr="00673F93">
              <w:t>Volatility of return on equity</w:t>
            </w:r>
          </w:p>
        </w:tc>
        <w:tc>
          <w:tcPr>
            <w:tcW w:w="2607" w:type="dxa"/>
            <w:hideMark/>
          </w:tcPr>
          <w:p w14:paraId="77531BFD" w14:textId="77777777" w:rsidR="00673F93" w:rsidRPr="008011E4" w:rsidRDefault="00673F93" w:rsidP="00D4669F">
            <w:pPr>
              <w:pStyle w:val="NoSpacing"/>
              <w:rPr>
                <w:i/>
                <w:iCs/>
              </w:rPr>
            </w:pPr>
            <w:r w:rsidRPr="008011E4">
              <w:rPr>
                <w:i/>
                <w:iCs/>
              </w:rPr>
              <w:t>VROE</w:t>
            </w:r>
          </w:p>
        </w:tc>
        <w:tc>
          <w:tcPr>
            <w:tcW w:w="8188" w:type="dxa"/>
            <w:hideMark/>
          </w:tcPr>
          <w:p w14:paraId="4A65C10E" w14:textId="77777777" w:rsidR="00673F93" w:rsidRPr="00673F93" w:rsidRDefault="00673F93" w:rsidP="00D4669F">
            <w:pPr>
              <w:pStyle w:val="NoSpacing"/>
            </w:pPr>
            <w:r w:rsidRPr="00673F93">
              <w:t>Variance of annual ROE over the last three years</w:t>
            </w:r>
          </w:p>
        </w:tc>
      </w:tr>
    </w:tbl>
    <w:p w14:paraId="24DB2A2B" w14:textId="77777777" w:rsidR="002C5AAA" w:rsidRDefault="002C5AAA" w:rsidP="00241E88">
      <w:pPr>
        <w:pStyle w:val="Heading1"/>
        <w:sectPr w:rsidR="002C5AAA" w:rsidSect="002C5AAA">
          <w:pgSz w:w="15840" w:h="12240" w:orient="landscape"/>
          <w:pgMar w:top="1080" w:right="1080" w:bottom="1080" w:left="1080" w:header="720" w:footer="720" w:gutter="0"/>
          <w:cols w:space="720"/>
          <w:docGrid w:linePitch="360"/>
        </w:sectPr>
      </w:pPr>
    </w:p>
    <w:p w14:paraId="302B05ED" w14:textId="77777777" w:rsidR="00673F93" w:rsidRPr="0021691C" w:rsidRDefault="00D71504" w:rsidP="00241E88">
      <w:pPr>
        <w:pStyle w:val="Heading1"/>
        <w:rPr>
          <w:color w:val="000000" w:themeColor="text1"/>
        </w:rPr>
      </w:pPr>
      <w:hyperlink r:id="rId89" w:anchor="toc" w:tooltip=" Footnotes  " w:history="1">
        <w:r w:rsidR="00673F93" w:rsidRPr="0021691C">
          <w:rPr>
            <w:rStyle w:val="Hyperlink"/>
            <w:color w:val="000000" w:themeColor="text1"/>
            <w:u w:val="none"/>
          </w:rPr>
          <w:t>Footnotes</w:t>
        </w:r>
      </w:hyperlink>
    </w:p>
    <w:p w14:paraId="058605FC" w14:textId="1BFA14FB" w:rsidR="000B383C" w:rsidRPr="006C4642" w:rsidRDefault="000B383C" w:rsidP="004F00C4">
      <w:pPr>
        <w:pStyle w:val="NoSpacing"/>
        <w:ind w:left="720" w:hanging="720"/>
        <w:rPr>
          <w:rFonts w:cstheme="minorHAnsi"/>
          <w:sz w:val="24"/>
          <w:szCs w:val="24"/>
        </w:rPr>
      </w:pPr>
      <w:r w:rsidRPr="006C4642">
        <w:rPr>
          <w:rFonts w:cstheme="minorHAnsi"/>
          <w:sz w:val="24"/>
          <w:szCs w:val="24"/>
        </w:rPr>
        <w:t>1</w:t>
      </w:r>
      <w:r w:rsidR="004F00C4" w:rsidRPr="006C4642">
        <w:rPr>
          <w:rFonts w:cstheme="minorHAnsi"/>
          <w:sz w:val="24"/>
          <w:szCs w:val="24"/>
        </w:rPr>
        <w:t xml:space="preserve"> </w:t>
      </w:r>
      <w:r w:rsidRPr="006C4642">
        <w:rPr>
          <w:rFonts w:cstheme="minorHAnsi"/>
          <w:sz w:val="24"/>
          <w:szCs w:val="24"/>
        </w:rPr>
        <w:t>Recently, the Business Roundtable, a group of CEOs representing nearly 200 major US corporations, dropped the long-held notion that business decisions should ﬁrst and</w:t>
      </w:r>
      <w:r w:rsidRPr="006C4642">
        <w:rPr>
          <w:rFonts w:cstheme="minorHAnsi"/>
          <w:sz w:val="24"/>
          <w:szCs w:val="24"/>
        </w:rPr>
        <w:t xml:space="preserve"> </w:t>
      </w:r>
      <w:r w:rsidRPr="006C4642">
        <w:rPr>
          <w:rFonts w:cstheme="minorHAnsi"/>
          <w:sz w:val="24"/>
          <w:szCs w:val="24"/>
        </w:rPr>
        <w:t xml:space="preserve">foremost serve their shareholders, and stated that corporate leaders should </w:t>
      </w:r>
      <w:proofErr w:type="gramStart"/>
      <w:r w:rsidRPr="006C4642">
        <w:rPr>
          <w:rFonts w:cstheme="minorHAnsi"/>
          <w:sz w:val="24"/>
          <w:szCs w:val="24"/>
        </w:rPr>
        <w:t>take into account</w:t>
      </w:r>
      <w:proofErr w:type="gramEnd"/>
      <w:r w:rsidRPr="006C4642">
        <w:rPr>
          <w:rFonts w:cstheme="minorHAnsi"/>
          <w:sz w:val="24"/>
          <w:szCs w:val="24"/>
        </w:rPr>
        <w:t xml:space="preserve"> all stakeholders including employees, customers, suppliers and society at large, in their decision making beyond maximising proﬁts (Benoit, 2019).</w:t>
      </w:r>
    </w:p>
    <w:p w14:paraId="7B6571F4" w14:textId="64039B1A" w:rsidR="000B383C" w:rsidRPr="006C4642" w:rsidRDefault="000B383C" w:rsidP="004F00C4">
      <w:pPr>
        <w:pStyle w:val="NoSpacing"/>
        <w:ind w:left="720" w:hanging="720"/>
        <w:rPr>
          <w:rFonts w:cstheme="minorHAnsi"/>
          <w:sz w:val="24"/>
          <w:szCs w:val="24"/>
        </w:rPr>
      </w:pPr>
      <w:r w:rsidRPr="006C4642">
        <w:rPr>
          <w:rFonts w:cstheme="minorHAnsi"/>
          <w:sz w:val="24"/>
          <w:szCs w:val="24"/>
        </w:rPr>
        <w:t>2</w:t>
      </w:r>
      <w:r w:rsidR="004F00C4" w:rsidRPr="006C4642">
        <w:rPr>
          <w:rFonts w:cstheme="minorHAnsi"/>
          <w:sz w:val="24"/>
          <w:szCs w:val="24"/>
        </w:rPr>
        <w:t xml:space="preserve"> </w:t>
      </w:r>
      <w:r w:rsidRPr="006C4642">
        <w:rPr>
          <w:rFonts w:cstheme="minorHAnsi"/>
          <w:sz w:val="24"/>
          <w:szCs w:val="24"/>
        </w:rPr>
        <w:t xml:space="preserve">Results are from the 2013 Global Business Outlook Survey conducted by Duke University and </w:t>
      </w:r>
      <w:r w:rsidRPr="006C4642">
        <w:rPr>
          <w:rFonts w:cstheme="minorHAnsi"/>
          <w:i/>
          <w:iCs/>
          <w:sz w:val="24"/>
          <w:szCs w:val="24"/>
        </w:rPr>
        <w:t xml:space="preserve">CFO Magazine </w:t>
      </w:r>
      <w:hyperlink r:id="rId90" w:history="1">
        <w:r w:rsidRPr="006C4642">
          <w:rPr>
            <w:rStyle w:val="Hyperlink"/>
            <w:rFonts w:cstheme="minorHAnsi"/>
            <w:sz w:val="24"/>
            <w:szCs w:val="24"/>
          </w:rPr>
          <w:t>(http://www.reputationxchange.com/csr-through-the-eye</w:t>
        </w:r>
      </w:hyperlink>
      <w:hyperlink r:id="rId91" w:history="1">
        <w:r w:rsidRPr="006C4642">
          <w:rPr>
            <w:rStyle w:val="Hyperlink"/>
            <w:rFonts w:cstheme="minorHAnsi"/>
            <w:sz w:val="24"/>
            <w:szCs w:val="24"/>
          </w:rPr>
          <w:t>s-of-cfos</w:t>
        </w:r>
      </w:hyperlink>
      <w:r w:rsidRPr="006C4642">
        <w:rPr>
          <w:rFonts w:cstheme="minorHAnsi"/>
          <w:sz w:val="24"/>
          <w:szCs w:val="24"/>
        </w:rPr>
        <w:t>).</w:t>
      </w:r>
    </w:p>
    <w:p w14:paraId="30E652C7" w14:textId="79621DF1" w:rsidR="003E3CF7" w:rsidRPr="006C4642" w:rsidRDefault="003E3CF7" w:rsidP="004F00C4">
      <w:pPr>
        <w:pStyle w:val="NoSpacing"/>
        <w:ind w:left="720" w:hanging="720"/>
        <w:rPr>
          <w:rFonts w:cstheme="minorHAnsi"/>
          <w:sz w:val="24"/>
          <w:szCs w:val="24"/>
        </w:rPr>
      </w:pPr>
      <w:r w:rsidRPr="006C4642">
        <w:rPr>
          <w:rFonts w:cstheme="minorHAnsi"/>
          <w:sz w:val="24"/>
          <w:szCs w:val="24"/>
        </w:rPr>
        <w:t>3</w:t>
      </w:r>
      <w:r w:rsidR="004F00C4" w:rsidRPr="006C4642">
        <w:rPr>
          <w:rFonts w:cstheme="minorHAnsi"/>
          <w:sz w:val="24"/>
          <w:szCs w:val="24"/>
        </w:rPr>
        <w:t xml:space="preserve"> </w:t>
      </w:r>
      <w:r w:rsidRPr="006C4642">
        <w:rPr>
          <w:rFonts w:cstheme="minorHAnsi"/>
          <w:sz w:val="24"/>
          <w:szCs w:val="24"/>
        </w:rPr>
        <w:t>For instance, former Enron CEO, Kenneth Lay, placed great importance on charity</w:t>
      </w:r>
      <w:r w:rsidRPr="006C4642">
        <w:rPr>
          <w:rFonts w:cstheme="minorHAnsi"/>
          <w:sz w:val="24"/>
          <w:szCs w:val="24"/>
        </w:rPr>
        <w:t xml:space="preserve"> </w:t>
      </w:r>
      <w:r w:rsidRPr="006C4642">
        <w:rPr>
          <w:rFonts w:cstheme="minorHAnsi"/>
          <w:sz w:val="24"/>
          <w:szCs w:val="24"/>
        </w:rPr>
        <w:t>and philanthropy. As a result, Enron became one of the largest corporate philanthropists in Texas donating millions to arts groups, scholarship funds and medical facilities (Hemingway and Maclagan, 2004). At the same time, Enron used extensive, complex tax shelters and special purpose entities to manipulate and mask its earnings while preventing investors from understanding its sources (Desai and Dharmapala, 2009).</w:t>
      </w:r>
    </w:p>
    <w:p w14:paraId="6ADFBA84" w14:textId="44239D2A" w:rsidR="003E3CF7" w:rsidRPr="006C4642" w:rsidRDefault="003E3CF7" w:rsidP="004F00C4">
      <w:pPr>
        <w:pStyle w:val="NoSpacing"/>
        <w:ind w:left="720" w:hanging="720"/>
        <w:rPr>
          <w:rFonts w:cstheme="minorHAnsi"/>
          <w:sz w:val="24"/>
          <w:szCs w:val="24"/>
        </w:rPr>
      </w:pPr>
      <w:r w:rsidRPr="006C4642">
        <w:rPr>
          <w:rFonts w:cstheme="minorHAnsi"/>
          <w:sz w:val="24"/>
          <w:szCs w:val="24"/>
        </w:rPr>
        <w:t>4</w:t>
      </w:r>
      <w:r w:rsidR="004F00C4" w:rsidRPr="006C4642">
        <w:rPr>
          <w:rFonts w:cstheme="minorHAnsi"/>
          <w:sz w:val="24"/>
          <w:szCs w:val="24"/>
        </w:rPr>
        <w:t xml:space="preserve"> </w:t>
      </w:r>
      <w:r w:rsidRPr="006C4642">
        <w:rPr>
          <w:rFonts w:cstheme="minorHAnsi"/>
          <w:sz w:val="24"/>
          <w:szCs w:val="24"/>
        </w:rPr>
        <w:t xml:space="preserve">We use 10-K ﬁlings rather than 10-Q ﬁlings because 10-K ﬁlings are the most searched ﬁlings on EDGAR (Drake </w:t>
      </w:r>
      <w:r w:rsidRPr="006C4642">
        <w:rPr>
          <w:rFonts w:cstheme="minorHAnsi"/>
          <w:i/>
          <w:iCs/>
          <w:sz w:val="24"/>
          <w:szCs w:val="24"/>
        </w:rPr>
        <w:t>et al.</w:t>
      </w:r>
      <w:r w:rsidRPr="006C4642">
        <w:rPr>
          <w:rFonts w:cstheme="minorHAnsi"/>
          <w:sz w:val="24"/>
          <w:szCs w:val="24"/>
        </w:rPr>
        <w:t>, 2012) and are more informative to investors (Loughran and McDonald, 2015). Furthermore, Li and Ramesh (2009) ﬁnd no signiﬁcant stock price and volume reaction to quarterly ﬁlings after controlling for the concurrent release</w:t>
      </w:r>
      <w:r w:rsidRPr="006C4642">
        <w:rPr>
          <w:rFonts w:cstheme="minorHAnsi"/>
          <w:sz w:val="24"/>
          <w:szCs w:val="24"/>
        </w:rPr>
        <w:t xml:space="preserve"> </w:t>
      </w:r>
      <w:r w:rsidRPr="006C4642">
        <w:rPr>
          <w:rFonts w:cstheme="minorHAnsi"/>
          <w:sz w:val="24"/>
          <w:szCs w:val="24"/>
        </w:rPr>
        <w:t>of earnings news.</w:t>
      </w:r>
    </w:p>
    <w:p w14:paraId="6E3967C8" w14:textId="25511C6A" w:rsidR="00D41F8A" w:rsidRPr="006C4642" w:rsidRDefault="00D41F8A" w:rsidP="004F00C4">
      <w:pPr>
        <w:pStyle w:val="NoSpacing"/>
        <w:ind w:left="720" w:hanging="720"/>
        <w:rPr>
          <w:rFonts w:cstheme="minorHAnsi"/>
          <w:sz w:val="24"/>
          <w:szCs w:val="24"/>
        </w:rPr>
      </w:pPr>
      <w:r w:rsidRPr="006C4642">
        <w:rPr>
          <w:rFonts w:cstheme="minorHAnsi"/>
          <w:sz w:val="24"/>
          <w:szCs w:val="24"/>
        </w:rPr>
        <w:t>5</w:t>
      </w:r>
      <w:r w:rsidR="004F00C4" w:rsidRPr="006C4642">
        <w:rPr>
          <w:rFonts w:cstheme="minorHAnsi"/>
          <w:sz w:val="24"/>
          <w:szCs w:val="24"/>
        </w:rPr>
        <w:t xml:space="preserve"> </w:t>
      </w:r>
      <w:r w:rsidRPr="006C4642">
        <w:rPr>
          <w:rFonts w:cstheme="minorHAnsi"/>
          <w:sz w:val="24"/>
          <w:szCs w:val="24"/>
        </w:rPr>
        <w:t>We</w:t>
      </w:r>
      <w:r w:rsidRPr="006C4642">
        <w:rPr>
          <w:rFonts w:cstheme="minorHAnsi"/>
          <w:sz w:val="24"/>
          <w:szCs w:val="24"/>
        </w:rPr>
        <w:t xml:space="preserve"> </w:t>
      </w:r>
      <w:r w:rsidRPr="006C4642">
        <w:rPr>
          <w:rFonts w:cstheme="minorHAnsi"/>
          <w:sz w:val="24"/>
          <w:szCs w:val="24"/>
        </w:rPr>
        <w:t>deﬁne private information as the new information that has not yet been</w:t>
      </w:r>
      <w:r w:rsidRPr="006C4642">
        <w:rPr>
          <w:rFonts w:cstheme="minorHAnsi"/>
          <w:sz w:val="24"/>
          <w:szCs w:val="24"/>
        </w:rPr>
        <w:t xml:space="preserve"> </w:t>
      </w:r>
      <w:r w:rsidRPr="006C4642">
        <w:rPr>
          <w:rFonts w:cstheme="minorHAnsi"/>
          <w:sz w:val="24"/>
          <w:szCs w:val="24"/>
        </w:rPr>
        <w:t>incorporated into the stock price. Even though information in public disclosures is available upon release, such information is not impounded into the stock price instantaneously because investors need to digest the information over time, leading to new information becoming gradually incorporated into the stock price. Therefore, investigation of the dissemination of new information in public disclosures can shed</w:t>
      </w:r>
      <w:r w:rsidRPr="006C4642">
        <w:rPr>
          <w:rFonts w:cstheme="minorHAnsi"/>
          <w:sz w:val="24"/>
          <w:szCs w:val="24"/>
        </w:rPr>
        <w:t xml:space="preserve"> </w:t>
      </w:r>
      <w:r w:rsidRPr="006C4642">
        <w:rPr>
          <w:rFonts w:cstheme="minorHAnsi"/>
          <w:sz w:val="24"/>
          <w:szCs w:val="24"/>
        </w:rPr>
        <w:t>light on investors’ search for private information.</w:t>
      </w:r>
    </w:p>
    <w:p w14:paraId="11534D1C" w14:textId="7D63FE28" w:rsidR="008011E4" w:rsidRPr="006C4642" w:rsidRDefault="0070007A" w:rsidP="004F00C4">
      <w:pPr>
        <w:pStyle w:val="NoSpacing"/>
        <w:ind w:left="720" w:hanging="720"/>
        <w:rPr>
          <w:rFonts w:cstheme="minorHAnsi"/>
          <w:sz w:val="24"/>
          <w:szCs w:val="24"/>
        </w:rPr>
      </w:pPr>
      <w:r w:rsidRPr="006C4642">
        <w:rPr>
          <w:rFonts w:cstheme="minorHAnsi"/>
          <w:sz w:val="24"/>
          <w:szCs w:val="24"/>
        </w:rPr>
        <w:t>6</w:t>
      </w:r>
      <w:r w:rsidR="004F00C4" w:rsidRPr="006C4642">
        <w:rPr>
          <w:rFonts w:cstheme="minorHAnsi"/>
          <w:sz w:val="24"/>
          <w:szCs w:val="24"/>
        </w:rPr>
        <w:t xml:space="preserve"> </w:t>
      </w:r>
      <w:r w:rsidRPr="006C4642">
        <w:rPr>
          <w:rFonts w:cstheme="minorHAnsi"/>
          <w:sz w:val="24"/>
          <w:szCs w:val="24"/>
        </w:rPr>
        <w:t>We focus our discussions on the costs of information acquisition and not the expected</w:t>
      </w:r>
      <w:r w:rsidR="004F00C4" w:rsidRPr="006C4642">
        <w:rPr>
          <w:rFonts w:cstheme="minorHAnsi"/>
          <w:sz w:val="24"/>
          <w:szCs w:val="24"/>
        </w:rPr>
        <w:t xml:space="preserve"> </w:t>
      </w:r>
      <w:r w:rsidRPr="006C4642">
        <w:rPr>
          <w:rFonts w:cstheme="minorHAnsi"/>
          <w:sz w:val="24"/>
          <w:szCs w:val="24"/>
        </w:rPr>
        <w:t>benefits of information acquisition because our hypotheses are motivated by the</w:t>
      </w:r>
      <w:r w:rsidR="004F00C4" w:rsidRPr="006C4642">
        <w:rPr>
          <w:rFonts w:cstheme="minorHAnsi"/>
          <w:sz w:val="24"/>
          <w:szCs w:val="24"/>
        </w:rPr>
        <w:t xml:space="preserve"> </w:t>
      </w:r>
      <w:r w:rsidRPr="006C4642">
        <w:rPr>
          <w:rFonts w:cstheme="minorHAnsi"/>
          <w:sz w:val="24"/>
          <w:szCs w:val="24"/>
        </w:rPr>
        <w:t>theoretical predictions of Grossman and Stiglitz (1980). They posit that when</w:t>
      </w:r>
      <w:r w:rsidR="004F00C4" w:rsidRPr="006C4642">
        <w:rPr>
          <w:rFonts w:cstheme="minorHAnsi"/>
          <w:sz w:val="24"/>
          <w:szCs w:val="24"/>
        </w:rPr>
        <w:t xml:space="preserve"> </w:t>
      </w:r>
      <w:r w:rsidRPr="006C4642">
        <w:rPr>
          <w:rFonts w:cstheme="minorHAnsi"/>
          <w:sz w:val="24"/>
          <w:szCs w:val="24"/>
        </w:rPr>
        <w:t>information acquisition is costly, price only partially reveals the private information</w:t>
      </w:r>
      <w:r w:rsidR="004F00C4" w:rsidRPr="006C4642">
        <w:rPr>
          <w:rFonts w:cstheme="minorHAnsi"/>
          <w:sz w:val="24"/>
          <w:szCs w:val="24"/>
        </w:rPr>
        <w:t xml:space="preserve"> </w:t>
      </w:r>
      <w:r w:rsidRPr="006C4642">
        <w:rPr>
          <w:rFonts w:cstheme="minorHAnsi"/>
          <w:sz w:val="24"/>
          <w:szCs w:val="24"/>
        </w:rPr>
        <w:t>of the informed traders so that the expected benefits of information acquisition are</w:t>
      </w:r>
      <w:r w:rsidR="004F00C4" w:rsidRPr="006C4642">
        <w:rPr>
          <w:rFonts w:cstheme="minorHAnsi"/>
          <w:sz w:val="24"/>
          <w:szCs w:val="24"/>
        </w:rPr>
        <w:t xml:space="preserve"> </w:t>
      </w:r>
      <w:r w:rsidRPr="006C4642">
        <w:rPr>
          <w:rFonts w:cstheme="minorHAnsi"/>
          <w:sz w:val="24"/>
          <w:szCs w:val="24"/>
        </w:rPr>
        <w:t>enough to compensate for the costs of information acquisition. In equilibrium, when the</w:t>
      </w:r>
      <w:r w:rsidR="004F00C4" w:rsidRPr="006C4642">
        <w:rPr>
          <w:rFonts w:cstheme="minorHAnsi"/>
          <w:sz w:val="24"/>
          <w:szCs w:val="24"/>
        </w:rPr>
        <w:t xml:space="preserve"> </w:t>
      </w:r>
      <w:r w:rsidRPr="006C4642">
        <w:rPr>
          <w:rFonts w:cstheme="minorHAnsi"/>
          <w:sz w:val="24"/>
          <w:szCs w:val="24"/>
        </w:rPr>
        <w:t>information acquisition costs are low (high), price is more (less) informative, leaving a</w:t>
      </w:r>
      <w:r w:rsidR="004F00C4" w:rsidRPr="006C4642">
        <w:rPr>
          <w:rFonts w:cstheme="minorHAnsi"/>
          <w:sz w:val="24"/>
          <w:szCs w:val="24"/>
        </w:rPr>
        <w:t xml:space="preserve"> </w:t>
      </w:r>
      <w:r w:rsidRPr="006C4642">
        <w:rPr>
          <w:rFonts w:cstheme="minorHAnsi"/>
          <w:sz w:val="24"/>
          <w:szCs w:val="24"/>
        </w:rPr>
        <w:t>low (high) expected benefit that is just enough to offset the information acquisition costs.</w:t>
      </w:r>
      <w:r w:rsidR="004F00C4" w:rsidRPr="006C4642">
        <w:rPr>
          <w:rFonts w:cstheme="minorHAnsi"/>
          <w:sz w:val="24"/>
          <w:szCs w:val="24"/>
        </w:rPr>
        <w:t xml:space="preserve"> </w:t>
      </w:r>
      <w:r w:rsidRPr="006C4642">
        <w:rPr>
          <w:rFonts w:cstheme="minorHAnsi"/>
          <w:sz w:val="24"/>
          <w:szCs w:val="24"/>
        </w:rPr>
        <w:t>Thus, the Grossman and Stiglitz (1980) model provides a clear analytical framework and</w:t>
      </w:r>
      <w:r w:rsidR="004F00C4" w:rsidRPr="006C4642">
        <w:rPr>
          <w:rFonts w:cstheme="minorHAnsi"/>
          <w:sz w:val="24"/>
          <w:szCs w:val="24"/>
        </w:rPr>
        <w:t xml:space="preserve"> </w:t>
      </w:r>
      <w:r w:rsidRPr="006C4642">
        <w:rPr>
          <w:rFonts w:cstheme="minorHAnsi"/>
          <w:sz w:val="24"/>
          <w:szCs w:val="24"/>
        </w:rPr>
        <w:t>prediction that it is the costs of information acquisition that determine the informativeness</w:t>
      </w:r>
      <w:r w:rsidR="004F00C4" w:rsidRPr="006C4642">
        <w:rPr>
          <w:rFonts w:cstheme="minorHAnsi"/>
          <w:sz w:val="24"/>
          <w:szCs w:val="24"/>
        </w:rPr>
        <w:t xml:space="preserve"> </w:t>
      </w:r>
      <w:r w:rsidRPr="006C4642">
        <w:rPr>
          <w:rFonts w:cstheme="minorHAnsi"/>
          <w:sz w:val="24"/>
          <w:szCs w:val="24"/>
        </w:rPr>
        <w:t>of stock prices.</w:t>
      </w:r>
    </w:p>
    <w:p w14:paraId="5DC36108" w14:textId="78405861" w:rsidR="0070007A" w:rsidRPr="006C4642" w:rsidRDefault="0070007A" w:rsidP="004F00C4">
      <w:pPr>
        <w:pStyle w:val="NoSpacing"/>
        <w:ind w:left="720" w:hanging="720"/>
        <w:rPr>
          <w:rFonts w:cstheme="minorHAnsi"/>
          <w:sz w:val="24"/>
          <w:szCs w:val="24"/>
        </w:rPr>
      </w:pPr>
      <w:r w:rsidRPr="006C4642">
        <w:rPr>
          <w:rFonts w:cstheme="minorHAnsi"/>
          <w:sz w:val="24"/>
          <w:szCs w:val="24"/>
        </w:rPr>
        <w:t>7</w:t>
      </w:r>
      <w:r w:rsidR="004F00C4" w:rsidRPr="006C4642">
        <w:rPr>
          <w:rFonts w:cstheme="minorHAnsi"/>
          <w:sz w:val="24"/>
          <w:szCs w:val="24"/>
        </w:rPr>
        <w:t xml:space="preserve"> </w:t>
      </w:r>
      <w:r w:rsidRPr="006C4642">
        <w:rPr>
          <w:rFonts w:cstheme="minorHAnsi"/>
          <w:sz w:val="24"/>
          <w:szCs w:val="24"/>
        </w:rPr>
        <w:t>Murphy (1999) surveys the executive compensation literature and concludes that</w:t>
      </w:r>
      <w:r w:rsidR="004F00C4" w:rsidRPr="006C4642">
        <w:rPr>
          <w:rFonts w:cstheme="minorHAnsi"/>
          <w:sz w:val="24"/>
          <w:szCs w:val="24"/>
        </w:rPr>
        <w:t xml:space="preserve"> </w:t>
      </w:r>
      <w:r w:rsidRPr="006C4642">
        <w:rPr>
          <w:rFonts w:cstheme="minorHAnsi"/>
          <w:sz w:val="24"/>
          <w:szCs w:val="24"/>
        </w:rPr>
        <w:t>‘Unfortunately, although there is a plethora of evidence on dysfunctional consequences</w:t>
      </w:r>
      <w:r w:rsidR="004F00C4" w:rsidRPr="006C4642">
        <w:rPr>
          <w:rFonts w:cstheme="minorHAnsi"/>
          <w:sz w:val="24"/>
          <w:szCs w:val="24"/>
        </w:rPr>
        <w:t xml:space="preserve"> </w:t>
      </w:r>
      <w:r w:rsidRPr="006C4642">
        <w:rPr>
          <w:rFonts w:cstheme="minorHAnsi"/>
          <w:sz w:val="24"/>
          <w:szCs w:val="24"/>
        </w:rPr>
        <w:t>of poorly designed pay programs, there is surprisingly little direct evidence that higher</w:t>
      </w:r>
      <w:r w:rsidR="004F00C4" w:rsidRPr="006C4642">
        <w:rPr>
          <w:rFonts w:cstheme="minorHAnsi"/>
          <w:sz w:val="24"/>
          <w:szCs w:val="24"/>
        </w:rPr>
        <w:t xml:space="preserve"> </w:t>
      </w:r>
      <w:r w:rsidRPr="006C4642">
        <w:rPr>
          <w:rFonts w:cstheme="minorHAnsi"/>
          <w:sz w:val="24"/>
          <w:szCs w:val="24"/>
        </w:rPr>
        <w:t>pay-performance sensitivities lead to higher stock-price performance.’</w:t>
      </w:r>
    </w:p>
    <w:p w14:paraId="794B6B25" w14:textId="60CA0E2D" w:rsidR="000B383C" w:rsidRPr="006C4642" w:rsidRDefault="0070007A" w:rsidP="004F00C4">
      <w:pPr>
        <w:pStyle w:val="NoSpacing"/>
        <w:ind w:left="720" w:hanging="720"/>
        <w:rPr>
          <w:rFonts w:cstheme="minorHAnsi"/>
          <w:sz w:val="24"/>
          <w:szCs w:val="24"/>
        </w:rPr>
      </w:pPr>
      <w:r w:rsidRPr="006C4642">
        <w:rPr>
          <w:rFonts w:cstheme="minorHAnsi"/>
          <w:sz w:val="24"/>
          <w:szCs w:val="24"/>
        </w:rPr>
        <w:t>8</w:t>
      </w:r>
      <w:r w:rsidR="004F00C4" w:rsidRPr="006C4642">
        <w:rPr>
          <w:rFonts w:cstheme="minorHAnsi"/>
          <w:sz w:val="24"/>
          <w:szCs w:val="24"/>
        </w:rPr>
        <w:t xml:space="preserve"> </w:t>
      </w:r>
      <w:r w:rsidRPr="006C4642">
        <w:rPr>
          <w:rFonts w:cstheme="minorHAnsi"/>
          <w:sz w:val="24"/>
          <w:szCs w:val="24"/>
        </w:rPr>
        <w:t>For example, it is argued in the literature that firms’ CSR commitment can build</w:t>
      </w:r>
      <w:r w:rsidR="004F00C4" w:rsidRPr="006C4642">
        <w:rPr>
          <w:rFonts w:cstheme="minorHAnsi"/>
          <w:sz w:val="24"/>
          <w:szCs w:val="24"/>
        </w:rPr>
        <w:t xml:space="preserve"> </w:t>
      </w:r>
      <w:r w:rsidRPr="006C4642">
        <w:rPr>
          <w:rFonts w:cstheme="minorHAnsi"/>
          <w:sz w:val="24"/>
          <w:szCs w:val="24"/>
        </w:rPr>
        <w:t>stronger customer relationships (Brown and Dacin, 1997), attract and retain higher</w:t>
      </w:r>
      <w:r w:rsidR="004F00C4" w:rsidRPr="006C4642">
        <w:rPr>
          <w:rFonts w:cstheme="minorHAnsi"/>
          <w:sz w:val="24"/>
          <w:szCs w:val="24"/>
        </w:rPr>
        <w:t xml:space="preserve"> </w:t>
      </w:r>
      <w:r w:rsidRPr="006C4642">
        <w:rPr>
          <w:rFonts w:cstheme="minorHAnsi"/>
          <w:sz w:val="24"/>
          <w:szCs w:val="24"/>
        </w:rPr>
        <w:t xml:space="preserve">quality workers (Greening and Turban, 2000) and reduce adverse political, </w:t>
      </w:r>
      <w:proofErr w:type="gramStart"/>
      <w:r w:rsidRPr="006C4642">
        <w:rPr>
          <w:rFonts w:cstheme="minorHAnsi"/>
          <w:sz w:val="24"/>
          <w:szCs w:val="24"/>
        </w:rPr>
        <w:t>regulatory</w:t>
      </w:r>
      <w:proofErr w:type="gramEnd"/>
      <w:r w:rsidR="004F00C4" w:rsidRPr="006C4642">
        <w:rPr>
          <w:rFonts w:cstheme="minorHAnsi"/>
          <w:sz w:val="24"/>
          <w:szCs w:val="24"/>
        </w:rPr>
        <w:t xml:space="preserve"> </w:t>
      </w:r>
      <w:r w:rsidRPr="006C4642">
        <w:rPr>
          <w:rFonts w:cstheme="minorHAnsi"/>
          <w:sz w:val="24"/>
          <w:szCs w:val="24"/>
        </w:rPr>
        <w:t>and social penalties from negative corporate events (Porter and Linde, 1995; Tran and</w:t>
      </w:r>
      <w:r w:rsidR="004F00C4" w:rsidRPr="006C4642">
        <w:rPr>
          <w:rFonts w:cstheme="minorHAnsi"/>
          <w:sz w:val="24"/>
          <w:szCs w:val="24"/>
        </w:rPr>
        <w:t xml:space="preserve"> </w:t>
      </w:r>
      <w:r w:rsidRPr="006C4642">
        <w:rPr>
          <w:rFonts w:cstheme="minorHAnsi"/>
          <w:sz w:val="24"/>
          <w:szCs w:val="24"/>
        </w:rPr>
        <w:t>O’Sullivan, 2020).</w:t>
      </w:r>
    </w:p>
    <w:p w14:paraId="204D61CD" w14:textId="548C5451" w:rsidR="001B266B" w:rsidRPr="006C4642" w:rsidRDefault="001B266B" w:rsidP="004F00C4">
      <w:pPr>
        <w:pStyle w:val="NoSpacing"/>
        <w:ind w:left="720" w:hanging="720"/>
        <w:rPr>
          <w:rFonts w:cstheme="minorHAnsi"/>
          <w:sz w:val="24"/>
          <w:szCs w:val="24"/>
        </w:rPr>
      </w:pPr>
      <w:r w:rsidRPr="006C4642">
        <w:rPr>
          <w:rFonts w:cstheme="minorHAnsi"/>
          <w:sz w:val="24"/>
          <w:szCs w:val="24"/>
        </w:rPr>
        <w:t>9</w:t>
      </w:r>
      <w:r w:rsidR="004F00C4" w:rsidRPr="006C4642">
        <w:rPr>
          <w:rFonts w:cstheme="minorHAnsi"/>
          <w:sz w:val="24"/>
          <w:szCs w:val="24"/>
        </w:rPr>
        <w:t xml:space="preserve"> </w:t>
      </w:r>
      <w:r w:rsidRPr="006C4642">
        <w:rPr>
          <w:rFonts w:cstheme="minorHAnsi"/>
          <w:sz w:val="24"/>
          <w:szCs w:val="24"/>
        </w:rPr>
        <w:t>Fishman and Hagerty (1992) theorise that insider trading discourages outside investors</w:t>
      </w:r>
      <w:r w:rsidR="004F00C4" w:rsidRPr="006C4642">
        <w:rPr>
          <w:rFonts w:cstheme="minorHAnsi"/>
          <w:sz w:val="24"/>
          <w:szCs w:val="24"/>
        </w:rPr>
        <w:t xml:space="preserve"> </w:t>
      </w:r>
      <w:r w:rsidRPr="006C4642">
        <w:rPr>
          <w:rFonts w:cstheme="minorHAnsi"/>
          <w:sz w:val="24"/>
          <w:szCs w:val="24"/>
        </w:rPr>
        <w:t>from collecting and trading private information by limiting the gains of outside</w:t>
      </w:r>
      <w:r w:rsidR="004F00C4" w:rsidRPr="006C4642">
        <w:rPr>
          <w:rFonts w:cstheme="minorHAnsi"/>
          <w:sz w:val="24"/>
          <w:szCs w:val="24"/>
        </w:rPr>
        <w:t xml:space="preserve"> </w:t>
      </w:r>
      <w:r w:rsidRPr="006C4642">
        <w:rPr>
          <w:rFonts w:cstheme="minorHAnsi"/>
          <w:sz w:val="24"/>
          <w:szCs w:val="24"/>
        </w:rPr>
        <w:t>investors. As a result, while informed trades by insiders might increase, overall informed</w:t>
      </w:r>
      <w:r w:rsidR="004F00C4" w:rsidRPr="006C4642">
        <w:rPr>
          <w:rFonts w:cstheme="minorHAnsi"/>
          <w:sz w:val="24"/>
          <w:szCs w:val="24"/>
        </w:rPr>
        <w:t xml:space="preserve"> </w:t>
      </w:r>
      <w:r w:rsidRPr="006C4642">
        <w:rPr>
          <w:rFonts w:cstheme="minorHAnsi"/>
          <w:sz w:val="24"/>
          <w:szCs w:val="24"/>
        </w:rPr>
        <w:t xml:space="preserve">trading and stock price </w:t>
      </w:r>
      <w:r w:rsidRPr="006C4642">
        <w:rPr>
          <w:rFonts w:cstheme="minorHAnsi"/>
          <w:sz w:val="24"/>
          <w:szCs w:val="24"/>
        </w:rPr>
        <w:lastRenderedPageBreak/>
        <w:t>informativeness can decline because of reduced private</w:t>
      </w:r>
      <w:r w:rsidR="004F00C4" w:rsidRPr="006C4642">
        <w:rPr>
          <w:rFonts w:cstheme="minorHAnsi"/>
          <w:sz w:val="24"/>
          <w:szCs w:val="24"/>
        </w:rPr>
        <w:t xml:space="preserve"> </w:t>
      </w:r>
      <w:r w:rsidRPr="006C4642">
        <w:rPr>
          <w:rFonts w:cstheme="minorHAnsi"/>
          <w:sz w:val="24"/>
          <w:szCs w:val="24"/>
        </w:rPr>
        <w:t>information acquisition and trading by outside investors. Empirically, Fernandes and</w:t>
      </w:r>
      <w:r w:rsidR="004F00C4" w:rsidRPr="006C4642">
        <w:rPr>
          <w:rFonts w:cstheme="minorHAnsi"/>
          <w:sz w:val="24"/>
          <w:szCs w:val="24"/>
        </w:rPr>
        <w:t xml:space="preserve"> </w:t>
      </w:r>
      <w:r w:rsidRPr="006C4642">
        <w:rPr>
          <w:rFonts w:cstheme="minorHAnsi"/>
          <w:sz w:val="24"/>
          <w:szCs w:val="24"/>
        </w:rPr>
        <w:t>Ferreira (2009) show that the enforcement of laws that restrain insider trading improves</w:t>
      </w:r>
      <w:r w:rsidR="004F00C4" w:rsidRPr="006C4642">
        <w:rPr>
          <w:rFonts w:cstheme="minorHAnsi"/>
          <w:sz w:val="24"/>
          <w:szCs w:val="24"/>
        </w:rPr>
        <w:t xml:space="preserve"> </w:t>
      </w:r>
      <w:r w:rsidRPr="006C4642">
        <w:rPr>
          <w:rFonts w:cstheme="minorHAnsi"/>
          <w:sz w:val="24"/>
          <w:szCs w:val="24"/>
        </w:rPr>
        <w:t>stock price informativeness.</w:t>
      </w:r>
    </w:p>
    <w:p w14:paraId="7118E958" w14:textId="0646759C" w:rsidR="000B383C" w:rsidRPr="006C4642" w:rsidRDefault="001B266B" w:rsidP="004F00C4">
      <w:pPr>
        <w:pStyle w:val="NoSpacing"/>
        <w:ind w:left="720" w:hanging="720"/>
        <w:rPr>
          <w:rFonts w:cstheme="minorHAnsi"/>
          <w:sz w:val="24"/>
          <w:szCs w:val="24"/>
        </w:rPr>
      </w:pPr>
      <w:r w:rsidRPr="006C4642">
        <w:rPr>
          <w:rFonts w:cstheme="minorHAnsi"/>
          <w:sz w:val="24"/>
          <w:szCs w:val="24"/>
        </w:rPr>
        <w:t>10</w:t>
      </w:r>
      <w:r w:rsidR="004F00C4" w:rsidRPr="006C4642">
        <w:rPr>
          <w:rFonts w:cstheme="minorHAnsi"/>
          <w:sz w:val="24"/>
          <w:szCs w:val="24"/>
        </w:rPr>
        <w:t xml:space="preserve"> </w:t>
      </w:r>
      <w:r w:rsidRPr="006C4642">
        <w:rPr>
          <w:rFonts w:cstheme="minorHAnsi"/>
          <w:sz w:val="24"/>
          <w:szCs w:val="24"/>
        </w:rPr>
        <w:t>While one can argue that information manipulation of socially irresponsible firms may</w:t>
      </w:r>
      <w:r w:rsidR="004F00C4" w:rsidRPr="006C4642">
        <w:rPr>
          <w:rFonts w:cstheme="minorHAnsi"/>
          <w:sz w:val="24"/>
          <w:szCs w:val="24"/>
        </w:rPr>
        <w:t xml:space="preserve"> </w:t>
      </w:r>
      <w:r w:rsidRPr="006C4642">
        <w:rPr>
          <w:rFonts w:cstheme="minorHAnsi"/>
          <w:sz w:val="24"/>
          <w:szCs w:val="24"/>
        </w:rPr>
        <w:t>also attract investors to search for private information, the cost to discover a firm’s true</w:t>
      </w:r>
      <w:r w:rsidR="004F00C4" w:rsidRPr="006C4642">
        <w:rPr>
          <w:rFonts w:cstheme="minorHAnsi"/>
          <w:sz w:val="24"/>
          <w:szCs w:val="24"/>
        </w:rPr>
        <w:t xml:space="preserve"> </w:t>
      </w:r>
      <w:r w:rsidRPr="006C4642">
        <w:rPr>
          <w:rFonts w:cstheme="minorHAnsi"/>
          <w:sz w:val="24"/>
          <w:szCs w:val="24"/>
        </w:rPr>
        <w:t>fundamental value can be prohibitively high due to complex accounting manoeuvres. As</w:t>
      </w:r>
      <w:r w:rsidR="004F00C4" w:rsidRPr="006C4642">
        <w:rPr>
          <w:rFonts w:cstheme="minorHAnsi"/>
          <w:sz w:val="24"/>
          <w:szCs w:val="24"/>
        </w:rPr>
        <w:t xml:space="preserve"> </w:t>
      </w:r>
      <w:r w:rsidRPr="006C4642">
        <w:rPr>
          <w:rFonts w:cstheme="minorHAnsi"/>
          <w:sz w:val="24"/>
          <w:szCs w:val="24"/>
        </w:rPr>
        <w:t>argued by Grossman and Stiglitz (1980), higher information acquisition costs lead to</w:t>
      </w:r>
      <w:r w:rsidR="004F00C4" w:rsidRPr="006C4642">
        <w:rPr>
          <w:rFonts w:cstheme="minorHAnsi"/>
          <w:sz w:val="24"/>
          <w:szCs w:val="24"/>
        </w:rPr>
        <w:t xml:space="preserve"> </w:t>
      </w:r>
      <w:r w:rsidRPr="006C4642">
        <w:rPr>
          <w:rFonts w:cstheme="minorHAnsi"/>
          <w:sz w:val="24"/>
          <w:szCs w:val="24"/>
        </w:rPr>
        <w:t>fewer traders acquiring information. In equilibrium, the price is less informative, with</w:t>
      </w:r>
      <w:r w:rsidR="004F00C4" w:rsidRPr="006C4642">
        <w:rPr>
          <w:rFonts w:cstheme="minorHAnsi"/>
          <w:sz w:val="24"/>
          <w:szCs w:val="24"/>
        </w:rPr>
        <w:t xml:space="preserve"> </w:t>
      </w:r>
      <w:r w:rsidRPr="006C4642">
        <w:rPr>
          <w:rFonts w:cstheme="minorHAnsi"/>
          <w:sz w:val="24"/>
          <w:szCs w:val="24"/>
        </w:rPr>
        <w:t>the expected benefits of acquiring information equal to the higher costs of information</w:t>
      </w:r>
      <w:r w:rsidR="004F00C4" w:rsidRPr="006C4642">
        <w:rPr>
          <w:rFonts w:cstheme="minorHAnsi"/>
          <w:sz w:val="24"/>
          <w:szCs w:val="24"/>
        </w:rPr>
        <w:t xml:space="preserve"> </w:t>
      </w:r>
      <w:r w:rsidRPr="006C4642">
        <w:rPr>
          <w:rFonts w:cstheme="minorHAnsi"/>
          <w:sz w:val="24"/>
          <w:szCs w:val="24"/>
        </w:rPr>
        <w:t>acquisition.</w:t>
      </w:r>
    </w:p>
    <w:p w14:paraId="5B178FAA" w14:textId="68C9E84F" w:rsidR="000B383C" w:rsidRPr="006C4642" w:rsidRDefault="001B266B" w:rsidP="004F00C4">
      <w:pPr>
        <w:pStyle w:val="NoSpacing"/>
        <w:ind w:left="720" w:hanging="720"/>
        <w:rPr>
          <w:rFonts w:cstheme="minorHAnsi"/>
          <w:sz w:val="24"/>
          <w:szCs w:val="24"/>
        </w:rPr>
      </w:pPr>
      <w:r w:rsidRPr="006C4642">
        <w:rPr>
          <w:rFonts w:cstheme="minorHAnsi"/>
          <w:sz w:val="24"/>
          <w:szCs w:val="24"/>
        </w:rPr>
        <w:t>11</w:t>
      </w:r>
      <w:r w:rsidR="004F00C4" w:rsidRPr="006C4642">
        <w:rPr>
          <w:rFonts w:cstheme="minorHAnsi"/>
          <w:sz w:val="24"/>
          <w:szCs w:val="24"/>
        </w:rPr>
        <w:t xml:space="preserve"> </w:t>
      </w:r>
      <w:r w:rsidRPr="006C4642">
        <w:rPr>
          <w:rFonts w:cstheme="minorHAnsi"/>
          <w:sz w:val="24"/>
          <w:szCs w:val="24"/>
        </w:rPr>
        <w:t xml:space="preserve">The existing literature suggests that </w:t>
      </w:r>
      <w:proofErr w:type="gramStart"/>
      <w:r w:rsidRPr="006C4642">
        <w:rPr>
          <w:rFonts w:cstheme="minorHAnsi"/>
          <w:sz w:val="24"/>
          <w:szCs w:val="24"/>
        </w:rPr>
        <w:t>short-sales</w:t>
      </w:r>
      <w:proofErr w:type="gramEnd"/>
      <w:r w:rsidRPr="006C4642">
        <w:rPr>
          <w:rFonts w:cstheme="minorHAnsi"/>
          <w:sz w:val="24"/>
          <w:szCs w:val="24"/>
        </w:rPr>
        <w:t xml:space="preserve"> are generally executed by sophisticated</w:t>
      </w:r>
      <w:r w:rsidR="004F00C4" w:rsidRPr="006C4642">
        <w:rPr>
          <w:rFonts w:cstheme="minorHAnsi"/>
          <w:sz w:val="24"/>
          <w:szCs w:val="24"/>
        </w:rPr>
        <w:t xml:space="preserve"> </w:t>
      </w:r>
      <w:r w:rsidRPr="006C4642">
        <w:rPr>
          <w:rFonts w:cstheme="minorHAnsi"/>
          <w:sz w:val="24"/>
          <w:szCs w:val="24"/>
        </w:rPr>
        <w:t>investors and require greater investing skills given that short sales are exposed to</w:t>
      </w:r>
      <w:r w:rsidR="004F00C4" w:rsidRPr="006C4642">
        <w:rPr>
          <w:rFonts w:cstheme="minorHAnsi"/>
          <w:sz w:val="24"/>
          <w:szCs w:val="24"/>
        </w:rPr>
        <w:t xml:space="preserve"> </w:t>
      </w:r>
      <w:r w:rsidRPr="006C4642">
        <w:rPr>
          <w:rFonts w:cstheme="minorHAnsi"/>
          <w:sz w:val="24"/>
          <w:szCs w:val="24"/>
        </w:rPr>
        <w:t>unlimited losses and higher expenses than long positions (Diamond and Verrecchia,</w:t>
      </w:r>
      <w:r w:rsidR="004F00C4" w:rsidRPr="006C4642">
        <w:rPr>
          <w:rFonts w:cstheme="minorHAnsi"/>
          <w:sz w:val="24"/>
          <w:szCs w:val="24"/>
        </w:rPr>
        <w:t xml:space="preserve"> </w:t>
      </w:r>
      <w:r w:rsidRPr="006C4642">
        <w:rPr>
          <w:rFonts w:cstheme="minorHAnsi"/>
          <w:sz w:val="24"/>
          <w:szCs w:val="24"/>
        </w:rPr>
        <w:t xml:space="preserve">1987; Dechow et al., 2001). </w:t>
      </w:r>
      <w:proofErr w:type="gramStart"/>
      <w:r w:rsidRPr="006C4642">
        <w:rPr>
          <w:rFonts w:cstheme="minorHAnsi"/>
          <w:sz w:val="24"/>
          <w:szCs w:val="24"/>
        </w:rPr>
        <w:t>Short-sellers</w:t>
      </w:r>
      <w:proofErr w:type="gramEnd"/>
      <w:r w:rsidRPr="006C4642">
        <w:rPr>
          <w:rFonts w:cstheme="minorHAnsi"/>
          <w:sz w:val="24"/>
          <w:szCs w:val="24"/>
        </w:rPr>
        <w:t xml:space="preserve"> are subject to lending fees in order to borrow</w:t>
      </w:r>
      <w:r w:rsidR="004F00C4" w:rsidRPr="006C4642">
        <w:rPr>
          <w:rFonts w:cstheme="minorHAnsi"/>
          <w:sz w:val="24"/>
          <w:szCs w:val="24"/>
        </w:rPr>
        <w:t xml:space="preserve"> </w:t>
      </w:r>
      <w:r w:rsidRPr="006C4642">
        <w:rPr>
          <w:rFonts w:cstheme="minorHAnsi"/>
          <w:sz w:val="24"/>
          <w:szCs w:val="24"/>
        </w:rPr>
        <w:t>the stock. In addition, they face the risk of having an involuntarily closed short position</w:t>
      </w:r>
      <w:r w:rsidR="004F00C4" w:rsidRPr="006C4642">
        <w:rPr>
          <w:rFonts w:cstheme="minorHAnsi"/>
          <w:sz w:val="24"/>
          <w:szCs w:val="24"/>
        </w:rPr>
        <w:t xml:space="preserve"> </w:t>
      </w:r>
      <w:r w:rsidRPr="006C4642">
        <w:rPr>
          <w:rFonts w:cstheme="minorHAnsi"/>
          <w:sz w:val="24"/>
          <w:szCs w:val="24"/>
        </w:rPr>
        <w:t>due to loan recalls and face constraints including government regulations or institutional</w:t>
      </w:r>
      <w:r w:rsidR="004F00C4" w:rsidRPr="006C4642">
        <w:rPr>
          <w:rFonts w:cstheme="minorHAnsi"/>
          <w:sz w:val="24"/>
          <w:szCs w:val="24"/>
        </w:rPr>
        <w:t xml:space="preserve"> </w:t>
      </w:r>
      <w:r w:rsidRPr="006C4642">
        <w:rPr>
          <w:rFonts w:cstheme="minorHAnsi"/>
          <w:sz w:val="24"/>
          <w:szCs w:val="24"/>
        </w:rPr>
        <w:t>charter restrictions (Jones and Lamont, 2002). Both empirical and theoretical studies</w:t>
      </w:r>
      <w:r w:rsidR="004F00C4" w:rsidRPr="006C4642">
        <w:rPr>
          <w:rFonts w:cstheme="minorHAnsi"/>
          <w:sz w:val="24"/>
          <w:szCs w:val="24"/>
        </w:rPr>
        <w:t xml:space="preserve"> </w:t>
      </w:r>
      <w:r w:rsidRPr="006C4642">
        <w:rPr>
          <w:rFonts w:cstheme="minorHAnsi"/>
          <w:sz w:val="24"/>
          <w:szCs w:val="24"/>
        </w:rPr>
        <w:t>show that short-sale constraints can hurt the efficiency of stock prices (Diamond and</w:t>
      </w:r>
      <w:r w:rsidR="004F00C4" w:rsidRPr="006C4642">
        <w:rPr>
          <w:rFonts w:cstheme="minorHAnsi"/>
          <w:sz w:val="24"/>
          <w:szCs w:val="24"/>
        </w:rPr>
        <w:t xml:space="preserve"> </w:t>
      </w:r>
      <w:r w:rsidRPr="006C4642">
        <w:rPr>
          <w:rFonts w:cstheme="minorHAnsi"/>
          <w:sz w:val="24"/>
          <w:szCs w:val="24"/>
        </w:rPr>
        <w:t>Verrecchia, 1987; Jones and Lamont, 2002; Saffi and Sigurdsson, 2011).</w:t>
      </w:r>
    </w:p>
    <w:p w14:paraId="2D9C8E13" w14:textId="31490172" w:rsidR="001B266B" w:rsidRPr="006C4642" w:rsidRDefault="001B266B" w:rsidP="004F00C4">
      <w:pPr>
        <w:pStyle w:val="NoSpacing"/>
        <w:ind w:left="720" w:hanging="720"/>
        <w:rPr>
          <w:rFonts w:cstheme="minorHAnsi"/>
          <w:sz w:val="24"/>
          <w:szCs w:val="24"/>
        </w:rPr>
      </w:pPr>
      <w:r w:rsidRPr="006C4642">
        <w:rPr>
          <w:rFonts w:cstheme="minorHAnsi"/>
          <w:sz w:val="24"/>
          <w:szCs w:val="24"/>
        </w:rPr>
        <w:t>12</w:t>
      </w:r>
      <w:r w:rsidR="006C4642" w:rsidRPr="006C4642">
        <w:rPr>
          <w:rFonts w:cstheme="minorHAnsi"/>
          <w:sz w:val="24"/>
          <w:szCs w:val="24"/>
        </w:rPr>
        <w:t xml:space="preserve"> </w:t>
      </w:r>
      <w:r w:rsidRPr="006C4642">
        <w:rPr>
          <w:rFonts w:cstheme="minorHAnsi"/>
          <w:sz w:val="24"/>
          <w:szCs w:val="24"/>
        </w:rPr>
        <w:t>In equilibrium, the benefit of information acquisition is low due to the more</w:t>
      </w:r>
      <w:r w:rsidR="00AD1ABC">
        <w:rPr>
          <w:rFonts w:cstheme="minorHAnsi"/>
          <w:sz w:val="24"/>
          <w:szCs w:val="24"/>
        </w:rPr>
        <w:t xml:space="preserve"> </w:t>
      </w:r>
      <w:r w:rsidRPr="006C4642">
        <w:rPr>
          <w:rFonts w:cstheme="minorHAnsi"/>
          <w:sz w:val="24"/>
          <w:szCs w:val="24"/>
        </w:rPr>
        <w:t>informative stock price exactly offsetting the low information acquisition cost.</w:t>
      </w:r>
    </w:p>
    <w:p w14:paraId="50EA42E8" w14:textId="5A4342EB" w:rsidR="001B266B" w:rsidRPr="006C4642" w:rsidRDefault="001B266B" w:rsidP="004F00C4">
      <w:pPr>
        <w:pStyle w:val="NoSpacing"/>
        <w:ind w:left="720" w:hanging="720"/>
        <w:rPr>
          <w:rFonts w:cstheme="minorHAnsi"/>
          <w:sz w:val="24"/>
          <w:szCs w:val="24"/>
        </w:rPr>
      </w:pPr>
      <w:r w:rsidRPr="006C4642">
        <w:rPr>
          <w:rFonts w:cstheme="minorHAnsi"/>
          <w:sz w:val="24"/>
          <w:szCs w:val="24"/>
        </w:rPr>
        <w:t>13</w:t>
      </w:r>
      <w:r w:rsidR="006C4642" w:rsidRPr="006C4642">
        <w:rPr>
          <w:rFonts w:cstheme="minorHAnsi"/>
          <w:sz w:val="24"/>
          <w:szCs w:val="24"/>
        </w:rPr>
        <w:t xml:space="preserve"> </w:t>
      </w:r>
      <w:r w:rsidRPr="006C4642">
        <w:rPr>
          <w:rFonts w:cstheme="minorHAnsi"/>
          <w:sz w:val="24"/>
          <w:szCs w:val="24"/>
        </w:rPr>
        <w:t>See note 4.</w:t>
      </w:r>
    </w:p>
    <w:p w14:paraId="5BA6270E" w14:textId="171AC952" w:rsidR="00C83EDA" w:rsidRPr="006C4642" w:rsidRDefault="00C83EDA" w:rsidP="004F00C4">
      <w:pPr>
        <w:pStyle w:val="NoSpacing"/>
        <w:ind w:left="720" w:hanging="720"/>
        <w:rPr>
          <w:rFonts w:cstheme="minorHAnsi"/>
          <w:sz w:val="24"/>
          <w:szCs w:val="24"/>
        </w:rPr>
      </w:pPr>
      <w:r w:rsidRPr="006C4642">
        <w:rPr>
          <w:rFonts w:cstheme="minorHAnsi"/>
          <w:sz w:val="24"/>
          <w:szCs w:val="24"/>
        </w:rPr>
        <w:t>14</w:t>
      </w:r>
      <w:r w:rsidR="006C4642" w:rsidRPr="006C4642">
        <w:rPr>
          <w:rFonts w:cstheme="minorHAnsi"/>
          <w:sz w:val="24"/>
          <w:szCs w:val="24"/>
        </w:rPr>
        <w:t xml:space="preserve"> </w:t>
      </w:r>
      <w:r w:rsidRPr="006C4642">
        <w:rPr>
          <w:rFonts w:cstheme="minorHAnsi"/>
          <w:sz w:val="24"/>
          <w:szCs w:val="24"/>
        </w:rPr>
        <w:t>The sample ends in 2010 to maintain consistency in the sample period across our</w:t>
      </w:r>
      <w:r w:rsidR="00AD1ABC">
        <w:rPr>
          <w:rFonts w:cstheme="minorHAnsi"/>
          <w:sz w:val="24"/>
          <w:szCs w:val="24"/>
        </w:rPr>
        <w:t xml:space="preserve"> </w:t>
      </w:r>
      <w:r w:rsidRPr="006C4642">
        <w:rPr>
          <w:rFonts w:cstheme="minorHAnsi"/>
          <w:sz w:val="24"/>
          <w:szCs w:val="24"/>
        </w:rPr>
        <w:t>measures of stock price informativeness, since data on the probability of informed</w:t>
      </w:r>
      <w:r w:rsidR="00AD1ABC">
        <w:rPr>
          <w:rFonts w:cstheme="minorHAnsi"/>
          <w:sz w:val="24"/>
          <w:szCs w:val="24"/>
        </w:rPr>
        <w:t xml:space="preserve"> </w:t>
      </w:r>
      <w:r w:rsidRPr="006C4642">
        <w:rPr>
          <w:rFonts w:cstheme="minorHAnsi"/>
          <w:sz w:val="24"/>
          <w:szCs w:val="24"/>
        </w:rPr>
        <w:t>trading (PIN) ends in 2010. Extending the sample to 2013 (the last year that KLD issued</w:t>
      </w:r>
      <w:r w:rsidR="00AD1ABC">
        <w:rPr>
          <w:rFonts w:cstheme="minorHAnsi"/>
          <w:sz w:val="24"/>
          <w:szCs w:val="24"/>
        </w:rPr>
        <w:t xml:space="preserve"> </w:t>
      </w:r>
      <w:r w:rsidRPr="006C4642">
        <w:rPr>
          <w:rFonts w:cstheme="minorHAnsi"/>
          <w:sz w:val="24"/>
          <w:szCs w:val="24"/>
        </w:rPr>
        <w:t>CSR ratings as used in this paper) does not qualitatively change the results for</w:t>
      </w:r>
      <w:r w:rsidR="00AD1ABC">
        <w:rPr>
          <w:rFonts w:cstheme="minorHAnsi"/>
          <w:sz w:val="24"/>
          <w:szCs w:val="24"/>
        </w:rPr>
        <w:t xml:space="preserve"> </w:t>
      </w:r>
      <w:r w:rsidRPr="006C4642">
        <w:rPr>
          <w:rFonts w:cstheme="minorHAnsi"/>
          <w:sz w:val="24"/>
          <w:szCs w:val="24"/>
        </w:rPr>
        <w:t>idiosyncratic volatility (Ψ), our first measure of stock price informativeness.</w:t>
      </w:r>
    </w:p>
    <w:p w14:paraId="74305532" w14:textId="6F8B3FFD" w:rsidR="00C83EDA" w:rsidRPr="006C4642" w:rsidRDefault="00C83EDA" w:rsidP="004F00C4">
      <w:pPr>
        <w:pStyle w:val="NoSpacing"/>
        <w:ind w:left="720" w:hanging="720"/>
        <w:rPr>
          <w:rFonts w:cstheme="minorHAnsi"/>
          <w:sz w:val="24"/>
          <w:szCs w:val="24"/>
        </w:rPr>
      </w:pPr>
      <w:r w:rsidRPr="006C4642">
        <w:rPr>
          <w:rFonts w:cstheme="minorHAnsi"/>
          <w:sz w:val="24"/>
          <w:szCs w:val="24"/>
        </w:rPr>
        <w:t>15</w:t>
      </w:r>
      <w:r w:rsidR="006C4642" w:rsidRPr="006C4642">
        <w:rPr>
          <w:rFonts w:cstheme="minorHAnsi"/>
          <w:sz w:val="24"/>
          <w:szCs w:val="24"/>
        </w:rPr>
        <w:t xml:space="preserve"> </w:t>
      </w:r>
      <w:r w:rsidRPr="006C4642">
        <w:rPr>
          <w:rFonts w:cstheme="minorHAnsi"/>
          <w:sz w:val="24"/>
          <w:szCs w:val="24"/>
        </w:rPr>
        <w:t>KLD originally covered only firms in the S&amp;P 500 Index and the Domini 400 Social</w:t>
      </w:r>
      <w:r w:rsidR="00AD1ABC">
        <w:rPr>
          <w:rFonts w:cstheme="minorHAnsi"/>
          <w:sz w:val="24"/>
          <w:szCs w:val="24"/>
        </w:rPr>
        <w:t xml:space="preserve"> </w:t>
      </w:r>
      <w:r w:rsidRPr="006C4642">
        <w:rPr>
          <w:rFonts w:cstheme="minorHAnsi"/>
          <w:sz w:val="24"/>
          <w:szCs w:val="24"/>
        </w:rPr>
        <w:t>Management Index. KLD expanded its coverage to firms in the Russell 1000 in 2001 and</w:t>
      </w:r>
      <w:r w:rsidR="00AD1ABC">
        <w:rPr>
          <w:rFonts w:cstheme="minorHAnsi"/>
          <w:sz w:val="24"/>
          <w:szCs w:val="24"/>
        </w:rPr>
        <w:t xml:space="preserve"> </w:t>
      </w:r>
      <w:r w:rsidRPr="006C4642">
        <w:rPr>
          <w:rFonts w:cstheme="minorHAnsi"/>
          <w:sz w:val="24"/>
          <w:szCs w:val="24"/>
        </w:rPr>
        <w:t>to firms in the Russell 3000 in 2003.</w:t>
      </w:r>
    </w:p>
    <w:p w14:paraId="4DE382B1" w14:textId="59C204DB" w:rsidR="00C83EDA" w:rsidRPr="006C4642" w:rsidRDefault="00C83EDA" w:rsidP="004F00C4">
      <w:pPr>
        <w:pStyle w:val="NoSpacing"/>
        <w:ind w:left="720" w:hanging="720"/>
        <w:rPr>
          <w:rFonts w:cstheme="minorHAnsi"/>
          <w:sz w:val="24"/>
          <w:szCs w:val="24"/>
        </w:rPr>
      </w:pPr>
      <w:r w:rsidRPr="006C4642">
        <w:rPr>
          <w:rFonts w:cstheme="minorHAnsi"/>
          <w:sz w:val="24"/>
          <w:szCs w:val="24"/>
        </w:rPr>
        <w:t>16</w:t>
      </w:r>
      <w:r w:rsidR="006C4642" w:rsidRPr="006C4642">
        <w:rPr>
          <w:rFonts w:cstheme="minorHAnsi"/>
          <w:sz w:val="24"/>
          <w:szCs w:val="24"/>
        </w:rPr>
        <w:t xml:space="preserve"> </w:t>
      </w:r>
      <w:r w:rsidRPr="006C4642">
        <w:rPr>
          <w:rFonts w:cstheme="minorHAnsi"/>
          <w:sz w:val="24"/>
          <w:szCs w:val="24"/>
        </w:rPr>
        <w:t>For instance, Durnev et al. (2003) show that the stock prices of firms with more</w:t>
      </w:r>
      <w:r w:rsidR="00AD1ABC">
        <w:rPr>
          <w:rFonts w:cstheme="minorHAnsi"/>
          <w:sz w:val="24"/>
          <w:szCs w:val="24"/>
        </w:rPr>
        <w:t xml:space="preserve"> </w:t>
      </w:r>
      <w:r w:rsidRPr="006C4642">
        <w:rPr>
          <w:rFonts w:cstheme="minorHAnsi"/>
          <w:sz w:val="24"/>
          <w:szCs w:val="24"/>
        </w:rPr>
        <w:t>idiosyncratic volatility contain more information about future earnings.</w:t>
      </w:r>
    </w:p>
    <w:p w14:paraId="43C4C297" w14:textId="6CB7C005" w:rsidR="001B266B" w:rsidRPr="006C4642" w:rsidRDefault="002A40BA" w:rsidP="004F00C4">
      <w:pPr>
        <w:pStyle w:val="NoSpacing"/>
        <w:ind w:left="720" w:hanging="720"/>
        <w:rPr>
          <w:rFonts w:cstheme="minorHAnsi"/>
          <w:sz w:val="24"/>
          <w:szCs w:val="24"/>
        </w:rPr>
      </w:pPr>
      <w:r w:rsidRPr="006C4642">
        <w:rPr>
          <w:rFonts w:cstheme="minorHAnsi"/>
          <w:sz w:val="24"/>
          <w:szCs w:val="24"/>
        </w:rPr>
        <w:t>17</w:t>
      </w:r>
      <w:r w:rsidR="006C4642" w:rsidRPr="006C4642">
        <w:rPr>
          <w:rFonts w:cstheme="minorHAnsi"/>
          <w:sz w:val="24"/>
          <w:szCs w:val="24"/>
        </w:rPr>
        <w:t xml:space="preserve"> </w:t>
      </w:r>
      <w:r w:rsidRPr="006C4642">
        <w:rPr>
          <w:rFonts w:cstheme="minorHAnsi"/>
          <w:sz w:val="24"/>
          <w:szCs w:val="24"/>
        </w:rPr>
        <w:t>PIN data are available at http://scholar.rhsmith.umd.edu/sbrown/pin-data</w:t>
      </w:r>
    </w:p>
    <w:p w14:paraId="153BBFD3" w14:textId="45C48825" w:rsidR="002A40BA" w:rsidRPr="006C4642" w:rsidRDefault="002A40BA" w:rsidP="004F00C4">
      <w:pPr>
        <w:pStyle w:val="NoSpacing"/>
        <w:ind w:left="720" w:hanging="720"/>
        <w:rPr>
          <w:rFonts w:cstheme="minorHAnsi"/>
          <w:sz w:val="24"/>
          <w:szCs w:val="24"/>
        </w:rPr>
      </w:pPr>
      <w:r w:rsidRPr="006C4642">
        <w:rPr>
          <w:rFonts w:cstheme="minorHAnsi"/>
          <w:sz w:val="24"/>
          <w:szCs w:val="24"/>
        </w:rPr>
        <w:t>18</w:t>
      </w:r>
      <w:r w:rsidR="006C4642" w:rsidRPr="006C4642">
        <w:rPr>
          <w:rFonts w:cstheme="minorHAnsi"/>
          <w:sz w:val="24"/>
          <w:szCs w:val="24"/>
        </w:rPr>
        <w:t xml:space="preserve"> </w:t>
      </w:r>
      <w:r w:rsidRPr="006C4642">
        <w:rPr>
          <w:rFonts w:cstheme="minorHAnsi"/>
          <w:sz w:val="24"/>
          <w:szCs w:val="24"/>
        </w:rPr>
        <w:t>It may appear contradictory that higher CSR is associated with a lower probability of</w:t>
      </w:r>
      <w:r w:rsidR="00AD1ABC">
        <w:rPr>
          <w:rFonts w:cstheme="minorHAnsi"/>
          <w:sz w:val="24"/>
          <w:szCs w:val="24"/>
        </w:rPr>
        <w:t xml:space="preserve"> </w:t>
      </w:r>
      <w:r w:rsidRPr="006C4642">
        <w:rPr>
          <w:rFonts w:cstheme="minorHAnsi"/>
          <w:sz w:val="24"/>
          <w:szCs w:val="24"/>
        </w:rPr>
        <w:t xml:space="preserve">insider </w:t>
      </w:r>
      <w:proofErr w:type="gramStart"/>
      <w:r w:rsidRPr="006C4642">
        <w:rPr>
          <w:rFonts w:cstheme="minorHAnsi"/>
          <w:sz w:val="24"/>
          <w:szCs w:val="24"/>
        </w:rPr>
        <w:t>trading, yet</w:t>
      </w:r>
      <w:proofErr w:type="gramEnd"/>
      <w:r w:rsidRPr="006C4642">
        <w:rPr>
          <w:rFonts w:cstheme="minorHAnsi"/>
          <w:sz w:val="24"/>
          <w:szCs w:val="24"/>
        </w:rPr>
        <w:t xml:space="preserve"> is positively associated with the probability of informed trading</w:t>
      </w:r>
      <w:r w:rsidR="00AD1ABC">
        <w:rPr>
          <w:rFonts w:cstheme="minorHAnsi"/>
          <w:sz w:val="24"/>
          <w:szCs w:val="24"/>
        </w:rPr>
        <w:t xml:space="preserve"> </w:t>
      </w:r>
      <w:r w:rsidRPr="006C4642">
        <w:rPr>
          <w:rFonts w:cstheme="minorHAnsi"/>
          <w:sz w:val="24"/>
          <w:szCs w:val="24"/>
        </w:rPr>
        <w:t>(PIN). The probability of informed trading consists of trades made by corporate insiders</w:t>
      </w:r>
      <w:r w:rsidR="00AD1ABC">
        <w:rPr>
          <w:rFonts w:cstheme="minorHAnsi"/>
          <w:sz w:val="24"/>
          <w:szCs w:val="24"/>
        </w:rPr>
        <w:t xml:space="preserve"> </w:t>
      </w:r>
      <w:r w:rsidRPr="006C4642">
        <w:rPr>
          <w:rFonts w:cstheme="minorHAnsi"/>
          <w:sz w:val="24"/>
          <w:szCs w:val="24"/>
        </w:rPr>
        <w:t>(e.g., managers and board of directors) or trades made by outside investors that expense</w:t>
      </w:r>
      <w:r w:rsidR="00AD1ABC">
        <w:rPr>
          <w:rFonts w:cstheme="minorHAnsi"/>
          <w:sz w:val="24"/>
          <w:szCs w:val="24"/>
        </w:rPr>
        <w:t xml:space="preserve"> </w:t>
      </w:r>
      <w:r w:rsidRPr="006C4642">
        <w:rPr>
          <w:rFonts w:cstheme="minorHAnsi"/>
          <w:sz w:val="24"/>
          <w:szCs w:val="24"/>
        </w:rPr>
        <w:t>resources to become informed. Thus, while CSR may restrain informed trades from</w:t>
      </w:r>
      <w:r w:rsidR="00AD1ABC">
        <w:rPr>
          <w:rFonts w:cstheme="minorHAnsi"/>
          <w:sz w:val="24"/>
          <w:szCs w:val="24"/>
        </w:rPr>
        <w:t xml:space="preserve"> </w:t>
      </w:r>
      <w:r w:rsidRPr="006C4642">
        <w:rPr>
          <w:rFonts w:cstheme="minorHAnsi"/>
          <w:sz w:val="24"/>
          <w:szCs w:val="24"/>
        </w:rPr>
        <w:t>insiders (Gao et al. 2014), it may also encourage more outside investors to collect and</w:t>
      </w:r>
      <w:r w:rsidR="00AD1ABC">
        <w:rPr>
          <w:rFonts w:cstheme="minorHAnsi"/>
          <w:sz w:val="24"/>
          <w:szCs w:val="24"/>
        </w:rPr>
        <w:t xml:space="preserve"> </w:t>
      </w:r>
      <w:r w:rsidRPr="006C4642">
        <w:rPr>
          <w:rFonts w:cstheme="minorHAnsi"/>
          <w:sz w:val="24"/>
          <w:szCs w:val="24"/>
        </w:rPr>
        <w:t>trade on private information for higher expected gains because outside investors are less</w:t>
      </w:r>
      <w:r w:rsidR="00AD1ABC">
        <w:rPr>
          <w:rFonts w:cstheme="minorHAnsi"/>
          <w:sz w:val="24"/>
          <w:szCs w:val="24"/>
        </w:rPr>
        <w:t xml:space="preserve"> </w:t>
      </w:r>
      <w:r w:rsidRPr="006C4642">
        <w:rPr>
          <w:rFonts w:cstheme="minorHAnsi"/>
          <w:sz w:val="24"/>
          <w:szCs w:val="24"/>
        </w:rPr>
        <w:t>likely to trade with insiders (Fishman and Hagerty 1992; Fernandes and Ferreira 2009).</w:t>
      </w:r>
      <w:r w:rsidR="00AD1ABC">
        <w:rPr>
          <w:rFonts w:cstheme="minorHAnsi"/>
          <w:sz w:val="24"/>
          <w:szCs w:val="24"/>
        </w:rPr>
        <w:t xml:space="preserve"> </w:t>
      </w:r>
      <w:r w:rsidRPr="006C4642">
        <w:rPr>
          <w:rFonts w:cstheme="minorHAnsi"/>
          <w:sz w:val="24"/>
          <w:szCs w:val="24"/>
        </w:rPr>
        <w:t>As a result, CSR may be positively related to PIN.</w:t>
      </w:r>
    </w:p>
    <w:p w14:paraId="73AECD62" w14:textId="1FCCB5EB" w:rsidR="001B266B" w:rsidRPr="006C4642" w:rsidRDefault="002A40BA" w:rsidP="004F00C4">
      <w:pPr>
        <w:pStyle w:val="NoSpacing"/>
        <w:ind w:left="720" w:hanging="720"/>
        <w:rPr>
          <w:rFonts w:cstheme="minorHAnsi"/>
          <w:sz w:val="24"/>
          <w:szCs w:val="24"/>
        </w:rPr>
      </w:pPr>
      <w:r w:rsidRPr="006C4642">
        <w:rPr>
          <w:rFonts w:cstheme="minorHAnsi"/>
          <w:sz w:val="24"/>
          <w:szCs w:val="24"/>
        </w:rPr>
        <w:t>1</w:t>
      </w:r>
      <w:r w:rsidRPr="006C4642">
        <w:rPr>
          <w:rFonts w:cstheme="minorHAnsi"/>
          <w:sz w:val="24"/>
          <w:szCs w:val="24"/>
        </w:rPr>
        <w:t>7</w:t>
      </w:r>
      <w:r w:rsidR="00AD1ABC">
        <w:rPr>
          <w:rFonts w:cstheme="minorHAnsi"/>
          <w:sz w:val="24"/>
          <w:szCs w:val="24"/>
        </w:rPr>
        <w:t xml:space="preserve"> </w:t>
      </w:r>
      <w:r w:rsidRPr="006C4642">
        <w:rPr>
          <w:rFonts w:cstheme="minorHAnsi"/>
          <w:sz w:val="24"/>
          <w:szCs w:val="24"/>
        </w:rPr>
        <w:t>For instance, in the environment dimension, a firm can receive a credit for the use of</w:t>
      </w:r>
      <w:r w:rsidR="00AD1ABC">
        <w:rPr>
          <w:rFonts w:cstheme="minorHAnsi"/>
          <w:sz w:val="24"/>
          <w:szCs w:val="24"/>
        </w:rPr>
        <w:t xml:space="preserve"> </w:t>
      </w:r>
      <w:r w:rsidRPr="006C4642">
        <w:rPr>
          <w:rFonts w:cstheme="minorHAnsi"/>
          <w:sz w:val="24"/>
          <w:szCs w:val="24"/>
        </w:rPr>
        <w:t>clean energy and a concern for hazardous waste.</w:t>
      </w:r>
    </w:p>
    <w:p w14:paraId="274AC587" w14:textId="1CC5601D" w:rsidR="007B6F4D" w:rsidRPr="006C4642" w:rsidRDefault="007B6F4D" w:rsidP="004F00C4">
      <w:pPr>
        <w:pStyle w:val="NoSpacing"/>
        <w:ind w:left="720" w:hanging="720"/>
        <w:rPr>
          <w:rFonts w:cstheme="minorHAnsi"/>
          <w:sz w:val="24"/>
          <w:szCs w:val="24"/>
        </w:rPr>
      </w:pPr>
      <w:r w:rsidRPr="006C4642">
        <w:rPr>
          <w:rFonts w:cstheme="minorHAnsi"/>
          <w:sz w:val="24"/>
          <w:szCs w:val="24"/>
        </w:rPr>
        <w:t>18</w:t>
      </w:r>
      <w:r w:rsidR="00AD1ABC">
        <w:rPr>
          <w:rFonts w:cstheme="minorHAnsi"/>
          <w:sz w:val="24"/>
          <w:szCs w:val="24"/>
        </w:rPr>
        <w:t xml:space="preserve"> </w:t>
      </w:r>
      <w:r w:rsidRPr="006C4642">
        <w:rPr>
          <w:rFonts w:cstheme="minorHAnsi"/>
          <w:sz w:val="24"/>
          <w:szCs w:val="24"/>
        </w:rPr>
        <w:t>To illustrate, suppose that a hypothetical firm receives 1, 2, 1, 0, 1 and 1 KLD</w:t>
      </w:r>
      <w:r w:rsidR="00AD1ABC">
        <w:rPr>
          <w:rFonts w:cstheme="minorHAnsi"/>
          <w:sz w:val="24"/>
          <w:szCs w:val="24"/>
        </w:rPr>
        <w:t xml:space="preserve"> </w:t>
      </w:r>
      <w:r w:rsidRPr="006C4642">
        <w:rPr>
          <w:rFonts w:cstheme="minorHAnsi"/>
          <w:sz w:val="24"/>
          <w:szCs w:val="24"/>
        </w:rPr>
        <w:t>strengths across the six dimensions, and the total numbers of strength for each</w:t>
      </w:r>
      <w:r w:rsidR="00AD1ABC">
        <w:rPr>
          <w:rFonts w:cstheme="minorHAnsi"/>
          <w:sz w:val="24"/>
          <w:szCs w:val="24"/>
        </w:rPr>
        <w:t xml:space="preserve"> </w:t>
      </w:r>
      <w:r w:rsidRPr="006C4642">
        <w:rPr>
          <w:rFonts w:cstheme="minorHAnsi"/>
          <w:sz w:val="24"/>
          <w:szCs w:val="24"/>
        </w:rPr>
        <w:t>dimension are 5, 4, 3, 5, 6 and 4, respectively. According to our definition, the adjusted</w:t>
      </w:r>
      <w:r w:rsidR="00AD1ABC">
        <w:rPr>
          <w:rFonts w:cstheme="minorHAnsi"/>
          <w:sz w:val="24"/>
          <w:szCs w:val="24"/>
        </w:rPr>
        <w:t xml:space="preserve"> </w:t>
      </w:r>
      <w:r w:rsidRPr="006C4642">
        <w:rPr>
          <w:rFonts w:cstheme="minorHAnsi"/>
          <w:sz w:val="24"/>
          <w:szCs w:val="24"/>
        </w:rPr>
        <w:t xml:space="preserve">total strength score for the firm is equal </w:t>
      </w:r>
      <w:r w:rsidRPr="006C4642">
        <w:rPr>
          <w:rFonts w:cstheme="minorHAnsi"/>
          <w:sz w:val="24"/>
          <w:szCs w:val="24"/>
        </w:rPr>
        <w:lastRenderedPageBreak/>
        <w:t>to 1/5 + 2/4 + 1/3 + 0/5 + 1/6 + 1/4 = 1.45.</w:t>
      </w:r>
      <w:r w:rsidR="00AD1ABC">
        <w:rPr>
          <w:rFonts w:cstheme="minorHAnsi"/>
          <w:sz w:val="24"/>
          <w:szCs w:val="24"/>
        </w:rPr>
        <w:t xml:space="preserve"> </w:t>
      </w:r>
      <w:r w:rsidRPr="006C4642">
        <w:rPr>
          <w:rFonts w:cstheme="minorHAnsi"/>
          <w:sz w:val="24"/>
          <w:szCs w:val="24"/>
        </w:rPr>
        <w:t>Assuming that the adjusted concern score can be calculated similarly and is equal to</w:t>
      </w:r>
      <w:r w:rsidR="00AD1ABC">
        <w:rPr>
          <w:rFonts w:cstheme="minorHAnsi"/>
          <w:sz w:val="24"/>
          <w:szCs w:val="24"/>
        </w:rPr>
        <w:t xml:space="preserve"> </w:t>
      </w:r>
      <w:r w:rsidRPr="006C4642">
        <w:rPr>
          <w:rFonts w:cstheme="minorHAnsi"/>
          <w:sz w:val="24"/>
          <w:szCs w:val="24"/>
        </w:rPr>
        <w:t>1.35, the adjusted CSR score is 1.45 − 1.35 = 0.1.</w:t>
      </w:r>
    </w:p>
    <w:p w14:paraId="62517A52" w14:textId="64985358" w:rsidR="007B6F4D" w:rsidRPr="006C4642" w:rsidRDefault="007B6F4D" w:rsidP="004F00C4">
      <w:pPr>
        <w:pStyle w:val="NoSpacing"/>
        <w:ind w:left="720" w:hanging="720"/>
        <w:rPr>
          <w:rFonts w:cstheme="minorHAnsi"/>
          <w:sz w:val="24"/>
          <w:szCs w:val="24"/>
        </w:rPr>
      </w:pPr>
      <w:r w:rsidRPr="006C4642">
        <w:rPr>
          <w:rFonts w:cstheme="minorHAnsi"/>
          <w:sz w:val="24"/>
          <w:szCs w:val="24"/>
        </w:rPr>
        <w:t>19</w:t>
      </w:r>
      <w:r w:rsidR="00AD1ABC">
        <w:rPr>
          <w:rFonts w:cstheme="minorHAnsi"/>
          <w:sz w:val="24"/>
          <w:szCs w:val="24"/>
        </w:rPr>
        <w:t xml:space="preserve"> </w:t>
      </w:r>
      <w:r w:rsidRPr="006C4642">
        <w:rPr>
          <w:rFonts w:cstheme="minorHAnsi"/>
          <w:sz w:val="24"/>
          <w:szCs w:val="24"/>
        </w:rPr>
        <w:t>Consistent with limited investor attention, Drake et al. (2012) find that filings may be</w:t>
      </w:r>
      <w:r w:rsidR="00AD1ABC">
        <w:rPr>
          <w:rFonts w:cstheme="minorHAnsi"/>
          <w:sz w:val="24"/>
          <w:szCs w:val="24"/>
        </w:rPr>
        <w:t xml:space="preserve"> </w:t>
      </w:r>
      <w:r w:rsidRPr="006C4642">
        <w:rPr>
          <w:rFonts w:cstheme="minorHAnsi"/>
          <w:sz w:val="24"/>
          <w:szCs w:val="24"/>
        </w:rPr>
        <w:t>requested days or weeks after their initial release.</w:t>
      </w:r>
    </w:p>
    <w:p w14:paraId="626AD3FF" w14:textId="62AB8C13" w:rsidR="001B266B" w:rsidRPr="006C4642" w:rsidRDefault="007B6F4D" w:rsidP="004F00C4">
      <w:pPr>
        <w:pStyle w:val="NoSpacing"/>
        <w:ind w:left="720" w:hanging="720"/>
        <w:rPr>
          <w:rFonts w:cstheme="minorHAnsi"/>
          <w:sz w:val="24"/>
          <w:szCs w:val="24"/>
        </w:rPr>
      </w:pPr>
      <w:r w:rsidRPr="006C4642">
        <w:rPr>
          <w:rFonts w:cstheme="minorHAnsi"/>
          <w:sz w:val="24"/>
          <w:szCs w:val="24"/>
        </w:rPr>
        <w:t>20</w:t>
      </w:r>
      <w:r w:rsidR="00AD1ABC">
        <w:rPr>
          <w:rFonts w:cstheme="minorHAnsi"/>
          <w:sz w:val="24"/>
          <w:szCs w:val="24"/>
        </w:rPr>
        <w:t xml:space="preserve"> </w:t>
      </w:r>
      <w:r w:rsidRPr="006C4642">
        <w:rPr>
          <w:rFonts w:cstheme="minorHAnsi"/>
          <w:sz w:val="24"/>
          <w:szCs w:val="24"/>
        </w:rPr>
        <w:t>We thank Michael Drake for providing access to the Google search data. Abnormal</w:t>
      </w:r>
      <w:r w:rsidR="00AD1ABC">
        <w:rPr>
          <w:rFonts w:cstheme="minorHAnsi"/>
          <w:sz w:val="24"/>
          <w:szCs w:val="24"/>
        </w:rPr>
        <w:t xml:space="preserve"> </w:t>
      </w:r>
      <w:r w:rsidRPr="006C4642">
        <w:rPr>
          <w:rFonts w:cstheme="minorHAnsi"/>
          <w:sz w:val="24"/>
          <w:szCs w:val="24"/>
        </w:rPr>
        <w:t xml:space="preserve">Google SVI is computed as the raw Google SVI score for firm </w:t>
      </w:r>
      <m:oMath>
        <m:r>
          <w:rPr>
            <w:rFonts w:ascii="Cambria Math" w:hAnsi="Cambria Math" w:cstheme="minorHAnsi"/>
            <w:sz w:val="24"/>
            <w:szCs w:val="24"/>
          </w:rPr>
          <m:t>i</m:t>
        </m:r>
      </m:oMath>
      <w:r w:rsidRPr="006C4642">
        <w:rPr>
          <w:rFonts w:cstheme="minorHAnsi"/>
          <w:sz w:val="24"/>
          <w:szCs w:val="24"/>
        </w:rPr>
        <w:t xml:space="preserve"> on day </w:t>
      </w:r>
      <m:oMath>
        <m:r>
          <w:rPr>
            <w:rFonts w:ascii="Cambria Math" w:hAnsi="Cambria Math" w:cstheme="minorHAnsi"/>
            <w:sz w:val="24"/>
            <w:szCs w:val="24"/>
          </w:rPr>
          <m:t>t</m:t>
        </m:r>
      </m:oMath>
      <w:r w:rsidRPr="006C4642">
        <w:rPr>
          <w:rFonts w:cstheme="minorHAnsi"/>
          <w:sz w:val="24"/>
          <w:szCs w:val="24"/>
        </w:rPr>
        <w:t>, minus the</w:t>
      </w:r>
      <w:r w:rsidR="00AD1ABC">
        <w:rPr>
          <w:rFonts w:cstheme="minorHAnsi"/>
          <w:sz w:val="24"/>
          <w:szCs w:val="24"/>
        </w:rPr>
        <w:t xml:space="preserve"> </w:t>
      </w:r>
      <w:r w:rsidRPr="006C4642">
        <w:rPr>
          <w:rFonts w:cstheme="minorHAnsi"/>
          <w:sz w:val="24"/>
          <w:szCs w:val="24"/>
        </w:rPr>
        <w:t>average Google SVI score for the same day of the week for that firm over the prior</w:t>
      </w:r>
      <w:r w:rsidR="00AD1ABC">
        <w:rPr>
          <w:rFonts w:cstheme="minorHAnsi"/>
          <w:sz w:val="24"/>
          <w:szCs w:val="24"/>
        </w:rPr>
        <w:t xml:space="preserve"> </w:t>
      </w:r>
      <w:r w:rsidRPr="006C4642">
        <w:rPr>
          <w:rFonts w:cstheme="minorHAnsi"/>
          <w:sz w:val="24"/>
          <w:szCs w:val="24"/>
        </w:rPr>
        <w:t>10 weeks, scaled by this average Google SVI score. Please see Drake et al. (2012) for</w:t>
      </w:r>
      <w:r w:rsidR="00AD1ABC">
        <w:rPr>
          <w:rFonts w:cstheme="minorHAnsi"/>
          <w:sz w:val="24"/>
          <w:szCs w:val="24"/>
        </w:rPr>
        <w:t xml:space="preserve"> </w:t>
      </w:r>
      <w:r w:rsidRPr="006C4642">
        <w:rPr>
          <w:rFonts w:cstheme="minorHAnsi"/>
          <w:sz w:val="24"/>
          <w:szCs w:val="24"/>
        </w:rPr>
        <w:t>further details on how to compute abnormal searches.</w:t>
      </w:r>
    </w:p>
    <w:p w14:paraId="61DD2963" w14:textId="35B743C9" w:rsidR="007B6F4D" w:rsidRPr="006C4642" w:rsidRDefault="007B6F4D" w:rsidP="004F00C4">
      <w:pPr>
        <w:pStyle w:val="NoSpacing"/>
        <w:ind w:left="720" w:hanging="720"/>
        <w:rPr>
          <w:rFonts w:cstheme="minorHAnsi"/>
          <w:sz w:val="24"/>
          <w:szCs w:val="24"/>
        </w:rPr>
      </w:pPr>
      <w:r w:rsidRPr="006C4642">
        <w:rPr>
          <w:rFonts w:cstheme="minorHAnsi"/>
          <w:sz w:val="24"/>
          <w:szCs w:val="24"/>
        </w:rPr>
        <w:t>21</w:t>
      </w:r>
      <w:r w:rsidR="00AD1ABC">
        <w:rPr>
          <w:rFonts w:cstheme="minorHAnsi"/>
          <w:sz w:val="24"/>
          <w:szCs w:val="24"/>
        </w:rPr>
        <w:t xml:space="preserve"> </w:t>
      </w:r>
      <w:r w:rsidRPr="006C4642">
        <w:rPr>
          <w:rFonts w:cstheme="minorHAnsi"/>
          <w:sz w:val="24"/>
          <w:szCs w:val="24"/>
        </w:rPr>
        <w:t>As a robustness check, we also winsorise all non-logarithmic, continuous variables at</w:t>
      </w:r>
      <w:r w:rsidR="00AD1ABC">
        <w:rPr>
          <w:rFonts w:cstheme="minorHAnsi"/>
          <w:sz w:val="24"/>
          <w:szCs w:val="24"/>
        </w:rPr>
        <w:t xml:space="preserve"> </w:t>
      </w:r>
      <w:r w:rsidRPr="006C4642">
        <w:rPr>
          <w:rFonts w:cstheme="minorHAnsi"/>
          <w:sz w:val="24"/>
          <w:szCs w:val="24"/>
        </w:rPr>
        <w:t>the 2nd and the 98th percentile and at the 5th and 95th percentile, respectively. CSR</w:t>
      </w:r>
      <w:r w:rsidR="00AD1ABC">
        <w:rPr>
          <w:rFonts w:cstheme="minorHAnsi"/>
          <w:sz w:val="24"/>
          <w:szCs w:val="24"/>
        </w:rPr>
        <w:t xml:space="preserve"> </w:t>
      </w:r>
      <w:r w:rsidRPr="006C4642">
        <w:rPr>
          <w:rFonts w:cstheme="minorHAnsi"/>
          <w:sz w:val="24"/>
          <w:szCs w:val="24"/>
        </w:rPr>
        <w:t xml:space="preserve">remains economically and statistically significant in the idiosyncratic volatility </w:t>
      </w:r>
      <m:oMath>
        <m:r>
          <m:rPr>
            <m:sty m:val="p"/>
          </m:rPr>
          <w:rPr>
            <w:rFonts w:ascii="Cambria Math" w:hAnsi="Cambria Math" w:cstheme="minorHAnsi"/>
            <w:sz w:val="24"/>
            <w:szCs w:val="24"/>
          </w:rPr>
          <m:t>(Ψ)</m:t>
        </m:r>
      </m:oMath>
      <w:r w:rsidRPr="006C4642">
        <w:rPr>
          <w:rFonts w:cstheme="minorHAnsi"/>
          <w:sz w:val="24"/>
          <w:szCs w:val="24"/>
        </w:rPr>
        <w:t xml:space="preserve"> and</w:t>
      </w:r>
      <w:r w:rsidR="00AD1ABC">
        <w:rPr>
          <w:rFonts w:cstheme="minorHAnsi"/>
          <w:sz w:val="24"/>
          <w:szCs w:val="24"/>
        </w:rPr>
        <w:t xml:space="preserve"> </w:t>
      </w:r>
      <w:r w:rsidRPr="006C4642">
        <w:rPr>
          <w:rFonts w:cstheme="minorHAnsi"/>
          <w:sz w:val="24"/>
          <w:szCs w:val="24"/>
        </w:rPr>
        <w:t>the probability of informed trading (PIN) regressions when we adopt these alternative</w:t>
      </w:r>
      <w:r w:rsidR="00AD1ABC">
        <w:rPr>
          <w:rFonts w:cstheme="minorHAnsi"/>
          <w:sz w:val="24"/>
          <w:szCs w:val="24"/>
        </w:rPr>
        <w:t xml:space="preserve"> </w:t>
      </w:r>
      <w:r w:rsidRPr="006C4642">
        <w:rPr>
          <w:rFonts w:cstheme="minorHAnsi"/>
          <w:sz w:val="24"/>
          <w:szCs w:val="24"/>
        </w:rPr>
        <w:t>winsorisation thresholds.</w:t>
      </w:r>
    </w:p>
    <w:p w14:paraId="271EF688" w14:textId="0E03A47B" w:rsidR="001B266B" w:rsidRPr="006C4642" w:rsidRDefault="007B6F4D" w:rsidP="004F00C4">
      <w:pPr>
        <w:pStyle w:val="NoSpacing"/>
        <w:ind w:left="720" w:hanging="720"/>
        <w:rPr>
          <w:rFonts w:cstheme="minorHAnsi"/>
          <w:sz w:val="24"/>
          <w:szCs w:val="24"/>
        </w:rPr>
      </w:pPr>
      <w:r w:rsidRPr="006C4642">
        <w:rPr>
          <w:rFonts w:cstheme="minorHAnsi"/>
          <w:sz w:val="24"/>
          <w:szCs w:val="24"/>
        </w:rPr>
        <w:t>22</w:t>
      </w:r>
      <w:r w:rsidR="006C4642">
        <w:rPr>
          <w:rFonts w:cstheme="minorHAnsi"/>
          <w:sz w:val="24"/>
          <w:szCs w:val="24"/>
        </w:rPr>
        <w:t xml:space="preserve"> </w:t>
      </w:r>
      <w:r w:rsidRPr="006C4642">
        <w:rPr>
          <w:rFonts w:cstheme="minorHAnsi"/>
          <w:sz w:val="24"/>
          <w:szCs w:val="24"/>
        </w:rPr>
        <w:t>Following the previous literature (Ferreira and Laux 2007; Ferreira et al., 2011; Gul</w:t>
      </w:r>
      <w:r w:rsidR="00AD1ABC">
        <w:rPr>
          <w:rFonts w:cstheme="minorHAnsi"/>
          <w:sz w:val="24"/>
          <w:szCs w:val="24"/>
        </w:rPr>
        <w:t xml:space="preserve"> </w:t>
      </w:r>
      <w:r w:rsidRPr="006C4642">
        <w:rPr>
          <w:rFonts w:cstheme="minorHAnsi"/>
          <w:sz w:val="24"/>
          <w:szCs w:val="24"/>
        </w:rPr>
        <w:t>et al., 2011), we select the panel data fixed effect model for the price informativeness test</w:t>
      </w:r>
      <w:r w:rsidR="00AD1ABC">
        <w:rPr>
          <w:rFonts w:cstheme="minorHAnsi"/>
          <w:sz w:val="24"/>
          <w:szCs w:val="24"/>
        </w:rPr>
        <w:t xml:space="preserve"> </w:t>
      </w:r>
      <w:r w:rsidRPr="006C4642">
        <w:rPr>
          <w:rFonts w:cstheme="minorHAnsi"/>
          <w:sz w:val="24"/>
          <w:szCs w:val="24"/>
        </w:rPr>
        <w:t>to keep our study comparable with prior studies. The unit-root test suggests that our</w:t>
      </w:r>
      <w:r w:rsidR="00AD1ABC">
        <w:rPr>
          <w:rFonts w:cstheme="minorHAnsi"/>
          <w:sz w:val="24"/>
          <w:szCs w:val="24"/>
        </w:rPr>
        <w:t xml:space="preserve"> </w:t>
      </w:r>
      <w:r w:rsidRPr="006C4642">
        <w:rPr>
          <w:rFonts w:cstheme="minorHAnsi"/>
          <w:sz w:val="24"/>
          <w:szCs w:val="24"/>
        </w:rPr>
        <w:t>panel data is stationary and does not possess a unit root. We also rerun the baseline</w:t>
      </w:r>
      <w:r w:rsidR="00AD1ABC">
        <w:rPr>
          <w:rFonts w:cstheme="minorHAnsi"/>
          <w:sz w:val="24"/>
          <w:szCs w:val="24"/>
        </w:rPr>
        <w:t xml:space="preserve"> </w:t>
      </w:r>
      <w:r w:rsidRPr="006C4642">
        <w:rPr>
          <w:rFonts w:cstheme="minorHAnsi"/>
          <w:sz w:val="24"/>
          <w:szCs w:val="24"/>
        </w:rPr>
        <w:t>model with random effects and find quantitively similar results.</w:t>
      </w:r>
    </w:p>
    <w:p w14:paraId="16369D26" w14:textId="26B784AE" w:rsidR="007B6F4D" w:rsidRPr="006C4642" w:rsidRDefault="0055262A" w:rsidP="004F00C4">
      <w:pPr>
        <w:pStyle w:val="NoSpacing"/>
        <w:ind w:left="720" w:hanging="720"/>
        <w:rPr>
          <w:rFonts w:cstheme="minorHAnsi"/>
          <w:sz w:val="24"/>
          <w:szCs w:val="24"/>
        </w:rPr>
      </w:pPr>
      <w:r w:rsidRPr="006C4642">
        <w:rPr>
          <w:rFonts w:cstheme="minorHAnsi"/>
          <w:sz w:val="24"/>
          <w:szCs w:val="24"/>
        </w:rPr>
        <w:t>23</w:t>
      </w:r>
      <w:r w:rsidR="006C4642">
        <w:rPr>
          <w:rFonts w:cstheme="minorHAnsi"/>
          <w:sz w:val="24"/>
          <w:szCs w:val="24"/>
        </w:rPr>
        <w:t xml:space="preserve"> </w:t>
      </w:r>
      <w:r w:rsidRPr="006C4642">
        <w:rPr>
          <w:rFonts w:cstheme="minorHAnsi"/>
          <w:sz w:val="24"/>
          <w:szCs w:val="24"/>
        </w:rPr>
        <w:t>In untabulated results, we also include the number of conference calls as an additional</w:t>
      </w:r>
      <w:r w:rsidR="00AD1ABC">
        <w:rPr>
          <w:rFonts w:cstheme="minorHAnsi"/>
          <w:sz w:val="24"/>
          <w:szCs w:val="24"/>
        </w:rPr>
        <w:t xml:space="preserve"> </w:t>
      </w:r>
      <w:r w:rsidRPr="006C4642">
        <w:rPr>
          <w:rFonts w:cstheme="minorHAnsi"/>
          <w:sz w:val="24"/>
          <w:szCs w:val="24"/>
        </w:rPr>
        <w:t>measure of voluntary disclosure. Our main results remain qualitatively similar when we</w:t>
      </w:r>
      <w:r w:rsidR="00AD1ABC">
        <w:rPr>
          <w:rFonts w:cstheme="minorHAnsi"/>
          <w:sz w:val="24"/>
          <w:szCs w:val="24"/>
        </w:rPr>
        <w:t xml:space="preserve"> </w:t>
      </w:r>
      <w:r w:rsidRPr="006C4642">
        <w:rPr>
          <w:rFonts w:cstheme="minorHAnsi"/>
          <w:sz w:val="24"/>
          <w:szCs w:val="24"/>
        </w:rPr>
        <w:t>control for conference calls. Including conference calls in the regression shortens our</w:t>
      </w:r>
      <w:r w:rsidR="00AD1ABC">
        <w:rPr>
          <w:rFonts w:cstheme="minorHAnsi"/>
          <w:sz w:val="24"/>
          <w:szCs w:val="24"/>
        </w:rPr>
        <w:t xml:space="preserve"> </w:t>
      </w:r>
      <w:r w:rsidRPr="006C4642">
        <w:rPr>
          <w:rFonts w:cstheme="minorHAnsi"/>
          <w:sz w:val="24"/>
          <w:szCs w:val="24"/>
        </w:rPr>
        <w:t>sample period and reduces our sample size (we obtain conference call data from</w:t>
      </w:r>
      <w:r w:rsidR="00AD1ABC">
        <w:rPr>
          <w:rFonts w:cstheme="minorHAnsi"/>
          <w:sz w:val="24"/>
          <w:szCs w:val="24"/>
        </w:rPr>
        <w:t xml:space="preserve"> </w:t>
      </w:r>
      <w:r w:rsidRPr="006C4642">
        <w:rPr>
          <w:rFonts w:cstheme="minorHAnsi"/>
          <w:sz w:val="24"/>
          <w:szCs w:val="24"/>
        </w:rPr>
        <w:t>Thomson Reuters Street Events, which covers few firms before 2001). As a result, we</w:t>
      </w:r>
      <w:r w:rsidR="00AD1ABC">
        <w:rPr>
          <w:rFonts w:cstheme="minorHAnsi"/>
          <w:sz w:val="24"/>
          <w:szCs w:val="24"/>
        </w:rPr>
        <w:t xml:space="preserve"> </w:t>
      </w:r>
      <w:r w:rsidRPr="006C4642">
        <w:rPr>
          <w:rFonts w:cstheme="minorHAnsi"/>
          <w:sz w:val="24"/>
          <w:szCs w:val="24"/>
        </w:rPr>
        <w:t>only include management forecasts as a control in our main regressions.</w:t>
      </w:r>
    </w:p>
    <w:p w14:paraId="5DB48312" w14:textId="6F1AFED4" w:rsidR="0055262A" w:rsidRPr="006C4642" w:rsidRDefault="0055262A" w:rsidP="004F00C4">
      <w:pPr>
        <w:pStyle w:val="NoSpacing"/>
        <w:ind w:left="720" w:hanging="720"/>
        <w:rPr>
          <w:rFonts w:cstheme="minorHAnsi"/>
          <w:sz w:val="24"/>
          <w:szCs w:val="24"/>
        </w:rPr>
      </w:pPr>
      <w:r w:rsidRPr="006C4642">
        <w:rPr>
          <w:rFonts w:cstheme="minorHAnsi"/>
          <w:sz w:val="24"/>
          <w:szCs w:val="24"/>
        </w:rPr>
        <w:t>24</w:t>
      </w:r>
      <w:r w:rsidR="006C4642">
        <w:rPr>
          <w:rFonts w:cstheme="minorHAnsi"/>
          <w:sz w:val="24"/>
          <w:szCs w:val="24"/>
        </w:rPr>
        <w:t xml:space="preserve"> </w:t>
      </w:r>
      <w:r w:rsidRPr="006C4642">
        <w:rPr>
          <w:rFonts w:cstheme="minorHAnsi"/>
          <w:sz w:val="24"/>
          <w:szCs w:val="24"/>
        </w:rPr>
        <w:t>This number is calculated as 0.074*0.501/1.155. 0.074 is the coefficient of CSR in</w:t>
      </w:r>
      <w:r w:rsidR="00AD1ABC">
        <w:rPr>
          <w:rFonts w:cstheme="minorHAnsi"/>
          <w:sz w:val="24"/>
          <w:szCs w:val="24"/>
        </w:rPr>
        <w:t xml:space="preserve"> </w:t>
      </w:r>
      <w:r w:rsidRPr="006C4642">
        <w:rPr>
          <w:rFonts w:cstheme="minorHAnsi"/>
          <w:sz w:val="24"/>
          <w:szCs w:val="24"/>
        </w:rPr>
        <w:t>column (2) of Table 2. 0.501 and 1.155 are the standard deviations of CSR and</w:t>
      </w:r>
      <w:r w:rsidR="00AD1ABC">
        <w:rPr>
          <w:rFonts w:cstheme="minorHAnsi"/>
          <w:sz w:val="24"/>
          <w:szCs w:val="24"/>
        </w:rPr>
        <w:t xml:space="preserve"> </w:t>
      </w:r>
      <w:r w:rsidRPr="006C4642">
        <w:rPr>
          <w:rFonts w:cstheme="minorHAnsi"/>
          <w:sz w:val="24"/>
          <w:szCs w:val="24"/>
        </w:rPr>
        <w:t>idiosyncratic volatility (Ψ) from Table 1.</w:t>
      </w:r>
    </w:p>
    <w:p w14:paraId="0C196EA4" w14:textId="728CF533" w:rsidR="0055262A" w:rsidRPr="006C4642" w:rsidRDefault="0055262A" w:rsidP="004F00C4">
      <w:pPr>
        <w:pStyle w:val="NoSpacing"/>
        <w:ind w:left="720" w:hanging="720"/>
        <w:rPr>
          <w:rFonts w:cstheme="minorHAnsi"/>
          <w:sz w:val="24"/>
          <w:szCs w:val="24"/>
        </w:rPr>
      </w:pPr>
      <w:r w:rsidRPr="006C4642">
        <w:rPr>
          <w:rFonts w:cstheme="minorHAnsi"/>
          <w:sz w:val="24"/>
          <w:szCs w:val="24"/>
        </w:rPr>
        <w:t>25</w:t>
      </w:r>
      <w:r w:rsidR="006C4642">
        <w:rPr>
          <w:rFonts w:cstheme="minorHAnsi"/>
          <w:sz w:val="24"/>
          <w:szCs w:val="24"/>
        </w:rPr>
        <w:t xml:space="preserve"> </w:t>
      </w:r>
      <w:r w:rsidRPr="006C4642">
        <w:rPr>
          <w:rFonts w:cstheme="minorHAnsi"/>
          <w:sz w:val="24"/>
          <w:szCs w:val="24"/>
        </w:rPr>
        <w:t>For example, based on the estimates in Ferreira and Laux (2007), a one standard</w:t>
      </w:r>
      <w:r w:rsidR="00AD1ABC">
        <w:rPr>
          <w:rFonts w:cstheme="minorHAnsi"/>
          <w:sz w:val="24"/>
          <w:szCs w:val="24"/>
        </w:rPr>
        <w:t xml:space="preserve"> </w:t>
      </w:r>
      <w:r w:rsidRPr="006C4642">
        <w:rPr>
          <w:rFonts w:cstheme="minorHAnsi"/>
          <w:sz w:val="24"/>
          <w:szCs w:val="24"/>
        </w:rPr>
        <w:t>deviation decrease in the G-index (better corporate governance) is associated with</w:t>
      </w:r>
      <w:r w:rsidR="00AD1ABC">
        <w:rPr>
          <w:rFonts w:cstheme="minorHAnsi"/>
          <w:sz w:val="24"/>
          <w:szCs w:val="24"/>
        </w:rPr>
        <w:t xml:space="preserve"> </w:t>
      </w:r>
      <w:r w:rsidRPr="006C4642">
        <w:rPr>
          <w:rFonts w:cstheme="minorHAnsi"/>
          <w:sz w:val="24"/>
          <w:szCs w:val="24"/>
        </w:rPr>
        <w:t>1.66% standard deviation increase in idiosyncratic volatility. This number is calculated</w:t>
      </w:r>
      <w:r w:rsidR="00AD1ABC">
        <w:rPr>
          <w:rFonts w:cstheme="minorHAnsi"/>
          <w:sz w:val="24"/>
          <w:szCs w:val="24"/>
        </w:rPr>
        <w:t xml:space="preserve"> </w:t>
      </w:r>
      <w:r w:rsidRPr="006C4642">
        <w:rPr>
          <w:rFonts w:cstheme="minorHAnsi"/>
          <w:sz w:val="24"/>
          <w:szCs w:val="24"/>
        </w:rPr>
        <w:t>as 0.0129*2.833/2.198. 0.0129 is the coefficient of the G-index in column (2) of their table</w:t>
      </w:r>
      <w:r w:rsidR="00AD1ABC">
        <w:rPr>
          <w:rFonts w:cstheme="minorHAnsi"/>
          <w:sz w:val="24"/>
          <w:szCs w:val="24"/>
        </w:rPr>
        <w:t xml:space="preserve"> </w:t>
      </w:r>
      <w:r w:rsidRPr="006C4642">
        <w:rPr>
          <w:rFonts w:cstheme="minorHAnsi"/>
          <w:sz w:val="24"/>
          <w:szCs w:val="24"/>
        </w:rPr>
        <w:t>3. 2.833 and 2.198 are the standard deviations of the G-index and idiosyncratic volatility</w:t>
      </w:r>
      <w:r w:rsidR="00AD1ABC">
        <w:rPr>
          <w:rFonts w:cstheme="minorHAnsi"/>
          <w:sz w:val="24"/>
          <w:szCs w:val="24"/>
        </w:rPr>
        <w:t xml:space="preserve"> </w:t>
      </w:r>
      <w:r w:rsidRPr="006C4642">
        <w:rPr>
          <w:rFonts w:cstheme="minorHAnsi"/>
          <w:sz w:val="24"/>
          <w:szCs w:val="24"/>
        </w:rPr>
        <w:t>in their sample presented in their table 2.</w:t>
      </w:r>
    </w:p>
    <w:p w14:paraId="102CC100" w14:textId="30E23E97" w:rsidR="0055262A" w:rsidRPr="006C4642" w:rsidRDefault="0055262A" w:rsidP="004F00C4">
      <w:pPr>
        <w:pStyle w:val="NoSpacing"/>
        <w:ind w:left="720" w:hanging="720"/>
        <w:rPr>
          <w:rFonts w:cstheme="minorHAnsi"/>
          <w:sz w:val="24"/>
          <w:szCs w:val="24"/>
        </w:rPr>
      </w:pPr>
      <w:r w:rsidRPr="006C4642">
        <w:rPr>
          <w:rFonts w:cstheme="minorHAnsi"/>
          <w:sz w:val="24"/>
          <w:szCs w:val="24"/>
        </w:rPr>
        <w:t>26</w:t>
      </w:r>
      <w:r w:rsidR="006C4642">
        <w:rPr>
          <w:rFonts w:cstheme="minorHAnsi"/>
          <w:sz w:val="24"/>
          <w:szCs w:val="24"/>
        </w:rPr>
        <w:t xml:space="preserve"> </w:t>
      </w:r>
      <w:r w:rsidRPr="006C4642">
        <w:rPr>
          <w:rFonts w:cstheme="minorHAnsi"/>
          <w:sz w:val="24"/>
          <w:szCs w:val="24"/>
        </w:rPr>
        <w:t>This number is calculated as 0.006*0.501/0.05. 0.006 is the coefficient of CSR in</w:t>
      </w:r>
      <w:r w:rsidR="00AD1ABC">
        <w:rPr>
          <w:rFonts w:cstheme="minorHAnsi"/>
          <w:sz w:val="24"/>
          <w:szCs w:val="24"/>
        </w:rPr>
        <w:t xml:space="preserve"> </w:t>
      </w:r>
      <w:r w:rsidRPr="006C4642">
        <w:rPr>
          <w:rFonts w:cstheme="minorHAnsi"/>
          <w:sz w:val="24"/>
          <w:szCs w:val="24"/>
        </w:rPr>
        <w:t>column (4) of Table 2. 0.501 and 0.05 are the standard deviations of CSR and</w:t>
      </w:r>
      <w:r w:rsidR="00AD1ABC">
        <w:rPr>
          <w:rFonts w:cstheme="minorHAnsi"/>
          <w:sz w:val="24"/>
          <w:szCs w:val="24"/>
        </w:rPr>
        <w:t xml:space="preserve"> </w:t>
      </w:r>
      <w:r w:rsidRPr="006C4642">
        <w:rPr>
          <w:rFonts w:cstheme="minorHAnsi"/>
          <w:sz w:val="24"/>
          <w:szCs w:val="24"/>
        </w:rPr>
        <w:t>probability of informed trading (PIN) from Table 1.</w:t>
      </w:r>
    </w:p>
    <w:p w14:paraId="117792DE" w14:textId="56881475" w:rsidR="007B6F4D" w:rsidRPr="006C4642" w:rsidRDefault="0055262A" w:rsidP="004F00C4">
      <w:pPr>
        <w:pStyle w:val="NoSpacing"/>
        <w:ind w:left="720" w:hanging="720"/>
        <w:rPr>
          <w:rFonts w:cstheme="minorHAnsi"/>
          <w:sz w:val="24"/>
          <w:szCs w:val="24"/>
        </w:rPr>
      </w:pPr>
      <w:r w:rsidRPr="006C4642">
        <w:rPr>
          <w:rFonts w:cstheme="minorHAnsi"/>
          <w:sz w:val="24"/>
          <w:szCs w:val="24"/>
        </w:rPr>
        <w:t>27</w:t>
      </w:r>
      <w:r w:rsidR="006C4642">
        <w:rPr>
          <w:rFonts w:cstheme="minorHAnsi"/>
          <w:sz w:val="24"/>
          <w:szCs w:val="24"/>
        </w:rPr>
        <w:t xml:space="preserve"> </w:t>
      </w:r>
      <w:r w:rsidRPr="006C4642">
        <w:rPr>
          <w:rFonts w:cstheme="minorHAnsi"/>
          <w:sz w:val="24"/>
          <w:szCs w:val="24"/>
        </w:rPr>
        <w:t>We select the panel data fixed effect model for the new 10-K filing search test to keep</w:t>
      </w:r>
      <w:r w:rsidR="00AD1ABC">
        <w:rPr>
          <w:rFonts w:cstheme="minorHAnsi"/>
          <w:sz w:val="24"/>
          <w:szCs w:val="24"/>
        </w:rPr>
        <w:t xml:space="preserve"> </w:t>
      </w:r>
      <w:r w:rsidRPr="006C4642">
        <w:rPr>
          <w:rFonts w:cstheme="minorHAnsi"/>
          <w:sz w:val="24"/>
          <w:szCs w:val="24"/>
        </w:rPr>
        <w:t>our study comparable with prior studies (Drake et al. 2015). The unit-root test suggests</w:t>
      </w:r>
      <w:r w:rsidR="00AD1ABC">
        <w:rPr>
          <w:rFonts w:cstheme="minorHAnsi"/>
          <w:sz w:val="24"/>
          <w:szCs w:val="24"/>
        </w:rPr>
        <w:t xml:space="preserve"> </w:t>
      </w:r>
      <w:r w:rsidRPr="006C4642">
        <w:rPr>
          <w:rFonts w:cstheme="minorHAnsi"/>
          <w:sz w:val="24"/>
          <w:szCs w:val="24"/>
        </w:rPr>
        <w:t>that our panel data is stationary and does not possess a unit root. A regression model</w:t>
      </w:r>
      <w:r w:rsidR="00AD1ABC">
        <w:rPr>
          <w:rFonts w:cstheme="minorHAnsi"/>
          <w:sz w:val="24"/>
          <w:szCs w:val="24"/>
        </w:rPr>
        <w:t xml:space="preserve"> </w:t>
      </w:r>
      <w:r w:rsidRPr="006C4642">
        <w:rPr>
          <w:rFonts w:cstheme="minorHAnsi"/>
          <w:sz w:val="24"/>
          <w:szCs w:val="24"/>
        </w:rPr>
        <w:t>with random effects yields quantitively similar results.</w:t>
      </w:r>
    </w:p>
    <w:p w14:paraId="470AF5D6" w14:textId="1F801204" w:rsidR="0055262A" w:rsidRPr="006C4642" w:rsidRDefault="00AD5D66" w:rsidP="004F00C4">
      <w:pPr>
        <w:pStyle w:val="NoSpacing"/>
        <w:ind w:left="720" w:hanging="720"/>
        <w:rPr>
          <w:rFonts w:cstheme="minorHAnsi"/>
          <w:sz w:val="24"/>
          <w:szCs w:val="24"/>
        </w:rPr>
      </w:pPr>
      <w:r w:rsidRPr="006C4642">
        <w:rPr>
          <w:rFonts w:cstheme="minorHAnsi"/>
          <w:sz w:val="24"/>
          <w:szCs w:val="24"/>
        </w:rPr>
        <w:t>28</w:t>
      </w:r>
      <w:r w:rsidR="006C4642">
        <w:rPr>
          <w:rFonts w:cstheme="minorHAnsi"/>
          <w:sz w:val="24"/>
          <w:szCs w:val="24"/>
        </w:rPr>
        <w:t xml:space="preserve"> </w:t>
      </w:r>
      <w:r w:rsidRPr="006C4642">
        <w:rPr>
          <w:rFonts w:cstheme="minorHAnsi"/>
          <w:sz w:val="24"/>
          <w:szCs w:val="24"/>
        </w:rPr>
        <w:t>The economic magnitudes for the results of EDGAR new 10-K filing searches and</w:t>
      </w:r>
      <w:r w:rsidR="00AD1ABC">
        <w:rPr>
          <w:rFonts w:cstheme="minorHAnsi"/>
          <w:sz w:val="24"/>
          <w:szCs w:val="24"/>
        </w:rPr>
        <w:t xml:space="preserve"> </w:t>
      </w:r>
      <w:r w:rsidRPr="006C4642">
        <w:rPr>
          <w:rFonts w:cstheme="minorHAnsi"/>
          <w:sz w:val="24"/>
          <w:szCs w:val="24"/>
        </w:rPr>
        <w:t>abnormal Google searches are calculated in a similar manner as stated in footnotes 23</w:t>
      </w:r>
      <w:r w:rsidR="00AD1ABC">
        <w:rPr>
          <w:rFonts w:cstheme="minorHAnsi"/>
          <w:sz w:val="24"/>
          <w:szCs w:val="24"/>
        </w:rPr>
        <w:t xml:space="preserve"> </w:t>
      </w:r>
      <w:r w:rsidRPr="006C4642">
        <w:rPr>
          <w:rFonts w:cstheme="minorHAnsi"/>
          <w:sz w:val="24"/>
          <w:szCs w:val="24"/>
        </w:rPr>
        <w:t>and 25. To save space, we do not specify the calculations of these economic magnitudes.</w:t>
      </w:r>
    </w:p>
    <w:p w14:paraId="51A36157" w14:textId="4B5DAA3C" w:rsidR="0055262A" w:rsidRPr="006C4642" w:rsidRDefault="00AD5D66" w:rsidP="004F00C4">
      <w:pPr>
        <w:pStyle w:val="NoSpacing"/>
        <w:ind w:left="720" w:hanging="720"/>
        <w:rPr>
          <w:rFonts w:cstheme="minorHAnsi"/>
          <w:sz w:val="24"/>
          <w:szCs w:val="24"/>
        </w:rPr>
      </w:pPr>
      <w:r w:rsidRPr="006C4642">
        <w:rPr>
          <w:rFonts w:cstheme="minorHAnsi"/>
          <w:sz w:val="24"/>
          <w:szCs w:val="24"/>
        </w:rPr>
        <w:t>29</w:t>
      </w:r>
      <w:r w:rsidR="006C4642">
        <w:rPr>
          <w:rFonts w:cstheme="minorHAnsi"/>
          <w:sz w:val="24"/>
          <w:szCs w:val="24"/>
        </w:rPr>
        <w:t xml:space="preserve"> </w:t>
      </w:r>
      <w:r w:rsidRPr="006C4642">
        <w:rPr>
          <w:rFonts w:cstheme="minorHAnsi"/>
          <w:sz w:val="24"/>
          <w:szCs w:val="24"/>
        </w:rPr>
        <w:t>In terms of economic significance, a one standard deviation increase in CSR is</w:t>
      </w:r>
      <w:r w:rsidR="00AD1ABC">
        <w:rPr>
          <w:rFonts w:cstheme="minorHAnsi"/>
          <w:sz w:val="24"/>
          <w:szCs w:val="24"/>
        </w:rPr>
        <w:t xml:space="preserve"> </w:t>
      </w:r>
      <w:r w:rsidRPr="006C4642">
        <w:rPr>
          <w:rFonts w:cstheme="minorHAnsi"/>
          <w:sz w:val="24"/>
          <w:szCs w:val="24"/>
        </w:rPr>
        <w:t>associated with a 2.60 percent standard deviation increase in three-day new 10-K filing</w:t>
      </w:r>
      <w:r w:rsidR="00AD1ABC">
        <w:rPr>
          <w:rFonts w:cstheme="minorHAnsi"/>
          <w:sz w:val="24"/>
          <w:szCs w:val="24"/>
        </w:rPr>
        <w:t xml:space="preserve"> </w:t>
      </w:r>
      <w:r w:rsidRPr="006C4642">
        <w:rPr>
          <w:rFonts w:cstheme="minorHAnsi"/>
          <w:sz w:val="24"/>
          <w:szCs w:val="24"/>
        </w:rPr>
        <w:t>searches (LOG(EDGAR_3)) and a 2.17 percent standard deviation increase in one-week</w:t>
      </w:r>
      <w:r w:rsidR="00AD1ABC">
        <w:rPr>
          <w:rFonts w:cstheme="minorHAnsi"/>
          <w:sz w:val="24"/>
          <w:szCs w:val="24"/>
        </w:rPr>
        <w:t xml:space="preserve"> </w:t>
      </w:r>
      <w:r w:rsidRPr="006C4642">
        <w:rPr>
          <w:rFonts w:cstheme="minorHAnsi"/>
          <w:sz w:val="24"/>
          <w:szCs w:val="24"/>
        </w:rPr>
        <w:t>new 10-K filing searches (LOG(EDGAR_1WK)) on EDGAR, respectively.</w:t>
      </w:r>
    </w:p>
    <w:p w14:paraId="45A1E2E0" w14:textId="3B36EFEE" w:rsidR="00AD5D66" w:rsidRPr="006C4642" w:rsidRDefault="00AD5D66" w:rsidP="004F00C4">
      <w:pPr>
        <w:pStyle w:val="NoSpacing"/>
        <w:ind w:left="720" w:hanging="720"/>
        <w:rPr>
          <w:rFonts w:cstheme="minorHAnsi"/>
          <w:sz w:val="24"/>
          <w:szCs w:val="24"/>
        </w:rPr>
      </w:pPr>
      <w:r w:rsidRPr="006C4642">
        <w:rPr>
          <w:rFonts w:cstheme="minorHAnsi"/>
          <w:sz w:val="24"/>
          <w:szCs w:val="24"/>
        </w:rPr>
        <w:lastRenderedPageBreak/>
        <w:t>30</w:t>
      </w:r>
      <w:r w:rsidR="006C4642">
        <w:rPr>
          <w:rFonts w:cstheme="minorHAnsi"/>
          <w:sz w:val="24"/>
          <w:szCs w:val="24"/>
        </w:rPr>
        <w:t xml:space="preserve"> </w:t>
      </w:r>
      <w:r w:rsidRPr="006C4642">
        <w:rPr>
          <w:rFonts w:cstheme="minorHAnsi"/>
          <w:sz w:val="24"/>
          <w:szCs w:val="24"/>
        </w:rPr>
        <w:t>We acknowledge that investors can obtain annual financial statement data from</w:t>
      </w:r>
      <w:r w:rsidR="00AD1ABC">
        <w:rPr>
          <w:rFonts w:cstheme="minorHAnsi"/>
          <w:sz w:val="24"/>
          <w:szCs w:val="24"/>
        </w:rPr>
        <w:t xml:space="preserve"> </w:t>
      </w:r>
      <w:r w:rsidRPr="006C4642">
        <w:rPr>
          <w:rFonts w:cstheme="minorHAnsi"/>
          <w:sz w:val="24"/>
          <w:szCs w:val="24"/>
        </w:rPr>
        <w:t>sources other than EDGAR, such as the firm’s own website. Thus, there is potential</w:t>
      </w:r>
      <w:r w:rsidR="00AD1ABC">
        <w:rPr>
          <w:rFonts w:cstheme="minorHAnsi"/>
          <w:sz w:val="24"/>
          <w:szCs w:val="24"/>
        </w:rPr>
        <w:t xml:space="preserve"> </w:t>
      </w:r>
      <w:r w:rsidRPr="006C4642">
        <w:rPr>
          <w:rFonts w:cstheme="minorHAnsi"/>
          <w:sz w:val="24"/>
          <w:szCs w:val="24"/>
        </w:rPr>
        <w:t>measurement error because we only observe requests for filings on EDGAR. This</w:t>
      </w:r>
      <w:r w:rsidR="00AD1ABC">
        <w:rPr>
          <w:rFonts w:cstheme="minorHAnsi"/>
          <w:sz w:val="24"/>
          <w:szCs w:val="24"/>
        </w:rPr>
        <w:t xml:space="preserve"> </w:t>
      </w:r>
      <w:r w:rsidRPr="006C4642">
        <w:rPr>
          <w:rFonts w:cstheme="minorHAnsi"/>
          <w:sz w:val="24"/>
          <w:szCs w:val="24"/>
        </w:rPr>
        <w:t>measurement error adds noise to the information search measure and biases against</w:t>
      </w:r>
      <w:r w:rsidR="00AD1ABC">
        <w:rPr>
          <w:rFonts w:cstheme="minorHAnsi"/>
          <w:sz w:val="24"/>
          <w:szCs w:val="24"/>
        </w:rPr>
        <w:t xml:space="preserve"> </w:t>
      </w:r>
      <w:r w:rsidRPr="006C4642">
        <w:rPr>
          <w:rFonts w:cstheme="minorHAnsi"/>
          <w:sz w:val="24"/>
          <w:szCs w:val="24"/>
        </w:rPr>
        <w:t>finding any significant results. In addition, our Google search results are consistent with</w:t>
      </w:r>
      <w:r w:rsidR="00AD1ABC">
        <w:rPr>
          <w:rFonts w:cstheme="minorHAnsi"/>
          <w:sz w:val="24"/>
          <w:szCs w:val="24"/>
        </w:rPr>
        <w:t xml:space="preserve"> </w:t>
      </w:r>
      <w:r w:rsidRPr="006C4642">
        <w:rPr>
          <w:rFonts w:cstheme="minorHAnsi"/>
          <w:sz w:val="24"/>
          <w:szCs w:val="24"/>
        </w:rPr>
        <w:t>the EDGAR filing request results, providing supportive evidence of our inference.</w:t>
      </w:r>
    </w:p>
    <w:p w14:paraId="43434F74" w14:textId="56D640DE" w:rsidR="000B383C" w:rsidRPr="006C4642" w:rsidRDefault="00AD5D66" w:rsidP="004F00C4">
      <w:pPr>
        <w:pStyle w:val="NoSpacing"/>
        <w:ind w:left="720" w:hanging="720"/>
        <w:rPr>
          <w:rFonts w:cstheme="minorHAnsi"/>
          <w:sz w:val="24"/>
          <w:szCs w:val="24"/>
        </w:rPr>
      </w:pPr>
      <w:r w:rsidRPr="006C4642">
        <w:rPr>
          <w:rFonts w:cstheme="minorHAnsi"/>
          <w:sz w:val="24"/>
          <w:szCs w:val="24"/>
        </w:rPr>
        <w:t>31</w:t>
      </w:r>
      <w:r w:rsidR="006C4642">
        <w:rPr>
          <w:rFonts w:cstheme="minorHAnsi"/>
          <w:sz w:val="24"/>
          <w:szCs w:val="24"/>
        </w:rPr>
        <w:t xml:space="preserve"> </w:t>
      </w:r>
      <w:r w:rsidRPr="006C4642">
        <w:rPr>
          <w:rFonts w:cstheme="minorHAnsi"/>
          <w:sz w:val="24"/>
          <w:szCs w:val="24"/>
        </w:rPr>
        <w:t>We select the panel data fixed effect model for the Google search test to keep our study</w:t>
      </w:r>
      <w:r w:rsidR="00AD1ABC">
        <w:rPr>
          <w:rFonts w:cstheme="minorHAnsi"/>
          <w:sz w:val="24"/>
          <w:szCs w:val="24"/>
        </w:rPr>
        <w:t xml:space="preserve"> </w:t>
      </w:r>
      <w:r w:rsidRPr="006C4642">
        <w:rPr>
          <w:rFonts w:cstheme="minorHAnsi"/>
          <w:sz w:val="24"/>
          <w:szCs w:val="24"/>
        </w:rPr>
        <w:t>comparable with prior studies (Drake et al. 2012). The unit-root test suggests that our</w:t>
      </w:r>
      <w:r w:rsidR="00AD1ABC">
        <w:rPr>
          <w:rFonts w:cstheme="minorHAnsi"/>
          <w:sz w:val="24"/>
          <w:szCs w:val="24"/>
        </w:rPr>
        <w:t xml:space="preserve"> </w:t>
      </w:r>
      <w:r w:rsidRPr="006C4642">
        <w:rPr>
          <w:rFonts w:cstheme="minorHAnsi"/>
          <w:sz w:val="24"/>
          <w:szCs w:val="24"/>
        </w:rPr>
        <w:t>panel data is stationary and does not possess a unit root. We further find quantitively</w:t>
      </w:r>
      <w:r w:rsidR="00AD1ABC">
        <w:rPr>
          <w:rFonts w:cstheme="minorHAnsi"/>
          <w:sz w:val="24"/>
          <w:szCs w:val="24"/>
        </w:rPr>
        <w:t xml:space="preserve"> </w:t>
      </w:r>
      <w:r w:rsidRPr="006C4642">
        <w:rPr>
          <w:rFonts w:cstheme="minorHAnsi"/>
          <w:sz w:val="24"/>
          <w:szCs w:val="24"/>
        </w:rPr>
        <w:t>similar results with a random effects model.</w:t>
      </w:r>
    </w:p>
    <w:p w14:paraId="6B372BDE" w14:textId="7BEACA06" w:rsidR="00F76228" w:rsidRPr="006C4642" w:rsidRDefault="00F76228" w:rsidP="004F00C4">
      <w:pPr>
        <w:pStyle w:val="NoSpacing"/>
        <w:ind w:left="720" w:hanging="720"/>
        <w:rPr>
          <w:rFonts w:cstheme="minorHAnsi"/>
          <w:sz w:val="24"/>
          <w:szCs w:val="24"/>
        </w:rPr>
      </w:pPr>
      <w:r w:rsidRPr="006C4642">
        <w:rPr>
          <w:rFonts w:cstheme="minorHAnsi"/>
          <w:sz w:val="24"/>
          <w:szCs w:val="24"/>
        </w:rPr>
        <w:t>32</w:t>
      </w:r>
      <w:r w:rsidR="006C4642">
        <w:rPr>
          <w:rFonts w:cstheme="minorHAnsi"/>
          <w:sz w:val="24"/>
          <w:szCs w:val="24"/>
        </w:rPr>
        <w:t xml:space="preserve"> </w:t>
      </w:r>
      <w:r w:rsidRPr="006C4642">
        <w:rPr>
          <w:rFonts w:cstheme="minorHAnsi"/>
          <w:sz w:val="24"/>
          <w:szCs w:val="24"/>
        </w:rPr>
        <w:t>To provide more evidence, we adopt price delay as an additional measure of price</w:t>
      </w:r>
      <w:r w:rsidR="00AD1ABC">
        <w:rPr>
          <w:rFonts w:cstheme="minorHAnsi"/>
          <w:sz w:val="24"/>
          <w:szCs w:val="24"/>
        </w:rPr>
        <w:t xml:space="preserve"> </w:t>
      </w:r>
      <w:r w:rsidRPr="006C4642">
        <w:rPr>
          <w:rFonts w:cstheme="minorHAnsi"/>
          <w:sz w:val="24"/>
          <w:szCs w:val="24"/>
        </w:rPr>
        <w:t>efficiency as in Dong et al. (2016). Price delay measures the average delay with which</w:t>
      </w:r>
      <w:r w:rsidR="00AD1ABC">
        <w:rPr>
          <w:rFonts w:cstheme="minorHAnsi"/>
          <w:sz w:val="24"/>
          <w:szCs w:val="24"/>
        </w:rPr>
        <w:t xml:space="preserve"> </w:t>
      </w:r>
      <w:r w:rsidRPr="006C4642">
        <w:rPr>
          <w:rFonts w:cstheme="minorHAnsi"/>
          <w:sz w:val="24"/>
          <w:szCs w:val="24"/>
        </w:rPr>
        <w:t>stock prices respond to information. Greater investor information search and trading</w:t>
      </w:r>
      <w:r w:rsidR="00AD1ABC">
        <w:rPr>
          <w:rFonts w:cstheme="minorHAnsi"/>
          <w:sz w:val="24"/>
          <w:szCs w:val="24"/>
        </w:rPr>
        <w:t xml:space="preserve"> </w:t>
      </w:r>
      <w:r w:rsidRPr="006C4642">
        <w:rPr>
          <w:rFonts w:cstheme="minorHAnsi"/>
          <w:sz w:val="24"/>
          <w:szCs w:val="24"/>
        </w:rPr>
        <w:t>should facilitate faster incorporation of information into stock prices. We find that CSR</w:t>
      </w:r>
      <w:r w:rsidR="00AD1ABC">
        <w:rPr>
          <w:rFonts w:cstheme="minorHAnsi"/>
          <w:sz w:val="24"/>
          <w:szCs w:val="24"/>
        </w:rPr>
        <w:t xml:space="preserve"> </w:t>
      </w:r>
      <w:r w:rsidRPr="006C4642">
        <w:rPr>
          <w:rFonts w:cstheme="minorHAnsi"/>
          <w:sz w:val="24"/>
          <w:szCs w:val="24"/>
        </w:rPr>
        <w:t>is negatively associated with price delay, suggesting that CSR attracts more investor</w:t>
      </w:r>
      <w:r w:rsidR="00AD1ABC">
        <w:rPr>
          <w:rFonts w:cstheme="minorHAnsi"/>
          <w:sz w:val="24"/>
          <w:szCs w:val="24"/>
        </w:rPr>
        <w:t xml:space="preserve"> </w:t>
      </w:r>
      <w:r w:rsidRPr="006C4642">
        <w:rPr>
          <w:rFonts w:cstheme="minorHAnsi"/>
          <w:sz w:val="24"/>
          <w:szCs w:val="24"/>
        </w:rPr>
        <w:t>information search and trade and facilitates information flow into stock prices more</w:t>
      </w:r>
      <w:r w:rsidR="00AD1ABC">
        <w:rPr>
          <w:rFonts w:cstheme="minorHAnsi"/>
          <w:sz w:val="24"/>
          <w:szCs w:val="24"/>
        </w:rPr>
        <w:t xml:space="preserve"> </w:t>
      </w:r>
      <w:r w:rsidRPr="006C4642">
        <w:rPr>
          <w:rFonts w:cstheme="minorHAnsi"/>
          <w:sz w:val="24"/>
          <w:szCs w:val="24"/>
        </w:rPr>
        <w:t>quickly.</w:t>
      </w:r>
    </w:p>
    <w:p w14:paraId="680EBE9A" w14:textId="3E0D8166" w:rsidR="008011E4" w:rsidRPr="006C4642" w:rsidRDefault="00F76228" w:rsidP="004F00C4">
      <w:pPr>
        <w:pStyle w:val="NoSpacing"/>
        <w:ind w:left="720" w:hanging="720"/>
        <w:rPr>
          <w:rFonts w:cstheme="minorHAnsi"/>
          <w:sz w:val="24"/>
          <w:szCs w:val="24"/>
        </w:rPr>
      </w:pPr>
      <w:r w:rsidRPr="006C4642">
        <w:rPr>
          <w:rFonts w:cstheme="minorHAnsi"/>
          <w:sz w:val="24"/>
          <w:szCs w:val="24"/>
        </w:rPr>
        <w:t>33</w:t>
      </w:r>
      <w:r w:rsidR="006C4642">
        <w:rPr>
          <w:rFonts w:cstheme="minorHAnsi"/>
          <w:sz w:val="24"/>
          <w:szCs w:val="24"/>
        </w:rPr>
        <w:t xml:space="preserve"> </w:t>
      </w:r>
      <w:r w:rsidRPr="006C4642">
        <w:rPr>
          <w:rFonts w:cstheme="minorHAnsi"/>
          <w:sz w:val="24"/>
          <w:szCs w:val="24"/>
        </w:rPr>
        <w:t>We choose the panel data fixed effect model for the FERC test to keep our study</w:t>
      </w:r>
      <w:r w:rsidR="00AD1ABC">
        <w:rPr>
          <w:rFonts w:cstheme="minorHAnsi"/>
          <w:sz w:val="24"/>
          <w:szCs w:val="24"/>
        </w:rPr>
        <w:t xml:space="preserve"> </w:t>
      </w:r>
      <w:r w:rsidRPr="006C4642">
        <w:rPr>
          <w:rFonts w:cstheme="minorHAnsi"/>
          <w:sz w:val="24"/>
          <w:szCs w:val="24"/>
        </w:rPr>
        <w:t>comparable with prior studies (Choi et al., 2011). The unit-root test suggests that our</w:t>
      </w:r>
      <w:r w:rsidR="00AD1ABC">
        <w:rPr>
          <w:rFonts w:cstheme="minorHAnsi"/>
          <w:sz w:val="24"/>
          <w:szCs w:val="24"/>
        </w:rPr>
        <w:t xml:space="preserve"> </w:t>
      </w:r>
      <w:r w:rsidRPr="006C4642">
        <w:rPr>
          <w:rFonts w:cstheme="minorHAnsi"/>
          <w:sz w:val="24"/>
          <w:szCs w:val="24"/>
        </w:rPr>
        <w:t>panel data is stationary and does not possess a unit root. Our results remain</w:t>
      </w:r>
      <w:r w:rsidR="00AD1ABC">
        <w:rPr>
          <w:rFonts w:cstheme="minorHAnsi"/>
          <w:sz w:val="24"/>
          <w:szCs w:val="24"/>
        </w:rPr>
        <w:t xml:space="preserve"> </w:t>
      </w:r>
      <w:r w:rsidRPr="006C4642">
        <w:rPr>
          <w:rFonts w:cstheme="minorHAnsi"/>
          <w:sz w:val="24"/>
          <w:szCs w:val="24"/>
        </w:rPr>
        <w:t>quantitatively similar when we use a random effects model.</w:t>
      </w:r>
    </w:p>
    <w:p w14:paraId="465582C5" w14:textId="36B5B445" w:rsidR="00AD5D66" w:rsidRPr="006C4642" w:rsidRDefault="00F76228" w:rsidP="004F00C4">
      <w:pPr>
        <w:pStyle w:val="NoSpacing"/>
        <w:ind w:left="720" w:hanging="720"/>
        <w:rPr>
          <w:rFonts w:cstheme="minorHAnsi"/>
          <w:sz w:val="24"/>
          <w:szCs w:val="24"/>
        </w:rPr>
      </w:pPr>
      <w:r w:rsidRPr="006C4642">
        <w:rPr>
          <w:rFonts w:cstheme="minorHAnsi"/>
          <w:sz w:val="24"/>
          <w:szCs w:val="24"/>
        </w:rPr>
        <w:t>34</w:t>
      </w:r>
      <w:r w:rsidR="006C4642">
        <w:rPr>
          <w:rFonts w:cstheme="minorHAnsi"/>
          <w:sz w:val="24"/>
          <w:szCs w:val="24"/>
        </w:rPr>
        <w:t xml:space="preserve"> </w:t>
      </w:r>
      <w:r w:rsidRPr="006C4642">
        <w:rPr>
          <w:rFonts w:cstheme="minorHAnsi"/>
          <w:sz w:val="24"/>
          <w:szCs w:val="24"/>
        </w:rPr>
        <w:t>Some studies use three-year future earnings instead of next year’s earnings in FERC</w:t>
      </w:r>
      <w:r w:rsidR="00AD1ABC">
        <w:rPr>
          <w:rFonts w:cstheme="minorHAnsi"/>
          <w:sz w:val="24"/>
          <w:szCs w:val="24"/>
        </w:rPr>
        <w:t xml:space="preserve"> </w:t>
      </w:r>
      <w:r w:rsidRPr="006C4642">
        <w:rPr>
          <w:rFonts w:cstheme="minorHAnsi"/>
          <w:sz w:val="24"/>
          <w:szCs w:val="24"/>
        </w:rPr>
        <w:t>studies (Tucker and Zarowin, 2006). Therefore, we replicate our results using three-year</w:t>
      </w:r>
      <w:r w:rsidR="00FC043C">
        <w:rPr>
          <w:rFonts w:cstheme="minorHAnsi"/>
          <w:sz w:val="24"/>
          <w:szCs w:val="24"/>
        </w:rPr>
        <w:t xml:space="preserve"> </w:t>
      </w:r>
      <w:r w:rsidRPr="006C4642">
        <w:rPr>
          <w:rFonts w:cstheme="minorHAnsi"/>
          <w:sz w:val="24"/>
          <w:szCs w:val="24"/>
        </w:rPr>
        <w:t xml:space="preserve">future earnings instead. Our results show that the interaction term of CSR and </w:t>
      </w:r>
      <w:r w:rsidR="00AD1ABC" w:rsidRPr="006C4642">
        <w:rPr>
          <w:rFonts w:cstheme="minorHAnsi"/>
          <w:sz w:val="24"/>
          <w:szCs w:val="24"/>
        </w:rPr>
        <w:t>three-year</w:t>
      </w:r>
      <w:r w:rsidR="00FC043C">
        <w:rPr>
          <w:rFonts w:cstheme="minorHAnsi"/>
          <w:sz w:val="24"/>
          <w:szCs w:val="24"/>
        </w:rPr>
        <w:t xml:space="preserve"> </w:t>
      </w:r>
      <w:r w:rsidRPr="006C4642">
        <w:rPr>
          <w:rFonts w:cstheme="minorHAnsi"/>
          <w:sz w:val="24"/>
          <w:szCs w:val="24"/>
        </w:rPr>
        <w:t>future earnings is statistically significant at the 10% level. Our result could suggest</w:t>
      </w:r>
      <w:r w:rsidR="00FC043C">
        <w:rPr>
          <w:rFonts w:cstheme="minorHAnsi"/>
          <w:sz w:val="24"/>
          <w:szCs w:val="24"/>
        </w:rPr>
        <w:t xml:space="preserve"> </w:t>
      </w:r>
      <w:r w:rsidRPr="006C4642">
        <w:rPr>
          <w:rFonts w:cstheme="minorHAnsi"/>
          <w:sz w:val="24"/>
          <w:szCs w:val="24"/>
        </w:rPr>
        <w:t>that the enhanced information acquisition from better CSR performance incorporates</w:t>
      </w:r>
      <w:r w:rsidR="00FC043C">
        <w:rPr>
          <w:rFonts w:cstheme="minorHAnsi"/>
          <w:sz w:val="24"/>
          <w:szCs w:val="24"/>
        </w:rPr>
        <w:t xml:space="preserve"> </w:t>
      </w:r>
      <w:r w:rsidRPr="006C4642">
        <w:rPr>
          <w:rFonts w:cstheme="minorHAnsi"/>
          <w:sz w:val="24"/>
          <w:szCs w:val="24"/>
        </w:rPr>
        <w:t>more near-term future earnings into the stock price than longer-term future earnings. It</w:t>
      </w:r>
      <w:r w:rsidR="00FC043C">
        <w:rPr>
          <w:rFonts w:cstheme="minorHAnsi"/>
          <w:sz w:val="24"/>
          <w:szCs w:val="24"/>
        </w:rPr>
        <w:t xml:space="preserve"> </w:t>
      </w:r>
      <w:r w:rsidRPr="006C4642">
        <w:rPr>
          <w:rFonts w:cstheme="minorHAnsi"/>
          <w:sz w:val="24"/>
          <w:szCs w:val="24"/>
        </w:rPr>
        <w:t>is also possible that the reduced significance is due to measurement error in future</w:t>
      </w:r>
      <w:r w:rsidR="00FC043C">
        <w:rPr>
          <w:rFonts w:cstheme="minorHAnsi"/>
          <w:sz w:val="24"/>
          <w:szCs w:val="24"/>
        </w:rPr>
        <w:t xml:space="preserve"> </w:t>
      </w:r>
      <w:r w:rsidRPr="006C4642">
        <w:rPr>
          <w:rFonts w:cstheme="minorHAnsi"/>
          <w:sz w:val="24"/>
          <w:szCs w:val="24"/>
        </w:rPr>
        <w:t>earnings (Collins et al., 1994).</w:t>
      </w:r>
    </w:p>
    <w:p w14:paraId="1B1CC370" w14:textId="510A0295" w:rsidR="00AD5D66" w:rsidRPr="006C4642" w:rsidRDefault="00F76228" w:rsidP="004F00C4">
      <w:pPr>
        <w:pStyle w:val="NoSpacing"/>
        <w:ind w:left="720" w:hanging="720"/>
        <w:rPr>
          <w:rFonts w:cstheme="minorHAnsi"/>
          <w:sz w:val="24"/>
          <w:szCs w:val="24"/>
        </w:rPr>
      </w:pPr>
      <w:r w:rsidRPr="006C4642">
        <w:rPr>
          <w:rFonts w:cstheme="minorHAnsi"/>
          <w:sz w:val="24"/>
          <w:szCs w:val="24"/>
        </w:rPr>
        <w:t>35</w:t>
      </w:r>
      <w:r w:rsidR="006C4642">
        <w:rPr>
          <w:rFonts w:cstheme="minorHAnsi"/>
          <w:sz w:val="24"/>
          <w:szCs w:val="24"/>
        </w:rPr>
        <w:t xml:space="preserve"> </w:t>
      </w:r>
      <w:r w:rsidRPr="006C4642">
        <w:rPr>
          <w:rFonts w:cstheme="minorHAnsi"/>
          <w:sz w:val="24"/>
          <w:szCs w:val="24"/>
        </w:rPr>
        <w:t>In untabulated results, we also include lagged Ψ and PIN as additional controls and</w:t>
      </w:r>
      <w:r w:rsidR="00FC043C">
        <w:rPr>
          <w:rFonts w:cstheme="minorHAnsi"/>
          <w:sz w:val="24"/>
          <w:szCs w:val="24"/>
        </w:rPr>
        <w:t xml:space="preserve"> </w:t>
      </w:r>
      <w:r w:rsidRPr="006C4642">
        <w:rPr>
          <w:rFonts w:cstheme="minorHAnsi"/>
          <w:sz w:val="24"/>
          <w:szCs w:val="24"/>
        </w:rPr>
        <w:t>find that only past year CSR is significantly positively associated with stock price</w:t>
      </w:r>
      <w:r w:rsidR="00FC043C">
        <w:rPr>
          <w:rFonts w:cstheme="minorHAnsi"/>
          <w:sz w:val="24"/>
          <w:szCs w:val="24"/>
        </w:rPr>
        <w:t xml:space="preserve"> </w:t>
      </w:r>
      <w:r w:rsidRPr="006C4642">
        <w:rPr>
          <w:rFonts w:cstheme="minorHAnsi"/>
          <w:sz w:val="24"/>
          <w:szCs w:val="24"/>
        </w:rPr>
        <w:t>informativeness.</w:t>
      </w:r>
    </w:p>
    <w:p w14:paraId="38F389CF" w14:textId="201157C3" w:rsidR="00F76228" w:rsidRPr="006C4642" w:rsidRDefault="004F00C4" w:rsidP="004F00C4">
      <w:pPr>
        <w:pStyle w:val="NoSpacing"/>
        <w:ind w:left="720" w:hanging="720"/>
        <w:rPr>
          <w:rFonts w:cstheme="minorHAnsi"/>
          <w:sz w:val="24"/>
          <w:szCs w:val="24"/>
        </w:rPr>
      </w:pPr>
      <w:r w:rsidRPr="006C4642">
        <w:rPr>
          <w:rFonts w:cstheme="minorHAnsi"/>
          <w:sz w:val="24"/>
          <w:szCs w:val="24"/>
        </w:rPr>
        <w:t>36</w:t>
      </w:r>
      <w:r w:rsidR="006C4642">
        <w:rPr>
          <w:rFonts w:cstheme="minorHAnsi"/>
          <w:sz w:val="24"/>
          <w:szCs w:val="24"/>
        </w:rPr>
        <w:t xml:space="preserve"> </w:t>
      </w:r>
      <w:r w:rsidRPr="006C4642">
        <w:rPr>
          <w:rFonts w:cstheme="minorHAnsi"/>
          <w:sz w:val="24"/>
          <w:szCs w:val="24"/>
        </w:rPr>
        <w:t>To save space, results of these alternative explanation tests are not reported but are</w:t>
      </w:r>
      <w:r w:rsidR="00FC043C">
        <w:rPr>
          <w:rFonts w:cstheme="minorHAnsi"/>
          <w:sz w:val="24"/>
          <w:szCs w:val="24"/>
        </w:rPr>
        <w:t xml:space="preserve"> </w:t>
      </w:r>
      <w:r w:rsidRPr="006C4642">
        <w:rPr>
          <w:rFonts w:cstheme="minorHAnsi"/>
          <w:sz w:val="24"/>
          <w:szCs w:val="24"/>
        </w:rPr>
        <w:t>available upon request.</w:t>
      </w:r>
    </w:p>
    <w:p w14:paraId="737840A4" w14:textId="7B6B8D0A" w:rsidR="00673F93" w:rsidRPr="0046612C" w:rsidRDefault="00D71504" w:rsidP="0046612C">
      <w:pPr>
        <w:pStyle w:val="Heading1"/>
      </w:pPr>
      <w:hyperlink r:id="rId92" w:anchor="toc" w:tooltip=" References  " w:history="1">
        <w:r w:rsidR="00673F93" w:rsidRPr="0046612C">
          <w:rPr>
            <w:rStyle w:val="Hyperlink"/>
            <w:color w:val="262626" w:themeColor="text1" w:themeTint="D9"/>
            <w:u w:val="none"/>
          </w:rPr>
          <w:t>References</w:t>
        </w:r>
      </w:hyperlink>
    </w:p>
    <w:p w14:paraId="6754B715" w14:textId="77777777" w:rsidR="00673F93" w:rsidRPr="003C1B99" w:rsidRDefault="00673F93" w:rsidP="003C1B99">
      <w:pPr>
        <w:pStyle w:val="NoSpacing"/>
        <w:ind w:left="720" w:hanging="720"/>
        <w:rPr>
          <w:sz w:val="24"/>
          <w:szCs w:val="24"/>
        </w:rPr>
      </w:pPr>
      <w:r w:rsidRPr="003C1B99">
        <w:rPr>
          <w:sz w:val="24"/>
          <w:szCs w:val="24"/>
        </w:rPr>
        <w:t xml:space="preserve">Altschuler, D., G. Chen, and J. Zhou, 2015, Anticipation of management forecasts and analysts' private information search, </w:t>
      </w:r>
      <w:r w:rsidRPr="00172FC0">
        <w:rPr>
          <w:i/>
          <w:iCs/>
          <w:sz w:val="24"/>
          <w:szCs w:val="24"/>
        </w:rPr>
        <w:t>Review of Accounting Studies</w:t>
      </w:r>
      <w:r w:rsidRPr="003C1B99">
        <w:rPr>
          <w:sz w:val="24"/>
          <w:szCs w:val="24"/>
        </w:rPr>
        <w:t xml:space="preserve"> 20, 803 – 838.</w:t>
      </w:r>
    </w:p>
    <w:p w14:paraId="380082DC" w14:textId="77777777" w:rsidR="00673F93" w:rsidRPr="003C1B99" w:rsidRDefault="00673F93" w:rsidP="003C1B99">
      <w:pPr>
        <w:pStyle w:val="NoSpacing"/>
        <w:ind w:left="720" w:hanging="720"/>
        <w:rPr>
          <w:sz w:val="24"/>
          <w:szCs w:val="24"/>
        </w:rPr>
      </w:pPr>
      <w:r w:rsidRPr="003C1B99">
        <w:rPr>
          <w:sz w:val="24"/>
          <w:szCs w:val="24"/>
        </w:rPr>
        <w:t xml:space="preserve">Barnard, J. W., 1997, Corporate philanthropy, executives' pet charities and the agency problem, </w:t>
      </w:r>
      <w:r w:rsidRPr="00172FC0">
        <w:rPr>
          <w:i/>
          <w:iCs/>
          <w:sz w:val="24"/>
          <w:szCs w:val="24"/>
        </w:rPr>
        <w:t>New York Law School Review</w:t>
      </w:r>
      <w:r w:rsidRPr="003C1B99">
        <w:rPr>
          <w:sz w:val="24"/>
          <w:szCs w:val="24"/>
        </w:rPr>
        <w:t xml:space="preserve"> 41, 1147 – 1178.</w:t>
      </w:r>
    </w:p>
    <w:p w14:paraId="06A910C9" w14:textId="77777777" w:rsidR="00673F93" w:rsidRPr="003C1B99" w:rsidRDefault="00673F93" w:rsidP="003C1B99">
      <w:pPr>
        <w:pStyle w:val="NoSpacing"/>
        <w:ind w:left="720" w:hanging="720"/>
        <w:rPr>
          <w:sz w:val="24"/>
          <w:szCs w:val="24"/>
        </w:rPr>
      </w:pPr>
      <w:r w:rsidRPr="003C1B99">
        <w:rPr>
          <w:sz w:val="24"/>
          <w:szCs w:val="24"/>
        </w:rPr>
        <w:t xml:space="preserve">Barnea, A., and A. Rubin, 2010, Corporate social responsibility as a conflict between shareholders, </w:t>
      </w:r>
      <w:r w:rsidRPr="00172FC0">
        <w:rPr>
          <w:i/>
          <w:iCs/>
          <w:sz w:val="24"/>
          <w:szCs w:val="24"/>
        </w:rPr>
        <w:t>Journal of Business Ethics</w:t>
      </w:r>
      <w:r w:rsidRPr="003C1B99">
        <w:rPr>
          <w:sz w:val="24"/>
          <w:szCs w:val="24"/>
        </w:rPr>
        <w:t xml:space="preserve"> 97, 71 – 86.</w:t>
      </w:r>
    </w:p>
    <w:p w14:paraId="1EF5A0D9" w14:textId="77777777" w:rsidR="00673F93" w:rsidRPr="003C1B99" w:rsidRDefault="00673F93" w:rsidP="003C1B99">
      <w:pPr>
        <w:pStyle w:val="NoSpacing"/>
        <w:ind w:left="720" w:hanging="720"/>
        <w:rPr>
          <w:sz w:val="24"/>
          <w:szCs w:val="24"/>
        </w:rPr>
      </w:pPr>
      <w:r w:rsidRPr="003C1B99">
        <w:rPr>
          <w:sz w:val="24"/>
          <w:szCs w:val="24"/>
        </w:rPr>
        <w:t xml:space="preserve">Benabou, R., and J. Tirole, 2010, Individual and corporate social responsibility, </w:t>
      </w:r>
      <w:r w:rsidRPr="00172FC0">
        <w:rPr>
          <w:i/>
          <w:iCs/>
          <w:sz w:val="24"/>
          <w:szCs w:val="24"/>
        </w:rPr>
        <w:t>Economica</w:t>
      </w:r>
      <w:r w:rsidRPr="003C1B99">
        <w:rPr>
          <w:sz w:val="24"/>
          <w:szCs w:val="24"/>
        </w:rPr>
        <w:t xml:space="preserve"> 77, 1 – 19.</w:t>
      </w:r>
    </w:p>
    <w:p w14:paraId="502876A7" w14:textId="77777777" w:rsidR="00673F93" w:rsidRPr="003C1B99" w:rsidRDefault="00673F93" w:rsidP="003C1B99">
      <w:pPr>
        <w:pStyle w:val="NoSpacing"/>
        <w:ind w:left="720" w:hanging="720"/>
        <w:rPr>
          <w:sz w:val="24"/>
          <w:szCs w:val="24"/>
        </w:rPr>
      </w:pPr>
      <w:r w:rsidRPr="003C1B99">
        <w:rPr>
          <w:sz w:val="24"/>
          <w:szCs w:val="24"/>
        </w:rPr>
        <w:t xml:space="preserve">Benlemlih, M., and M. Bitar, 2018, Corporate social responsibility and investment efficiency, </w:t>
      </w:r>
      <w:r w:rsidRPr="00172FC0">
        <w:rPr>
          <w:i/>
          <w:iCs/>
          <w:sz w:val="24"/>
          <w:szCs w:val="24"/>
        </w:rPr>
        <w:t>Journal of Business Ethics</w:t>
      </w:r>
      <w:r w:rsidRPr="003C1B99">
        <w:rPr>
          <w:sz w:val="24"/>
          <w:szCs w:val="24"/>
        </w:rPr>
        <w:t xml:space="preserve"> 148, 647 – 671.</w:t>
      </w:r>
    </w:p>
    <w:p w14:paraId="3B5CCBFF" w14:textId="77777777" w:rsidR="00673F93" w:rsidRPr="003C1B99" w:rsidRDefault="00673F93" w:rsidP="003C1B99">
      <w:pPr>
        <w:pStyle w:val="NoSpacing"/>
        <w:ind w:left="720" w:hanging="720"/>
        <w:rPr>
          <w:sz w:val="24"/>
          <w:szCs w:val="24"/>
        </w:rPr>
      </w:pPr>
      <w:r w:rsidRPr="003C1B99">
        <w:rPr>
          <w:sz w:val="24"/>
          <w:szCs w:val="24"/>
        </w:rPr>
        <w:t xml:space="preserve">Benoit, D., 2019, Move over, shareholders: Top CEOs say companies have obligations to society, </w:t>
      </w:r>
      <w:r w:rsidRPr="00172FC0">
        <w:rPr>
          <w:i/>
          <w:iCs/>
          <w:sz w:val="24"/>
          <w:szCs w:val="24"/>
        </w:rPr>
        <w:t>Wall Street Journal</w:t>
      </w:r>
      <w:r w:rsidRPr="003C1B99">
        <w:rPr>
          <w:sz w:val="24"/>
          <w:szCs w:val="24"/>
        </w:rPr>
        <w:t xml:space="preserve"> (19 August).</w:t>
      </w:r>
    </w:p>
    <w:p w14:paraId="720ABB9E" w14:textId="77777777" w:rsidR="00673F93" w:rsidRPr="003C1B99" w:rsidRDefault="00673F93" w:rsidP="003C1B99">
      <w:pPr>
        <w:pStyle w:val="NoSpacing"/>
        <w:ind w:left="720" w:hanging="720"/>
        <w:rPr>
          <w:sz w:val="24"/>
          <w:szCs w:val="24"/>
        </w:rPr>
      </w:pPr>
      <w:r w:rsidRPr="003C1B99">
        <w:rPr>
          <w:sz w:val="24"/>
          <w:szCs w:val="24"/>
        </w:rPr>
        <w:t xml:space="preserve">Bhandari, A., and D. Javakhadze, 2017, Corporate social responsibility and capital allocation efficiency, </w:t>
      </w:r>
      <w:r w:rsidRPr="00172FC0">
        <w:rPr>
          <w:i/>
          <w:iCs/>
          <w:sz w:val="24"/>
          <w:szCs w:val="24"/>
        </w:rPr>
        <w:t>Journal of Corporate Finance</w:t>
      </w:r>
      <w:r w:rsidRPr="003C1B99">
        <w:rPr>
          <w:sz w:val="24"/>
          <w:szCs w:val="24"/>
        </w:rPr>
        <w:t xml:space="preserve"> 43, 354 – 377.</w:t>
      </w:r>
    </w:p>
    <w:p w14:paraId="20CC8F44" w14:textId="77777777" w:rsidR="00673F93" w:rsidRPr="003C1B99" w:rsidRDefault="00673F93" w:rsidP="003C1B99">
      <w:pPr>
        <w:pStyle w:val="NoSpacing"/>
        <w:ind w:left="720" w:hanging="720"/>
        <w:rPr>
          <w:sz w:val="24"/>
          <w:szCs w:val="24"/>
        </w:rPr>
      </w:pPr>
      <w:r w:rsidRPr="003C1B99">
        <w:rPr>
          <w:sz w:val="24"/>
          <w:szCs w:val="24"/>
        </w:rPr>
        <w:lastRenderedPageBreak/>
        <w:t xml:space="preserve">Bond, P., A. Edmans, and I. Goldstein, 2012, The real effects of financial markets, </w:t>
      </w:r>
      <w:r w:rsidRPr="00172FC0">
        <w:rPr>
          <w:i/>
          <w:iCs/>
          <w:sz w:val="24"/>
          <w:szCs w:val="24"/>
        </w:rPr>
        <w:t>Annual Review of Financial Economics</w:t>
      </w:r>
      <w:r w:rsidRPr="003C1B99">
        <w:rPr>
          <w:sz w:val="24"/>
          <w:szCs w:val="24"/>
        </w:rPr>
        <w:t xml:space="preserve"> 4, 339 – 360.</w:t>
      </w:r>
    </w:p>
    <w:p w14:paraId="62A0E8B6" w14:textId="77777777" w:rsidR="00673F93" w:rsidRPr="003C1B99" w:rsidRDefault="00673F93" w:rsidP="003C1B99">
      <w:pPr>
        <w:pStyle w:val="NoSpacing"/>
        <w:ind w:left="720" w:hanging="720"/>
        <w:rPr>
          <w:sz w:val="24"/>
          <w:szCs w:val="24"/>
        </w:rPr>
      </w:pPr>
      <w:r w:rsidRPr="003C1B99">
        <w:rPr>
          <w:sz w:val="24"/>
          <w:szCs w:val="24"/>
        </w:rPr>
        <w:t xml:space="preserve">Brown, T. J., and P. A. Dacin, 1997, The company and the product: Corporate associations and consumer product responses, </w:t>
      </w:r>
      <w:r w:rsidRPr="00172FC0">
        <w:rPr>
          <w:i/>
          <w:iCs/>
          <w:sz w:val="24"/>
          <w:szCs w:val="24"/>
        </w:rPr>
        <w:t>Journal of Marketing</w:t>
      </w:r>
      <w:r w:rsidRPr="003C1B99">
        <w:rPr>
          <w:sz w:val="24"/>
          <w:szCs w:val="24"/>
        </w:rPr>
        <w:t xml:space="preserve"> 6, 68 – 84.</w:t>
      </w:r>
    </w:p>
    <w:p w14:paraId="520C731F" w14:textId="77777777" w:rsidR="00673F93" w:rsidRPr="003C1B99" w:rsidRDefault="00673F93" w:rsidP="003C1B99">
      <w:pPr>
        <w:pStyle w:val="NoSpacing"/>
        <w:ind w:left="720" w:hanging="720"/>
        <w:rPr>
          <w:sz w:val="24"/>
          <w:szCs w:val="24"/>
        </w:rPr>
      </w:pPr>
      <w:r w:rsidRPr="003C1B99">
        <w:rPr>
          <w:sz w:val="24"/>
          <w:szCs w:val="24"/>
        </w:rPr>
        <w:t xml:space="preserve">Brown, S., and S. A. Hillegeist, 2007, How disclosure quality affects the level of information asymmetry, </w:t>
      </w:r>
      <w:r w:rsidRPr="00172FC0">
        <w:rPr>
          <w:i/>
          <w:iCs/>
          <w:sz w:val="24"/>
          <w:szCs w:val="24"/>
        </w:rPr>
        <w:t>Review of Accounting Studies</w:t>
      </w:r>
      <w:r w:rsidRPr="003C1B99">
        <w:rPr>
          <w:sz w:val="24"/>
          <w:szCs w:val="24"/>
        </w:rPr>
        <w:t xml:space="preserve"> 12, 443 – 477.</w:t>
      </w:r>
    </w:p>
    <w:p w14:paraId="42A94068" w14:textId="77777777" w:rsidR="00673F93" w:rsidRPr="003C1B99" w:rsidRDefault="00673F93" w:rsidP="003C1B99">
      <w:pPr>
        <w:pStyle w:val="NoSpacing"/>
        <w:ind w:left="720" w:hanging="720"/>
        <w:rPr>
          <w:sz w:val="24"/>
          <w:szCs w:val="24"/>
        </w:rPr>
      </w:pPr>
      <w:r w:rsidRPr="003C1B99">
        <w:rPr>
          <w:sz w:val="24"/>
          <w:szCs w:val="24"/>
        </w:rPr>
        <w:t xml:space="preserve">Brown, W. O., E. Helland, and J. K. Smith, 2006, Corporate philanthropic practices, </w:t>
      </w:r>
      <w:r w:rsidRPr="00172FC0">
        <w:rPr>
          <w:i/>
          <w:iCs/>
          <w:sz w:val="24"/>
          <w:szCs w:val="24"/>
        </w:rPr>
        <w:t>Journal of Corporate Finance</w:t>
      </w:r>
      <w:r w:rsidRPr="003C1B99">
        <w:rPr>
          <w:sz w:val="24"/>
          <w:szCs w:val="24"/>
        </w:rPr>
        <w:t xml:space="preserve"> 12, 855 – 877.</w:t>
      </w:r>
    </w:p>
    <w:p w14:paraId="7218AEF1" w14:textId="77777777" w:rsidR="00673F93" w:rsidRPr="003C1B99" w:rsidRDefault="00673F93" w:rsidP="003C1B99">
      <w:pPr>
        <w:pStyle w:val="NoSpacing"/>
        <w:ind w:left="720" w:hanging="720"/>
        <w:rPr>
          <w:sz w:val="24"/>
          <w:szCs w:val="24"/>
        </w:rPr>
      </w:pPr>
      <w:r w:rsidRPr="003C1B99">
        <w:rPr>
          <w:sz w:val="24"/>
          <w:szCs w:val="24"/>
        </w:rPr>
        <w:t xml:space="preserve">Carroll, A. B., 1979, A three‐dimensional conceptual model of corporate performance, </w:t>
      </w:r>
      <w:r w:rsidRPr="00172FC0">
        <w:rPr>
          <w:i/>
          <w:iCs/>
          <w:sz w:val="24"/>
          <w:szCs w:val="24"/>
        </w:rPr>
        <w:t>The Academy of Management Review</w:t>
      </w:r>
      <w:r w:rsidRPr="003C1B99">
        <w:rPr>
          <w:sz w:val="24"/>
          <w:szCs w:val="24"/>
        </w:rPr>
        <w:t xml:space="preserve"> 4, 497 – 505.</w:t>
      </w:r>
    </w:p>
    <w:p w14:paraId="37FC5999" w14:textId="77777777" w:rsidR="00673F93" w:rsidRPr="003C1B99" w:rsidRDefault="00673F93" w:rsidP="003C1B99">
      <w:pPr>
        <w:pStyle w:val="NoSpacing"/>
        <w:ind w:left="720" w:hanging="720"/>
        <w:rPr>
          <w:sz w:val="24"/>
          <w:szCs w:val="24"/>
        </w:rPr>
      </w:pPr>
      <w:r w:rsidRPr="003C1B99">
        <w:rPr>
          <w:sz w:val="24"/>
          <w:szCs w:val="24"/>
        </w:rPr>
        <w:t xml:space="preserve">Cespa, G., and G. Cestone, 2007, Corporate social responsibility and managerial entrenchment, </w:t>
      </w:r>
      <w:r w:rsidRPr="00172FC0">
        <w:rPr>
          <w:i/>
          <w:iCs/>
          <w:sz w:val="24"/>
          <w:szCs w:val="24"/>
        </w:rPr>
        <w:t>Journal of Economic and Management Strategy</w:t>
      </w:r>
      <w:r w:rsidRPr="003C1B99">
        <w:rPr>
          <w:sz w:val="24"/>
          <w:szCs w:val="24"/>
        </w:rPr>
        <w:t xml:space="preserve"> 16, 741 – 771.</w:t>
      </w:r>
    </w:p>
    <w:p w14:paraId="67061AC5" w14:textId="77777777" w:rsidR="00673F93" w:rsidRPr="003C1B99" w:rsidRDefault="00673F93" w:rsidP="003C1B99">
      <w:pPr>
        <w:pStyle w:val="NoSpacing"/>
        <w:ind w:left="720" w:hanging="720"/>
        <w:rPr>
          <w:sz w:val="24"/>
          <w:szCs w:val="24"/>
        </w:rPr>
      </w:pPr>
      <w:r w:rsidRPr="003C1B99">
        <w:rPr>
          <w:sz w:val="24"/>
          <w:szCs w:val="24"/>
        </w:rPr>
        <w:t xml:space="preserve">Chatterji, A. K., D. I. Levine, and M. W. Toffel, 2009, How well do social ratings actually measure corporate social </w:t>
      </w:r>
      <w:proofErr w:type="gramStart"/>
      <w:r w:rsidRPr="003C1B99">
        <w:rPr>
          <w:sz w:val="24"/>
          <w:szCs w:val="24"/>
        </w:rPr>
        <w:t>responsibility?,</w:t>
      </w:r>
      <w:proofErr w:type="gramEnd"/>
      <w:r w:rsidRPr="003C1B99">
        <w:rPr>
          <w:sz w:val="24"/>
          <w:szCs w:val="24"/>
        </w:rPr>
        <w:t xml:space="preserve"> </w:t>
      </w:r>
      <w:r w:rsidRPr="00172FC0">
        <w:rPr>
          <w:i/>
          <w:iCs/>
          <w:sz w:val="24"/>
          <w:szCs w:val="24"/>
        </w:rPr>
        <w:t>Journal of Economics and Management Strategy</w:t>
      </w:r>
      <w:r w:rsidRPr="003C1B99">
        <w:rPr>
          <w:sz w:val="24"/>
          <w:szCs w:val="24"/>
        </w:rPr>
        <w:t xml:space="preserve"> 18, 125 – 169.</w:t>
      </w:r>
    </w:p>
    <w:p w14:paraId="703DEFC0" w14:textId="77777777" w:rsidR="00673F93" w:rsidRPr="003C1B99" w:rsidRDefault="00673F93" w:rsidP="003C1B99">
      <w:pPr>
        <w:pStyle w:val="NoSpacing"/>
        <w:ind w:left="720" w:hanging="720"/>
        <w:rPr>
          <w:sz w:val="24"/>
          <w:szCs w:val="24"/>
        </w:rPr>
      </w:pPr>
      <w:r w:rsidRPr="003C1B99">
        <w:rPr>
          <w:sz w:val="24"/>
          <w:szCs w:val="24"/>
        </w:rPr>
        <w:t xml:space="preserve">Chen, Q., I. Goldstein, and W. Jiang, 2007, Price informativeness and investment sensitivity to stock price, </w:t>
      </w:r>
      <w:r w:rsidRPr="00172FC0">
        <w:rPr>
          <w:i/>
          <w:iCs/>
          <w:sz w:val="24"/>
          <w:szCs w:val="24"/>
        </w:rPr>
        <w:t>Review of Financial Studies</w:t>
      </w:r>
      <w:r w:rsidRPr="003C1B99">
        <w:rPr>
          <w:sz w:val="24"/>
          <w:szCs w:val="24"/>
        </w:rPr>
        <w:t xml:space="preserve"> 20, 619 – 650.</w:t>
      </w:r>
    </w:p>
    <w:p w14:paraId="13238014" w14:textId="77777777" w:rsidR="00673F93" w:rsidRPr="003C1B99" w:rsidRDefault="00673F93" w:rsidP="003C1B99">
      <w:pPr>
        <w:pStyle w:val="NoSpacing"/>
        <w:ind w:left="720" w:hanging="720"/>
        <w:rPr>
          <w:sz w:val="24"/>
          <w:szCs w:val="24"/>
        </w:rPr>
      </w:pPr>
      <w:r w:rsidRPr="003C1B99">
        <w:rPr>
          <w:sz w:val="24"/>
          <w:szCs w:val="24"/>
        </w:rPr>
        <w:t xml:space="preserve">Chih, H. L., C. H. Shen, and F. C. Kang, 2008, Corporate social responsibility, investor protection, and earnings management: Some international evidence, </w:t>
      </w:r>
      <w:r w:rsidRPr="00172FC0">
        <w:rPr>
          <w:i/>
          <w:iCs/>
          <w:sz w:val="24"/>
          <w:szCs w:val="24"/>
        </w:rPr>
        <w:t>Journal of Business Ethics</w:t>
      </w:r>
      <w:r w:rsidRPr="003C1B99">
        <w:rPr>
          <w:sz w:val="24"/>
          <w:szCs w:val="24"/>
        </w:rPr>
        <w:t xml:space="preserve"> 79, 179 – 198.</w:t>
      </w:r>
    </w:p>
    <w:p w14:paraId="53F54553" w14:textId="77777777" w:rsidR="00673F93" w:rsidRPr="003C1B99" w:rsidRDefault="00673F93" w:rsidP="003C1B99">
      <w:pPr>
        <w:pStyle w:val="NoSpacing"/>
        <w:ind w:left="720" w:hanging="720"/>
        <w:rPr>
          <w:sz w:val="24"/>
          <w:szCs w:val="24"/>
        </w:rPr>
      </w:pPr>
      <w:r w:rsidRPr="003C1B99">
        <w:rPr>
          <w:sz w:val="24"/>
          <w:szCs w:val="24"/>
        </w:rPr>
        <w:t xml:space="preserve">Choi, J. H., L. Myers, Y. Zang, and D. Ziebart, 2011, Do management EPS forecasts allow returns to reflect future earnings? Implications for the continuation of management's quarterly earnings guidance, </w:t>
      </w:r>
      <w:r w:rsidRPr="00172FC0">
        <w:rPr>
          <w:i/>
          <w:iCs/>
          <w:sz w:val="24"/>
          <w:szCs w:val="24"/>
        </w:rPr>
        <w:t>Review of Accounting Studies</w:t>
      </w:r>
      <w:r w:rsidRPr="003C1B99">
        <w:rPr>
          <w:sz w:val="24"/>
          <w:szCs w:val="24"/>
        </w:rPr>
        <w:t xml:space="preserve"> 16, 143 – 182.</w:t>
      </w:r>
    </w:p>
    <w:p w14:paraId="037154A0" w14:textId="77777777" w:rsidR="00673F93" w:rsidRPr="003C1B99" w:rsidRDefault="00673F93" w:rsidP="003C1B99">
      <w:pPr>
        <w:pStyle w:val="NoSpacing"/>
        <w:ind w:left="720" w:hanging="720"/>
        <w:rPr>
          <w:sz w:val="24"/>
          <w:szCs w:val="24"/>
        </w:rPr>
      </w:pPr>
      <w:r w:rsidRPr="003C1B99">
        <w:rPr>
          <w:sz w:val="24"/>
          <w:szCs w:val="24"/>
        </w:rPr>
        <w:t xml:space="preserve">Collins, D., S. Kothari, J. Shanken, and R. Sloan, 1994, Lack of timeliness versus noise as explanations for low contemporaneous return‐earnings association, </w:t>
      </w:r>
      <w:r w:rsidRPr="00172FC0">
        <w:rPr>
          <w:i/>
          <w:iCs/>
          <w:sz w:val="24"/>
          <w:szCs w:val="24"/>
        </w:rPr>
        <w:t>Journal of Accounting and Economics</w:t>
      </w:r>
      <w:r w:rsidRPr="003C1B99">
        <w:rPr>
          <w:sz w:val="24"/>
          <w:szCs w:val="24"/>
        </w:rPr>
        <w:t xml:space="preserve"> 18, 289 – 324.</w:t>
      </w:r>
    </w:p>
    <w:p w14:paraId="2DC83EF0" w14:textId="77777777" w:rsidR="00673F93" w:rsidRPr="003C1B99" w:rsidRDefault="00673F93" w:rsidP="003C1B99">
      <w:pPr>
        <w:pStyle w:val="NoSpacing"/>
        <w:ind w:left="720" w:hanging="720"/>
        <w:rPr>
          <w:sz w:val="24"/>
          <w:szCs w:val="24"/>
        </w:rPr>
      </w:pPr>
      <w:r w:rsidRPr="003C1B99">
        <w:rPr>
          <w:sz w:val="24"/>
          <w:szCs w:val="24"/>
        </w:rPr>
        <w:t>Da, Z., J. Engelberg, and P. Gao, 2011, In search of attention, Journal of Finance 66, 1461 – 1499.</w:t>
      </w:r>
    </w:p>
    <w:p w14:paraId="76235B98" w14:textId="77777777" w:rsidR="00673F93" w:rsidRPr="003C1B99" w:rsidRDefault="00673F93" w:rsidP="003C1B99">
      <w:pPr>
        <w:pStyle w:val="NoSpacing"/>
        <w:ind w:left="720" w:hanging="720"/>
        <w:rPr>
          <w:sz w:val="24"/>
          <w:szCs w:val="24"/>
        </w:rPr>
      </w:pPr>
      <w:r w:rsidRPr="003C1B99">
        <w:rPr>
          <w:sz w:val="24"/>
          <w:szCs w:val="24"/>
        </w:rPr>
        <w:t xml:space="preserve">Dechow, P. M., A. P. Hutton, L. Meulbroek, and R. G. Sloan, 2001, Short‐sellers, fundamental analysis, and stock returns, </w:t>
      </w:r>
      <w:r w:rsidRPr="00172FC0">
        <w:rPr>
          <w:i/>
          <w:iCs/>
          <w:sz w:val="24"/>
          <w:szCs w:val="24"/>
        </w:rPr>
        <w:t>Journal of Financial Economics</w:t>
      </w:r>
      <w:r w:rsidRPr="003C1B99">
        <w:rPr>
          <w:sz w:val="24"/>
          <w:szCs w:val="24"/>
        </w:rPr>
        <w:t xml:space="preserve"> 61, 77 – 106.</w:t>
      </w:r>
    </w:p>
    <w:p w14:paraId="457DD153" w14:textId="77777777" w:rsidR="00673F93" w:rsidRPr="003C1B99" w:rsidRDefault="00673F93" w:rsidP="003C1B99">
      <w:pPr>
        <w:pStyle w:val="NoSpacing"/>
        <w:ind w:left="720" w:hanging="720"/>
        <w:rPr>
          <w:sz w:val="24"/>
          <w:szCs w:val="24"/>
        </w:rPr>
      </w:pPr>
      <w:r w:rsidRPr="003C1B99">
        <w:rPr>
          <w:sz w:val="24"/>
          <w:szCs w:val="24"/>
        </w:rPr>
        <w:t xml:space="preserve">Dechow, P., R. Sloan, and A. Sweeney, 1995, Detecting earnings management, </w:t>
      </w:r>
      <w:r w:rsidRPr="00172FC0">
        <w:rPr>
          <w:i/>
          <w:iCs/>
          <w:sz w:val="24"/>
          <w:szCs w:val="24"/>
        </w:rPr>
        <w:t>The Accounting Review</w:t>
      </w:r>
      <w:r w:rsidRPr="003C1B99">
        <w:rPr>
          <w:sz w:val="24"/>
          <w:szCs w:val="24"/>
        </w:rPr>
        <w:t xml:space="preserve"> 70, 193 – 225.</w:t>
      </w:r>
    </w:p>
    <w:p w14:paraId="06D447C7" w14:textId="77777777" w:rsidR="00673F93" w:rsidRPr="003C1B99" w:rsidRDefault="00673F93" w:rsidP="003C1B99">
      <w:pPr>
        <w:pStyle w:val="NoSpacing"/>
        <w:ind w:left="720" w:hanging="720"/>
        <w:rPr>
          <w:sz w:val="24"/>
          <w:szCs w:val="24"/>
        </w:rPr>
      </w:pPr>
      <w:r w:rsidRPr="003C1B99">
        <w:rPr>
          <w:sz w:val="24"/>
          <w:szCs w:val="24"/>
        </w:rPr>
        <w:t xml:space="preserve">Deng, X., J. Kang, and B. S. Low, 2013, Corporate social responsibility and stakeholder value maximization: evidence from mergers, </w:t>
      </w:r>
      <w:r w:rsidRPr="00172FC0">
        <w:rPr>
          <w:i/>
          <w:iCs/>
          <w:sz w:val="24"/>
          <w:szCs w:val="24"/>
        </w:rPr>
        <w:t>Journal of Financial Economics</w:t>
      </w:r>
      <w:r w:rsidRPr="003C1B99">
        <w:rPr>
          <w:sz w:val="24"/>
          <w:szCs w:val="24"/>
        </w:rPr>
        <w:t xml:space="preserve"> 110, 87 – 109.</w:t>
      </w:r>
    </w:p>
    <w:p w14:paraId="18D262FB" w14:textId="77777777" w:rsidR="00673F93" w:rsidRPr="003C1B99" w:rsidRDefault="00673F93" w:rsidP="003C1B99">
      <w:pPr>
        <w:pStyle w:val="NoSpacing"/>
        <w:ind w:left="720" w:hanging="720"/>
        <w:rPr>
          <w:sz w:val="24"/>
          <w:szCs w:val="24"/>
        </w:rPr>
      </w:pPr>
      <w:r w:rsidRPr="003C1B99">
        <w:rPr>
          <w:sz w:val="24"/>
          <w:szCs w:val="24"/>
        </w:rPr>
        <w:t xml:space="preserve">Desai, M., and D. Dharmapala, 2009, Earnings management, corporate tax shelters, and book‐tax alignment, </w:t>
      </w:r>
      <w:r w:rsidRPr="00172FC0">
        <w:rPr>
          <w:i/>
          <w:iCs/>
          <w:sz w:val="24"/>
          <w:szCs w:val="24"/>
        </w:rPr>
        <w:t>National Tax Journal</w:t>
      </w:r>
      <w:r w:rsidRPr="003C1B99">
        <w:rPr>
          <w:sz w:val="24"/>
          <w:szCs w:val="24"/>
        </w:rPr>
        <w:t xml:space="preserve"> 62, 169 – 186.</w:t>
      </w:r>
    </w:p>
    <w:p w14:paraId="5A2BE7D0" w14:textId="77777777" w:rsidR="00673F93" w:rsidRPr="003C1B99" w:rsidRDefault="00673F93" w:rsidP="003C1B99">
      <w:pPr>
        <w:pStyle w:val="NoSpacing"/>
        <w:ind w:left="720" w:hanging="720"/>
        <w:rPr>
          <w:sz w:val="24"/>
          <w:szCs w:val="24"/>
        </w:rPr>
      </w:pPr>
      <w:r w:rsidRPr="003C1B99">
        <w:rPr>
          <w:sz w:val="24"/>
          <w:szCs w:val="24"/>
        </w:rPr>
        <w:t xml:space="preserve">Dhaliwal, D. S., O. Z. Li, A. Tsang, and Y. G. Yang, 2011, Voluntary nonfinancial disclosure and the cost of equity capital: The initiation of corporate social responsibility reporting, </w:t>
      </w:r>
      <w:r w:rsidRPr="00172FC0">
        <w:rPr>
          <w:i/>
          <w:iCs/>
          <w:sz w:val="24"/>
          <w:szCs w:val="24"/>
        </w:rPr>
        <w:t>The Accounting Review</w:t>
      </w:r>
      <w:r w:rsidRPr="003C1B99">
        <w:rPr>
          <w:sz w:val="24"/>
          <w:szCs w:val="24"/>
        </w:rPr>
        <w:t xml:space="preserve"> 86, 59 – 100.</w:t>
      </w:r>
    </w:p>
    <w:p w14:paraId="6168EBFB" w14:textId="77777777" w:rsidR="00673F93" w:rsidRPr="003C1B99" w:rsidRDefault="00673F93" w:rsidP="003C1B99">
      <w:pPr>
        <w:pStyle w:val="NoSpacing"/>
        <w:ind w:left="720" w:hanging="720"/>
        <w:rPr>
          <w:sz w:val="24"/>
          <w:szCs w:val="24"/>
        </w:rPr>
      </w:pPr>
      <w:r w:rsidRPr="003C1B99">
        <w:rPr>
          <w:sz w:val="24"/>
          <w:szCs w:val="24"/>
        </w:rPr>
        <w:t xml:space="preserve">Diamond, D. W., 1989, Reputation acquisition in debt markets, </w:t>
      </w:r>
      <w:r w:rsidRPr="00172FC0">
        <w:rPr>
          <w:i/>
          <w:iCs/>
          <w:sz w:val="24"/>
          <w:szCs w:val="24"/>
        </w:rPr>
        <w:t>Journal of Political Economy</w:t>
      </w:r>
      <w:r w:rsidRPr="003C1B99">
        <w:rPr>
          <w:sz w:val="24"/>
          <w:szCs w:val="24"/>
        </w:rPr>
        <w:t xml:space="preserve"> 97, 828 – 862.</w:t>
      </w:r>
    </w:p>
    <w:p w14:paraId="1131D8B9" w14:textId="77777777" w:rsidR="00673F93" w:rsidRPr="003C1B99" w:rsidRDefault="00673F93" w:rsidP="003C1B99">
      <w:pPr>
        <w:pStyle w:val="NoSpacing"/>
        <w:ind w:left="720" w:hanging="720"/>
        <w:rPr>
          <w:sz w:val="24"/>
          <w:szCs w:val="24"/>
        </w:rPr>
      </w:pPr>
      <w:r w:rsidRPr="003C1B99">
        <w:rPr>
          <w:sz w:val="24"/>
          <w:szCs w:val="24"/>
        </w:rPr>
        <w:t xml:space="preserve">Diamond, D. W., and R. E. Verrecchia, 1981, Information aggregation in a noisy rational expectations economy, </w:t>
      </w:r>
      <w:r w:rsidRPr="00172FC0">
        <w:rPr>
          <w:i/>
          <w:iCs/>
          <w:sz w:val="24"/>
          <w:szCs w:val="24"/>
        </w:rPr>
        <w:t>Journal of Financial Economics</w:t>
      </w:r>
      <w:r w:rsidRPr="003C1B99">
        <w:rPr>
          <w:sz w:val="24"/>
          <w:szCs w:val="24"/>
        </w:rPr>
        <w:t xml:space="preserve"> 9, 221 – 235.</w:t>
      </w:r>
    </w:p>
    <w:p w14:paraId="4053F132" w14:textId="77777777" w:rsidR="00673F93" w:rsidRPr="003C1B99" w:rsidRDefault="00673F93" w:rsidP="003C1B99">
      <w:pPr>
        <w:pStyle w:val="NoSpacing"/>
        <w:ind w:left="720" w:hanging="720"/>
        <w:rPr>
          <w:sz w:val="24"/>
          <w:szCs w:val="24"/>
        </w:rPr>
      </w:pPr>
      <w:r w:rsidRPr="003C1B99">
        <w:rPr>
          <w:sz w:val="24"/>
          <w:szCs w:val="24"/>
        </w:rPr>
        <w:t xml:space="preserve">Diamond, D., and R. E. Verrecchia, 1987, Constraints on short‐selling and asset price adjustment to private information, </w:t>
      </w:r>
      <w:r w:rsidRPr="00172FC0">
        <w:rPr>
          <w:i/>
          <w:iCs/>
          <w:sz w:val="24"/>
          <w:szCs w:val="24"/>
        </w:rPr>
        <w:t>Journal of Financial Economics</w:t>
      </w:r>
      <w:r w:rsidRPr="003C1B99">
        <w:rPr>
          <w:sz w:val="24"/>
          <w:szCs w:val="24"/>
        </w:rPr>
        <w:t xml:space="preserve"> 18, 277 – 311.</w:t>
      </w:r>
    </w:p>
    <w:p w14:paraId="6F58E9A5" w14:textId="77777777" w:rsidR="00673F93" w:rsidRPr="003C1B99" w:rsidRDefault="00673F93" w:rsidP="003C1B99">
      <w:pPr>
        <w:pStyle w:val="NoSpacing"/>
        <w:ind w:left="720" w:hanging="720"/>
        <w:rPr>
          <w:sz w:val="24"/>
          <w:szCs w:val="24"/>
        </w:rPr>
      </w:pPr>
      <w:r w:rsidRPr="003C1B99">
        <w:rPr>
          <w:sz w:val="24"/>
          <w:szCs w:val="24"/>
        </w:rPr>
        <w:t xml:space="preserve">Dong, Y., O. Z. Li, Y. Lin, and C. Ni, 2016, Does information‐processing cost affect firm‐specific information acquisition? Evidence from XBRL adoption, </w:t>
      </w:r>
      <w:r w:rsidRPr="00172FC0">
        <w:rPr>
          <w:i/>
          <w:iCs/>
          <w:sz w:val="24"/>
          <w:szCs w:val="24"/>
        </w:rPr>
        <w:t>Journal of Financial and Quantitative Analysis</w:t>
      </w:r>
      <w:r w:rsidRPr="003C1B99">
        <w:rPr>
          <w:sz w:val="24"/>
          <w:szCs w:val="24"/>
        </w:rPr>
        <w:t xml:space="preserve"> 51, 435 – 462.</w:t>
      </w:r>
    </w:p>
    <w:p w14:paraId="41086104" w14:textId="77777777" w:rsidR="00673F93" w:rsidRPr="003C1B99" w:rsidRDefault="00673F93" w:rsidP="003C1B99">
      <w:pPr>
        <w:pStyle w:val="NoSpacing"/>
        <w:ind w:left="720" w:hanging="720"/>
        <w:rPr>
          <w:sz w:val="24"/>
          <w:szCs w:val="24"/>
        </w:rPr>
      </w:pPr>
      <w:r w:rsidRPr="003C1B99">
        <w:rPr>
          <w:sz w:val="24"/>
          <w:szCs w:val="24"/>
        </w:rPr>
        <w:lastRenderedPageBreak/>
        <w:t xml:space="preserve">Drake, M. S., D. T. Roulstone, and J. R. Thornock, 2012a, Investor information demand: evidence from Google searches around earnings announcements, </w:t>
      </w:r>
      <w:r w:rsidRPr="00172FC0">
        <w:rPr>
          <w:i/>
          <w:iCs/>
          <w:sz w:val="24"/>
          <w:szCs w:val="24"/>
        </w:rPr>
        <w:t>Journal of Accounting Research</w:t>
      </w:r>
      <w:r w:rsidRPr="003C1B99">
        <w:rPr>
          <w:sz w:val="24"/>
          <w:szCs w:val="24"/>
        </w:rPr>
        <w:t xml:space="preserve"> 50, 1001 – 1040.</w:t>
      </w:r>
    </w:p>
    <w:p w14:paraId="797EBCE0" w14:textId="77777777" w:rsidR="00673F93" w:rsidRPr="003C1B99" w:rsidRDefault="00673F93" w:rsidP="003C1B99">
      <w:pPr>
        <w:pStyle w:val="NoSpacing"/>
        <w:ind w:left="720" w:hanging="720"/>
        <w:rPr>
          <w:sz w:val="24"/>
          <w:szCs w:val="24"/>
        </w:rPr>
      </w:pPr>
      <w:r w:rsidRPr="003C1B99">
        <w:rPr>
          <w:sz w:val="24"/>
          <w:szCs w:val="24"/>
        </w:rPr>
        <w:t xml:space="preserve">Drake, M. S., D. T. Roulstone, and J. R. Thornock. 2015, The determinants and consequences of information acquisition via EDGAR, </w:t>
      </w:r>
      <w:r w:rsidRPr="00172FC0">
        <w:rPr>
          <w:i/>
          <w:iCs/>
          <w:sz w:val="24"/>
          <w:szCs w:val="24"/>
        </w:rPr>
        <w:t>Contemporary Accounting Research</w:t>
      </w:r>
      <w:r w:rsidRPr="003C1B99">
        <w:rPr>
          <w:sz w:val="24"/>
          <w:szCs w:val="24"/>
        </w:rPr>
        <w:t xml:space="preserve"> 32, 1128 – 1161.</w:t>
      </w:r>
    </w:p>
    <w:p w14:paraId="0E20E932" w14:textId="77777777" w:rsidR="00673F93" w:rsidRPr="003C1B99" w:rsidRDefault="00673F93" w:rsidP="003C1B99">
      <w:pPr>
        <w:pStyle w:val="NoSpacing"/>
        <w:ind w:left="720" w:hanging="720"/>
        <w:rPr>
          <w:sz w:val="24"/>
          <w:szCs w:val="24"/>
        </w:rPr>
      </w:pPr>
      <w:r w:rsidRPr="003C1B99">
        <w:rPr>
          <w:sz w:val="24"/>
          <w:szCs w:val="24"/>
        </w:rPr>
        <w:t xml:space="preserve">Durnev, A., R. Morck, B. Yeung, and P. Zarowin, 2003, Does greater firm‐specific return variation mean more or less informed stock </w:t>
      </w:r>
      <w:proofErr w:type="gramStart"/>
      <w:r w:rsidRPr="003C1B99">
        <w:rPr>
          <w:sz w:val="24"/>
          <w:szCs w:val="24"/>
        </w:rPr>
        <w:t>pricing?,</w:t>
      </w:r>
      <w:proofErr w:type="gramEnd"/>
      <w:r w:rsidRPr="003C1B99">
        <w:rPr>
          <w:sz w:val="24"/>
          <w:szCs w:val="24"/>
        </w:rPr>
        <w:t xml:space="preserve"> </w:t>
      </w:r>
      <w:r w:rsidRPr="00172FC0">
        <w:rPr>
          <w:i/>
          <w:iCs/>
          <w:sz w:val="24"/>
          <w:szCs w:val="24"/>
        </w:rPr>
        <w:t>Journal of Accounting Research</w:t>
      </w:r>
      <w:r w:rsidRPr="003C1B99">
        <w:rPr>
          <w:sz w:val="24"/>
          <w:szCs w:val="24"/>
        </w:rPr>
        <w:t xml:space="preserve"> 41, 797 – 836.</w:t>
      </w:r>
    </w:p>
    <w:p w14:paraId="1F9ED48B" w14:textId="77777777" w:rsidR="00673F93" w:rsidRPr="003C1B99" w:rsidRDefault="00673F93" w:rsidP="003C1B99">
      <w:pPr>
        <w:pStyle w:val="NoSpacing"/>
        <w:ind w:left="720" w:hanging="720"/>
        <w:rPr>
          <w:sz w:val="24"/>
          <w:szCs w:val="24"/>
        </w:rPr>
      </w:pPr>
      <w:r w:rsidRPr="003C1B99">
        <w:rPr>
          <w:sz w:val="24"/>
          <w:szCs w:val="24"/>
        </w:rPr>
        <w:t xml:space="preserve">Durnev, A., R. Morck, and B. Yeung, 2004, Value‐enhancing capital budgeting and firm‐specific stock return variation, </w:t>
      </w:r>
      <w:r w:rsidRPr="00172FC0">
        <w:rPr>
          <w:i/>
          <w:iCs/>
          <w:sz w:val="24"/>
          <w:szCs w:val="24"/>
        </w:rPr>
        <w:t>Journal of Finance</w:t>
      </w:r>
      <w:r w:rsidRPr="003C1B99">
        <w:rPr>
          <w:sz w:val="24"/>
          <w:szCs w:val="24"/>
        </w:rPr>
        <w:t xml:space="preserve"> 59, 65 – 105.</w:t>
      </w:r>
    </w:p>
    <w:p w14:paraId="2B4CA6DF" w14:textId="77777777" w:rsidR="00673F93" w:rsidRPr="003C1B99" w:rsidRDefault="00673F93" w:rsidP="003C1B99">
      <w:pPr>
        <w:pStyle w:val="NoSpacing"/>
        <w:ind w:left="720" w:hanging="720"/>
        <w:rPr>
          <w:sz w:val="24"/>
          <w:szCs w:val="24"/>
        </w:rPr>
      </w:pPr>
      <w:r w:rsidRPr="003C1B99">
        <w:rPr>
          <w:sz w:val="24"/>
          <w:szCs w:val="24"/>
        </w:rPr>
        <w:t xml:space="preserve">Easley, D., M. K. Nicholas, and M. O'Hara, 1997a, The information content of the trading process, </w:t>
      </w:r>
      <w:r w:rsidRPr="00172FC0">
        <w:rPr>
          <w:i/>
          <w:iCs/>
          <w:sz w:val="24"/>
          <w:szCs w:val="24"/>
        </w:rPr>
        <w:t>Journal of Empirical Finance</w:t>
      </w:r>
      <w:r w:rsidRPr="003C1B99">
        <w:rPr>
          <w:sz w:val="24"/>
          <w:szCs w:val="24"/>
        </w:rPr>
        <w:t xml:space="preserve"> 4, 159 – 186.</w:t>
      </w:r>
    </w:p>
    <w:p w14:paraId="36AA92B4" w14:textId="77777777" w:rsidR="00673F93" w:rsidRPr="003C1B99" w:rsidRDefault="00673F93" w:rsidP="003C1B99">
      <w:pPr>
        <w:pStyle w:val="NoSpacing"/>
        <w:ind w:left="720" w:hanging="720"/>
        <w:rPr>
          <w:sz w:val="24"/>
          <w:szCs w:val="24"/>
        </w:rPr>
      </w:pPr>
      <w:r w:rsidRPr="003C1B99">
        <w:rPr>
          <w:sz w:val="24"/>
          <w:szCs w:val="24"/>
        </w:rPr>
        <w:t xml:space="preserve">Easley, D., M. K. Nicholas, and M. O'Hara, 1997b, One day in the life of a very common stock, </w:t>
      </w:r>
      <w:r w:rsidRPr="00172FC0">
        <w:rPr>
          <w:i/>
          <w:iCs/>
          <w:sz w:val="24"/>
          <w:szCs w:val="24"/>
        </w:rPr>
        <w:t>Review of Financial Studies</w:t>
      </w:r>
      <w:r w:rsidRPr="003C1B99">
        <w:rPr>
          <w:sz w:val="24"/>
          <w:szCs w:val="24"/>
        </w:rPr>
        <w:t xml:space="preserve"> 10, 805 – 835.</w:t>
      </w:r>
    </w:p>
    <w:p w14:paraId="48CAC720" w14:textId="77777777" w:rsidR="00673F93" w:rsidRPr="003C1B99" w:rsidRDefault="00673F93" w:rsidP="003C1B99">
      <w:pPr>
        <w:pStyle w:val="NoSpacing"/>
        <w:ind w:left="720" w:hanging="720"/>
        <w:rPr>
          <w:sz w:val="24"/>
          <w:szCs w:val="24"/>
        </w:rPr>
      </w:pPr>
      <w:r w:rsidRPr="003C1B99">
        <w:rPr>
          <w:sz w:val="24"/>
          <w:szCs w:val="24"/>
        </w:rPr>
        <w:t xml:space="preserve">Easley, D., S. Hvidkjaer, and M. O'Hara, 2002, Is information risk a determinant of asset </w:t>
      </w:r>
      <w:proofErr w:type="gramStart"/>
      <w:r w:rsidRPr="003C1B99">
        <w:rPr>
          <w:sz w:val="24"/>
          <w:szCs w:val="24"/>
        </w:rPr>
        <w:t>returns?,</w:t>
      </w:r>
      <w:proofErr w:type="gramEnd"/>
      <w:r w:rsidRPr="003C1B99">
        <w:rPr>
          <w:sz w:val="24"/>
          <w:szCs w:val="24"/>
        </w:rPr>
        <w:t xml:space="preserve"> </w:t>
      </w:r>
      <w:r w:rsidRPr="00172FC0">
        <w:rPr>
          <w:i/>
          <w:iCs/>
          <w:sz w:val="24"/>
          <w:szCs w:val="24"/>
        </w:rPr>
        <w:t>Journal of Finance</w:t>
      </w:r>
      <w:r w:rsidRPr="003C1B99">
        <w:rPr>
          <w:sz w:val="24"/>
          <w:szCs w:val="24"/>
        </w:rPr>
        <w:t xml:space="preserve"> 57, 2185 – 2221.</w:t>
      </w:r>
    </w:p>
    <w:p w14:paraId="2645F842" w14:textId="77777777" w:rsidR="00673F93" w:rsidRPr="003C1B99" w:rsidRDefault="00673F93" w:rsidP="003C1B99">
      <w:pPr>
        <w:pStyle w:val="NoSpacing"/>
        <w:ind w:left="720" w:hanging="720"/>
        <w:rPr>
          <w:sz w:val="24"/>
          <w:szCs w:val="24"/>
        </w:rPr>
      </w:pPr>
      <w:r w:rsidRPr="003C1B99">
        <w:rPr>
          <w:sz w:val="24"/>
          <w:szCs w:val="24"/>
        </w:rPr>
        <w:t>Economist, 2005, The importance of corporate responsibility. (Economist Intelligence Unit, London, UK).</w:t>
      </w:r>
    </w:p>
    <w:p w14:paraId="6551C973" w14:textId="77777777" w:rsidR="00673F93" w:rsidRPr="003C1B99" w:rsidRDefault="00673F93" w:rsidP="003C1B99">
      <w:pPr>
        <w:pStyle w:val="NoSpacing"/>
        <w:ind w:left="720" w:hanging="720"/>
        <w:rPr>
          <w:sz w:val="24"/>
          <w:szCs w:val="24"/>
        </w:rPr>
      </w:pPr>
      <w:r w:rsidRPr="003C1B99">
        <w:rPr>
          <w:sz w:val="24"/>
          <w:szCs w:val="24"/>
        </w:rPr>
        <w:t xml:space="preserve">Ensminger, J., 2001, Reputation, trust, and the principal agent problem, in: K. S. Cook, ed., </w:t>
      </w:r>
      <w:r w:rsidRPr="00172FC0">
        <w:rPr>
          <w:i/>
          <w:iCs/>
          <w:sz w:val="24"/>
          <w:szCs w:val="24"/>
        </w:rPr>
        <w:t>Trust and Society</w:t>
      </w:r>
      <w:r w:rsidRPr="003C1B99">
        <w:rPr>
          <w:sz w:val="24"/>
          <w:szCs w:val="24"/>
        </w:rPr>
        <w:t xml:space="preserve"> (Russell Sage Foundation, New York, NY), 185 – 201.</w:t>
      </w:r>
    </w:p>
    <w:p w14:paraId="0DAA39F1" w14:textId="77777777" w:rsidR="00673F93" w:rsidRPr="003C1B99" w:rsidRDefault="00673F93" w:rsidP="003C1B99">
      <w:pPr>
        <w:pStyle w:val="NoSpacing"/>
        <w:ind w:left="720" w:hanging="720"/>
        <w:rPr>
          <w:sz w:val="24"/>
          <w:szCs w:val="24"/>
        </w:rPr>
      </w:pPr>
      <w:r w:rsidRPr="003C1B99">
        <w:rPr>
          <w:sz w:val="24"/>
          <w:szCs w:val="24"/>
        </w:rPr>
        <w:t xml:space="preserve">Fama, E. F., 1970, Efficient capital markets: a review of theory and empirical work, </w:t>
      </w:r>
      <w:r w:rsidRPr="00172FC0">
        <w:rPr>
          <w:i/>
          <w:iCs/>
          <w:sz w:val="24"/>
          <w:szCs w:val="24"/>
        </w:rPr>
        <w:t>Jour</w:t>
      </w:r>
      <w:r w:rsidRPr="003C1B99">
        <w:rPr>
          <w:sz w:val="24"/>
          <w:szCs w:val="24"/>
        </w:rPr>
        <w:t>nal of Finance 25, 28 – 30.</w:t>
      </w:r>
    </w:p>
    <w:p w14:paraId="567D7B03" w14:textId="77777777" w:rsidR="00673F93" w:rsidRPr="003C1B99" w:rsidRDefault="00673F93" w:rsidP="003C1B99">
      <w:pPr>
        <w:pStyle w:val="NoSpacing"/>
        <w:ind w:left="720" w:hanging="720"/>
        <w:rPr>
          <w:sz w:val="24"/>
          <w:szCs w:val="24"/>
        </w:rPr>
      </w:pPr>
      <w:r w:rsidRPr="003C1B99">
        <w:rPr>
          <w:sz w:val="24"/>
          <w:szCs w:val="24"/>
        </w:rPr>
        <w:t xml:space="preserve">Fernandes, N., and M. Ferreira, 2009, Insider trading laws and stock price informativeness, </w:t>
      </w:r>
      <w:r w:rsidRPr="00172FC0">
        <w:rPr>
          <w:i/>
          <w:iCs/>
          <w:sz w:val="24"/>
          <w:szCs w:val="24"/>
        </w:rPr>
        <w:t>Review of Financial Studies</w:t>
      </w:r>
      <w:r w:rsidRPr="003C1B99">
        <w:rPr>
          <w:sz w:val="24"/>
          <w:szCs w:val="24"/>
        </w:rPr>
        <w:t xml:space="preserve"> 22, 1845 – 1887.</w:t>
      </w:r>
    </w:p>
    <w:p w14:paraId="26E4FF3A" w14:textId="77777777" w:rsidR="00673F93" w:rsidRPr="003C1B99" w:rsidRDefault="00673F93" w:rsidP="003C1B99">
      <w:pPr>
        <w:pStyle w:val="NoSpacing"/>
        <w:ind w:left="720" w:hanging="720"/>
        <w:rPr>
          <w:sz w:val="24"/>
          <w:szCs w:val="24"/>
        </w:rPr>
      </w:pPr>
      <w:r w:rsidRPr="003C1B99">
        <w:rPr>
          <w:sz w:val="24"/>
          <w:szCs w:val="24"/>
        </w:rPr>
        <w:t xml:space="preserve">Ferreira, M., and P. Laux, 2007, Corporate governance, idiosyncratic risk, and information flow, </w:t>
      </w:r>
      <w:r w:rsidRPr="00172FC0">
        <w:rPr>
          <w:i/>
          <w:iCs/>
          <w:sz w:val="24"/>
          <w:szCs w:val="24"/>
        </w:rPr>
        <w:t>Journal of Finance</w:t>
      </w:r>
      <w:r w:rsidRPr="003C1B99">
        <w:rPr>
          <w:sz w:val="24"/>
          <w:szCs w:val="24"/>
        </w:rPr>
        <w:t xml:space="preserve"> 62, 951 – 989.</w:t>
      </w:r>
    </w:p>
    <w:p w14:paraId="3A202571" w14:textId="77777777" w:rsidR="00673F93" w:rsidRPr="003C1B99" w:rsidRDefault="00673F93" w:rsidP="003C1B99">
      <w:pPr>
        <w:pStyle w:val="NoSpacing"/>
        <w:ind w:left="720" w:hanging="720"/>
        <w:rPr>
          <w:sz w:val="24"/>
          <w:szCs w:val="24"/>
        </w:rPr>
      </w:pPr>
      <w:r w:rsidRPr="003C1B99">
        <w:rPr>
          <w:sz w:val="24"/>
          <w:szCs w:val="24"/>
        </w:rPr>
        <w:t xml:space="preserve">Ferreira, D., M. Ferreira, and C. Raposo, 2011, Board structure and price informativeness, </w:t>
      </w:r>
      <w:r w:rsidRPr="00172FC0">
        <w:rPr>
          <w:i/>
          <w:iCs/>
          <w:sz w:val="24"/>
          <w:szCs w:val="24"/>
        </w:rPr>
        <w:t>Journal of Financial Economics</w:t>
      </w:r>
      <w:r w:rsidRPr="003C1B99">
        <w:rPr>
          <w:sz w:val="24"/>
          <w:szCs w:val="24"/>
        </w:rPr>
        <w:t xml:space="preserve"> 99, 523 – 545.</w:t>
      </w:r>
    </w:p>
    <w:p w14:paraId="7E4943ED" w14:textId="77777777" w:rsidR="00673F93" w:rsidRPr="003C1B99" w:rsidRDefault="00673F93" w:rsidP="003C1B99">
      <w:pPr>
        <w:pStyle w:val="NoSpacing"/>
        <w:ind w:left="720" w:hanging="720"/>
        <w:rPr>
          <w:sz w:val="24"/>
          <w:szCs w:val="24"/>
        </w:rPr>
      </w:pPr>
      <w:r w:rsidRPr="003C1B99">
        <w:rPr>
          <w:sz w:val="24"/>
          <w:szCs w:val="24"/>
        </w:rPr>
        <w:t xml:space="preserve">Ferrell, A., H. Liang, and L. Renneboog, 2016, Socially responsible firms, </w:t>
      </w:r>
      <w:r w:rsidRPr="00172FC0">
        <w:rPr>
          <w:i/>
          <w:iCs/>
          <w:sz w:val="24"/>
          <w:szCs w:val="24"/>
        </w:rPr>
        <w:t>Journal of Financial Economics</w:t>
      </w:r>
      <w:r w:rsidRPr="003C1B99">
        <w:rPr>
          <w:sz w:val="24"/>
          <w:szCs w:val="24"/>
        </w:rPr>
        <w:t xml:space="preserve"> 122, 585 – 606.</w:t>
      </w:r>
    </w:p>
    <w:p w14:paraId="5BBFE02B" w14:textId="77777777" w:rsidR="00673F93" w:rsidRPr="003C1B99" w:rsidRDefault="00673F93" w:rsidP="003C1B99">
      <w:pPr>
        <w:pStyle w:val="NoSpacing"/>
        <w:ind w:left="720" w:hanging="720"/>
        <w:rPr>
          <w:sz w:val="24"/>
          <w:szCs w:val="24"/>
        </w:rPr>
      </w:pPr>
      <w:r w:rsidRPr="003C1B99">
        <w:rPr>
          <w:sz w:val="24"/>
          <w:szCs w:val="24"/>
        </w:rPr>
        <w:t xml:space="preserve">Fishman, M. J., and K. M. Hagerty, 1992, Insider trading and the efficiency of stock prices, </w:t>
      </w:r>
      <w:r w:rsidRPr="00172FC0">
        <w:rPr>
          <w:i/>
          <w:iCs/>
          <w:sz w:val="24"/>
          <w:szCs w:val="24"/>
        </w:rPr>
        <w:t>The RAND Journal of Economics</w:t>
      </w:r>
      <w:r w:rsidRPr="003C1B99">
        <w:rPr>
          <w:sz w:val="24"/>
          <w:szCs w:val="24"/>
        </w:rPr>
        <w:t xml:space="preserve"> 23, 106 – 122.</w:t>
      </w:r>
    </w:p>
    <w:p w14:paraId="6B07C23C" w14:textId="77777777" w:rsidR="00673F93" w:rsidRPr="003C1B99" w:rsidRDefault="00673F93" w:rsidP="003C1B99">
      <w:pPr>
        <w:pStyle w:val="NoSpacing"/>
        <w:ind w:left="720" w:hanging="720"/>
        <w:rPr>
          <w:sz w:val="24"/>
          <w:szCs w:val="24"/>
        </w:rPr>
      </w:pPr>
      <w:r w:rsidRPr="003C1B99">
        <w:rPr>
          <w:sz w:val="24"/>
          <w:szCs w:val="24"/>
        </w:rPr>
        <w:t xml:space="preserve">Flammer, C., 2015, Does corporate social responsibility lead to superior financial </w:t>
      </w:r>
      <w:proofErr w:type="gramStart"/>
      <w:r w:rsidRPr="003C1B99">
        <w:rPr>
          <w:sz w:val="24"/>
          <w:szCs w:val="24"/>
        </w:rPr>
        <w:t>performance?,</w:t>
      </w:r>
      <w:proofErr w:type="gramEnd"/>
      <w:r w:rsidRPr="003C1B99">
        <w:rPr>
          <w:sz w:val="24"/>
          <w:szCs w:val="24"/>
        </w:rPr>
        <w:t xml:space="preserve"> A regression discontinuity approach, </w:t>
      </w:r>
      <w:r w:rsidRPr="00172FC0">
        <w:rPr>
          <w:i/>
          <w:iCs/>
          <w:sz w:val="24"/>
          <w:szCs w:val="24"/>
        </w:rPr>
        <w:t>Management Science</w:t>
      </w:r>
      <w:r w:rsidRPr="003C1B99">
        <w:rPr>
          <w:sz w:val="24"/>
          <w:szCs w:val="24"/>
        </w:rPr>
        <w:t xml:space="preserve"> 61, 2549 – 2568.</w:t>
      </w:r>
    </w:p>
    <w:p w14:paraId="23B3783A" w14:textId="77777777" w:rsidR="00673F93" w:rsidRPr="003C1B99" w:rsidRDefault="00673F93" w:rsidP="003C1B99">
      <w:pPr>
        <w:pStyle w:val="NoSpacing"/>
        <w:ind w:left="720" w:hanging="720"/>
        <w:rPr>
          <w:sz w:val="24"/>
          <w:szCs w:val="24"/>
        </w:rPr>
      </w:pPr>
      <w:r w:rsidRPr="003C1B99">
        <w:rPr>
          <w:sz w:val="24"/>
          <w:szCs w:val="24"/>
        </w:rPr>
        <w:t xml:space="preserve">Fombrun, C., and M. Shanley, 1990, What's in a name? Reputation building and corporate strategy, </w:t>
      </w:r>
      <w:r w:rsidRPr="00172FC0">
        <w:rPr>
          <w:i/>
          <w:iCs/>
          <w:sz w:val="24"/>
          <w:szCs w:val="24"/>
        </w:rPr>
        <w:t>Academy of Management Journal</w:t>
      </w:r>
      <w:r w:rsidRPr="003C1B99">
        <w:rPr>
          <w:sz w:val="24"/>
          <w:szCs w:val="24"/>
        </w:rPr>
        <w:t xml:space="preserve"> 33, 233 – 258.</w:t>
      </w:r>
    </w:p>
    <w:p w14:paraId="3718096F" w14:textId="77777777" w:rsidR="00673F93" w:rsidRPr="003C1B99" w:rsidRDefault="00673F93" w:rsidP="003C1B99">
      <w:pPr>
        <w:pStyle w:val="NoSpacing"/>
        <w:ind w:left="720" w:hanging="720"/>
        <w:rPr>
          <w:sz w:val="24"/>
          <w:szCs w:val="24"/>
        </w:rPr>
      </w:pPr>
      <w:r w:rsidRPr="003C1B99">
        <w:rPr>
          <w:sz w:val="24"/>
          <w:szCs w:val="24"/>
        </w:rPr>
        <w:t xml:space="preserve">French, K., and R. Roll, 1986, Stock return variances: the arrival of information and the reaction of traders, </w:t>
      </w:r>
      <w:r w:rsidRPr="00172FC0">
        <w:rPr>
          <w:i/>
          <w:iCs/>
          <w:sz w:val="24"/>
          <w:szCs w:val="24"/>
        </w:rPr>
        <w:t>Journal of Financial Economics</w:t>
      </w:r>
      <w:r w:rsidRPr="003C1B99">
        <w:rPr>
          <w:sz w:val="24"/>
          <w:szCs w:val="24"/>
        </w:rPr>
        <w:t xml:space="preserve"> 17, 5 – 26.</w:t>
      </w:r>
    </w:p>
    <w:p w14:paraId="302EC24A" w14:textId="77777777" w:rsidR="00673F93" w:rsidRPr="003C1B99" w:rsidRDefault="00673F93" w:rsidP="003C1B99">
      <w:pPr>
        <w:pStyle w:val="NoSpacing"/>
        <w:ind w:left="720" w:hanging="720"/>
        <w:rPr>
          <w:sz w:val="24"/>
          <w:szCs w:val="24"/>
        </w:rPr>
      </w:pPr>
      <w:r w:rsidRPr="003C1B99">
        <w:rPr>
          <w:sz w:val="24"/>
          <w:szCs w:val="24"/>
        </w:rPr>
        <w:t>Friedman, M. 1970, The social responsibility of business is to increase its profits, New York Times Magazine (13 September), 122 – 126.</w:t>
      </w:r>
    </w:p>
    <w:p w14:paraId="0CE057FE" w14:textId="77777777" w:rsidR="00673F93" w:rsidRPr="003C1B99" w:rsidRDefault="00673F93" w:rsidP="003C1B99">
      <w:pPr>
        <w:pStyle w:val="NoSpacing"/>
        <w:ind w:left="720" w:hanging="720"/>
        <w:rPr>
          <w:sz w:val="24"/>
          <w:szCs w:val="24"/>
        </w:rPr>
      </w:pPr>
      <w:r w:rsidRPr="003C1B99">
        <w:rPr>
          <w:sz w:val="24"/>
          <w:szCs w:val="24"/>
        </w:rPr>
        <w:t xml:space="preserve">Gao, F., L. L. Lisic, and I. Zhang, 2014, Commitment to social good and insider trading, </w:t>
      </w:r>
      <w:r w:rsidRPr="00172FC0">
        <w:rPr>
          <w:i/>
          <w:iCs/>
          <w:sz w:val="24"/>
          <w:szCs w:val="24"/>
        </w:rPr>
        <w:t>Journal of Accounting and Economics</w:t>
      </w:r>
      <w:r w:rsidRPr="003C1B99">
        <w:rPr>
          <w:sz w:val="24"/>
          <w:szCs w:val="24"/>
        </w:rPr>
        <w:t xml:space="preserve"> 57, 149 – 175.</w:t>
      </w:r>
    </w:p>
    <w:p w14:paraId="159C6D37" w14:textId="77777777" w:rsidR="00673F93" w:rsidRPr="003C1B99" w:rsidRDefault="00673F93" w:rsidP="003C1B99">
      <w:pPr>
        <w:pStyle w:val="NoSpacing"/>
        <w:ind w:left="720" w:hanging="720"/>
        <w:rPr>
          <w:sz w:val="24"/>
          <w:szCs w:val="24"/>
        </w:rPr>
      </w:pPr>
      <w:r w:rsidRPr="003C1B99">
        <w:rPr>
          <w:sz w:val="24"/>
          <w:szCs w:val="24"/>
        </w:rPr>
        <w:t xml:space="preserve">Gelb, D. S., and J. A. Strawser, 2001, Corporate social responsibility and financial disclosures: An alternative explanation for increased disclosure, </w:t>
      </w:r>
      <w:r w:rsidRPr="00172FC0">
        <w:rPr>
          <w:i/>
          <w:iCs/>
          <w:sz w:val="24"/>
          <w:szCs w:val="24"/>
        </w:rPr>
        <w:t>Journal of Business Ethics</w:t>
      </w:r>
      <w:r w:rsidRPr="003C1B99">
        <w:rPr>
          <w:sz w:val="24"/>
          <w:szCs w:val="24"/>
        </w:rPr>
        <w:t xml:space="preserve"> 33, 1 – 13.</w:t>
      </w:r>
    </w:p>
    <w:p w14:paraId="2D168477" w14:textId="77777777" w:rsidR="00673F93" w:rsidRPr="003C1B99" w:rsidRDefault="00673F93" w:rsidP="003C1B99">
      <w:pPr>
        <w:pStyle w:val="NoSpacing"/>
        <w:ind w:left="720" w:hanging="720"/>
        <w:rPr>
          <w:sz w:val="24"/>
          <w:szCs w:val="24"/>
        </w:rPr>
      </w:pPr>
      <w:r w:rsidRPr="003C1B99">
        <w:rPr>
          <w:sz w:val="24"/>
          <w:szCs w:val="24"/>
        </w:rPr>
        <w:t xml:space="preserve">Gelb, D., and P. Zarowin, 2002, Corporate disclosure policy and the informativeness of stock prices, </w:t>
      </w:r>
      <w:r w:rsidRPr="00172FC0">
        <w:rPr>
          <w:i/>
          <w:iCs/>
          <w:sz w:val="24"/>
          <w:szCs w:val="24"/>
        </w:rPr>
        <w:t>Review of Accounting Studies</w:t>
      </w:r>
      <w:r w:rsidRPr="003C1B99">
        <w:rPr>
          <w:sz w:val="24"/>
          <w:szCs w:val="24"/>
        </w:rPr>
        <w:t xml:space="preserve"> 7, 33 – 52.</w:t>
      </w:r>
    </w:p>
    <w:p w14:paraId="53E48685" w14:textId="77777777" w:rsidR="00673F93" w:rsidRPr="003C1B99" w:rsidRDefault="00673F93" w:rsidP="003C1B99">
      <w:pPr>
        <w:pStyle w:val="NoSpacing"/>
        <w:ind w:left="720" w:hanging="720"/>
        <w:rPr>
          <w:sz w:val="24"/>
          <w:szCs w:val="24"/>
        </w:rPr>
      </w:pPr>
      <w:r w:rsidRPr="003C1B99">
        <w:rPr>
          <w:sz w:val="24"/>
          <w:szCs w:val="24"/>
        </w:rPr>
        <w:lastRenderedPageBreak/>
        <w:t xml:space="preserve">Ghoul, S. E., O. Guedhami, C. C. Y. Kwok, and D. R. Mishra, 2011, Does corporate social responsibility affect the cost of </w:t>
      </w:r>
      <w:proofErr w:type="gramStart"/>
      <w:r w:rsidRPr="003C1B99">
        <w:rPr>
          <w:sz w:val="24"/>
          <w:szCs w:val="24"/>
        </w:rPr>
        <w:t>capital?,</w:t>
      </w:r>
      <w:proofErr w:type="gramEnd"/>
      <w:r w:rsidRPr="003C1B99">
        <w:rPr>
          <w:sz w:val="24"/>
          <w:szCs w:val="24"/>
        </w:rPr>
        <w:t xml:space="preserve"> </w:t>
      </w:r>
      <w:r w:rsidRPr="00172FC0">
        <w:rPr>
          <w:i/>
          <w:iCs/>
          <w:sz w:val="24"/>
          <w:szCs w:val="24"/>
        </w:rPr>
        <w:t>Journal of Banking and Finance</w:t>
      </w:r>
      <w:r w:rsidRPr="003C1B99">
        <w:rPr>
          <w:sz w:val="24"/>
          <w:szCs w:val="24"/>
        </w:rPr>
        <w:t xml:space="preserve"> 35, 2388 – 2406.</w:t>
      </w:r>
    </w:p>
    <w:p w14:paraId="01098C7D" w14:textId="77777777" w:rsidR="00673F93" w:rsidRPr="003C1B99" w:rsidRDefault="00673F93" w:rsidP="003C1B99">
      <w:pPr>
        <w:pStyle w:val="NoSpacing"/>
        <w:ind w:left="720" w:hanging="720"/>
        <w:rPr>
          <w:sz w:val="24"/>
          <w:szCs w:val="24"/>
        </w:rPr>
      </w:pPr>
      <w:r w:rsidRPr="003C1B99">
        <w:rPr>
          <w:sz w:val="24"/>
          <w:szCs w:val="24"/>
        </w:rPr>
        <w:t xml:space="preserve">Goss, A., and G. S. Roberts, 2011, The impact of corporate social responsibility on the cost of bank loans, </w:t>
      </w:r>
      <w:r w:rsidRPr="00172FC0">
        <w:rPr>
          <w:i/>
          <w:iCs/>
          <w:sz w:val="24"/>
          <w:szCs w:val="24"/>
        </w:rPr>
        <w:t>Journal of Banking and Finance</w:t>
      </w:r>
      <w:r w:rsidRPr="003C1B99">
        <w:rPr>
          <w:sz w:val="24"/>
          <w:szCs w:val="24"/>
        </w:rPr>
        <w:t xml:space="preserve"> 35, 1794 – 1810.</w:t>
      </w:r>
    </w:p>
    <w:p w14:paraId="665F47A9" w14:textId="77777777" w:rsidR="00673F93" w:rsidRPr="003C1B99" w:rsidRDefault="00673F93" w:rsidP="003C1B99">
      <w:pPr>
        <w:pStyle w:val="NoSpacing"/>
        <w:ind w:left="720" w:hanging="720"/>
        <w:rPr>
          <w:sz w:val="24"/>
          <w:szCs w:val="24"/>
        </w:rPr>
      </w:pPr>
      <w:r w:rsidRPr="003C1B99">
        <w:rPr>
          <w:sz w:val="24"/>
          <w:szCs w:val="24"/>
        </w:rPr>
        <w:t xml:space="preserve">Greening, D. W., and D. B. Turban, 2000, Corporate social performance as a competitive advantage in attracting a quality workforce, </w:t>
      </w:r>
      <w:r w:rsidRPr="00172FC0">
        <w:rPr>
          <w:i/>
          <w:iCs/>
          <w:sz w:val="24"/>
          <w:szCs w:val="24"/>
        </w:rPr>
        <w:t>Business and Society</w:t>
      </w:r>
      <w:r w:rsidRPr="003C1B99">
        <w:rPr>
          <w:sz w:val="24"/>
          <w:szCs w:val="24"/>
        </w:rPr>
        <w:t xml:space="preserve"> 39, 254 – 280.</w:t>
      </w:r>
    </w:p>
    <w:p w14:paraId="704D1DB2" w14:textId="77777777" w:rsidR="00673F93" w:rsidRPr="003C1B99" w:rsidRDefault="00673F93" w:rsidP="003C1B99">
      <w:pPr>
        <w:pStyle w:val="NoSpacing"/>
        <w:ind w:left="720" w:hanging="720"/>
        <w:rPr>
          <w:sz w:val="24"/>
          <w:szCs w:val="24"/>
        </w:rPr>
      </w:pPr>
      <w:r w:rsidRPr="003C1B99">
        <w:rPr>
          <w:sz w:val="24"/>
          <w:szCs w:val="24"/>
        </w:rPr>
        <w:t xml:space="preserve">Gregory, A., J. Whittaker, and X. Yan, 2016, Corporate social performance, competitive advantage, earnings persistence and firm value, </w:t>
      </w:r>
      <w:r w:rsidRPr="00172FC0">
        <w:rPr>
          <w:i/>
          <w:iCs/>
          <w:sz w:val="24"/>
          <w:szCs w:val="24"/>
        </w:rPr>
        <w:t>Journal of Business Finance and Accounting</w:t>
      </w:r>
      <w:r w:rsidRPr="003C1B99">
        <w:rPr>
          <w:sz w:val="24"/>
          <w:szCs w:val="24"/>
        </w:rPr>
        <w:t xml:space="preserve"> 43, 3 – 30.</w:t>
      </w:r>
    </w:p>
    <w:p w14:paraId="59793245" w14:textId="77777777" w:rsidR="00673F93" w:rsidRPr="003C1B99" w:rsidRDefault="00673F93" w:rsidP="003C1B99">
      <w:pPr>
        <w:pStyle w:val="NoSpacing"/>
        <w:ind w:left="720" w:hanging="720"/>
        <w:rPr>
          <w:sz w:val="24"/>
          <w:szCs w:val="24"/>
        </w:rPr>
      </w:pPr>
      <w:r w:rsidRPr="003C1B99">
        <w:rPr>
          <w:sz w:val="24"/>
          <w:szCs w:val="24"/>
        </w:rPr>
        <w:t xml:space="preserve">Grewal, J., C. Hauptmann, and G. Serafeim, 2017, Material sustainability and stock price informativeness, </w:t>
      </w:r>
      <w:r w:rsidRPr="00172FC0">
        <w:rPr>
          <w:i/>
          <w:iCs/>
          <w:sz w:val="24"/>
          <w:szCs w:val="24"/>
        </w:rPr>
        <w:t>Journal of Business Ethics</w:t>
      </w:r>
      <w:r w:rsidRPr="003C1B99">
        <w:rPr>
          <w:sz w:val="24"/>
          <w:szCs w:val="24"/>
        </w:rPr>
        <w:t>. https://0-doi-org.libus.csd.mu.edu/10.1007/s10551‐020‐04451‐2</w:t>
      </w:r>
    </w:p>
    <w:p w14:paraId="198A5D9B" w14:textId="77777777" w:rsidR="00673F93" w:rsidRPr="003C1B99" w:rsidRDefault="00673F93" w:rsidP="003C1B99">
      <w:pPr>
        <w:pStyle w:val="NoSpacing"/>
        <w:ind w:left="720" w:hanging="720"/>
        <w:rPr>
          <w:sz w:val="24"/>
          <w:szCs w:val="24"/>
        </w:rPr>
      </w:pPr>
      <w:r w:rsidRPr="003C1B99">
        <w:rPr>
          <w:sz w:val="24"/>
          <w:szCs w:val="24"/>
        </w:rPr>
        <w:t xml:space="preserve">Grossman, S., and J. Stiglitz, 1980, On the impossibility of informationally efficient markets, </w:t>
      </w:r>
      <w:r w:rsidRPr="00172FC0">
        <w:rPr>
          <w:i/>
          <w:iCs/>
          <w:sz w:val="24"/>
          <w:szCs w:val="24"/>
        </w:rPr>
        <w:t>American Economic Review</w:t>
      </w:r>
      <w:r w:rsidRPr="003C1B99">
        <w:rPr>
          <w:sz w:val="24"/>
          <w:szCs w:val="24"/>
        </w:rPr>
        <w:t xml:space="preserve"> 70, 393 – 408.</w:t>
      </w:r>
    </w:p>
    <w:p w14:paraId="6C35C34C" w14:textId="77777777" w:rsidR="00673F93" w:rsidRPr="003C1B99" w:rsidRDefault="00673F93" w:rsidP="003C1B99">
      <w:pPr>
        <w:pStyle w:val="NoSpacing"/>
        <w:ind w:left="720" w:hanging="720"/>
        <w:rPr>
          <w:sz w:val="24"/>
          <w:szCs w:val="24"/>
        </w:rPr>
      </w:pPr>
      <w:r w:rsidRPr="003C1B99">
        <w:rPr>
          <w:sz w:val="24"/>
          <w:szCs w:val="24"/>
        </w:rPr>
        <w:t xml:space="preserve">Gul, F. A., B. Srinidhi, and A. C. Ng, 2011, Does board gender diversity improve the informativeness of stock </w:t>
      </w:r>
      <w:proofErr w:type="gramStart"/>
      <w:r w:rsidRPr="003C1B99">
        <w:rPr>
          <w:sz w:val="24"/>
          <w:szCs w:val="24"/>
        </w:rPr>
        <w:t>prices?,</w:t>
      </w:r>
      <w:proofErr w:type="gramEnd"/>
      <w:r w:rsidRPr="003C1B99">
        <w:rPr>
          <w:sz w:val="24"/>
          <w:szCs w:val="24"/>
        </w:rPr>
        <w:t xml:space="preserve"> </w:t>
      </w:r>
      <w:r w:rsidRPr="00172FC0">
        <w:rPr>
          <w:i/>
          <w:iCs/>
          <w:sz w:val="24"/>
          <w:szCs w:val="24"/>
        </w:rPr>
        <w:t>Journal of Accounting and Economics</w:t>
      </w:r>
      <w:r w:rsidRPr="003C1B99">
        <w:rPr>
          <w:sz w:val="24"/>
          <w:szCs w:val="24"/>
        </w:rPr>
        <w:t xml:space="preserve"> 51, 314 – 338.</w:t>
      </w:r>
    </w:p>
    <w:p w14:paraId="65921918" w14:textId="77777777" w:rsidR="00673F93" w:rsidRPr="003C1B99" w:rsidRDefault="00673F93" w:rsidP="003C1B99">
      <w:pPr>
        <w:pStyle w:val="NoSpacing"/>
        <w:ind w:left="720" w:hanging="720"/>
        <w:rPr>
          <w:sz w:val="24"/>
          <w:szCs w:val="24"/>
        </w:rPr>
      </w:pPr>
      <w:r w:rsidRPr="003C1B99">
        <w:rPr>
          <w:sz w:val="24"/>
          <w:szCs w:val="24"/>
        </w:rPr>
        <w:t xml:space="preserve">Harjoto, H., and H. Jo, 2011, Corporate governance and CSR nexus, </w:t>
      </w:r>
      <w:r w:rsidRPr="00172FC0">
        <w:rPr>
          <w:i/>
          <w:iCs/>
          <w:sz w:val="24"/>
          <w:szCs w:val="24"/>
        </w:rPr>
        <w:t>Journal of Business Ethics</w:t>
      </w:r>
      <w:r w:rsidRPr="003C1B99">
        <w:rPr>
          <w:sz w:val="24"/>
          <w:szCs w:val="24"/>
        </w:rPr>
        <w:t xml:space="preserve"> 100, 45 – 67.</w:t>
      </w:r>
    </w:p>
    <w:p w14:paraId="30D98982" w14:textId="77777777" w:rsidR="00673F93" w:rsidRPr="003C1B99" w:rsidRDefault="00673F93" w:rsidP="003C1B99">
      <w:pPr>
        <w:pStyle w:val="NoSpacing"/>
        <w:ind w:left="720" w:hanging="720"/>
        <w:rPr>
          <w:sz w:val="24"/>
          <w:szCs w:val="24"/>
        </w:rPr>
      </w:pPr>
      <w:r w:rsidRPr="003C1B99">
        <w:rPr>
          <w:sz w:val="24"/>
          <w:szCs w:val="24"/>
        </w:rPr>
        <w:t>Harvard Business School (HBS), 2011, Conference on "Research in Corporate Accountability Reporting'. Available at: </w:t>
      </w:r>
      <w:hyperlink r:id="rId93" w:anchor="8208;corporate&amp;#8208;accountability&amp;#8208;reporting/Pages/default.aspx" w:history="1">
        <w:r w:rsidRPr="003C1B99">
          <w:rPr>
            <w:rStyle w:val="Hyperlink"/>
            <w:rFonts w:cstheme="minorHAnsi"/>
            <w:i/>
            <w:iCs/>
            <w:sz w:val="28"/>
            <w:szCs w:val="28"/>
          </w:rPr>
          <w:t>http://www.hbs.edu/faculty/conferences/2013&amp;#8208;corporate&amp;#8208;accountability&amp;#8208;reporting/Pages/default.aspx</w:t>
        </w:r>
      </w:hyperlink>
    </w:p>
    <w:p w14:paraId="247D0743" w14:textId="77777777" w:rsidR="00673F93" w:rsidRPr="003C1B99" w:rsidRDefault="00673F93" w:rsidP="003C1B99">
      <w:pPr>
        <w:pStyle w:val="NoSpacing"/>
        <w:ind w:left="720" w:hanging="720"/>
        <w:rPr>
          <w:sz w:val="24"/>
          <w:szCs w:val="24"/>
        </w:rPr>
      </w:pPr>
      <w:r w:rsidRPr="003C1B99">
        <w:rPr>
          <w:sz w:val="24"/>
          <w:szCs w:val="24"/>
        </w:rPr>
        <w:t xml:space="preserve">Hemingway, C. A., and P. W. Maclagan, 2004, Managers' personal values as drivers of corporate social responsibility, </w:t>
      </w:r>
      <w:r w:rsidRPr="00172FC0">
        <w:rPr>
          <w:i/>
          <w:iCs/>
          <w:sz w:val="24"/>
          <w:szCs w:val="24"/>
        </w:rPr>
        <w:t>Journal of Business Ethic</w:t>
      </w:r>
      <w:r w:rsidRPr="003C1B99">
        <w:rPr>
          <w:sz w:val="24"/>
          <w:szCs w:val="24"/>
        </w:rPr>
        <w:t xml:space="preserve"> 50, 33 – 44.</w:t>
      </w:r>
    </w:p>
    <w:p w14:paraId="6B8C504E" w14:textId="77777777" w:rsidR="00673F93" w:rsidRPr="003C1B99" w:rsidRDefault="00673F93" w:rsidP="003C1B99">
      <w:pPr>
        <w:pStyle w:val="NoSpacing"/>
        <w:ind w:left="720" w:hanging="720"/>
        <w:rPr>
          <w:sz w:val="24"/>
          <w:szCs w:val="24"/>
        </w:rPr>
      </w:pPr>
      <w:r w:rsidRPr="003C1B99">
        <w:rPr>
          <w:sz w:val="24"/>
          <w:szCs w:val="24"/>
        </w:rPr>
        <w:t xml:space="preserve">Hirshleifer, D., S. Lim, and S. H. Teoh, 2009, Driven to distraction: extraneous events and underreaction to earnings news, </w:t>
      </w:r>
      <w:r w:rsidRPr="00172FC0">
        <w:rPr>
          <w:i/>
          <w:iCs/>
          <w:sz w:val="24"/>
          <w:szCs w:val="24"/>
        </w:rPr>
        <w:t>Journal of Finance</w:t>
      </w:r>
      <w:r w:rsidRPr="003C1B99">
        <w:rPr>
          <w:sz w:val="24"/>
          <w:szCs w:val="24"/>
        </w:rPr>
        <w:t xml:space="preserve"> 64, 2289 – 2325.</w:t>
      </w:r>
    </w:p>
    <w:p w14:paraId="00F1BEAB" w14:textId="77777777" w:rsidR="00673F93" w:rsidRPr="003C1B99" w:rsidRDefault="00673F93" w:rsidP="003C1B99">
      <w:pPr>
        <w:pStyle w:val="NoSpacing"/>
        <w:ind w:left="720" w:hanging="720"/>
        <w:rPr>
          <w:sz w:val="24"/>
          <w:szCs w:val="24"/>
        </w:rPr>
      </w:pPr>
      <w:r w:rsidRPr="003C1B99">
        <w:rPr>
          <w:sz w:val="24"/>
          <w:szCs w:val="24"/>
        </w:rPr>
        <w:t xml:space="preserve">Hirshleifer, D., and S. H. Teoh, 2003, Limited attention, information disclosure, and financial reporting, </w:t>
      </w:r>
      <w:r w:rsidRPr="00172FC0">
        <w:rPr>
          <w:i/>
          <w:iCs/>
          <w:sz w:val="24"/>
          <w:szCs w:val="24"/>
        </w:rPr>
        <w:t>Journal of Accounting and Economics</w:t>
      </w:r>
      <w:r w:rsidRPr="003C1B99">
        <w:rPr>
          <w:sz w:val="24"/>
          <w:szCs w:val="24"/>
        </w:rPr>
        <w:t xml:space="preserve"> 36, 337 – 386.</w:t>
      </w:r>
    </w:p>
    <w:p w14:paraId="552C6330" w14:textId="77777777" w:rsidR="00673F93" w:rsidRPr="003C1B99" w:rsidRDefault="00673F93" w:rsidP="003C1B99">
      <w:pPr>
        <w:pStyle w:val="NoSpacing"/>
        <w:ind w:left="720" w:hanging="720"/>
        <w:rPr>
          <w:sz w:val="24"/>
          <w:szCs w:val="24"/>
        </w:rPr>
      </w:pPr>
      <w:r w:rsidRPr="003C1B99">
        <w:rPr>
          <w:sz w:val="24"/>
          <w:szCs w:val="24"/>
        </w:rPr>
        <w:t>Hong, H., J. D. Kubik, and J. A. Scheinkman, 2012, Financial constraints on corporate goodness, NBER Working paper No. 18476. Available at: </w:t>
      </w:r>
      <w:hyperlink r:id="rId94" w:history="1">
        <w:r w:rsidRPr="003C1B99">
          <w:rPr>
            <w:rStyle w:val="Hyperlink"/>
            <w:rFonts w:cstheme="minorHAnsi"/>
            <w:i/>
            <w:iCs/>
            <w:sz w:val="28"/>
            <w:szCs w:val="28"/>
          </w:rPr>
          <w:t>http://0-www-nber-org.libus.csd.mu.edu/papers/w18476.pdf</w:t>
        </w:r>
      </w:hyperlink>
    </w:p>
    <w:p w14:paraId="22E603B4" w14:textId="77777777" w:rsidR="00673F93" w:rsidRPr="003C1B99" w:rsidRDefault="00673F93" w:rsidP="003C1B99">
      <w:pPr>
        <w:pStyle w:val="NoSpacing"/>
        <w:ind w:left="720" w:hanging="720"/>
        <w:rPr>
          <w:sz w:val="24"/>
          <w:szCs w:val="24"/>
        </w:rPr>
      </w:pPr>
      <w:r w:rsidRPr="003C1B99">
        <w:rPr>
          <w:sz w:val="24"/>
          <w:szCs w:val="24"/>
        </w:rPr>
        <w:t xml:space="preserve">Jegadeesh, N., and S. Titman, 2001, Profitability of momentum strategies: an evaluation of alternative explanations, </w:t>
      </w:r>
      <w:r w:rsidRPr="00172FC0">
        <w:rPr>
          <w:i/>
          <w:iCs/>
          <w:sz w:val="24"/>
          <w:szCs w:val="24"/>
        </w:rPr>
        <w:t>Journal of Finance</w:t>
      </w:r>
      <w:r w:rsidRPr="003C1B99">
        <w:rPr>
          <w:sz w:val="24"/>
          <w:szCs w:val="24"/>
        </w:rPr>
        <w:t xml:space="preserve"> 56, 699 – 720.</w:t>
      </w:r>
    </w:p>
    <w:p w14:paraId="6D28D878" w14:textId="77777777" w:rsidR="00673F93" w:rsidRPr="003C1B99" w:rsidRDefault="00673F93" w:rsidP="003C1B99">
      <w:pPr>
        <w:pStyle w:val="NoSpacing"/>
        <w:ind w:left="720" w:hanging="720"/>
        <w:rPr>
          <w:sz w:val="24"/>
          <w:szCs w:val="24"/>
        </w:rPr>
      </w:pPr>
      <w:r w:rsidRPr="003C1B99">
        <w:rPr>
          <w:sz w:val="24"/>
          <w:szCs w:val="24"/>
        </w:rPr>
        <w:t xml:space="preserve">Jensen, M. C., 1986, Agency costs of free cash flow, corporate finance, and takeovers, </w:t>
      </w:r>
      <w:r w:rsidRPr="00172FC0">
        <w:rPr>
          <w:i/>
          <w:iCs/>
          <w:sz w:val="24"/>
          <w:szCs w:val="24"/>
        </w:rPr>
        <w:t>The American Economic Review</w:t>
      </w:r>
      <w:r w:rsidRPr="003C1B99">
        <w:rPr>
          <w:sz w:val="24"/>
          <w:szCs w:val="24"/>
        </w:rPr>
        <w:t xml:space="preserve"> 76, 323 – 329.</w:t>
      </w:r>
    </w:p>
    <w:p w14:paraId="530569C1" w14:textId="77777777" w:rsidR="00673F93" w:rsidRPr="003C1B99" w:rsidRDefault="00673F93" w:rsidP="003C1B99">
      <w:pPr>
        <w:pStyle w:val="NoSpacing"/>
        <w:ind w:left="720" w:hanging="720"/>
        <w:rPr>
          <w:sz w:val="24"/>
          <w:szCs w:val="24"/>
        </w:rPr>
      </w:pPr>
      <w:r w:rsidRPr="003C1B99">
        <w:rPr>
          <w:sz w:val="24"/>
          <w:szCs w:val="24"/>
        </w:rPr>
        <w:t xml:space="preserve">Jensen, M. C., 2001, Value maximization, stakeholder theory, and the corporate objective function, </w:t>
      </w:r>
      <w:r w:rsidRPr="00172FC0">
        <w:rPr>
          <w:i/>
          <w:iCs/>
          <w:sz w:val="24"/>
          <w:szCs w:val="24"/>
        </w:rPr>
        <w:t>Journal of Applied Corporate Finance</w:t>
      </w:r>
      <w:r w:rsidRPr="003C1B99">
        <w:rPr>
          <w:sz w:val="24"/>
          <w:szCs w:val="24"/>
        </w:rPr>
        <w:t xml:space="preserve"> 14, 8 – 21.</w:t>
      </w:r>
    </w:p>
    <w:p w14:paraId="11B6FC30" w14:textId="77777777" w:rsidR="00673F93" w:rsidRPr="003C1B99" w:rsidRDefault="00673F93" w:rsidP="003C1B99">
      <w:pPr>
        <w:pStyle w:val="NoSpacing"/>
        <w:ind w:left="720" w:hanging="720"/>
        <w:rPr>
          <w:sz w:val="24"/>
          <w:szCs w:val="24"/>
        </w:rPr>
      </w:pPr>
      <w:r w:rsidRPr="003C1B99">
        <w:rPr>
          <w:sz w:val="24"/>
          <w:szCs w:val="24"/>
        </w:rPr>
        <w:t xml:space="preserve">Jin, L., and S. C. Myers, 2006, R 2 around the world: </w:t>
      </w:r>
      <w:proofErr w:type="gramStart"/>
      <w:r w:rsidRPr="003C1B99">
        <w:rPr>
          <w:sz w:val="24"/>
          <w:szCs w:val="24"/>
        </w:rPr>
        <w:t>New</w:t>
      </w:r>
      <w:proofErr w:type="gramEnd"/>
      <w:r w:rsidRPr="003C1B99">
        <w:rPr>
          <w:sz w:val="24"/>
          <w:szCs w:val="24"/>
        </w:rPr>
        <w:t xml:space="preserve"> theory and new tests, </w:t>
      </w:r>
      <w:r w:rsidRPr="00172FC0">
        <w:rPr>
          <w:i/>
          <w:iCs/>
          <w:sz w:val="24"/>
          <w:szCs w:val="24"/>
        </w:rPr>
        <w:t>Journal of Financial Economics</w:t>
      </w:r>
      <w:r w:rsidRPr="003C1B99">
        <w:rPr>
          <w:sz w:val="24"/>
          <w:szCs w:val="24"/>
        </w:rPr>
        <w:t xml:space="preserve"> 79, 257 – 292.</w:t>
      </w:r>
    </w:p>
    <w:p w14:paraId="33F58692" w14:textId="77777777" w:rsidR="00673F93" w:rsidRPr="003C1B99" w:rsidRDefault="00673F93" w:rsidP="003C1B99">
      <w:pPr>
        <w:pStyle w:val="NoSpacing"/>
        <w:ind w:left="720" w:hanging="720"/>
        <w:rPr>
          <w:sz w:val="24"/>
          <w:szCs w:val="24"/>
        </w:rPr>
      </w:pPr>
      <w:r w:rsidRPr="003C1B99">
        <w:rPr>
          <w:sz w:val="24"/>
          <w:szCs w:val="24"/>
        </w:rPr>
        <w:t xml:space="preserve">Jones, J. J., 1991, Earnings management during import relief investigations, </w:t>
      </w:r>
      <w:r w:rsidRPr="00172FC0">
        <w:rPr>
          <w:i/>
          <w:iCs/>
          <w:sz w:val="24"/>
          <w:szCs w:val="24"/>
        </w:rPr>
        <w:t>Journal of Accounting Research</w:t>
      </w:r>
      <w:r w:rsidRPr="003C1B99">
        <w:rPr>
          <w:sz w:val="24"/>
          <w:szCs w:val="24"/>
        </w:rPr>
        <w:t xml:space="preserve"> 29, 193 – 228.</w:t>
      </w:r>
    </w:p>
    <w:p w14:paraId="6D384D4D" w14:textId="77777777" w:rsidR="00673F93" w:rsidRPr="003C1B99" w:rsidRDefault="00673F93" w:rsidP="003C1B99">
      <w:pPr>
        <w:pStyle w:val="NoSpacing"/>
        <w:ind w:left="720" w:hanging="720"/>
        <w:rPr>
          <w:sz w:val="24"/>
          <w:szCs w:val="24"/>
        </w:rPr>
      </w:pPr>
      <w:r w:rsidRPr="003C1B99">
        <w:rPr>
          <w:sz w:val="24"/>
          <w:szCs w:val="24"/>
        </w:rPr>
        <w:t xml:space="preserve">Jones, T., 1995, Instrumental stakeholder theory: A synthesis of ethics and economics, </w:t>
      </w:r>
      <w:r w:rsidRPr="00172FC0">
        <w:rPr>
          <w:i/>
          <w:iCs/>
          <w:sz w:val="24"/>
          <w:szCs w:val="24"/>
        </w:rPr>
        <w:t>The Academy of Management Review</w:t>
      </w:r>
      <w:r w:rsidRPr="003C1B99">
        <w:rPr>
          <w:sz w:val="24"/>
          <w:szCs w:val="24"/>
        </w:rPr>
        <w:t xml:space="preserve"> 20, 404 – 437.</w:t>
      </w:r>
    </w:p>
    <w:p w14:paraId="23FA8101" w14:textId="77777777" w:rsidR="00673F93" w:rsidRPr="003C1B99" w:rsidRDefault="00673F93" w:rsidP="003C1B99">
      <w:pPr>
        <w:pStyle w:val="NoSpacing"/>
        <w:ind w:left="720" w:hanging="720"/>
        <w:rPr>
          <w:sz w:val="24"/>
          <w:szCs w:val="24"/>
        </w:rPr>
      </w:pPr>
      <w:r w:rsidRPr="003C1B99">
        <w:rPr>
          <w:sz w:val="24"/>
          <w:szCs w:val="24"/>
        </w:rPr>
        <w:t xml:space="preserve">Jones, C. M., and O. A. Lamont, 2002, Short‐sale constraints and stock returns, </w:t>
      </w:r>
      <w:r w:rsidRPr="00172FC0">
        <w:rPr>
          <w:i/>
          <w:iCs/>
          <w:sz w:val="24"/>
          <w:szCs w:val="24"/>
        </w:rPr>
        <w:t>Journal of Financial Economics</w:t>
      </w:r>
      <w:r w:rsidRPr="003C1B99">
        <w:rPr>
          <w:sz w:val="24"/>
          <w:szCs w:val="24"/>
        </w:rPr>
        <w:t xml:space="preserve"> 66, 207 – 239.</w:t>
      </w:r>
    </w:p>
    <w:p w14:paraId="5C33CAEB" w14:textId="77777777" w:rsidR="00673F93" w:rsidRPr="003C1B99" w:rsidRDefault="00673F93" w:rsidP="003C1B99">
      <w:pPr>
        <w:pStyle w:val="NoSpacing"/>
        <w:ind w:left="720" w:hanging="720"/>
        <w:rPr>
          <w:sz w:val="24"/>
          <w:szCs w:val="24"/>
        </w:rPr>
      </w:pPr>
      <w:r w:rsidRPr="003C1B99">
        <w:rPr>
          <w:sz w:val="24"/>
          <w:szCs w:val="24"/>
        </w:rPr>
        <w:t xml:space="preserve">Jones, S., and C. Wright, 2016, Fashion or future: does creating shared value </w:t>
      </w:r>
      <w:proofErr w:type="gramStart"/>
      <w:r w:rsidRPr="003C1B99">
        <w:rPr>
          <w:sz w:val="24"/>
          <w:szCs w:val="24"/>
        </w:rPr>
        <w:t>pay?,</w:t>
      </w:r>
      <w:proofErr w:type="gramEnd"/>
      <w:r w:rsidRPr="003C1B99">
        <w:rPr>
          <w:sz w:val="24"/>
          <w:szCs w:val="24"/>
        </w:rPr>
        <w:t xml:space="preserve"> </w:t>
      </w:r>
      <w:r w:rsidRPr="00172FC0">
        <w:rPr>
          <w:i/>
          <w:iCs/>
          <w:sz w:val="24"/>
          <w:szCs w:val="24"/>
        </w:rPr>
        <w:t>Accounting and Finance</w:t>
      </w:r>
      <w:r w:rsidRPr="003C1B99">
        <w:rPr>
          <w:sz w:val="24"/>
          <w:szCs w:val="24"/>
        </w:rPr>
        <w:t xml:space="preserve"> 58, 1111 – 1139.</w:t>
      </w:r>
    </w:p>
    <w:p w14:paraId="49FC851E" w14:textId="77777777" w:rsidR="00673F93" w:rsidRPr="003C1B99" w:rsidRDefault="00673F93" w:rsidP="003C1B99">
      <w:pPr>
        <w:pStyle w:val="NoSpacing"/>
        <w:ind w:left="720" w:hanging="720"/>
        <w:rPr>
          <w:sz w:val="24"/>
          <w:szCs w:val="24"/>
        </w:rPr>
      </w:pPr>
      <w:r w:rsidRPr="003C1B99">
        <w:rPr>
          <w:sz w:val="24"/>
          <w:szCs w:val="24"/>
        </w:rPr>
        <w:lastRenderedPageBreak/>
        <w:t xml:space="preserve">Kim, O., and R. E. Verrecchia, 1997, Pre‐announcement and event‐period private information, </w:t>
      </w:r>
      <w:r w:rsidRPr="00C206C4">
        <w:rPr>
          <w:i/>
          <w:iCs/>
          <w:sz w:val="24"/>
          <w:szCs w:val="24"/>
        </w:rPr>
        <w:t xml:space="preserve">Journal of Accounting and Economics </w:t>
      </w:r>
      <w:r w:rsidRPr="003C1B99">
        <w:rPr>
          <w:sz w:val="24"/>
          <w:szCs w:val="24"/>
        </w:rPr>
        <w:t>24, 395 – 419.</w:t>
      </w:r>
    </w:p>
    <w:p w14:paraId="778BB161" w14:textId="77777777" w:rsidR="00673F93" w:rsidRPr="003C1B99" w:rsidRDefault="00673F93" w:rsidP="003C1B99">
      <w:pPr>
        <w:pStyle w:val="NoSpacing"/>
        <w:ind w:left="720" w:hanging="720"/>
        <w:rPr>
          <w:sz w:val="24"/>
          <w:szCs w:val="24"/>
        </w:rPr>
      </w:pPr>
      <w:r w:rsidRPr="003C1B99">
        <w:rPr>
          <w:sz w:val="24"/>
          <w:szCs w:val="24"/>
        </w:rPr>
        <w:t xml:space="preserve">Kim, Y., M. S. Park, and B. Wier, 2012, Is earnings quality associated with corporate social </w:t>
      </w:r>
      <w:proofErr w:type="gramStart"/>
      <w:r w:rsidRPr="003C1B99">
        <w:rPr>
          <w:sz w:val="24"/>
          <w:szCs w:val="24"/>
        </w:rPr>
        <w:t>responsibility?,</w:t>
      </w:r>
      <w:proofErr w:type="gramEnd"/>
      <w:r w:rsidRPr="003C1B99">
        <w:rPr>
          <w:sz w:val="24"/>
          <w:szCs w:val="24"/>
        </w:rPr>
        <w:t xml:space="preserve"> </w:t>
      </w:r>
      <w:r w:rsidRPr="00C206C4">
        <w:rPr>
          <w:i/>
          <w:iCs/>
          <w:sz w:val="24"/>
          <w:szCs w:val="24"/>
        </w:rPr>
        <w:t xml:space="preserve">The Accounting Review </w:t>
      </w:r>
      <w:r w:rsidRPr="003C1B99">
        <w:rPr>
          <w:sz w:val="24"/>
          <w:szCs w:val="24"/>
        </w:rPr>
        <w:t>87, 761 – 796.</w:t>
      </w:r>
    </w:p>
    <w:p w14:paraId="4520BC24" w14:textId="77777777" w:rsidR="00673F93" w:rsidRPr="003C1B99" w:rsidRDefault="00673F93" w:rsidP="003C1B99">
      <w:pPr>
        <w:pStyle w:val="NoSpacing"/>
        <w:ind w:left="720" w:hanging="720"/>
        <w:rPr>
          <w:sz w:val="24"/>
          <w:szCs w:val="24"/>
        </w:rPr>
      </w:pPr>
      <w:r w:rsidRPr="003C1B99">
        <w:rPr>
          <w:sz w:val="24"/>
          <w:szCs w:val="24"/>
        </w:rPr>
        <w:t xml:space="preserve">Kim, Y., H. Li, and S. Li, 2014, Corporate social responsibility and stock price crash risk, </w:t>
      </w:r>
      <w:r w:rsidRPr="00C206C4">
        <w:rPr>
          <w:i/>
          <w:iCs/>
          <w:sz w:val="24"/>
          <w:szCs w:val="24"/>
        </w:rPr>
        <w:t xml:space="preserve">Journal of Banking and Finance </w:t>
      </w:r>
      <w:r w:rsidRPr="003C1B99">
        <w:rPr>
          <w:sz w:val="24"/>
          <w:szCs w:val="24"/>
        </w:rPr>
        <w:t>43, 1 – 13.</w:t>
      </w:r>
    </w:p>
    <w:p w14:paraId="13DE8C1E" w14:textId="77777777" w:rsidR="00673F93" w:rsidRPr="003C1B99" w:rsidRDefault="00673F93" w:rsidP="003C1B99">
      <w:pPr>
        <w:pStyle w:val="NoSpacing"/>
        <w:ind w:left="720" w:hanging="720"/>
        <w:rPr>
          <w:sz w:val="24"/>
          <w:szCs w:val="24"/>
        </w:rPr>
      </w:pPr>
      <w:r w:rsidRPr="003C1B99">
        <w:rPr>
          <w:sz w:val="24"/>
          <w:szCs w:val="24"/>
        </w:rPr>
        <w:t xml:space="preserve">Kothari, S. P., and R. G. Sloan, 1992, Information in prices about future earnings: Implications for earnings response coefficients, </w:t>
      </w:r>
      <w:r w:rsidRPr="00C206C4">
        <w:rPr>
          <w:i/>
          <w:iCs/>
          <w:sz w:val="24"/>
          <w:szCs w:val="24"/>
        </w:rPr>
        <w:t xml:space="preserve">Journal of Accounting and Economics </w:t>
      </w:r>
      <w:r w:rsidRPr="003C1B99">
        <w:rPr>
          <w:sz w:val="24"/>
          <w:szCs w:val="24"/>
        </w:rPr>
        <w:t>15, 143 – 171.</w:t>
      </w:r>
    </w:p>
    <w:p w14:paraId="5BB228F9" w14:textId="77777777" w:rsidR="00673F93" w:rsidRPr="003C1B99" w:rsidRDefault="00673F93" w:rsidP="003C1B99">
      <w:pPr>
        <w:pStyle w:val="NoSpacing"/>
        <w:ind w:left="720" w:hanging="720"/>
        <w:rPr>
          <w:sz w:val="24"/>
          <w:szCs w:val="24"/>
        </w:rPr>
      </w:pPr>
      <w:r w:rsidRPr="003C1B99">
        <w:rPr>
          <w:sz w:val="24"/>
          <w:szCs w:val="24"/>
        </w:rPr>
        <w:t xml:space="preserve">Kruger, P., 2015, Corporate goodness and shareholder wealth, </w:t>
      </w:r>
      <w:r w:rsidRPr="00C206C4">
        <w:rPr>
          <w:i/>
          <w:iCs/>
          <w:sz w:val="24"/>
          <w:szCs w:val="24"/>
        </w:rPr>
        <w:t xml:space="preserve">Journal of Financial Economics </w:t>
      </w:r>
      <w:r w:rsidRPr="003C1B99">
        <w:rPr>
          <w:sz w:val="24"/>
          <w:szCs w:val="24"/>
        </w:rPr>
        <w:t>115, 304 – 329.</w:t>
      </w:r>
    </w:p>
    <w:p w14:paraId="5CDABCA2" w14:textId="77777777" w:rsidR="00673F93" w:rsidRPr="003C1B99" w:rsidRDefault="00673F93" w:rsidP="003C1B99">
      <w:pPr>
        <w:pStyle w:val="NoSpacing"/>
        <w:ind w:left="720" w:hanging="720"/>
        <w:rPr>
          <w:sz w:val="24"/>
          <w:szCs w:val="24"/>
        </w:rPr>
      </w:pPr>
      <w:r w:rsidRPr="003C1B99">
        <w:rPr>
          <w:sz w:val="24"/>
          <w:szCs w:val="24"/>
        </w:rPr>
        <w:t xml:space="preserve">Lee, C. M. C., P. Ma, and C. C. Y. Wang, 2015, Search based peer firms: Aggregating investor perceptions through internet co‐searches, </w:t>
      </w:r>
      <w:r w:rsidRPr="00C206C4">
        <w:rPr>
          <w:i/>
          <w:iCs/>
          <w:sz w:val="24"/>
          <w:szCs w:val="24"/>
        </w:rPr>
        <w:t xml:space="preserve">Journal of Financial Economics </w:t>
      </w:r>
      <w:r w:rsidRPr="003C1B99">
        <w:rPr>
          <w:sz w:val="24"/>
          <w:szCs w:val="24"/>
        </w:rPr>
        <w:t>116, 410 – 431.</w:t>
      </w:r>
    </w:p>
    <w:p w14:paraId="4E838D6F" w14:textId="77777777" w:rsidR="00673F93" w:rsidRPr="003C1B99" w:rsidRDefault="00673F93" w:rsidP="003C1B99">
      <w:pPr>
        <w:pStyle w:val="NoSpacing"/>
        <w:ind w:left="720" w:hanging="720"/>
        <w:rPr>
          <w:sz w:val="24"/>
          <w:szCs w:val="24"/>
        </w:rPr>
      </w:pPr>
      <w:r w:rsidRPr="003C1B99">
        <w:rPr>
          <w:sz w:val="24"/>
          <w:szCs w:val="24"/>
        </w:rPr>
        <w:t>Levitt, T., 1958, The Dangers of Social Responsibility. (</w:t>
      </w:r>
      <w:r w:rsidRPr="00C206C4">
        <w:rPr>
          <w:i/>
          <w:iCs/>
          <w:sz w:val="24"/>
          <w:szCs w:val="24"/>
        </w:rPr>
        <w:t>Harvard Business Review</w:t>
      </w:r>
      <w:r w:rsidRPr="003C1B99">
        <w:rPr>
          <w:sz w:val="24"/>
          <w:szCs w:val="24"/>
        </w:rPr>
        <w:t>), 41 – 50.</w:t>
      </w:r>
    </w:p>
    <w:p w14:paraId="27D5BB76" w14:textId="77777777" w:rsidR="00673F93" w:rsidRPr="003C1B99" w:rsidRDefault="00673F93" w:rsidP="003C1B99">
      <w:pPr>
        <w:pStyle w:val="NoSpacing"/>
        <w:ind w:left="720" w:hanging="720"/>
        <w:rPr>
          <w:sz w:val="24"/>
          <w:szCs w:val="24"/>
        </w:rPr>
      </w:pPr>
      <w:r w:rsidRPr="003C1B99">
        <w:rPr>
          <w:sz w:val="24"/>
          <w:szCs w:val="24"/>
        </w:rPr>
        <w:t xml:space="preserve">Li, E. X., and K. Ramesh, 2009, Market reaction surrounding the filing of periodic SEC reports, </w:t>
      </w:r>
      <w:r w:rsidRPr="00C206C4">
        <w:rPr>
          <w:i/>
          <w:iCs/>
          <w:sz w:val="24"/>
          <w:szCs w:val="24"/>
        </w:rPr>
        <w:t xml:space="preserve">The Accounting Review </w:t>
      </w:r>
      <w:r w:rsidRPr="003C1B99">
        <w:rPr>
          <w:sz w:val="24"/>
          <w:szCs w:val="24"/>
        </w:rPr>
        <w:t>84, 1171 – 1208.</w:t>
      </w:r>
    </w:p>
    <w:p w14:paraId="4D855311" w14:textId="77777777" w:rsidR="00673F93" w:rsidRPr="003C1B99" w:rsidRDefault="00673F93" w:rsidP="003C1B99">
      <w:pPr>
        <w:pStyle w:val="NoSpacing"/>
        <w:ind w:left="720" w:hanging="720"/>
        <w:rPr>
          <w:sz w:val="24"/>
          <w:szCs w:val="24"/>
        </w:rPr>
      </w:pPr>
      <w:r w:rsidRPr="003C1B99">
        <w:rPr>
          <w:sz w:val="24"/>
          <w:szCs w:val="24"/>
        </w:rPr>
        <w:t xml:space="preserve">Li, B., S. Rajgopal, and M. Venkatachalam, 2014, R2 and idiosyncratic risk are not interchangeable, </w:t>
      </w:r>
      <w:r w:rsidRPr="00C206C4">
        <w:rPr>
          <w:i/>
          <w:iCs/>
          <w:sz w:val="24"/>
          <w:szCs w:val="24"/>
        </w:rPr>
        <w:t>The Accounting Review</w:t>
      </w:r>
      <w:r w:rsidRPr="003C1B99">
        <w:rPr>
          <w:sz w:val="24"/>
          <w:szCs w:val="24"/>
        </w:rPr>
        <w:t xml:space="preserve"> 89, 2261 – 2295.</w:t>
      </w:r>
    </w:p>
    <w:p w14:paraId="0ED08BAB" w14:textId="77777777" w:rsidR="00673F93" w:rsidRPr="003C1B99" w:rsidRDefault="00673F93" w:rsidP="003C1B99">
      <w:pPr>
        <w:pStyle w:val="NoSpacing"/>
        <w:ind w:left="720" w:hanging="720"/>
        <w:rPr>
          <w:sz w:val="24"/>
          <w:szCs w:val="24"/>
        </w:rPr>
      </w:pPr>
      <w:r w:rsidRPr="003C1B99">
        <w:rPr>
          <w:sz w:val="24"/>
          <w:szCs w:val="24"/>
        </w:rPr>
        <w:t xml:space="preserve">Lins, K. V., H. Servaes, and A. N. E. Tamayo, 2017, Social capital, trust, and firm performance: The value of corporate social responsibility during the financial crisis, </w:t>
      </w:r>
      <w:r w:rsidRPr="00C206C4">
        <w:rPr>
          <w:i/>
          <w:iCs/>
          <w:sz w:val="24"/>
          <w:szCs w:val="24"/>
        </w:rPr>
        <w:t xml:space="preserve">Journal of Finance </w:t>
      </w:r>
      <w:r w:rsidRPr="003C1B99">
        <w:rPr>
          <w:sz w:val="24"/>
          <w:szCs w:val="24"/>
        </w:rPr>
        <w:t>72, 1785 – 1824.</w:t>
      </w:r>
    </w:p>
    <w:p w14:paraId="718AE673" w14:textId="77777777" w:rsidR="00673F93" w:rsidRPr="003C1B99" w:rsidRDefault="00673F93" w:rsidP="003C1B99">
      <w:pPr>
        <w:pStyle w:val="NoSpacing"/>
        <w:ind w:left="720" w:hanging="720"/>
        <w:rPr>
          <w:sz w:val="24"/>
          <w:szCs w:val="24"/>
        </w:rPr>
      </w:pPr>
      <w:r w:rsidRPr="003C1B99">
        <w:rPr>
          <w:sz w:val="24"/>
          <w:szCs w:val="24"/>
        </w:rPr>
        <w:t>Loughran, T., and B. McDonald, 2015, Information decay and financial disclosures, Working paper (University of Notre Dame).</w:t>
      </w:r>
    </w:p>
    <w:p w14:paraId="78B7C6FB" w14:textId="77777777" w:rsidR="00673F93" w:rsidRPr="003C1B99" w:rsidRDefault="00673F93" w:rsidP="003C1B99">
      <w:pPr>
        <w:pStyle w:val="NoSpacing"/>
        <w:ind w:left="720" w:hanging="720"/>
        <w:rPr>
          <w:sz w:val="24"/>
          <w:szCs w:val="24"/>
        </w:rPr>
      </w:pPr>
      <w:r w:rsidRPr="003C1B99">
        <w:rPr>
          <w:sz w:val="24"/>
          <w:szCs w:val="24"/>
        </w:rPr>
        <w:t xml:space="preserve">Lys, T., J. P. Naughton, and C. Wang, 2015, Signaling through corporate accountability reporting, </w:t>
      </w:r>
      <w:r w:rsidRPr="00C206C4">
        <w:rPr>
          <w:i/>
          <w:iCs/>
          <w:sz w:val="24"/>
          <w:szCs w:val="24"/>
        </w:rPr>
        <w:t xml:space="preserve">Journal of Accounting and Economics </w:t>
      </w:r>
      <w:r w:rsidRPr="003C1B99">
        <w:rPr>
          <w:sz w:val="24"/>
          <w:szCs w:val="24"/>
        </w:rPr>
        <w:t>60, 56 – 72.</w:t>
      </w:r>
    </w:p>
    <w:p w14:paraId="3D59791B" w14:textId="77777777" w:rsidR="00673F93" w:rsidRPr="003C1B99" w:rsidRDefault="00673F93" w:rsidP="003C1B99">
      <w:pPr>
        <w:pStyle w:val="NoSpacing"/>
        <w:ind w:left="720" w:hanging="720"/>
        <w:rPr>
          <w:sz w:val="24"/>
          <w:szCs w:val="24"/>
        </w:rPr>
      </w:pPr>
      <w:r w:rsidRPr="003C1B99">
        <w:rPr>
          <w:sz w:val="24"/>
          <w:szCs w:val="24"/>
        </w:rPr>
        <w:t>Margolis, J. D., H. A. Elfenbein, and J. P. Walsh, 2007, Does it pay to be good? A meta‐analysis and redirection of research on the relationship between corporate social and financial performance, Working paper (Harvard Business School).</w:t>
      </w:r>
    </w:p>
    <w:p w14:paraId="2C87C645" w14:textId="77777777" w:rsidR="00673F93" w:rsidRPr="003C1B99" w:rsidRDefault="00673F93" w:rsidP="003C1B99">
      <w:pPr>
        <w:pStyle w:val="NoSpacing"/>
        <w:ind w:left="720" w:hanging="720"/>
        <w:rPr>
          <w:sz w:val="24"/>
          <w:szCs w:val="24"/>
        </w:rPr>
      </w:pPr>
      <w:r w:rsidRPr="003C1B99">
        <w:rPr>
          <w:sz w:val="24"/>
          <w:szCs w:val="24"/>
        </w:rPr>
        <w:t xml:space="preserve">McNichols, M., and B. Trueman, 1994, Public disclosure, private information collection, and short‐term trading, </w:t>
      </w:r>
      <w:r w:rsidRPr="00C206C4">
        <w:rPr>
          <w:i/>
          <w:iCs/>
          <w:sz w:val="24"/>
          <w:szCs w:val="24"/>
        </w:rPr>
        <w:t xml:space="preserve">Journal of Accounting and Economics </w:t>
      </w:r>
      <w:r w:rsidRPr="003C1B99">
        <w:rPr>
          <w:sz w:val="24"/>
          <w:szCs w:val="24"/>
        </w:rPr>
        <w:t>17, 69 – 94.</w:t>
      </w:r>
    </w:p>
    <w:p w14:paraId="6FCE0727" w14:textId="77777777" w:rsidR="00673F93" w:rsidRPr="003C1B99" w:rsidRDefault="00673F93" w:rsidP="003C1B99">
      <w:pPr>
        <w:pStyle w:val="NoSpacing"/>
        <w:ind w:left="720" w:hanging="720"/>
        <w:rPr>
          <w:sz w:val="24"/>
          <w:szCs w:val="24"/>
        </w:rPr>
      </w:pPr>
      <w:r w:rsidRPr="003C1B99">
        <w:rPr>
          <w:sz w:val="24"/>
          <w:szCs w:val="24"/>
        </w:rPr>
        <w:t xml:space="preserve">McWilliams, A., and D. Siegel, 2001, Corporate social responsibility: a theory of the firm perspective, </w:t>
      </w:r>
      <w:r w:rsidRPr="00C206C4">
        <w:rPr>
          <w:i/>
          <w:iCs/>
          <w:sz w:val="24"/>
          <w:szCs w:val="24"/>
        </w:rPr>
        <w:t xml:space="preserve">The Academy of Management Review </w:t>
      </w:r>
      <w:r w:rsidRPr="003C1B99">
        <w:rPr>
          <w:sz w:val="24"/>
          <w:szCs w:val="24"/>
        </w:rPr>
        <w:t>26, 117 – 127.</w:t>
      </w:r>
    </w:p>
    <w:p w14:paraId="4DF544F3" w14:textId="77777777" w:rsidR="00673F93" w:rsidRPr="003C1B99" w:rsidRDefault="00673F93" w:rsidP="003C1B99">
      <w:pPr>
        <w:pStyle w:val="NoSpacing"/>
        <w:ind w:left="720" w:hanging="720"/>
        <w:rPr>
          <w:sz w:val="24"/>
          <w:szCs w:val="24"/>
        </w:rPr>
      </w:pPr>
      <w:r w:rsidRPr="003C1B99">
        <w:rPr>
          <w:sz w:val="24"/>
          <w:szCs w:val="24"/>
        </w:rPr>
        <w:t xml:space="preserve">Morck, R., B. Yeung, and W. Yu, 2000, The information content of stock markets: Why do emerging markets have synchronous stock price </w:t>
      </w:r>
      <w:proofErr w:type="gramStart"/>
      <w:r w:rsidRPr="003C1B99">
        <w:rPr>
          <w:sz w:val="24"/>
          <w:szCs w:val="24"/>
        </w:rPr>
        <w:t>movements?,</w:t>
      </w:r>
      <w:proofErr w:type="gramEnd"/>
      <w:r w:rsidRPr="003C1B99">
        <w:rPr>
          <w:sz w:val="24"/>
          <w:szCs w:val="24"/>
        </w:rPr>
        <w:t xml:space="preserve"> </w:t>
      </w:r>
      <w:r w:rsidRPr="00C206C4">
        <w:rPr>
          <w:i/>
          <w:iCs/>
          <w:sz w:val="24"/>
          <w:szCs w:val="24"/>
        </w:rPr>
        <w:t xml:space="preserve">Journal of Financial Economics </w:t>
      </w:r>
      <w:r w:rsidRPr="003C1B99">
        <w:rPr>
          <w:sz w:val="24"/>
          <w:szCs w:val="24"/>
        </w:rPr>
        <w:t>58, 215 – 260.</w:t>
      </w:r>
    </w:p>
    <w:p w14:paraId="5562F9C4" w14:textId="77777777" w:rsidR="00673F93" w:rsidRPr="003C1B99" w:rsidRDefault="00673F93" w:rsidP="003C1B99">
      <w:pPr>
        <w:pStyle w:val="NoSpacing"/>
        <w:ind w:left="720" w:hanging="720"/>
        <w:rPr>
          <w:sz w:val="24"/>
          <w:szCs w:val="24"/>
        </w:rPr>
      </w:pPr>
      <w:r w:rsidRPr="003C1B99">
        <w:rPr>
          <w:sz w:val="24"/>
          <w:szCs w:val="24"/>
        </w:rPr>
        <w:t xml:space="preserve">Murphy, K. J., 1999, Executive compensation, in: O. C. Ashenfelter, D. Card, eds., </w:t>
      </w:r>
      <w:r w:rsidRPr="00C206C4">
        <w:rPr>
          <w:i/>
          <w:iCs/>
          <w:sz w:val="24"/>
          <w:szCs w:val="24"/>
        </w:rPr>
        <w:t>Handbook of Labor Economics</w:t>
      </w:r>
      <w:r w:rsidRPr="003C1B99">
        <w:rPr>
          <w:sz w:val="24"/>
          <w:szCs w:val="24"/>
        </w:rPr>
        <w:t>, vol. 3B (Elsevier, Amsterdam), 2485 – 2563.</w:t>
      </w:r>
    </w:p>
    <w:p w14:paraId="5114A5B9" w14:textId="77777777" w:rsidR="00673F93" w:rsidRPr="003C1B99" w:rsidRDefault="00673F93" w:rsidP="003C1B99">
      <w:pPr>
        <w:pStyle w:val="NoSpacing"/>
        <w:ind w:left="720" w:hanging="720"/>
        <w:rPr>
          <w:sz w:val="24"/>
          <w:szCs w:val="24"/>
        </w:rPr>
      </w:pPr>
      <w:r w:rsidRPr="003C1B99">
        <w:rPr>
          <w:sz w:val="24"/>
          <w:szCs w:val="24"/>
        </w:rPr>
        <w:t xml:space="preserve">Noreen, E., 1988, The economics of ethics: a new perspective on agency theory, </w:t>
      </w:r>
      <w:r w:rsidRPr="00C206C4">
        <w:rPr>
          <w:i/>
          <w:iCs/>
          <w:sz w:val="24"/>
          <w:szCs w:val="24"/>
        </w:rPr>
        <w:t xml:space="preserve">Accounting, Organizations and Society </w:t>
      </w:r>
      <w:r w:rsidRPr="003C1B99">
        <w:rPr>
          <w:sz w:val="24"/>
          <w:szCs w:val="24"/>
        </w:rPr>
        <w:t>13, 359 – 369.</w:t>
      </w:r>
    </w:p>
    <w:p w14:paraId="20269C06" w14:textId="77777777" w:rsidR="00673F93" w:rsidRPr="003C1B99" w:rsidRDefault="00673F93" w:rsidP="003C1B99">
      <w:pPr>
        <w:pStyle w:val="NoSpacing"/>
        <w:ind w:left="720" w:hanging="720"/>
        <w:rPr>
          <w:sz w:val="24"/>
          <w:szCs w:val="24"/>
        </w:rPr>
      </w:pPr>
      <w:r w:rsidRPr="003C1B99">
        <w:rPr>
          <w:sz w:val="24"/>
          <w:szCs w:val="24"/>
        </w:rPr>
        <w:t xml:space="preserve">Petrovits, C. M., 2006, Corporate‐sponsored foundations and earnings management, </w:t>
      </w:r>
      <w:r w:rsidRPr="00C206C4">
        <w:rPr>
          <w:i/>
          <w:iCs/>
          <w:sz w:val="24"/>
          <w:szCs w:val="24"/>
        </w:rPr>
        <w:t>Journal of Accounting and Economics</w:t>
      </w:r>
      <w:r w:rsidRPr="003C1B99">
        <w:rPr>
          <w:sz w:val="24"/>
          <w:szCs w:val="24"/>
        </w:rPr>
        <w:t xml:space="preserve"> 41, 335 – 362.</w:t>
      </w:r>
    </w:p>
    <w:p w14:paraId="043C68A7" w14:textId="77777777" w:rsidR="00673F93" w:rsidRPr="003C1B99" w:rsidRDefault="00673F93" w:rsidP="003C1B99">
      <w:pPr>
        <w:pStyle w:val="NoSpacing"/>
        <w:ind w:left="720" w:hanging="720"/>
        <w:rPr>
          <w:sz w:val="24"/>
          <w:szCs w:val="24"/>
        </w:rPr>
      </w:pPr>
      <w:r w:rsidRPr="003C1B99">
        <w:rPr>
          <w:sz w:val="24"/>
          <w:szCs w:val="24"/>
        </w:rPr>
        <w:t xml:space="preserve">Piotroski, J. D., and D. T. Roulstone, 2004, The influence of analysts, institutional investors, and insiders on the incorporation of market, industry, and firm‐specific information into stock prices, </w:t>
      </w:r>
      <w:r w:rsidRPr="00C206C4">
        <w:rPr>
          <w:i/>
          <w:iCs/>
          <w:sz w:val="24"/>
          <w:szCs w:val="24"/>
        </w:rPr>
        <w:t>The Accounting Review</w:t>
      </w:r>
      <w:r w:rsidRPr="003C1B99">
        <w:rPr>
          <w:sz w:val="24"/>
          <w:szCs w:val="24"/>
        </w:rPr>
        <w:t xml:space="preserve"> 79, 1119 – 1151.</w:t>
      </w:r>
    </w:p>
    <w:p w14:paraId="1C87734F" w14:textId="77777777" w:rsidR="00673F93" w:rsidRPr="003C1B99" w:rsidRDefault="00673F93" w:rsidP="003C1B99">
      <w:pPr>
        <w:pStyle w:val="NoSpacing"/>
        <w:ind w:left="720" w:hanging="720"/>
        <w:rPr>
          <w:sz w:val="24"/>
          <w:szCs w:val="24"/>
        </w:rPr>
      </w:pPr>
      <w:r w:rsidRPr="003C1B99">
        <w:rPr>
          <w:sz w:val="24"/>
          <w:szCs w:val="24"/>
        </w:rPr>
        <w:t xml:space="preserve">Porter, M. E., and C. Linde, 1995, Green and competitive: Ending the stalemate, </w:t>
      </w:r>
      <w:r w:rsidRPr="00C206C4">
        <w:rPr>
          <w:i/>
          <w:iCs/>
          <w:sz w:val="24"/>
          <w:szCs w:val="24"/>
        </w:rPr>
        <w:t>Harvard Business Review</w:t>
      </w:r>
      <w:r w:rsidRPr="003C1B99">
        <w:rPr>
          <w:sz w:val="24"/>
          <w:szCs w:val="24"/>
        </w:rPr>
        <w:t xml:space="preserve"> 73, 120 – 134.</w:t>
      </w:r>
    </w:p>
    <w:p w14:paraId="135F70B9" w14:textId="77777777" w:rsidR="00673F93" w:rsidRPr="003C1B99" w:rsidRDefault="00673F93" w:rsidP="003C1B99">
      <w:pPr>
        <w:pStyle w:val="NoSpacing"/>
        <w:ind w:left="720" w:hanging="720"/>
        <w:rPr>
          <w:sz w:val="24"/>
          <w:szCs w:val="24"/>
        </w:rPr>
      </w:pPr>
      <w:r w:rsidRPr="003C1B99">
        <w:rPr>
          <w:sz w:val="24"/>
          <w:szCs w:val="24"/>
        </w:rPr>
        <w:lastRenderedPageBreak/>
        <w:t xml:space="preserve">Prior, D., J. Surroca, and J. A. Tribo, 2008, Are socially responsible managers </w:t>
      </w:r>
      <w:proofErr w:type="gramStart"/>
      <w:r w:rsidRPr="003C1B99">
        <w:rPr>
          <w:sz w:val="24"/>
          <w:szCs w:val="24"/>
        </w:rPr>
        <w:t>really ethical</w:t>
      </w:r>
      <w:proofErr w:type="gramEnd"/>
      <w:r w:rsidRPr="003C1B99">
        <w:rPr>
          <w:sz w:val="24"/>
          <w:szCs w:val="24"/>
        </w:rPr>
        <w:t xml:space="preserve">? Exploring the relationship between earnings management and corporate social responsibility, </w:t>
      </w:r>
      <w:r w:rsidRPr="00C206C4">
        <w:rPr>
          <w:i/>
          <w:iCs/>
          <w:sz w:val="24"/>
          <w:szCs w:val="24"/>
        </w:rPr>
        <w:t>Corporate Governance: An International Review</w:t>
      </w:r>
      <w:r w:rsidRPr="003C1B99">
        <w:rPr>
          <w:sz w:val="24"/>
          <w:szCs w:val="24"/>
        </w:rPr>
        <w:t xml:space="preserve"> 16, 160 – 177.</w:t>
      </w:r>
    </w:p>
    <w:p w14:paraId="4F742693" w14:textId="77777777" w:rsidR="00673F93" w:rsidRPr="003C1B99" w:rsidRDefault="00673F93" w:rsidP="003C1B99">
      <w:pPr>
        <w:pStyle w:val="NoSpacing"/>
        <w:ind w:left="720" w:hanging="720"/>
        <w:rPr>
          <w:sz w:val="24"/>
          <w:szCs w:val="24"/>
        </w:rPr>
      </w:pPr>
      <w:r w:rsidRPr="003C1B99">
        <w:rPr>
          <w:sz w:val="24"/>
          <w:szCs w:val="24"/>
        </w:rPr>
        <w:t xml:space="preserve">Ramalingegowda, S., and Y. Yu, 2012, Institutional ownership and conservatism, </w:t>
      </w:r>
      <w:r w:rsidRPr="00C206C4">
        <w:rPr>
          <w:i/>
          <w:iCs/>
          <w:sz w:val="24"/>
          <w:szCs w:val="24"/>
        </w:rPr>
        <w:t>Journal of Accounting and Economics</w:t>
      </w:r>
      <w:r w:rsidRPr="003C1B99">
        <w:rPr>
          <w:sz w:val="24"/>
          <w:szCs w:val="24"/>
        </w:rPr>
        <w:t xml:space="preserve"> 53, 98 – 114.</w:t>
      </w:r>
    </w:p>
    <w:p w14:paraId="35F8A62D" w14:textId="77777777" w:rsidR="00673F93" w:rsidRPr="003C1B99" w:rsidRDefault="00673F93" w:rsidP="003C1B99">
      <w:pPr>
        <w:pStyle w:val="NoSpacing"/>
        <w:ind w:left="720" w:hanging="720"/>
        <w:rPr>
          <w:sz w:val="24"/>
          <w:szCs w:val="24"/>
        </w:rPr>
      </w:pPr>
      <w:r w:rsidRPr="003C1B99">
        <w:rPr>
          <w:sz w:val="24"/>
          <w:szCs w:val="24"/>
        </w:rPr>
        <w:t>Roll, R. 1988, R2, The Journal of Finance 43, 541 – 566.</w:t>
      </w:r>
    </w:p>
    <w:p w14:paraId="1F0BDED9" w14:textId="77777777" w:rsidR="00673F93" w:rsidRPr="003C1B99" w:rsidRDefault="00673F93" w:rsidP="003C1B99">
      <w:pPr>
        <w:pStyle w:val="NoSpacing"/>
        <w:ind w:left="720" w:hanging="720"/>
        <w:rPr>
          <w:sz w:val="24"/>
          <w:szCs w:val="24"/>
        </w:rPr>
      </w:pPr>
      <w:r w:rsidRPr="003C1B99">
        <w:rPr>
          <w:sz w:val="24"/>
          <w:szCs w:val="24"/>
        </w:rPr>
        <w:t xml:space="preserve">Saffi, P. A. C., and K. Sigurdsson, 2011, Price efficiency and short selling, </w:t>
      </w:r>
      <w:r w:rsidRPr="00C206C4">
        <w:rPr>
          <w:i/>
          <w:iCs/>
          <w:sz w:val="24"/>
          <w:szCs w:val="24"/>
        </w:rPr>
        <w:t xml:space="preserve">Review of Financial Studies </w:t>
      </w:r>
      <w:r w:rsidRPr="003C1B99">
        <w:rPr>
          <w:sz w:val="24"/>
          <w:szCs w:val="24"/>
        </w:rPr>
        <w:t>24, 821 – 852.</w:t>
      </w:r>
    </w:p>
    <w:p w14:paraId="2570DDC9" w14:textId="77777777" w:rsidR="00673F93" w:rsidRPr="003C1B99" w:rsidRDefault="00673F93" w:rsidP="003C1B99">
      <w:pPr>
        <w:pStyle w:val="NoSpacing"/>
        <w:ind w:left="720" w:hanging="720"/>
        <w:rPr>
          <w:sz w:val="24"/>
          <w:szCs w:val="24"/>
        </w:rPr>
      </w:pPr>
      <w:r w:rsidRPr="003C1B99">
        <w:rPr>
          <w:sz w:val="24"/>
          <w:szCs w:val="24"/>
        </w:rPr>
        <w:t xml:space="preserve">Servaes, H., and A. Tamayo, 2013, The impact of corporate social responsibility on firm value: The role of customer awareness, </w:t>
      </w:r>
      <w:r w:rsidRPr="00C206C4">
        <w:rPr>
          <w:i/>
          <w:iCs/>
          <w:sz w:val="24"/>
          <w:szCs w:val="24"/>
        </w:rPr>
        <w:t xml:space="preserve">Management Science </w:t>
      </w:r>
      <w:r w:rsidRPr="003C1B99">
        <w:rPr>
          <w:sz w:val="24"/>
          <w:szCs w:val="24"/>
        </w:rPr>
        <w:t>59, 1045 – 1061.</w:t>
      </w:r>
    </w:p>
    <w:p w14:paraId="75F92F46" w14:textId="77777777" w:rsidR="00673F93" w:rsidRPr="003C1B99" w:rsidRDefault="00673F93" w:rsidP="003C1B99">
      <w:pPr>
        <w:pStyle w:val="NoSpacing"/>
        <w:ind w:left="720" w:hanging="720"/>
        <w:rPr>
          <w:sz w:val="24"/>
          <w:szCs w:val="24"/>
        </w:rPr>
      </w:pPr>
      <w:r w:rsidRPr="003C1B99">
        <w:rPr>
          <w:sz w:val="24"/>
          <w:szCs w:val="24"/>
        </w:rPr>
        <w:t>Soltes, E., 2009, News dissemination and the impact of the business press, Working paper (Harvard Business School).</w:t>
      </w:r>
    </w:p>
    <w:p w14:paraId="739786AA" w14:textId="77777777" w:rsidR="00673F93" w:rsidRPr="003C1B99" w:rsidRDefault="00673F93" w:rsidP="003C1B99">
      <w:pPr>
        <w:pStyle w:val="NoSpacing"/>
        <w:ind w:left="720" w:hanging="720"/>
        <w:rPr>
          <w:sz w:val="24"/>
          <w:szCs w:val="24"/>
        </w:rPr>
      </w:pPr>
      <w:r w:rsidRPr="003C1B99">
        <w:rPr>
          <w:sz w:val="24"/>
          <w:szCs w:val="24"/>
        </w:rPr>
        <w:t xml:space="preserve">Tran, N., and D. O'Sullivan, 2020, The relationship between corporate social responsibility, financial misstatements and SEC enforcement actions, </w:t>
      </w:r>
      <w:r w:rsidRPr="00C206C4">
        <w:rPr>
          <w:i/>
          <w:iCs/>
          <w:sz w:val="24"/>
          <w:szCs w:val="24"/>
        </w:rPr>
        <w:t xml:space="preserve">Accounting and Finance </w:t>
      </w:r>
      <w:r w:rsidRPr="003C1B99">
        <w:rPr>
          <w:sz w:val="24"/>
          <w:szCs w:val="24"/>
        </w:rPr>
        <w:t>60, 1111 – 1147.</w:t>
      </w:r>
    </w:p>
    <w:p w14:paraId="171619E0" w14:textId="77777777" w:rsidR="00673F93" w:rsidRPr="003C1B99" w:rsidRDefault="00673F93" w:rsidP="003C1B99">
      <w:pPr>
        <w:pStyle w:val="NoSpacing"/>
        <w:ind w:left="720" w:hanging="720"/>
        <w:rPr>
          <w:sz w:val="24"/>
          <w:szCs w:val="24"/>
        </w:rPr>
      </w:pPr>
      <w:r w:rsidRPr="003C1B99">
        <w:rPr>
          <w:sz w:val="24"/>
          <w:szCs w:val="24"/>
        </w:rPr>
        <w:t xml:space="preserve">Tucker, J. W., and P. A. Zarowin, 2006, Does income smoothing improve earnings </w:t>
      </w:r>
      <w:proofErr w:type="gramStart"/>
      <w:r w:rsidRPr="003C1B99">
        <w:rPr>
          <w:sz w:val="24"/>
          <w:szCs w:val="24"/>
        </w:rPr>
        <w:t>informativeness?,</w:t>
      </w:r>
      <w:proofErr w:type="gramEnd"/>
      <w:r w:rsidRPr="003C1B99">
        <w:rPr>
          <w:sz w:val="24"/>
          <w:szCs w:val="24"/>
        </w:rPr>
        <w:t xml:space="preserve"> </w:t>
      </w:r>
      <w:r w:rsidRPr="00C206C4">
        <w:rPr>
          <w:i/>
          <w:iCs/>
          <w:sz w:val="24"/>
          <w:szCs w:val="24"/>
        </w:rPr>
        <w:t xml:space="preserve">The Accounting Review </w:t>
      </w:r>
      <w:r w:rsidRPr="003C1B99">
        <w:rPr>
          <w:sz w:val="24"/>
          <w:szCs w:val="24"/>
        </w:rPr>
        <w:t>81, 251 – 270.</w:t>
      </w:r>
    </w:p>
    <w:p w14:paraId="45EB726D" w14:textId="77777777" w:rsidR="00673F93" w:rsidRPr="003C1B99" w:rsidRDefault="00673F93" w:rsidP="003C1B99">
      <w:pPr>
        <w:pStyle w:val="NoSpacing"/>
        <w:ind w:left="720" w:hanging="720"/>
        <w:rPr>
          <w:sz w:val="24"/>
          <w:szCs w:val="24"/>
        </w:rPr>
      </w:pPr>
      <w:r w:rsidRPr="003C1B99">
        <w:rPr>
          <w:sz w:val="24"/>
          <w:szCs w:val="24"/>
        </w:rPr>
        <w:t xml:space="preserve">Zuo, L., 2016, The informational feedback effect of stock prices on corporate disclosure, </w:t>
      </w:r>
      <w:r w:rsidRPr="00C206C4">
        <w:rPr>
          <w:i/>
          <w:iCs/>
          <w:sz w:val="24"/>
          <w:szCs w:val="24"/>
        </w:rPr>
        <w:t>Journal of Accounting and Economics</w:t>
      </w:r>
      <w:r w:rsidRPr="003C1B99">
        <w:rPr>
          <w:sz w:val="24"/>
          <w:szCs w:val="24"/>
        </w:rPr>
        <w:t xml:space="preserve"> 61, 391 – 413.</w:t>
      </w:r>
    </w:p>
    <w:sectPr w:rsidR="00673F93" w:rsidRPr="003C1B99" w:rsidSect="002C5AA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00100"/>
    <w:multiLevelType w:val="multilevel"/>
    <w:tmpl w:val="0BB6A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87D4A0E"/>
    <w:multiLevelType w:val="hybridMultilevel"/>
    <w:tmpl w:val="A24CE322"/>
    <w:lvl w:ilvl="0" w:tplc="329034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C81C76"/>
    <w:multiLevelType w:val="hybridMultilevel"/>
    <w:tmpl w:val="054CA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5227953">
    <w:abstractNumId w:val="0"/>
  </w:num>
  <w:num w:numId="2" w16cid:durableId="1453786025">
    <w:abstractNumId w:val="1"/>
  </w:num>
  <w:num w:numId="3" w16cid:durableId="1551454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Thi8j9fAJCBcswbcVuwRNV3fNdPzXbOlaagISR2WkYWoAc42LIUVCMYQ1bMlD8uqRFLThPgyG7sD5r7GEc1wzg==" w:salt="MmU2nAycnMYQcycwzKpd+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348B"/>
    <w:rsid w:val="00024048"/>
    <w:rsid w:val="00026BC7"/>
    <w:rsid w:val="0003036D"/>
    <w:rsid w:val="00034205"/>
    <w:rsid w:val="00035704"/>
    <w:rsid w:val="000401DA"/>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3C"/>
    <w:rsid w:val="000B389E"/>
    <w:rsid w:val="000B501D"/>
    <w:rsid w:val="000B5170"/>
    <w:rsid w:val="000C0E5B"/>
    <w:rsid w:val="000C6BA7"/>
    <w:rsid w:val="000D3573"/>
    <w:rsid w:val="000D4F0B"/>
    <w:rsid w:val="000D6BF2"/>
    <w:rsid w:val="000E12F5"/>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CC8"/>
    <w:rsid w:val="00146E50"/>
    <w:rsid w:val="00150DB6"/>
    <w:rsid w:val="00154750"/>
    <w:rsid w:val="00154D34"/>
    <w:rsid w:val="00157A40"/>
    <w:rsid w:val="00160E1F"/>
    <w:rsid w:val="00161372"/>
    <w:rsid w:val="00162019"/>
    <w:rsid w:val="001622DB"/>
    <w:rsid w:val="001631C0"/>
    <w:rsid w:val="00163F71"/>
    <w:rsid w:val="00172FC0"/>
    <w:rsid w:val="00173556"/>
    <w:rsid w:val="00176368"/>
    <w:rsid w:val="0018114F"/>
    <w:rsid w:val="00181ADF"/>
    <w:rsid w:val="00181DEA"/>
    <w:rsid w:val="00183A38"/>
    <w:rsid w:val="001854EA"/>
    <w:rsid w:val="00185B32"/>
    <w:rsid w:val="00185C26"/>
    <w:rsid w:val="00196C7C"/>
    <w:rsid w:val="001A1C71"/>
    <w:rsid w:val="001A1DF4"/>
    <w:rsid w:val="001A34C4"/>
    <w:rsid w:val="001B266B"/>
    <w:rsid w:val="001B6E76"/>
    <w:rsid w:val="001C3A3F"/>
    <w:rsid w:val="001D1087"/>
    <w:rsid w:val="001D2448"/>
    <w:rsid w:val="001D3ADE"/>
    <w:rsid w:val="001D58D3"/>
    <w:rsid w:val="001D776C"/>
    <w:rsid w:val="001D7BCC"/>
    <w:rsid w:val="001E124C"/>
    <w:rsid w:val="001E18FE"/>
    <w:rsid w:val="001F70BC"/>
    <w:rsid w:val="001F7C79"/>
    <w:rsid w:val="001F7FBE"/>
    <w:rsid w:val="002016B1"/>
    <w:rsid w:val="00201875"/>
    <w:rsid w:val="00201AFD"/>
    <w:rsid w:val="00201FDC"/>
    <w:rsid w:val="002022D8"/>
    <w:rsid w:val="0020362F"/>
    <w:rsid w:val="00206486"/>
    <w:rsid w:val="00206CC8"/>
    <w:rsid w:val="00211422"/>
    <w:rsid w:val="00212109"/>
    <w:rsid w:val="0021691C"/>
    <w:rsid w:val="0022389E"/>
    <w:rsid w:val="00224240"/>
    <w:rsid w:val="00226FA2"/>
    <w:rsid w:val="0024134B"/>
    <w:rsid w:val="00241E5E"/>
    <w:rsid w:val="00241E88"/>
    <w:rsid w:val="00251132"/>
    <w:rsid w:val="002535DF"/>
    <w:rsid w:val="00255803"/>
    <w:rsid w:val="002558EB"/>
    <w:rsid w:val="00255B43"/>
    <w:rsid w:val="00255BDC"/>
    <w:rsid w:val="00255BEA"/>
    <w:rsid w:val="00257F7B"/>
    <w:rsid w:val="00261403"/>
    <w:rsid w:val="00261F59"/>
    <w:rsid w:val="00272AF4"/>
    <w:rsid w:val="00276C06"/>
    <w:rsid w:val="00280198"/>
    <w:rsid w:val="00282094"/>
    <w:rsid w:val="002843BC"/>
    <w:rsid w:val="00284A84"/>
    <w:rsid w:val="0029129F"/>
    <w:rsid w:val="002943CD"/>
    <w:rsid w:val="002959F2"/>
    <w:rsid w:val="00296B90"/>
    <w:rsid w:val="00297296"/>
    <w:rsid w:val="002A0668"/>
    <w:rsid w:val="002A40BA"/>
    <w:rsid w:val="002A6B8B"/>
    <w:rsid w:val="002A7FBB"/>
    <w:rsid w:val="002B1ED8"/>
    <w:rsid w:val="002B45EC"/>
    <w:rsid w:val="002B62C6"/>
    <w:rsid w:val="002C17A7"/>
    <w:rsid w:val="002C2DA5"/>
    <w:rsid w:val="002C4714"/>
    <w:rsid w:val="002C5AAA"/>
    <w:rsid w:val="002C6160"/>
    <w:rsid w:val="002D02F2"/>
    <w:rsid w:val="002D28EA"/>
    <w:rsid w:val="002D51BB"/>
    <w:rsid w:val="002D5BAE"/>
    <w:rsid w:val="002D5DDC"/>
    <w:rsid w:val="002D6AA3"/>
    <w:rsid w:val="002E5C33"/>
    <w:rsid w:val="002E5D29"/>
    <w:rsid w:val="002F5B0A"/>
    <w:rsid w:val="00300EE4"/>
    <w:rsid w:val="0030197F"/>
    <w:rsid w:val="0030223E"/>
    <w:rsid w:val="00303A1E"/>
    <w:rsid w:val="00303BBD"/>
    <w:rsid w:val="00313440"/>
    <w:rsid w:val="00314FCD"/>
    <w:rsid w:val="003209F4"/>
    <w:rsid w:val="00324290"/>
    <w:rsid w:val="003245D9"/>
    <w:rsid w:val="00331737"/>
    <w:rsid w:val="0033243D"/>
    <w:rsid w:val="0033652E"/>
    <w:rsid w:val="00336C8F"/>
    <w:rsid w:val="00340617"/>
    <w:rsid w:val="00340B13"/>
    <w:rsid w:val="00340CDB"/>
    <w:rsid w:val="003427C6"/>
    <w:rsid w:val="00343472"/>
    <w:rsid w:val="003455AA"/>
    <w:rsid w:val="00347634"/>
    <w:rsid w:val="00351E90"/>
    <w:rsid w:val="00360206"/>
    <w:rsid w:val="003617AD"/>
    <w:rsid w:val="003624EE"/>
    <w:rsid w:val="003632E1"/>
    <w:rsid w:val="00363CD3"/>
    <w:rsid w:val="0036439D"/>
    <w:rsid w:val="003656A9"/>
    <w:rsid w:val="00366852"/>
    <w:rsid w:val="003706EF"/>
    <w:rsid w:val="00370BE4"/>
    <w:rsid w:val="00371D56"/>
    <w:rsid w:val="0037755D"/>
    <w:rsid w:val="00381F0E"/>
    <w:rsid w:val="0038549B"/>
    <w:rsid w:val="0038628A"/>
    <w:rsid w:val="0038634F"/>
    <w:rsid w:val="00386BE0"/>
    <w:rsid w:val="00391C48"/>
    <w:rsid w:val="0039362A"/>
    <w:rsid w:val="00393CB4"/>
    <w:rsid w:val="00394337"/>
    <w:rsid w:val="003969D2"/>
    <w:rsid w:val="003A437A"/>
    <w:rsid w:val="003A503E"/>
    <w:rsid w:val="003A6039"/>
    <w:rsid w:val="003B47FA"/>
    <w:rsid w:val="003B6208"/>
    <w:rsid w:val="003B71F3"/>
    <w:rsid w:val="003B7F8F"/>
    <w:rsid w:val="003C19CB"/>
    <w:rsid w:val="003C1B99"/>
    <w:rsid w:val="003C4172"/>
    <w:rsid w:val="003C437D"/>
    <w:rsid w:val="003C4456"/>
    <w:rsid w:val="003D3301"/>
    <w:rsid w:val="003D4641"/>
    <w:rsid w:val="003E05B7"/>
    <w:rsid w:val="003E0C0A"/>
    <w:rsid w:val="003E3CF7"/>
    <w:rsid w:val="003E6CFF"/>
    <w:rsid w:val="003E797D"/>
    <w:rsid w:val="003F1B0E"/>
    <w:rsid w:val="003F5E6A"/>
    <w:rsid w:val="004010E3"/>
    <w:rsid w:val="004055B8"/>
    <w:rsid w:val="0040709D"/>
    <w:rsid w:val="004122F9"/>
    <w:rsid w:val="004124D3"/>
    <w:rsid w:val="004139BA"/>
    <w:rsid w:val="00414591"/>
    <w:rsid w:val="00421CBC"/>
    <w:rsid w:val="00422C7B"/>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4841"/>
    <w:rsid w:val="004660BE"/>
    <w:rsid w:val="0046612C"/>
    <w:rsid w:val="0046696C"/>
    <w:rsid w:val="00466DD7"/>
    <w:rsid w:val="00471F7D"/>
    <w:rsid w:val="00473B19"/>
    <w:rsid w:val="00474CB3"/>
    <w:rsid w:val="00474ECD"/>
    <w:rsid w:val="004757B5"/>
    <w:rsid w:val="00476310"/>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21F9"/>
    <w:rsid w:val="004D450D"/>
    <w:rsid w:val="004D48AE"/>
    <w:rsid w:val="004E34F8"/>
    <w:rsid w:val="004E3C84"/>
    <w:rsid w:val="004E528B"/>
    <w:rsid w:val="004F00C4"/>
    <w:rsid w:val="004F146C"/>
    <w:rsid w:val="004F1F3C"/>
    <w:rsid w:val="004F657B"/>
    <w:rsid w:val="0050408D"/>
    <w:rsid w:val="00504C6A"/>
    <w:rsid w:val="00510364"/>
    <w:rsid w:val="005116C9"/>
    <w:rsid w:val="00511BEE"/>
    <w:rsid w:val="005175E9"/>
    <w:rsid w:val="00520368"/>
    <w:rsid w:val="0052658A"/>
    <w:rsid w:val="00533270"/>
    <w:rsid w:val="00535FA3"/>
    <w:rsid w:val="00540146"/>
    <w:rsid w:val="00543C22"/>
    <w:rsid w:val="0054405B"/>
    <w:rsid w:val="0054567F"/>
    <w:rsid w:val="00546B44"/>
    <w:rsid w:val="00546BE2"/>
    <w:rsid w:val="0055262A"/>
    <w:rsid w:val="00553291"/>
    <w:rsid w:val="005546FF"/>
    <w:rsid w:val="00556B72"/>
    <w:rsid w:val="005605E4"/>
    <w:rsid w:val="00563D7B"/>
    <w:rsid w:val="00563E3B"/>
    <w:rsid w:val="005643C8"/>
    <w:rsid w:val="005673D1"/>
    <w:rsid w:val="00570F38"/>
    <w:rsid w:val="00572409"/>
    <w:rsid w:val="00572835"/>
    <w:rsid w:val="00573955"/>
    <w:rsid w:val="005805B4"/>
    <w:rsid w:val="00580E33"/>
    <w:rsid w:val="00583225"/>
    <w:rsid w:val="0058724D"/>
    <w:rsid w:val="00596593"/>
    <w:rsid w:val="00596A35"/>
    <w:rsid w:val="005979CD"/>
    <w:rsid w:val="005A12F0"/>
    <w:rsid w:val="005A3923"/>
    <w:rsid w:val="005A5291"/>
    <w:rsid w:val="005A6FD1"/>
    <w:rsid w:val="005B08F1"/>
    <w:rsid w:val="005B47BC"/>
    <w:rsid w:val="005C00EC"/>
    <w:rsid w:val="005C15C9"/>
    <w:rsid w:val="005C30E9"/>
    <w:rsid w:val="005C32A9"/>
    <w:rsid w:val="005C663B"/>
    <w:rsid w:val="005C7ED1"/>
    <w:rsid w:val="005D1C38"/>
    <w:rsid w:val="005D1ED6"/>
    <w:rsid w:val="005D3ED5"/>
    <w:rsid w:val="005D767A"/>
    <w:rsid w:val="005E2628"/>
    <w:rsid w:val="005E5F66"/>
    <w:rsid w:val="005F2B37"/>
    <w:rsid w:val="005F46EC"/>
    <w:rsid w:val="005F49C9"/>
    <w:rsid w:val="005F71CE"/>
    <w:rsid w:val="005F7A68"/>
    <w:rsid w:val="00601980"/>
    <w:rsid w:val="0060332C"/>
    <w:rsid w:val="00604C5A"/>
    <w:rsid w:val="00607F1D"/>
    <w:rsid w:val="00612DE8"/>
    <w:rsid w:val="00615A83"/>
    <w:rsid w:val="00616858"/>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1066"/>
    <w:rsid w:val="006621F0"/>
    <w:rsid w:val="006647E7"/>
    <w:rsid w:val="006653A6"/>
    <w:rsid w:val="00666FD4"/>
    <w:rsid w:val="00667217"/>
    <w:rsid w:val="006702C6"/>
    <w:rsid w:val="00673F93"/>
    <w:rsid w:val="006769E6"/>
    <w:rsid w:val="00676C63"/>
    <w:rsid w:val="00682333"/>
    <w:rsid w:val="006844CA"/>
    <w:rsid w:val="006871E0"/>
    <w:rsid w:val="00693B53"/>
    <w:rsid w:val="00697377"/>
    <w:rsid w:val="006A1F61"/>
    <w:rsid w:val="006A3DC5"/>
    <w:rsid w:val="006A533C"/>
    <w:rsid w:val="006A5E52"/>
    <w:rsid w:val="006A712D"/>
    <w:rsid w:val="006A7B71"/>
    <w:rsid w:val="006B20FD"/>
    <w:rsid w:val="006B3B2B"/>
    <w:rsid w:val="006C024E"/>
    <w:rsid w:val="006C4642"/>
    <w:rsid w:val="006C7ED1"/>
    <w:rsid w:val="006D1426"/>
    <w:rsid w:val="006D61B6"/>
    <w:rsid w:val="006D75E1"/>
    <w:rsid w:val="006D7670"/>
    <w:rsid w:val="006E10F4"/>
    <w:rsid w:val="006E10FD"/>
    <w:rsid w:val="006E13B1"/>
    <w:rsid w:val="006E2996"/>
    <w:rsid w:val="006E2EEC"/>
    <w:rsid w:val="006E471E"/>
    <w:rsid w:val="006E4859"/>
    <w:rsid w:val="006F24E3"/>
    <w:rsid w:val="0070007A"/>
    <w:rsid w:val="007065D3"/>
    <w:rsid w:val="007071B1"/>
    <w:rsid w:val="00707EC1"/>
    <w:rsid w:val="00710582"/>
    <w:rsid w:val="0071095B"/>
    <w:rsid w:val="00711934"/>
    <w:rsid w:val="00711DCC"/>
    <w:rsid w:val="00714EE9"/>
    <w:rsid w:val="007246B0"/>
    <w:rsid w:val="007258CB"/>
    <w:rsid w:val="00725BCE"/>
    <w:rsid w:val="00730E29"/>
    <w:rsid w:val="007316A6"/>
    <w:rsid w:val="00732FF6"/>
    <w:rsid w:val="00735393"/>
    <w:rsid w:val="00737096"/>
    <w:rsid w:val="00740CDA"/>
    <w:rsid w:val="00745E32"/>
    <w:rsid w:val="007466F7"/>
    <w:rsid w:val="00750A33"/>
    <w:rsid w:val="00754B70"/>
    <w:rsid w:val="00757D89"/>
    <w:rsid w:val="0076194B"/>
    <w:rsid w:val="00763676"/>
    <w:rsid w:val="00772776"/>
    <w:rsid w:val="00776E56"/>
    <w:rsid w:val="00781619"/>
    <w:rsid w:val="0079146B"/>
    <w:rsid w:val="00791DD5"/>
    <w:rsid w:val="00796875"/>
    <w:rsid w:val="0079756E"/>
    <w:rsid w:val="007A1233"/>
    <w:rsid w:val="007A258F"/>
    <w:rsid w:val="007A3B3A"/>
    <w:rsid w:val="007B0384"/>
    <w:rsid w:val="007B0BBA"/>
    <w:rsid w:val="007B1EBF"/>
    <w:rsid w:val="007B3E6A"/>
    <w:rsid w:val="007B6F4D"/>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0841"/>
    <w:rsid w:val="008011E4"/>
    <w:rsid w:val="008061E0"/>
    <w:rsid w:val="008062DB"/>
    <w:rsid w:val="0080711D"/>
    <w:rsid w:val="008100E4"/>
    <w:rsid w:val="00813292"/>
    <w:rsid w:val="00813E40"/>
    <w:rsid w:val="00816489"/>
    <w:rsid w:val="00817C16"/>
    <w:rsid w:val="00820049"/>
    <w:rsid w:val="0082013E"/>
    <w:rsid w:val="00822617"/>
    <w:rsid w:val="00824B15"/>
    <w:rsid w:val="00830525"/>
    <w:rsid w:val="008322E3"/>
    <w:rsid w:val="00834DF7"/>
    <w:rsid w:val="00836F01"/>
    <w:rsid w:val="008406F5"/>
    <w:rsid w:val="00841F1E"/>
    <w:rsid w:val="00842203"/>
    <w:rsid w:val="00850E3E"/>
    <w:rsid w:val="00864432"/>
    <w:rsid w:val="0086443F"/>
    <w:rsid w:val="008649A3"/>
    <w:rsid w:val="0086670A"/>
    <w:rsid w:val="00867A78"/>
    <w:rsid w:val="00870BA1"/>
    <w:rsid w:val="00873CDE"/>
    <w:rsid w:val="00874421"/>
    <w:rsid w:val="00875997"/>
    <w:rsid w:val="0087796C"/>
    <w:rsid w:val="00880932"/>
    <w:rsid w:val="008825B5"/>
    <w:rsid w:val="00885E74"/>
    <w:rsid w:val="00886B14"/>
    <w:rsid w:val="008927F4"/>
    <w:rsid w:val="00893B58"/>
    <w:rsid w:val="00894E4C"/>
    <w:rsid w:val="0089642A"/>
    <w:rsid w:val="00897705"/>
    <w:rsid w:val="008A1743"/>
    <w:rsid w:val="008A23DD"/>
    <w:rsid w:val="008A6C51"/>
    <w:rsid w:val="008B15CF"/>
    <w:rsid w:val="008B2242"/>
    <w:rsid w:val="008B4AD1"/>
    <w:rsid w:val="008B6D93"/>
    <w:rsid w:val="008B7AF1"/>
    <w:rsid w:val="008C3543"/>
    <w:rsid w:val="008C6D4F"/>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0D5"/>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5CB1"/>
    <w:rsid w:val="00956FEB"/>
    <w:rsid w:val="009650D5"/>
    <w:rsid w:val="0096535F"/>
    <w:rsid w:val="00965F35"/>
    <w:rsid w:val="00966500"/>
    <w:rsid w:val="00972362"/>
    <w:rsid w:val="009729A3"/>
    <w:rsid w:val="009732A9"/>
    <w:rsid w:val="00977C0E"/>
    <w:rsid w:val="00977F1D"/>
    <w:rsid w:val="00982217"/>
    <w:rsid w:val="00984B39"/>
    <w:rsid w:val="00984CFC"/>
    <w:rsid w:val="00986A83"/>
    <w:rsid w:val="00990645"/>
    <w:rsid w:val="009A130B"/>
    <w:rsid w:val="009A1322"/>
    <w:rsid w:val="009A2639"/>
    <w:rsid w:val="009A397F"/>
    <w:rsid w:val="009B4F83"/>
    <w:rsid w:val="009B6983"/>
    <w:rsid w:val="009C5450"/>
    <w:rsid w:val="009C547A"/>
    <w:rsid w:val="009C5716"/>
    <w:rsid w:val="009D316A"/>
    <w:rsid w:val="009D3527"/>
    <w:rsid w:val="009D5368"/>
    <w:rsid w:val="009D54DF"/>
    <w:rsid w:val="009E0581"/>
    <w:rsid w:val="009E3777"/>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365F1"/>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77432"/>
    <w:rsid w:val="00A777C4"/>
    <w:rsid w:val="00A80FCC"/>
    <w:rsid w:val="00A81E28"/>
    <w:rsid w:val="00A82932"/>
    <w:rsid w:val="00A82D07"/>
    <w:rsid w:val="00A868FB"/>
    <w:rsid w:val="00A915ED"/>
    <w:rsid w:val="00A91CF2"/>
    <w:rsid w:val="00A93BA4"/>
    <w:rsid w:val="00A9416E"/>
    <w:rsid w:val="00AA0884"/>
    <w:rsid w:val="00AA1CD0"/>
    <w:rsid w:val="00AA493D"/>
    <w:rsid w:val="00AA52AC"/>
    <w:rsid w:val="00AB4807"/>
    <w:rsid w:val="00AB4813"/>
    <w:rsid w:val="00AC0052"/>
    <w:rsid w:val="00AC04D6"/>
    <w:rsid w:val="00AD0685"/>
    <w:rsid w:val="00AD1ABC"/>
    <w:rsid w:val="00AD38C1"/>
    <w:rsid w:val="00AD3C8E"/>
    <w:rsid w:val="00AD5A78"/>
    <w:rsid w:val="00AD5D66"/>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4D8"/>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2CCC"/>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51FB"/>
    <w:rsid w:val="00BE2644"/>
    <w:rsid w:val="00BE42F3"/>
    <w:rsid w:val="00BE551C"/>
    <w:rsid w:val="00BE7388"/>
    <w:rsid w:val="00BF6ECD"/>
    <w:rsid w:val="00BF790B"/>
    <w:rsid w:val="00C01103"/>
    <w:rsid w:val="00C01E67"/>
    <w:rsid w:val="00C038FC"/>
    <w:rsid w:val="00C05302"/>
    <w:rsid w:val="00C06B6B"/>
    <w:rsid w:val="00C06F37"/>
    <w:rsid w:val="00C0799A"/>
    <w:rsid w:val="00C1144B"/>
    <w:rsid w:val="00C13438"/>
    <w:rsid w:val="00C170FF"/>
    <w:rsid w:val="00C173E1"/>
    <w:rsid w:val="00C2019E"/>
    <w:rsid w:val="00C206C4"/>
    <w:rsid w:val="00C21535"/>
    <w:rsid w:val="00C27AEF"/>
    <w:rsid w:val="00C3110E"/>
    <w:rsid w:val="00C3466C"/>
    <w:rsid w:val="00C355FF"/>
    <w:rsid w:val="00C41A64"/>
    <w:rsid w:val="00C47122"/>
    <w:rsid w:val="00C47959"/>
    <w:rsid w:val="00C47CEA"/>
    <w:rsid w:val="00C515E0"/>
    <w:rsid w:val="00C531A3"/>
    <w:rsid w:val="00C56D04"/>
    <w:rsid w:val="00C57F24"/>
    <w:rsid w:val="00C63EA6"/>
    <w:rsid w:val="00C6619F"/>
    <w:rsid w:val="00C6624A"/>
    <w:rsid w:val="00C742C3"/>
    <w:rsid w:val="00C75559"/>
    <w:rsid w:val="00C76D88"/>
    <w:rsid w:val="00C7785D"/>
    <w:rsid w:val="00C77A26"/>
    <w:rsid w:val="00C83EDA"/>
    <w:rsid w:val="00C85BDD"/>
    <w:rsid w:val="00C86B81"/>
    <w:rsid w:val="00C87141"/>
    <w:rsid w:val="00C91557"/>
    <w:rsid w:val="00C92F74"/>
    <w:rsid w:val="00C93F5A"/>
    <w:rsid w:val="00CA1C19"/>
    <w:rsid w:val="00CA204D"/>
    <w:rsid w:val="00CA2E14"/>
    <w:rsid w:val="00CA60CD"/>
    <w:rsid w:val="00CB10E9"/>
    <w:rsid w:val="00CB11D6"/>
    <w:rsid w:val="00CB5475"/>
    <w:rsid w:val="00CB665E"/>
    <w:rsid w:val="00CB6E09"/>
    <w:rsid w:val="00CC09A7"/>
    <w:rsid w:val="00CC0FD9"/>
    <w:rsid w:val="00CC1F8F"/>
    <w:rsid w:val="00CD139B"/>
    <w:rsid w:val="00CD1985"/>
    <w:rsid w:val="00CD4D8E"/>
    <w:rsid w:val="00CD5E59"/>
    <w:rsid w:val="00CD7831"/>
    <w:rsid w:val="00CE05D4"/>
    <w:rsid w:val="00CE4712"/>
    <w:rsid w:val="00CF026E"/>
    <w:rsid w:val="00CF253A"/>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1F8A"/>
    <w:rsid w:val="00D42AE0"/>
    <w:rsid w:val="00D43F4A"/>
    <w:rsid w:val="00D45330"/>
    <w:rsid w:val="00D45705"/>
    <w:rsid w:val="00D45A48"/>
    <w:rsid w:val="00D45DB8"/>
    <w:rsid w:val="00D45FAE"/>
    <w:rsid w:val="00D4669F"/>
    <w:rsid w:val="00D505CD"/>
    <w:rsid w:val="00D50821"/>
    <w:rsid w:val="00D52D25"/>
    <w:rsid w:val="00D65A57"/>
    <w:rsid w:val="00D66306"/>
    <w:rsid w:val="00D665CF"/>
    <w:rsid w:val="00D66B18"/>
    <w:rsid w:val="00D726DB"/>
    <w:rsid w:val="00D73164"/>
    <w:rsid w:val="00D7331A"/>
    <w:rsid w:val="00D77E53"/>
    <w:rsid w:val="00D8135F"/>
    <w:rsid w:val="00D81DD5"/>
    <w:rsid w:val="00D87BB8"/>
    <w:rsid w:val="00D90BD9"/>
    <w:rsid w:val="00D932C5"/>
    <w:rsid w:val="00D939A7"/>
    <w:rsid w:val="00D9581C"/>
    <w:rsid w:val="00D95DCB"/>
    <w:rsid w:val="00D96184"/>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0EE0"/>
    <w:rsid w:val="00E319F9"/>
    <w:rsid w:val="00E331C7"/>
    <w:rsid w:val="00E35240"/>
    <w:rsid w:val="00E36E18"/>
    <w:rsid w:val="00E37099"/>
    <w:rsid w:val="00E40A15"/>
    <w:rsid w:val="00E40CCE"/>
    <w:rsid w:val="00E43654"/>
    <w:rsid w:val="00E459FA"/>
    <w:rsid w:val="00E45A4B"/>
    <w:rsid w:val="00E46996"/>
    <w:rsid w:val="00E50522"/>
    <w:rsid w:val="00E51B42"/>
    <w:rsid w:val="00E52F87"/>
    <w:rsid w:val="00E55201"/>
    <w:rsid w:val="00E6120D"/>
    <w:rsid w:val="00E61D06"/>
    <w:rsid w:val="00E7043E"/>
    <w:rsid w:val="00E747D9"/>
    <w:rsid w:val="00E75D5D"/>
    <w:rsid w:val="00E766CA"/>
    <w:rsid w:val="00E81F85"/>
    <w:rsid w:val="00E83C9E"/>
    <w:rsid w:val="00E8413D"/>
    <w:rsid w:val="00E84C2A"/>
    <w:rsid w:val="00E90CA1"/>
    <w:rsid w:val="00E91D25"/>
    <w:rsid w:val="00E95F4D"/>
    <w:rsid w:val="00E97067"/>
    <w:rsid w:val="00EA6E8E"/>
    <w:rsid w:val="00EA7978"/>
    <w:rsid w:val="00EA7D19"/>
    <w:rsid w:val="00EB3335"/>
    <w:rsid w:val="00EB7468"/>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4D52"/>
    <w:rsid w:val="00F12233"/>
    <w:rsid w:val="00F12CE1"/>
    <w:rsid w:val="00F14096"/>
    <w:rsid w:val="00F14820"/>
    <w:rsid w:val="00F24C44"/>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CD3"/>
    <w:rsid w:val="00F60EEE"/>
    <w:rsid w:val="00F6204B"/>
    <w:rsid w:val="00F62CDA"/>
    <w:rsid w:val="00F6448C"/>
    <w:rsid w:val="00F65D8A"/>
    <w:rsid w:val="00F67ABF"/>
    <w:rsid w:val="00F74422"/>
    <w:rsid w:val="00F76222"/>
    <w:rsid w:val="00F76228"/>
    <w:rsid w:val="00F83712"/>
    <w:rsid w:val="00F86BEC"/>
    <w:rsid w:val="00F9447B"/>
    <w:rsid w:val="00F944E0"/>
    <w:rsid w:val="00F95C39"/>
    <w:rsid w:val="00FA132A"/>
    <w:rsid w:val="00FA1FC3"/>
    <w:rsid w:val="00FA431A"/>
    <w:rsid w:val="00FA54C6"/>
    <w:rsid w:val="00FA5E0B"/>
    <w:rsid w:val="00FA7BFA"/>
    <w:rsid w:val="00FB00F5"/>
    <w:rsid w:val="00FB0527"/>
    <w:rsid w:val="00FB13EE"/>
    <w:rsid w:val="00FB3A37"/>
    <w:rsid w:val="00FB4998"/>
    <w:rsid w:val="00FB635D"/>
    <w:rsid w:val="00FB6BC1"/>
    <w:rsid w:val="00FC043C"/>
    <w:rsid w:val="00FC0EED"/>
    <w:rsid w:val="00FC11D2"/>
    <w:rsid w:val="00FC1405"/>
    <w:rsid w:val="00FC3C58"/>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01DA"/>
  </w:style>
  <w:style w:type="paragraph" w:styleId="Heading1">
    <w:name w:val="heading 1"/>
    <w:basedOn w:val="Normal"/>
    <w:next w:val="Normal"/>
    <w:link w:val="Heading1Char"/>
    <w:uiPriority w:val="9"/>
    <w:qFormat/>
    <w:rsid w:val="000401D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401D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401D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401D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401D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401DA"/>
    <w:pPr>
      <w:keepNext/>
      <w:keepLines/>
      <w:spacing w:before="40" w:after="0"/>
      <w:outlineLvl w:val="5"/>
    </w:pPr>
  </w:style>
  <w:style w:type="paragraph" w:styleId="Heading7">
    <w:name w:val="heading 7"/>
    <w:basedOn w:val="Normal"/>
    <w:next w:val="Normal"/>
    <w:link w:val="Heading7Char"/>
    <w:uiPriority w:val="9"/>
    <w:semiHidden/>
    <w:unhideWhenUsed/>
    <w:qFormat/>
    <w:rsid w:val="000401D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401D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401D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01D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401D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401D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401DA"/>
    <w:rPr>
      <w:i/>
      <w:iCs/>
    </w:rPr>
  </w:style>
  <w:style w:type="character" w:customStyle="1" w:styleId="Heading5Char">
    <w:name w:val="Heading 5 Char"/>
    <w:basedOn w:val="DefaultParagraphFont"/>
    <w:link w:val="Heading5"/>
    <w:uiPriority w:val="9"/>
    <w:semiHidden/>
    <w:rsid w:val="000401DA"/>
    <w:rPr>
      <w:color w:val="404040" w:themeColor="text1" w:themeTint="BF"/>
    </w:rPr>
  </w:style>
  <w:style w:type="character" w:customStyle="1" w:styleId="Heading6Char">
    <w:name w:val="Heading 6 Char"/>
    <w:basedOn w:val="DefaultParagraphFont"/>
    <w:link w:val="Heading6"/>
    <w:uiPriority w:val="9"/>
    <w:semiHidden/>
    <w:rsid w:val="000401DA"/>
  </w:style>
  <w:style w:type="character" w:customStyle="1" w:styleId="Heading7Char">
    <w:name w:val="Heading 7 Char"/>
    <w:basedOn w:val="DefaultParagraphFont"/>
    <w:link w:val="Heading7"/>
    <w:uiPriority w:val="9"/>
    <w:semiHidden/>
    <w:rsid w:val="000401D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401DA"/>
    <w:rPr>
      <w:color w:val="262626" w:themeColor="text1" w:themeTint="D9"/>
      <w:sz w:val="21"/>
      <w:szCs w:val="21"/>
    </w:rPr>
  </w:style>
  <w:style w:type="character" w:customStyle="1" w:styleId="Heading9Char">
    <w:name w:val="Heading 9 Char"/>
    <w:basedOn w:val="DefaultParagraphFont"/>
    <w:link w:val="Heading9"/>
    <w:uiPriority w:val="9"/>
    <w:semiHidden/>
    <w:rsid w:val="000401D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401D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401D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401D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401D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401DA"/>
    <w:rPr>
      <w:color w:val="5A5A5A" w:themeColor="text1" w:themeTint="A5"/>
      <w:spacing w:val="15"/>
    </w:rPr>
  </w:style>
  <w:style w:type="character" w:styleId="Strong">
    <w:name w:val="Strong"/>
    <w:basedOn w:val="DefaultParagraphFont"/>
    <w:uiPriority w:val="22"/>
    <w:qFormat/>
    <w:rsid w:val="000401DA"/>
    <w:rPr>
      <w:b/>
      <w:bCs/>
      <w:color w:val="auto"/>
    </w:rPr>
  </w:style>
  <w:style w:type="character" w:styleId="Emphasis">
    <w:name w:val="Emphasis"/>
    <w:basedOn w:val="DefaultParagraphFont"/>
    <w:uiPriority w:val="20"/>
    <w:qFormat/>
    <w:rsid w:val="000401DA"/>
    <w:rPr>
      <w:i/>
      <w:iCs/>
      <w:color w:val="auto"/>
    </w:rPr>
  </w:style>
  <w:style w:type="paragraph" w:styleId="NoSpacing">
    <w:name w:val="No Spacing"/>
    <w:uiPriority w:val="1"/>
    <w:qFormat/>
    <w:rsid w:val="000401D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401D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401DA"/>
    <w:rPr>
      <w:i/>
      <w:iCs/>
      <w:color w:val="404040" w:themeColor="text1" w:themeTint="BF"/>
    </w:rPr>
  </w:style>
  <w:style w:type="paragraph" w:styleId="IntenseQuote">
    <w:name w:val="Intense Quote"/>
    <w:basedOn w:val="Normal"/>
    <w:next w:val="Normal"/>
    <w:link w:val="IntenseQuoteChar"/>
    <w:uiPriority w:val="30"/>
    <w:qFormat/>
    <w:rsid w:val="000401D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401DA"/>
    <w:rPr>
      <w:i/>
      <w:iCs/>
      <w:color w:val="404040" w:themeColor="text1" w:themeTint="BF"/>
    </w:rPr>
  </w:style>
  <w:style w:type="character" w:styleId="SubtleEmphasis">
    <w:name w:val="Subtle Emphasis"/>
    <w:basedOn w:val="DefaultParagraphFont"/>
    <w:uiPriority w:val="19"/>
    <w:qFormat/>
    <w:rsid w:val="000401DA"/>
    <w:rPr>
      <w:i/>
      <w:iCs/>
      <w:color w:val="404040" w:themeColor="text1" w:themeTint="BF"/>
    </w:rPr>
  </w:style>
  <w:style w:type="character" w:styleId="IntenseEmphasis">
    <w:name w:val="Intense Emphasis"/>
    <w:basedOn w:val="DefaultParagraphFont"/>
    <w:uiPriority w:val="21"/>
    <w:qFormat/>
    <w:rsid w:val="000401DA"/>
    <w:rPr>
      <w:b/>
      <w:bCs/>
      <w:i/>
      <w:iCs/>
      <w:color w:val="auto"/>
    </w:rPr>
  </w:style>
  <w:style w:type="character" w:styleId="SubtleReference">
    <w:name w:val="Subtle Reference"/>
    <w:basedOn w:val="DefaultParagraphFont"/>
    <w:uiPriority w:val="31"/>
    <w:qFormat/>
    <w:rsid w:val="000401DA"/>
    <w:rPr>
      <w:smallCaps/>
      <w:color w:val="404040" w:themeColor="text1" w:themeTint="BF"/>
    </w:rPr>
  </w:style>
  <w:style w:type="character" w:styleId="IntenseReference">
    <w:name w:val="Intense Reference"/>
    <w:basedOn w:val="DefaultParagraphFont"/>
    <w:uiPriority w:val="32"/>
    <w:qFormat/>
    <w:rsid w:val="000401DA"/>
    <w:rPr>
      <w:b/>
      <w:bCs/>
      <w:smallCaps/>
      <w:color w:val="404040" w:themeColor="text1" w:themeTint="BF"/>
      <w:spacing w:val="5"/>
    </w:rPr>
  </w:style>
  <w:style w:type="character" w:styleId="BookTitle">
    <w:name w:val="Book Title"/>
    <w:basedOn w:val="DefaultParagraphFont"/>
    <w:uiPriority w:val="33"/>
    <w:qFormat/>
    <w:rsid w:val="000401DA"/>
    <w:rPr>
      <w:b/>
      <w:bCs/>
      <w:i/>
      <w:iCs/>
      <w:spacing w:val="5"/>
    </w:rPr>
  </w:style>
  <w:style w:type="paragraph" w:styleId="TOCHeading">
    <w:name w:val="TOC Heading"/>
    <w:basedOn w:val="Heading1"/>
    <w:next w:val="Normal"/>
    <w:uiPriority w:val="39"/>
    <w:semiHidden/>
    <w:unhideWhenUsed/>
    <w:qFormat/>
    <w:rsid w:val="000401D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673F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673F9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73F93"/>
    <w:rPr>
      <w:color w:val="0000FF"/>
      <w:u w:val="single"/>
    </w:rPr>
  </w:style>
  <w:style w:type="character" w:styleId="FollowedHyperlink">
    <w:name w:val="FollowedHyperlink"/>
    <w:basedOn w:val="DefaultParagraphFont"/>
    <w:uiPriority w:val="99"/>
    <w:semiHidden/>
    <w:unhideWhenUsed/>
    <w:rsid w:val="00673F93"/>
    <w:rPr>
      <w:color w:val="800080"/>
      <w:u w:val="single"/>
    </w:rPr>
  </w:style>
  <w:style w:type="paragraph" w:styleId="NormalWeb">
    <w:name w:val="Normal (Web)"/>
    <w:basedOn w:val="Normal"/>
    <w:uiPriority w:val="99"/>
    <w:semiHidden/>
    <w:unhideWhenUsed/>
    <w:rsid w:val="00673F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673F93"/>
  </w:style>
  <w:style w:type="character" w:styleId="UnresolvedMention">
    <w:name w:val="Unresolved Mention"/>
    <w:basedOn w:val="DefaultParagraphFont"/>
    <w:uiPriority w:val="99"/>
    <w:semiHidden/>
    <w:unhideWhenUsed/>
    <w:rsid w:val="00673F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625521">
      <w:bodyDiv w:val="1"/>
      <w:marLeft w:val="0"/>
      <w:marRight w:val="0"/>
      <w:marTop w:val="0"/>
      <w:marBottom w:val="0"/>
      <w:divBdr>
        <w:top w:val="none" w:sz="0" w:space="0" w:color="auto"/>
        <w:left w:val="none" w:sz="0" w:space="0" w:color="auto"/>
        <w:bottom w:val="none" w:sz="0" w:space="0" w:color="auto"/>
        <w:right w:val="none" w:sz="0" w:space="0" w:color="auto"/>
      </w:divBdr>
    </w:div>
    <w:div w:id="197591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web-s-ebscohost-com.libus.csd.mu.edu/ehost/detail/detail?vid=3&amp;sid=3ee04797-65d6-4e15-aeab-6119e7fb4823%40redis&amp;bdata=JnNpdGU9ZWhvc3QtbGl2ZQ%3d%3d" TargetMode="External"/><Relationship Id="rId21" Type="http://schemas.openxmlformats.org/officeDocument/2006/relationships/hyperlink" Target="https://0-web-s-ebscohost-com.libus.csd.mu.edu/ehost/detail/detail?vid=3&amp;sid=3ee04797-65d6-4e15-aeab-6119e7fb4823%40redis&amp;bdata=JnNpdGU9ZWhvc3QtbGl2ZQ%3d%3d" TargetMode="External"/><Relationship Id="rId42" Type="http://schemas.openxmlformats.org/officeDocument/2006/relationships/hyperlink" Target="https://0-web-s-ebscohost-com.libus.csd.mu.edu/ehost/detail/detail?vid=3&amp;sid=3ee04797-65d6-4e15-aeab-6119e7fb4823%40redis&amp;bdata=JnNpdGU9ZWhvc3QtbGl2ZQ%3d%3d" TargetMode="External"/><Relationship Id="rId47" Type="http://schemas.openxmlformats.org/officeDocument/2006/relationships/hyperlink" Target="https://0-web-s-ebscohost-com.libus.csd.mu.edu/ehost/detail/detail?vid=3&amp;sid=3ee04797-65d6-4e15-aeab-6119e7fb4823%40redis&amp;bdata=JnNpdGU9ZWhvc3QtbGl2ZQ%3d%3d" TargetMode="External"/><Relationship Id="rId63" Type="http://schemas.openxmlformats.org/officeDocument/2006/relationships/hyperlink" Target="https://0-web-s-ebscohost-com.libus.csd.mu.edu/ehost/detail/detail?vid=3&amp;sid=3ee04797-65d6-4e15-aeab-6119e7fb4823%40redis&amp;bdata=JnNpdGU9ZWhvc3QtbGl2ZQ%3d%3d" TargetMode="External"/><Relationship Id="rId68" Type="http://schemas.openxmlformats.org/officeDocument/2006/relationships/hyperlink" Target="https://0-web-s-ebscohost-com.libus.csd.mu.edu/ehost/detail/detail?vid=3&amp;sid=3ee04797-65d6-4e15-aeab-6119e7fb4823%40redis&amp;bdata=JnNpdGU9ZWhvc3QtbGl2ZQ%3d%3d" TargetMode="External"/><Relationship Id="rId84" Type="http://schemas.openxmlformats.org/officeDocument/2006/relationships/hyperlink" Target="https://0-web-s-ebscohost-com.libus.csd.mu.edu/ehost/detail/detail?vid=3&amp;sid=3ee04797-65d6-4e15-aeab-6119e7fb4823%40redis&amp;bdata=JnNpdGU9ZWhvc3QtbGl2ZQ%3d%3d" TargetMode="External"/><Relationship Id="rId89" Type="http://schemas.openxmlformats.org/officeDocument/2006/relationships/hyperlink" Target="https://0-web-s-ebscohost-com.libus.csd.mu.edu/ehost/detail/detail?vid=3&amp;sid=3ee04797-65d6-4e15-aeab-6119e7fb4823%40redis&amp;bdata=JnNpdGU9ZWhvc3QtbGl2ZQ%3d%3d" TargetMode="External"/><Relationship Id="rId16" Type="http://schemas.openxmlformats.org/officeDocument/2006/relationships/hyperlink" Target="https://0-web-s-ebscohost-com.libus.csd.mu.edu/ehost/detail/detail?vid=3&amp;sid=3ee04797-65d6-4e15-aeab-6119e7fb4823%40redis&amp;bdata=JnNpdGU9ZWhvc3QtbGl2ZQ%3d%3d" TargetMode="External"/><Relationship Id="rId11" Type="http://schemas.openxmlformats.org/officeDocument/2006/relationships/hyperlink" Target="https://0-web-s-ebscohost-com.libus.csd.mu.edu/ehost/detail/detail?vid=3&amp;sid=3ee04797-65d6-4e15-aeab-6119e7fb4823%40redis&amp;bdata=JnNpdGU9ZWhvc3QtbGl2ZQ%3d%3d" TargetMode="External"/><Relationship Id="rId32" Type="http://schemas.openxmlformats.org/officeDocument/2006/relationships/hyperlink" Target="https://0-web-s-ebscohost-com.libus.csd.mu.edu/ehost/detail/detail?vid=3&amp;sid=3ee04797-65d6-4e15-aeab-6119e7fb4823%40redis&amp;bdata=JnNpdGU9ZWhvc3QtbGl2ZQ%3d%3d" TargetMode="External"/><Relationship Id="rId37" Type="http://schemas.openxmlformats.org/officeDocument/2006/relationships/hyperlink" Target="https://0-web-s-ebscohost-com.libus.csd.mu.edu/ehost/detail/detail?vid=3&amp;sid=3ee04797-65d6-4e15-aeab-6119e7fb4823%40redis&amp;bdata=JnNpdGU9ZWhvc3QtbGl2ZQ%3d%3d" TargetMode="External"/><Relationship Id="rId53" Type="http://schemas.openxmlformats.org/officeDocument/2006/relationships/hyperlink" Target="https://0-web-s-ebscohost-com.libus.csd.mu.edu/ehost/detail/detail?vid=3&amp;sid=3ee04797-65d6-4e15-aeab-6119e7fb4823%40redis&amp;bdata=JnNpdGU9ZWhvc3QtbGl2ZQ%3d%3d" TargetMode="External"/><Relationship Id="rId58" Type="http://schemas.openxmlformats.org/officeDocument/2006/relationships/hyperlink" Target="https://0-web-s-ebscohost-com.libus.csd.mu.edu/ehost/detail/detail?vid=3&amp;sid=3ee04797-65d6-4e15-aeab-6119e7fb4823%40redis&amp;bdata=JnNpdGU9ZWhvc3QtbGl2ZQ%3d%3d" TargetMode="External"/><Relationship Id="rId74" Type="http://schemas.openxmlformats.org/officeDocument/2006/relationships/hyperlink" Target="https://0-web-s-ebscohost-com.libus.csd.mu.edu/ehost/detail/detail?vid=3&amp;sid=3ee04797-65d6-4e15-aeab-6119e7fb4823%40redis&amp;bdata=JnNpdGU9ZWhvc3QtbGl2ZQ%3d%3d" TargetMode="External"/><Relationship Id="rId79" Type="http://schemas.openxmlformats.org/officeDocument/2006/relationships/hyperlink" Target="https://0-web-s-ebscohost-com.libus.csd.mu.edu/ehost/detail/detail?vid=3&amp;sid=3ee04797-65d6-4e15-aeab-6119e7fb4823%40redis&amp;bdata=JnNpdGU9ZWhvc3QtbGl2ZQ%3d%3d" TargetMode="External"/><Relationship Id="rId5" Type="http://schemas.openxmlformats.org/officeDocument/2006/relationships/styles" Target="styles.xml"/><Relationship Id="rId90" Type="http://schemas.openxmlformats.org/officeDocument/2006/relationships/hyperlink" Target="http://www.reputationxchange.com/csr-through-the-eyes-of-cfos" TargetMode="External"/><Relationship Id="rId95" Type="http://schemas.openxmlformats.org/officeDocument/2006/relationships/fontTable" Target="fontTable.xml"/><Relationship Id="rId22" Type="http://schemas.openxmlformats.org/officeDocument/2006/relationships/hyperlink" Target="https://0-web-s-ebscohost-com.libus.csd.mu.edu/ehost/detail/detail?vid=3&amp;sid=3ee04797-65d6-4e15-aeab-6119e7fb4823%40redis&amp;bdata=JnNpdGU9ZWhvc3QtbGl2ZQ%3d%3d" TargetMode="External"/><Relationship Id="rId27" Type="http://schemas.openxmlformats.org/officeDocument/2006/relationships/hyperlink" Target="https://0-web-s-ebscohost-com.libus.csd.mu.edu/ehost/detail/detail?vid=3&amp;sid=3ee04797-65d6-4e15-aeab-6119e7fb4823%40redis&amp;bdata=JnNpdGU9ZWhvc3QtbGl2ZQ%3d%3d" TargetMode="External"/><Relationship Id="rId43" Type="http://schemas.openxmlformats.org/officeDocument/2006/relationships/hyperlink" Target="https://0-web-s-ebscohost-com.libus.csd.mu.edu/ehost/detail/detail?vid=3&amp;sid=3ee04797-65d6-4e15-aeab-6119e7fb4823%40redis&amp;bdata=JnNpdGU9ZWhvc3QtbGl2ZQ%3d%3d" TargetMode="External"/><Relationship Id="rId48" Type="http://schemas.openxmlformats.org/officeDocument/2006/relationships/hyperlink" Target="https://0-web-s-ebscohost-com.libus.csd.mu.edu/ehost/detail/detail?vid=3&amp;sid=3ee04797-65d6-4e15-aeab-6119e7fb4823%40redis&amp;bdata=JnNpdGU9ZWhvc3QtbGl2ZQ%3d%3d" TargetMode="External"/><Relationship Id="rId64" Type="http://schemas.openxmlformats.org/officeDocument/2006/relationships/hyperlink" Target="https://0-web-s-ebscohost-com.libus.csd.mu.edu/ehost/detail/detail?vid=3&amp;sid=3ee04797-65d6-4e15-aeab-6119e7fb4823%40redis&amp;bdata=JnNpdGU9ZWhvc3QtbGl2ZQ%3d%3d" TargetMode="External"/><Relationship Id="rId69" Type="http://schemas.openxmlformats.org/officeDocument/2006/relationships/hyperlink" Target="https://0-web-s-ebscohost-com.libus.csd.mu.edu/ehost/detail/detail?vid=3&amp;sid=3ee04797-65d6-4e15-aeab-6119e7fb4823%40redis&amp;bdata=JnNpdGU9ZWhvc3QtbGl2ZQ%3d%3d" TargetMode="External"/><Relationship Id="rId8" Type="http://schemas.openxmlformats.org/officeDocument/2006/relationships/hyperlink" Target="http://dx.doi.org/10.1111/acfi.12683" TargetMode="External"/><Relationship Id="rId51" Type="http://schemas.openxmlformats.org/officeDocument/2006/relationships/hyperlink" Target="https://0-web-s-ebscohost-com.libus.csd.mu.edu/ehost/detail/detail?vid=3&amp;sid=3ee04797-65d6-4e15-aeab-6119e7fb4823%40redis&amp;bdata=JnNpdGU9ZWhvc3QtbGl2ZQ%3d%3d" TargetMode="External"/><Relationship Id="rId72" Type="http://schemas.openxmlformats.org/officeDocument/2006/relationships/hyperlink" Target="https://0-web-s-ebscohost-com.libus.csd.mu.edu/ehost/detail/detail?vid=3&amp;sid=3ee04797-65d6-4e15-aeab-6119e7fb4823%40redis&amp;bdata=JnNpdGU9ZWhvc3QtbGl2ZQ%3d%3d" TargetMode="External"/><Relationship Id="rId80" Type="http://schemas.openxmlformats.org/officeDocument/2006/relationships/hyperlink" Target="https://0-web-s-ebscohost-com.libus.csd.mu.edu/ehost/detail/detail?vid=3&amp;sid=3ee04797-65d6-4e15-aeab-6119e7fb4823%40redis&amp;bdata=JnNpdGU9ZWhvc3QtbGl2ZQ%3d%3d" TargetMode="External"/><Relationship Id="rId85" Type="http://schemas.openxmlformats.org/officeDocument/2006/relationships/hyperlink" Target="https://0-web-s-ebscohost-com.libus.csd.mu.edu/ehost/detail/detail?vid=3&amp;sid=3ee04797-65d6-4e15-aeab-6119e7fb4823%40redis&amp;bdata=JnNpdGU9ZWhvc3QtbGl2ZQ%3d%3d" TargetMode="External"/><Relationship Id="rId93" Type="http://schemas.openxmlformats.org/officeDocument/2006/relationships/hyperlink" Target="http://www.hbs.edu/faculty/conferences/2013&amp;" TargetMode="External"/><Relationship Id="rId3" Type="http://schemas.openxmlformats.org/officeDocument/2006/relationships/customXml" Target="../customXml/item3.xml"/><Relationship Id="rId12" Type="http://schemas.openxmlformats.org/officeDocument/2006/relationships/hyperlink" Target="https://0-web-s-ebscohost-com.libus.csd.mu.edu/ehost/detail/detail?vid=3&amp;sid=3ee04797-65d6-4e15-aeab-6119e7fb4823%40redis&amp;bdata=JnNpdGU9ZWhvc3QtbGl2ZQ%3d%3d" TargetMode="External"/><Relationship Id="rId17" Type="http://schemas.openxmlformats.org/officeDocument/2006/relationships/hyperlink" Target="https://0-web-s-ebscohost-com.libus.csd.mu.edu/ehost/detail/detail?vid=3&amp;sid=3ee04797-65d6-4e15-aeab-6119e7fb4823%40redis&amp;bdata=JnNpdGU9ZWhvc3QtbGl2ZQ%3d%3d" TargetMode="External"/><Relationship Id="rId25" Type="http://schemas.openxmlformats.org/officeDocument/2006/relationships/hyperlink" Target="https://0-web-s-ebscohost-com.libus.csd.mu.edu/ehost/detail/detail?vid=3&amp;sid=3ee04797-65d6-4e15-aeab-6119e7fb4823%40redis&amp;bdata=JnNpdGU9ZWhvc3QtbGl2ZQ%3d%3d" TargetMode="External"/><Relationship Id="rId33" Type="http://schemas.openxmlformats.org/officeDocument/2006/relationships/hyperlink" Target="https://0-web-s-ebscohost-com.libus.csd.mu.edu/ehost/detail/detail?vid=3&amp;sid=3ee04797-65d6-4e15-aeab-6119e7fb4823%40redis&amp;bdata=JnNpdGU9ZWhvc3QtbGl2ZQ%3d%3d" TargetMode="External"/><Relationship Id="rId38" Type="http://schemas.openxmlformats.org/officeDocument/2006/relationships/hyperlink" Target="https://0-web-s-ebscohost-com.libus.csd.mu.edu/ehost/detail/detail?vid=3&amp;sid=3ee04797-65d6-4e15-aeab-6119e7fb4823%40redis&amp;bdata=JnNpdGU9ZWhvc3QtbGl2ZQ%3d%3d" TargetMode="External"/><Relationship Id="rId46" Type="http://schemas.openxmlformats.org/officeDocument/2006/relationships/hyperlink" Target="https://0-web-s-ebscohost-com.libus.csd.mu.edu/ehost/detail/detail?vid=3&amp;sid=3ee04797-65d6-4e15-aeab-6119e7fb4823%40redis&amp;bdata=JnNpdGU9ZWhvc3QtbGl2ZQ%3d%3d" TargetMode="External"/><Relationship Id="rId59" Type="http://schemas.openxmlformats.org/officeDocument/2006/relationships/hyperlink" Target="https://0-web-s-ebscohost-com.libus.csd.mu.edu/ehost/detail/detail?vid=3&amp;sid=3ee04797-65d6-4e15-aeab-6119e7fb4823%40redis&amp;bdata=JnNpdGU9ZWhvc3QtbGl2ZQ%3d%3d" TargetMode="External"/><Relationship Id="rId67" Type="http://schemas.openxmlformats.org/officeDocument/2006/relationships/hyperlink" Target="https://0-web-s-ebscohost-com.libus.csd.mu.edu/ehost/detail/detail?vid=3&amp;sid=3ee04797-65d6-4e15-aeab-6119e7fb4823%40redis&amp;bdata=JnNpdGU9ZWhvc3QtbGl2ZQ%3d%3d" TargetMode="External"/><Relationship Id="rId20" Type="http://schemas.openxmlformats.org/officeDocument/2006/relationships/hyperlink" Target="https://0-web-s-ebscohost-com.libus.csd.mu.edu/ehost/detail/detail?vid=3&amp;sid=3ee04797-65d6-4e15-aeab-6119e7fb4823%40redis&amp;bdata=JnNpdGU9ZWhvc3QtbGl2ZQ%3d%3d" TargetMode="External"/><Relationship Id="rId41" Type="http://schemas.openxmlformats.org/officeDocument/2006/relationships/hyperlink" Target="https://0-web-s-ebscohost-com.libus.csd.mu.edu/ehost/detail/detail?vid=3&amp;sid=3ee04797-65d6-4e15-aeab-6119e7fb4823%40redis&amp;bdata=JnNpdGU9ZWhvc3QtbGl2ZQ%3d%3d" TargetMode="External"/><Relationship Id="rId54" Type="http://schemas.openxmlformats.org/officeDocument/2006/relationships/hyperlink" Target="https://0-web-s-ebscohost-com.libus.csd.mu.edu/ehost/detail/detail?vid=3&amp;sid=3ee04797-65d6-4e15-aeab-6119e7fb4823%40redis&amp;bdata=JnNpdGU9ZWhvc3QtbGl2ZQ%3d%3d" TargetMode="External"/><Relationship Id="rId62" Type="http://schemas.openxmlformats.org/officeDocument/2006/relationships/hyperlink" Target="https://0-web-s-ebscohost-com.libus.csd.mu.edu/ehost/detail/detail?vid=3&amp;sid=3ee04797-65d6-4e15-aeab-6119e7fb4823%40redis&amp;bdata=JnNpdGU9ZWhvc3QtbGl2ZQ%3d%3d" TargetMode="External"/><Relationship Id="rId70" Type="http://schemas.openxmlformats.org/officeDocument/2006/relationships/hyperlink" Target="https://0-web-s-ebscohost-com.libus.csd.mu.edu/ehost/detail/detail?vid=3&amp;sid=3ee04797-65d6-4e15-aeab-6119e7fb4823%40redis&amp;bdata=JnNpdGU9ZWhvc3QtbGl2ZQ%3d%3d" TargetMode="External"/><Relationship Id="rId75" Type="http://schemas.openxmlformats.org/officeDocument/2006/relationships/hyperlink" Target="https://0-web-s-ebscohost-com.libus.csd.mu.edu/ehost/detail/detail?vid=3&amp;sid=3ee04797-65d6-4e15-aeab-6119e7fb4823%40redis&amp;bdata=JnNpdGU9ZWhvc3QtbGl2ZQ%3d%3d" TargetMode="External"/><Relationship Id="rId83" Type="http://schemas.openxmlformats.org/officeDocument/2006/relationships/hyperlink" Target="https://0-web-s-ebscohost-com.libus.csd.mu.edu/ehost/detail/detail?vid=3&amp;sid=3ee04797-65d6-4e15-aeab-6119e7fb4823%40redis&amp;bdata=JnNpdGU9ZWhvc3QtbGl2ZQ%3d%3d" TargetMode="External"/><Relationship Id="rId88" Type="http://schemas.openxmlformats.org/officeDocument/2006/relationships/hyperlink" Target="https://0-web-s-ebscohost-com.libus.csd.mu.edu/ehost/detail/detail?vid=3&amp;sid=3ee04797-65d6-4e15-aeab-6119e7fb4823%40redis&amp;bdata=JnNpdGU9ZWhvc3QtbGl2ZQ%3d%3d" TargetMode="External"/><Relationship Id="rId91" Type="http://schemas.openxmlformats.org/officeDocument/2006/relationships/hyperlink" Target="http://www.reputationxchange.com/csr-through-the-eyes-of-cfos"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web-s-ebscohost-com.libus.csd.mu.edu/ehost/detail/detail?vid=3&amp;sid=3ee04797-65d6-4e15-aeab-6119e7fb4823%40redis&amp;bdata=JnNpdGU9ZWhvc3QtbGl2ZQ%3d%3d" TargetMode="External"/><Relationship Id="rId23" Type="http://schemas.openxmlformats.org/officeDocument/2006/relationships/hyperlink" Target="https://0-web-s-ebscohost-com.libus.csd.mu.edu/ehost/detail/detail?vid=3&amp;sid=3ee04797-65d6-4e15-aeab-6119e7fb4823%40redis&amp;bdata=JnNpdGU9ZWhvc3QtbGl2ZQ%3d%3d" TargetMode="External"/><Relationship Id="rId28" Type="http://schemas.openxmlformats.org/officeDocument/2006/relationships/hyperlink" Target="https://0-web-s-ebscohost-com.libus.csd.mu.edu/ehost/detail/detail?vid=3&amp;sid=3ee04797-65d6-4e15-aeab-6119e7fb4823%40redis&amp;bdata=JnNpdGU9ZWhvc3QtbGl2ZQ%3d%3d" TargetMode="External"/><Relationship Id="rId36" Type="http://schemas.openxmlformats.org/officeDocument/2006/relationships/hyperlink" Target="https://0-web-s-ebscohost-com.libus.csd.mu.edu/ehost/detail/detail?vid=3&amp;sid=3ee04797-65d6-4e15-aeab-6119e7fb4823%40redis&amp;bdata=JnNpdGU9ZWhvc3QtbGl2ZQ%3d%3d" TargetMode="External"/><Relationship Id="rId49" Type="http://schemas.openxmlformats.org/officeDocument/2006/relationships/hyperlink" Target="https://0-web-s-ebscohost-com.libus.csd.mu.edu/ehost/detail/detail?vid=3&amp;sid=3ee04797-65d6-4e15-aeab-6119e7fb4823%40redis&amp;bdata=JnNpdGU9ZWhvc3QtbGl2ZQ%3d%3d" TargetMode="External"/><Relationship Id="rId57" Type="http://schemas.openxmlformats.org/officeDocument/2006/relationships/hyperlink" Target="https://0-web-s-ebscohost-com.libus.csd.mu.edu/ehost/detail/detail?vid=3&amp;sid=3ee04797-65d6-4e15-aeab-6119e7fb4823%40redis&amp;bdata=JnNpdGU9ZWhvc3QtbGl2ZQ%3d%3d" TargetMode="External"/><Relationship Id="rId10" Type="http://schemas.openxmlformats.org/officeDocument/2006/relationships/hyperlink" Target="https://0-web-s-ebscohost-com.libus.csd.mu.edu/ehost/detail/detail?vid=3&amp;sid=3ee04797-65d6-4e15-aeab-6119e7fb4823%40redis&amp;bdata=JnNpdGU9ZWhvc3QtbGl2ZQ%3d%3d" TargetMode="External"/><Relationship Id="rId31" Type="http://schemas.openxmlformats.org/officeDocument/2006/relationships/hyperlink" Target="https://0-web-s-ebscohost-com.libus.csd.mu.edu/ehost/detail/detail?vid=3&amp;sid=3ee04797-65d6-4e15-aeab-6119e7fb4823%40redis&amp;bdata=JnNpdGU9ZWhvc3QtbGl2ZQ%3d%3d" TargetMode="External"/><Relationship Id="rId44" Type="http://schemas.openxmlformats.org/officeDocument/2006/relationships/hyperlink" Target="https://0-web-s-ebscohost-com.libus.csd.mu.edu/ehost/detail/detail?vid=3&amp;sid=3ee04797-65d6-4e15-aeab-6119e7fb4823%40redis&amp;bdata=JnNpdGU9ZWhvc3QtbGl2ZQ%3d%3d" TargetMode="External"/><Relationship Id="rId52" Type="http://schemas.openxmlformats.org/officeDocument/2006/relationships/hyperlink" Target="https://0-web-s-ebscohost-com.libus.csd.mu.edu/ehost/detail/detail?vid=3&amp;sid=3ee04797-65d6-4e15-aeab-6119e7fb4823%40redis&amp;bdata=JnNpdGU9ZWhvc3QtbGl2ZQ%3d%3d" TargetMode="External"/><Relationship Id="rId60" Type="http://schemas.openxmlformats.org/officeDocument/2006/relationships/hyperlink" Target="https://0-web-s-ebscohost-com.libus.csd.mu.edu/ehost/detail/detail?vid=3&amp;sid=3ee04797-65d6-4e15-aeab-6119e7fb4823%40redis&amp;bdata=JnNpdGU9ZWhvc3QtbGl2ZQ%3d%3d" TargetMode="External"/><Relationship Id="rId65" Type="http://schemas.openxmlformats.org/officeDocument/2006/relationships/hyperlink" Target="https://0-web-s-ebscohost-com.libus.csd.mu.edu/ehost/detail/detail?vid=3&amp;sid=3ee04797-65d6-4e15-aeab-6119e7fb4823%40redis&amp;bdata=JnNpdGU9ZWhvc3QtbGl2ZQ%3d%3d" TargetMode="External"/><Relationship Id="rId73" Type="http://schemas.openxmlformats.org/officeDocument/2006/relationships/hyperlink" Target="https://0-web-s-ebscohost-com.libus.csd.mu.edu/ehost/detail/detail?vid=3&amp;sid=3ee04797-65d6-4e15-aeab-6119e7fb4823%40redis&amp;bdata=JnNpdGU9ZWhvc3QtbGl2ZQ%3d%3d" TargetMode="External"/><Relationship Id="rId78" Type="http://schemas.openxmlformats.org/officeDocument/2006/relationships/hyperlink" Target="https://0-web-s-ebscohost-com.libus.csd.mu.edu/ehost/detail/detail?vid=3&amp;sid=3ee04797-65d6-4e15-aeab-6119e7fb4823%40redis&amp;bdata=JnNpdGU9ZWhvc3QtbGl2ZQ%3d%3d" TargetMode="External"/><Relationship Id="rId81" Type="http://schemas.openxmlformats.org/officeDocument/2006/relationships/hyperlink" Target="https://0-web-s-ebscohost-com.libus.csd.mu.edu/ehost/detail/detail?vid=3&amp;sid=3ee04797-65d6-4e15-aeab-6119e7fb4823%40redis&amp;bdata=JnNpdGU9ZWhvc3QtbGl2ZQ%3d%3d" TargetMode="External"/><Relationship Id="rId86" Type="http://schemas.openxmlformats.org/officeDocument/2006/relationships/hyperlink" Target="https://0-web-s-ebscohost-com.libus.csd.mu.edu/ehost/detail/detail?vid=3&amp;sid=3ee04797-65d6-4e15-aeab-6119e7fb4823%40redis&amp;bdata=JnNpdGU9ZWhvc3QtbGl2ZQ%3d%3d" TargetMode="External"/><Relationship Id="rId94" Type="http://schemas.openxmlformats.org/officeDocument/2006/relationships/hyperlink" Target="http://0-www-nber-org.libus.csd.mu.edu/papers/w18476.pd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web-s-ebscohost-com.libus.csd.mu.edu/ehost/detail/detail?vid=3&amp;sid=3ee04797-65d6-4e15-aeab-6119e7fb4823%40redis&amp;bdata=JnNpdGU9ZWhvc3QtbGl2ZQ%3d%3d" TargetMode="External"/><Relationship Id="rId18" Type="http://schemas.openxmlformats.org/officeDocument/2006/relationships/hyperlink" Target="https://0-web-s-ebscohost-com.libus.csd.mu.edu/ehost/detail/detail?vid=3&amp;sid=3ee04797-65d6-4e15-aeab-6119e7fb4823%40redis&amp;bdata=JnNpdGU9ZWhvc3QtbGl2ZQ%3d%3d" TargetMode="External"/><Relationship Id="rId39" Type="http://schemas.openxmlformats.org/officeDocument/2006/relationships/hyperlink" Target="https://0-web-s-ebscohost-com.libus.csd.mu.edu/ehost/detail/detail?vid=3&amp;sid=3ee04797-65d6-4e15-aeab-6119e7fb4823%40redis&amp;bdata=JnNpdGU9ZWhvc3QtbGl2ZQ%3d%3d" TargetMode="External"/><Relationship Id="rId34" Type="http://schemas.openxmlformats.org/officeDocument/2006/relationships/hyperlink" Target="https://0-web-s-ebscohost-com.libus.csd.mu.edu/ehost/detail/detail?vid=3&amp;sid=3ee04797-65d6-4e15-aeab-6119e7fb4823%40redis&amp;bdata=JnNpdGU9ZWhvc3QtbGl2ZQ%3d%3d" TargetMode="External"/><Relationship Id="rId50" Type="http://schemas.openxmlformats.org/officeDocument/2006/relationships/hyperlink" Target="https://0-web-s-ebscohost-com.libus.csd.mu.edu/ehost/detail/detail?vid=3&amp;sid=3ee04797-65d6-4e15-aeab-6119e7fb4823%40redis&amp;bdata=JnNpdGU9ZWhvc3QtbGl2ZQ%3d%3d" TargetMode="External"/><Relationship Id="rId55" Type="http://schemas.openxmlformats.org/officeDocument/2006/relationships/hyperlink" Target="https://0-web-s-ebscohost-com.libus.csd.mu.edu/ehost/detail/detail?vid=3&amp;sid=3ee04797-65d6-4e15-aeab-6119e7fb4823%40redis&amp;bdata=JnNpdGU9ZWhvc3QtbGl2ZQ%3d%3d" TargetMode="External"/><Relationship Id="rId76" Type="http://schemas.openxmlformats.org/officeDocument/2006/relationships/hyperlink" Target="https://0-web-s-ebscohost-com.libus.csd.mu.edu/ehost/detail/detail?vid=3&amp;sid=3ee04797-65d6-4e15-aeab-6119e7fb4823%40redis&amp;bdata=JnNpdGU9ZWhvc3QtbGl2ZQ%3d%3d" TargetMode="External"/><Relationship Id="rId7" Type="http://schemas.openxmlformats.org/officeDocument/2006/relationships/webSettings" Target="webSettings.xml"/><Relationship Id="rId71" Type="http://schemas.openxmlformats.org/officeDocument/2006/relationships/hyperlink" Target="https://0-web-s-ebscohost-com.libus.csd.mu.edu/ehost/detail/detail?vid=3&amp;sid=3ee04797-65d6-4e15-aeab-6119e7fb4823%40redis&amp;bdata=JnNpdGU9ZWhvc3QtbGl2ZQ%3d%3d" TargetMode="External"/><Relationship Id="rId92" Type="http://schemas.openxmlformats.org/officeDocument/2006/relationships/hyperlink" Target="https://0-web-s-ebscohost-com.libus.csd.mu.edu/ehost/detail/detail?vid=3&amp;sid=3ee04797-65d6-4e15-aeab-6119e7fb4823%40redis&amp;bdata=JnNpdGU9ZWhvc3QtbGl2ZQ%3d%3d" TargetMode="External"/><Relationship Id="rId2" Type="http://schemas.openxmlformats.org/officeDocument/2006/relationships/customXml" Target="../customXml/item2.xml"/><Relationship Id="rId29" Type="http://schemas.openxmlformats.org/officeDocument/2006/relationships/hyperlink" Target="https://0-web-s-ebscohost-com.libus.csd.mu.edu/ehost/detail/detail?vid=3&amp;sid=3ee04797-65d6-4e15-aeab-6119e7fb4823%40redis&amp;bdata=JnNpdGU9ZWhvc3QtbGl2ZQ%3d%3d" TargetMode="External"/><Relationship Id="rId24" Type="http://schemas.openxmlformats.org/officeDocument/2006/relationships/hyperlink" Target="https://0-web-s-ebscohost-com.libus.csd.mu.edu/ehost/detail/detail?vid=3&amp;sid=3ee04797-65d6-4e15-aeab-6119e7fb4823%40redis&amp;bdata=JnNpdGU9ZWhvc3QtbGl2ZQ%3d%3d" TargetMode="External"/><Relationship Id="rId40" Type="http://schemas.openxmlformats.org/officeDocument/2006/relationships/hyperlink" Target="https://0-web-s-ebscohost-com.libus.csd.mu.edu/ehost/detail/detail?vid=3&amp;sid=3ee04797-65d6-4e15-aeab-6119e7fb4823%40redis&amp;bdata=JnNpdGU9ZWhvc3QtbGl2ZQ%3d%3d" TargetMode="External"/><Relationship Id="rId45" Type="http://schemas.openxmlformats.org/officeDocument/2006/relationships/hyperlink" Target="https://0-web-s-ebscohost-com.libus.csd.mu.edu/ehost/detail/detail?vid=3&amp;sid=3ee04797-65d6-4e15-aeab-6119e7fb4823%40redis&amp;bdata=JnNpdGU9ZWhvc3QtbGl2ZQ%3d%3d" TargetMode="External"/><Relationship Id="rId66" Type="http://schemas.openxmlformats.org/officeDocument/2006/relationships/hyperlink" Target="https://0-web-s-ebscohost-com.libus.csd.mu.edu/ehost/detail/detail?vid=3&amp;sid=3ee04797-65d6-4e15-aeab-6119e7fb4823%40redis&amp;bdata=JnNpdGU9ZWhvc3QtbGl2ZQ%3d%3d" TargetMode="External"/><Relationship Id="rId87" Type="http://schemas.openxmlformats.org/officeDocument/2006/relationships/hyperlink" Target="https://0-web-s-ebscohost-com.libus.csd.mu.edu/ehost/detail/detail?vid=3&amp;sid=3ee04797-65d6-4e15-aeab-6119e7fb4823%40redis&amp;bdata=JnNpdGU9ZWhvc3QtbGl2ZQ%3d%3d" TargetMode="External"/><Relationship Id="rId61" Type="http://schemas.openxmlformats.org/officeDocument/2006/relationships/hyperlink" Target="https://0-web-s-ebscohost-com.libus.csd.mu.edu/ehost/detail/detail?vid=3&amp;sid=3ee04797-65d6-4e15-aeab-6119e7fb4823%40redis&amp;bdata=JnNpdGU9ZWhvc3QtbGl2ZQ%3d%3d" TargetMode="External"/><Relationship Id="rId82" Type="http://schemas.openxmlformats.org/officeDocument/2006/relationships/hyperlink" Target="https://0-web-s-ebscohost-com.libus.csd.mu.edu/ehost/detail/detail?vid=3&amp;sid=3ee04797-65d6-4e15-aeab-6119e7fb4823%40redis&amp;bdata=JnNpdGU9ZWhvc3QtbGl2ZQ%3d%3d" TargetMode="External"/><Relationship Id="rId19" Type="http://schemas.openxmlformats.org/officeDocument/2006/relationships/hyperlink" Target="https://0-web-s-ebscohost-com.libus.csd.mu.edu/ehost/detail/detail?vid=3&amp;sid=3ee04797-65d6-4e15-aeab-6119e7fb4823%40redis&amp;bdata=JnNpdGU9ZWhvc3QtbGl2ZQ%3d%3d" TargetMode="External"/><Relationship Id="rId14" Type="http://schemas.openxmlformats.org/officeDocument/2006/relationships/hyperlink" Target="https://0-web-s-ebscohost-com.libus.csd.mu.edu/ehost/detail/detail?vid=3&amp;sid=3ee04797-65d6-4e15-aeab-6119e7fb4823%40redis&amp;bdata=JnNpdGU9ZWhvc3QtbGl2ZQ%3d%3d" TargetMode="External"/><Relationship Id="rId30" Type="http://schemas.openxmlformats.org/officeDocument/2006/relationships/hyperlink" Target="https://0-web-s-ebscohost-com.libus.csd.mu.edu/ehost/detail/detail?vid=3&amp;sid=3ee04797-65d6-4e15-aeab-6119e7fb4823%40redis&amp;bdata=JnNpdGU9ZWhvc3QtbGl2ZQ%3d%3d" TargetMode="External"/><Relationship Id="rId35" Type="http://schemas.openxmlformats.org/officeDocument/2006/relationships/hyperlink" Target="https://0-web-s-ebscohost-com.libus.csd.mu.edu/ehost/detail/detail?vid=3&amp;sid=3ee04797-65d6-4e15-aeab-6119e7fb4823%40redis&amp;bdata=JnNpdGU9ZWhvc3QtbGl2ZQ%3d%3d" TargetMode="External"/><Relationship Id="rId56" Type="http://schemas.openxmlformats.org/officeDocument/2006/relationships/hyperlink" Target="https://0-web-s-ebscohost-com.libus.csd.mu.edu/ehost/detail/detail?vid=3&amp;sid=3ee04797-65d6-4e15-aeab-6119e7fb4823%40redis&amp;bdata=JnNpdGU9ZWhvc3QtbGl2ZQ%3d%3d" TargetMode="External"/><Relationship Id="rId77" Type="http://schemas.openxmlformats.org/officeDocument/2006/relationships/hyperlink" Target="https://0-web-s-ebscohost-com.libus.csd.mu.edu/ehost/detail/detail?vid=3&amp;sid=3ee04797-65d6-4e15-aeab-6119e7fb4823%40redis&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43</Pages>
  <Words>20242</Words>
  <Characters>115385</Characters>
  <Application>Microsoft Office Word</Application>
  <DocSecurity>8</DocSecurity>
  <Lines>961</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147</cp:revision>
  <dcterms:created xsi:type="dcterms:W3CDTF">2022-08-05T13:00:00Z</dcterms:created>
  <dcterms:modified xsi:type="dcterms:W3CDTF">2022-08-08T13:55:00Z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