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14F37" w:rsidRDefault="000A7622" w:rsidP="00A14F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A14F37" w:rsidRDefault="000A7622" w:rsidP="00A14F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A14F37">
        <w:rPr>
          <w:rFonts w:cstheme="minorHAnsi"/>
          <w:b/>
          <w:bCs/>
          <w:color w:val="316192"/>
          <w:sz w:val="28"/>
          <w:szCs w:val="26"/>
        </w:rPr>
        <w:t>Marquette University</w:t>
      </w:r>
    </w:p>
    <w:p w14:paraId="158D4B9F" w14:textId="77777777" w:rsidR="000A7622" w:rsidRPr="00A14F37" w:rsidRDefault="000A7622" w:rsidP="00A14F37">
      <w:pPr>
        <w:autoSpaceDE w:val="0"/>
        <w:autoSpaceDN w:val="0"/>
        <w:adjustRightInd w:val="0"/>
        <w:spacing w:line="240" w:lineRule="auto"/>
        <w:rPr>
          <w:rFonts w:cstheme="minorHAnsi"/>
          <w:b/>
          <w:bCs/>
          <w:color w:val="316192"/>
          <w:sz w:val="40"/>
          <w:szCs w:val="36"/>
        </w:rPr>
      </w:pPr>
      <w:proofErr w:type="spellStart"/>
      <w:r w:rsidRPr="00A14F37">
        <w:rPr>
          <w:rFonts w:cstheme="minorHAnsi"/>
          <w:b/>
          <w:bCs/>
          <w:color w:val="316192"/>
          <w:sz w:val="40"/>
          <w:szCs w:val="36"/>
        </w:rPr>
        <w:t>e-Publications@Marquette</w:t>
      </w:r>
      <w:proofErr w:type="spellEnd"/>
    </w:p>
    <w:p w14:paraId="689ACF87" w14:textId="77777777" w:rsidR="000A7622" w:rsidRPr="00A14F37" w:rsidRDefault="000A7622" w:rsidP="00A14F37">
      <w:pPr>
        <w:autoSpaceDE w:val="0"/>
        <w:autoSpaceDN w:val="0"/>
        <w:adjustRightInd w:val="0"/>
        <w:spacing w:line="240" w:lineRule="auto"/>
        <w:rPr>
          <w:rFonts w:cstheme="minorHAnsi"/>
          <w:b/>
          <w:bCs/>
          <w:i/>
          <w:iCs/>
        </w:rPr>
      </w:pPr>
    </w:p>
    <w:p w14:paraId="161853CC" w14:textId="67D5FA5E" w:rsidR="000A7622" w:rsidRPr="00A14F37" w:rsidRDefault="002F4444" w:rsidP="00A14F37">
      <w:pPr>
        <w:autoSpaceDE w:val="0"/>
        <w:autoSpaceDN w:val="0"/>
        <w:adjustRightInd w:val="0"/>
        <w:spacing w:line="240" w:lineRule="auto"/>
        <w:rPr>
          <w:rFonts w:cstheme="minorHAnsi"/>
          <w:b/>
          <w:bCs/>
          <w:i/>
          <w:iCs/>
          <w:sz w:val="32"/>
          <w:szCs w:val="32"/>
        </w:rPr>
      </w:pPr>
      <w:r w:rsidRPr="00A14F37">
        <w:rPr>
          <w:rFonts w:cstheme="minorHAnsi"/>
          <w:b/>
          <w:bCs/>
          <w:i/>
          <w:iCs/>
          <w:sz w:val="32"/>
          <w:szCs w:val="32"/>
        </w:rPr>
        <w:t xml:space="preserve">Exercise Science </w:t>
      </w:r>
      <w:r w:rsidR="000A7622" w:rsidRPr="00A14F37">
        <w:rPr>
          <w:rFonts w:cstheme="minorHAnsi"/>
          <w:b/>
          <w:bCs/>
          <w:i/>
          <w:iCs/>
          <w:sz w:val="32"/>
          <w:szCs w:val="32"/>
        </w:rPr>
        <w:t>Faculty Research and Publications/</w:t>
      </w:r>
      <w:r w:rsidR="009732A9" w:rsidRPr="00A14F37">
        <w:rPr>
          <w:rFonts w:cstheme="minorHAnsi"/>
          <w:b/>
          <w:bCs/>
          <w:i/>
          <w:iCs/>
          <w:sz w:val="32"/>
          <w:szCs w:val="32"/>
        </w:rPr>
        <w:t xml:space="preserve">College of </w:t>
      </w:r>
      <w:r w:rsidR="00471195" w:rsidRPr="00A14F37">
        <w:rPr>
          <w:rFonts w:cstheme="minorHAnsi"/>
          <w:b/>
          <w:bCs/>
          <w:i/>
          <w:iCs/>
          <w:sz w:val="32"/>
          <w:szCs w:val="32"/>
        </w:rPr>
        <w:t>Health Sciences</w:t>
      </w:r>
    </w:p>
    <w:bookmarkEnd w:id="1"/>
    <w:p w14:paraId="3E538636" w14:textId="77777777" w:rsidR="000A7622" w:rsidRPr="00A14F37" w:rsidRDefault="000A7622" w:rsidP="00A14F37">
      <w:pPr>
        <w:spacing w:line="240" w:lineRule="auto"/>
        <w:jc w:val="center"/>
        <w:rPr>
          <w:rFonts w:cstheme="minorHAnsi"/>
          <w:b/>
          <w:bCs/>
          <w:i/>
          <w:iCs/>
        </w:rPr>
      </w:pPr>
    </w:p>
    <w:p w14:paraId="25509BF0" w14:textId="30FE69F1" w:rsidR="000A7622" w:rsidRPr="00A14F37" w:rsidRDefault="000A7622" w:rsidP="00A14F37">
      <w:pPr>
        <w:spacing w:line="240" w:lineRule="auto"/>
        <w:jc w:val="center"/>
        <w:rPr>
          <w:rFonts w:cstheme="minorHAnsi"/>
          <w:sz w:val="24"/>
          <w:szCs w:val="24"/>
        </w:rPr>
      </w:pPr>
      <w:r w:rsidRPr="00A14F37">
        <w:rPr>
          <w:rFonts w:cstheme="minorHAnsi"/>
          <w:b/>
          <w:bCs/>
          <w:i/>
          <w:iCs/>
          <w:sz w:val="24"/>
          <w:szCs w:val="24"/>
        </w:rPr>
        <w:t xml:space="preserve">This paper is NOT THE PUBLISHED VERSION; </w:t>
      </w:r>
      <w:r w:rsidRPr="00A14F37">
        <w:rPr>
          <w:rFonts w:cstheme="minorHAnsi"/>
          <w:b/>
          <w:bCs/>
          <w:sz w:val="24"/>
          <w:szCs w:val="24"/>
        </w:rPr>
        <w:t xml:space="preserve">but the author’s final, peer-reviewed manuscript. </w:t>
      </w:r>
      <w:r w:rsidRPr="00A14F37">
        <w:rPr>
          <w:rFonts w:cstheme="minorHAnsi"/>
          <w:sz w:val="24"/>
          <w:szCs w:val="24"/>
        </w:rPr>
        <w:t>The published version may be accessed by following the link in th</w:t>
      </w:r>
      <w:r w:rsidR="006073C7" w:rsidRPr="00A14F37">
        <w:rPr>
          <w:rFonts w:cstheme="minorHAnsi"/>
          <w:sz w:val="24"/>
          <w:szCs w:val="24"/>
        </w:rPr>
        <w:t>e</w:t>
      </w:r>
      <w:r w:rsidRPr="00A14F37">
        <w:rPr>
          <w:rFonts w:cstheme="minorHAnsi"/>
          <w:sz w:val="24"/>
          <w:szCs w:val="24"/>
        </w:rPr>
        <w:t xml:space="preserve"> citation below.</w:t>
      </w:r>
    </w:p>
    <w:p w14:paraId="207B0342" w14:textId="77777777" w:rsidR="000A7622" w:rsidRPr="00A14F37" w:rsidRDefault="000A7622" w:rsidP="00A14F37">
      <w:pPr>
        <w:spacing w:line="240" w:lineRule="auto"/>
        <w:jc w:val="center"/>
        <w:rPr>
          <w:rFonts w:cstheme="minorHAnsi"/>
          <w:sz w:val="24"/>
          <w:szCs w:val="24"/>
        </w:rPr>
      </w:pPr>
    </w:p>
    <w:p w14:paraId="2A38AFE1" w14:textId="788C36DC" w:rsidR="000A7622" w:rsidRPr="00A14F37" w:rsidRDefault="000418D5" w:rsidP="00A14F37">
      <w:pPr>
        <w:spacing w:line="240" w:lineRule="auto"/>
        <w:rPr>
          <w:rFonts w:cstheme="minorHAnsi"/>
          <w:sz w:val="24"/>
          <w:szCs w:val="24"/>
        </w:rPr>
      </w:pPr>
      <w:r>
        <w:rPr>
          <w:rFonts w:cstheme="minorHAnsi"/>
          <w:i/>
          <w:sz w:val="24"/>
          <w:szCs w:val="24"/>
        </w:rPr>
        <w:t>Journal of Applied Physiology</w:t>
      </w:r>
      <w:r w:rsidR="000A7622" w:rsidRPr="00A14F37">
        <w:rPr>
          <w:rFonts w:cstheme="minorHAnsi"/>
          <w:sz w:val="24"/>
          <w:szCs w:val="24"/>
          <w:lang w:val="fr-FR"/>
        </w:rPr>
        <w:t xml:space="preserve">, Vol. </w:t>
      </w:r>
      <w:r>
        <w:rPr>
          <w:rFonts w:cstheme="minorHAnsi"/>
          <w:sz w:val="24"/>
          <w:szCs w:val="24"/>
          <w:lang w:val="fr-FR"/>
        </w:rPr>
        <w:t>126</w:t>
      </w:r>
      <w:r w:rsidR="000A7622" w:rsidRPr="00A14F37">
        <w:rPr>
          <w:rFonts w:cstheme="minorHAnsi"/>
          <w:sz w:val="24"/>
          <w:szCs w:val="24"/>
          <w:lang w:val="fr-FR"/>
        </w:rPr>
        <w:t xml:space="preserve"> No. </w:t>
      </w:r>
      <w:r>
        <w:rPr>
          <w:rFonts w:cstheme="minorHAnsi"/>
          <w:sz w:val="24"/>
          <w:szCs w:val="24"/>
          <w:lang w:val="fr-FR"/>
        </w:rPr>
        <w:t>6</w:t>
      </w:r>
      <w:r w:rsidR="000A7622" w:rsidRPr="00A14F37">
        <w:rPr>
          <w:rFonts w:cstheme="minorHAnsi"/>
          <w:sz w:val="24"/>
          <w:szCs w:val="24"/>
          <w:lang w:val="fr-FR"/>
        </w:rPr>
        <w:t xml:space="preserve"> (</w:t>
      </w:r>
      <w:r w:rsidR="00FF3F69">
        <w:rPr>
          <w:rFonts w:cstheme="minorHAnsi"/>
          <w:sz w:val="24"/>
          <w:szCs w:val="24"/>
          <w:lang w:val="fr-FR"/>
        </w:rPr>
        <w:t>June 2019</w:t>
      </w:r>
      <w:r w:rsidR="000A7622" w:rsidRPr="00A14F37">
        <w:rPr>
          <w:rFonts w:cstheme="minorHAnsi"/>
          <w:sz w:val="24"/>
          <w:szCs w:val="24"/>
          <w:lang w:val="fr-FR"/>
        </w:rPr>
        <w:t xml:space="preserve">): </w:t>
      </w:r>
      <w:r w:rsidR="00FF3F69">
        <w:rPr>
          <w:rFonts w:cstheme="minorHAnsi"/>
          <w:sz w:val="24"/>
          <w:szCs w:val="24"/>
          <w:lang w:val="fr-FR"/>
        </w:rPr>
        <w:t>1701-1712</w:t>
      </w:r>
      <w:r w:rsidR="000A7622" w:rsidRPr="00A14F37">
        <w:rPr>
          <w:rFonts w:cstheme="minorHAnsi"/>
          <w:sz w:val="24"/>
          <w:szCs w:val="24"/>
          <w:lang w:val="fr-FR"/>
        </w:rPr>
        <w:t xml:space="preserve">. </w:t>
      </w:r>
      <w:hyperlink r:id="rId8" w:history="1">
        <w:r w:rsidR="000A7622" w:rsidRPr="00A14F37">
          <w:rPr>
            <w:rFonts w:cstheme="minorHAnsi"/>
            <w:color w:val="0563C1" w:themeColor="hyperlink"/>
            <w:sz w:val="24"/>
            <w:szCs w:val="24"/>
            <w:u w:val="single"/>
            <w:lang w:val="fr-FR"/>
          </w:rPr>
          <w:t>DOI</w:t>
        </w:r>
      </w:hyperlink>
      <w:r w:rsidR="000A7622" w:rsidRPr="00A14F37">
        <w:rPr>
          <w:rFonts w:cstheme="minorHAnsi"/>
          <w:sz w:val="24"/>
          <w:szCs w:val="24"/>
          <w:lang w:val="fr-FR"/>
        </w:rPr>
        <w:t xml:space="preserve">. </w:t>
      </w:r>
      <w:r w:rsidR="000A7622" w:rsidRPr="00A14F37">
        <w:rPr>
          <w:rFonts w:cstheme="minorHAnsi"/>
          <w:sz w:val="24"/>
          <w:szCs w:val="24"/>
        </w:rPr>
        <w:t xml:space="preserve">This article is © </w:t>
      </w:r>
      <w:r w:rsidR="00CE1AC9">
        <w:rPr>
          <w:rFonts w:cstheme="minorHAnsi"/>
          <w:sz w:val="24"/>
          <w:szCs w:val="24"/>
        </w:rPr>
        <w:t>American Physiological Society</w:t>
      </w:r>
      <w:r w:rsidR="000A7622" w:rsidRPr="00A14F37">
        <w:rPr>
          <w:rFonts w:cstheme="minorHAnsi"/>
          <w:sz w:val="24"/>
          <w:szCs w:val="24"/>
        </w:rPr>
        <w:t xml:space="preserve"> and permission has been granted for this version to appear in </w:t>
      </w:r>
      <w:hyperlink r:id="rId9" w:history="1">
        <w:proofErr w:type="spellStart"/>
        <w:r w:rsidR="000A7622" w:rsidRPr="00A14F37">
          <w:rPr>
            <w:rFonts w:cstheme="minorHAnsi"/>
            <w:color w:val="0563C1" w:themeColor="hyperlink"/>
            <w:sz w:val="24"/>
            <w:szCs w:val="24"/>
            <w:u w:val="single"/>
          </w:rPr>
          <w:t>e-Publications@Marquette</w:t>
        </w:r>
        <w:proofErr w:type="spellEnd"/>
      </w:hyperlink>
      <w:r w:rsidR="000A7622" w:rsidRPr="00A14F37">
        <w:rPr>
          <w:rFonts w:cstheme="minorHAnsi"/>
          <w:sz w:val="24"/>
          <w:szCs w:val="24"/>
        </w:rPr>
        <w:t xml:space="preserve">. </w:t>
      </w:r>
      <w:r w:rsidR="00CE1AC9">
        <w:rPr>
          <w:rFonts w:cstheme="minorHAnsi"/>
          <w:sz w:val="24"/>
          <w:szCs w:val="24"/>
        </w:rPr>
        <w:t>American Physiological Society</w:t>
      </w:r>
      <w:r w:rsidR="006073C7" w:rsidRPr="00A14F37">
        <w:rPr>
          <w:rFonts w:cstheme="minorHAnsi"/>
          <w:sz w:val="24"/>
          <w:szCs w:val="24"/>
        </w:rPr>
        <w:t xml:space="preserve"> </w:t>
      </w:r>
      <w:r w:rsidR="000A7622" w:rsidRPr="00A14F37">
        <w:rPr>
          <w:rFonts w:cstheme="minorHAnsi"/>
          <w:sz w:val="24"/>
          <w:szCs w:val="24"/>
        </w:rPr>
        <w:t xml:space="preserve">does not grant permission for this article to be further copied/distributed or hosted elsewhere without the express permission from </w:t>
      </w:r>
      <w:r w:rsidR="00CE1AC9">
        <w:rPr>
          <w:rFonts w:cstheme="minorHAnsi"/>
          <w:sz w:val="24"/>
          <w:szCs w:val="24"/>
        </w:rPr>
        <w:t>American Physiological Society</w:t>
      </w:r>
      <w:r w:rsidR="000A7622" w:rsidRPr="00A14F37">
        <w:rPr>
          <w:rFonts w:cstheme="minorHAnsi"/>
          <w:sz w:val="24"/>
          <w:szCs w:val="24"/>
        </w:rPr>
        <w:t xml:space="preserve">. </w:t>
      </w:r>
    </w:p>
    <w:bookmarkEnd w:id="2"/>
    <w:p w14:paraId="5BF6C8A5" w14:textId="47C869BC" w:rsidR="00A64DE7" w:rsidRPr="00A14F37" w:rsidRDefault="00A64DE7" w:rsidP="00A14F37">
      <w:pPr>
        <w:spacing w:line="240" w:lineRule="auto"/>
        <w:rPr>
          <w:rFonts w:cstheme="minorHAnsi"/>
        </w:rPr>
      </w:pPr>
    </w:p>
    <w:p w14:paraId="6E8D334D" w14:textId="39F6014A" w:rsidR="00F617EE" w:rsidRPr="00A14F37" w:rsidRDefault="00F617EE" w:rsidP="00A14F37">
      <w:pPr>
        <w:spacing w:line="240" w:lineRule="auto"/>
        <w:rPr>
          <w:rFonts w:cstheme="minorHAnsi"/>
        </w:rPr>
      </w:pPr>
    </w:p>
    <w:p w14:paraId="609D6789" w14:textId="57000F2D" w:rsidR="00EF1933" w:rsidRPr="00A14F37" w:rsidRDefault="00EF1933" w:rsidP="00A14F37">
      <w:pPr>
        <w:pStyle w:val="Title"/>
        <w:rPr>
          <w:rFonts w:asciiTheme="minorHAnsi" w:hAnsiTheme="minorHAnsi"/>
        </w:rPr>
      </w:pPr>
      <w:r w:rsidRPr="00A14F37">
        <w:rPr>
          <w:rFonts w:asciiTheme="minorHAnsi" w:hAnsiTheme="minorHAnsi"/>
        </w:rPr>
        <w:t>Menstrual cycle-associated modulations in neuromuscular function and fatigability of the knee extensors in eumenorrheic women</w:t>
      </w:r>
    </w:p>
    <w:p w14:paraId="38530F02" w14:textId="65739B83" w:rsidR="00EF1933" w:rsidRPr="00A14F37" w:rsidRDefault="00EF1933" w:rsidP="00A14F37">
      <w:pPr>
        <w:spacing w:line="240" w:lineRule="auto"/>
      </w:pPr>
    </w:p>
    <w:p w14:paraId="0F6C51D4" w14:textId="0DC64E50" w:rsidR="00D87A49" w:rsidRPr="00A14F37" w:rsidRDefault="00D87A49" w:rsidP="000A5843">
      <w:pPr>
        <w:spacing w:after="0" w:line="240" w:lineRule="auto"/>
        <w:rPr>
          <w:sz w:val="28"/>
          <w:szCs w:val="28"/>
        </w:rPr>
      </w:pPr>
      <w:r w:rsidRPr="00A14F37">
        <w:rPr>
          <w:sz w:val="28"/>
          <w:szCs w:val="28"/>
        </w:rPr>
        <w:t xml:space="preserve">Paul </w:t>
      </w:r>
      <w:proofErr w:type="spellStart"/>
      <w:r w:rsidRPr="00A14F37">
        <w:rPr>
          <w:sz w:val="28"/>
          <w:szCs w:val="28"/>
        </w:rPr>
        <w:t>Ansdell</w:t>
      </w:r>
      <w:proofErr w:type="spellEnd"/>
    </w:p>
    <w:p w14:paraId="3E5267C1" w14:textId="06E76BD3" w:rsidR="00110825"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18FDECC8" w14:textId="09711790" w:rsidR="00D87A49" w:rsidRPr="00A14F37" w:rsidRDefault="00D87A49" w:rsidP="000A5843">
      <w:pPr>
        <w:spacing w:after="0" w:line="240" w:lineRule="auto"/>
        <w:rPr>
          <w:sz w:val="28"/>
          <w:szCs w:val="28"/>
        </w:rPr>
      </w:pPr>
      <w:proofErr w:type="spellStart"/>
      <w:r w:rsidRPr="00A14F37">
        <w:rPr>
          <w:sz w:val="28"/>
          <w:szCs w:val="28"/>
        </w:rPr>
        <w:t>Callum</w:t>
      </w:r>
      <w:proofErr w:type="spellEnd"/>
      <w:r w:rsidRPr="00A14F37">
        <w:rPr>
          <w:sz w:val="28"/>
          <w:szCs w:val="28"/>
        </w:rPr>
        <w:t xml:space="preserve"> G. Brownstein</w:t>
      </w:r>
    </w:p>
    <w:p w14:paraId="52A1B66B" w14:textId="5B44B910" w:rsidR="00D87A49"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7C7BC50C" w14:textId="5826C1E5" w:rsidR="00493D15" w:rsidRPr="00A14F37" w:rsidRDefault="00493D15" w:rsidP="000A5843">
      <w:pPr>
        <w:spacing w:after="0" w:line="240" w:lineRule="auto"/>
      </w:pPr>
      <w:proofErr w:type="spellStart"/>
      <w:r w:rsidRPr="00A14F37">
        <w:t>Université</w:t>
      </w:r>
      <w:proofErr w:type="spellEnd"/>
      <w:r w:rsidRPr="00A14F37">
        <w:t xml:space="preserve"> Lyon, UJM-Saint-Etienne, Inter-university Laboratory of Human Movement Biology, Saint-Etienne, France</w:t>
      </w:r>
    </w:p>
    <w:p w14:paraId="7B9A7C2A" w14:textId="20E00F2C" w:rsidR="00D87A49" w:rsidRPr="00A14F37" w:rsidRDefault="00D87A49" w:rsidP="000A5843">
      <w:pPr>
        <w:spacing w:after="0" w:line="240" w:lineRule="auto"/>
        <w:rPr>
          <w:sz w:val="28"/>
          <w:szCs w:val="28"/>
        </w:rPr>
      </w:pPr>
      <w:r w:rsidRPr="00A14F37">
        <w:rPr>
          <w:sz w:val="28"/>
          <w:szCs w:val="28"/>
        </w:rPr>
        <w:t xml:space="preserve">Jakob </w:t>
      </w:r>
      <w:proofErr w:type="spellStart"/>
      <w:r w:rsidRPr="00A14F37">
        <w:rPr>
          <w:sz w:val="28"/>
          <w:szCs w:val="28"/>
        </w:rPr>
        <w:t>Škarabot</w:t>
      </w:r>
      <w:proofErr w:type="spellEnd"/>
    </w:p>
    <w:p w14:paraId="48BBE4EF" w14:textId="7EEF487A" w:rsidR="00110825"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0486DB1A" w14:textId="77777777" w:rsidR="00831F20" w:rsidRPr="00A14F37" w:rsidRDefault="00831F20" w:rsidP="000A5843">
      <w:pPr>
        <w:spacing w:after="0" w:line="240" w:lineRule="auto"/>
        <w:rPr>
          <w:sz w:val="28"/>
          <w:szCs w:val="28"/>
        </w:rPr>
      </w:pPr>
    </w:p>
    <w:p w14:paraId="6B25C6AE" w14:textId="29D5A77B" w:rsidR="00D87A49" w:rsidRPr="00A14F37" w:rsidRDefault="00D87A49" w:rsidP="000A5843">
      <w:pPr>
        <w:spacing w:after="0" w:line="240" w:lineRule="auto"/>
        <w:rPr>
          <w:sz w:val="28"/>
          <w:szCs w:val="28"/>
        </w:rPr>
      </w:pPr>
      <w:r w:rsidRPr="00A14F37">
        <w:rPr>
          <w:sz w:val="28"/>
          <w:szCs w:val="28"/>
        </w:rPr>
        <w:t>Kirsty M. Hicks</w:t>
      </w:r>
    </w:p>
    <w:p w14:paraId="442F7C5A" w14:textId="71520EC4" w:rsidR="00110825" w:rsidRPr="00A14F37" w:rsidRDefault="00CC0A22" w:rsidP="000A5843">
      <w:pPr>
        <w:spacing w:after="0" w:line="240" w:lineRule="auto"/>
        <w:rPr>
          <w:sz w:val="28"/>
          <w:szCs w:val="28"/>
        </w:rPr>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00003367" w14:textId="1379D7D5" w:rsidR="00D87A49" w:rsidRPr="00A14F37" w:rsidRDefault="00D87A49" w:rsidP="000A5843">
      <w:pPr>
        <w:spacing w:after="0" w:line="240" w:lineRule="auto"/>
        <w:rPr>
          <w:sz w:val="28"/>
          <w:szCs w:val="28"/>
        </w:rPr>
      </w:pPr>
      <w:r w:rsidRPr="00A14F37">
        <w:rPr>
          <w:sz w:val="28"/>
          <w:szCs w:val="28"/>
        </w:rPr>
        <w:t xml:space="preserve">Davina C. M. </w:t>
      </w:r>
      <w:proofErr w:type="spellStart"/>
      <w:r w:rsidRPr="00A14F37">
        <w:rPr>
          <w:sz w:val="28"/>
          <w:szCs w:val="28"/>
        </w:rPr>
        <w:t>Simoes</w:t>
      </w:r>
      <w:proofErr w:type="spellEnd"/>
    </w:p>
    <w:p w14:paraId="0E16C5B5" w14:textId="12D58BCE" w:rsidR="00CC0A22"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518DC708" w14:textId="42D405DE" w:rsidR="00D87A49" w:rsidRPr="00A14F37" w:rsidRDefault="00D87A49" w:rsidP="000A5843">
      <w:pPr>
        <w:spacing w:after="0" w:line="240" w:lineRule="auto"/>
        <w:rPr>
          <w:sz w:val="28"/>
          <w:szCs w:val="28"/>
        </w:rPr>
      </w:pPr>
      <w:r w:rsidRPr="00A14F37">
        <w:rPr>
          <w:sz w:val="28"/>
          <w:szCs w:val="28"/>
        </w:rPr>
        <w:lastRenderedPageBreak/>
        <w:t>Kevin Thomas</w:t>
      </w:r>
    </w:p>
    <w:p w14:paraId="6E404068" w14:textId="27548B1E" w:rsidR="00CC0A22"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33A3DC69" w14:textId="0CF671AC" w:rsidR="00D87A49" w:rsidRPr="00A14F37" w:rsidRDefault="00D87A49" w:rsidP="000A5843">
      <w:pPr>
        <w:spacing w:after="0" w:line="240" w:lineRule="auto"/>
        <w:rPr>
          <w:sz w:val="28"/>
          <w:szCs w:val="28"/>
        </w:rPr>
      </w:pPr>
      <w:r w:rsidRPr="00A14F37">
        <w:rPr>
          <w:sz w:val="28"/>
          <w:szCs w:val="28"/>
        </w:rPr>
        <w:t xml:space="preserve">Glyn </w:t>
      </w:r>
      <w:proofErr w:type="spellStart"/>
      <w:r w:rsidRPr="00A14F37">
        <w:rPr>
          <w:sz w:val="28"/>
          <w:szCs w:val="28"/>
        </w:rPr>
        <w:t>Howatson</w:t>
      </w:r>
      <w:proofErr w:type="spellEnd"/>
    </w:p>
    <w:p w14:paraId="65739DE3" w14:textId="5AD2A495" w:rsidR="00D87A49" w:rsidRPr="00A14F37"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345E4F02" w14:textId="530EFDFA" w:rsidR="00110825" w:rsidRPr="00A14F37" w:rsidRDefault="00110825" w:rsidP="000A5843">
      <w:pPr>
        <w:spacing w:after="0" w:line="240" w:lineRule="auto"/>
      </w:pPr>
      <w:r w:rsidRPr="00A14F37">
        <w:t>Water Research Group, School of Environmental Sciences and Development, Northwest University, Potchefstroom, South Africa</w:t>
      </w:r>
    </w:p>
    <w:p w14:paraId="37E105B9" w14:textId="1F7CF578" w:rsidR="00D87A49" w:rsidRPr="00A14F37" w:rsidRDefault="00D87A49" w:rsidP="000A5843">
      <w:pPr>
        <w:spacing w:after="0" w:line="240" w:lineRule="auto"/>
        <w:rPr>
          <w:sz w:val="28"/>
          <w:szCs w:val="28"/>
        </w:rPr>
      </w:pPr>
      <w:r w:rsidRPr="00A14F37">
        <w:rPr>
          <w:sz w:val="28"/>
          <w:szCs w:val="28"/>
        </w:rPr>
        <w:t>Sandra K. Hunter</w:t>
      </w:r>
    </w:p>
    <w:p w14:paraId="17E1B491" w14:textId="6E51E036" w:rsidR="00D87A49" w:rsidRPr="00A14F37" w:rsidRDefault="00831F20" w:rsidP="000A5843">
      <w:pPr>
        <w:spacing w:after="0" w:line="240" w:lineRule="auto"/>
        <w:rPr>
          <w:sz w:val="28"/>
          <w:szCs w:val="28"/>
        </w:rPr>
      </w:pPr>
      <w:r w:rsidRPr="00A14F37">
        <w:t>Exercise Science Program, Department of Physical Therapy, Marquette University, Milwaukee, Wisconsin</w:t>
      </w:r>
    </w:p>
    <w:p w14:paraId="1F21DDFD" w14:textId="48D8EC73" w:rsidR="00EF1933" w:rsidRPr="00A14F37" w:rsidRDefault="00D87A49" w:rsidP="000A5843">
      <w:pPr>
        <w:spacing w:after="0" w:line="240" w:lineRule="auto"/>
        <w:rPr>
          <w:sz w:val="28"/>
          <w:szCs w:val="28"/>
        </w:rPr>
      </w:pPr>
      <w:r w:rsidRPr="00A14F37">
        <w:rPr>
          <w:sz w:val="28"/>
          <w:szCs w:val="28"/>
        </w:rPr>
        <w:t>Stuart Goodall</w:t>
      </w:r>
    </w:p>
    <w:p w14:paraId="6D00EAD5" w14:textId="36217D8C" w:rsidR="002F4AA0" w:rsidRDefault="00CC0A22" w:rsidP="000A5843">
      <w:pPr>
        <w:spacing w:after="0" w:line="240" w:lineRule="auto"/>
      </w:pPr>
      <w:r w:rsidRPr="00A14F37">
        <w:t xml:space="preserve">Faculty of Health and Life Sciences, </w:t>
      </w:r>
      <w:proofErr w:type="spellStart"/>
      <w:r w:rsidRPr="00A14F37">
        <w:t>Northumbria</w:t>
      </w:r>
      <w:proofErr w:type="spellEnd"/>
      <w:r w:rsidRPr="00A14F37">
        <w:t xml:space="preserve"> University, Newcastle upon Tyne, United Kingdom</w:t>
      </w:r>
    </w:p>
    <w:p w14:paraId="3DDA45CB" w14:textId="77777777" w:rsidR="000A5843" w:rsidRPr="00A14F37" w:rsidRDefault="000A5843" w:rsidP="00A14F37">
      <w:pPr>
        <w:spacing w:line="240" w:lineRule="auto"/>
      </w:pPr>
    </w:p>
    <w:p w14:paraId="2A87ECB8" w14:textId="77777777" w:rsidR="00C6170F" w:rsidRPr="00A14F37" w:rsidRDefault="00C6170F" w:rsidP="00A14F37">
      <w:pPr>
        <w:pStyle w:val="Heading1"/>
        <w:spacing w:line="240" w:lineRule="auto"/>
        <w:rPr>
          <w:rFonts w:asciiTheme="minorHAnsi" w:hAnsiTheme="minorHAnsi"/>
        </w:rPr>
      </w:pPr>
      <w:r w:rsidRPr="00A14F37">
        <w:rPr>
          <w:rFonts w:asciiTheme="minorHAnsi" w:hAnsiTheme="minorHAnsi"/>
        </w:rPr>
        <w:t>Abstract</w:t>
      </w:r>
    </w:p>
    <w:p w14:paraId="3B9126BD" w14:textId="77777777" w:rsidR="00C6170F" w:rsidRPr="00C6170F" w:rsidRDefault="00C6170F" w:rsidP="00A14F37">
      <w:pPr>
        <w:spacing w:line="240" w:lineRule="auto"/>
      </w:pPr>
      <w:r w:rsidRPr="00C6170F">
        <w:t>Sex hormone concentrations of eumenorrheic women typically fluctuate across the menstrual cycle and can affect neural function such that estrogen has neuroexcitatory effects, and progesterone induces inhibition. However, the effects of these changes on corticospinal and intracortical circuitry and the motor performance of the knee extensors are unknown. The present two-part investigation aimed to </w:t>
      </w:r>
      <w:r w:rsidRPr="00C6170F">
        <w:rPr>
          <w:i/>
          <w:iCs/>
        </w:rPr>
        <w:t>1</w:t>
      </w:r>
      <w:r w:rsidRPr="00C6170F">
        <w:t>) determine the measurement error of an exercise task, transcranial magnetic stimulation (TMS)-, and motor nerve stimulation (MNS)-derived responses in women ingesting a monophasic oral contraceptive pill (hormonally-constant) and </w:t>
      </w:r>
      <w:r w:rsidRPr="00C6170F">
        <w:rPr>
          <w:i/>
          <w:iCs/>
        </w:rPr>
        <w:t>2</w:t>
      </w:r>
      <w:r w:rsidRPr="00C6170F">
        <w:t>) investigate whether these measures were modulated by menstrual cycle phase (MCP), by examining them before and after an intermittent isometric fatiguing task (60% of maximal voluntary contraction, MVC) with the knee extensors until task failure in eumenorrheic women on days 2, 14, and 21 of the menstrual cycle. The repeatability of neuromuscular measures at baseline and fatigability ranged between moderate and excellent in women taking the oral contraceptive pill. MVC was not affected by MCP (</w:t>
      </w:r>
      <w:r w:rsidRPr="00C6170F">
        <w:rPr>
          <w:i/>
          <w:iCs/>
        </w:rPr>
        <w:t>P</w:t>
      </w:r>
      <w:r w:rsidRPr="00C6170F">
        <w:t> = 0.790). Voluntary activation (MNS and TMS) peaked on day 14 (</w:t>
      </w:r>
      <w:r w:rsidRPr="00C6170F">
        <w:rPr>
          <w:i/>
          <w:iCs/>
        </w:rPr>
        <w:t>P</w:t>
      </w:r>
      <w:r w:rsidRPr="00C6170F">
        <w:t xml:space="preserve"> = 0.007 and 0.008, respectively). Whereas corticospinal excitability was unchanged, </w:t>
      </w:r>
      <w:proofErr w:type="gramStart"/>
      <w:r w:rsidRPr="00C6170F">
        <w:t>short-interval</w:t>
      </w:r>
      <w:proofErr w:type="gramEnd"/>
      <w:r w:rsidRPr="00C6170F">
        <w:t xml:space="preserve"> intracortical inhibition was greatest on day 21 compared with days 14 and 2 (</w:t>
      </w:r>
      <w:r w:rsidRPr="00C6170F">
        <w:rPr>
          <w:i/>
          <w:iCs/>
        </w:rPr>
        <w:t>P</w:t>
      </w:r>
      <w:r w:rsidRPr="00C6170F">
        <w:t> &lt; 0.001). Additionally, time to task failure was longer on day 21 than on both days 14 and 2 (24 and 36%, respectively, </w:t>
      </w:r>
      <w:r w:rsidRPr="00C6170F">
        <w:rPr>
          <w:i/>
          <w:iCs/>
        </w:rPr>
        <w:t>P</w:t>
      </w:r>
      <w:r w:rsidRPr="00C6170F">
        <w:t> = 0.030). The observed changes were larger than the associated measurement errors. These data demonstrate that neuromuscular function and fatigability of the knee extensors vary across the menstrual cycle and may influence exercise performance involving locomotor muscles.</w:t>
      </w:r>
    </w:p>
    <w:p w14:paraId="4A87E21C" w14:textId="4B4E1C73" w:rsidR="00C6170F" w:rsidRPr="00A14F37" w:rsidRDefault="00C6170F" w:rsidP="00A14F37">
      <w:pPr>
        <w:spacing w:line="240" w:lineRule="auto"/>
      </w:pPr>
      <w:r w:rsidRPr="00C6170F">
        <w:rPr>
          <w:rStyle w:val="Heading2Char"/>
          <w:rFonts w:asciiTheme="minorHAnsi" w:hAnsiTheme="minorHAnsi"/>
        </w:rPr>
        <w:t>NEW &amp; NOTEWORTHY</w:t>
      </w:r>
      <w:r w:rsidRPr="00C6170F">
        <w:t> The present two-part study first demonstrated the repeatability of transcranial magnetic stimulation- and electrical motor nerve stimulation-evoked variables in a hormonally constant female population. Subsequently, it was demonstrated that the eumenorrheic menstrual cycle affects neuromuscular function. Changing concentrations of neuroactive hormones corresponded to greater voluntary activation on day 14, greater intracortical inhibition on day 21, and lowest fatigability on day 21. These alterations of knee extensor neuromuscular function have implications for locomotor activities.</w:t>
      </w:r>
    </w:p>
    <w:p w14:paraId="658695F9" w14:textId="77777777" w:rsidR="008366BC" w:rsidRPr="00A14F37" w:rsidRDefault="008366BC" w:rsidP="00A14F37">
      <w:pPr>
        <w:pStyle w:val="Heading1"/>
        <w:spacing w:line="240" w:lineRule="auto"/>
        <w:rPr>
          <w:rFonts w:asciiTheme="minorHAnsi" w:hAnsiTheme="minorHAnsi"/>
        </w:rPr>
      </w:pPr>
      <w:r w:rsidRPr="00A14F37">
        <w:rPr>
          <w:rFonts w:asciiTheme="minorHAnsi" w:hAnsiTheme="minorHAnsi"/>
        </w:rPr>
        <w:t>INTRODUCTION</w:t>
      </w:r>
    </w:p>
    <w:p w14:paraId="77345D5A" w14:textId="77777777" w:rsidR="008366BC" w:rsidRPr="008366BC" w:rsidRDefault="008366BC" w:rsidP="00A14F37">
      <w:pPr>
        <w:spacing w:line="240" w:lineRule="auto"/>
      </w:pPr>
      <w:r w:rsidRPr="008366BC">
        <w:t>The cyclical changes in concentrations of multiple sex hormones, including estrogen and progesterone (</w:t>
      </w:r>
      <w:hyperlink r:id="rId10" w:anchor="B55" w:history="1">
        <w:r w:rsidRPr="008366BC">
          <w:rPr>
            <w:rStyle w:val="Hyperlink"/>
          </w:rPr>
          <w:t>55</w:t>
        </w:r>
      </w:hyperlink>
      <w:r w:rsidRPr="008366BC">
        <w:t>), across the eumenorrheic menstrual cycle can affect central nervous system (CNS) function due to their ability to cross the blood-brain barrier (</w:t>
      </w:r>
      <w:hyperlink r:id="rId11" w:anchor="B62" w:history="1">
        <w:r w:rsidRPr="008366BC">
          <w:rPr>
            <w:rStyle w:val="Hyperlink"/>
          </w:rPr>
          <w:t>62</w:t>
        </w:r>
      </w:hyperlink>
      <w:r w:rsidRPr="008366BC">
        <w:t>). In vitro models have shown direct evidence for the effect of sex hormones on neuronal function. For instance, estradiol (an estrogenic steroid hormone) binds to estrogen receptor-α (ERα) sites on γ-aminobutyric acid (GABA)-mediated neurons, causing an attenuation in GABA synthesis and release (</w:t>
      </w:r>
      <w:hyperlink r:id="rId12" w:anchor="B54" w:history="1">
        <w:r w:rsidRPr="008366BC">
          <w:rPr>
            <w:rStyle w:val="Hyperlink"/>
          </w:rPr>
          <w:t>54</w:t>
        </w:r>
      </w:hyperlink>
      <w:r w:rsidRPr="008366BC">
        <w:t>, </w:t>
      </w:r>
      <w:hyperlink r:id="rId13" w:anchor="B70" w:history="1">
        <w:r w:rsidRPr="008366BC">
          <w:rPr>
            <w:rStyle w:val="Hyperlink"/>
          </w:rPr>
          <w:t>70</w:t>
        </w:r>
      </w:hyperlink>
      <w:r w:rsidRPr="008366BC">
        <w:t>). Additionally, estrogen potentiates the effects of excitatory glutamatergic [both </w:t>
      </w:r>
      <w:r w:rsidRPr="008366BC">
        <w:rPr>
          <w:i/>
          <w:iCs/>
        </w:rPr>
        <w:t>N</w:t>
      </w:r>
      <w:r w:rsidRPr="008366BC">
        <w:t>-methyl-d-aspartate (NMDA) and non-NMDA] receptors (</w:t>
      </w:r>
      <w:hyperlink r:id="rId14" w:anchor="B61" w:history="1">
        <w:r w:rsidRPr="008366BC">
          <w:rPr>
            <w:rStyle w:val="Hyperlink"/>
          </w:rPr>
          <w:t>61</w:t>
        </w:r>
      </w:hyperlink>
      <w:r w:rsidRPr="008366BC">
        <w:t>), resulting in a net excitatory effect. Additionally, estrogen has been shown to decrease firing thresholds and increase discharge frequency of cerebral neurons (</w:t>
      </w:r>
      <w:hyperlink r:id="rId15" w:anchor="B58" w:history="1">
        <w:r w:rsidRPr="008366BC">
          <w:rPr>
            <w:rStyle w:val="Hyperlink"/>
          </w:rPr>
          <w:t>58</w:t>
        </w:r>
      </w:hyperlink>
      <w:r w:rsidRPr="008366BC">
        <w:t>, </w:t>
      </w:r>
      <w:hyperlink r:id="rId16" w:anchor="B72" w:history="1">
        <w:r w:rsidRPr="008366BC">
          <w:rPr>
            <w:rStyle w:val="Hyperlink"/>
          </w:rPr>
          <w:t>72</w:t>
        </w:r>
      </w:hyperlink>
      <w:r w:rsidRPr="008366BC">
        <w:t>). On the contrary, progesterone has a net inhibitory effect on the nervous system, as the activity and effects of GABA are potentiated, leading to decreased neuronal discharge rate (</w:t>
      </w:r>
      <w:hyperlink r:id="rId17" w:anchor="B60" w:history="1">
        <w:r w:rsidRPr="008366BC">
          <w:rPr>
            <w:rStyle w:val="Hyperlink"/>
          </w:rPr>
          <w:t>60</w:t>
        </w:r>
      </w:hyperlink>
      <w:r w:rsidRPr="008366BC">
        <w:t xml:space="preserve">) and increased inhibition of pyramidal neurons in </w:t>
      </w:r>
      <w:r w:rsidRPr="008366BC">
        <w:lastRenderedPageBreak/>
        <w:t>rats (</w:t>
      </w:r>
      <w:hyperlink r:id="rId18" w:anchor="B37" w:history="1">
        <w:r w:rsidRPr="008366BC">
          <w:rPr>
            <w:rStyle w:val="Hyperlink"/>
          </w:rPr>
          <w:t>37</w:t>
        </w:r>
      </w:hyperlink>
      <w:r w:rsidRPr="008366BC">
        <w:t>). Some evidence also suggests that the presence of progesterone directly antagonizes estrogenic actions by lowering the available ERα and ERβ receptor numbers on various sites of neuronal cells (</w:t>
      </w:r>
      <w:hyperlink r:id="rId19" w:anchor="B47" w:history="1">
        <w:r w:rsidRPr="008366BC">
          <w:rPr>
            <w:rStyle w:val="Hyperlink"/>
          </w:rPr>
          <w:t>47</w:t>
        </w:r>
      </w:hyperlink>
      <w:r w:rsidRPr="008366BC">
        <w:t>). Indeed, as Smith and Woolley (</w:t>
      </w:r>
      <w:hyperlink r:id="rId20" w:anchor="B61" w:history="1">
        <w:r w:rsidRPr="008366BC">
          <w:rPr>
            <w:rStyle w:val="Hyperlink"/>
          </w:rPr>
          <w:t>61</w:t>
        </w:r>
      </w:hyperlink>
      <w:r w:rsidRPr="008366BC">
        <w:t xml:space="preserve">) outlined, the </w:t>
      </w:r>
      <w:proofErr w:type="spellStart"/>
      <w:r w:rsidRPr="008366BC">
        <w:t>neurosteroidal</w:t>
      </w:r>
      <w:proofErr w:type="spellEnd"/>
      <w:r w:rsidRPr="008366BC">
        <w:t xml:space="preserve"> actions of hormones act on the neurotransmitter receptors. Thus, given that GABAergic and glutamatergic synapses are located within the motor cortex (</w:t>
      </w:r>
      <w:hyperlink r:id="rId21" w:anchor="B43" w:history="1">
        <w:r w:rsidRPr="008366BC">
          <w:rPr>
            <w:rStyle w:val="Hyperlink"/>
          </w:rPr>
          <w:t>43</w:t>
        </w:r>
      </w:hyperlink>
      <w:r w:rsidRPr="008366BC">
        <w:t>), a hormonal effect would be expected.</w:t>
      </w:r>
    </w:p>
    <w:p w14:paraId="2EEE351D" w14:textId="77777777" w:rsidR="008366BC" w:rsidRPr="008366BC" w:rsidRDefault="008366BC" w:rsidP="00A14F37">
      <w:pPr>
        <w:spacing w:line="240" w:lineRule="auto"/>
      </w:pPr>
      <w:r w:rsidRPr="008366BC">
        <w:t>The differential effect of estrogen and progesterone concentrations on indexes of nervous system excitability has also been established in humans. Transcranial magnetic stimulation (TMS) studies show increased intracortical excitability and reduced intracortical inhibition in the late-follicular phase, when estradiol concentration is high and progesterone low (</w:t>
      </w:r>
      <w:hyperlink r:id="rId22" w:anchor="B56" w:history="1">
        <w:r w:rsidRPr="008366BC">
          <w:rPr>
            <w:rStyle w:val="Hyperlink"/>
          </w:rPr>
          <w:t>56</w:t>
        </w:r>
      </w:hyperlink>
      <w:r w:rsidRPr="008366BC">
        <w:t>, </w:t>
      </w:r>
      <w:hyperlink r:id="rId23" w:anchor="B57" w:history="1">
        <w:r w:rsidRPr="008366BC">
          <w:rPr>
            <w:rStyle w:val="Hyperlink"/>
          </w:rPr>
          <w:t>57</w:t>
        </w:r>
      </w:hyperlink>
      <w:r w:rsidRPr="008366BC">
        <w:t>), substantiating the alterations seen in the aforementioned in vitro studies. While these in vivo studies show clear changes in human CNS function, they were conducted in the resting upper limbs, specifically in hand muscles associated with fine motor control. However, properties of intracortical and corticospinal circuits vary between upper and lower limb projections (</w:t>
      </w:r>
      <w:hyperlink r:id="rId24" w:anchor="B7" w:history="1">
        <w:r w:rsidRPr="008366BC">
          <w:rPr>
            <w:rStyle w:val="Hyperlink"/>
          </w:rPr>
          <w:t>7</w:t>
        </w:r>
      </w:hyperlink>
      <w:r w:rsidRPr="008366BC">
        <w:t>, </w:t>
      </w:r>
      <w:hyperlink r:id="rId25" w:anchor="B15" w:history="1">
        <w:r w:rsidRPr="008366BC">
          <w:rPr>
            <w:rStyle w:val="Hyperlink"/>
          </w:rPr>
          <w:t>15</w:t>
        </w:r>
      </w:hyperlink>
      <w:r w:rsidRPr="008366BC">
        <w:t>). Thus, the menstrual cycle-associated modulations in neural function of a small upper limb muscle group cannot be extrapolated to larger, lower limb muscle groups. Understanding how the menstrual cycle affects the neural control of large locomotor muscle groups has significant implications for everyday locomotive tasks, injury rehabilitation, and athletic performance. For instance, neuroplasticity following stroke (</w:t>
      </w:r>
      <w:hyperlink r:id="rId26" w:anchor="B17" w:history="1">
        <w:r w:rsidRPr="008366BC">
          <w:rPr>
            <w:rStyle w:val="Hyperlink"/>
          </w:rPr>
          <w:t>17</w:t>
        </w:r>
      </w:hyperlink>
      <w:r w:rsidRPr="008366BC">
        <w:t>) and strength training (</w:t>
      </w:r>
      <w:hyperlink r:id="rId27" w:anchor="B71" w:history="1">
        <w:r w:rsidRPr="008366BC">
          <w:rPr>
            <w:rStyle w:val="Hyperlink"/>
          </w:rPr>
          <w:t>71</w:t>
        </w:r>
      </w:hyperlink>
      <w:r w:rsidRPr="008366BC">
        <w:t>) are influenced by GABAergic inhibition.</w:t>
      </w:r>
    </w:p>
    <w:p w14:paraId="03787746" w14:textId="77777777" w:rsidR="008366BC" w:rsidRPr="008366BC" w:rsidRDefault="008366BC" w:rsidP="00A14F37">
      <w:pPr>
        <w:spacing w:line="240" w:lineRule="auto"/>
      </w:pPr>
      <w:r w:rsidRPr="008366BC">
        <w:t>To date, there is minimal research investigating menstrual cycle-induced changes in the nervous system and motor function of the knee extensors (KE). Previous studies investigating motor function, such as the ability to produce maximum voluntary contraction force (MVC), are equivocal, with studies showing 8–23% greater maximal force with the KE midcycle (</w:t>
      </w:r>
      <w:hyperlink r:id="rId28" w:anchor="B4" w:history="1">
        <w:r w:rsidRPr="008366BC">
          <w:rPr>
            <w:rStyle w:val="Hyperlink"/>
          </w:rPr>
          <w:t>4</w:t>
        </w:r>
      </w:hyperlink>
      <w:r w:rsidRPr="008366BC">
        <w:t>, </w:t>
      </w:r>
      <w:hyperlink r:id="rId29" w:anchor="B53" w:history="1">
        <w:r w:rsidRPr="008366BC">
          <w:rPr>
            <w:rStyle w:val="Hyperlink"/>
          </w:rPr>
          <w:t>53</w:t>
        </w:r>
      </w:hyperlink>
      <w:r w:rsidRPr="008366BC">
        <w:t>, </w:t>
      </w:r>
      <w:hyperlink r:id="rId30" w:anchor="B64" w:history="1">
        <w:r w:rsidRPr="008366BC">
          <w:rPr>
            <w:rStyle w:val="Hyperlink"/>
          </w:rPr>
          <w:t>64</w:t>
        </w:r>
      </w:hyperlink>
      <w:r w:rsidRPr="008366BC">
        <w:t>). Multiple studies, however, report no difference in maximal strength (</w:t>
      </w:r>
      <w:hyperlink r:id="rId31" w:anchor="B20" w:history="1">
        <w:r w:rsidRPr="008366BC">
          <w:rPr>
            <w:rStyle w:val="Hyperlink"/>
          </w:rPr>
          <w:t>20</w:t>
        </w:r>
      </w:hyperlink>
      <w:r w:rsidRPr="008366BC">
        <w:t>, </w:t>
      </w:r>
      <w:hyperlink r:id="rId32" w:anchor="B24" w:history="1">
        <w:r w:rsidRPr="008366BC">
          <w:rPr>
            <w:rStyle w:val="Hyperlink"/>
          </w:rPr>
          <w:t>24</w:t>
        </w:r>
      </w:hyperlink>
      <w:r w:rsidRPr="008366BC">
        <w:t>, </w:t>
      </w:r>
      <w:hyperlink r:id="rId33" w:anchor="B40" w:history="1">
        <w:r w:rsidRPr="008366BC">
          <w:rPr>
            <w:rStyle w:val="Hyperlink"/>
          </w:rPr>
          <w:t>40</w:t>
        </w:r>
      </w:hyperlink>
      <w:r w:rsidRPr="008366BC">
        <w:t>, </w:t>
      </w:r>
      <w:hyperlink r:id="rId34" w:anchor="B46" w:history="1">
        <w:r w:rsidRPr="008366BC">
          <w:rPr>
            <w:rStyle w:val="Hyperlink"/>
          </w:rPr>
          <w:t>46</w:t>
        </w:r>
      </w:hyperlink>
      <w:r w:rsidRPr="008366BC">
        <w:t>). The studies that have shown changes in maximal strength have suggested that mechanisms such as motor unit firing rates (</w:t>
      </w:r>
      <w:hyperlink r:id="rId35" w:anchor="B65" w:history="1">
        <w:r w:rsidRPr="008366BC">
          <w:rPr>
            <w:rStyle w:val="Hyperlink"/>
          </w:rPr>
          <w:t>65</w:t>
        </w:r>
      </w:hyperlink>
      <w:r w:rsidRPr="008366BC">
        <w:t>) and intracortical excitability (</w:t>
      </w:r>
      <w:hyperlink r:id="rId36" w:anchor="B56" w:history="1">
        <w:r w:rsidRPr="008366BC">
          <w:rPr>
            <w:rStyle w:val="Hyperlink"/>
          </w:rPr>
          <w:t>56</w:t>
        </w:r>
      </w:hyperlink>
      <w:r w:rsidRPr="008366BC">
        <w:t>, </w:t>
      </w:r>
      <w:hyperlink r:id="rId37" w:anchor="B57" w:history="1">
        <w:r w:rsidRPr="008366BC">
          <w:rPr>
            <w:rStyle w:val="Hyperlink"/>
          </w:rPr>
          <w:t>57</w:t>
        </w:r>
      </w:hyperlink>
      <w:r w:rsidRPr="008366BC">
        <w:t>) could be contributing factors. However, the proposed mechanistic factors, and the neuromuscular response (e.g., MVC), have not been concurrently studied. Voluntary activation (VA) of the quadriceps muscle has been assessed using motor nerve stimulation twice with no menstrual cycle effect shown (</w:t>
      </w:r>
      <w:hyperlink r:id="rId38" w:anchor="B40" w:history="1">
        <w:r w:rsidRPr="008366BC">
          <w:rPr>
            <w:rStyle w:val="Hyperlink"/>
          </w:rPr>
          <w:t>40</w:t>
        </w:r>
      </w:hyperlink>
      <w:r w:rsidRPr="008366BC">
        <w:t>, </w:t>
      </w:r>
      <w:hyperlink r:id="rId39" w:anchor="B46" w:history="1">
        <w:r w:rsidRPr="008366BC">
          <w:rPr>
            <w:rStyle w:val="Hyperlink"/>
          </w:rPr>
          <w:t>46</w:t>
        </w:r>
      </w:hyperlink>
      <w:r w:rsidRPr="008366BC">
        <w:t>). However, as it is thought that the assessment of VA using TMS (VA</w:t>
      </w:r>
      <w:r w:rsidRPr="008366BC">
        <w:rPr>
          <w:vertAlign w:val="subscript"/>
        </w:rPr>
        <w:t>TMS</w:t>
      </w:r>
      <w:r w:rsidRPr="008366BC">
        <w:t>) reflects the ability of the motor cortex to activate the motor units within the target muscle group (</w:t>
      </w:r>
      <w:hyperlink r:id="rId40" w:anchor="B68" w:history="1">
        <w:r w:rsidRPr="008366BC">
          <w:rPr>
            <w:rStyle w:val="Hyperlink"/>
          </w:rPr>
          <w:t>68</w:t>
        </w:r>
      </w:hyperlink>
      <w:r w:rsidRPr="008366BC">
        <w:t>), if supraspinal properties are modulated by the menstrual cycle (</w:t>
      </w:r>
      <w:hyperlink r:id="rId41" w:anchor="B56" w:history="1">
        <w:r w:rsidRPr="008366BC">
          <w:rPr>
            <w:rStyle w:val="Hyperlink"/>
          </w:rPr>
          <w:t>56</w:t>
        </w:r>
      </w:hyperlink>
      <w:r w:rsidRPr="008366BC">
        <w:t>, </w:t>
      </w:r>
      <w:hyperlink r:id="rId42" w:anchor="B57" w:history="1">
        <w:r w:rsidRPr="008366BC">
          <w:rPr>
            <w:rStyle w:val="Hyperlink"/>
          </w:rPr>
          <w:t>57</w:t>
        </w:r>
      </w:hyperlink>
      <w:r w:rsidRPr="008366BC">
        <w:t>), VA</w:t>
      </w:r>
      <w:r w:rsidRPr="008366BC">
        <w:rPr>
          <w:vertAlign w:val="subscript"/>
        </w:rPr>
        <w:t>TMS</w:t>
      </w:r>
      <w:r w:rsidRPr="008366BC">
        <w:t> could provide a more appropriate measure to discern whether the ability to voluntarily activate the KE is affected.</w:t>
      </w:r>
    </w:p>
    <w:p w14:paraId="3F8474D2" w14:textId="77777777" w:rsidR="008366BC" w:rsidRPr="008366BC" w:rsidRDefault="008366BC" w:rsidP="00A14F37">
      <w:pPr>
        <w:spacing w:line="240" w:lineRule="auto"/>
      </w:pPr>
      <w:r w:rsidRPr="008366BC">
        <w:t>Other aspects of motor performance, such as performance fatigability (</w:t>
      </w:r>
      <w:hyperlink r:id="rId43" w:anchor="B38" w:history="1">
        <w:r w:rsidRPr="008366BC">
          <w:rPr>
            <w:rStyle w:val="Hyperlink"/>
          </w:rPr>
          <w:t>38</w:t>
        </w:r>
      </w:hyperlink>
      <w:r w:rsidRPr="008366BC">
        <w:t>), have also been studied throughout the menstrual cycle with inconclusive results. Sarwar et al. (</w:t>
      </w:r>
      <w:hyperlink r:id="rId44" w:anchor="B53" w:history="1">
        <w:r w:rsidRPr="008366BC">
          <w:rPr>
            <w:rStyle w:val="Hyperlink"/>
          </w:rPr>
          <w:t>53</w:t>
        </w:r>
      </w:hyperlink>
      <w:r w:rsidRPr="008366BC">
        <w:t>) showed that the KE of eumenorrheic women were less fatigable in the luteal phase during an electrically stimulated, isometric fatiguing protocol. However, this finding has not been corroborated with dynamic voluntary contractions performed with the KE (</w:t>
      </w:r>
      <w:hyperlink r:id="rId45" w:anchor="B21" w:history="1">
        <w:r w:rsidRPr="008366BC">
          <w:rPr>
            <w:rStyle w:val="Hyperlink"/>
          </w:rPr>
          <w:t>21</w:t>
        </w:r>
      </w:hyperlink>
      <w:r w:rsidRPr="008366BC">
        <w:t>, </w:t>
      </w:r>
      <w:hyperlink r:id="rId46" w:anchor="B40" w:history="1">
        <w:r w:rsidRPr="008366BC">
          <w:rPr>
            <w:rStyle w:val="Hyperlink"/>
          </w:rPr>
          <w:t>40</w:t>
        </w:r>
      </w:hyperlink>
      <w:r w:rsidRPr="008366BC">
        <w:t xml:space="preserve">). Additionally, none of the </w:t>
      </w:r>
      <w:proofErr w:type="gramStart"/>
      <w:r w:rsidRPr="008366BC">
        <w:t>aforementioned studies</w:t>
      </w:r>
      <w:proofErr w:type="gramEnd"/>
      <w:r w:rsidRPr="008366BC">
        <w:t xml:space="preserve"> were open-ended, with a fatigue index calculated after a set amount of time/contractions. Thus, due to the causes of fatigability being task specific (</w:t>
      </w:r>
      <w:hyperlink r:id="rId47" w:anchor="B66" w:history="1">
        <w:r w:rsidRPr="008366BC">
          <w:rPr>
            <w:rStyle w:val="Hyperlink"/>
          </w:rPr>
          <w:t>66</w:t>
        </w:r>
      </w:hyperlink>
      <w:r w:rsidRPr="008366BC">
        <w:t>), discrepancies in the aforementioned investigations could have been due to the differences in fatiguing protocols used and their respective limiting factors.</w:t>
      </w:r>
    </w:p>
    <w:p w14:paraId="57828590" w14:textId="77777777" w:rsidR="008366BC" w:rsidRPr="008366BC" w:rsidRDefault="008366BC" w:rsidP="00A14F37">
      <w:pPr>
        <w:spacing w:line="240" w:lineRule="auto"/>
      </w:pPr>
      <w:r w:rsidRPr="008366BC">
        <w:t xml:space="preserve">The effect of hormonal fluctuations on neuromuscular function and fatigability of the KE remains unclear. Conflicting literature exists for </w:t>
      </w:r>
      <w:proofErr w:type="gramStart"/>
      <w:r w:rsidRPr="008366BC">
        <w:t>the majority of</w:t>
      </w:r>
      <w:proofErr w:type="gramEnd"/>
      <w:r w:rsidRPr="008366BC">
        <w:t xml:space="preserve"> neuromuscular variables despite a rationale for change based on neuroendocrine and upper limb studies. The inclusion of statistical measures of error is recommended for investigations utilizing methods of neurostimulation to inform the contribution of random variation to any modifications in neuromuscular function (</w:t>
      </w:r>
      <w:hyperlink r:id="rId48" w:anchor="B29" w:history="1">
        <w:r w:rsidRPr="008366BC">
          <w:rPr>
            <w:rStyle w:val="Hyperlink"/>
          </w:rPr>
          <w:t>29</w:t>
        </w:r>
      </w:hyperlink>
      <w:r w:rsidRPr="008366BC">
        <w:t>). Therefore, the present investigation recruited a population of monophasic oral contraceptive (</w:t>
      </w:r>
      <w:proofErr w:type="spellStart"/>
      <w:r w:rsidRPr="008366BC">
        <w:t>mOCP</w:t>
      </w:r>
      <w:proofErr w:type="spellEnd"/>
      <w:r w:rsidRPr="008366BC">
        <w:t>) users to discern test-retest repeatability of neuromuscular function measures without the influence of endogenous hormones (</w:t>
      </w:r>
      <w:r w:rsidRPr="008366BC">
        <w:rPr>
          <w:i/>
          <w:iCs/>
        </w:rPr>
        <w:t>Study A</w:t>
      </w:r>
      <w:r w:rsidRPr="008366BC">
        <w:t xml:space="preserve">). The consistent dosage of exogenous estrogen and progesterone in the </w:t>
      </w:r>
      <w:proofErr w:type="spellStart"/>
      <w:r w:rsidRPr="008366BC">
        <w:t>mOCP</w:t>
      </w:r>
      <w:proofErr w:type="spellEnd"/>
      <w:r w:rsidRPr="008366BC">
        <w:t xml:space="preserve"> precludes ovulation (</w:t>
      </w:r>
      <w:hyperlink r:id="rId49" w:anchor="B28" w:history="1">
        <w:r w:rsidRPr="008366BC">
          <w:rPr>
            <w:rStyle w:val="Hyperlink"/>
          </w:rPr>
          <w:t>28</w:t>
        </w:r>
      </w:hyperlink>
      <w:r w:rsidRPr="008366BC">
        <w:t>), creating a physiological environment in which the effects of endogenous hormones are negated. Thereafter, </w:t>
      </w:r>
      <w:r w:rsidRPr="008366BC">
        <w:rPr>
          <w:i/>
          <w:iCs/>
        </w:rPr>
        <w:t>Study B</w:t>
      </w:r>
      <w:r w:rsidRPr="008366BC">
        <w:t xml:space="preserve"> aimed to investigate KE neuromuscular function and fatigability across the menstrual cycle. It was hypothesized that when estrogen levels increased </w:t>
      </w:r>
      <w:r w:rsidRPr="008366BC">
        <w:lastRenderedPageBreak/>
        <w:t>(and progesterone remained low) from day 2 to day 14, maximum force production would concomitantly rise alongside a reduction in intracortical inhibition and an increase in VA. Second, it was hypothesized that the rise in progesterone from day 14 to day 21 would occur alongside a reversal in these changes and improved time to task failure (TTF).</w:t>
      </w:r>
    </w:p>
    <w:p w14:paraId="329F0152" w14:textId="77777777" w:rsidR="002F4AA0" w:rsidRPr="00A14F37" w:rsidRDefault="002F4AA0" w:rsidP="00A14F37">
      <w:pPr>
        <w:pStyle w:val="Heading1"/>
        <w:spacing w:line="240" w:lineRule="auto"/>
        <w:rPr>
          <w:rFonts w:asciiTheme="minorHAnsi" w:hAnsiTheme="minorHAnsi"/>
        </w:rPr>
      </w:pPr>
      <w:r w:rsidRPr="00A14F37">
        <w:rPr>
          <w:rFonts w:asciiTheme="minorHAnsi" w:hAnsiTheme="minorHAnsi"/>
        </w:rPr>
        <w:t>METHODS</w:t>
      </w:r>
    </w:p>
    <w:p w14:paraId="19026B5A" w14:textId="77777777" w:rsidR="002F4AA0" w:rsidRPr="00A14F37" w:rsidRDefault="002F4AA0" w:rsidP="00A14F37">
      <w:pPr>
        <w:pStyle w:val="Heading2"/>
        <w:spacing w:line="240" w:lineRule="auto"/>
        <w:rPr>
          <w:rFonts w:asciiTheme="minorHAnsi" w:hAnsiTheme="minorHAnsi"/>
        </w:rPr>
      </w:pPr>
      <w:r w:rsidRPr="00A14F37">
        <w:rPr>
          <w:rFonts w:asciiTheme="minorHAnsi" w:hAnsiTheme="minorHAnsi"/>
        </w:rPr>
        <w:t>Ethical Approval</w:t>
      </w:r>
    </w:p>
    <w:p w14:paraId="0CDD16E4" w14:textId="77777777" w:rsidR="002F4AA0" w:rsidRPr="002F4AA0" w:rsidRDefault="002F4AA0" w:rsidP="00A14F37">
      <w:pPr>
        <w:spacing w:line="240" w:lineRule="auto"/>
      </w:pPr>
      <w:r w:rsidRPr="002F4AA0">
        <w:t xml:space="preserve">This study received institutional ethical approval from the </w:t>
      </w:r>
      <w:proofErr w:type="spellStart"/>
      <w:r w:rsidRPr="002F4AA0">
        <w:t>Northumbria</w:t>
      </w:r>
      <w:proofErr w:type="spellEnd"/>
      <w:r w:rsidRPr="002F4AA0">
        <w:t xml:space="preserve"> University Health and Life Sciences Research Ethics Committee (HLSPA301116) and was conducted according to all aspects of the Declaration of Helsinki, apart from registration in a database. Participants provided written, informed consent to volunteer for the study.</w:t>
      </w:r>
    </w:p>
    <w:p w14:paraId="18C3EF57" w14:textId="77777777" w:rsidR="002F4AA0" w:rsidRPr="00A14F37" w:rsidRDefault="002F4AA0" w:rsidP="00A14F37">
      <w:pPr>
        <w:pStyle w:val="Heading2"/>
        <w:spacing w:line="240" w:lineRule="auto"/>
        <w:rPr>
          <w:rFonts w:asciiTheme="minorHAnsi" w:hAnsiTheme="minorHAnsi"/>
        </w:rPr>
      </w:pPr>
      <w:r w:rsidRPr="00A14F37">
        <w:rPr>
          <w:rFonts w:asciiTheme="minorHAnsi" w:hAnsiTheme="minorHAnsi"/>
        </w:rPr>
        <w:t>Participants</w:t>
      </w:r>
    </w:p>
    <w:p w14:paraId="2FC18D29" w14:textId="08909A9A" w:rsidR="002F4AA0" w:rsidRPr="00A14F37" w:rsidRDefault="002F4AA0" w:rsidP="00A14F37">
      <w:pPr>
        <w:spacing w:line="240" w:lineRule="auto"/>
      </w:pPr>
      <w:r w:rsidRPr="002F4AA0">
        <w:t>A total of 30 participants volunteered to participate in the study. Fifteen mOCP users (age: 23 ± 2 yr; stature: 170 ± 6 cm; mass: 70.6 ± 8.5 kg) and 15 eumenorrheic women (age: 25 ± 4 yr; stature: 169 ± 6 cm; mass: 68.3 ± 7.8 kg; mean cycle duration: 29 ± 3 days, range: 24–34 days). The mOCPs reported taking a mOCP for at least 6 mo as prescribed (i.e., a 7-day break after every 21-day pill consumption period), whereas eumenorrheic women reported having regular cycles without using any form of hormonal contraceptives for at least 6 mo. A full list of the mOCPs taken by participants is presented in </w:t>
      </w:r>
      <w:hyperlink r:id="rId50" w:anchor="T1" w:history="1">
        <w:r w:rsidRPr="002F4AA0">
          <w:rPr>
            <w:rStyle w:val="Hyperlink"/>
          </w:rPr>
          <w:t>Table 1</w:t>
        </w:r>
      </w:hyperlink>
      <w:r w:rsidRPr="002F4AA0">
        <w:t>. Participants arrived at the laboratory rested and hydrated, with strenuous physical activity avoided for 48 h and caffeine and alcohol prohibited for 24 h.</w:t>
      </w:r>
    </w:p>
    <w:p w14:paraId="2E87C376" w14:textId="29626494" w:rsidR="00B53DD0" w:rsidRPr="00A14F37" w:rsidRDefault="00B53DD0" w:rsidP="00A14F37">
      <w:pPr>
        <w:spacing w:line="240" w:lineRule="auto"/>
      </w:pPr>
    </w:p>
    <w:p w14:paraId="3EB94C05" w14:textId="65A635E1" w:rsidR="00B53DD0" w:rsidRPr="00A14F37" w:rsidRDefault="00B53DD0" w:rsidP="00A14F37">
      <w:pPr>
        <w:spacing w:line="240" w:lineRule="auto"/>
      </w:pPr>
    </w:p>
    <w:p w14:paraId="346DDF51" w14:textId="761CF373" w:rsidR="00B53DD0" w:rsidRPr="00A14F37" w:rsidRDefault="00B53DD0" w:rsidP="00A14F37">
      <w:pPr>
        <w:spacing w:line="240" w:lineRule="auto"/>
      </w:pPr>
    </w:p>
    <w:p w14:paraId="4FB4787D" w14:textId="597F3B09" w:rsidR="00B53DD0" w:rsidRPr="00A14F37" w:rsidRDefault="00B53DD0" w:rsidP="00A14F37">
      <w:pPr>
        <w:spacing w:line="240" w:lineRule="auto"/>
      </w:pPr>
    </w:p>
    <w:p w14:paraId="0108AA21" w14:textId="77777777" w:rsidR="00B53DD0" w:rsidRPr="002F4AA0" w:rsidRDefault="00B53DD0" w:rsidP="00A14F37">
      <w:pPr>
        <w:spacing w:line="240" w:lineRule="auto"/>
      </w:pPr>
    </w:p>
    <w:tbl>
      <w:tblPr>
        <w:tblStyle w:val="TableGrid"/>
        <w:tblW w:w="0" w:type="auto"/>
        <w:tblLook w:val="04A0" w:firstRow="1" w:lastRow="0" w:firstColumn="1" w:lastColumn="0" w:noHBand="0" w:noVBand="1"/>
      </w:tblPr>
      <w:tblGrid>
        <w:gridCol w:w="2587"/>
        <w:gridCol w:w="1538"/>
        <w:gridCol w:w="1881"/>
        <w:gridCol w:w="1108"/>
        <w:gridCol w:w="1848"/>
        <w:gridCol w:w="1108"/>
      </w:tblGrid>
      <w:tr w:rsidR="00D908E2" w:rsidRPr="00A14F37" w14:paraId="18EC510A" w14:textId="77777777" w:rsidTr="00D908E2">
        <w:tc>
          <w:tcPr>
            <w:tcW w:w="0" w:type="auto"/>
            <w:hideMark/>
          </w:tcPr>
          <w:p w14:paraId="2E039C12" w14:textId="77777777" w:rsidR="00D908E2" w:rsidRPr="00A14F37" w:rsidRDefault="00D908E2" w:rsidP="00A14F37">
            <w:pPr>
              <w:shd w:val="clear" w:color="auto" w:fill="FFFFFF"/>
              <w:spacing w:before="100" w:beforeAutospacing="1" w:after="100" w:afterAutospacing="1"/>
              <w:rPr>
                <w:rFonts w:eastAsia="Times New Roman" w:cs="Arial"/>
                <w:b/>
                <w:bCs/>
                <w:color w:val="1F1F1F"/>
                <w:sz w:val="24"/>
                <w:szCs w:val="24"/>
              </w:rPr>
            </w:pPr>
            <w:r w:rsidRPr="00383AB7">
              <w:rPr>
                <w:rFonts w:eastAsia="Times New Roman" w:cs="Arial"/>
                <w:b/>
                <w:bCs/>
                <w:color w:val="1F1F1F"/>
                <w:sz w:val="24"/>
                <w:szCs w:val="24"/>
              </w:rPr>
              <w:t>Table 1. mOCPs taken by participants in Study A</w:t>
            </w:r>
          </w:p>
        </w:tc>
        <w:tc>
          <w:tcPr>
            <w:tcW w:w="0" w:type="auto"/>
          </w:tcPr>
          <w:p w14:paraId="5D55C094" w14:textId="479158AC" w:rsidR="00D908E2" w:rsidRPr="00A14F37" w:rsidRDefault="00D908E2"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3DC9D9E3" w14:textId="77777777" w:rsidR="00D908E2" w:rsidRPr="00A14F37" w:rsidRDefault="00D908E2"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03B8B76E" w14:textId="77777777" w:rsidR="00D908E2" w:rsidRPr="00A14F37" w:rsidRDefault="00D908E2"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6061A1E5" w14:textId="77777777" w:rsidR="00D908E2" w:rsidRPr="00A14F37" w:rsidRDefault="00D908E2"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2B3E87CB" w14:textId="6EE83568" w:rsidR="00383AB7" w:rsidRPr="00383AB7" w:rsidRDefault="00383AB7" w:rsidP="00A14F37">
            <w:pPr>
              <w:shd w:val="clear" w:color="auto" w:fill="FFFFFF"/>
              <w:spacing w:before="100" w:beforeAutospacing="1" w:after="100" w:afterAutospacing="1"/>
              <w:rPr>
                <w:rFonts w:eastAsia="Times New Roman" w:cs="Arial"/>
                <w:b/>
                <w:bCs/>
                <w:color w:val="1F1F1F"/>
                <w:sz w:val="24"/>
                <w:szCs w:val="24"/>
              </w:rPr>
            </w:pPr>
          </w:p>
        </w:tc>
      </w:tr>
      <w:tr w:rsidR="00B53DD0" w:rsidRPr="00A14F37" w14:paraId="24001DAF" w14:textId="77777777" w:rsidTr="00D908E2">
        <w:tc>
          <w:tcPr>
            <w:tcW w:w="0" w:type="auto"/>
            <w:hideMark/>
          </w:tcPr>
          <w:p w14:paraId="3CED9B63"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mOCP Brand</w:t>
            </w:r>
          </w:p>
        </w:tc>
        <w:tc>
          <w:tcPr>
            <w:tcW w:w="0" w:type="auto"/>
            <w:hideMark/>
          </w:tcPr>
          <w:p w14:paraId="026F0BFF"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No. Participants</w:t>
            </w:r>
          </w:p>
        </w:tc>
        <w:tc>
          <w:tcPr>
            <w:tcW w:w="0" w:type="auto"/>
            <w:hideMark/>
          </w:tcPr>
          <w:p w14:paraId="792BDFBE"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Synthetic Estrogen</w:t>
            </w:r>
          </w:p>
        </w:tc>
        <w:tc>
          <w:tcPr>
            <w:tcW w:w="0" w:type="auto"/>
            <w:hideMark/>
          </w:tcPr>
          <w:p w14:paraId="23337F61"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Dosage, µg</w:t>
            </w:r>
          </w:p>
        </w:tc>
        <w:tc>
          <w:tcPr>
            <w:tcW w:w="0" w:type="auto"/>
            <w:hideMark/>
          </w:tcPr>
          <w:p w14:paraId="09AA6051"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Synthetic Progestin</w:t>
            </w:r>
          </w:p>
        </w:tc>
        <w:tc>
          <w:tcPr>
            <w:tcW w:w="0" w:type="auto"/>
            <w:hideMark/>
          </w:tcPr>
          <w:p w14:paraId="683DC01E" w14:textId="77777777" w:rsidR="00383AB7" w:rsidRPr="00383AB7" w:rsidRDefault="00383AB7" w:rsidP="00A14F37">
            <w:pPr>
              <w:rPr>
                <w:rFonts w:eastAsia="Times New Roman" w:cs="Arial"/>
                <w:b/>
                <w:bCs/>
                <w:color w:val="000000"/>
                <w:sz w:val="24"/>
                <w:szCs w:val="24"/>
              </w:rPr>
            </w:pPr>
            <w:r w:rsidRPr="00383AB7">
              <w:rPr>
                <w:rFonts w:eastAsia="Times New Roman" w:cs="Arial"/>
                <w:b/>
                <w:bCs/>
                <w:color w:val="000000"/>
                <w:sz w:val="24"/>
                <w:szCs w:val="24"/>
              </w:rPr>
              <w:t>Dosage, µg</w:t>
            </w:r>
          </w:p>
        </w:tc>
      </w:tr>
      <w:tr w:rsidR="00D908E2" w:rsidRPr="00A14F37" w14:paraId="531F1CD5" w14:textId="77777777" w:rsidTr="00D908E2">
        <w:tc>
          <w:tcPr>
            <w:tcW w:w="0" w:type="auto"/>
            <w:hideMark/>
          </w:tcPr>
          <w:p w14:paraId="337F93CC"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Rigevidon</w:t>
            </w:r>
          </w:p>
        </w:tc>
        <w:tc>
          <w:tcPr>
            <w:tcW w:w="0" w:type="auto"/>
            <w:hideMark/>
          </w:tcPr>
          <w:p w14:paraId="4055CF0D"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6</w:t>
            </w:r>
          </w:p>
        </w:tc>
        <w:tc>
          <w:tcPr>
            <w:tcW w:w="0" w:type="auto"/>
            <w:hideMark/>
          </w:tcPr>
          <w:p w14:paraId="36F50CAD"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71F41259"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w:t>
            </w:r>
          </w:p>
        </w:tc>
        <w:tc>
          <w:tcPr>
            <w:tcW w:w="0" w:type="auto"/>
            <w:hideMark/>
          </w:tcPr>
          <w:p w14:paraId="3B70E7CE"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Levonorgestrel</w:t>
            </w:r>
          </w:p>
        </w:tc>
        <w:tc>
          <w:tcPr>
            <w:tcW w:w="0" w:type="auto"/>
            <w:hideMark/>
          </w:tcPr>
          <w:p w14:paraId="75798CE5"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150</w:t>
            </w:r>
          </w:p>
        </w:tc>
      </w:tr>
      <w:tr w:rsidR="00D908E2" w:rsidRPr="00A14F37" w14:paraId="3D70CC84" w14:textId="77777777" w:rsidTr="00D908E2">
        <w:tc>
          <w:tcPr>
            <w:tcW w:w="0" w:type="auto"/>
            <w:hideMark/>
          </w:tcPr>
          <w:p w14:paraId="6BA20A17"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Cilest</w:t>
            </w:r>
          </w:p>
        </w:tc>
        <w:tc>
          <w:tcPr>
            <w:tcW w:w="0" w:type="auto"/>
            <w:hideMark/>
          </w:tcPr>
          <w:p w14:paraId="426A1814"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w:t>
            </w:r>
          </w:p>
        </w:tc>
        <w:tc>
          <w:tcPr>
            <w:tcW w:w="0" w:type="auto"/>
            <w:hideMark/>
          </w:tcPr>
          <w:p w14:paraId="7B2A9DB0"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2CF074C1"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35</w:t>
            </w:r>
          </w:p>
        </w:tc>
        <w:tc>
          <w:tcPr>
            <w:tcW w:w="0" w:type="auto"/>
            <w:hideMark/>
          </w:tcPr>
          <w:p w14:paraId="1FBBE7DB"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Norgestimate</w:t>
            </w:r>
          </w:p>
        </w:tc>
        <w:tc>
          <w:tcPr>
            <w:tcW w:w="0" w:type="auto"/>
            <w:hideMark/>
          </w:tcPr>
          <w:p w14:paraId="06BA8AF0"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250</w:t>
            </w:r>
          </w:p>
        </w:tc>
      </w:tr>
      <w:tr w:rsidR="00D908E2" w:rsidRPr="00A14F37" w14:paraId="6AADEFCF" w14:textId="77777777" w:rsidTr="00D908E2">
        <w:tc>
          <w:tcPr>
            <w:tcW w:w="0" w:type="auto"/>
            <w:hideMark/>
          </w:tcPr>
          <w:p w14:paraId="2B62A7B1"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Yasmin</w:t>
            </w:r>
          </w:p>
        </w:tc>
        <w:tc>
          <w:tcPr>
            <w:tcW w:w="0" w:type="auto"/>
            <w:hideMark/>
          </w:tcPr>
          <w:p w14:paraId="02C7EC93"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2</w:t>
            </w:r>
          </w:p>
        </w:tc>
        <w:tc>
          <w:tcPr>
            <w:tcW w:w="0" w:type="auto"/>
            <w:hideMark/>
          </w:tcPr>
          <w:p w14:paraId="4ACB6A84"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78C21CC0"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w:t>
            </w:r>
          </w:p>
        </w:tc>
        <w:tc>
          <w:tcPr>
            <w:tcW w:w="0" w:type="auto"/>
            <w:hideMark/>
          </w:tcPr>
          <w:p w14:paraId="49D5D794"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Drospirenone</w:t>
            </w:r>
          </w:p>
        </w:tc>
        <w:tc>
          <w:tcPr>
            <w:tcW w:w="0" w:type="auto"/>
            <w:hideMark/>
          </w:tcPr>
          <w:p w14:paraId="2BBC1CE9"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300</w:t>
            </w:r>
          </w:p>
        </w:tc>
      </w:tr>
      <w:tr w:rsidR="00D908E2" w:rsidRPr="00A14F37" w14:paraId="412A6779" w14:textId="77777777" w:rsidTr="00D908E2">
        <w:tc>
          <w:tcPr>
            <w:tcW w:w="0" w:type="auto"/>
            <w:hideMark/>
          </w:tcPr>
          <w:p w14:paraId="2DD5B7E2"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Gedarel</w:t>
            </w:r>
          </w:p>
        </w:tc>
        <w:tc>
          <w:tcPr>
            <w:tcW w:w="0" w:type="auto"/>
            <w:hideMark/>
          </w:tcPr>
          <w:p w14:paraId="7AFC3137"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w:t>
            </w:r>
          </w:p>
        </w:tc>
        <w:tc>
          <w:tcPr>
            <w:tcW w:w="0" w:type="auto"/>
            <w:hideMark/>
          </w:tcPr>
          <w:p w14:paraId="37F8FC33"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65EFF5AF"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20</w:t>
            </w:r>
          </w:p>
        </w:tc>
        <w:tc>
          <w:tcPr>
            <w:tcW w:w="0" w:type="auto"/>
            <w:hideMark/>
          </w:tcPr>
          <w:p w14:paraId="41B12D84"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Desogestrel</w:t>
            </w:r>
          </w:p>
        </w:tc>
        <w:tc>
          <w:tcPr>
            <w:tcW w:w="0" w:type="auto"/>
            <w:hideMark/>
          </w:tcPr>
          <w:p w14:paraId="452BECDB"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150</w:t>
            </w:r>
          </w:p>
        </w:tc>
      </w:tr>
      <w:tr w:rsidR="00D908E2" w:rsidRPr="00A14F37" w14:paraId="1C62CFB3" w14:textId="77777777" w:rsidTr="00D908E2">
        <w:tc>
          <w:tcPr>
            <w:tcW w:w="0" w:type="auto"/>
            <w:hideMark/>
          </w:tcPr>
          <w:p w14:paraId="12D0659A"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Gedarel</w:t>
            </w:r>
          </w:p>
        </w:tc>
        <w:tc>
          <w:tcPr>
            <w:tcW w:w="0" w:type="auto"/>
            <w:hideMark/>
          </w:tcPr>
          <w:p w14:paraId="5FD673D9"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w:t>
            </w:r>
          </w:p>
        </w:tc>
        <w:tc>
          <w:tcPr>
            <w:tcW w:w="0" w:type="auto"/>
            <w:hideMark/>
          </w:tcPr>
          <w:p w14:paraId="412740CC"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19ED9A58"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w:t>
            </w:r>
          </w:p>
        </w:tc>
        <w:tc>
          <w:tcPr>
            <w:tcW w:w="0" w:type="auto"/>
            <w:hideMark/>
          </w:tcPr>
          <w:p w14:paraId="4B46D957"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Desogestrel</w:t>
            </w:r>
          </w:p>
        </w:tc>
        <w:tc>
          <w:tcPr>
            <w:tcW w:w="0" w:type="auto"/>
            <w:hideMark/>
          </w:tcPr>
          <w:p w14:paraId="780CC15C"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150</w:t>
            </w:r>
          </w:p>
        </w:tc>
      </w:tr>
      <w:tr w:rsidR="00D908E2" w:rsidRPr="00A14F37" w14:paraId="65908637" w14:textId="77777777" w:rsidTr="00D908E2">
        <w:tc>
          <w:tcPr>
            <w:tcW w:w="0" w:type="auto"/>
            <w:hideMark/>
          </w:tcPr>
          <w:p w14:paraId="15C6C173"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Microgynon</w:t>
            </w:r>
          </w:p>
        </w:tc>
        <w:tc>
          <w:tcPr>
            <w:tcW w:w="0" w:type="auto"/>
            <w:hideMark/>
          </w:tcPr>
          <w:p w14:paraId="04F80DD5"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w:t>
            </w:r>
          </w:p>
        </w:tc>
        <w:tc>
          <w:tcPr>
            <w:tcW w:w="0" w:type="auto"/>
            <w:hideMark/>
          </w:tcPr>
          <w:p w14:paraId="3B374892"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52E7D89D"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w:t>
            </w:r>
          </w:p>
        </w:tc>
        <w:tc>
          <w:tcPr>
            <w:tcW w:w="0" w:type="auto"/>
            <w:hideMark/>
          </w:tcPr>
          <w:p w14:paraId="236DD521"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Levonorgestrel</w:t>
            </w:r>
          </w:p>
        </w:tc>
        <w:tc>
          <w:tcPr>
            <w:tcW w:w="0" w:type="auto"/>
            <w:hideMark/>
          </w:tcPr>
          <w:p w14:paraId="47962183"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150</w:t>
            </w:r>
          </w:p>
        </w:tc>
      </w:tr>
      <w:tr w:rsidR="00D908E2" w:rsidRPr="00A14F37" w14:paraId="046BDBBF" w14:textId="77777777" w:rsidTr="00D908E2">
        <w:tc>
          <w:tcPr>
            <w:tcW w:w="0" w:type="auto"/>
            <w:hideMark/>
          </w:tcPr>
          <w:p w14:paraId="7479CDD5"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Levest</w:t>
            </w:r>
          </w:p>
        </w:tc>
        <w:tc>
          <w:tcPr>
            <w:tcW w:w="0" w:type="auto"/>
            <w:hideMark/>
          </w:tcPr>
          <w:p w14:paraId="7FDA6D1F"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w:t>
            </w:r>
          </w:p>
        </w:tc>
        <w:tc>
          <w:tcPr>
            <w:tcW w:w="0" w:type="auto"/>
            <w:hideMark/>
          </w:tcPr>
          <w:p w14:paraId="79992B21"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Ethinylestradiol</w:t>
            </w:r>
          </w:p>
        </w:tc>
        <w:tc>
          <w:tcPr>
            <w:tcW w:w="0" w:type="auto"/>
            <w:hideMark/>
          </w:tcPr>
          <w:p w14:paraId="04188E59"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30</w:t>
            </w:r>
          </w:p>
        </w:tc>
        <w:tc>
          <w:tcPr>
            <w:tcW w:w="0" w:type="auto"/>
            <w:hideMark/>
          </w:tcPr>
          <w:p w14:paraId="3D199B76"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Levonorgestrel</w:t>
            </w:r>
          </w:p>
        </w:tc>
        <w:tc>
          <w:tcPr>
            <w:tcW w:w="0" w:type="auto"/>
            <w:hideMark/>
          </w:tcPr>
          <w:p w14:paraId="1A6DE160" w14:textId="77777777" w:rsidR="00383AB7" w:rsidRPr="00383AB7" w:rsidRDefault="00383AB7" w:rsidP="00A14F37">
            <w:pPr>
              <w:rPr>
                <w:rFonts w:eastAsia="Times New Roman" w:cs="Arial"/>
                <w:b/>
                <w:bCs/>
                <w:color w:val="1F1F1F"/>
                <w:sz w:val="24"/>
                <w:szCs w:val="24"/>
              </w:rPr>
            </w:pPr>
            <w:r w:rsidRPr="00383AB7">
              <w:rPr>
                <w:rFonts w:eastAsia="Times New Roman" w:cs="Arial"/>
                <w:b/>
                <w:bCs/>
                <w:color w:val="1F1F1F"/>
                <w:sz w:val="24"/>
                <w:szCs w:val="24"/>
              </w:rPr>
              <w:t>150</w:t>
            </w:r>
          </w:p>
        </w:tc>
      </w:tr>
    </w:tbl>
    <w:p w14:paraId="38D9E6E2" w14:textId="77777777" w:rsidR="00383AB7" w:rsidRPr="00383AB7" w:rsidRDefault="00383AB7" w:rsidP="00A14F37">
      <w:pPr>
        <w:shd w:val="clear" w:color="auto" w:fill="FFFFFF"/>
        <w:spacing w:before="240" w:after="0" w:line="240" w:lineRule="auto"/>
        <w:rPr>
          <w:rFonts w:eastAsia="Times New Roman" w:cs="Arial"/>
          <w:color w:val="1F1F1F"/>
          <w:sz w:val="24"/>
          <w:szCs w:val="24"/>
        </w:rPr>
      </w:pPr>
      <w:r w:rsidRPr="00383AB7">
        <w:rPr>
          <w:rFonts w:eastAsia="Times New Roman" w:cs="Arial"/>
          <w:color w:val="1F1F1F"/>
          <w:sz w:val="24"/>
          <w:szCs w:val="24"/>
        </w:rPr>
        <w:t>mOCP, monophasic combined oral contraceptive pills.</w:t>
      </w:r>
    </w:p>
    <w:p w14:paraId="0EA6363B" w14:textId="0A9A54DF" w:rsidR="000B2CAC" w:rsidRPr="00A14F37" w:rsidRDefault="000B2CAC" w:rsidP="00A14F37">
      <w:pPr>
        <w:spacing w:line="240" w:lineRule="auto"/>
      </w:pPr>
    </w:p>
    <w:p w14:paraId="45BFC575"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Experimental Design</w:t>
      </w:r>
    </w:p>
    <w:p w14:paraId="6906EAF3" w14:textId="77777777" w:rsidR="009048AB" w:rsidRPr="00A14F37" w:rsidRDefault="009048AB" w:rsidP="00A14F37">
      <w:pPr>
        <w:pStyle w:val="Heading3"/>
        <w:spacing w:line="240" w:lineRule="auto"/>
        <w:rPr>
          <w:rFonts w:asciiTheme="minorHAnsi" w:hAnsiTheme="minorHAnsi"/>
        </w:rPr>
      </w:pPr>
      <w:r w:rsidRPr="00A14F37">
        <w:rPr>
          <w:rFonts w:asciiTheme="minorHAnsi" w:hAnsiTheme="minorHAnsi"/>
        </w:rPr>
        <w:t>Study A.</w:t>
      </w:r>
    </w:p>
    <w:p w14:paraId="49705720" w14:textId="77777777" w:rsidR="009048AB" w:rsidRPr="009048AB" w:rsidRDefault="009048AB" w:rsidP="00A14F37">
      <w:pPr>
        <w:spacing w:line="240" w:lineRule="auto"/>
      </w:pPr>
      <w:r w:rsidRPr="009048AB">
        <w:t xml:space="preserve">Oral contraceptive users visited the laboratory three times, completing a familiarization and two experimental visits. Experimental visits were completed during the final 14 days of the pill cycle, with a minimum of 48 h </w:t>
      </w:r>
      <w:r w:rsidRPr="009048AB">
        <w:lastRenderedPageBreak/>
        <w:t>between visits to allow recovery (</w:t>
      </w:r>
      <w:hyperlink r:id="rId51" w:anchor="B13" w:history="1">
        <w:r w:rsidRPr="009048AB">
          <w:rPr>
            <w:rStyle w:val="Hyperlink"/>
          </w:rPr>
          <w:t>13</w:t>
        </w:r>
      </w:hyperlink>
      <w:r w:rsidRPr="009048AB">
        <w:t>). The visits were identical to those described below for </w:t>
      </w:r>
      <w:r w:rsidRPr="009048AB">
        <w:rPr>
          <w:i/>
          <w:iCs/>
        </w:rPr>
        <w:t>Study B</w:t>
      </w:r>
      <w:r w:rsidRPr="009048AB">
        <w:t>; however, blood sampling was not performed, as it is established that endogenous hormone concentrations do not fluctuate throughout the consumption phase of the mOCP cycle (</w:t>
      </w:r>
      <w:hyperlink r:id="rId52" w:anchor="B10" w:history="1">
        <w:r w:rsidRPr="009048AB">
          <w:rPr>
            <w:rStyle w:val="Hyperlink"/>
          </w:rPr>
          <w:t>10</w:t>
        </w:r>
      </w:hyperlink>
      <w:r w:rsidRPr="009048AB">
        <w:t>).</w:t>
      </w:r>
    </w:p>
    <w:p w14:paraId="75CB4136" w14:textId="77777777" w:rsidR="009048AB" w:rsidRPr="00A14F37" w:rsidRDefault="009048AB" w:rsidP="00A14F37">
      <w:pPr>
        <w:pStyle w:val="Heading3"/>
        <w:spacing w:line="240" w:lineRule="auto"/>
        <w:rPr>
          <w:rFonts w:asciiTheme="minorHAnsi" w:hAnsiTheme="minorHAnsi"/>
        </w:rPr>
      </w:pPr>
      <w:r w:rsidRPr="00A14F37">
        <w:rPr>
          <w:rFonts w:asciiTheme="minorHAnsi" w:hAnsiTheme="minorHAnsi"/>
        </w:rPr>
        <w:t>Study B.</w:t>
      </w:r>
    </w:p>
    <w:p w14:paraId="1191A59D" w14:textId="77777777" w:rsidR="009048AB" w:rsidRPr="009048AB" w:rsidRDefault="009048AB" w:rsidP="00A14F37">
      <w:pPr>
        <w:spacing w:line="240" w:lineRule="auto"/>
      </w:pPr>
      <w:r w:rsidRPr="009048AB">
        <w:t>Eumenorrheic women visited the laboratory four times, completing a familiarization session before three experimental visits. Participants completed experimental visits on days 2 (D2, early follicular), 14 (D14, late follicular), and 21 (D21, midluteal) of the menstrual cycle. Testing days were counted from the onset of menstruation and, to verify menstrual cycle phase, fasted venous blood samples were taken between the hours of 0600 and 0900 on testing days to analyze serum estradiol and progesterone concentrations. The order of visits was pseudorandomized and counterbalanced to minimize order effects, with five participants beginning on each testing day (D2, D14 or D21). All testing visits occurred within the same menstrual cycle (order: D2, D14, D21), or two consecutive cycles (order: D14, D21, D2 or D21, D2, D14). Experimental visits consisted of a baseline neuromuscular assessment, intermittent, isometric contractions at 60% MVC until task failure, followed immediately by a post-task neuromuscular assessment. The intensity for the fatiguing task was likely far greater than the critical torque [~30% MVC (</w:t>
      </w:r>
      <w:hyperlink r:id="rId53" w:anchor="B12" w:history="1">
        <w:r w:rsidRPr="009048AB">
          <w:rPr>
            <w:rStyle w:val="Hyperlink"/>
          </w:rPr>
          <w:t>12</w:t>
        </w:r>
      </w:hyperlink>
      <w:r w:rsidRPr="009048AB">
        <w:t>)], and, therefore, an unsustainable intensity, with task failure attributable to decrements in neuromuscular function (</w:t>
      </w:r>
      <w:hyperlink r:id="rId54" w:anchor="B1" w:history="1">
        <w:r w:rsidRPr="009048AB">
          <w:rPr>
            <w:rStyle w:val="Hyperlink"/>
          </w:rPr>
          <w:t>1</w:t>
        </w:r>
      </w:hyperlink>
      <w:r w:rsidRPr="009048AB">
        <w:t>, </w:t>
      </w:r>
      <w:hyperlink r:id="rId55" w:anchor="B11" w:history="1">
        <w:r w:rsidRPr="009048AB">
          <w:rPr>
            <w:rStyle w:val="Hyperlink"/>
          </w:rPr>
          <w:t>11</w:t>
        </w:r>
      </w:hyperlink>
      <w:r w:rsidRPr="009048AB">
        <w:t>).</w:t>
      </w:r>
    </w:p>
    <w:p w14:paraId="1B8B2837"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Experimental Procedures</w:t>
      </w:r>
    </w:p>
    <w:p w14:paraId="449297F4" w14:textId="77777777" w:rsidR="009048AB" w:rsidRPr="009048AB" w:rsidRDefault="009048AB" w:rsidP="00A14F37">
      <w:pPr>
        <w:spacing w:line="240" w:lineRule="auto"/>
      </w:pPr>
      <w:r w:rsidRPr="009048AB">
        <w:t>For </w:t>
      </w:r>
      <w:r w:rsidRPr="009048AB">
        <w:rPr>
          <w:i/>
          <w:iCs/>
        </w:rPr>
        <w:t>Study B</w:t>
      </w:r>
      <w:r w:rsidRPr="009048AB">
        <w:t>, upon arrival between the hours of 0600 and 0900, fasted venous blood samples were taken following 10 min of seated rest. Participants were then instructed to consume a typical breakfast and return to the laboratory at their designated testing time. The breakfast and time of testing were replicated (±1 h) for each experimental visit to control for diurnal variations in corticospinal excitability and maximal force production (</w:t>
      </w:r>
      <w:hyperlink r:id="rId56" w:anchor="B63" w:history="1">
        <w:r w:rsidRPr="009048AB">
          <w:rPr>
            <w:rStyle w:val="Hyperlink"/>
          </w:rPr>
          <w:t>63</w:t>
        </w:r>
      </w:hyperlink>
      <w:r w:rsidRPr="009048AB">
        <w:t>). Time of testing was also controlled for in </w:t>
      </w:r>
      <w:r w:rsidRPr="009048AB">
        <w:rPr>
          <w:i/>
          <w:iCs/>
        </w:rPr>
        <w:t>Study A</w:t>
      </w:r>
      <w:r w:rsidRPr="009048AB">
        <w:t>, with participants consuming the mOCP a constant time before trials to standardize circulating exogenous hormone concentrations between visits. In both studies, experimental sessions began with participants completing a standardized voluntary isometric contraction warm-up (2 × contractions at 25, 50, and 75% perceived maximal effort) followed by a baseline neuromuscular assessment (described below). The fatiguing task involved sets of intermittent isometric contractions (3-s contraction, 2-s rest at 60% MVC) to task failure. Contractions were paced with an audible metronome to ensure the duty cycle was maintained. One set was defined as 11 submaximal contractions followed by a 3-s MVC with motor nerve stimulation (MNS) delivered at the peak force and 2 s post, lasting 1 min. Task failure was defined as an inability to reach the target force three times at any stage of the protocol. Rating of perceived exertion [RPE (</w:t>
      </w:r>
      <w:hyperlink r:id="rId57" w:anchor="B6" w:history="1">
        <w:r w:rsidRPr="009048AB">
          <w:rPr>
            <w:rStyle w:val="Hyperlink"/>
          </w:rPr>
          <w:t>6</w:t>
        </w:r>
      </w:hyperlink>
      <w:r w:rsidRPr="009048AB">
        <w:t>)] was recorded using a 6–20 scale following each MVC throughout the fatiguing task. Real-time visual force feedback using target forces set as percentages of maximum force was provided to participants on a computer screen to aid a constant force level. The post-task neuromuscular assessment began immediately following task failure.</w:t>
      </w:r>
    </w:p>
    <w:p w14:paraId="46DC3A8A"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Neuromuscular assessments.</w:t>
      </w:r>
    </w:p>
    <w:p w14:paraId="09BEA43E" w14:textId="77777777" w:rsidR="009048AB" w:rsidRPr="009048AB" w:rsidRDefault="009048AB" w:rsidP="00A14F37">
      <w:pPr>
        <w:spacing w:line="240" w:lineRule="auto"/>
      </w:pPr>
      <w:r w:rsidRPr="009048AB">
        <w:t>Measures of neuromuscular function were assessed pre- and postexercise with MNS of the femoral nerve and TMS of the contralateral motor cortex at rest and during voluntary contractions of the right knee extensors. Preexercise neuromuscular assessments began with two practice MVCs to ensure potentiation of subsequent evoked measures, followed by three ~3-s MVCs, all separated by 30 s. During these three MVCs, MNS was delivered when peak force plateaued and then ~2 s after the MVC to measure voluntary activation (VA</w:t>
      </w:r>
      <w:r w:rsidRPr="009048AB">
        <w:rPr>
          <w:vertAlign w:val="subscript"/>
        </w:rPr>
        <w:t>MNS</w:t>
      </w:r>
      <w:r w:rsidRPr="009048AB">
        <w:t>) and potentiated twitch amplitude (Q</w:t>
      </w:r>
      <w:r w:rsidRPr="009048AB">
        <w:rPr>
          <w:vertAlign w:val="subscript"/>
        </w:rPr>
        <w:t>tw.pot</w:t>
      </w:r>
      <w:r w:rsidRPr="009048AB">
        <w:t>) of the knee extensors. Single-pulse TMS was subsequently delivered during two sets of five 3- to 5-s contractions at 100, 87.5, 75, 62.5, and 50% MVC, with 5-s rest between contractions and 10-s rest between sets, to determine VA</w:t>
      </w:r>
      <w:r w:rsidRPr="009048AB">
        <w:rPr>
          <w:vertAlign w:val="subscript"/>
        </w:rPr>
        <w:t>TMS</w:t>
      </w:r>
      <w:r w:rsidRPr="009048AB">
        <w:t> (</w:t>
      </w:r>
      <w:hyperlink r:id="rId58" w:anchor="B19" w:history="1">
        <w:r w:rsidRPr="009048AB">
          <w:rPr>
            <w:rStyle w:val="Hyperlink"/>
          </w:rPr>
          <w:t>19</w:t>
        </w:r>
      </w:hyperlink>
      <w:r w:rsidRPr="009048AB">
        <w:t>). The TMS silent period (SP) was determined during the 50% MVC contraction of each set. Participants were instructed to maintain a constant force on the guideline and “push through the stimulation” (</w:t>
      </w:r>
      <w:hyperlink r:id="rId59" w:anchor="B52" w:history="1">
        <w:r w:rsidRPr="009048AB">
          <w:rPr>
            <w:rStyle w:val="Hyperlink"/>
          </w:rPr>
          <w:t>52</w:t>
        </w:r>
      </w:hyperlink>
      <w:r w:rsidRPr="009048AB">
        <w:t>). Finally, 10 single- and 10 paired-pulse TMS stimulations were delivered during a 10% MVC contraction in an alternate order to determine corticospinal excitability and short-interval cortical inhibition (SICI), respectively. The neuromuscular assessment was repeated immediately postexercise. Measures of neuromuscular function (MVC, Q</w:t>
      </w:r>
      <w:r w:rsidRPr="009048AB">
        <w:rPr>
          <w:vertAlign w:val="subscript"/>
        </w:rPr>
        <w:t>tw.pot</w:t>
      </w:r>
      <w:r w:rsidRPr="009048AB">
        <w:t>, VA</w:t>
      </w:r>
      <w:r w:rsidRPr="009048AB">
        <w:rPr>
          <w:vertAlign w:val="subscript"/>
        </w:rPr>
        <w:t>MNS</w:t>
      </w:r>
      <w:r w:rsidRPr="009048AB">
        <w:t xml:space="preserve">) were measured within 30 s of task </w:t>
      </w:r>
      <w:r w:rsidRPr="009048AB">
        <w:lastRenderedPageBreak/>
        <w:t>failure, and VA</w:t>
      </w:r>
      <w:r w:rsidRPr="009048AB">
        <w:rPr>
          <w:vertAlign w:val="subscript"/>
        </w:rPr>
        <w:t>TMS</w:t>
      </w:r>
      <w:r w:rsidRPr="009048AB">
        <w:t xml:space="preserve"> measured within 2–2.5 min, </w:t>
      </w:r>
      <w:proofErr w:type="gramStart"/>
      <w:r w:rsidRPr="009048AB">
        <w:t>in an attempt to</w:t>
      </w:r>
      <w:proofErr w:type="gramEnd"/>
      <w:r w:rsidRPr="009048AB">
        <w:t xml:space="preserve"> minimize the dissipation of fatigue. However it is possible that the sensitivity of these measures was compromised due to the rapid recovery of central fatigue postexercise (</w:t>
      </w:r>
      <w:hyperlink r:id="rId60" w:anchor="B32" w:history="1">
        <w:r w:rsidRPr="009048AB">
          <w:rPr>
            <w:rStyle w:val="Hyperlink"/>
          </w:rPr>
          <w:t>32</w:t>
        </w:r>
      </w:hyperlink>
      <w:r w:rsidRPr="009048AB">
        <w:t>).</w:t>
      </w:r>
    </w:p>
    <w:p w14:paraId="71AF8569"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Force and electromyographical recordings.</w:t>
      </w:r>
    </w:p>
    <w:p w14:paraId="759DF165" w14:textId="77777777" w:rsidR="009048AB" w:rsidRPr="009048AB" w:rsidRDefault="009048AB" w:rsidP="00A14F37">
      <w:pPr>
        <w:spacing w:line="240" w:lineRule="auto"/>
      </w:pPr>
      <w:r w:rsidRPr="009048AB">
        <w:t>During assessments of neuromuscular function and fatiguing tasks, participants sat on a custom-built chair with knee and hip angles kept constant (both 90° flexion). A calibrated load cell (MuscleLab force sensor 300; Ergotest Technology, Porsgrunn, Norway) was attached via a noncompliant cuff positioned 2 cm superior to the ankle malleoli on the participants’ right leg, to measure knee extensor force (N). Surface Ag/AgCl electrodes (Kendall H87PG/F; Covidien, Mansfield, MA) were placed over the rectus femoris (RF), and biceps femoris (BF) muscles with a 2-cm interelectrode distance to record the compound muscle action potential (M-wave) elicited by the electrical stimulation of the femoral nerve, the motor-evoked potential (MEP) elicited by TMS, and the root-mean-square amplitude during isometric contractions (rmsEMG). Electrode placement was consistent with SENIAM (Surface ElectroMyoGraphy for the Non-Invasive Assessment of Muscles) guidelines (</w:t>
      </w:r>
      <w:hyperlink r:id="rId61" w:anchor="B35" w:history="1">
        <w:r w:rsidRPr="009048AB">
          <w:rPr>
            <w:rStyle w:val="Hyperlink"/>
          </w:rPr>
          <w:t>35</w:t>
        </w:r>
      </w:hyperlink>
      <w:r w:rsidRPr="009048AB">
        <w:t>), and a reference electrode was placed over the patella. Prior to placement, the skin-electrode contact area was cleaned using a 70% IPA alcohol wipe (FastAid; Robinson Healthcare, Worksop, UK). Signals were amplified: gain × 1,000 for EMG and × 300 for force (CED 1902; Cambridge Electronic Design, Cambridge, UK), bandpass filtered (EMG only: 20–2,000 Hz), digitized (5 kHz CED 1401, Cambridge Electronic Design), and analyzed offline (Spike2 v.8, Cambridge Electronic Design).</w:t>
      </w:r>
    </w:p>
    <w:p w14:paraId="4742B164"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Motor nerve stimulation.</w:t>
      </w:r>
    </w:p>
    <w:p w14:paraId="649C335A" w14:textId="77777777" w:rsidR="009048AB" w:rsidRPr="009048AB" w:rsidRDefault="009048AB" w:rsidP="00A14F37">
      <w:pPr>
        <w:spacing w:line="240" w:lineRule="auto"/>
      </w:pPr>
      <w:r w:rsidRPr="009048AB">
        <w:t>Single electrical stimuli (200 µs duration) were delivered to the right femoral nerve using a constant current stimulator (DS7AH Digitimer; Welwyn Garden City, UK) via adhesive surface electrodes (CF3200; Nidd Valley Medical, Harrogate, UK). The cathode was placed over the nerve, high in the femoral triangle, in the position that elicited the greatest twitch amplitude (Q</w:t>
      </w:r>
      <w:r w:rsidRPr="009048AB">
        <w:rPr>
          <w:vertAlign w:val="subscript"/>
        </w:rPr>
        <w:t>tw</w:t>
      </w:r>
      <w:r w:rsidRPr="009048AB">
        <w:t>) and M-wave in the RF at rest. The anode was placed halfway between the greater trochanter and the iliac crest. Optimum stimulus intensity was determined as the minimum current that elicited maximum values of Q</w:t>
      </w:r>
      <w:r w:rsidRPr="009048AB">
        <w:rPr>
          <w:vertAlign w:val="subscript"/>
        </w:rPr>
        <w:t>tw</w:t>
      </w:r>
      <w:r w:rsidRPr="009048AB">
        <w:t> and M-wave (M</w:t>
      </w:r>
      <w:r w:rsidRPr="009048AB">
        <w:rPr>
          <w:vertAlign w:val="subscript"/>
        </w:rPr>
        <w:t>max</w:t>
      </w:r>
      <w:r w:rsidRPr="009048AB">
        <w:t>) at rest. To ensure a supramaximal stimulus, the optimum stimulus intensity was increased by 30% and was not different between trials in either study (</w:t>
      </w:r>
      <w:r w:rsidRPr="009048AB">
        <w:rPr>
          <w:i/>
          <w:iCs/>
        </w:rPr>
        <w:t>A</w:t>
      </w:r>
      <w:r w:rsidRPr="009048AB">
        <w:t>: 230 ± 61 vs. 241 ± 65 mA, </w:t>
      </w:r>
      <w:r w:rsidRPr="009048AB">
        <w:rPr>
          <w:i/>
          <w:iCs/>
        </w:rPr>
        <w:t>P</w:t>
      </w:r>
      <w:r w:rsidRPr="009048AB">
        <w:t> = 0.271; </w:t>
      </w:r>
      <w:r w:rsidRPr="009048AB">
        <w:rPr>
          <w:i/>
          <w:iCs/>
        </w:rPr>
        <w:t>B:</w:t>
      </w:r>
      <w:r w:rsidRPr="009048AB">
        <w:t> 233 ± 72, 244 ± 68, and 262 ± 67 mA, </w:t>
      </w:r>
      <w:r w:rsidRPr="009048AB">
        <w:rPr>
          <w:i/>
          <w:iCs/>
        </w:rPr>
        <w:t>P</w:t>
      </w:r>
      <w:r w:rsidRPr="009048AB">
        <w:t> = 0.125).</w:t>
      </w:r>
    </w:p>
    <w:p w14:paraId="576ADE5C"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Transcranial magnetic stimulation.</w:t>
      </w:r>
    </w:p>
    <w:p w14:paraId="39E14105" w14:textId="77777777" w:rsidR="009048AB" w:rsidRPr="009048AB" w:rsidRDefault="009048AB" w:rsidP="00A14F37">
      <w:pPr>
        <w:spacing w:line="240" w:lineRule="auto"/>
      </w:pPr>
      <w:r w:rsidRPr="009048AB">
        <w:t>Single and paired pulse stimuli (1 ms duration) were delivered to the contralateral (left) motor cortex via a concave double cone coil (110 mm diameter, maximum output 1.4 T) powered by two linked monopulse stimulators (Magstim Bistim and Magstim</w:t>
      </w:r>
      <w:r w:rsidRPr="009048AB">
        <w:rPr>
          <w:vertAlign w:val="superscript"/>
        </w:rPr>
        <w:t>200</w:t>
      </w:r>
      <w:r w:rsidRPr="009048AB">
        <w:t>; Magstim, Whitland, UK). Optimal coil placement was determined as the position that elicited the greatest RF MEP with concomitant smallest antagonist (BF) MEP during a 10% MVC at 50–70% stimulator output. This position was marked on the scalp with indelible marker to ensure consistent placement during trials. Stimulator intensity for VA</w:t>
      </w:r>
      <w:r w:rsidRPr="009048AB">
        <w:rPr>
          <w:vertAlign w:val="subscript"/>
        </w:rPr>
        <w:t>TMS</w:t>
      </w:r>
      <w:r w:rsidRPr="009048AB">
        <w:t> was determined as the intensity that elicited the greatest superimposed twitch (SIT) during a contraction at 50% MVC. Stimulator intensity was increased in 5% intervals from 50% stimulator output, and two stimuli were delivered during an ~5 s contraction, with the mean of two SITs recorded (</w:t>
      </w:r>
      <w:hyperlink r:id="rId62" w:anchor="B9" w:history="1">
        <w:r w:rsidRPr="009048AB">
          <w:rPr>
            <w:rStyle w:val="Hyperlink"/>
          </w:rPr>
          <w:t>9</w:t>
        </w:r>
      </w:hyperlink>
      <w:r w:rsidRPr="009048AB">
        <w:t>, </w:t>
      </w:r>
      <w:hyperlink r:id="rId63" w:anchor="B18" w:history="1">
        <w:r w:rsidRPr="009048AB">
          <w:rPr>
            <w:rStyle w:val="Hyperlink"/>
          </w:rPr>
          <w:t>18</w:t>
        </w:r>
      </w:hyperlink>
      <w:r w:rsidRPr="009048AB">
        <w:t>). Mean stimulator intensity was not different between trials in either study (</w:t>
      </w:r>
      <w:r w:rsidRPr="009048AB">
        <w:rPr>
          <w:i/>
          <w:iCs/>
        </w:rPr>
        <w:t>A</w:t>
      </w:r>
      <w:r w:rsidRPr="009048AB">
        <w:t>: 67 ± 10 vs. 66 ± 10%, </w:t>
      </w:r>
      <w:r w:rsidRPr="009048AB">
        <w:rPr>
          <w:i/>
          <w:iCs/>
        </w:rPr>
        <w:t>P</w:t>
      </w:r>
      <w:r w:rsidRPr="009048AB">
        <w:t> = 0.737; </w:t>
      </w:r>
      <w:r w:rsidRPr="009048AB">
        <w:rPr>
          <w:i/>
          <w:iCs/>
        </w:rPr>
        <w:t>B</w:t>
      </w:r>
      <w:r w:rsidRPr="009048AB">
        <w:t>: 63 ± 10, 63 ± 11 and 63 ± 12%, </w:t>
      </w:r>
      <w:r w:rsidRPr="009048AB">
        <w:rPr>
          <w:i/>
          <w:iCs/>
        </w:rPr>
        <w:t>P</w:t>
      </w:r>
      <w:r w:rsidRPr="009048AB">
        <w:t> = 0.984). The stimulator output activated a large proportion of the KE motoneuron pool at baseline in each experimental visit with no difference between trials in </w:t>
      </w:r>
      <w:r w:rsidRPr="009048AB">
        <w:rPr>
          <w:i/>
          <w:iCs/>
        </w:rPr>
        <w:t>Study A</w:t>
      </w:r>
      <w:r w:rsidRPr="009048AB">
        <w:t> (69 ± 35 vs. 68 ± 36% M</w:t>
      </w:r>
      <w:r w:rsidRPr="009048AB">
        <w:rPr>
          <w:vertAlign w:val="subscript"/>
        </w:rPr>
        <w:t>max</w:t>
      </w:r>
      <w:r w:rsidRPr="009048AB">
        <w:t> amplitude, </w:t>
      </w:r>
      <w:r w:rsidRPr="009048AB">
        <w:rPr>
          <w:i/>
          <w:iCs/>
        </w:rPr>
        <w:t>P</w:t>
      </w:r>
      <w:r w:rsidRPr="009048AB">
        <w:t> = 0.916) or </w:t>
      </w:r>
      <w:r w:rsidRPr="009048AB">
        <w:rPr>
          <w:i/>
          <w:iCs/>
        </w:rPr>
        <w:t>Study B</w:t>
      </w:r>
      <w:r w:rsidRPr="009048AB">
        <w:t> (61 ± 17, 57 ± 17, 55 ± 14% M</w:t>
      </w:r>
      <w:r w:rsidRPr="009048AB">
        <w:rPr>
          <w:vertAlign w:val="subscript"/>
        </w:rPr>
        <w:t>max</w:t>
      </w:r>
      <w:r w:rsidRPr="009048AB">
        <w:t> amplitude, </w:t>
      </w:r>
      <w:r w:rsidRPr="009048AB">
        <w:rPr>
          <w:i/>
          <w:iCs/>
        </w:rPr>
        <w:t>P</w:t>
      </w:r>
      <w:r w:rsidRPr="009048AB">
        <w:t> = 0.788). Small coactivation of the antagonist muscle (BF) was observed in response to TMS and did not differ between trials in </w:t>
      </w:r>
      <w:r w:rsidRPr="009048AB">
        <w:rPr>
          <w:i/>
          <w:iCs/>
        </w:rPr>
        <w:t>Study A</w:t>
      </w:r>
      <w:r w:rsidRPr="009048AB">
        <w:t> (0.60 ± 0.37 vs. 0.72 ± 0.53 mV, </w:t>
      </w:r>
      <w:r w:rsidRPr="009048AB">
        <w:rPr>
          <w:i/>
          <w:iCs/>
        </w:rPr>
        <w:t>P</w:t>
      </w:r>
      <w:r w:rsidRPr="009048AB">
        <w:t> = 0.106) or </w:t>
      </w:r>
      <w:r w:rsidRPr="009048AB">
        <w:rPr>
          <w:i/>
          <w:iCs/>
        </w:rPr>
        <w:t>Study B</w:t>
      </w:r>
      <w:r w:rsidRPr="009048AB">
        <w:t> (0.53 ± 0.39, 0.71 ± 0.42 and 0.60 ± 0.34 mV, </w:t>
      </w:r>
      <w:r w:rsidRPr="009048AB">
        <w:rPr>
          <w:i/>
          <w:iCs/>
        </w:rPr>
        <w:t>P</w:t>
      </w:r>
      <w:r w:rsidRPr="009048AB">
        <w:t> = 0.211).</w:t>
      </w:r>
    </w:p>
    <w:p w14:paraId="11882F3E" w14:textId="77777777" w:rsidR="009048AB" w:rsidRPr="009048AB" w:rsidRDefault="009048AB" w:rsidP="00A14F37">
      <w:pPr>
        <w:spacing w:line="240" w:lineRule="auto"/>
      </w:pPr>
      <w:r w:rsidRPr="009048AB">
        <w:t xml:space="preserve">Active motor threshold (aMT) was determined as the stimulator intensity that elicited a MEP of &gt; 200 µV in three of five stimulations during a 10% MVC contraction. Stimulator intensity was increased in 5% steps from 35% of stimulator output until a consistent MEP amplitude &gt;200 μV was found. Thereafter, stimulus intensity was reduced in 1% steps until the lowest intensity to elicit a MEP of &gt;200 μV was found. aMT was not different </w:t>
      </w:r>
      <w:r w:rsidRPr="009048AB">
        <w:lastRenderedPageBreak/>
        <w:t>on any testing visit in </w:t>
      </w:r>
      <w:r w:rsidRPr="009048AB">
        <w:rPr>
          <w:i/>
          <w:iCs/>
        </w:rPr>
        <w:t>Study A</w:t>
      </w:r>
      <w:r w:rsidRPr="009048AB">
        <w:t> (40 ± 6 vs. 40 ± 7%, </w:t>
      </w:r>
      <w:r w:rsidRPr="009048AB">
        <w:rPr>
          <w:i/>
          <w:iCs/>
        </w:rPr>
        <w:t>P</w:t>
      </w:r>
      <w:r w:rsidRPr="009048AB">
        <w:t> = 0.746) or </w:t>
      </w:r>
      <w:r w:rsidRPr="009048AB">
        <w:rPr>
          <w:i/>
          <w:iCs/>
        </w:rPr>
        <w:t>Study B</w:t>
      </w:r>
      <w:r w:rsidRPr="009048AB">
        <w:t> (43 ± 9, 42 ± 8, and 43 ± 9%, </w:t>
      </w:r>
      <w:r w:rsidRPr="009048AB">
        <w:rPr>
          <w:i/>
          <w:iCs/>
        </w:rPr>
        <w:t>P</w:t>
      </w:r>
      <w:r w:rsidRPr="009048AB">
        <w:t xml:space="preserve"> = 0.874). SICI was assessed with 10 paired and 10 single pulse stimulations delivered. </w:t>
      </w:r>
      <w:proofErr w:type="gramStart"/>
      <w:r w:rsidRPr="009048AB">
        <w:t>Paired-pulse</w:t>
      </w:r>
      <w:proofErr w:type="gramEnd"/>
      <w:r w:rsidRPr="009048AB">
        <w:t xml:space="preserve"> TMS consisted of a conditioning pulse at 70% of aMT and a test pulse at 120% aMT, with an interstimulus interval of 2 ms. All stimuli were delivered during a 10% contraction. This paradigm has previously been demonstrated to be the optimal configuration for eliciting SICI in the KE (</w:t>
      </w:r>
      <w:hyperlink r:id="rId64" w:anchor="B8" w:history="1">
        <w:r w:rsidRPr="009048AB">
          <w:rPr>
            <w:rStyle w:val="Hyperlink"/>
          </w:rPr>
          <w:t>8</w:t>
        </w:r>
      </w:hyperlink>
      <w:r w:rsidRPr="009048AB">
        <w:t>), and it has been used previously in our laboratory in male populations (</w:t>
      </w:r>
      <w:hyperlink r:id="rId65" w:anchor="B31" w:history="1">
        <w:r w:rsidRPr="009048AB">
          <w:rPr>
            <w:rStyle w:val="Hyperlink"/>
          </w:rPr>
          <w:t>31</w:t>
        </w:r>
      </w:hyperlink>
      <w:r w:rsidRPr="009048AB">
        <w:t>). Two sets of 10 stimuli were used, with a 10-s rest between contractions.</w:t>
      </w:r>
    </w:p>
    <w:p w14:paraId="30890982"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Blood Sampling and Hormone Analysis (Study B only)</w:t>
      </w:r>
    </w:p>
    <w:p w14:paraId="143E8B9C" w14:textId="77777777" w:rsidR="009048AB" w:rsidRPr="009048AB" w:rsidRDefault="009048AB" w:rsidP="00A14F37">
      <w:pPr>
        <w:spacing w:line="240" w:lineRule="auto"/>
      </w:pPr>
      <w:r w:rsidRPr="009048AB">
        <w:t xml:space="preserve">Venous blood sampling was performed on the morning of each testing session. A 10-ml blood sample was drawn from an antecubital vein into a silica-coated tube by a trained phlebotomist and then left upright for 15 min to coagulate before centrifuging. Samples were centrifuged at 2,500 rpm for 10 min at room temperature (Allegra-X22R; Beckman Coulter, Sykesville, MD). Using a 500- to 1,000-µl pipette, the supernatant serum was separated into three aliquots (~1000 µl each) and stored at −80°C until estradiol and progesterone analyses were performed. Total concentrations of 17β-estradiol and progesterone were measured in duplicate using hormone-specific enzyme-linked immunoassay kits (Cayman Chemical, Ann Arbor, MI). All samples were analyzed using the ELISA technique with absorbance detection (wavelength 405 nm). The minimal estradiol and progesterone detection </w:t>
      </w:r>
      <w:proofErr w:type="gramStart"/>
      <w:r w:rsidRPr="009048AB">
        <w:t>was</w:t>
      </w:r>
      <w:proofErr w:type="gramEnd"/>
      <w:r w:rsidRPr="009048AB">
        <w:t xml:space="preserve"> 15 pg/ml and 7.5 pg/ml, respectively. To calculate 17β-estradiol and progesterone levels, a standard curve was plotted using eight standards against their absorbance. Using the mean absorbance from the duplicate of each sample, the concentration of the sample was interpolated directly from the standard curve. The coefficients of variation (CVs) for the ELISA kits, as provided by the manufacturer, were 8–12% for 17β-estradiol, and 5–8% for progesterone. In one instance, the CV of a duplicate sample exceeded the manufacturer’s CV due to an excessively high (nonphysiological) reading in one well. Therefore, the lower of the two was used for data analysis. Participants’ hormonal profiles were deemed “acceptable” when a peak in progesterone concentration was observed during the luteal phase (D21) and an increase in 17β-estradiol was observed from D2 to D14. If neither peak was observed, participants were deemed anovulatory and excluded from further analyses.</w:t>
      </w:r>
    </w:p>
    <w:p w14:paraId="3E7E88CF"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Data Analysis</w:t>
      </w:r>
    </w:p>
    <w:p w14:paraId="17533C54" w14:textId="77777777" w:rsidR="009048AB" w:rsidRPr="009048AB" w:rsidRDefault="009048AB" w:rsidP="00A14F37">
      <w:pPr>
        <w:spacing w:line="240" w:lineRule="auto"/>
      </w:pPr>
      <w:r w:rsidRPr="009048AB">
        <w:t>Voluntary activation using motor nerve stimulation was determined using the ITT (</w:t>
      </w:r>
      <w:hyperlink r:id="rId66" w:anchor="B48" w:history="1">
        <w:r w:rsidRPr="009048AB">
          <w:rPr>
            <w:rStyle w:val="Hyperlink"/>
          </w:rPr>
          <w:t>48</w:t>
        </w:r>
      </w:hyperlink>
      <w:r w:rsidRPr="009048AB">
        <w:t>) by comparing the amplitude of the superimposed twitch (SIT) with the amplitude of the potentiated resting twitch (Q</w:t>
      </w:r>
      <w:r w:rsidRPr="009048AB">
        <w:rPr>
          <w:vertAlign w:val="subscript"/>
        </w:rPr>
        <w:t>tw.pot</w:t>
      </w:r>
      <w:r w:rsidRPr="009048AB">
        <w:t>) using the following formula: VA</w:t>
      </w:r>
      <w:r w:rsidRPr="009048AB">
        <w:rPr>
          <w:vertAlign w:val="subscript"/>
        </w:rPr>
        <w:t>MNS</w:t>
      </w:r>
      <w:r w:rsidRPr="009048AB">
        <w:t> (%) = (1 – [SIT ÷ Q</w:t>
      </w:r>
      <w:r w:rsidRPr="009048AB">
        <w:rPr>
          <w:vertAlign w:val="subscript"/>
        </w:rPr>
        <w:t>tw.pot</w:t>
      </w:r>
      <w:r w:rsidRPr="009048AB">
        <w:t>]) × 100]. VA using TMS was assessed during two sets of contractions at 100, 87.5, 75, 62.5, and 50% MVC (</w:t>
      </w:r>
      <w:hyperlink r:id="rId67" w:anchor="B19" w:history="1">
        <w:r w:rsidRPr="009048AB">
          <w:rPr>
            <w:rStyle w:val="Hyperlink"/>
          </w:rPr>
          <w:t>19</w:t>
        </w:r>
      </w:hyperlink>
      <w:r w:rsidRPr="009048AB">
        <w:t>). Single-pulse TMS was delivered during each contraction, and the linear regression between SIT amplitude and contraction intensity was extrapolated to the </w:t>
      </w:r>
      <w:r w:rsidRPr="009048AB">
        <w:rPr>
          <w:i/>
          <w:iCs/>
        </w:rPr>
        <w:t>y</w:t>
      </w:r>
      <w:r w:rsidRPr="009048AB">
        <w:t>-intercept to obtain an estimated resting twitch (ERT; </w:t>
      </w:r>
      <w:hyperlink r:id="rId68" w:anchor="B68" w:history="1">
        <w:r w:rsidRPr="009048AB">
          <w:rPr>
            <w:rStyle w:val="Hyperlink"/>
          </w:rPr>
          <w:t>68</w:t>
        </w:r>
      </w:hyperlink>
      <w:r w:rsidRPr="009048AB">
        <w:t>). To achieve significant linearity (</w:t>
      </w:r>
      <w:r w:rsidRPr="009048AB">
        <w:rPr>
          <w:i/>
          <w:iCs/>
        </w:rPr>
        <w:t>P</w:t>
      </w:r>
      <w:r w:rsidRPr="009048AB">
        <w:t> &lt; 0.05), a total of 4 of 300 SITs across all trials in </w:t>
      </w:r>
      <w:r w:rsidRPr="009048AB">
        <w:rPr>
          <w:i/>
          <w:iCs/>
        </w:rPr>
        <w:t>Study A</w:t>
      </w:r>
      <w:r w:rsidRPr="009048AB">
        <w:t> were excluded (1.3%), which led to 4 regressions containing 9 data points rather than 10 (1 preexercise, 3 postexercise). In </w:t>
      </w:r>
      <w:r w:rsidRPr="009048AB">
        <w:rPr>
          <w:i/>
          <w:iCs/>
        </w:rPr>
        <w:t>Study B</w:t>
      </w:r>
      <w:r w:rsidRPr="009048AB">
        <w:t>, 6 of 870 SITs were excluded from all linear regressions (0.7%), meaning that there were 86 10-point regressions, 3 9-point regressions, and 1 8-point regression used to estimate resting twitches. Mean </w:t>
      </w:r>
      <w:r w:rsidRPr="009048AB">
        <w:rPr>
          <w:i/>
          <w:iCs/>
        </w:rPr>
        <w:t>r</w:t>
      </w:r>
      <w:r w:rsidRPr="009048AB">
        <w:rPr>
          <w:vertAlign w:val="superscript"/>
        </w:rPr>
        <w:t>2</w:t>
      </w:r>
      <w:r w:rsidRPr="009048AB">
        <w:t> values for ERTs in </w:t>
      </w:r>
      <w:r w:rsidRPr="009048AB">
        <w:rPr>
          <w:i/>
          <w:iCs/>
        </w:rPr>
        <w:t>Study A</w:t>
      </w:r>
      <w:r w:rsidRPr="009048AB">
        <w:t> were 0.94 ± 0.04 preexercise vs. 0.94 ± 0.04 postexercise and in </w:t>
      </w:r>
      <w:r w:rsidRPr="009048AB">
        <w:rPr>
          <w:i/>
          <w:iCs/>
        </w:rPr>
        <w:t>Study B</w:t>
      </w:r>
      <w:r w:rsidRPr="009048AB">
        <w:t> were 0.92 ± 0.05 preexercise, and 0.89 ± 0.07 postexercise. The SIT during 100% MVC was compared with the ERT using the following formula: VA</w:t>
      </w:r>
      <w:r w:rsidRPr="009048AB">
        <w:rPr>
          <w:vertAlign w:val="subscript"/>
        </w:rPr>
        <w:t>TMS</w:t>
      </w:r>
      <w:r w:rsidRPr="009048AB">
        <w:t> (%) = (1 – [SIT ÷ ERT]) × 100. SICI was quantified as the percentage ratio between the amplitude of conditioned MEPs to the amplitude of unconditioned MEPs. Corticospinal excitability was determined by expressing the mean MEP amplitude during the 10% MVC as a percentage of M</w:t>
      </w:r>
      <w:r w:rsidRPr="009048AB">
        <w:rPr>
          <w:vertAlign w:val="subscript"/>
        </w:rPr>
        <w:t>max</w:t>
      </w:r>
      <w:r w:rsidRPr="009048AB">
        <w:t>. The rmsEMG was recorded during the middle 500-ms epoch of each 3-s contraction during the fatiguing task. rmsEMG was then expressed as a percentage of M</w:t>
      </w:r>
      <w:r w:rsidRPr="009048AB">
        <w:rPr>
          <w:vertAlign w:val="subscript"/>
        </w:rPr>
        <w:t>max</w:t>
      </w:r>
      <w:r w:rsidRPr="009048AB">
        <w:t>. For the data presented as %TTF, the MVC, VA</w:t>
      </w:r>
      <w:r w:rsidRPr="009048AB">
        <w:rPr>
          <w:vertAlign w:val="subscript"/>
        </w:rPr>
        <w:t>MNS</w:t>
      </w:r>
      <w:r w:rsidRPr="009048AB">
        <w:t>, and Q</w:t>
      </w:r>
      <w:r w:rsidRPr="009048AB">
        <w:rPr>
          <w:vertAlign w:val="subscript"/>
        </w:rPr>
        <w:t>tw.pot</w:t>
      </w:r>
      <w:r w:rsidRPr="009048AB">
        <w:t> for the nearest minute during the fatiguing protocols were taken, and the average rmsEMG for the nearest full set of contractions to the target percentage (i.e., 25, 50, or 75% TTF) was taken; for 0 and 100% TTF, the first and last complete sets were used. All data analysis was performed offline. In </w:t>
      </w:r>
      <w:r w:rsidRPr="009048AB">
        <w:rPr>
          <w:i/>
          <w:iCs/>
        </w:rPr>
        <w:t>Study</w:t>
      </w:r>
      <w:r w:rsidRPr="009048AB">
        <w:t xml:space="preserve"> B, despite rigorous familiarization and verbal encouragement, one participant failed to maintain the intermittent contractions for the required 3 s during the fatiguing task, thus invalidating the TTF duration. Therefore, it was deemed appropriate to remove the participant’s TTF duration and posttrial </w:t>
      </w:r>
      <w:r w:rsidRPr="009048AB">
        <w:lastRenderedPageBreak/>
        <w:t>neuromuscular assessment from further analysis (</w:t>
      </w:r>
      <w:r w:rsidRPr="009048AB">
        <w:rPr>
          <w:i/>
          <w:iCs/>
        </w:rPr>
        <w:t>n</w:t>
      </w:r>
      <w:r w:rsidRPr="009048AB">
        <w:t> = 14); however, baseline data were included for statistical analysis (</w:t>
      </w:r>
      <w:r w:rsidRPr="009048AB">
        <w:rPr>
          <w:i/>
          <w:iCs/>
        </w:rPr>
        <w:t>n</w:t>
      </w:r>
      <w:r w:rsidRPr="009048AB">
        <w:t> = 15).</w:t>
      </w:r>
    </w:p>
    <w:p w14:paraId="6F3E0ECC" w14:textId="77777777" w:rsidR="009048AB" w:rsidRPr="00A14F37" w:rsidRDefault="009048AB" w:rsidP="00A14F37">
      <w:pPr>
        <w:pStyle w:val="Heading2"/>
        <w:spacing w:line="240" w:lineRule="auto"/>
        <w:rPr>
          <w:rFonts w:asciiTheme="minorHAnsi" w:hAnsiTheme="minorHAnsi"/>
        </w:rPr>
      </w:pPr>
      <w:r w:rsidRPr="00A14F37">
        <w:rPr>
          <w:rFonts w:asciiTheme="minorHAnsi" w:hAnsiTheme="minorHAnsi"/>
        </w:rPr>
        <w:t>Statistical Analysis</w:t>
      </w:r>
    </w:p>
    <w:p w14:paraId="3ACA8F5C" w14:textId="77777777" w:rsidR="009048AB" w:rsidRPr="009048AB" w:rsidRDefault="009048AB" w:rsidP="00A14F37">
      <w:pPr>
        <w:spacing w:line="240" w:lineRule="auto"/>
      </w:pPr>
      <w:r w:rsidRPr="009048AB">
        <w:t>Data are presented as mean ± SD within the text and figures. Normal Gaussian distribution of data was confirmed using the Kolmogorov-Smirnov test. If a violation was detected, the data were logarithmically transformed. The α for all statistical tests was set at </w:t>
      </w:r>
      <w:r w:rsidRPr="009048AB">
        <w:rPr>
          <w:i/>
          <w:iCs/>
        </w:rPr>
        <w:t>P</w:t>
      </w:r>
      <w:r w:rsidRPr="009048AB">
        <w:t> ≤ 0.05.</w:t>
      </w:r>
    </w:p>
    <w:p w14:paraId="07EAA1F4" w14:textId="77777777" w:rsidR="009048AB" w:rsidRPr="009048AB" w:rsidRDefault="009048AB" w:rsidP="00A14F37">
      <w:pPr>
        <w:spacing w:line="240" w:lineRule="auto"/>
      </w:pPr>
      <w:r w:rsidRPr="009048AB">
        <w:t>For </w:t>
      </w:r>
      <w:r w:rsidRPr="009048AB">
        <w:rPr>
          <w:i/>
          <w:iCs/>
        </w:rPr>
        <w:t>Study A</w:t>
      </w:r>
      <w:r w:rsidRPr="009048AB">
        <w:t>, between-session and pre- to postexercise differences were explored using two-way (2 × 2) repeated-measures ANOVAs; if assumptions of sphericity were violated, then the Greenhouse-Geisser correction was applied. If significant main or interaction effects were detected, Bonferroni-corrected post hoc tests were performed. For between-session test-retest reliability, multiple indexes were calculated [paired-samples </w:t>
      </w:r>
      <w:r w:rsidRPr="009048AB">
        <w:rPr>
          <w:i/>
          <w:iCs/>
        </w:rPr>
        <w:t>t</w:t>
      </w:r>
      <w:r w:rsidRPr="009048AB">
        <w:t>-tests, typical error, intraclass correlation coefficient (</w:t>
      </w:r>
      <w:hyperlink r:id="rId69" w:anchor="B2" w:history="1">
        <w:r w:rsidRPr="009048AB">
          <w:rPr>
            <w:rStyle w:val="Hyperlink"/>
          </w:rPr>
          <w:t>2</w:t>
        </w:r>
      </w:hyperlink>
      <w:r w:rsidRPr="009048AB">
        <w:t>, </w:t>
      </w:r>
      <w:hyperlink r:id="rId70" w:anchor="B36" w:history="1">
        <w:r w:rsidRPr="009048AB">
          <w:rPr>
            <w:rStyle w:val="Hyperlink"/>
          </w:rPr>
          <w:t>36</w:t>
        </w:r>
      </w:hyperlink>
      <w:r w:rsidRPr="009048AB">
        <w:t>)] between the two time points. Within-subjects variation was calculated as the standard deviation of the mean differences divided by the square root of 2 and termed typical error (TE) throughout the paper. Typical error was expressed as absolute raw values and as a percentage of the mean CV. Intraclass correlation coefficients (ICC</w:t>
      </w:r>
      <w:r w:rsidRPr="009048AB">
        <w:rPr>
          <w:vertAlign w:val="subscript"/>
        </w:rPr>
        <w:t>3,1</w:t>
      </w:r>
      <w:r w:rsidRPr="009048AB">
        <w:t>) were calculated according to Bland and Altman (</w:t>
      </w:r>
      <w:hyperlink r:id="rId71" w:anchor="B5" w:history="1">
        <w:r w:rsidRPr="009048AB">
          <w:rPr>
            <w:rStyle w:val="Hyperlink"/>
          </w:rPr>
          <w:t>5</w:t>
        </w:r>
      </w:hyperlink>
      <w:r w:rsidRPr="009048AB">
        <w:t>). ICC values were defined as follows: &lt;0.5 = poor, 0.5–0.75 = moderate, 0.75–0.9 = good, &gt;0.9 = excellent (</w:t>
      </w:r>
      <w:hyperlink r:id="rId72" w:anchor="B45" w:history="1">
        <w:r w:rsidRPr="009048AB">
          <w:rPr>
            <w:rStyle w:val="Hyperlink"/>
          </w:rPr>
          <w:t>45</w:t>
        </w:r>
      </w:hyperlink>
      <w:r w:rsidRPr="009048AB">
        <w:t>). Due to the ceiling effect (i.e., all values grouped close to 100%) associated with VA</w:t>
      </w:r>
      <w:r w:rsidRPr="009048AB">
        <w:rPr>
          <w:vertAlign w:val="subscript"/>
        </w:rPr>
        <w:t>MNS</w:t>
      </w:r>
      <w:r w:rsidRPr="009048AB">
        <w:t> and VA</w:t>
      </w:r>
      <w:r w:rsidRPr="009048AB">
        <w:rPr>
          <w:vertAlign w:val="subscript"/>
        </w:rPr>
        <w:t>TMS</w:t>
      </w:r>
      <w:r w:rsidRPr="009048AB">
        <w:t>, the ICCs were not calculated (</w:t>
      </w:r>
      <w:hyperlink r:id="rId73" w:anchor="B16" w:history="1">
        <w:r w:rsidRPr="009048AB">
          <w:rPr>
            <w:rStyle w:val="Hyperlink"/>
          </w:rPr>
          <w:t>16</w:t>
        </w:r>
      </w:hyperlink>
      <w:r w:rsidRPr="009048AB">
        <w:t>, </w:t>
      </w:r>
      <w:hyperlink r:id="rId74" w:anchor="B67" w:history="1">
        <w:r w:rsidRPr="009048AB">
          <w:rPr>
            <w:rStyle w:val="Hyperlink"/>
          </w:rPr>
          <w:t>67</w:t>
        </w:r>
      </w:hyperlink>
      <w:r w:rsidRPr="009048AB">
        <w:t>).</w:t>
      </w:r>
    </w:p>
    <w:p w14:paraId="4F53C5D6" w14:textId="77777777" w:rsidR="009048AB" w:rsidRPr="009048AB" w:rsidRDefault="009048AB" w:rsidP="00A14F37">
      <w:pPr>
        <w:spacing w:line="240" w:lineRule="auto"/>
      </w:pPr>
      <w:r w:rsidRPr="009048AB">
        <w:t>For </w:t>
      </w:r>
      <w:r w:rsidRPr="009048AB">
        <w:rPr>
          <w:i/>
          <w:iCs/>
        </w:rPr>
        <w:t>Study B</w:t>
      </w:r>
      <w:r w:rsidRPr="009048AB">
        <w:t>, one-way repeated-measures ANOVAs were run for all pre-exercise-dependent variables to assess MCP changes in neuromuscular function and hormone concentrations. Sphericity was assessed using Mauchly’s test and, if necessary, was controlled using the Greenhouse-Geisser correction. Two-way repeated-measures ANOVAs were run using pre- and postexercise variables to obtain both fatigue and MCP × fatigue interaction effects. To explore potential differences in the fatigue profiles of neuromuscular and perceptual variables, two-way repeated-measures ANOVAs were run, including data points from baseline and 25, 50, 75, and 100% of TTF. Significant main and interaction effects were explored using Bonferroni-corrected tests.</w:t>
      </w:r>
    </w:p>
    <w:p w14:paraId="20701108" w14:textId="77777777" w:rsidR="004401D8" w:rsidRPr="00A14F37" w:rsidRDefault="004401D8" w:rsidP="00A14F37">
      <w:pPr>
        <w:pStyle w:val="Heading1"/>
        <w:spacing w:line="240" w:lineRule="auto"/>
        <w:rPr>
          <w:rFonts w:asciiTheme="minorHAnsi" w:hAnsiTheme="minorHAnsi"/>
        </w:rPr>
      </w:pPr>
      <w:r w:rsidRPr="00A14F37">
        <w:rPr>
          <w:rFonts w:asciiTheme="minorHAnsi" w:hAnsiTheme="minorHAnsi"/>
        </w:rPr>
        <w:t>RESULTS</w:t>
      </w:r>
    </w:p>
    <w:p w14:paraId="064A3195" w14:textId="77777777" w:rsidR="004401D8" w:rsidRPr="00A14F37" w:rsidRDefault="004401D8" w:rsidP="00A14F37">
      <w:pPr>
        <w:pStyle w:val="Heading2"/>
        <w:spacing w:line="240" w:lineRule="auto"/>
        <w:rPr>
          <w:rFonts w:asciiTheme="minorHAnsi" w:hAnsiTheme="minorHAnsi"/>
        </w:rPr>
      </w:pPr>
      <w:r w:rsidRPr="00A14F37">
        <w:rPr>
          <w:rFonts w:asciiTheme="minorHAnsi" w:hAnsiTheme="minorHAnsi"/>
        </w:rPr>
        <w:t>Study A</w:t>
      </w:r>
    </w:p>
    <w:p w14:paraId="675CD427" w14:textId="77777777" w:rsidR="004401D8" w:rsidRPr="00A14F37" w:rsidRDefault="004401D8" w:rsidP="00A14F37">
      <w:pPr>
        <w:pStyle w:val="Heading3"/>
        <w:spacing w:line="240" w:lineRule="auto"/>
        <w:rPr>
          <w:rFonts w:asciiTheme="minorHAnsi" w:hAnsiTheme="minorHAnsi"/>
        </w:rPr>
      </w:pPr>
      <w:r w:rsidRPr="00A14F37">
        <w:rPr>
          <w:rFonts w:asciiTheme="minorHAnsi" w:hAnsiTheme="minorHAnsi"/>
        </w:rPr>
        <w:t>Exercise performance and pre- to postexercise changes.</w:t>
      </w:r>
    </w:p>
    <w:p w14:paraId="6F43D0C1" w14:textId="77777777" w:rsidR="004401D8" w:rsidRPr="004401D8" w:rsidRDefault="004401D8" w:rsidP="00A14F37">
      <w:pPr>
        <w:spacing w:line="240" w:lineRule="auto"/>
      </w:pPr>
      <w:r w:rsidRPr="004401D8">
        <w:t>The TTF was not different between experimental visits (560 ± 275 vs. 603 ± 357 s, respectively, </w:t>
      </w:r>
      <w:r w:rsidRPr="004401D8">
        <w:rPr>
          <w:i/>
          <w:iCs/>
        </w:rPr>
        <w:t>P</w:t>
      </w:r>
      <w:r w:rsidRPr="004401D8">
        <w:t> = 0.314). When assessing exercise-induced changes in neuromuscular function, the two-way ANOVAs detected no between-trial differences in change scores (trial × time interactions: </w:t>
      </w:r>
      <w:r w:rsidRPr="004401D8">
        <w:rPr>
          <w:i/>
          <w:iCs/>
        </w:rPr>
        <w:t>P</w:t>
      </w:r>
      <w:r w:rsidRPr="004401D8">
        <w:t xml:space="preserve"> ≥ 0.331), </w:t>
      </w:r>
      <w:proofErr w:type="gramStart"/>
      <w:r w:rsidRPr="004401D8">
        <w:t>therefore</w:t>
      </w:r>
      <w:proofErr w:type="gramEnd"/>
      <w:r w:rsidRPr="004401D8">
        <w:t xml:space="preserve"> to assess the pre-to-post change, data from both visits were pooled. The MVC decreased pre- to postexercise (time effect: 507 ± 95 vs. 379 ± 85 N; </w:t>
      </w:r>
      <w:r w:rsidRPr="004401D8">
        <w:rPr>
          <w:i/>
          <w:iCs/>
        </w:rPr>
        <w:t>F</w:t>
      </w:r>
      <w:r w:rsidRPr="004401D8">
        <w:rPr>
          <w:vertAlign w:val="subscript"/>
        </w:rPr>
        <w:t>1,14</w:t>
      </w:r>
      <w:r w:rsidRPr="004401D8">
        <w:t> = 136.66, </w:t>
      </w:r>
      <w:r w:rsidRPr="004401D8">
        <w:rPr>
          <w:i/>
          <w:iCs/>
        </w:rPr>
        <w:t>P</w:t>
      </w:r>
      <w:r w:rsidRPr="004401D8">
        <w:t> &lt; 0.001, η</w:t>
      </w:r>
      <w:r w:rsidRPr="004401D8">
        <w:rPr>
          <w:vertAlign w:val="superscript"/>
        </w:rPr>
        <w:t>2</w:t>
      </w:r>
      <w:r w:rsidRPr="004401D8">
        <w:t> = 0.91). Similarly, indices of contractile function (Q</w:t>
      </w:r>
      <w:r w:rsidRPr="004401D8">
        <w:rPr>
          <w:vertAlign w:val="subscript"/>
        </w:rPr>
        <w:t>tw.pot</w:t>
      </w:r>
      <w:r w:rsidRPr="004401D8">
        <w:t> and ERT) decreased pre- to posttrial (Q</w:t>
      </w:r>
      <w:r w:rsidRPr="004401D8">
        <w:rPr>
          <w:vertAlign w:val="subscript"/>
        </w:rPr>
        <w:t>tw.pot</w:t>
      </w:r>
      <w:r w:rsidRPr="004401D8">
        <w:t>: 169 ± 24 vs. 109 ± 21 N; </w:t>
      </w:r>
      <w:r w:rsidRPr="004401D8">
        <w:rPr>
          <w:i/>
          <w:iCs/>
        </w:rPr>
        <w:t>F</w:t>
      </w:r>
      <w:r w:rsidRPr="004401D8">
        <w:rPr>
          <w:vertAlign w:val="subscript"/>
        </w:rPr>
        <w:t>1,14</w:t>
      </w:r>
      <w:r w:rsidRPr="004401D8">
        <w:t> = 92.61, </w:t>
      </w:r>
      <w:r w:rsidRPr="004401D8">
        <w:rPr>
          <w:i/>
          <w:iCs/>
        </w:rPr>
        <w:t>P</w:t>
      </w:r>
      <w:r w:rsidRPr="004401D8">
        <w:t> &lt; 0.001, η</w:t>
      </w:r>
      <w:r w:rsidRPr="004401D8">
        <w:rPr>
          <w:vertAlign w:val="superscript"/>
        </w:rPr>
        <w:t>2</w:t>
      </w:r>
      <w:r w:rsidRPr="004401D8">
        <w:t> = 0.87; ERT: 120 ± 36 vs. 93 ± 28 N; </w:t>
      </w:r>
      <w:r w:rsidRPr="004401D8">
        <w:rPr>
          <w:i/>
          <w:iCs/>
        </w:rPr>
        <w:t>F</w:t>
      </w:r>
      <w:r w:rsidRPr="004401D8">
        <w:rPr>
          <w:vertAlign w:val="subscript"/>
        </w:rPr>
        <w:t>1,14</w:t>
      </w:r>
      <w:r w:rsidRPr="004401D8">
        <w:t> = 19.07, </w:t>
      </w:r>
      <w:r w:rsidRPr="004401D8">
        <w:rPr>
          <w:i/>
          <w:iCs/>
        </w:rPr>
        <w:t>P</w:t>
      </w:r>
      <w:r w:rsidRPr="004401D8">
        <w:t> = 0.001, η</w:t>
      </w:r>
      <w:r w:rsidRPr="004401D8">
        <w:rPr>
          <w:vertAlign w:val="superscript"/>
        </w:rPr>
        <w:t>2</w:t>
      </w:r>
      <w:r w:rsidRPr="004401D8">
        <w:t> = 0.56). Indices of VA also decreased pre- to posttrial: VA</w:t>
      </w:r>
      <w:r w:rsidRPr="004401D8">
        <w:rPr>
          <w:vertAlign w:val="subscript"/>
        </w:rPr>
        <w:t>MNS</w:t>
      </w:r>
      <w:r w:rsidRPr="004401D8">
        <w:t> (93.6 ± 3.2 vs. 85.1 ± 6.8%; </w:t>
      </w:r>
      <w:r w:rsidRPr="004401D8">
        <w:rPr>
          <w:i/>
          <w:iCs/>
        </w:rPr>
        <w:t>F</w:t>
      </w:r>
      <w:r w:rsidRPr="004401D8">
        <w:rPr>
          <w:vertAlign w:val="subscript"/>
        </w:rPr>
        <w:t>1,14</w:t>
      </w:r>
      <w:r w:rsidRPr="004401D8">
        <w:t> = 36.60, </w:t>
      </w:r>
      <w:r w:rsidRPr="004401D8">
        <w:rPr>
          <w:i/>
          <w:iCs/>
        </w:rPr>
        <w:t>P</w:t>
      </w:r>
      <w:r w:rsidRPr="004401D8">
        <w:t> &lt; 0.001, η</w:t>
      </w:r>
      <w:r w:rsidRPr="004401D8">
        <w:rPr>
          <w:vertAlign w:val="superscript"/>
        </w:rPr>
        <w:t>2</w:t>
      </w:r>
      <w:r w:rsidRPr="004401D8">
        <w:t> = 0.72) and VA</w:t>
      </w:r>
      <w:r w:rsidRPr="004401D8">
        <w:rPr>
          <w:vertAlign w:val="subscript"/>
        </w:rPr>
        <w:t>TMS</w:t>
      </w:r>
      <w:r w:rsidRPr="004401D8">
        <w:t> (94.6 ± 3.1 vs. 83.1 ± 10.6%; </w:t>
      </w:r>
      <w:r w:rsidRPr="004401D8">
        <w:rPr>
          <w:i/>
          <w:iCs/>
        </w:rPr>
        <w:t>F</w:t>
      </w:r>
      <w:r w:rsidRPr="004401D8">
        <w:rPr>
          <w:vertAlign w:val="subscript"/>
        </w:rPr>
        <w:t>1,14</w:t>
      </w:r>
      <w:r w:rsidRPr="004401D8">
        <w:t> = 20.82, </w:t>
      </w:r>
      <w:r w:rsidRPr="004401D8">
        <w:rPr>
          <w:i/>
          <w:iCs/>
        </w:rPr>
        <w:t>P</w:t>
      </w:r>
      <w:r w:rsidRPr="004401D8">
        <w:t> &lt; 0.001, η</w:t>
      </w:r>
      <w:r w:rsidRPr="004401D8">
        <w:rPr>
          <w:vertAlign w:val="superscript"/>
        </w:rPr>
        <w:t>2</w:t>
      </w:r>
      <w:r w:rsidRPr="004401D8">
        <w:t> = 0.60). Corticospinal excitability (MEP/M</w:t>
      </w:r>
      <w:r w:rsidRPr="004401D8">
        <w:rPr>
          <w:vertAlign w:val="subscript"/>
        </w:rPr>
        <w:t>max</w:t>
      </w:r>
      <w:r w:rsidRPr="004401D8">
        <w:t>) was not different pre- to postexercise (</w:t>
      </w:r>
      <w:r w:rsidRPr="004401D8">
        <w:rPr>
          <w:i/>
          <w:iCs/>
        </w:rPr>
        <w:t>P</w:t>
      </w:r>
      <w:r w:rsidRPr="004401D8">
        <w:t> = 0.057). There were no changes in SICI pre- to postexercise (80.8 ± 14.2 vs. 79.8 ± 13.9%, </w:t>
      </w:r>
      <w:r w:rsidRPr="004401D8">
        <w:rPr>
          <w:i/>
          <w:iCs/>
        </w:rPr>
        <w:t>P</w:t>
      </w:r>
      <w:r w:rsidRPr="004401D8">
        <w:t> = 0.667), whereas SP duration lengthened (189 ± 46 vs. 202 ± 50 ms, </w:t>
      </w:r>
      <w:r w:rsidRPr="004401D8">
        <w:rPr>
          <w:i/>
          <w:iCs/>
        </w:rPr>
        <w:t>F</w:t>
      </w:r>
      <w:r w:rsidRPr="004401D8">
        <w:rPr>
          <w:vertAlign w:val="subscript"/>
        </w:rPr>
        <w:t>1,14</w:t>
      </w:r>
      <w:r w:rsidRPr="004401D8">
        <w:t> = 5.49, </w:t>
      </w:r>
      <w:r w:rsidRPr="004401D8">
        <w:rPr>
          <w:i/>
          <w:iCs/>
        </w:rPr>
        <w:t>P</w:t>
      </w:r>
      <w:r w:rsidRPr="004401D8">
        <w:t> = 0.034, η</w:t>
      </w:r>
      <w:r w:rsidRPr="004401D8">
        <w:rPr>
          <w:vertAlign w:val="superscript"/>
        </w:rPr>
        <w:t>2</w:t>
      </w:r>
      <w:r w:rsidRPr="004401D8">
        <w:t> = 0.28). Last, M</w:t>
      </w:r>
      <w:r w:rsidRPr="004401D8">
        <w:rPr>
          <w:vertAlign w:val="subscript"/>
        </w:rPr>
        <w:t>max</w:t>
      </w:r>
      <w:r w:rsidRPr="004401D8">
        <w:t> was not different pre- to postexercise (3.02 ± 1.19 vs. 2.81 ± 1.01 mV, </w:t>
      </w:r>
      <w:r w:rsidRPr="004401D8">
        <w:rPr>
          <w:i/>
          <w:iCs/>
        </w:rPr>
        <w:t>P</w:t>
      </w:r>
      <w:r w:rsidRPr="004401D8">
        <w:t> = 0.362).</w:t>
      </w:r>
    </w:p>
    <w:p w14:paraId="17AC6E3B" w14:textId="77777777" w:rsidR="004401D8" w:rsidRPr="00A14F37" w:rsidRDefault="004401D8" w:rsidP="00A14F37">
      <w:pPr>
        <w:pStyle w:val="Heading3"/>
        <w:spacing w:line="240" w:lineRule="auto"/>
        <w:rPr>
          <w:rFonts w:asciiTheme="minorHAnsi" w:hAnsiTheme="minorHAnsi"/>
        </w:rPr>
      </w:pPr>
      <w:r w:rsidRPr="00A14F37">
        <w:rPr>
          <w:rFonts w:asciiTheme="minorHAnsi" w:hAnsiTheme="minorHAnsi"/>
        </w:rPr>
        <w:t>Reliability of neuromuscular measures.</w:t>
      </w:r>
    </w:p>
    <w:p w14:paraId="4D0D997C" w14:textId="77777777" w:rsidR="004401D8" w:rsidRPr="004401D8" w:rsidRDefault="004401D8" w:rsidP="00A14F37">
      <w:pPr>
        <w:spacing w:line="240" w:lineRule="auto"/>
      </w:pPr>
      <w:r w:rsidRPr="004401D8">
        <w:t>Preexercise data from mechanical variables (</w:t>
      </w:r>
      <w:hyperlink r:id="rId75" w:anchor="T2" w:history="1">
        <w:r w:rsidRPr="004401D8">
          <w:rPr>
            <w:rStyle w:val="Hyperlink"/>
          </w:rPr>
          <w:t>Table 2</w:t>
        </w:r>
      </w:hyperlink>
      <w:r w:rsidRPr="004401D8">
        <w:t>) showed good (ERT and TTF) and excellent (MVC and Q</w:t>
      </w:r>
      <w:r w:rsidRPr="004401D8">
        <w:rPr>
          <w:vertAlign w:val="subscript"/>
        </w:rPr>
        <w:t>tw,pot</w:t>
      </w:r>
      <w:r w:rsidRPr="004401D8">
        <w:t xml:space="preserve">) reliability. The TE and CV were also low for </w:t>
      </w:r>
      <w:proofErr w:type="gramStart"/>
      <w:r w:rsidRPr="004401D8">
        <w:t>the majority of</w:t>
      </w:r>
      <w:proofErr w:type="gramEnd"/>
      <w:r w:rsidRPr="004401D8">
        <w:t xml:space="preserve"> variables (CV ≤ 12.5%), except TTF (CV = 20.0%). Postexercise reliability (</w:t>
      </w:r>
      <w:hyperlink r:id="rId76" w:anchor="T2" w:history="1">
        <w:r w:rsidRPr="004401D8">
          <w:rPr>
            <w:rStyle w:val="Hyperlink"/>
          </w:rPr>
          <w:t>Table 2</w:t>
        </w:r>
      </w:hyperlink>
      <w:r w:rsidRPr="004401D8">
        <w:t>) was weaker but still interpreted as predominantly good (Q</w:t>
      </w:r>
      <w:r w:rsidRPr="004401D8">
        <w:rPr>
          <w:vertAlign w:val="subscript"/>
        </w:rPr>
        <w:t>tw,pot</w:t>
      </w:r>
      <w:r w:rsidRPr="004401D8">
        <w:t> and ERT) or excellent (MVC). These values were all poorer postexercise but remained relatively low (CV ≤ 14.9%). The relative reliability (ICCs) of the pre-to-post change was either moderate (MVC, ERT, and VA</w:t>
      </w:r>
      <w:r w:rsidRPr="004401D8">
        <w:rPr>
          <w:vertAlign w:val="subscript"/>
        </w:rPr>
        <w:t>MNS</w:t>
      </w:r>
      <w:r w:rsidRPr="004401D8">
        <w:t>) or good (</w:t>
      </w:r>
      <w:proofErr w:type="gramStart"/>
      <w:r w:rsidRPr="004401D8">
        <w:t>Q</w:t>
      </w:r>
      <w:r w:rsidRPr="004401D8">
        <w:rPr>
          <w:vertAlign w:val="subscript"/>
        </w:rPr>
        <w:t>tw,pot</w:t>
      </w:r>
      <w:proofErr w:type="gramEnd"/>
      <w:r w:rsidRPr="004401D8">
        <w:t>); however, there was a high degree of random error (CV range: 19.7–62.7%).</w:t>
      </w:r>
    </w:p>
    <w:p w14:paraId="5DB6929A" w14:textId="77777777" w:rsidR="000B2CAC" w:rsidRPr="00C6170F" w:rsidRDefault="000B2CAC" w:rsidP="00A14F37">
      <w:pPr>
        <w:spacing w:line="240" w:lineRule="auto"/>
      </w:pPr>
    </w:p>
    <w:p w14:paraId="4EFD1709" w14:textId="616E3CB3" w:rsidR="00A657E7" w:rsidRPr="00A14F37" w:rsidRDefault="00A657E7" w:rsidP="00A14F37">
      <w:pPr>
        <w:spacing w:line="240" w:lineRule="auto"/>
      </w:pPr>
    </w:p>
    <w:p w14:paraId="5D1B9BDB" w14:textId="073711EE" w:rsidR="00094345" w:rsidRPr="00A14F37" w:rsidRDefault="00094345" w:rsidP="00A14F37">
      <w:pPr>
        <w:spacing w:line="240" w:lineRule="auto"/>
      </w:pPr>
    </w:p>
    <w:p w14:paraId="66B7841E" w14:textId="295456A1" w:rsidR="00094345" w:rsidRPr="00A14F37" w:rsidRDefault="00094345" w:rsidP="00A14F37">
      <w:pPr>
        <w:spacing w:line="240" w:lineRule="auto"/>
      </w:pPr>
    </w:p>
    <w:p w14:paraId="238C2F43" w14:textId="53FDEFD6" w:rsidR="00094345" w:rsidRPr="00A14F37" w:rsidRDefault="00094345" w:rsidP="00A14F37">
      <w:pPr>
        <w:spacing w:line="240" w:lineRule="auto"/>
      </w:pPr>
    </w:p>
    <w:p w14:paraId="2B3C69B9" w14:textId="222F08A1" w:rsidR="00094345" w:rsidRPr="00A14F37" w:rsidRDefault="00094345" w:rsidP="00A14F37">
      <w:pPr>
        <w:spacing w:line="240" w:lineRule="auto"/>
      </w:pPr>
    </w:p>
    <w:tbl>
      <w:tblPr>
        <w:tblStyle w:val="TableGrid"/>
        <w:tblW w:w="10885" w:type="dxa"/>
        <w:tblLook w:val="04A0" w:firstRow="1" w:lastRow="0" w:firstColumn="1" w:lastColumn="0" w:noHBand="0" w:noVBand="1"/>
      </w:tblPr>
      <w:tblGrid>
        <w:gridCol w:w="4145"/>
        <w:gridCol w:w="1023"/>
        <w:gridCol w:w="976"/>
        <w:gridCol w:w="767"/>
        <w:gridCol w:w="643"/>
        <w:gridCol w:w="581"/>
        <w:gridCol w:w="731"/>
        <w:gridCol w:w="2019"/>
      </w:tblGrid>
      <w:tr w:rsidR="00CF70E3" w:rsidRPr="00A14F37" w14:paraId="5915B5F7" w14:textId="77777777" w:rsidTr="008F6EDA">
        <w:tc>
          <w:tcPr>
            <w:tcW w:w="0" w:type="auto"/>
            <w:hideMark/>
          </w:tcPr>
          <w:p w14:paraId="5F091F9D"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r w:rsidRPr="00094345">
              <w:rPr>
                <w:rFonts w:eastAsia="Times New Roman" w:cs="Arial"/>
                <w:b/>
                <w:bCs/>
                <w:color w:val="1F1F1F"/>
                <w:sz w:val="24"/>
                <w:szCs w:val="24"/>
              </w:rPr>
              <w:t>Table 2. Reliability data for mechanical variables pre- and postexercise in Study A</w:t>
            </w:r>
          </w:p>
        </w:tc>
        <w:tc>
          <w:tcPr>
            <w:tcW w:w="0" w:type="auto"/>
          </w:tcPr>
          <w:p w14:paraId="7C0EA239"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58725CE4"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36627E28"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7B8E8A83"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2664B675"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00B86B84" w14:textId="77777777" w:rsidR="00CF70E3" w:rsidRPr="00A14F37" w:rsidRDefault="00CF70E3" w:rsidP="00A14F37">
            <w:pPr>
              <w:shd w:val="clear" w:color="auto" w:fill="FFFFFF"/>
              <w:spacing w:before="100" w:beforeAutospacing="1" w:after="100" w:afterAutospacing="1"/>
              <w:rPr>
                <w:rFonts w:eastAsia="Times New Roman" w:cs="Arial"/>
                <w:b/>
                <w:bCs/>
                <w:color w:val="1F1F1F"/>
                <w:sz w:val="24"/>
                <w:szCs w:val="24"/>
              </w:rPr>
            </w:pPr>
          </w:p>
        </w:tc>
        <w:tc>
          <w:tcPr>
            <w:tcW w:w="2019" w:type="dxa"/>
          </w:tcPr>
          <w:p w14:paraId="0520DEF3" w14:textId="50F195B5" w:rsidR="00094345" w:rsidRPr="00094345" w:rsidRDefault="00094345" w:rsidP="00A14F37">
            <w:pPr>
              <w:shd w:val="clear" w:color="auto" w:fill="FFFFFF"/>
              <w:spacing w:before="100" w:beforeAutospacing="1" w:after="100" w:afterAutospacing="1"/>
              <w:rPr>
                <w:rFonts w:eastAsia="Times New Roman" w:cs="Arial"/>
                <w:b/>
                <w:bCs/>
                <w:color w:val="1F1F1F"/>
                <w:sz w:val="24"/>
                <w:szCs w:val="24"/>
              </w:rPr>
            </w:pPr>
          </w:p>
        </w:tc>
      </w:tr>
      <w:tr w:rsidR="00094345" w:rsidRPr="00A14F37" w14:paraId="07098A71" w14:textId="77777777" w:rsidTr="008F6EDA">
        <w:tc>
          <w:tcPr>
            <w:tcW w:w="0" w:type="auto"/>
            <w:hideMark/>
          </w:tcPr>
          <w:p w14:paraId="30F2AC95" w14:textId="77777777" w:rsidR="00094345" w:rsidRPr="00094345" w:rsidRDefault="00094345" w:rsidP="00A14F37">
            <w:pPr>
              <w:rPr>
                <w:rFonts w:eastAsia="Times New Roman" w:cs="Arial"/>
                <w:b/>
                <w:bCs/>
                <w:color w:val="000000"/>
                <w:sz w:val="24"/>
                <w:szCs w:val="24"/>
              </w:rPr>
            </w:pPr>
            <w:r w:rsidRPr="00094345">
              <w:rPr>
                <w:rFonts w:eastAsia="Times New Roman" w:cs="Arial"/>
                <w:b/>
                <w:bCs/>
                <w:color w:val="000000"/>
                <w:sz w:val="24"/>
                <w:szCs w:val="24"/>
              </w:rPr>
              <w:t>Measure</w:t>
            </w:r>
          </w:p>
        </w:tc>
        <w:tc>
          <w:tcPr>
            <w:tcW w:w="0" w:type="auto"/>
            <w:hideMark/>
          </w:tcPr>
          <w:p w14:paraId="68D3A086" w14:textId="77777777" w:rsidR="00094345" w:rsidRPr="00094345" w:rsidRDefault="00094345" w:rsidP="00A14F37">
            <w:pPr>
              <w:rPr>
                <w:rFonts w:eastAsia="Times New Roman" w:cs="Arial"/>
                <w:b/>
                <w:bCs/>
                <w:color w:val="000000"/>
                <w:sz w:val="24"/>
                <w:szCs w:val="24"/>
              </w:rPr>
            </w:pPr>
            <w:r w:rsidRPr="00094345">
              <w:rPr>
                <w:rFonts w:eastAsia="Times New Roman" w:cs="Arial"/>
                <w:b/>
                <w:bCs/>
                <w:i/>
                <w:iCs/>
                <w:color w:val="000000"/>
                <w:sz w:val="24"/>
                <w:szCs w:val="24"/>
              </w:rPr>
              <w:t>Visit 1</w:t>
            </w:r>
          </w:p>
        </w:tc>
        <w:tc>
          <w:tcPr>
            <w:tcW w:w="0" w:type="auto"/>
            <w:hideMark/>
          </w:tcPr>
          <w:p w14:paraId="19C23110" w14:textId="77777777" w:rsidR="00094345" w:rsidRPr="00094345" w:rsidRDefault="00094345" w:rsidP="00A14F37">
            <w:pPr>
              <w:rPr>
                <w:rFonts w:eastAsia="Times New Roman" w:cs="Arial"/>
                <w:b/>
                <w:bCs/>
                <w:color w:val="000000"/>
                <w:sz w:val="24"/>
                <w:szCs w:val="24"/>
              </w:rPr>
            </w:pPr>
            <w:r w:rsidRPr="00094345">
              <w:rPr>
                <w:rFonts w:eastAsia="Times New Roman" w:cs="Arial"/>
                <w:b/>
                <w:bCs/>
                <w:i/>
                <w:iCs/>
                <w:color w:val="000000"/>
                <w:sz w:val="24"/>
                <w:szCs w:val="24"/>
              </w:rPr>
              <w:t>Visit 2</w:t>
            </w:r>
          </w:p>
        </w:tc>
        <w:tc>
          <w:tcPr>
            <w:tcW w:w="0" w:type="auto"/>
            <w:hideMark/>
          </w:tcPr>
          <w:p w14:paraId="49E0FA5E" w14:textId="77777777" w:rsidR="00094345" w:rsidRPr="00094345" w:rsidRDefault="00094345" w:rsidP="00A14F37">
            <w:pPr>
              <w:rPr>
                <w:rFonts w:eastAsia="Times New Roman" w:cs="Arial"/>
                <w:b/>
                <w:bCs/>
                <w:color w:val="000000"/>
                <w:sz w:val="24"/>
                <w:szCs w:val="24"/>
              </w:rPr>
            </w:pPr>
            <w:r w:rsidRPr="00094345">
              <w:rPr>
                <w:rFonts w:eastAsia="Times New Roman" w:cs="Arial"/>
                <w:b/>
                <w:bCs/>
                <w:i/>
                <w:iCs/>
                <w:color w:val="000000"/>
                <w:sz w:val="24"/>
                <w:szCs w:val="24"/>
              </w:rPr>
              <w:t>P</w:t>
            </w:r>
          </w:p>
        </w:tc>
        <w:tc>
          <w:tcPr>
            <w:tcW w:w="0" w:type="auto"/>
            <w:hideMark/>
          </w:tcPr>
          <w:p w14:paraId="56F1D3E5" w14:textId="77777777" w:rsidR="00094345" w:rsidRPr="00094345" w:rsidRDefault="00094345" w:rsidP="00A14F37">
            <w:pPr>
              <w:rPr>
                <w:rFonts w:eastAsia="Times New Roman" w:cs="Arial"/>
                <w:b/>
                <w:bCs/>
                <w:color w:val="000000"/>
                <w:sz w:val="24"/>
                <w:szCs w:val="24"/>
              </w:rPr>
            </w:pPr>
            <w:r w:rsidRPr="00094345">
              <w:rPr>
                <w:rFonts w:eastAsia="Times New Roman" w:cs="Arial"/>
                <w:b/>
                <w:bCs/>
                <w:color w:val="000000"/>
                <w:sz w:val="24"/>
                <w:szCs w:val="24"/>
              </w:rPr>
              <w:t>Bias</w:t>
            </w:r>
          </w:p>
        </w:tc>
        <w:tc>
          <w:tcPr>
            <w:tcW w:w="0" w:type="auto"/>
            <w:hideMark/>
          </w:tcPr>
          <w:p w14:paraId="165AD9AD" w14:textId="77777777" w:rsidR="00094345" w:rsidRPr="00094345" w:rsidRDefault="00094345" w:rsidP="00A14F37">
            <w:pPr>
              <w:rPr>
                <w:rFonts w:eastAsia="Times New Roman" w:cs="Arial"/>
                <w:b/>
                <w:bCs/>
                <w:color w:val="000000"/>
                <w:sz w:val="24"/>
                <w:szCs w:val="24"/>
              </w:rPr>
            </w:pPr>
            <w:r w:rsidRPr="00094345">
              <w:rPr>
                <w:rFonts w:eastAsia="Times New Roman" w:cs="Arial"/>
                <w:b/>
                <w:bCs/>
                <w:color w:val="000000"/>
                <w:sz w:val="24"/>
                <w:szCs w:val="24"/>
              </w:rPr>
              <w:t>TE</w:t>
            </w:r>
          </w:p>
        </w:tc>
        <w:tc>
          <w:tcPr>
            <w:tcW w:w="0" w:type="auto"/>
            <w:hideMark/>
          </w:tcPr>
          <w:p w14:paraId="365D8163" w14:textId="77777777" w:rsidR="00094345" w:rsidRPr="00094345" w:rsidRDefault="00094345" w:rsidP="00A14F37">
            <w:pPr>
              <w:rPr>
                <w:rFonts w:eastAsia="Times New Roman" w:cs="Arial"/>
                <w:b/>
                <w:bCs/>
                <w:color w:val="000000"/>
                <w:sz w:val="24"/>
                <w:szCs w:val="24"/>
              </w:rPr>
            </w:pPr>
            <w:r w:rsidRPr="00094345">
              <w:rPr>
                <w:rFonts w:eastAsia="Times New Roman" w:cs="Arial"/>
                <w:b/>
                <w:bCs/>
                <w:color w:val="000000"/>
                <w:sz w:val="24"/>
                <w:szCs w:val="24"/>
              </w:rPr>
              <w:t>CV (%)</w:t>
            </w:r>
          </w:p>
        </w:tc>
        <w:tc>
          <w:tcPr>
            <w:tcW w:w="2019" w:type="dxa"/>
            <w:hideMark/>
          </w:tcPr>
          <w:p w14:paraId="3C398E01" w14:textId="77777777" w:rsidR="00094345" w:rsidRPr="00094345" w:rsidRDefault="00094345" w:rsidP="00A14F37">
            <w:pPr>
              <w:rPr>
                <w:rFonts w:eastAsia="Times New Roman" w:cs="Arial"/>
                <w:b/>
                <w:bCs/>
                <w:color w:val="000000"/>
                <w:sz w:val="24"/>
                <w:szCs w:val="24"/>
              </w:rPr>
            </w:pPr>
            <w:r w:rsidRPr="00094345">
              <w:rPr>
                <w:rFonts w:eastAsia="Times New Roman" w:cs="Arial"/>
                <w:b/>
                <w:bCs/>
                <w:color w:val="000000"/>
                <w:sz w:val="24"/>
                <w:szCs w:val="24"/>
              </w:rPr>
              <w:t>ICC (95% CI)</w:t>
            </w:r>
          </w:p>
        </w:tc>
      </w:tr>
      <w:tr w:rsidR="00CF70E3" w:rsidRPr="00A14F37" w14:paraId="006B256E" w14:textId="77777777" w:rsidTr="008F6EDA">
        <w:tc>
          <w:tcPr>
            <w:tcW w:w="0" w:type="auto"/>
            <w:hideMark/>
          </w:tcPr>
          <w:p w14:paraId="1410CED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MVC, N</w:t>
            </w:r>
          </w:p>
        </w:tc>
        <w:tc>
          <w:tcPr>
            <w:tcW w:w="0" w:type="auto"/>
            <w:hideMark/>
          </w:tcPr>
          <w:p w14:paraId="63DCEEDE" w14:textId="77777777" w:rsidR="00094345" w:rsidRPr="00094345" w:rsidRDefault="00094345" w:rsidP="00A14F37">
            <w:pPr>
              <w:rPr>
                <w:rFonts w:eastAsia="Times New Roman" w:cs="Arial"/>
                <w:b/>
                <w:bCs/>
                <w:color w:val="1F1F1F"/>
                <w:sz w:val="24"/>
                <w:szCs w:val="24"/>
              </w:rPr>
            </w:pPr>
          </w:p>
        </w:tc>
        <w:tc>
          <w:tcPr>
            <w:tcW w:w="0" w:type="auto"/>
            <w:hideMark/>
          </w:tcPr>
          <w:p w14:paraId="2DC49AC8" w14:textId="77777777" w:rsidR="00094345" w:rsidRPr="00094345" w:rsidRDefault="00094345" w:rsidP="00A14F37">
            <w:pPr>
              <w:rPr>
                <w:rFonts w:eastAsia="Times New Roman" w:cs="Times New Roman"/>
                <w:sz w:val="20"/>
                <w:szCs w:val="20"/>
              </w:rPr>
            </w:pPr>
          </w:p>
        </w:tc>
        <w:tc>
          <w:tcPr>
            <w:tcW w:w="0" w:type="auto"/>
            <w:hideMark/>
          </w:tcPr>
          <w:p w14:paraId="6A72C637" w14:textId="77777777" w:rsidR="00094345" w:rsidRPr="00094345" w:rsidRDefault="00094345" w:rsidP="00A14F37">
            <w:pPr>
              <w:rPr>
                <w:rFonts w:eastAsia="Times New Roman" w:cs="Times New Roman"/>
                <w:sz w:val="20"/>
                <w:szCs w:val="20"/>
              </w:rPr>
            </w:pPr>
          </w:p>
        </w:tc>
        <w:tc>
          <w:tcPr>
            <w:tcW w:w="0" w:type="auto"/>
            <w:hideMark/>
          </w:tcPr>
          <w:p w14:paraId="502B2AD5" w14:textId="77777777" w:rsidR="00094345" w:rsidRPr="00094345" w:rsidRDefault="00094345" w:rsidP="00A14F37">
            <w:pPr>
              <w:rPr>
                <w:rFonts w:eastAsia="Times New Roman" w:cs="Times New Roman"/>
                <w:sz w:val="20"/>
                <w:szCs w:val="20"/>
              </w:rPr>
            </w:pPr>
          </w:p>
        </w:tc>
        <w:tc>
          <w:tcPr>
            <w:tcW w:w="0" w:type="auto"/>
            <w:hideMark/>
          </w:tcPr>
          <w:p w14:paraId="23171B13" w14:textId="77777777" w:rsidR="00094345" w:rsidRPr="00094345" w:rsidRDefault="00094345" w:rsidP="00A14F37">
            <w:pPr>
              <w:rPr>
                <w:rFonts w:eastAsia="Times New Roman" w:cs="Times New Roman"/>
                <w:sz w:val="20"/>
                <w:szCs w:val="20"/>
              </w:rPr>
            </w:pPr>
          </w:p>
        </w:tc>
        <w:tc>
          <w:tcPr>
            <w:tcW w:w="0" w:type="auto"/>
            <w:hideMark/>
          </w:tcPr>
          <w:p w14:paraId="48767EBE" w14:textId="77777777" w:rsidR="00094345" w:rsidRPr="00094345" w:rsidRDefault="00094345" w:rsidP="00A14F37">
            <w:pPr>
              <w:rPr>
                <w:rFonts w:eastAsia="Times New Roman" w:cs="Times New Roman"/>
                <w:sz w:val="20"/>
                <w:szCs w:val="20"/>
              </w:rPr>
            </w:pPr>
          </w:p>
        </w:tc>
        <w:tc>
          <w:tcPr>
            <w:tcW w:w="2019" w:type="dxa"/>
            <w:hideMark/>
          </w:tcPr>
          <w:p w14:paraId="04E92CDF" w14:textId="77777777" w:rsidR="00094345" w:rsidRPr="00094345" w:rsidRDefault="00094345" w:rsidP="00A14F37">
            <w:pPr>
              <w:rPr>
                <w:rFonts w:eastAsia="Times New Roman" w:cs="Times New Roman"/>
                <w:sz w:val="20"/>
                <w:szCs w:val="20"/>
              </w:rPr>
            </w:pPr>
          </w:p>
        </w:tc>
      </w:tr>
      <w:tr w:rsidR="00CF70E3" w:rsidRPr="00A14F37" w14:paraId="6C5C2F60" w14:textId="77777777" w:rsidTr="008F6EDA">
        <w:trPr>
          <w:trHeight w:val="70"/>
        </w:trPr>
        <w:tc>
          <w:tcPr>
            <w:tcW w:w="0" w:type="auto"/>
            <w:hideMark/>
          </w:tcPr>
          <w:p w14:paraId="2987AC3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Pre</w:t>
            </w:r>
          </w:p>
        </w:tc>
        <w:tc>
          <w:tcPr>
            <w:tcW w:w="0" w:type="auto"/>
            <w:hideMark/>
          </w:tcPr>
          <w:p w14:paraId="54E6060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502 ± 90</w:t>
            </w:r>
          </w:p>
        </w:tc>
        <w:tc>
          <w:tcPr>
            <w:tcW w:w="0" w:type="auto"/>
            <w:hideMark/>
          </w:tcPr>
          <w:p w14:paraId="17833126"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511 ± 103</w:t>
            </w:r>
          </w:p>
        </w:tc>
        <w:tc>
          <w:tcPr>
            <w:tcW w:w="0" w:type="auto"/>
            <w:hideMark/>
          </w:tcPr>
          <w:p w14:paraId="1F0149B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0.314</w:t>
            </w:r>
          </w:p>
        </w:tc>
        <w:tc>
          <w:tcPr>
            <w:tcW w:w="0" w:type="auto"/>
            <w:hideMark/>
          </w:tcPr>
          <w:p w14:paraId="0F767D5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w:t>
            </w:r>
          </w:p>
        </w:tc>
        <w:tc>
          <w:tcPr>
            <w:tcW w:w="0" w:type="auto"/>
            <w:hideMark/>
          </w:tcPr>
          <w:p w14:paraId="4FB3A72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23</w:t>
            </w:r>
          </w:p>
        </w:tc>
        <w:tc>
          <w:tcPr>
            <w:tcW w:w="0" w:type="auto"/>
            <w:hideMark/>
          </w:tcPr>
          <w:p w14:paraId="3A21867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4.5</w:t>
            </w:r>
          </w:p>
        </w:tc>
        <w:tc>
          <w:tcPr>
            <w:tcW w:w="2019" w:type="dxa"/>
            <w:hideMark/>
          </w:tcPr>
          <w:p w14:paraId="3330A5F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0.96 (0.89–0.98)</w:t>
            </w:r>
          </w:p>
        </w:tc>
      </w:tr>
      <w:tr w:rsidR="00CF70E3" w:rsidRPr="00A14F37" w14:paraId="7F6B0968" w14:textId="77777777" w:rsidTr="008F6EDA">
        <w:tc>
          <w:tcPr>
            <w:tcW w:w="0" w:type="auto"/>
            <w:hideMark/>
          </w:tcPr>
          <w:p w14:paraId="279261A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Post</w:t>
            </w:r>
          </w:p>
        </w:tc>
        <w:tc>
          <w:tcPr>
            <w:tcW w:w="0" w:type="auto"/>
            <w:hideMark/>
          </w:tcPr>
          <w:p w14:paraId="35B7F26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375 ± 93</w:t>
            </w:r>
          </w:p>
        </w:tc>
        <w:tc>
          <w:tcPr>
            <w:tcW w:w="0" w:type="auto"/>
            <w:hideMark/>
          </w:tcPr>
          <w:p w14:paraId="6CDADA2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383 ± 81</w:t>
            </w:r>
          </w:p>
        </w:tc>
        <w:tc>
          <w:tcPr>
            <w:tcW w:w="0" w:type="auto"/>
            <w:hideMark/>
          </w:tcPr>
          <w:p w14:paraId="22F0766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0.356</w:t>
            </w:r>
          </w:p>
        </w:tc>
        <w:tc>
          <w:tcPr>
            <w:tcW w:w="0" w:type="auto"/>
            <w:hideMark/>
          </w:tcPr>
          <w:p w14:paraId="7DFBB5C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−8</w:t>
            </w:r>
          </w:p>
        </w:tc>
        <w:tc>
          <w:tcPr>
            <w:tcW w:w="0" w:type="auto"/>
            <w:hideMark/>
          </w:tcPr>
          <w:p w14:paraId="3C792AA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24</w:t>
            </w:r>
          </w:p>
        </w:tc>
        <w:tc>
          <w:tcPr>
            <w:tcW w:w="0" w:type="auto"/>
            <w:hideMark/>
          </w:tcPr>
          <w:p w14:paraId="0F66D5B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6.2</w:t>
            </w:r>
          </w:p>
        </w:tc>
        <w:tc>
          <w:tcPr>
            <w:tcW w:w="2019" w:type="dxa"/>
            <w:hideMark/>
          </w:tcPr>
          <w:p w14:paraId="7722718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0.94 (0.82–0.98)</w:t>
            </w:r>
          </w:p>
        </w:tc>
      </w:tr>
      <w:tr w:rsidR="00CF70E3" w:rsidRPr="00A14F37" w14:paraId="48F7DEC6" w14:textId="77777777" w:rsidTr="008F6EDA">
        <w:tc>
          <w:tcPr>
            <w:tcW w:w="0" w:type="auto"/>
            <w:hideMark/>
          </w:tcPr>
          <w:p w14:paraId="4854DD3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Δ</w:t>
            </w:r>
          </w:p>
        </w:tc>
        <w:tc>
          <w:tcPr>
            <w:tcW w:w="0" w:type="auto"/>
            <w:hideMark/>
          </w:tcPr>
          <w:p w14:paraId="7AB8036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−128 ± 43</w:t>
            </w:r>
          </w:p>
        </w:tc>
        <w:tc>
          <w:tcPr>
            <w:tcW w:w="0" w:type="auto"/>
            <w:hideMark/>
          </w:tcPr>
          <w:p w14:paraId="0067D15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−128 ± 51</w:t>
            </w:r>
          </w:p>
        </w:tc>
        <w:tc>
          <w:tcPr>
            <w:tcW w:w="0" w:type="auto"/>
            <w:hideMark/>
          </w:tcPr>
          <w:p w14:paraId="29D6327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0.972</w:t>
            </w:r>
          </w:p>
        </w:tc>
        <w:tc>
          <w:tcPr>
            <w:tcW w:w="0" w:type="auto"/>
            <w:hideMark/>
          </w:tcPr>
          <w:p w14:paraId="195C07B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w:t>
            </w:r>
          </w:p>
        </w:tc>
        <w:tc>
          <w:tcPr>
            <w:tcW w:w="0" w:type="auto"/>
            <w:hideMark/>
          </w:tcPr>
          <w:p w14:paraId="7AA07D3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30</w:t>
            </w:r>
          </w:p>
        </w:tc>
        <w:tc>
          <w:tcPr>
            <w:tcW w:w="0" w:type="auto"/>
            <w:hideMark/>
          </w:tcPr>
          <w:p w14:paraId="79F1D99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23.9</w:t>
            </w:r>
          </w:p>
        </w:tc>
        <w:tc>
          <w:tcPr>
            <w:tcW w:w="2019" w:type="dxa"/>
            <w:hideMark/>
          </w:tcPr>
          <w:p w14:paraId="4E3456E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0.62 (0.18–0.85)</w:t>
            </w:r>
          </w:p>
        </w:tc>
      </w:tr>
      <w:tr w:rsidR="00CF70E3" w:rsidRPr="00A14F37" w14:paraId="3FF61C15" w14:textId="77777777" w:rsidTr="008F6EDA">
        <w:tc>
          <w:tcPr>
            <w:tcW w:w="0" w:type="auto"/>
            <w:hideMark/>
          </w:tcPr>
          <w:p w14:paraId="682A248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Q</w:t>
            </w:r>
            <w:r w:rsidRPr="00094345">
              <w:rPr>
                <w:rFonts w:eastAsia="Times New Roman" w:cs="Arial"/>
                <w:b/>
                <w:bCs/>
                <w:color w:val="1F1F1F"/>
                <w:sz w:val="16"/>
                <w:szCs w:val="16"/>
                <w:vertAlign w:val="subscript"/>
              </w:rPr>
              <w:t>tw.pot</w:t>
            </w:r>
            <w:r w:rsidRPr="00094345">
              <w:rPr>
                <w:rFonts w:eastAsia="Times New Roman" w:cs="Arial"/>
                <w:b/>
                <w:bCs/>
                <w:color w:val="1F1F1F"/>
                <w:sz w:val="24"/>
                <w:szCs w:val="24"/>
              </w:rPr>
              <w:t>, N</w:t>
            </w:r>
          </w:p>
        </w:tc>
        <w:tc>
          <w:tcPr>
            <w:tcW w:w="0" w:type="auto"/>
            <w:hideMark/>
          </w:tcPr>
          <w:p w14:paraId="33C722C9" w14:textId="77777777" w:rsidR="00094345" w:rsidRPr="00094345" w:rsidRDefault="00094345" w:rsidP="00A14F37">
            <w:pPr>
              <w:rPr>
                <w:rFonts w:eastAsia="Times New Roman" w:cs="Arial"/>
                <w:b/>
                <w:bCs/>
                <w:color w:val="1F1F1F"/>
                <w:sz w:val="24"/>
                <w:szCs w:val="24"/>
              </w:rPr>
            </w:pPr>
          </w:p>
        </w:tc>
        <w:tc>
          <w:tcPr>
            <w:tcW w:w="0" w:type="auto"/>
            <w:hideMark/>
          </w:tcPr>
          <w:p w14:paraId="798E3C27" w14:textId="77777777" w:rsidR="00094345" w:rsidRPr="00094345" w:rsidRDefault="00094345" w:rsidP="00A14F37">
            <w:pPr>
              <w:rPr>
                <w:rFonts w:eastAsia="Times New Roman" w:cs="Times New Roman"/>
                <w:sz w:val="20"/>
                <w:szCs w:val="20"/>
              </w:rPr>
            </w:pPr>
          </w:p>
        </w:tc>
        <w:tc>
          <w:tcPr>
            <w:tcW w:w="0" w:type="auto"/>
            <w:hideMark/>
          </w:tcPr>
          <w:p w14:paraId="60A69AC7" w14:textId="77777777" w:rsidR="00094345" w:rsidRPr="00094345" w:rsidRDefault="00094345" w:rsidP="00A14F37">
            <w:pPr>
              <w:rPr>
                <w:rFonts w:eastAsia="Times New Roman" w:cs="Times New Roman"/>
                <w:sz w:val="20"/>
                <w:szCs w:val="20"/>
              </w:rPr>
            </w:pPr>
          </w:p>
        </w:tc>
        <w:tc>
          <w:tcPr>
            <w:tcW w:w="0" w:type="auto"/>
            <w:hideMark/>
          </w:tcPr>
          <w:p w14:paraId="728CB2CF" w14:textId="77777777" w:rsidR="00094345" w:rsidRPr="00094345" w:rsidRDefault="00094345" w:rsidP="00A14F37">
            <w:pPr>
              <w:rPr>
                <w:rFonts w:eastAsia="Times New Roman" w:cs="Times New Roman"/>
                <w:sz w:val="20"/>
                <w:szCs w:val="20"/>
              </w:rPr>
            </w:pPr>
          </w:p>
        </w:tc>
        <w:tc>
          <w:tcPr>
            <w:tcW w:w="0" w:type="auto"/>
            <w:hideMark/>
          </w:tcPr>
          <w:p w14:paraId="1AB4AC55" w14:textId="77777777" w:rsidR="00094345" w:rsidRPr="00094345" w:rsidRDefault="00094345" w:rsidP="00A14F37">
            <w:pPr>
              <w:rPr>
                <w:rFonts w:eastAsia="Times New Roman" w:cs="Times New Roman"/>
                <w:sz w:val="20"/>
                <w:szCs w:val="20"/>
              </w:rPr>
            </w:pPr>
          </w:p>
        </w:tc>
        <w:tc>
          <w:tcPr>
            <w:tcW w:w="0" w:type="auto"/>
            <w:hideMark/>
          </w:tcPr>
          <w:p w14:paraId="2043F98B" w14:textId="77777777" w:rsidR="00094345" w:rsidRPr="00094345" w:rsidRDefault="00094345" w:rsidP="00A14F37">
            <w:pPr>
              <w:rPr>
                <w:rFonts w:eastAsia="Times New Roman" w:cs="Times New Roman"/>
                <w:sz w:val="20"/>
                <w:szCs w:val="20"/>
              </w:rPr>
            </w:pPr>
          </w:p>
        </w:tc>
        <w:tc>
          <w:tcPr>
            <w:tcW w:w="2019" w:type="dxa"/>
            <w:hideMark/>
          </w:tcPr>
          <w:p w14:paraId="6AC919F7" w14:textId="77777777" w:rsidR="00094345" w:rsidRPr="00094345" w:rsidRDefault="00094345" w:rsidP="00A14F37">
            <w:pPr>
              <w:rPr>
                <w:rFonts w:eastAsia="Times New Roman" w:cs="Times New Roman"/>
                <w:sz w:val="20"/>
                <w:szCs w:val="20"/>
              </w:rPr>
            </w:pPr>
          </w:p>
        </w:tc>
      </w:tr>
      <w:tr w:rsidR="00CF70E3" w:rsidRPr="00A14F37" w14:paraId="02542B59" w14:textId="77777777" w:rsidTr="008F6EDA">
        <w:tc>
          <w:tcPr>
            <w:tcW w:w="0" w:type="auto"/>
            <w:hideMark/>
          </w:tcPr>
          <w:p w14:paraId="5FA0152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Pre</w:t>
            </w:r>
          </w:p>
        </w:tc>
        <w:tc>
          <w:tcPr>
            <w:tcW w:w="0" w:type="auto"/>
            <w:hideMark/>
          </w:tcPr>
          <w:p w14:paraId="1B57D2C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168 ± 27</w:t>
            </w:r>
          </w:p>
        </w:tc>
        <w:tc>
          <w:tcPr>
            <w:tcW w:w="0" w:type="auto"/>
            <w:hideMark/>
          </w:tcPr>
          <w:p w14:paraId="133F02A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170 ± 22</w:t>
            </w:r>
          </w:p>
        </w:tc>
        <w:tc>
          <w:tcPr>
            <w:tcW w:w="0" w:type="auto"/>
            <w:hideMark/>
          </w:tcPr>
          <w:p w14:paraId="7356788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0.589</w:t>
            </w:r>
          </w:p>
        </w:tc>
        <w:tc>
          <w:tcPr>
            <w:tcW w:w="0" w:type="auto"/>
            <w:hideMark/>
          </w:tcPr>
          <w:p w14:paraId="575A5FB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w:t>
            </w:r>
          </w:p>
        </w:tc>
        <w:tc>
          <w:tcPr>
            <w:tcW w:w="0" w:type="auto"/>
            <w:hideMark/>
          </w:tcPr>
          <w:p w14:paraId="4116710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w:t>
            </w:r>
          </w:p>
        </w:tc>
        <w:tc>
          <w:tcPr>
            <w:tcW w:w="0" w:type="auto"/>
            <w:hideMark/>
          </w:tcPr>
          <w:p w14:paraId="14FBF8C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5.0</w:t>
            </w:r>
          </w:p>
        </w:tc>
        <w:tc>
          <w:tcPr>
            <w:tcW w:w="2019" w:type="dxa"/>
            <w:hideMark/>
          </w:tcPr>
          <w:p w14:paraId="2184E50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0.90 (0.72–0.96)</w:t>
            </w:r>
          </w:p>
        </w:tc>
      </w:tr>
      <w:tr w:rsidR="00CF70E3" w:rsidRPr="00A14F37" w14:paraId="7B6EDA2F" w14:textId="77777777" w:rsidTr="008F6EDA">
        <w:tc>
          <w:tcPr>
            <w:tcW w:w="0" w:type="auto"/>
            <w:hideMark/>
          </w:tcPr>
          <w:p w14:paraId="720F9FF7"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Post</w:t>
            </w:r>
          </w:p>
        </w:tc>
        <w:tc>
          <w:tcPr>
            <w:tcW w:w="0" w:type="auto"/>
            <w:hideMark/>
          </w:tcPr>
          <w:p w14:paraId="5C78AE2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110 ± 22</w:t>
            </w:r>
          </w:p>
        </w:tc>
        <w:tc>
          <w:tcPr>
            <w:tcW w:w="0" w:type="auto"/>
            <w:hideMark/>
          </w:tcPr>
          <w:p w14:paraId="1CBD326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110 ± 21</w:t>
            </w:r>
          </w:p>
        </w:tc>
        <w:tc>
          <w:tcPr>
            <w:tcW w:w="0" w:type="auto"/>
            <w:hideMark/>
          </w:tcPr>
          <w:p w14:paraId="21429FE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0.942</w:t>
            </w:r>
          </w:p>
        </w:tc>
        <w:tc>
          <w:tcPr>
            <w:tcW w:w="0" w:type="auto"/>
            <w:hideMark/>
          </w:tcPr>
          <w:p w14:paraId="13FC897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w:t>
            </w:r>
          </w:p>
        </w:tc>
        <w:tc>
          <w:tcPr>
            <w:tcW w:w="0" w:type="auto"/>
            <w:hideMark/>
          </w:tcPr>
          <w:p w14:paraId="5A32E82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w:t>
            </w:r>
          </w:p>
        </w:tc>
        <w:tc>
          <w:tcPr>
            <w:tcW w:w="0" w:type="auto"/>
            <w:hideMark/>
          </w:tcPr>
          <w:p w14:paraId="6E003FE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10.4</w:t>
            </w:r>
          </w:p>
        </w:tc>
        <w:tc>
          <w:tcPr>
            <w:tcW w:w="2019" w:type="dxa"/>
            <w:hideMark/>
          </w:tcPr>
          <w:p w14:paraId="1A9FB1A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0.75 (0.40–0.91)</w:t>
            </w:r>
          </w:p>
        </w:tc>
      </w:tr>
      <w:tr w:rsidR="00CF70E3" w:rsidRPr="00A14F37" w14:paraId="51E1E657" w14:textId="77777777" w:rsidTr="008F6EDA">
        <w:tc>
          <w:tcPr>
            <w:tcW w:w="0" w:type="auto"/>
            <w:hideMark/>
          </w:tcPr>
          <w:p w14:paraId="66B535B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Δ</w:t>
            </w:r>
          </w:p>
        </w:tc>
        <w:tc>
          <w:tcPr>
            <w:tcW w:w="0" w:type="auto"/>
            <w:hideMark/>
          </w:tcPr>
          <w:p w14:paraId="50DA4BA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−58 ± 29</w:t>
            </w:r>
          </w:p>
        </w:tc>
        <w:tc>
          <w:tcPr>
            <w:tcW w:w="0" w:type="auto"/>
            <w:hideMark/>
          </w:tcPr>
          <w:p w14:paraId="61960D67"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−61 ± 21</w:t>
            </w:r>
          </w:p>
        </w:tc>
        <w:tc>
          <w:tcPr>
            <w:tcW w:w="0" w:type="auto"/>
            <w:hideMark/>
          </w:tcPr>
          <w:p w14:paraId="548D154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0.643</w:t>
            </w:r>
          </w:p>
        </w:tc>
        <w:tc>
          <w:tcPr>
            <w:tcW w:w="0" w:type="auto"/>
            <w:hideMark/>
          </w:tcPr>
          <w:p w14:paraId="43768EC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w:t>
            </w:r>
          </w:p>
        </w:tc>
        <w:tc>
          <w:tcPr>
            <w:tcW w:w="0" w:type="auto"/>
            <w:hideMark/>
          </w:tcPr>
          <w:p w14:paraId="36511CE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w:t>
            </w:r>
          </w:p>
        </w:tc>
        <w:tc>
          <w:tcPr>
            <w:tcW w:w="0" w:type="auto"/>
            <w:hideMark/>
          </w:tcPr>
          <w:p w14:paraId="60CF6A6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19.7</w:t>
            </w:r>
          </w:p>
        </w:tc>
        <w:tc>
          <w:tcPr>
            <w:tcW w:w="2019" w:type="dxa"/>
            <w:hideMark/>
          </w:tcPr>
          <w:p w14:paraId="1031644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0.81 (0.53–0.93)</w:t>
            </w:r>
          </w:p>
        </w:tc>
      </w:tr>
      <w:tr w:rsidR="00CF70E3" w:rsidRPr="00A14F37" w14:paraId="04FDDB61" w14:textId="77777777" w:rsidTr="008F6EDA">
        <w:tc>
          <w:tcPr>
            <w:tcW w:w="0" w:type="auto"/>
            <w:hideMark/>
          </w:tcPr>
          <w:p w14:paraId="624E87E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ERT, N</w:t>
            </w:r>
          </w:p>
        </w:tc>
        <w:tc>
          <w:tcPr>
            <w:tcW w:w="0" w:type="auto"/>
            <w:hideMark/>
          </w:tcPr>
          <w:p w14:paraId="79C14D49" w14:textId="77777777" w:rsidR="00094345" w:rsidRPr="00094345" w:rsidRDefault="00094345" w:rsidP="00A14F37">
            <w:pPr>
              <w:rPr>
                <w:rFonts w:eastAsia="Times New Roman" w:cs="Arial"/>
                <w:b/>
                <w:bCs/>
                <w:color w:val="1F1F1F"/>
                <w:sz w:val="24"/>
                <w:szCs w:val="24"/>
              </w:rPr>
            </w:pPr>
          </w:p>
        </w:tc>
        <w:tc>
          <w:tcPr>
            <w:tcW w:w="0" w:type="auto"/>
            <w:hideMark/>
          </w:tcPr>
          <w:p w14:paraId="07BEE096" w14:textId="77777777" w:rsidR="00094345" w:rsidRPr="00094345" w:rsidRDefault="00094345" w:rsidP="00A14F37">
            <w:pPr>
              <w:rPr>
                <w:rFonts w:eastAsia="Times New Roman" w:cs="Times New Roman"/>
                <w:sz w:val="20"/>
                <w:szCs w:val="20"/>
              </w:rPr>
            </w:pPr>
          </w:p>
        </w:tc>
        <w:tc>
          <w:tcPr>
            <w:tcW w:w="0" w:type="auto"/>
            <w:hideMark/>
          </w:tcPr>
          <w:p w14:paraId="40BA7FBB" w14:textId="77777777" w:rsidR="00094345" w:rsidRPr="00094345" w:rsidRDefault="00094345" w:rsidP="00A14F37">
            <w:pPr>
              <w:rPr>
                <w:rFonts w:eastAsia="Times New Roman" w:cs="Times New Roman"/>
                <w:sz w:val="20"/>
                <w:szCs w:val="20"/>
              </w:rPr>
            </w:pPr>
          </w:p>
        </w:tc>
        <w:tc>
          <w:tcPr>
            <w:tcW w:w="0" w:type="auto"/>
            <w:hideMark/>
          </w:tcPr>
          <w:p w14:paraId="4DC30D56" w14:textId="77777777" w:rsidR="00094345" w:rsidRPr="00094345" w:rsidRDefault="00094345" w:rsidP="00A14F37">
            <w:pPr>
              <w:rPr>
                <w:rFonts w:eastAsia="Times New Roman" w:cs="Times New Roman"/>
                <w:sz w:val="20"/>
                <w:szCs w:val="20"/>
              </w:rPr>
            </w:pPr>
          </w:p>
        </w:tc>
        <w:tc>
          <w:tcPr>
            <w:tcW w:w="0" w:type="auto"/>
            <w:hideMark/>
          </w:tcPr>
          <w:p w14:paraId="4EE3855E" w14:textId="77777777" w:rsidR="00094345" w:rsidRPr="00094345" w:rsidRDefault="00094345" w:rsidP="00A14F37">
            <w:pPr>
              <w:rPr>
                <w:rFonts w:eastAsia="Times New Roman" w:cs="Times New Roman"/>
                <w:sz w:val="20"/>
                <w:szCs w:val="20"/>
              </w:rPr>
            </w:pPr>
          </w:p>
        </w:tc>
        <w:tc>
          <w:tcPr>
            <w:tcW w:w="0" w:type="auto"/>
            <w:hideMark/>
          </w:tcPr>
          <w:p w14:paraId="09803AEC" w14:textId="77777777" w:rsidR="00094345" w:rsidRPr="00094345" w:rsidRDefault="00094345" w:rsidP="00A14F37">
            <w:pPr>
              <w:rPr>
                <w:rFonts w:eastAsia="Times New Roman" w:cs="Times New Roman"/>
                <w:sz w:val="20"/>
                <w:szCs w:val="20"/>
              </w:rPr>
            </w:pPr>
          </w:p>
        </w:tc>
        <w:tc>
          <w:tcPr>
            <w:tcW w:w="2019" w:type="dxa"/>
            <w:hideMark/>
          </w:tcPr>
          <w:p w14:paraId="1761260F" w14:textId="77777777" w:rsidR="00094345" w:rsidRPr="00094345" w:rsidRDefault="00094345" w:rsidP="00A14F37">
            <w:pPr>
              <w:rPr>
                <w:rFonts w:eastAsia="Times New Roman" w:cs="Times New Roman"/>
                <w:sz w:val="20"/>
                <w:szCs w:val="20"/>
              </w:rPr>
            </w:pPr>
          </w:p>
        </w:tc>
      </w:tr>
      <w:tr w:rsidR="00CF70E3" w:rsidRPr="00A14F37" w14:paraId="58230826" w14:textId="77777777" w:rsidTr="008F6EDA">
        <w:tc>
          <w:tcPr>
            <w:tcW w:w="0" w:type="auto"/>
            <w:hideMark/>
          </w:tcPr>
          <w:p w14:paraId="19D5C81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Pre</w:t>
            </w:r>
          </w:p>
        </w:tc>
        <w:tc>
          <w:tcPr>
            <w:tcW w:w="0" w:type="auto"/>
            <w:hideMark/>
          </w:tcPr>
          <w:p w14:paraId="396B035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121 ± 38</w:t>
            </w:r>
          </w:p>
        </w:tc>
        <w:tc>
          <w:tcPr>
            <w:tcW w:w="0" w:type="auto"/>
            <w:hideMark/>
          </w:tcPr>
          <w:p w14:paraId="596CBFC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118 ± 34</w:t>
            </w:r>
          </w:p>
        </w:tc>
        <w:tc>
          <w:tcPr>
            <w:tcW w:w="0" w:type="auto"/>
            <w:hideMark/>
          </w:tcPr>
          <w:p w14:paraId="3C07247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0.689</w:t>
            </w:r>
          </w:p>
        </w:tc>
        <w:tc>
          <w:tcPr>
            <w:tcW w:w="0" w:type="auto"/>
            <w:hideMark/>
          </w:tcPr>
          <w:p w14:paraId="790DDE6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w:t>
            </w:r>
          </w:p>
        </w:tc>
        <w:tc>
          <w:tcPr>
            <w:tcW w:w="0" w:type="auto"/>
            <w:hideMark/>
          </w:tcPr>
          <w:p w14:paraId="241965E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15</w:t>
            </w:r>
          </w:p>
        </w:tc>
        <w:tc>
          <w:tcPr>
            <w:tcW w:w="0" w:type="auto"/>
            <w:hideMark/>
          </w:tcPr>
          <w:p w14:paraId="7D6795D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12.5</w:t>
            </w:r>
          </w:p>
        </w:tc>
        <w:tc>
          <w:tcPr>
            <w:tcW w:w="2019" w:type="dxa"/>
            <w:hideMark/>
          </w:tcPr>
          <w:p w14:paraId="09ECAFD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0.85 (0.62–0.95)</w:t>
            </w:r>
          </w:p>
        </w:tc>
      </w:tr>
      <w:tr w:rsidR="00CF70E3" w:rsidRPr="00A14F37" w14:paraId="7244EBA6" w14:textId="77777777" w:rsidTr="008F6EDA">
        <w:tc>
          <w:tcPr>
            <w:tcW w:w="0" w:type="auto"/>
            <w:hideMark/>
          </w:tcPr>
          <w:p w14:paraId="52FC7E5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Post</w:t>
            </w:r>
          </w:p>
        </w:tc>
        <w:tc>
          <w:tcPr>
            <w:tcW w:w="0" w:type="auto"/>
            <w:hideMark/>
          </w:tcPr>
          <w:p w14:paraId="3B88601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94 ± 30</w:t>
            </w:r>
          </w:p>
        </w:tc>
        <w:tc>
          <w:tcPr>
            <w:tcW w:w="0" w:type="auto"/>
            <w:hideMark/>
          </w:tcPr>
          <w:p w14:paraId="79DC50C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91 ± 27</w:t>
            </w:r>
          </w:p>
        </w:tc>
        <w:tc>
          <w:tcPr>
            <w:tcW w:w="0" w:type="auto"/>
            <w:hideMark/>
          </w:tcPr>
          <w:p w14:paraId="141432D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0.605</w:t>
            </w:r>
          </w:p>
        </w:tc>
        <w:tc>
          <w:tcPr>
            <w:tcW w:w="0" w:type="auto"/>
            <w:hideMark/>
          </w:tcPr>
          <w:p w14:paraId="65EE693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w:t>
            </w:r>
          </w:p>
        </w:tc>
        <w:tc>
          <w:tcPr>
            <w:tcW w:w="0" w:type="auto"/>
            <w:hideMark/>
          </w:tcPr>
          <w:p w14:paraId="0648704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14</w:t>
            </w:r>
          </w:p>
        </w:tc>
        <w:tc>
          <w:tcPr>
            <w:tcW w:w="0" w:type="auto"/>
            <w:hideMark/>
          </w:tcPr>
          <w:p w14:paraId="24072357"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14.9</w:t>
            </w:r>
          </w:p>
        </w:tc>
        <w:tc>
          <w:tcPr>
            <w:tcW w:w="2019" w:type="dxa"/>
            <w:hideMark/>
          </w:tcPr>
          <w:p w14:paraId="40E37D26"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0.79 (0.48–0.92)</w:t>
            </w:r>
          </w:p>
        </w:tc>
      </w:tr>
      <w:tr w:rsidR="00CF70E3" w:rsidRPr="00A14F37" w14:paraId="6DFA4209" w14:textId="77777777" w:rsidTr="008F6EDA">
        <w:tc>
          <w:tcPr>
            <w:tcW w:w="0" w:type="auto"/>
            <w:hideMark/>
          </w:tcPr>
          <w:p w14:paraId="59113F2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Δ</w:t>
            </w:r>
          </w:p>
        </w:tc>
        <w:tc>
          <w:tcPr>
            <w:tcW w:w="0" w:type="auto"/>
            <w:hideMark/>
          </w:tcPr>
          <w:p w14:paraId="05AFD0B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−27 ± 25</w:t>
            </w:r>
          </w:p>
        </w:tc>
        <w:tc>
          <w:tcPr>
            <w:tcW w:w="0" w:type="auto"/>
            <w:hideMark/>
          </w:tcPr>
          <w:p w14:paraId="44E6123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−27 ± 28</w:t>
            </w:r>
          </w:p>
        </w:tc>
        <w:tc>
          <w:tcPr>
            <w:tcW w:w="0" w:type="auto"/>
            <w:hideMark/>
          </w:tcPr>
          <w:p w14:paraId="49564BE8"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0.943</w:t>
            </w:r>
          </w:p>
        </w:tc>
        <w:tc>
          <w:tcPr>
            <w:tcW w:w="0" w:type="auto"/>
            <w:hideMark/>
          </w:tcPr>
          <w:p w14:paraId="0EAAE16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w:t>
            </w:r>
          </w:p>
        </w:tc>
        <w:tc>
          <w:tcPr>
            <w:tcW w:w="0" w:type="auto"/>
            <w:hideMark/>
          </w:tcPr>
          <w:p w14:paraId="4C95989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17</w:t>
            </w:r>
          </w:p>
        </w:tc>
        <w:tc>
          <w:tcPr>
            <w:tcW w:w="0" w:type="auto"/>
            <w:hideMark/>
          </w:tcPr>
          <w:p w14:paraId="220AA0F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62.7</w:t>
            </w:r>
          </w:p>
        </w:tc>
        <w:tc>
          <w:tcPr>
            <w:tcW w:w="2019" w:type="dxa"/>
            <w:hideMark/>
          </w:tcPr>
          <w:p w14:paraId="0CCEA0C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0.63 (0.20–0.86)</w:t>
            </w:r>
          </w:p>
        </w:tc>
      </w:tr>
      <w:tr w:rsidR="00CF70E3" w:rsidRPr="00A14F37" w14:paraId="703953D4" w14:textId="77777777" w:rsidTr="008F6EDA">
        <w:tc>
          <w:tcPr>
            <w:tcW w:w="0" w:type="auto"/>
            <w:hideMark/>
          </w:tcPr>
          <w:p w14:paraId="34C4545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VA</w:t>
            </w:r>
            <w:r w:rsidRPr="00094345">
              <w:rPr>
                <w:rFonts w:eastAsia="Times New Roman" w:cs="Arial"/>
                <w:b/>
                <w:bCs/>
                <w:color w:val="1F1F1F"/>
                <w:sz w:val="16"/>
                <w:szCs w:val="16"/>
                <w:vertAlign w:val="subscript"/>
              </w:rPr>
              <w:t>TMS</w:t>
            </w:r>
            <w:r w:rsidRPr="00094345">
              <w:rPr>
                <w:rFonts w:eastAsia="Times New Roman" w:cs="Arial"/>
                <w:b/>
                <w:bCs/>
                <w:color w:val="1F1F1F"/>
                <w:sz w:val="24"/>
                <w:szCs w:val="24"/>
              </w:rPr>
              <w:t>, %</w:t>
            </w:r>
          </w:p>
        </w:tc>
        <w:tc>
          <w:tcPr>
            <w:tcW w:w="0" w:type="auto"/>
            <w:hideMark/>
          </w:tcPr>
          <w:p w14:paraId="6AE59926" w14:textId="77777777" w:rsidR="00094345" w:rsidRPr="00094345" w:rsidRDefault="00094345" w:rsidP="00A14F37">
            <w:pPr>
              <w:rPr>
                <w:rFonts w:eastAsia="Times New Roman" w:cs="Arial"/>
                <w:b/>
                <w:bCs/>
                <w:color w:val="1F1F1F"/>
                <w:sz w:val="24"/>
                <w:szCs w:val="24"/>
              </w:rPr>
            </w:pPr>
          </w:p>
        </w:tc>
        <w:tc>
          <w:tcPr>
            <w:tcW w:w="0" w:type="auto"/>
            <w:hideMark/>
          </w:tcPr>
          <w:p w14:paraId="05314271" w14:textId="77777777" w:rsidR="00094345" w:rsidRPr="00094345" w:rsidRDefault="00094345" w:rsidP="00A14F37">
            <w:pPr>
              <w:rPr>
                <w:rFonts w:eastAsia="Times New Roman" w:cs="Times New Roman"/>
                <w:sz w:val="20"/>
                <w:szCs w:val="20"/>
              </w:rPr>
            </w:pPr>
          </w:p>
        </w:tc>
        <w:tc>
          <w:tcPr>
            <w:tcW w:w="0" w:type="auto"/>
            <w:hideMark/>
          </w:tcPr>
          <w:p w14:paraId="4DCE9170" w14:textId="77777777" w:rsidR="00094345" w:rsidRPr="00094345" w:rsidRDefault="00094345" w:rsidP="00A14F37">
            <w:pPr>
              <w:rPr>
                <w:rFonts w:eastAsia="Times New Roman" w:cs="Times New Roman"/>
                <w:sz w:val="20"/>
                <w:szCs w:val="20"/>
              </w:rPr>
            </w:pPr>
          </w:p>
        </w:tc>
        <w:tc>
          <w:tcPr>
            <w:tcW w:w="0" w:type="auto"/>
            <w:hideMark/>
          </w:tcPr>
          <w:p w14:paraId="08AE4BDC" w14:textId="77777777" w:rsidR="00094345" w:rsidRPr="00094345" w:rsidRDefault="00094345" w:rsidP="00A14F37">
            <w:pPr>
              <w:rPr>
                <w:rFonts w:eastAsia="Times New Roman" w:cs="Times New Roman"/>
                <w:sz w:val="20"/>
                <w:szCs w:val="20"/>
              </w:rPr>
            </w:pPr>
          </w:p>
        </w:tc>
        <w:tc>
          <w:tcPr>
            <w:tcW w:w="0" w:type="auto"/>
            <w:hideMark/>
          </w:tcPr>
          <w:p w14:paraId="21A0E60E" w14:textId="77777777" w:rsidR="00094345" w:rsidRPr="00094345" w:rsidRDefault="00094345" w:rsidP="00A14F37">
            <w:pPr>
              <w:rPr>
                <w:rFonts w:eastAsia="Times New Roman" w:cs="Times New Roman"/>
                <w:sz w:val="20"/>
                <w:szCs w:val="20"/>
              </w:rPr>
            </w:pPr>
          </w:p>
        </w:tc>
        <w:tc>
          <w:tcPr>
            <w:tcW w:w="0" w:type="auto"/>
            <w:hideMark/>
          </w:tcPr>
          <w:p w14:paraId="34A6643A" w14:textId="77777777" w:rsidR="00094345" w:rsidRPr="00094345" w:rsidRDefault="00094345" w:rsidP="00A14F37">
            <w:pPr>
              <w:rPr>
                <w:rFonts w:eastAsia="Times New Roman" w:cs="Times New Roman"/>
                <w:sz w:val="20"/>
                <w:szCs w:val="20"/>
              </w:rPr>
            </w:pPr>
          </w:p>
        </w:tc>
        <w:tc>
          <w:tcPr>
            <w:tcW w:w="2019" w:type="dxa"/>
            <w:hideMark/>
          </w:tcPr>
          <w:p w14:paraId="6E5FE74C" w14:textId="77777777" w:rsidR="00094345" w:rsidRPr="00094345" w:rsidRDefault="00094345" w:rsidP="00A14F37">
            <w:pPr>
              <w:rPr>
                <w:rFonts w:eastAsia="Times New Roman" w:cs="Times New Roman"/>
                <w:sz w:val="20"/>
                <w:szCs w:val="20"/>
              </w:rPr>
            </w:pPr>
          </w:p>
        </w:tc>
      </w:tr>
      <w:tr w:rsidR="00CF70E3" w:rsidRPr="00A14F37" w14:paraId="3EF1D26C" w14:textId="77777777" w:rsidTr="008F6EDA">
        <w:tc>
          <w:tcPr>
            <w:tcW w:w="0" w:type="auto"/>
            <w:hideMark/>
          </w:tcPr>
          <w:p w14:paraId="6251EAB8"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Pre</w:t>
            </w:r>
          </w:p>
        </w:tc>
        <w:tc>
          <w:tcPr>
            <w:tcW w:w="0" w:type="auto"/>
            <w:hideMark/>
          </w:tcPr>
          <w:p w14:paraId="7BA674A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94.3 ± 3.3</w:t>
            </w:r>
          </w:p>
        </w:tc>
        <w:tc>
          <w:tcPr>
            <w:tcW w:w="0" w:type="auto"/>
            <w:hideMark/>
          </w:tcPr>
          <w:p w14:paraId="3BD6F6E7"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94.8 ± 2.9</w:t>
            </w:r>
          </w:p>
        </w:tc>
        <w:tc>
          <w:tcPr>
            <w:tcW w:w="0" w:type="auto"/>
            <w:hideMark/>
          </w:tcPr>
          <w:p w14:paraId="40CABEA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0.679</w:t>
            </w:r>
          </w:p>
        </w:tc>
        <w:tc>
          <w:tcPr>
            <w:tcW w:w="0" w:type="auto"/>
            <w:hideMark/>
          </w:tcPr>
          <w:p w14:paraId="3D01ECF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−0.5</w:t>
            </w:r>
          </w:p>
        </w:tc>
        <w:tc>
          <w:tcPr>
            <w:tcW w:w="0" w:type="auto"/>
            <w:hideMark/>
          </w:tcPr>
          <w:p w14:paraId="0DED35E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2.8</w:t>
            </w:r>
          </w:p>
        </w:tc>
        <w:tc>
          <w:tcPr>
            <w:tcW w:w="0" w:type="auto"/>
            <w:hideMark/>
          </w:tcPr>
          <w:p w14:paraId="603879E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3.0</w:t>
            </w:r>
          </w:p>
        </w:tc>
        <w:tc>
          <w:tcPr>
            <w:tcW w:w="2019" w:type="dxa"/>
            <w:hideMark/>
          </w:tcPr>
          <w:p w14:paraId="71AAC26D" w14:textId="77777777" w:rsidR="00094345" w:rsidRPr="00094345" w:rsidRDefault="00094345" w:rsidP="00A14F37">
            <w:pPr>
              <w:rPr>
                <w:rFonts w:eastAsia="Times New Roman" w:cs="Arial"/>
                <w:b/>
                <w:bCs/>
                <w:color w:val="1F1F1F"/>
                <w:sz w:val="24"/>
                <w:szCs w:val="24"/>
              </w:rPr>
            </w:pPr>
          </w:p>
        </w:tc>
      </w:tr>
      <w:tr w:rsidR="00CF70E3" w:rsidRPr="00A14F37" w14:paraId="5E75234A" w14:textId="77777777" w:rsidTr="008F6EDA">
        <w:tc>
          <w:tcPr>
            <w:tcW w:w="0" w:type="auto"/>
            <w:hideMark/>
          </w:tcPr>
          <w:p w14:paraId="5E2258C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Post</w:t>
            </w:r>
          </w:p>
        </w:tc>
        <w:tc>
          <w:tcPr>
            <w:tcW w:w="0" w:type="auto"/>
            <w:hideMark/>
          </w:tcPr>
          <w:p w14:paraId="66B447B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82.3 ± 11.1</w:t>
            </w:r>
          </w:p>
        </w:tc>
        <w:tc>
          <w:tcPr>
            <w:tcW w:w="0" w:type="auto"/>
            <w:hideMark/>
          </w:tcPr>
          <w:p w14:paraId="2D313D7C"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83.9 ± 10.4</w:t>
            </w:r>
          </w:p>
        </w:tc>
        <w:tc>
          <w:tcPr>
            <w:tcW w:w="0" w:type="auto"/>
            <w:hideMark/>
          </w:tcPr>
          <w:p w14:paraId="5510826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0.406</w:t>
            </w:r>
          </w:p>
        </w:tc>
        <w:tc>
          <w:tcPr>
            <w:tcW w:w="0" w:type="auto"/>
            <w:hideMark/>
          </w:tcPr>
          <w:p w14:paraId="7566B64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−1.6</w:t>
            </w:r>
          </w:p>
        </w:tc>
        <w:tc>
          <w:tcPr>
            <w:tcW w:w="0" w:type="auto"/>
            <w:hideMark/>
          </w:tcPr>
          <w:p w14:paraId="006AAE7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5.1</w:t>
            </w:r>
          </w:p>
        </w:tc>
        <w:tc>
          <w:tcPr>
            <w:tcW w:w="0" w:type="auto"/>
            <w:hideMark/>
          </w:tcPr>
          <w:p w14:paraId="17B4A0F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6.1</w:t>
            </w:r>
          </w:p>
        </w:tc>
        <w:tc>
          <w:tcPr>
            <w:tcW w:w="2019" w:type="dxa"/>
            <w:hideMark/>
          </w:tcPr>
          <w:p w14:paraId="0790F0DE" w14:textId="77777777" w:rsidR="00094345" w:rsidRPr="00094345" w:rsidRDefault="00094345" w:rsidP="00A14F37">
            <w:pPr>
              <w:rPr>
                <w:rFonts w:eastAsia="Times New Roman" w:cs="Arial"/>
                <w:b/>
                <w:bCs/>
                <w:color w:val="1F1F1F"/>
                <w:sz w:val="24"/>
                <w:szCs w:val="24"/>
              </w:rPr>
            </w:pPr>
          </w:p>
        </w:tc>
      </w:tr>
      <w:tr w:rsidR="00CF70E3" w:rsidRPr="00A14F37" w14:paraId="201D112D" w14:textId="77777777" w:rsidTr="008F6EDA">
        <w:tc>
          <w:tcPr>
            <w:tcW w:w="0" w:type="auto"/>
            <w:hideMark/>
          </w:tcPr>
          <w:p w14:paraId="4ED7BDA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Δ</w:t>
            </w:r>
          </w:p>
        </w:tc>
        <w:tc>
          <w:tcPr>
            <w:tcW w:w="0" w:type="auto"/>
            <w:hideMark/>
          </w:tcPr>
          <w:p w14:paraId="4593000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−12.0 ± 11.2</w:t>
            </w:r>
          </w:p>
        </w:tc>
        <w:tc>
          <w:tcPr>
            <w:tcW w:w="0" w:type="auto"/>
            <w:hideMark/>
          </w:tcPr>
          <w:p w14:paraId="33745F36"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−10.9 ± 9.6</w:t>
            </w:r>
          </w:p>
        </w:tc>
        <w:tc>
          <w:tcPr>
            <w:tcW w:w="0" w:type="auto"/>
            <w:hideMark/>
          </w:tcPr>
          <w:p w14:paraId="1275789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0.573</w:t>
            </w:r>
          </w:p>
        </w:tc>
        <w:tc>
          <w:tcPr>
            <w:tcW w:w="0" w:type="auto"/>
            <w:hideMark/>
          </w:tcPr>
          <w:p w14:paraId="3F9F971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w:t>
            </w:r>
          </w:p>
        </w:tc>
        <w:tc>
          <w:tcPr>
            <w:tcW w:w="0" w:type="auto"/>
            <w:hideMark/>
          </w:tcPr>
          <w:p w14:paraId="68731DB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5.2</w:t>
            </w:r>
          </w:p>
        </w:tc>
        <w:tc>
          <w:tcPr>
            <w:tcW w:w="0" w:type="auto"/>
            <w:hideMark/>
          </w:tcPr>
          <w:p w14:paraId="2348250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45.4</w:t>
            </w:r>
          </w:p>
        </w:tc>
        <w:tc>
          <w:tcPr>
            <w:tcW w:w="2019" w:type="dxa"/>
            <w:hideMark/>
          </w:tcPr>
          <w:p w14:paraId="21C1BA8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0.78 (0.46–0.92)</w:t>
            </w:r>
          </w:p>
        </w:tc>
      </w:tr>
      <w:tr w:rsidR="00CF70E3" w:rsidRPr="00A14F37" w14:paraId="416F233C" w14:textId="77777777" w:rsidTr="008F6EDA">
        <w:tc>
          <w:tcPr>
            <w:tcW w:w="0" w:type="auto"/>
            <w:hideMark/>
          </w:tcPr>
          <w:p w14:paraId="1628C02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VA</w:t>
            </w:r>
            <w:r w:rsidRPr="00094345">
              <w:rPr>
                <w:rFonts w:eastAsia="Times New Roman" w:cs="Arial"/>
                <w:b/>
                <w:bCs/>
                <w:color w:val="1F1F1F"/>
                <w:sz w:val="16"/>
                <w:szCs w:val="16"/>
                <w:vertAlign w:val="subscript"/>
              </w:rPr>
              <w:t>MNS</w:t>
            </w:r>
            <w:r w:rsidRPr="00094345">
              <w:rPr>
                <w:rFonts w:eastAsia="Times New Roman" w:cs="Arial"/>
                <w:b/>
                <w:bCs/>
                <w:color w:val="1F1F1F"/>
                <w:sz w:val="24"/>
                <w:szCs w:val="24"/>
              </w:rPr>
              <w:t>, %</w:t>
            </w:r>
          </w:p>
        </w:tc>
        <w:tc>
          <w:tcPr>
            <w:tcW w:w="0" w:type="auto"/>
            <w:hideMark/>
          </w:tcPr>
          <w:p w14:paraId="3460FCC6" w14:textId="77777777" w:rsidR="00094345" w:rsidRPr="00094345" w:rsidRDefault="00094345" w:rsidP="00A14F37">
            <w:pPr>
              <w:rPr>
                <w:rFonts w:eastAsia="Times New Roman" w:cs="Arial"/>
                <w:b/>
                <w:bCs/>
                <w:color w:val="1F1F1F"/>
                <w:sz w:val="24"/>
                <w:szCs w:val="24"/>
              </w:rPr>
            </w:pPr>
          </w:p>
        </w:tc>
        <w:tc>
          <w:tcPr>
            <w:tcW w:w="0" w:type="auto"/>
            <w:hideMark/>
          </w:tcPr>
          <w:p w14:paraId="07CE18E4" w14:textId="77777777" w:rsidR="00094345" w:rsidRPr="00094345" w:rsidRDefault="00094345" w:rsidP="00A14F37">
            <w:pPr>
              <w:rPr>
                <w:rFonts w:eastAsia="Times New Roman" w:cs="Times New Roman"/>
                <w:sz w:val="20"/>
                <w:szCs w:val="20"/>
              </w:rPr>
            </w:pPr>
          </w:p>
        </w:tc>
        <w:tc>
          <w:tcPr>
            <w:tcW w:w="0" w:type="auto"/>
            <w:hideMark/>
          </w:tcPr>
          <w:p w14:paraId="089D97F5" w14:textId="77777777" w:rsidR="00094345" w:rsidRPr="00094345" w:rsidRDefault="00094345" w:rsidP="00A14F37">
            <w:pPr>
              <w:rPr>
                <w:rFonts w:eastAsia="Times New Roman" w:cs="Times New Roman"/>
                <w:sz w:val="20"/>
                <w:szCs w:val="20"/>
              </w:rPr>
            </w:pPr>
          </w:p>
        </w:tc>
        <w:tc>
          <w:tcPr>
            <w:tcW w:w="0" w:type="auto"/>
            <w:hideMark/>
          </w:tcPr>
          <w:p w14:paraId="20DB3D2A" w14:textId="77777777" w:rsidR="00094345" w:rsidRPr="00094345" w:rsidRDefault="00094345" w:rsidP="00A14F37">
            <w:pPr>
              <w:rPr>
                <w:rFonts w:eastAsia="Times New Roman" w:cs="Times New Roman"/>
                <w:sz w:val="20"/>
                <w:szCs w:val="20"/>
              </w:rPr>
            </w:pPr>
          </w:p>
        </w:tc>
        <w:tc>
          <w:tcPr>
            <w:tcW w:w="0" w:type="auto"/>
            <w:hideMark/>
          </w:tcPr>
          <w:p w14:paraId="15C63FB7" w14:textId="77777777" w:rsidR="00094345" w:rsidRPr="00094345" w:rsidRDefault="00094345" w:rsidP="00A14F37">
            <w:pPr>
              <w:rPr>
                <w:rFonts w:eastAsia="Times New Roman" w:cs="Times New Roman"/>
                <w:sz w:val="20"/>
                <w:szCs w:val="20"/>
              </w:rPr>
            </w:pPr>
          </w:p>
        </w:tc>
        <w:tc>
          <w:tcPr>
            <w:tcW w:w="0" w:type="auto"/>
            <w:hideMark/>
          </w:tcPr>
          <w:p w14:paraId="7186FF95" w14:textId="77777777" w:rsidR="00094345" w:rsidRPr="00094345" w:rsidRDefault="00094345" w:rsidP="00A14F37">
            <w:pPr>
              <w:rPr>
                <w:rFonts w:eastAsia="Times New Roman" w:cs="Times New Roman"/>
                <w:sz w:val="20"/>
                <w:szCs w:val="20"/>
              </w:rPr>
            </w:pPr>
          </w:p>
        </w:tc>
        <w:tc>
          <w:tcPr>
            <w:tcW w:w="2019" w:type="dxa"/>
            <w:hideMark/>
          </w:tcPr>
          <w:p w14:paraId="6307E87E" w14:textId="77777777" w:rsidR="00094345" w:rsidRPr="00094345" w:rsidRDefault="00094345" w:rsidP="00A14F37">
            <w:pPr>
              <w:rPr>
                <w:rFonts w:eastAsia="Times New Roman" w:cs="Times New Roman"/>
                <w:sz w:val="20"/>
                <w:szCs w:val="20"/>
              </w:rPr>
            </w:pPr>
          </w:p>
        </w:tc>
      </w:tr>
      <w:tr w:rsidR="00CF70E3" w:rsidRPr="00A14F37" w14:paraId="7A4A60F5" w14:textId="77777777" w:rsidTr="008F6EDA">
        <w:tc>
          <w:tcPr>
            <w:tcW w:w="0" w:type="auto"/>
            <w:hideMark/>
          </w:tcPr>
          <w:p w14:paraId="5FA7792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Pre</w:t>
            </w:r>
          </w:p>
        </w:tc>
        <w:tc>
          <w:tcPr>
            <w:tcW w:w="0" w:type="auto"/>
            <w:hideMark/>
          </w:tcPr>
          <w:p w14:paraId="36DEDA0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93.6 ± 3.0</w:t>
            </w:r>
          </w:p>
        </w:tc>
        <w:tc>
          <w:tcPr>
            <w:tcW w:w="0" w:type="auto"/>
            <w:hideMark/>
          </w:tcPr>
          <w:p w14:paraId="1E5E2B3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93.7 ± 3.2</w:t>
            </w:r>
          </w:p>
        </w:tc>
        <w:tc>
          <w:tcPr>
            <w:tcW w:w="0" w:type="auto"/>
            <w:hideMark/>
          </w:tcPr>
          <w:p w14:paraId="1DAD7298"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0.834</w:t>
            </w:r>
          </w:p>
        </w:tc>
        <w:tc>
          <w:tcPr>
            <w:tcW w:w="0" w:type="auto"/>
            <w:hideMark/>
          </w:tcPr>
          <w:p w14:paraId="2211E3D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−0.1</w:t>
            </w:r>
          </w:p>
        </w:tc>
        <w:tc>
          <w:tcPr>
            <w:tcW w:w="0" w:type="auto"/>
            <w:hideMark/>
          </w:tcPr>
          <w:p w14:paraId="235FB3C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1.6</w:t>
            </w:r>
          </w:p>
        </w:tc>
        <w:tc>
          <w:tcPr>
            <w:tcW w:w="0" w:type="auto"/>
            <w:hideMark/>
          </w:tcPr>
          <w:p w14:paraId="297FF9D6"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1.7</w:t>
            </w:r>
          </w:p>
        </w:tc>
        <w:tc>
          <w:tcPr>
            <w:tcW w:w="2019" w:type="dxa"/>
            <w:hideMark/>
          </w:tcPr>
          <w:p w14:paraId="2DA050D9" w14:textId="77777777" w:rsidR="00094345" w:rsidRPr="00094345" w:rsidRDefault="00094345" w:rsidP="00A14F37">
            <w:pPr>
              <w:rPr>
                <w:rFonts w:eastAsia="Times New Roman" w:cs="Arial"/>
                <w:b/>
                <w:bCs/>
                <w:color w:val="1F1F1F"/>
                <w:sz w:val="24"/>
                <w:szCs w:val="24"/>
              </w:rPr>
            </w:pPr>
          </w:p>
        </w:tc>
      </w:tr>
      <w:tr w:rsidR="00CF70E3" w:rsidRPr="00A14F37" w14:paraId="4D810095" w14:textId="77777777" w:rsidTr="008F6EDA">
        <w:tc>
          <w:tcPr>
            <w:tcW w:w="0" w:type="auto"/>
            <w:hideMark/>
          </w:tcPr>
          <w:p w14:paraId="127685D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Post</w:t>
            </w:r>
          </w:p>
        </w:tc>
        <w:tc>
          <w:tcPr>
            <w:tcW w:w="0" w:type="auto"/>
            <w:hideMark/>
          </w:tcPr>
          <w:p w14:paraId="67F8BC0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84.5 ± 7.2</w:t>
            </w:r>
          </w:p>
        </w:tc>
        <w:tc>
          <w:tcPr>
            <w:tcW w:w="0" w:type="auto"/>
            <w:hideMark/>
          </w:tcPr>
          <w:p w14:paraId="4C514FB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85.8 ± 6.7</w:t>
            </w:r>
          </w:p>
        </w:tc>
        <w:tc>
          <w:tcPr>
            <w:tcW w:w="0" w:type="auto"/>
            <w:hideMark/>
          </w:tcPr>
          <w:p w14:paraId="666C527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0.942</w:t>
            </w:r>
          </w:p>
        </w:tc>
        <w:tc>
          <w:tcPr>
            <w:tcW w:w="0" w:type="auto"/>
            <w:hideMark/>
          </w:tcPr>
          <w:p w14:paraId="64A53690"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−1.3</w:t>
            </w:r>
          </w:p>
        </w:tc>
        <w:tc>
          <w:tcPr>
            <w:tcW w:w="0" w:type="auto"/>
            <w:hideMark/>
          </w:tcPr>
          <w:p w14:paraId="312B1226"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3.6</w:t>
            </w:r>
          </w:p>
        </w:tc>
        <w:tc>
          <w:tcPr>
            <w:tcW w:w="0" w:type="auto"/>
            <w:hideMark/>
          </w:tcPr>
          <w:p w14:paraId="5C63FB7E"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4.2</w:t>
            </w:r>
          </w:p>
        </w:tc>
        <w:tc>
          <w:tcPr>
            <w:tcW w:w="2019" w:type="dxa"/>
            <w:hideMark/>
          </w:tcPr>
          <w:p w14:paraId="02B3F9C1" w14:textId="77777777" w:rsidR="00094345" w:rsidRPr="00094345" w:rsidRDefault="00094345" w:rsidP="00A14F37">
            <w:pPr>
              <w:rPr>
                <w:rFonts w:eastAsia="Times New Roman" w:cs="Arial"/>
                <w:b/>
                <w:bCs/>
                <w:color w:val="1F1F1F"/>
                <w:sz w:val="24"/>
                <w:szCs w:val="24"/>
              </w:rPr>
            </w:pPr>
          </w:p>
        </w:tc>
      </w:tr>
      <w:tr w:rsidR="00CF70E3" w:rsidRPr="00A14F37" w14:paraId="3AAA26DD" w14:textId="77777777" w:rsidTr="008F6EDA">
        <w:tc>
          <w:tcPr>
            <w:tcW w:w="0" w:type="auto"/>
            <w:hideMark/>
          </w:tcPr>
          <w:p w14:paraId="6900390F"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lastRenderedPageBreak/>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 </w:t>
            </w:r>
            <w:r w:rsidRPr="00094345">
              <w:rPr>
                <w:rFonts w:eastAsia="Times New Roman" w:cs="Arial"/>
                <w:b/>
                <w:bCs/>
                <w:color w:val="1F1F1F"/>
                <w:sz w:val="24"/>
                <w:szCs w:val="24"/>
              </w:rPr>
              <w:t>Δ</w:t>
            </w:r>
          </w:p>
        </w:tc>
        <w:tc>
          <w:tcPr>
            <w:tcW w:w="0" w:type="auto"/>
            <w:hideMark/>
          </w:tcPr>
          <w:p w14:paraId="4899D8A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−9.1 ± 6.0</w:t>
            </w:r>
          </w:p>
        </w:tc>
        <w:tc>
          <w:tcPr>
            <w:tcW w:w="0" w:type="auto"/>
            <w:hideMark/>
          </w:tcPr>
          <w:p w14:paraId="51186CB5"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−7.9 ± 6.1</w:t>
            </w:r>
          </w:p>
        </w:tc>
        <w:tc>
          <w:tcPr>
            <w:tcW w:w="0" w:type="auto"/>
            <w:hideMark/>
          </w:tcPr>
          <w:p w14:paraId="310F3BE3"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0.390</w:t>
            </w:r>
          </w:p>
        </w:tc>
        <w:tc>
          <w:tcPr>
            <w:tcW w:w="0" w:type="auto"/>
            <w:hideMark/>
          </w:tcPr>
          <w:p w14:paraId="30794F07"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1.2</w:t>
            </w:r>
          </w:p>
        </w:tc>
        <w:tc>
          <w:tcPr>
            <w:tcW w:w="0" w:type="auto"/>
            <w:hideMark/>
          </w:tcPr>
          <w:p w14:paraId="38D9980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3.7</w:t>
            </w:r>
          </w:p>
        </w:tc>
        <w:tc>
          <w:tcPr>
            <w:tcW w:w="0" w:type="auto"/>
            <w:hideMark/>
          </w:tcPr>
          <w:p w14:paraId="0EAA589B"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43.2</w:t>
            </w:r>
          </w:p>
        </w:tc>
        <w:tc>
          <w:tcPr>
            <w:tcW w:w="2019" w:type="dxa"/>
            <w:hideMark/>
          </w:tcPr>
          <w:p w14:paraId="3815E2C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0.66 (0.24–0.87)</w:t>
            </w:r>
          </w:p>
        </w:tc>
      </w:tr>
      <w:tr w:rsidR="00CF70E3" w:rsidRPr="00A14F37" w14:paraId="250E6D09" w14:textId="77777777" w:rsidTr="008F6EDA">
        <w:trPr>
          <w:trHeight w:val="70"/>
        </w:trPr>
        <w:tc>
          <w:tcPr>
            <w:tcW w:w="0" w:type="auto"/>
            <w:hideMark/>
          </w:tcPr>
          <w:p w14:paraId="2CA1D111"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TTF, s</w:t>
            </w:r>
          </w:p>
        </w:tc>
        <w:tc>
          <w:tcPr>
            <w:tcW w:w="0" w:type="auto"/>
            <w:hideMark/>
          </w:tcPr>
          <w:p w14:paraId="56DE386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560 ± 275</w:t>
            </w:r>
          </w:p>
        </w:tc>
        <w:tc>
          <w:tcPr>
            <w:tcW w:w="0" w:type="auto"/>
            <w:hideMark/>
          </w:tcPr>
          <w:p w14:paraId="2627200A"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603 ± 357</w:t>
            </w:r>
          </w:p>
        </w:tc>
        <w:tc>
          <w:tcPr>
            <w:tcW w:w="0" w:type="auto"/>
            <w:hideMark/>
          </w:tcPr>
          <w:p w14:paraId="4604D7D4"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0.338</w:t>
            </w:r>
          </w:p>
        </w:tc>
        <w:tc>
          <w:tcPr>
            <w:tcW w:w="0" w:type="auto"/>
            <w:hideMark/>
          </w:tcPr>
          <w:p w14:paraId="42D8C2B2"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−43</w:t>
            </w:r>
          </w:p>
        </w:tc>
        <w:tc>
          <w:tcPr>
            <w:tcW w:w="0" w:type="auto"/>
            <w:hideMark/>
          </w:tcPr>
          <w:p w14:paraId="10B208F9"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117</w:t>
            </w:r>
          </w:p>
        </w:tc>
        <w:tc>
          <w:tcPr>
            <w:tcW w:w="0" w:type="auto"/>
            <w:hideMark/>
          </w:tcPr>
          <w:p w14:paraId="190EF7E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20.0</w:t>
            </w:r>
          </w:p>
        </w:tc>
        <w:tc>
          <w:tcPr>
            <w:tcW w:w="2019" w:type="dxa"/>
            <w:hideMark/>
          </w:tcPr>
          <w:p w14:paraId="6E49ECCD" w14:textId="77777777" w:rsidR="00094345" w:rsidRPr="00094345" w:rsidRDefault="00094345" w:rsidP="00A14F37">
            <w:pPr>
              <w:rPr>
                <w:rFonts w:eastAsia="Times New Roman" w:cs="Arial"/>
                <w:b/>
                <w:bCs/>
                <w:color w:val="1F1F1F"/>
                <w:sz w:val="24"/>
                <w:szCs w:val="24"/>
              </w:rPr>
            </w:pPr>
            <w:r w:rsidRPr="00094345">
              <w:rPr>
                <w:rFonts w:eastAsia="Times New Roman" w:cs="Arial"/>
                <w:b/>
                <w:bCs/>
                <w:color w:val="1F1F1F"/>
                <w:sz w:val="24"/>
                <w:szCs w:val="24"/>
              </w:rPr>
              <w:t>0.88 (0.69–0.96)</w:t>
            </w:r>
          </w:p>
        </w:tc>
      </w:tr>
    </w:tbl>
    <w:p w14:paraId="3579AFC9" w14:textId="3569AB81" w:rsidR="00094345" w:rsidRPr="00094345" w:rsidRDefault="00094345" w:rsidP="00A14F37">
      <w:pPr>
        <w:shd w:val="clear" w:color="auto" w:fill="FFFFFF"/>
        <w:spacing w:before="240" w:after="0" w:line="240" w:lineRule="auto"/>
        <w:rPr>
          <w:rFonts w:eastAsia="Times New Roman" w:cs="Arial"/>
          <w:color w:val="1F1F1F"/>
          <w:sz w:val="24"/>
          <w:szCs w:val="24"/>
        </w:rPr>
      </w:pPr>
      <w:r w:rsidRPr="00094345">
        <w:rPr>
          <w:rFonts w:eastAsia="Times New Roman" w:cs="Arial"/>
          <w:color w:val="1F1F1F"/>
          <w:sz w:val="24"/>
          <w:szCs w:val="24"/>
        </w:rPr>
        <w:t>Values are means ± SD. Pre-to-Post change (Δ) is presented when a significant (</w:t>
      </w:r>
      <w:r w:rsidRPr="00094345">
        <w:rPr>
          <w:rFonts w:eastAsia="Times New Roman" w:cs="Arial"/>
          <w:i/>
          <w:iCs/>
          <w:color w:val="1F1F1F"/>
          <w:sz w:val="24"/>
          <w:szCs w:val="24"/>
        </w:rPr>
        <w:t>P</w:t>
      </w:r>
      <w:r w:rsidRPr="00094345">
        <w:rPr>
          <w:rFonts w:eastAsia="Times New Roman" w:cs="Arial"/>
          <w:color w:val="1F1F1F"/>
          <w:sz w:val="24"/>
          <w:szCs w:val="24"/>
        </w:rPr>
        <w:t> &lt; 0.05) change was observed. CV, coefficient of variation; ICC, intraclass correlation coefficient; MVC, maximum voluntary contraction; Q</w:t>
      </w:r>
      <w:r w:rsidRPr="00094345">
        <w:rPr>
          <w:rFonts w:eastAsia="Times New Roman" w:cs="Arial"/>
          <w:color w:val="1F1F1F"/>
          <w:sz w:val="16"/>
          <w:szCs w:val="16"/>
          <w:vertAlign w:val="subscript"/>
        </w:rPr>
        <w:t>tw.pot</w:t>
      </w:r>
      <w:r w:rsidRPr="00094345">
        <w:rPr>
          <w:rFonts w:eastAsia="Times New Roman" w:cs="Arial"/>
          <w:color w:val="1F1F1F"/>
          <w:sz w:val="24"/>
          <w:szCs w:val="24"/>
        </w:rPr>
        <w:t>, potentiated quadriceps twitch; ERT, estimated resting twitch; VA</w:t>
      </w:r>
      <w:r w:rsidRPr="00094345">
        <w:rPr>
          <w:rFonts w:eastAsia="Times New Roman" w:cs="Arial"/>
          <w:color w:val="1F1F1F"/>
          <w:sz w:val="16"/>
          <w:szCs w:val="16"/>
          <w:vertAlign w:val="subscript"/>
        </w:rPr>
        <w:t>TMS</w:t>
      </w:r>
      <w:r w:rsidRPr="00094345">
        <w:rPr>
          <w:rFonts w:eastAsia="Times New Roman" w:cs="Arial"/>
          <w:color w:val="1F1F1F"/>
          <w:sz w:val="24"/>
          <w:szCs w:val="24"/>
        </w:rPr>
        <w:t>, voluntary activation assessed with transcranial magnetic stimulation; VA</w:t>
      </w:r>
      <w:r w:rsidRPr="00094345">
        <w:rPr>
          <w:rFonts w:eastAsia="Times New Roman" w:cs="Arial"/>
          <w:color w:val="1F1F1F"/>
          <w:sz w:val="16"/>
          <w:szCs w:val="16"/>
          <w:vertAlign w:val="subscript"/>
        </w:rPr>
        <w:t>MNS</w:t>
      </w:r>
      <w:r w:rsidRPr="00094345">
        <w:rPr>
          <w:rFonts w:eastAsia="Times New Roman" w:cs="Arial"/>
          <w:color w:val="1F1F1F"/>
          <w:sz w:val="24"/>
          <w:szCs w:val="24"/>
        </w:rPr>
        <w:t>, voluntary activation assessed with motor nerve stimulation; TE, typical error; TTF, time to task failure.</w:t>
      </w:r>
    </w:p>
    <w:p w14:paraId="016AC76F" w14:textId="049CCF2D" w:rsidR="00094345" w:rsidRPr="00A14F37" w:rsidRDefault="0075225B" w:rsidP="00A14F37">
      <w:pPr>
        <w:spacing w:line="240" w:lineRule="auto"/>
      </w:pPr>
      <w:r w:rsidRPr="00A14F37">
        <w:t>Surface EMG variables (</w:t>
      </w:r>
      <w:hyperlink r:id="rId77" w:anchor="T3" w:history="1">
        <w:r w:rsidRPr="00A14F37">
          <w:rPr>
            <w:rStyle w:val="Hyperlink"/>
          </w:rPr>
          <w:t>Table 3</w:t>
        </w:r>
      </w:hyperlink>
      <w:r w:rsidRPr="00A14F37">
        <w:t>) showed moderate (MEP/M</w:t>
      </w:r>
      <w:r w:rsidRPr="00A14F37">
        <w:rPr>
          <w:vertAlign w:val="subscript"/>
        </w:rPr>
        <w:t>max</w:t>
      </w:r>
      <w:r w:rsidRPr="00A14F37">
        <w:t> and SP) or good (SICI and M</w:t>
      </w:r>
      <w:r w:rsidRPr="00A14F37">
        <w:rPr>
          <w:vertAlign w:val="subscript"/>
        </w:rPr>
        <w:t>max</w:t>
      </w:r>
      <w:r w:rsidRPr="00A14F37">
        <w:t xml:space="preserve">) reliability preexercise but with larger test-retest CVs than mechanical variables (CV range: 9.2–30.1%). Postexercise reliability was </w:t>
      </w:r>
      <w:proofErr w:type="gramStart"/>
      <w:r w:rsidRPr="00A14F37">
        <w:t>similar to</w:t>
      </w:r>
      <w:proofErr w:type="gramEnd"/>
      <w:r w:rsidRPr="00A14F37">
        <w:t xml:space="preserve"> preexercise for most variables, with ICCs either moderate (MEP/M</w:t>
      </w:r>
      <w:r w:rsidRPr="00A14F37">
        <w:rPr>
          <w:vertAlign w:val="subscript"/>
        </w:rPr>
        <w:t>max</w:t>
      </w:r>
      <w:r w:rsidRPr="00A14F37">
        <w:t> and SP) or good (M</w:t>
      </w:r>
      <w:r w:rsidRPr="00A14F37">
        <w:rPr>
          <w:vertAlign w:val="subscript"/>
        </w:rPr>
        <w:t>max</w:t>
      </w:r>
      <w:r w:rsidRPr="00A14F37">
        <w:t>) and comparable CVs (range: 13.0–31.0%). Despite this, the postexercise reliability of SICI was poor (ICC = 0.42), which was further supported by a significant bias between </w:t>
      </w:r>
      <w:r w:rsidRPr="00A14F37">
        <w:rPr>
          <w:i/>
          <w:iCs/>
        </w:rPr>
        <w:t>visits 1</w:t>
      </w:r>
      <w:r w:rsidRPr="00A14F37">
        <w:t> and </w:t>
      </w:r>
      <w:r w:rsidRPr="00A14F37">
        <w:rPr>
          <w:i/>
          <w:iCs/>
        </w:rPr>
        <w:t>2</w:t>
      </w:r>
      <w:r w:rsidRPr="00A14F37">
        <w:t> (−9.1%, </w:t>
      </w:r>
      <w:r w:rsidRPr="00A14F37">
        <w:rPr>
          <w:i/>
          <w:iCs/>
        </w:rPr>
        <w:t>P</w:t>
      </w:r>
      <w:r w:rsidRPr="00A14F37">
        <w:t> = 0.031). When the pre-to-post change was significant for a variable, i.e., SP, the relative reliability of change value was deemed poor (ICC = 0.44), with a high degree of random error (CV = 155.1%).</w:t>
      </w:r>
    </w:p>
    <w:p w14:paraId="0EC4A3A1" w14:textId="28C60665" w:rsidR="0075225B" w:rsidRPr="00A14F37" w:rsidRDefault="0075225B" w:rsidP="00A14F37">
      <w:pPr>
        <w:spacing w:line="240" w:lineRule="auto"/>
      </w:pPr>
    </w:p>
    <w:tbl>
      <w:tblPr>
        <w:tblStyle w:val="TableGrid"/>
        <w:tblW w:w="10975" w:type="dxa"/>
        <w:tblLook w:val="04A0" w:firstRow="1" w:lastRow="0" w:firstColumn="1" w:lastColumn="0" w:noHBand="0" w:noVBand="1"/>
      </w:tblPr>
      <w:tblGrid>
        <w:gridCol w:w="4223"/>
        <w:gridCol w:w="880"/>
        <w:gridCol w:w="880"/>
        <w:gridCol w:w="767"/>
        <w:gridCol w:w="765"/>
        <w:gridCol w:w="646"/>
        <w:gridCol w:w="770"/>
        <w:gridCol w:w="2044"/>
      </w:tblGrid>
      <w:tr w:rsidR="00BD3BD7" w:rsidRPr="00A14F37" w14:paraId="3344988E" w14:textId="77777777" w:rsidTr="00BD3BD7">
        <w:tc>
          <w:tcPr>
            <w:tcW w:w="0" w:type="auto"/>
            <w:hideMark/>
          </w:tcPr>
          <w:p w14:paraId="5AEE6E35"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r w:rsidRPr="0035042D">
              <w:rPr>
                <w:rFonts w:eastAsia="Times New Roman" w:cs="Arial"/>
                <w:b/>
                <w:bCs/>
                <w:color w:val="1F1F1F"/>
                <w:sz w:val="24"/>
                <w:szCs w:val="24"/>
              </w:rPr>
              <w:t>Table 3. Reliability values for electromyographical data pre- and postexercise</w:t>
            </w:r>
          </w:p>
        </w:tc>
        <w:tc>
          <w:tcPr>
            <w:tcW w:w="0" w:type="auto"/>
          </w:tcPr>
          <w:p w14:paraId="0806C2E5"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066F844A"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7F32CE17"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5B1945EF"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739CCC25"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0" w:type="auto"/>
          </w:tcPr>
          <w:p w14:paraId="61509DFA" w14:textId="77777777" w:rsidR="00BD3BD7" w:rsidRPr="00A14F37" w:rsidRDefault="00BD3BD7" w:rsidP="00A14F37">
            <w:pPr>
              <w:shd w:val="clear" w:color="auto" w:fill="FFFFFF"/>
              <w:spacing w:before="100" w:beforeAutospacing="1" w:after="100" w:afterAutospacing="1"/>
              <w:rPr>
                <w:rFonts w:eastAsia="Times New Roman" w:cs="Arial"/>
                <w:b/>
                <w:bCs/>
                <w:color w:val="1F1F1F"/>
                <w:sz w:val="24"/>
                <w:szCs w:val="24"/>
              </w:rPr>
            </w:pPr>
          </w:p>
        </w:tc>
        <w:tc>
          <w:tcPr>
            <w:tcW w:w="2044" w:type="dxa"/>
          </w:tcPr>
          <w:p w14:paraId="58E0630C" w14:textId="0560501F" w:rsidR="0035042D" w:rsidRPr="0035042D" w:rsidRDefault="0035042D" w:rsidP="00A14F37">
            <w:pPr>
              <w:shd w:val="clear" w:color="auto" w:fill="FFFFFF"/>
              <w:spacing w:before="100" w:beforeAutospacing="1" w:after="100" w:afterAutospacing="1"/>
              <w:rPr>
                <w:rFonts w:eastAsia="Times New Roman" w:cs="Arial"/>
                <w:b/>
                <w:bCs/>
                <w:color w:val="1F1F1F"/>
                <w:sz w:val="24"/>
                <w:szCs w:val="24"/>
              </w:rPr>
            </w:pPr>
          </w:p>
        </w:tc>
      </w:tr>
      <w:tr w:rsidR="00BD3BD7" w:rsidRPr="00A14F37" w14:paraId="357422DD" w14:textId="77777777" w:rsidTr="00BD3BD7">
        <w:tc>
          <w:tcPr>
            <w:tcW w:w="0" w:type="auto"/>
            <w:hideMark/>
          </w:tcPr>
          <w:p w14:paraId="699D4737" w14:textId="77777777" w:rsidR="0035042D" w:rsidRPr="0035042D" w:rsidRDefault="0035042D" w:rsidP="00A14F37">
            <w:pPr>
              <w:rPr>
                <w:rFonts w:eastAsia="Times New Roman" w:cs="Arial"/>
                <w:b/>
                <w:bCs/>
                <w:color w:val="000000"/>
                <w:sz w:val="24"/>
                <w:szCs w:val="24"/>
              </w:rPr>
            </w:pPr>
            <w:r w:rsidRPr="0035042D">
              <w:rPr>
                <w:rFonts w:eastAsia="Times New Roman" w:cs="Arial"/>
                <w:b/>
                <w:bCs/>
                <w:color w:val="000000"/>
                <w:sz w:val="24"/>
                <w:szCs w:val="24"/>
              </w:rPr>
              <w:t>Measure</w:t>
            </w:r>
          </w:p>
        </w:tc>
        <w:tc>
          <w:tcPr>
            <w:tcW w:w="0" w:type="auto"/>
            <w:hideMark/>
          </w:tcPr>
          <w:p w14:paraId="51C1FBB2" w14:textId="77777777" w:rsidR="0035042D" w:rsidRPr="0035042D" w:rsidRDefault="0035042D" w:rsidP="00A14F37">
            <w:pPr>
              <w:rPr>
                <w:rFonts w:eastAsia="Times New Roman" w:cs="Arial"/>
                <w:b/>
                <w:bCs/>
                <w:color w:val="000000"/>
                <w:sz w:val="24"/>
                <w:szCs w:val="24"/>
              </w:rPr>
            </w:pPr>
            <w:r w:rsidRPr="0035042D">
              <w:rPr>
                <w:rFonts w:eastAsia="Times New Roman" w:cs="Arial"/>
                <w:b/>
                <w:bCs/>
                <w:i/>
                <w:iCs/>
                <w:color w:val="000000"/>
                <w:sz w:val="24"/>
                <w:szCs w:val="24"/>
              </w:rPr>
              <w:t>Visit 1</w:t>
            </w:r>
          </w:p>
        </w:tc>
        <w:tc>
          <w:tcPr>
            <w:tcW w:w="0" w:type="auto"/>
            <w:hideMark/>
          </w:tcPr>
          <w:p w14:paraId="19E1B907" w14:textId="77777777" w:rsidR="0035042D" w:rsidRPr="0035042D" w:rsidRDefault="0035042D" w:rsidP="00A14F37">
            <w:pPr>
              <w:rPr>
                <w:rFonts w:eastAsia="Times New Roman" w:cs="Arial"/>
                <w:b/>
                <w:bCs/>
                <w:color w:val="000000"/>
                <w:sz w:val="24"/>
                <w:szCs w:val="24"/>
              </w:rPr>
            </w:pPr>
            <w:r w:rsidRPr="0035042D">
              <w:rPr>
                <w:rFonts w:eastAsia="Times New Roman" w:cs="Arial"/>
                <w:b/>
                <w:bCs/>
                <w:i/>
                <w:iCs/>
                <w:color w:val="000000"/>
                <w:sz w:val="24"/>
                <w:szCs w:val="24"/>
              </w:rPr>
              <w:t>Visit 2</w:t>
            </w:r>
          </w:p>
        </w:tc>
        <w:tc>
          <w:tcPr>
            <w:tcW w:w="0" w:type="auto"/>
            <w:hideMark/>
          </w:tcPr>
          <w:p w14:paraId="03840176" w14:textId="77777777" w:rsidR="0035042D" w:rsidRPr="0035042D" w:rsidRDefault="0035042D" w:rsidP="00A14F37">
            <w:pPr>
              <w:rPr>
                <w:rFonts w:eastAsia="Times New Roman" w:cs="Arial"/>
                <w:b/>
                <w:bCs/>
                <w:color w:val="000000"/>
                <w:sz w:val="24"/>
                <w:szCs w:val="24"/>
              </w:rPr>
            </w:pPr>
            <w:r w:rsidRPr="0035042D">
              <w:rPr>
                <w:rFonts w:eastAsia="Times New Roman" w:cs="Arial"/>
                <w:b/>
                <w:bCs/>
                <w:i/>
                <w:iCs/>
                <w:color w:val="000000"/>
                <w:sz w:val="24"/>
                <w:szCs w:val="24"/>
              </w:rPr>
              <w:t>P</w:t>
            </w:r>
          </w:p>
        </w:tc>
        <w:tc>
          <w:tcPr>
            <w:tcW w:w="0" w:type="auto"/>
            <w:hideMark/>
          </w:tcPr>
          <w:p w14:paraId="7A38BD04" w14:textId="77777777" w:rsidR="0035042D" w:rsidRPr="0035042D" w:rsidRDefault="0035042D" w:rsidP="00A14F37">
            <w:pPr>
              <w:rPr>
                <w:rFonts w:eastAsia="Times New Roman" w:cs="Arial"/>
                <w:b/>
                <w:bCs/>
                <w:color w:val="000000"/>
                <w:sz w:val="24"/>
                <w:szCs w:val="24"/>
              </w:rPr>
            </w:pPr>
            <w:r w:rsidRPr="0035042D">
              <w:rPr>
                <w:rFonts w:eastAsia="Times New Roman" w:cs="Arial"/>
                <w:b/>
                <w:bCs/>
                <w:color w:val="000000"/>
                <w:sz w:val="24"/>
                <w:szCs w:val="24"/>
              </w:rPr>
              <w:t>Bias</w:t>
            </w:r>
          </w:p>
        </w:tc>
        <w:tc>
          <w:tcPr>
            <w:tcW w:w="0" w:type="auto"/>
            <w:hideMark/>
          </w:tcPr>
          <w:p w14:paraId="6DB848A6" w14:textId="77777777" w:rsidR="0035042D" w:rsidRPr="0035042D" w:rsidRDefault="0035042D" w:rsidP="00A14F37">
            <w:pPr>
              <w:rPr>
                <w:rFonts w:eastAsia="Times New Roman" w:cs="Arial"/>
                <w:b/>
                <w:bCs/>
                <w:color w:val="000000"/>
                <w:sz w:val="24"/>
                <w:szCs w:val="24"/>
              </w:rPr>
            </w:pPr>
            <w:r w:rsidRPr="0035042D">
              <w:rPr>
                <w:rFonts w:eastAsia="Times New Roman" w:cs="Arial"/>
                <w:b/>
                <w:bCs/>
                <w:color w:val="000000"/>
                <w:sz w:val="24"/>
                <w:szCs w:val="24"/>
              </w:rPr>
              <w:t>TE</w:t>
            </w:r>
          </w:p>
        </w:tc>
        <w:tc>
          <w:tcPr>
            <w:tcW w:w="0" w:type="auto"/>
            <w:hideMark/>
          </w:tcPr>
          <w:p w14:paraId="51C7EE6E" w14:textId="77777777" w:rsidR="0035042D" w:rsidRPr="0035042D" w:rsidRDefault="0035042D" w:rsidP="00A14F37">
            <w:pPr>
              <w:rPr>
                <w:rFonts w:eastAsia="Times New Roman" w:cs="Arial"/>
                <w:b/>
                <w:bCs/>
                <w:color w:val="000000"/>
                <w:sz w:val="24"/>
                <w:szCs w:val="24"/>
              </w:rPr>
            </w:pPr>
            <w:r w:rsidRPr="0035042D">
              <w:rPr>
                <w:rFonts w:eastAsia="Times New Roman" w:cs="Arial"/>
                <w:b/>
                <w:bCs/>
                <w:color w:val="000000"/>
                <w:sz w:val="24"/>
                <w:szCs w:val="24"/>
              </w:rPr>
              <w:t>CV, %</w:t>
            </w:r>
          </w:p>
        </w:tc>
        <w:tc>
          <w:tcPr>
            <w:tcW w:w="2044" w:type="dxa"/>
            <w:hideMark/>
          </w:tcPr>
          <w:p w14:paraId="7E12E1FA" w14:textId="77777777" w:rsidR="0035042D" w:rsidRPr="0035042D" w:rsidRDefault="0035042D" w:rsidP="00A14F37">
            <w:pPr>
              <w:rPr>
                <w:rFonts w:eastAsia="Times New Roman" w:cs="Arial"/>
                <w:b/>
                <w:bCs/>
                <w:color w:val="000000"/>
                <w:sz w:val="24"/>
                <w:szCs w:val="24"/>
              </w:rPr>
            </w:pPr>
            <w:r w:rsidRPr="0035042D">
              <w:rPr>
                <w:rFonts w:eastAsia="Times New Roman" w:cs="Arial"/>
                <w:b/>
                <w:bCs/>
                <w:color w:val="000000"/>
                <w:sz w:val="24"/>
                <w:szCs w:val="24"/>
              </w:rPr>
              <w:t>ICC (95% CI)</w:t>
            </w:r>
          </w:p>
        </w:tc>
      </w:tr>
      <w:tr w:rsidR="00BD3BD7" w:rsidRPr="00A14F37" w14:paraId="7A9D2E54" w14:textId="77777777" w:rsidTr="00BD3BD7">
        <w:tc>
          <w:tcPr>
            <w:tcW w:w="0" w:type="auto"/>
            <w:hideMark/>
          </w:tcPr>
          <w:p w14:paraId="436A599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MEP/M</w:t>
            </w:r>
            <w:r w:rsidRPr="0035042D">
              <w:rPr>
                <w:rFonts w:eastAsia="Times New Roman" w:cs="Arial"/>
                <w:b/>
                <w:bCs/>
                <w:color w:val="1F1F1F"/>
                <w:sz w:val="16"/>
                <w:szCs w:val="16"/>
                <w:vertAlign w:val="subscript"/>
              </w:rPr>
              <w:t>max</w:t>
            </w:r>
            <w:r w:rsidRPr="0035042D">
              <w:rPr>
                <w:rFonts w:eastAsia="Times New Roman" w:cs="Arial"/>
                <w:b/>
                <w:bCs/>
                <w:color w:val="1F1F1F"/>
                <w:sz w:val="24"/>
                <w:szCs w:val="24"/>
              </w:rPr>
              <w:t>, %</w:t>
            </w:r>
          </w:p>
        </w:tc>
        <w:tc>
          <w:tcPr>
            <w:tcW w:w="0" w:type="auto"/>
            <w:hideMark/>
          </w:tcPr>
          <w:p w14:paraId="61FCDA5D" w14:textId="77777777" w:rsidR="0035042D" w:rsidRPr="0035042D" w:rsidRDefault="0035042D" w:rsidP="00A14F37">
            <w:pPr>
              <w:rPr>
                <w:rFonts w:eastAsia="Times New Roman" w:cs="Arial"/>
                <w:b/>
                <w:bCs/>
                <w:color w:val="1F1F1F"/>
                <w:sz w:val="24"/>
                <w:szCs w:val="24"/>
              </w:rPr>
            </w:pPr>
          </w:p>
        </w:tc>
        <w:tc>
          <w:tcPr>
            <w:tcW w:w="0" w:type="auto"/>
            <w:hideMark/>
          </w:tcPr>
          <w:p w14:paraId="3C520511" w14:textId="77777777" w:rsidR="0035042D" w:rsidRPr="0035042D" w:rsidRDefault="0035042D" w:rsidP="00A14F37">
            <w:pPr>
              <w:rPr>
                <w:rFonts w:eastAsia="Times New Roman" w:cs="Times New Roman"/>
                <w:sz w:val="20"/>
                <w:szCs w:val="20"/>
              </w:rPr>
            </w:pPr>
          </w:p>
        </w:tc>
        <w:tc>
          <w:tcPr>
            <w:tcW w:w="0" w:type="auto"/>
            <w:hideMark/>
          </w:tcPr>
          <w:p w14:paraId="31992A81" w14:textId="77777777" w:rsidR="0035042D" w:rsidRPr="0035042D" w:rsidRDefault="0035042D" w:rsidP="00A14F37">
            <w:pPr>
              <w:rPr>
                <w:rFonts w:eastAsia="Times New Roman" w:cs="Times New Roman"/>
                <w:sz w:val="20"/>
                <w:szCs w:val="20"/>
              </w:rPr>
            </w:pPr>
          </w:p>
        </w:tc>
        <w:tc>
          <w:tcPr>
            <w:tcW w:w="0" w:type="auto"/>
            <w:hideMark/>
          </w:tcPr>
          <w:p w14:paraId="5C005BB9" w14:textId="77777777" w:rsidR="0035042D" w:rsidRPr="0035042D" w:rsidRDefault="0035042D" w:rsidP="00A14F37">
            <w:pPr>
              <w:rPr>
                <w:rFonts w:eastAsia="Times New Roman" w:cs="Times New Roman"/>
                <w:sz w:val="20"/>
                <w:szCs w:val="20"/>
              </w:rPr>
            </w:pPr>
          </w:p>
        </w:tc>
        <w:tc>
          <w:tcPr>
            <w:tcW w:w="0" w:type="auto"/>
            <w:hideMark/>
          </w:tcPr>
          <w:p w14:paraId="14CB9F47" w14:textId="77777777" w:rsidR="0035042D" w:rsidRPr="0035042D" w:rsidRDefault="0035042D" w:rsidP="00A14F37">
            <w:pPr>
              <w:rPr>
                <w:rFonts w:eastAsia="Times New Roman" w:cs="Times New Roman"/>
                <w:sz w:val="20"/>
                <w:szCs w:val="20"/>
              </w:rPr>
            </w:pPr>
          </w:p>
        </w:tc>
        <w:tc>
          <w:tcPr>
            <w:tcW w:w="0" w:type="auto"/>
            <w:hideMark/>
          </w:tcPr>
          <w:p w14:paraId="62AA1CD1" w14:textId="77777777" w:rsidR="0035042D" w:rsidRPr="0035042D" w:rsidRDefault="0035042D" w:rsidP="00A14F37">
            <w:pPr>
              <w:rPr>
                <w:rFonts w:eastAsia="Times New Roman" w:cs="Times New Roman"/>
                <w:sz w:val="20"/>
                <w:szCs w:val="20"/>
              </w:rPr>
            </w:pPr>
          </w:p>
        </w:tc>
        <w:tc>
          <w:tcPr>
            <w:tcW w:w="2044" w:type="dxa"/>
            <w:hideMark/>
          </w:tcPr>
          <w:p w14:paraId="33205658" w14:textId="77777777" w:rsidR="0035042D" w:rsidRPr="0035042D" w:rsidRDefault="0035042D" w:rsidP="00A14F37">
            <w:pPr>
              <w:rPr>
                <w:rFonts w:eastAsia="Times New Roman" w:cs="Times New Roman"/>
                <w:sz w:val="20"/>
                <w:szCs w:val="20"/>
              </w:rPr>
            </w:pPr>
          </w:p>
        </w:tc>
      </w:tr>
      <w:tr w:rsidR="00BD3BD7" w:rsidRPr="00A14F37" w14:paraId="68FAD51C" w14:textId="77777777" w:rsidTr="00BD3BD7">
        <w:tc>
          <w:tcPr>
            <w:tcW w:w="0" w:type="auto"/>
            <w:hideMark/>
          </w:tcPr>
          <w:p w14:paraId="7B074DD7"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Pre</w:t>
            </w:r>
          </w:p>
        </w:tc>
        <w:tc>
          <w:tcPr>
            <w:tcW w:w="0" w:type="auto"/>
            <w:hideMark/>
          </w:tcPr>
          <w:p w14:paraId="62421EB9"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22.4 ± 12.0</w:t>
            </w:r>
          </w:p>
        </w:tc>
        <w:tc>
          <w:tcPr>
            <w:tcW w:w="0" w:type="auto"/>
            <w:hideMark/>
          </w:tcPr>
          <w:p w14:paraId="1DA1958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19.8 ± 10.5</w:t>
            </w:r>
          </w:p>
        </w:tc>
        <w:tc>
          <w:tcPr>
            <w:tcW w:w="0" w:type="auto"/>
            <w:hideMark/>
          </w:tcPr>
          <w:p w14:paraId="5AF1E1E3"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0.291</w:t>
            </w:r>
          </w:p>
        </w:tc>
        <w:tc>
          <w:tcPr>
            <w:tcW w:w="0" w:type="auto"/>
            <w:hideMark/>
          </w:tcPr>
          <w:p w14:paraId="0C73A1C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2.6</w:t>
            </w:r>
          </w:p>
        </w:tc>
        <w:tc>
          <w:tcPr>
            <w:tcW w:w="0" w:type="auto"/>
            <w:hideMark/>
          </w:tcPr>
          <w:p w14:paraId="4B1105E3"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6.4</w:t>
            </w:r>
          </w:p>
        </w:tc>
        <w:tc>
          <w:tcPr>
            <w:tcW w:w="0" w:type="auto"/>
            <w:hideMark/>
          </w:tcPr>
          <w:p w14:paraId="671BA5B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30.1</w:t>
            </w:r>
          </w:p>
        </w:tc>
        <w:tc>
          <w:tcPr>
            <w:tcW w:w="2044" w:type="dxa"/>
            <w:hideMark/>
          </w:tcPr>
          <w:p w14:paraId="2AB1259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0.71 (0.34–0.89)</w:t>
            </w:r>
          </w:p>
        </w:tc>
      </w:tr>
      <w:tr w:rsidR="00BD3BD7" w:rsidRPr="00A14F37" w14:paraId="30F37173" w14:textId="77777777" w:rsidTr="00BD3BD7">
        <w:tc>
          <w:tcPr>
            <w:tcW w:w="0" w:type="auto"/>
            <w:hideMark/>
          </w:tcPr>
          <w:p w14:paraId="79CE7E2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Post</w:t>
            </w:r>
          </w:p>
        </w:tc>
        <w:tc>
          <w:tcPr>
            <w:tcW w:w="0" w:type="auto"/>
            <w:hideMark/>
          </w:tcPr>
          <w:p w14:paraId="01CB202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17.8 ± 9.0</w:t>
            </w:r>
          </w:p>
        </w:tc>
        <w:tc>
          <w:tcPr>
            <w:tcW w:w="0" w:type="auto"/>
            <w:hideMark/>
          </w:tcPr>
          <w:p w14:paraId="689D144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16.9 ± 10.1</w:t>
            </w:r>
          </w:p>
        </w:tc>
        <w:tc>
          <w:tcPr>
            <w:tcW w:w="0" w:type="auto"/>
            <w:hideMark/>
          </w:tcPr>
          <w:p w14:paraId="6D1F52F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0.677</w:t>
            </w:r>
          </w:p>
        </w:tc>
        <w:tc>
          <w:tcPr>
            <w:tcW w:w="0" w:type="auto"/>
            <w:hideMark/>
          </w:tcPr>
          <w:p w14:paraId="65BEAB8A"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0.9</w:t>
            </w:r>
          </w:p>
        </w:tc>
        <w:tc>
          <w:tcPr>
            <w:tcW w:w="0" w:type="auto"/>
            <w:hideMark/>
          </w:tcPr>
          <w:p w14:paraId="5EC7B6D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5.4</w:t>
            </w:r>
          </w:p>
        </w:tc>
        <w:tc>
          <w:tcPr>
            <w:tcW w:w="0" w:type="auto"/>
            <w:hideMark/>
          </w:tcPr>
          <w:p w14:paraId="2EBED4B7"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31.0</w:t>
            </w:r>
          </w:p>
        </w:tc>
        <w:tc>
          <w:tcPr>
            <w:tcW w:w="2044" w:type="dxa"/>
            <w:hideMark/>
          </w:tcPr>
          <w:p w14:paraId="69F32C32"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0.72 (0.34–0.90)</w:t>
            </w:r>
          </w:p>
        </w:tc>
      </w:tr>
      <w:tr w:rsidR="00BD3BD7" w:rsidRPr="00A14F37" w14:paraId="7106D7FF" w14:textId="77777777" w:rsidTr="00BD3BD7">
        <w:tc>
          <w:tcPr>
            <w:tcW w:w="0" w:type="auto"/>
            <w:hideMark/>
          </w:tcPr>
          <w:p w14:paraId="06542937"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Δ</w:t>
            </w:r>
          </w:p>
        </w:tc>
        <w:tc>
          <w:tcPr>
            <w:tcW w:w="0" w:type="auto"/>
            <w:hideMark/>
          </w:tcPr>
          <w:p w14:paraId="65BDCDB0" w14:textId="77777777" w:rsidR="0035042D" w:rsidRPr="0035042D" w:rsidRDefault="0035042D" w:rsidP="00A14F37">
            <w:pPr>
              <w:rPr>
                <w:rFonts w:eastAsia="Times New Roman" w:cs="Arial"/>
                <w:b/>
                <w:bCs/>
                <w:color w:val="1F1F1F"/>
                <w:sz w:val="24"/>
                <w:szCs w:val="24"/>
              </w:rPr>
            </w:pPr>
          </w:p>
        </w:tc>
        <w:tc>
          <w:tcPr>
            <w:tcW w:w="0" w:type="auto"/>
            <w:hideMark/>
          </w:tcPr>
          <w:p w14:paraId="3D88C74F" w14:textId="77777777" w:rsidR="0035042D" w:rsidRPr="0035042D" w:rsidRDefault="0035042D" w:rsidP="00A14F37">
            <w:pPr>
              <w:rPr>
                <w:rFonts w:eastAsia="Times New Roman" w:cs="Times New Roman"/>
                <w:sz w:val="20"/>
                <w:szCs w:val="20"/>
              </w:rPr>
            </w:pPr>
          </w:p>
        </w:tc>
        <w:tc>
          <w:tcPr>
            <w:tcW w:w="0" w:type="auto"/>
            <w:hideMark/>
          </w:tcPr>
          <w:p w14:paraId="4352EA88" w14:textId="77777777" w:rsidR="0035042D" w:rsidRPr="0035042D" w:rsidRDefault="0035042D" w:rsidP="00A14F37">
            <w:pPr>
              <w:rPr>
                <w:rFonts w:eastAsia="Times New Roman" w:cs="Times New Roman"/>
                <w:sz w:val="20"/>
                <w:szCs w:val="20"/>
              </w:rPr>
            </w:pPr>
          </w:p>
        </w:tc>
        <w:tc>
          <w:tcPr>
            <w:tcW w:w="0" w:type="auto"/>
            <w:hideMark/>
          </w:tcPr>
          <w:p w14:paraId="5EFC2C29" w14:textId="77777777" w:rsidR="0035042D" w:rsidRPr="0035042D" w:rsidRDefault="0035042D" w:rsidP="00A14F37">
            <w:pPr>
              <w:rPr>
                <w:rFonts w:eastAsia="Times New Roman" w:cs="Times New Roman"/>
                <w:sz w:val="20"/>
                <w:szCs w:val="20"/>
              </w:rPr>
            </w:pPr>
          </w:p>
        </w:tc>
        <w:tc>
          <w:tcPr>
            <w:tcW w:w="0" w:type="auto"/>
            <w:hideMark/>
          </w:tcPr>
          <w:p w14:paraId="0B37090C" w14:textId="77777777" w:rsidR="0035042D" w:rsidRPr="0035042D" w:rsidRDefault="0035042D" w:rsidP="00A14F37">
            <w:pPr>
              <w:rPr>
                <w:rFonts w:eastAsia="Times New Roman" w:cs="Times New Roman"/>
                <w:sz w:val="20"/>
                <w:szCs w:val="20"/>
              </w:rPr>
            </w:pPr>
          </w:p>
        </w:tc>
        <w:tc>
          <w:tcPr>
            <w:tcW w:w="0" w:type="auto"/>
            <w:hideMark/>
          </w:tcPr>
          <w:p w14:paraId="5962D744" w14:textId="77777777" w:rsidR="0035042D" w:rsidRPr="0035042D" w:rsidRDefault="0035042D" w:rsidP="00A14F37">
            <w:pPr>
              <w:rPr>
                <w:rFonts w:eastAsia="Times New Roman" w:cs="Times New Roman"/>
                <w:sz w:val="20"/>
                <w:szCs w:val="20"/>
              </w:rPr>
            </w:pPr>
          </w:p>
        </w:tc>
        <w:tc>
          <w:tcPr>
            <w:tcW w:w="2044" w:type="dxa"/>
            <w:hideMark/>
          </w:tcPr>
          <w:p w14:paraId="3FE9379A" w14:textId="77777777" w:rsidR="0035042D" w:rsidRPr="0035042D" w:rsidRDefault="0035042D" w:rsidP="00A14F37">
            <w:pPr>
              <w:rPr>
                <w:rFonts w:eastAsia="Times New Roman" w:cs="Times New Roman"/>
                <w:sz w:val="20"/>
                <w:szCs w:val="20"/>
              </w:rPr>
            </w:pPr>
          </w:p>
        </w:tc>
      </w:tr>
      <w:tr w:rsidR="00BD3BD7" w:rsidRPr="00A14F37" w14:paraId="0A573E7A" w14:textId="77777777" w:rsidTr="00BD3BD7">
        <w:tc>
          <w:tcPr>
            <w:tcW w:w="0" w:type="auto"/>
            <w:hideMark/>
          </w:tcPr>
          <w:p w14:paraId="2E9955A9"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SICI, %</w:t>
            </w:r>
          </w:p>
        </w:tc>
        <w:tc>
          <w:tcPr>
            <w:tcW w:w="0" w:type="auto"/>
            <w:hideMark/>
          </w:tcPr>
          <w:p w14:paraId="4B781055" w14:textId="77777777" w:rsidR="0035042D" w:rsidRPr="0035042D" w:rsidRDefault="0035042D" w:rsidP="00A14F37">
            <w:pPr>
              <w:rPr>
                <w:rFonts w:eastAsia="Times New Roman" w:cs="Arial"/>
                <w:b/>
                <w:bCs/>
                <w:color w:val="1F1F1F"/>
                <w:sz w:val="24"/>
                <w:szCs w:val="24"/>
              </w:rPr>
            </w:pPr>
          </w:p>
        </w:tc>
        <w:tc>
          <w:tcPr>
            <w:tcW w:w="0" w:type="auto"/>
            <w:hideMark/>
          </w:tcPr>
          <w:p w14:paraId="581761D9" w14:textId="77777777" w:rsidR="0035042D" w:rsidRPr="0035042D" w:rsidRDefault="0035042D" w:rsidP="00A14F37">
            <w:pPr>
              <w:rPr>
                <w:rFonts w:eastAsia="Times New Roman" w:cs="Times New Roman"/>
                <w:sz w:val="20"/>
                <w:szCs w:val="20"/>
              </w:rPr>
            </w:pPr>
          </w:p>
        </w:tc>
        <w:tc>
          <w:tcPr>
            <w:tcW w:w="0" w:type="auto"/>
            <w:hideMark/>
          </w:tcPr>
          <w:p w14:paraId="14119AED" w14:textId="77777777" w:rsidR="0035042D" w:rsidRPr="0035042D" w:rsidRDefault="0035042D" w:rsidP="00A14F37">
            <w:pPr>
              <w:rPr>
                <w:rFonts w:eastAsia="Times New Roman" w:cs="Times New Roman"/>
                <w:sz w:val="20"/>
                <w:szCs w:val="20"/>
              </w:rPr>
            </w:pPr>
          </w:p>
        </w:tc>
        <w:tc>
          <w:tcPr>
            <w:tcW w:w="0" w:type="auto"/>
            <w:hideMark/>
          </w:tcPr>
          <w:p w14:paraId="02712874" w14:textId="77777777" w:rsidR="0035042D" w:rsidRPr="0035042D" w:rsidRDefault="0035042D" w:rsidP="00A14F37">
            <w:pPr>
              <w:rPr>
                <w:rFonts w:eastAsia="Times New Roman" w:cs="Times New Roman"/>
                <w:sz w:val="20"/>
                <w:szCs w:val="20"/>
              </w:rPr>
            </w:pPr>
          </w:p>
        </w:tc>
        <w:tc>
          <w:tcPr>
            <w:tcW w:w="0" w:type="auto"/>
            <w:hideMark/>
          </w:tcPr>
          <w:p w14:paraId="4A29A004" w14:textId="77777777" w:rsidR="0035042D" w:rsidRPr="0035042D" w:rsidRDefault="0035042D" w:rsidP="00A14F37">
            <w:pPr>
              <w:rPr>
                <w:rFonts w:eastAsia="Times New Roman" w:cs="Times New Roman"/>
                <w:sz w:val="20"/>
                <w:szCs w:val="20"/>
              </w:rPr>
            </w:pPr>
          </w:p>
        </w:tc>
        <w:tc>
          <w:tcPr>
            <w:tcW w:w="0" w:type="auto"/>
            <w:hideMark/>
          </w:tcPr>
          <w:p w14:paraId="39EC83EF" w14:textId="77777777" w:rsidR="0035042D" w:rsidRPr="0035042D" w:rsidRDefault="0035042D" w:rsidP="00A14F37">
            <w:pPr>
              <w:rPr>
                <w:rFonts w:eastAsia="Times New Roman" w:cs="Times New Roman"/>
                <w:sz w:val="20"/>
                <w:szCs w:val="20"/>
              </w:rPr>
            </w:pPr>
          </w:p>
        </w:tc>
        <w:tc>
          <w:tcPr>
            <w:tcW w:w="2044" w:type="dxa"/>
            <w:hideMark/>
          </w:tcPr>
          <w:p w14:paraId="418E476F" w14:textId="77777777" w:rsidR="0035042D" w:rsidRPr="0035042D" w:rsidRDefault="0035042D" w:rsidP="00A14F37">
            <w:pPr>
              <w:rPr>
                <w:rFonts w:eastAsia="Times New Roman" w:cs="Times New Roman"/>
                <w:sz w:val="20"/>
                <w:szCs w:val="20"/>
              </w:rPr>
            </w:pPr>
          </w:p>
        </w:tc>
      </w:tr>
      <w:tr w:rsidR="00BD3BD7" w:rsidRPr="00A14F37" w14:paraId="15B25D1D" w14:textId="77777777" w:rsidTr="00BD3BD7">
        <w:tc>
          <w:tcPr>
            <w:tcW w:w="0" w:type="auto"/>
            <w:hideMark/>
          </w:tcPr>
          <w:p w14:paraId="500476E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Pre</w:t>
            </w:r>
          </w:p>
        </w:tc>
        <w:tc>
          <w:tcPr>
            <w:tcW w:w="0" w:type="auto"/>
            <w:hideMark/>
          </w:tcPr>
          <w:p w14:paraId="5653738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78.7 ± 15.0</w:t>
            </w:r>
          </w:p>
        </w:tc>
        <w:tc>
          <w:tcPr>
            <w:tcW w:w="0" w:type="auto"/>
            <w:hideMark/>
          </w:tcPr>
          <w:p w14:paraId="5A8417E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82.9 ± 13.5</w:t>
            </w:r>
          </w:p>
        </w:tc>
        <w:tc>
          <w:tcPr>
            <w:tcW w:w="0" w:type="auto"/>
            <w:hideMark/>
          </w:tcPr>
          <w:p w14:paraId="1895B73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0.148</w:t>
            </w:r>
          </w:p>
        </w:tc>
        <w:tc>
          <w:tcPr>
            <w:tcW w:w="0" w:type="auto"/>
            <w:hideMark/>
          </w:tcPr>
          <w:p w14:paraId="42A15DB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−4.2</w:t>
            </w:r>
          </w:p>
        </w:tc>
        <w:tc>
          <w:tcPr>
            <w:tcW w:w="0" w:type="auto"/>
            <w:hideMark/>
          </w:tcPr>
          <w:p w14:paraId="4396096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7.4</w:t>
            </w:r>
          </w:p>
        </w:tc>
        <w:tc>
          <w:tcPr>
            <w:tcW w:w="0" w:type="auto"/>
            <w:hideMark/>
          </w:tcPr>
          <w:p w14:paraId="6DF49EC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9.2</w:t>
            </w:r>
          </w:p>
        </w:tc>
        <w:tc>
          <w:tcPr>
            <w:tcW w:w="2044" w:type="dxa"/>
            <w:hideMark/>
          </w:tcPr>
          <w:p w14:paraId="5C7BD54A"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0.75 (0.42–0.91)</w:t>
            </w:r>
          </w:p>
        </w:tc>
      </w:tr>
      <w:tr w:rsidR="00BD3BD7" w:rsidRPr="00A14F37" w14:paraId="6E4B8CA0" w14:textId="77777777" w:rsidTr="00BD3BD7">
        <w:tc>
          <w:tcPr>
            <w:tcW w:w="0" w:type="auto"/>
            <w:hideMark/>
          </w:tcPr>
          <w:p w14:paraId="76AAE43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Post</w:t>
            </w:r>
          </w:p>
        </w:tc>
        <w:tc>
          <w:tcPr>
            <w:tcW w:w="0" w:type="auto"/>
            <w:hideMark/>
          </w:tcPr>
          <w:p w14:paraId="15022B83"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75.3 ± 13.3</w:t>
            </w:r>
          </w:p>
        </w:tc>
        <w:tc>
          <w:tcPr>
            <w:tcW w:w="0" w:type="auto"/>
            <w:hideMark/>
          </w:tcPr>
          <w:p w14:paraId="0F4BFB1D"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84.3 ± 13.3</w:t>
            </w:r>
          </w:p>
        </w:tc>
        <w:tc>
          <w:tcPr>
            <w:tcW w:w="0" w:type="auto"/>
            <w:hideMark/>
          </w:tcPr>
          <w:p w14:paraId="70ED35B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0.031</w:t>
            </w:r>
          </w:p>
        </w:tc>
        <w:tc>
          <w:tcPr>
            <w:tcW w:w="0" w:type="auto"/>
            <w:hideMark/>
          </w:tcPr>
          <w:p w14:paraId="57319CF1"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−9.1</w:t>
            </w:r>
          </w:p>
        </w:tc>
        <w:tc>
          <w:tcPr>
            <w:tcW w:w="0" w:type="auto"/>
            <w:hideMark/>
          </w:tcPr>
          <w:p w14:paraId="255EBB12"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10.4</w:t>
            </w:r>
          </w:p>
        </w:tc>
        <w:tc>
          <w:tcPr>
            <w:tcW w:w="0" w:type="auto"/>
            <w:hideMark/>
          </w:tcPr>
          <w:p w14:paraId="3E3B5C22"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13.0</w:t>
            </w:r>
          </w:p>
        </w:tc>
        <w:tc>
          <w:tcPr>
            <w:tcW w:w="2044" w:type="dxa"/>
            <w:hideMark/>
          </w:tcPr>
          <w:p w14:paraId="064A5FD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0.42 (0.00–0.75)</w:t>
            </w:r>
          </w:p>
        </w:tc>
      </w:tr>
      <w:tr w:rsidR="00BD3BD7" w:rsidRPr="00A14F37" w14:paraId="261DC2FF" w14:textId="77777777" w:rsidTr="00BD3BD7">
        <w:tc>
          <w:tcPr>
            <w:tcW w:w="0" w:type="auto"/>
            <w:hideMark/>
          </w:tcPr>
          <w:p w14:paraId="635EC7F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Δ</w:t>
            </w:r>
          </w:p>
        </w:tc>
        <w:tc>
          <w:tcPr>
            <w:tcW w:w="0" w:type="auto"/>
            <w:hideMark/>
          </w:tcPr>
          <w:p w14:paraId="46293F18" w14:textId="77777777" w:rsidR="0035042D" w:rsidRPr="0035042D" w:rsidRDefault="0035042D" w:rsidP="00A14F37">
            <w:pPr>
              <w:rPr>
                <w:rFonts w:eastAsia="Times New Roman" w:cs="Arial"/>
                <w:b/>
                <w:bCs/>
                <w:color w:val="1F1F1F"/>
                <w:sz w:val="24"/>
                <w:szCs w:val="24"/>
              </w:rPr>
            </w:pPr>
          </w:p>
        </w:tc>
        <w:tc>
          <w:tcPr>
            <w:tcW w:w="0" w:type="auto"/>
            <w:hideMark/>
          </w:tcPr>
          <w:p w14:paraId="37664DB1" w14:textId="77777777" w:rsidR="0035042D" w:rsidRPr="0035042D" w:rsidRDefault="0035042D" w:rsidP="00A14F37">
            <w:pPr>
              <w:rPr>
                <w:rFonts w:eastAsia="Times New Roman" w:cs="Times New Roman"/>
                <w:sz w:val="20"/>
                <w:szCs w:val="20"/>
              </w:rPr>
            </w:pPr>
          </w:p>
        </w:tc>
        <w:tc>
          <w:tcPr>
            <w:tcW w:w="0" w:type="auto"/>
            <w:hideMark/>
          </w:tcPr>
          <w:p w14:paraId="6ABF4E33" w14:textId="77777777" w:rsidR="0035042D" w:rsidRPr="0035042D" w:rsidRDefault="0035042D" w:rsidP="00A14F37">
            <w:pPr>
              <w:rPr>
                <w:rFonts w:eastAsia="Times New Roman" w:cs="Times New Roman"/>
                <w:sz w:val="20"/>
                <w:szCs w:val="20"/>
              </w:rPr>
            </w:pPr>
          </w:p>
        </w:tc>
        <w:tc>
          <w:tcPr>
            <w:tcW w:w="0" w:type="auto"/>
            <w:hideMark/>
          </w:tcPr>
          <w:p w14:paraId="4827DEA2" w14:textId="77777777" w:rsidR="0035042D" w:rsidRPr="0035042D" w:rsidRDefault="0035042D" w:rsidP="00A14F37">
            <w:pPr>
              <w:rPr>
                <w:rFonts w:eastAsia="Times New Roman" w:cs="Times New Roman"/>
                <w:sz w:val="20"/>
                <w:szCs w:val="20"/>
              </w:rPr>
            </w:pPr>
          </w:p>
        </w:tc>
        <w:tc>
          <w:tcPr>
            <w:tcW w:w="0" w:type="auto"/>
            <w:hideMark/>
          </w:tcPr>
          <w:p w14:paraId="3C94BA1A" w14:textId="77777777" w:rsidR="0035042D" w:rsidRPr="0035042D" w:rsidRDefault="0035042D" w:rsidP="00A14F37">
            <w:pPr>
              <w:rPr>
                <w:rFonts w:eastAsia="Times New Roman" w:cs="Times New Roman"/>
                <w:sz w:val="20"/>
                <w:szCs w:val="20"/>
              </w:rPr>
            </w:pPr>
          </w:p>
        </w:tc>
        <w:tc>
          <w:tcPr>
            <w:tcW w:w="0" w:type="auto"/>
            <w:hideMark/>
          </w:tcPr>
          <w:p w14:paraId="30B45BB3" w14:textId="77777777" w:rsidR="0035042D" w:rsidRPr="0035042D" w:rsidRDefault="0035042D" w:rsidP="00A14F37">
            <w:pPr>
              <w:rPr>
                <w:rFonts w:eastAsia="Times New Roman" w:cs="Times New Roman"/>
                <w:sz w:val="20"/>
                <w:szCs w:val="20"/>
              </w:rPr>
            </w:pPr>
          </w:p>
        </w:tc>
        <w:tc>
          <w:tcPr>
            <w:tcW w:w="2044" w:type="dxa"/>
            <w:hideMark/>
          </w:tcPr>
          <w:p w14:paraId="122EBD38" w14:textId="77777777" w:rsidR="0035042D" w:rsidRPr="0035042D" w:rsidRDefault="0035042D" w:rsidP="00A14F37">
            <w:pPr>
              <w:rPr>
                <w:rFonts w:eastAsia="Times New Roman" w:cs="Times New Roman"/>
                <w:sz w:val="20"/>
                <w:szCs w:val="20"/>
              </w:rPr>
            </w:pPr>
          </w:p>
        </w:tc>
      </w:tr>
      <w:tr w:rsidR="00BD3BD7" w:rsidRPr="00A14F37" w14:paraId="2D8E5501" w14:textId="77777777" w:rsidTr="00BD3BD7">
        <w:tc>
          <w:tcPr>
            <w:tcW w:w="0" w:type="auto"/>
            <w:hideMark/>
          </w:tcPr>
          <w:p w14:paraId="5ECE663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M</w:t>
            </w:r>
            <w:r w:rsidRPr="0035042D">
              <w:rPr>
                <w:rFonts w:eastAsia="Times New Roman" w:cs="Arial"/>
                <w:b/>
                <w:bCs/>
                <w:color w:val="1F1F1F"/>
                <w:sz w:val="16"/>
                <w:szCs w:val="16"/>
                <w:vertAlign w:val="subscript"/>
              </w:rPr>
              <w:t>max</w:t>
            </w:r>
            <w:r w:rsidRPr="0035042D">
              <w:rPr>
                <w:rFonts w:eastAsia="Times New Roman" w:cs="Arial"/>
                <w:b/>
                <w:bCs/>
                <w:color w:val="1F1F1F"/>
                <w:sz w:val="24"/>
                <w:szCs w:val="24"/>
              </w:rPr>
              <w:t>, mV</w:t>
            </w:r>
          </w:p>
        </w:tc>
        <w:tc>
          <w:tcPr>
            <w:tcW w:w="0" w:type="auto"/>
            <w:hideMark/>
          </w:tcPr>
          <w:p w14:paraId="2F33FA96" w14:textId="77777777" w:rsidR="0035042D" w:rsidRPr="0035042D" w:rsidRDefault="0035042D" w:rsidP="00A14F37">
            <w:pPr>
              <w:rPr>
                <w:rFonts w:eastAsia="Times New Roman" w:cs="Arial"/>
                <w:b/>
                <w:bCs/>
                <w:color w:val="1F1F1F"/>
                <w:sz w:val="24"/>
                <w:szCs w:val="24"/>
              </w:rPr>
            </w:pPr>
          </w:p>
        </w:tc>
        <w:tc>
          <w:tcPr>
            <w:tcW w:w="0" w:type="auto"/>
            <w:hideMark/>
          </w:tcPr>
          <w:p w14:paraId="78212594" w14:textId="77777777" w:rsidR="0035042D" w:rsidRPr="0035042D" w:rsidRDefault="0035042D" w:rsidP="00A14F37">
            <w:pPr>
              <w:rPr>
                <w:rFonts w:eastAsia="Times New Roman" w:cs="Times New Roman"/>
                <w:sz w:val="20"/>
                <w:szCs w:val="20"/>
              </w:rPr>
            </w:pPr>
          </w:p>
        </w:tc>
        <w:tc>
          <w:tcPr>
            <w:tcW w:w="0" w:type="auto"/>
            <w:hideMark/>
          </w:tcPr>
          <w:p w14:paraId="2AAB9DD8" w14:textId="77777777" w:rsidR="0035042D" w:rsidRPr="0035042D" w:rsidRDefault="0035042D" w:rsidP="00A14F37">
            <w:pPr>
              <w:rPr>
                <w:rFonts w:eastAsia="Times New Roman" w:cs="Times New Roman"/>
                <w:sz w:val="20"/>
                <w:szCs w:val="20"/>
              </w:rPr>
            </w:pPr>
          </w:p>
        </w:tc>
        <w:tc>
          <w:tcPr>
            <w:tcW w:w="0" w:type="auto"/>
            <w:hideMark/>
          </w:tcPr>
          <w:p w14:paraId="14D343B5" w14:textId="77777777" w:rsidR="0035042D" w:rsidRPr="0035042D" w:rsidRDefault="0035042D" w:rsidP="00A14F37">
            <w:pPr>
              <w:rPr>
                <w:rFonts w:eastAsia="Times New Roman" w:cs="Times New Roman"/>
                <w:sz w:val="20"/>
                <w:szCs w:val="20"/>
              </w:rPr>
            </w:pPr>
          </w:p>
        </w:tc>
        <w:tc>
          <w:tcPr>
            <w:tcW w:w="0" w:type="auto"/>
            <w:hideMark/>
          </w:tcPr>
          <w:p w14:paraId="07D9413D" w14:textId="77777777" w:rsidR="0035042D" w:rsidRPr="0035042D" w:rsidRDefault="0035042D" w:rsidP="00A14F37">
            <w:pPr>
              <w:rPr>
                <w:rFonts w:eastAsia="Times New Roman" w:cs="Times New Roman"/>
                <w:sz w:val="20"/>
                <w:szCs w:val="20"/>
              </w:rPr>
            </w:pPr>
          </w:p>
        </w:tc>
        <w:tc>
          <w:tcPr>
            <w:tcW w:w="0" w:type="auto"/>
            <w:hideMark/>
          </w:tcPr>
          <w:p w14:paraId="34A86367" w14:textId="77777777" w:rsidR="0035042D" w:rsidRPr="0035042D" w:rsidRDefault="0035042D" w:rsidP="00A14F37">
            <w:pPr>
              <w:rPr>
                <w:rFonts w:eastAsia="Times New Roman" w:cs="Times New Roman"/>
                <w:sz w:val="20"/>
                <w:szCs w:val="20"/>
              </w:rPr>
            </w:pPr>
          </w:p>
        </w:tc>
        <w:tc>
          <w:tcPr>
            <w:tcW w:w="2044" w:type="dxa"/>
            <w:hideMark/>
          </w:tcPr>
          <w:p w14:paraId="3AFA40A2" w14:textId="77777777" w:rsidR="0035042D" w:rsidRPr="0035042D" w:rsidRDefault="0035042D" w:rsidP="00A14F37">
            <w:pPr>
              <w:rPr>
                <w:rFonts w:eastAsia="Times New Roman" w:cs="Times New Roman"/>
                <w:sz w:val="20"/>
                <w:szCs w:val="20"/>
              </w:rPr>
            </w:pPr>
          </w:p>
        </w:tc>
      </w:tr>
      <w:tr w:rsidR="00BD3BD7" w:rsidRPr="00A14F37" w14:paraId="3817E04F" w14:textId="77777777" w:rsidTr="00BD3BD7">
        <w:tc>
          <w:tcPr>
            <w:tcW w:w="0" w:type="auto"/>
            <w:hideMark/>
          </w:tcPr>
          <w:p w14:paraId="485FCC2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Pre</w:t>
            </w:r>
          </w:p>
        </w:tc>
        <w:tc>
          <w:tcPr>
            <w:tcW w:w="0" w:type="auto"/>
            <w:hideMark/>
          </w:tcPr>
          <w:p w14:paraId="1E279DE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2.96 ± 1.13</w:t>
            </w:r>
          </w:p>
        </w:tc>
        <w:tc>
          <w:tcPr>
            <w:tcW w:w="0" w:type="auto"/>
            <w:hideMark/>
          </w:tcPr>
          <w:p w14:paraId="70E1876C"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3.08 ± 1.28</w:t>
            </w:r>
          </w:p>
        </w:tc>
        <w:tc>
          <w:tcPr>
            <w:tcW w:w="0" w:type="auto"/>
            <w:hideMark/>
          </w:tcPr>
          <w:p w14:paraId="171538A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0.507</w:t>
            </w:r>
          </w:p>
        </w:tc>
        <w:tc>
          <w:tcPr>
            <w:tcW w:w="0" w:type="auto"/>
            <w:hideMark/>
          </w:tcPr>
          <w:p w14:paraId="242AAF8A"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−0.12</w:t>
            </w:r>
          </w:p>
        </w:tc>
        <w:tc>
          <w:tcPr>
            <w:tcW w:w="0" w:type="auto"/>
            <w:hideMark/>
          </w:tcPr>
          <w:p w14:paraId="149D114F"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0.48</w:t>
            </w:r>
          </w:p>
        </w:tc>
        <w:tc>
          <w:tcPr>
            <w:tcW w:w="0" w:type="auto"/>
            <w:hideMark/>
          </w:tcPr>
          <w:p w14:paraId="68ADC4CF"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15.9</w:t>
            </w:r>
          </w:p>
        </w:tc>
        <w:tc>
          <w:tcPr>
            <w:tcW w:w="2044" w:type="dxa"/>
            <w:hideMark/>
          </w:tcPr>
          <w:p w14:paraId="6D64337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0.86 (0.64–0.92)</w:t>
            </w:r>
          </w:p>
        </w:tc>
      </w:tr>
      <w:tr w:rsidR="00BD3BD7" w:rsidRPr="00A14F37" w14:paraId="12E80966" w14:textId="77777777" w:rsidTr="00BD3BD7">
        <w:tc>
          <w:tcPr>
            <w:tcW w:w="0" w:type="auto"/>
            <w:hideMark/>
          </w:tcPr>
          <w:p w14:paraId="0704FC7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Post</w:t>
            </w:r>
          </w:p>
        </w:tc>
        <w:tc>
          <w:tcPr>
            <w:tcW w:w="0" w:type="auto"/>
            <w:hideMark/>
          </w:tcPr>
          <w:p w14:paraId="6555F27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2.74 ± 1.01</w:t>
            </w:r>
          </w:p>
        </w:tc>
        <w:tc>
          <w:tcPr>
            <w:tcW w:w="0" w:type="auto"/>
            <w:hideMark/>
          </w:tcPr>
          <w:p w14:paraId="2D439087"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2.88 ± 1.03</w:t>
            </w:r>
          </w:p>
        </w:tc>
        <w:tc>
          <w:tcPr>
            <w:tcW w:w="0" w:type="auto"/>
            <w:hideMark/>
          </w:tcPr>
          <w:p w14:paraId="140C67F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0.466</w:t>
            </w:r>
          </w:p>
        </w:tc>
        <w:tc>
          <w:tcPr>
            <w:tcW w:w="0" w:type="auto"/>
            <w:hideMark/>
          </w:tcPr>
          <w:p w14:paraId="3AFCDE79"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−0.14</w:t>
            </w:r>
          </w:p>
        </w:tc>
        <w:tc>
          <w:tcPr>
            <w:tcW w:w="0" w:type="auto"/>
            <w:hideMark/>
          </w:tcPr>
          <w:p w14:paraId="11EF91D7"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0.50</w:t>
            </w:r>
          </w:p>
        </w:tc>
        <w:tc>
          <w:tcPr>
            <w:tcW w:w="0" w:type="auto"/>
            <w:hideMark/>
          </w:tcPr>
          <w:p w14:paraId="2EBA9C5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17.8</w:t>
            </w:r>
          </w:p>
        </w:tc>
        <w:tc>
          <w:tcPr>
            <w:tcW w:w="2044" w:type="dxa"/>
            <w:hideMark/>
          </w:tcPr>
          <w:p w14:paraId="480C175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0.79 (0.47–0.92)</w:t>
            </w:r>
          </w:p>
        </w:tc>
      </w:tr>
      <w:tr w:rsidR="00BD3BD7" w:rsidRPr="00A14F37" w14:paraId="091D01D4" w14:textId="77777777" w:rsidTr="00BD3BD7">
        <w:tc>
          <w:tcPr>
            <w:tcW w:w="0" w:type="auto"/>
            <w:hideMark/>
          </w:tcPr>
          <w:p w14:paraId="6ABD48A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Δ</w:t>
            </w:r>
          </w:p>
        </w:tc>
        <w:tc>
          <w:tcPr>
            <w:tcW w:w="0" w:type="auto"/>
            <w:hideMark/>
          </w:tcPr>
          <w:p w14:paraId="7A98E3CA" w14:textId="77777777" w:rsidR="0035042D" w:rsidRPr="0035042D" w:rsidRDefault="0035042D" w:rsidP="00A14F37">
            <w:pPr>
              <w:rPr>
                <w:rFonts w:eastAsia="Times New Roman" w:cs="Arial"/>
                <w:b/>
                <w:bCs/>
                <w:color w:val="1F1F1F"/>
                <w:sz w:val="24"/>
                <w:szCs w:val="24"/>
              </w:rPr>
            </w:pPr>
          </w:p>
        </w:tc>
        <w:tc>
          <w:tcPr>
            <w:tcW w:w="0" w:type="auto"/>
            <w:hideMark/>
          </w:tcPr>
          <w:p w14:paraId="5667B444" w14:textId="77777777" w:rsidR="0035042D" w:rsidRPr="0035042D" w:rsidRDefault="0035042D" w:rsidP="00A14F37">
            <w:pPr>
              <w:rPr>
                <w:rFonts w:eastAsia="Times New Roman" w:cs="Times New Roman"/>
                <w:sz w:val="20"/>
                <w:szCs w:val="20"/>
              </w:rPr>
            </w:pPr>
          </w:p>
        </w:tc>
        <w:tc>
          <w:tcPr>
            <w:tcW w:w="0" w:type="auto"/>
            <w:hideMark/>
          </w:tcPr>
          <w:p w14:paraId="637B8684" w14:textId="77777777" w:rsidR="0035042D" w:rsidRPr="0035042D" w:rsidRDefault="0035042D" w:rsidP="00A14F37">
            <w:pPr>
              <w:rPr>
                <w:rFonts w:eastAsia="Times New Roman" w:cs="Times New Roman"/>
                <w:sz w:val="20"/>
                <w:szCs w:val="20"/>
              </w:rPr>
            </w:pPr>
          </w:p>
        </w:tc>
        <w:tc>
          <w:tcPr>
            <w:tcW w:w="0" w:type="auto"/>
            <w:hideMark/>
          </w:tcPr>
          <w:p w14:paraId="14E472C9" w14:textId="77777777" w:rsidR="0035042D" w:rsidRPr="0035042D" w:rsidRDefault="0035042D" w:rsidP="00A14F37">
            <w:pPr>
              <w:rPr>
                <w:rFonts w:eastAsia="Times New Roman" w:cs="Times New Roman"/>
                <w:sz w:val="20"/>
                <w:szCs w:val="20"/>
              </w:rPr>
            </w:pPr>
          </w:p>
        </w:tc>
        <w:tc>
          <w:tcPr>
            <w:tcW w:w="0" w:type="auto"/>
            <w:hideMark/>
          </w:tcPr>
          <w:p w14:paraId="1B145406" w14:textId="77777777" w:rsidR="0035042D" w:rsidRPr="0035042D" w:rsidRDefault="0035042D" w:rsidP="00A14F37">
            <w:pPr>
              <w:rPr>
                <w:rFonts w:eastAsia="Times New Roman" w:cs="Times New Roman"/>
                <w:sz w:val="20"/>
                <w:szCs w:val="20"/>
              </w:rPr>
            </w:pPr>
          </w:p>
        </w:tc>
        <w:tc>
          <w:tcPr>
            <w:tcW w:w="0" w:type="auto"/>
            <w:hideMark/>
          </w:tcPr>
          <w:p w14:paraId="75E83D33" w14:textId="77777777" w:rsidR="0035042D" w:rsidRPr="0035042D" w:rsidRDefault="0035042D" w:rsidP="00A14F37">
            <w:pPr>
              <w:rPr>
                <w:rFonts w:eastAsia="Times New Roman" w:cs="Times New Roman"/>
                <w:sz w:val="20"/>
                <w:szCs w:val="20"/>
              </w:rPr>
            </w:pPr>
          </w:p>
        </w:tc>
        <w:tc>
          <w:tcPr>
            <w:tcW w:w="2044" w:type="dxa"/>
            <w:hideMark/>
          </w:tcPr>
          <w:p w14:paraId="6980B141" w14:textId="77777777" w:rsidR="0035042D" w:rsidRPr="0035042D" w:rsidRDefault="0035042D" w:rsidP="00A14F37">
            <w:pPr>
              <w:rPr>
                <w:rFonts w:eastAsia="Times New Roman" w:cs="Times New Roman"/>
                <w:sz w:val="20"/>
                <w:szCs w:val="20"/>
              </w:rPr>
            </w:pPr>
          </w:p>
        </w:tc>
      </w:tr>
      <w:tr w:rsidR="00BD3BD7" w:rsidRPr="00A14F37" w14:paraId="34047C15" w14:textId="77777777" w:rsidTr="00BD3BD7">
        <w:tc>
          <w:tcPr>
            <w:tcW w:w="0" w:type="auto"/>
            <w:hideMark/>
          </w:tcPr>
          <w:p w14:paraId="38DBD51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SP, ms</w:t>
            </w:r>
          </w:p>
        </w:tc>
        <w:tc>
          <w:tcPr>
            <w:tcW w:w="0" w:type="auto"/>
            <w:hideMark/>
          </w:tcPr>
          <w:p w14:paraId="648BB517" w14:textId="77777777" w:rsidR="0035042D" w:rsidRPr="0035042D" w:rsidRDefault="0035042D" w:rsidP="00A14F37">
            <w:pPr>
              <w:rPr>
                <w:rFonts w:eastAsia="Times New Roman" w:cs="Arial"/>
                <w:b/>
                <w:bCs/>
                <w:color w:val="1F1F1F"/>
                <w:sz w:val="24"/>
                <w:szCs w:val="24"/>
              </w:rPr>
            </w:pPr>
          </w:p>
        </w:tc>
        <w:tc>
          <w:tcPr>
            <w:tcW w:w="0" w:type="auto"/>
            <w:hideMark/>
          </w:tcPr>
          <w:p w14:paraId="5EAF2159" w14:textId="77777777" w:rsidR="0035042D" w:rsidRPr="0035042D" w:rsidRDefault="0035042D" w:rsidP="00A14F37">
            <w:pPr>
              <w:rPr>
                <w:rFonts w:eastAsia="Times New Roman" w:cs="Times New Roman"/>
                <w:sz w:val="20"/>
                <w:szCs w:val="20"/>
              </w:rPr>
            </w:pPr>
          </w:p>
        </w:tc>
        <w:tc>
          <w:tcPr>
            <w:tcW w:w="0" w:type="auto"/>
            <w:hideMark/>
          </w:tcPr>
          <w:p w14:paraId="7F9F460B" w14:textId="77777777" w:rsidR="0035042D" w:rsidRPr="0035042D" w:rsidRDefault="0035042D" w:rsidP="00A14F37">
            <w:pPr>
              <w:rPr>
                <w:rFonts w:eastAsia="Times New Roman" w:cs="Times New Roman"/>
                <w:sz w:val="20"/>
                <w:szCs w:val="20"/>
              </w:rPr>
            </w:pPr>
          </w:p>
        </w:tc>
        <w:tc>
          <w:tcPr>
            <w:tcW w:w="0" w:type="auto"/>
            <w:hideMark/>
          </w:tcPr>
          <w:p w14:paraId="1C4F17B9" w14:textId="77777777" w:rsidR="0035042D" w:rsidRPr="0035042D" w:rsidRDefault="0035042D" w:rsidP="00A14F37">
            <w:pPr>
              <w:rPr>
                <w:rFonts w:eastAsia="Times New Roman" w:cs="Times New Roman"/>
                <w:sz w:val="20"/>
                <w:szCs w:val="20"/>
              </w:rPr>
            </w:pPr>
          </w:p>
        </w:tc>
        <w:tc>
          <w:tcPr>
            <w:tcW w:w="0" w:type="auto"/>
            <w:hideMark/>
          </w:tcPr>
          <w:p w14:paraId="214DD446" w14:textId="77777777" w:rsidR="0035042D" w:rsidRPr="0035042D" w:rsidRDefault="0035042D" w:rsidP="00A14F37">
            <w:pPr>
              <w:rPr>
                <w:rFonts w:eastAsia="Times New Roman" w:cs="Times New Roman"/>
                <w:sz w:val="20"/>
                <w:szCs w:val="20"/>
              </w:rPr>
            </w:pPr>
          </w:p>
        </w:tc>
        <w:tc>
          <w:tcPr>
            <w:tcW w:w="0" w:type="auto"/>
            <w:hideMark/>
          </w:tcPr>
          <w:p w14:paraId="41D54085" w14:textId="77777777" w:rsidR="0035042D" w:rsidRPr="0035042D" w:rsidRDefault="0035042D" w:rsidP="00A14F37">
            <w:pPr>
              <w:rPr>
                <w:rFonts w:eastAsia="Times New Roman" w:cs="Times New Roman"/>
                <w:sz w:val="20"/>
                <w:szCs w:val="20"/>
              </w:rPr>
            </w:pPr>
          </w:p>
        </w:tc>
        <w:tc>
          <w:tcPr>
            <w:tcW w:w="2044" w:type="dxa"/>
            <w:hideMark/>
          </w:tcPr>
          <w:p w14:paraId="2D1905E9" w14:textId="77777777" w:rsidR="0035042D" w:rsidRPr="0035042D" w:rsidRDefault="0035042D" w:rsidP="00A14F37">
            <w:pPr>
              <w:rPr>
                <w:rFonts w:eastAsia="Times New Roman" w:cs="Times New Roman"/>
                <w:sz w:val="20"/>
                <w:szCs w:val="20"/>
              </w:rPr>
            </w:pPr>
          </w:p>
        </w:tc>
      </w:tr>
      <w:tr w:rsidR="00BD3BD7" w:rsidRPr="00A14F37" w14:paraId="3EC76FF7" w14:textId="77777777" w:rsidTr="00BD3BD7">
        <w:tc>
          <w:tcPr>
            <w:tcW w:w="0" w:type="auto"/>
            <w:hideMark/>
          </w:tcPr>
          <w:p w14:paraId="2B19139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Pre</w:t>
            </w:r>
          </w:p>
        </w:tc>
        <w:tc>
          <w:tcPr>
            <w:tcW w:w="0" w:type="auto"/>
            <w:hideMark/>
          </w:tcPr>
          <w:p w14:paraId="7C103E4C"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187 ± 45</w:t>
            </w:r>
          </w:p>
        </w:tc>
        <w:tc>
          <w:tcPr>
            <w:tcW w:w="0" w:type="auto"/>
            <w:hideMark/>
          </w:tcPr>
          <w:p w14:paraId="1632D249"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190 ± 50</w:t>
            </w:r>
          </w:p>
        </w:tc>
        <w:tc>
          <w:tcPr>
            <w:tcW w:w="0" w:type="auto"/>
            <w:hideMark/>
          </w:tcPr>
          <w:p w14:paraId="36BA0AE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0.791</w:t>
            </w:r>
          </w:p>
        </w:tc>
        <w:tc>
          <w:tcPr>
            <w:tcW w:w="0" w:type="auto"/>
            <w:hideMark/>
          </w:tcPr>
          <w:p w14:paraId="1A41AF6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w:t>
            </w:r>
          </w:p>
        </w:tc>
        <w:tc>
          <w:tcPr>
            <w:tcW w:w="0" w:type="auto"/>
            <w:hideMark/>
          </w:tcPr>
          <w:p w14:paraId="64F256E2"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31</w:t>
            </w:r>
          </w:p>
        </w:tc>
        <w:tc>
          <w:tcPr>
            <w:tcW w:w="0" w:type="auto"/>
            <w:hideMark/>
          </w:tcPr>
          <w:p w14:paraId="3FFC07D9"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16.4</w:t>
            </w:r>
          </w:p>
        </w:tc>
        <w:tc>
          <w:tcPr>
            <w:tcW w:w="2044" w:type="dxa"/>
            <w:hideMark/>
          </w:tcPr>
          <w:p w14:paraId="42C5F15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0.60 (0.24–0.82)</w:t>
            </w:r>
          </w:p>
        </w:tc>
      </w:tr>
      <w:tr w:rsidR="00BD3BD7" w:rsidRPr="00A14F37" w14:paraId="49C0B0CA" w14:textId="77777777" w:rsidTr="00BD3BD7">
        <w:tc>
          <w:tcPr>
            <w:tcW w:w="0" w:type="auto"/>
            <w:hideMark/>
          </w:tcPr>
          <w:p w14:paraId="041F31C6"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lastRenderedPageBreak/>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Post</w:t>
            </w:r>
          </w:p>
        </w:tc>
        <w:tc>
          <w:tcPr>
            <w:tcW w:w="0" w:type="auto"/>
            <w:hideMark/>
          </w:tcPr>
          <w:p w14:paraId="3BC520A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201 ± 56</w:t>
            </w:r>
          </w:p>
        </w:tc>
        <w:tc>
          <w:tcPr>
            <w:tcW w:w="0" w:type="auto"/>
            <w:hideMark/>
          </w:tcPr>
          <w:p w14:paraId="148217C3"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202 ± 46</w:t>
            </w:r>
          </w:p>
        </w:tc>
        <w:tc>
          <w:tcPr>
            <w:tcW w:w="0" w:type="auto"/>
            <w:hideMark/>
          </w:tcPr>
          <w:p w14:paraId="5DD641B2"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0.947</w:t>
            </w:r>
          </w:p>
        </w:tc>
        <w:tc>
          <w:tcPr>
            <w:tcW w:w="0" w:type="auto"/>
            <w:hideMark/>
          </w:tcPr>
          <w:p w14:paraId="7FA329C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−8</w:t>
            </w:r>
          </w:p>
        </w:tc>
        <w:tc>
          <w:tcPr>
            <w:tcW w:w="0" w:type="auto"/>
            <w:hideMark/>
          </w:tcPr>
          <w:p w14:paraId="318752AC"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37</w:t>
            </w:r>
          </w:p>
        </w:tc>
        <w:tc>
          <w:tcPr>
            <w:tcW w:w="0" w:type="auto"/>
            <w:hideMark/>
          </w:tcPr>
          <w:p w14:paraId="2F7B692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19.2</w:t>
            </w:r>
          </w:p>
        </w:tc>
        <w:tc>
          <w:tcPr>
            <w:tcW w:w="2044" w:type="dxa"/>
            <w:hideMark/>
          </w:tcPr>
          <w:p w14:paraId="2C7CC5E5"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0.63 (0.19–0.86)</w:t>
            </w:r>
          </w:p>
        </w:tc>
      </w:tr>
      <w:tr w:rsidR="00BD3BD7" w:rsidRPr="00A14F37" w14:paraId="4D1F434E" w14:textId="77777777" w:rsidTr="00BD3BD7">
        <w:tc>
          <w:tcPr>
            <w:tcW w:w="0" w:type="auto"/>
            <w:hideMark/>
          </w:tcPr>
          <w:p w14:paraId="004B23FB"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 </w:t>
            </w:r>
            <w:r w:rsidRPr="0035042D">
              <w:rPr>
                <w:rFonts w:eastAsia="Times New Roman" w:cs="Arial"/>
                <w:b/>
                <w:bCs/>
                <w:color w:val="1F1F1F"/>
                <w:sz w:val="24"/>
                <w:szCs w:val="24"/>
              </w:rPr>
              <w:t>Δ</w:t>
            </w:r>
          </w:p>
        </w:tc>
        <w:tc>
          <w:tcPr>
            <w:tcW w:w="0" w:type="auto"/>
            <w:hideMark/>
          </w:tcPr>
          <w:p w14:paraId="5DB00B8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14 ± 29</w:t>
            </w:r>
          </w:p>
        </w:tc>
        <w:tc>
          <w:tcPr>
            <w:tcW w:w="0" w:type="auto"/>
            <w:hideMark/>
          </w:tcPr>
          <w:p w14:paraId="45B8295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12 ± 23</w:t>
            </w:r>
          </w:p>
        </w:tc>
        <w:tc>
          <w:tcPr>
            <w:tcW w:w="0" w:type="auto"/>
            <w:hideMark/>
          </w:tcPr>
          <w:p w14:paraId="4516E644"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0.815</w:t>
            </w:r>
          </w:p>
        </w:tc>
        <w:tc>
          <w:tcPr>
            <w:tcW w:w="0" w:type="auto"/>
            <w:hideMark/>
          </w:tcPr>
          <w:p w14:paraId="1A8C9B9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w:t>
            </w:r>
          </w:p>
        </w:tc>
        <w:tc>
          <w:tcPr>
            <w:tcW w:w="0" w:type="auto"/>
            <w:hideMark/>
          </w:tcPr>
          <w:p w14:paraId="1F3AB8DE"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20</w:t>
            </w:r>
          </w:p>
        </w:tc>
        <w:tc>
          <w:tcPr>
            <w:tcW w:w="0" w:type="auto"/>
            <w:hideMark/>
          </w:tcPr>
          <w:p w14:paraId="2AD2E688"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155.1</w:t>
            </w:r>
          </w:p>
        </w:tc>
        <w:tc>
          <w:tcPr>
            <w:tcW w:w="2044" w:type="dxa"/>
            <w:hideMark/>
          </w:tcPr>
          <w:p w14:paraId="77E2A6A0" w14:textId="77777777" w:rsidR="0035042D" w:rsidRPr="0035042D" w:rsidRDefault="0035042D" w:rsidP="00A14F37">
            <w:pPr>
              <w:rPr>
                <w:rFonts w:eastAsia="Times New Roman" w:cs="Arial"/>
                <w:b/>
                <w:bCs/>
                <w:color w:val="1F1F1F"/>
                <w:sz w:val="24"/>
                <w:szCs w:val="24"/>
              </w:rPr>
            </w:pPr>
            <w:r w:rsidRPr="0035042D">
              <w:rPr>
                <w:rFonts w:eastAsia="Times New Roman" w:cs="Arial"/>
                <w:b/>
                <w:bCs/>
                <w:color w:val="1F1F1F"/>
                <w:sz w:val="24"/>
                <w:szCs w:val="24"/>
              </w:rPr>
              <w:t>0.44 (0.00–0.77)</w:t>
            </w:r>
          </w:p>
        </w:tc>
      </w:tr>
    </w:tbl>
    <w:p w14:paraId="53B05950" w14:textId="77777777" w:rsidR="00BD3BD7" w:rsidRPr="00A14F37" w:rsidRDefault="00BD3BD7" w:rsidP="00A14F37">
      <w:pPr>
        <w:shd w:val="clear" w:color="auto" w:fill="FFFFFF"/>
        <w:spacing w:before="240" w:after="0" w:line="240" w:lineRule="auto"/>
        <w:rPr>
          <w:rFonts w:eastAsia="Times New Roman" w:cs="Arial"/>
          <w:color w:val="1F1F1F"/>
          <w:sz w:val="24"/>
          <w:szCs w:val="24"/>
        </w:rPr>
      </w:pPr>
    </w:p>
    <w:p w14:paraId="249EAEDD" w14:textId="0ACB5AAD" w:rsidR="003407C3" w:rsidRPr="00A14F37" w:rsidRDefault="0035042D" w:rsidP="00A14F37">
      <w:pPr>
        <w:shd w:val="clear" w:color="auto" w:fill="FFFFFF"/>
        <w:spacing w:before="240" w:after="0" w:line="240" w:lineRule="auto"/>
        <w:rPr>
          <w:rFonts w:eastAsia="Times New Roman" w:cs="Arial"/>
          <w:color w:val="1F1F1F"/>
          <w:sz w:val="24"/>
          <w:szCs w:val="24"/>
        </w:rPr>
      </w:pPr>
      <w:r w:rsidRPr="0035042D">
        <w:rPr>
          <w:rFonts w:eastAsia="Times New Roman" w:cs="Arial"/>
          <w:color w:val="1F1F1F"/>
          <w:sz w:val="24"/>
          <w:szCs w:val="24"/>
        </w:rPr>
        <w:t>Values are means ± SD. Pre-to-Post change (Δ) is presented when a significant (</w:t>
      </w:r>
      <w:r w:rsidRPr="0035042D">
        <w:rPr>
          <w:rFonts w:eastAsia="Times New Roman" w:cs="Arial"/>
          <w:i/>
          <w:iCs/>
          <w:color w:val="1F1F1F"/>
          <w:sz w:val="24"/>
          <w:szCs w:val="24"/>
        </w:rPr>
        <w:t>P</w:t>
      </w:r>
      <w:r w:rsidRPr="0035042D">
        <w:rPr>
          <w:rFonts w:eastAsia="Times New Roman" w:cs="Arial"/>
          <w:color w:val="1F1F1F"/>
          <w:sz w:val="24"/>
          <w:szCs w:val="24"/>
        </w:rPr>
        <w:t> &lt; 0.05) change was observed.CV, coefficient of variation; ICC, intraclass correlation coefficient; MEP, motor evoked potential,; MVC, maximum voluntary contraction; SICI, short-interval cortical inhibition; M</w:t>
      </w:r>
      <w:r w:rsidRPr="0035042D">
        <w:rPr>
          <w:rFonts w:eastAsia="Times New Roman" w:cs="Arial"/>
          <w:color w:val="1F1F1F"/>
          <w:sz w:val="16"/>
          <w:szCs w:val="16"/>
          <w:vertAlign w:val="subscript"/>
        </w:rPr>
        <w:t>max</w:t>
      </w:r>
      <w:r w:rsidRPr="0035042D">
        <w:rPr>
          <w:rFonts w:eastAsia="Times New Roman" w:cs="Arial"/>
          <w:color w:val="1F1F1F"/>
          <w:sz w:val="24"/>
          <w:szCs w:val="24"/>
        </w:rPr>
        <w:t>, maximum compound action potential; TE, typical error.</w:t>
      </w:r>
    </w:p>
    <w:p w14:paraId="699E0087" w14:textId="77777777" w:rsidR="003407C3" w:rsidRPr="00A14F37" w:rsidRDefault="003407C3" w:rsidP="00A14F37">
      <w:pPr>
        <w:pStyle w:val="Heading2"/>
        <w:spacing w:line="240" w:lineRule="auto"/>
        <w:rPr>
          <w:rFonts w:asciiTheme="minorHAnsi" w:hAnsiTheme="minorHAnsi"/>
        </w:rPr>
      </w:pPr>
      <w:r w:rsidRPr="00A14F37">
        <w:rPr>
          <w:rFonts w:asciiTheme="minorHAnsi" w:hAnsiTheme="minorHAnsi"/>
        </w:rPr>
        <w:t>Study B</w:t>
      </w:r>
    </w:p>
    <w:p w14:paraId="23C61A87" w14:textId="77777777" w:rsidR="003407C3" w:rsidRPr="00A14F37" w:rsidRDefault="003407C3" w:rsidP="00A14F37">
      <w:pPr>
        <w:pStyle w:val="Heading3"/>
        <w:shd w:val="clear" w:color="auto" w:fill="FFFFFF"/>
        <w:spacing w:before="0" w:after="225" w:line="240" w:lineRule="auto"/>
        <w:rPr>
          <w:rFonts w:asciiTheme="minorHAnsi" w:hAnsiTheme="minorHAnsi" w:cs="Arial"/>
          <w:i/>
          <w:iCs/>
          <w:color w:val="1F1F1F"/>
        </w:rPr>
      </w:pPr>
      <w:r w:rsidRPr="00A14F37">
        <w:rPr>
          <w:rFonts w:asciiTheme="minorHAnsi" w:hAnsiTheme="minorHAnsi"/>
        </w:rPr>
        <w:t>Hormonal profiles</w:t>
      </w:r>
      <w:r w:rsidRPr="00A14F37">
        <w:rPr>
          <w:rFonts w:asciiTheme="minorHAnsi" w:hAnsiTheme="minorHAnsi" w:cs="Arial"/>
          <w:i/>
          <w:iCs/>
          <w:color w:val="1F1F1F"/>
        </w:rPr>
        <w:t>.</w:t>
      </w:r>
    </w:p>
    <w:p w14:paraId="74835963" w14:textId="634C27D0" w:rsidR="003407C3" w:rsidRPr="00A14F37" w:rsidRDefault="003407C3" w:rsidP="00A14F37">
      <w:pPr>
        <w:pStyle w:val="Heading3"/>
        <w:shd w:val="clear" w:color="auto" w:fill="FFFFFF"/>
        <w:spacing w:before="0" w:after="225" w:line="240" w:lineRule="auto"/>
        <w:rPr>
          <w:rFonts w:asciiTheme="minorHAnsi" w:hAnsiTheme="minorHAnsi" w:cs="Arial"/>
          <w:color w:val="1F1F1F"/>
        </w:rPr>
      </w:pPr>
      <w:r w:rsidRPr="00A14F37">
        <w:rPr>
          <w:rFonts w:asciiTheme="minorHAnsi" w:hAnsiTheme="minorHAnsi" w:cs="Arial"/>
          <w:color w:val="1F1F1F"/>
        </w:rPr>
        <w:t>Thirteen of 15 participants presented a regular hormonal profile (</w:t>
      </w:r>
      <w:hyperlink r:id="rId78" w:anchor="T4" w:history="1">
        <w:r w:rsidRPr="00A14F37">
          <w:rPr>
            <w:rStyle w:val="Hyperlink"/>
            <w:rFonts w:asciiTheme="minorHAnsi" w:hAnsiTheme="minorHAnsi" w:cs="Arial"/>
            <w:color w:val="000000"/>
          </w:rPr>
          <w:t>Table 4</w:t>
        </w:r>
      </w:hyperlink>
      <w:r w:rsidRPr="00A14F37">
        <w:rPr>
          <w:rFonts w:asciiTheme="minorHAnsi" w:hAnsiTheme="minorHAnsi" w:cs="Arial"/>
          <w:color w:val="1F1F1F"/>
        </w:rPr>
        <w:t>). Two participants had no increase in progesterone on D21; given the hypothesis that changing hormone concentrations would modulate neuromuscular function, and these participants did not exhibit any change in hormone concentrations, they were excluded from further statistical analyses. The repeated-measures ANOVAs showed an effect of MCP on 17β-estradiol (</w:t>
      </w:r>
      <w:r w:rsidRPr="00A14F37">
        <w:rPr>
          <w:rFonts w:asciiTheme="minorHAnsi" w:hAnsiTheme="minorHAnsi" w:cs="Arial"/>
          <w:i/>
          <w:iCs/>
          <w:color w:val="1F1F1F"/>
        </w:rPr>
        <w:t>F</w:t>
      </w:r>
      <w:r w:rsidRPr="00A14F37">
        <w:rPr>
          <w:rFonts w:asciiTheme="minorHAnsi" w:hAnsiTheme="minorHAnsi" w:cs="Arial"/>
          <w:color w:val="1F1F1F"/>
          <w:sz w:val="18"/>
          <w:szCs w:val="18"/>
          <w:vertAlign w:val="subscript"/>
        </w:rPr>
        <w:t>1.4,19.5</w:t>
      </w:r>
      <w:r w:rsidRPr="00A14F37">
        <w:rPr>
          <w:rFonts w:asciiTheme="minorHAnsi" w:hAnsiTheme="minorHAnsi" w:cs="Arial"/>
          <w:color w:val="1F1F1F"/>
        </w:rPr>
        <w:t> = 3.55, </w:t>
      </w:r>
      <w:r w:rsidRPr="00A14F37">
        <w:rPr>
          <w:rFonts w:asciiTheme="minorHAnsi" w:hAnsiTheme="minorHAnsi" w:cs="Arial"/>
          <w:i/>
          <w:iCs/>
          <w:color w:val="1F1F1F"/>
        </w:rPr>
        <w:t>P</w:t>
      </w:r>
      <w:r w:rsidRPr="00A14F37">
        <w:rPr>
          <w:rFonts w:asciiTheme="minorHAnsi" w:hAnsiTheme="minorHAnsi" w:cs="Arial"/>
          <w:color w:val="1F1F1F"/>
        </w:rPr>
        <w:t> = 0.040, η</w:t>
      </w:r>
      <w:r w:rsidRPr="00A14F37">
        <w:rPr>
          <w:rFonts w:asciiTheme="minorHAnsi" w:hAnsiTheme="minorHAnsi" w:cs="Arial"/>
          <w:color w:val="1F1F1F"/>
          <w:sz w:val="18"/>
          <w:szCs w:val="18"/>
          <w:vertAlign w:val="subscript"/>
        </w:rPr>
        <w:t>p</w:t>
      </w:r>
      <w:r w:rsidRPr="00A14F37">
        <w:rPr>
          <w:rFonts w:asciiTheme="minorHAnsi" w:hAnsiTheme="minorHAnsi" w:cs="Arial"/>
          <w:color w:val="1F1F1F"/>
          <w:sz w:val="18"/>
          <w:szCs w:val="18"/>
          <w:vertAlign w:val="superscript"/>
        </w:rPr>
        <w:t>2</w:t>
      </w:r>
      <w:r w:rsidRPr="00A14F37">
        <w:rPr>
          <w:rFonts w:asciiTheme="minorHAnsi" w:hAnsiTheme="minorHAnsi" w:cs="Arial"/>
          <w:color w:val="1F1F1F"/>
        </w:rPr>
        <w:t> = 0.18) and progesterone concentration (</w:t>
      </w:r>
      <w:r w:rsidRPr="00A14F37">
        <w:rPr>
          <w:rFonts w:asciiTheme="minorHAnsi" w:hAnsiTheme="minorHAnsi" w:cs="Arial"/>
          <w:i/>
          <w:iCs/>
          <w:color w:val="1F1F1F"/>
        </w:rPr>
        <w:t>F</w:t>
      </w:r>
      <w:r w:rsidRPr="00A14F37">
        <w:rPr>
          <w:rFonts w:asciiTheme="minorHAnsi" w:hAnsiTheme="minorHAnsi" w:cs="Arial"/>
          <w:color w:val="1F1F1F"/>
        </w:rPr>
        <w:t> </w:t>
      </w:r>
      <w:r w:rsidRPr="00A14F37">
        <w:rPr>
          <w:rFonts w:asciiTheme="minorHAnsi" w:hAnsiTheme="minorHAnsi" w:cs="Arial"/>
          <w:color w:val="1F1F1F"/>
          <w:sz w:val="18"/>
          <w:szCs w:val="18"/>
          <w:vertAlign w:val="subscript"/>
        </w:rPr>
        <w:t>= 1.0,14.1</w:t>
      </w:r>
      <w:r w:rsidRPr="00A14F37">
        <w:rPr>
          <w:rFonts w:asciiTheme="minorHAnsi" w:hAnsiTheme="minorHAnsi" w:cs="Arial"/>
          <w:color w:val="1F1F1F"/>
        </w:rPr>
        <w:t> = 8.35, </w:t>
      </w:r>
      <w:r w:rsidRPr="00A14F37">
        <w:rPr>
          <w:rFonts w:asciiTheme="minorHAnsi" w:hAnsiTheme="minorHAnsi" w:cs="Arial"/>
          <w:i/>
          <w:iCs/>
          <w:color w:val="1F1F1F"/>
        </w:rPr>
        <w:t>P</w:t>
      </w:r>
      <w:r w:rsidRPr="00A14F37">
        <w:rPr>
          <w:rFonts w:asciiTheme="minorHAnsi" w:hAnsiTheme="minorHAnsi" w:cs="Arial"/>
          <w:color w:val="1F1F1F"/>
        </w:rPr>
        <w:t> = 0.012, η</w:t>
      </w:r>
      <w:r w:rsidRPr="00A14F37">
        <w:rPr>
          <w:rFonts w:asciiTheme="minorHAnsi" w:hAnsiTheme="minorHAnsi" w:cs="Arial"/>
          <w:color w:val="1F1F1F"/>
          <w:sz w:val="18"/>
          <w:szCs w:val="18"/>
          <w:vertAlign w:val="subscript"/>
        </w:rPr>
        <w:t>p</w:t>
      </w:r>
      <w:r w:rsidRPr="00A14F37">
        <w:rPr>
          <w:rFonts w:asciiTheme="minorHAnsi" w:hAnsiTheme="minorHAnsi" w:cs="Arial"/>
          <w:color w:val="1F1F1F"/>
          <w:sz w:val="18"/>
          <w:szCs w:val="18"/>
          <w:vertAlign w:val="superscript"/>
        </w:rPr>
        <w:t>2</w:t>
      </w:r>
      <w:r w:rsidRPr="00A14F37">
        <w:rPr>
          <w:rFonts w:asciiTheme="minorHAnsi" w:hAnsiTheme="minorHAnsi" w:cs="Arial"/>
          <w:color w:val="1F1F1F"/>
        </w:rPr>
        <w:t> = 0.37). Post hoc tests revealed that 17β-estradiol concentrations were greater on D14 than on D2 (</w:t>
      </w:r>
      <w:r w:rsidRPr="00A14F37">
        <w:rPr>
          <w:rFonts w:asciiTheme="minorHAnsi" w:hAnsiTheme="minorHAnsi" w:cs="Arial"/>
          <w:i/>
          <w:iCs/>
          <w:color w:val="1F1F1F"/>
        </w:rPr>
        <w:t>P</w:t>
      </w:r>
      <w:r w:rsidRPr="00A14F37">
        <w:rPr>
          <w:rFonts w:asciiTheme="minorHAnsi" w:hAnsiTheme="minorHAnsi" w:cs="Arial"/>
          <w:color w:val="1F1F1F"/>
        </w:rPr>
        <w:t> = 0.033) and greater on D21 than D2 (</w:t>
      </w:r>
      <w:r w:rsidRPr="00A14F37">
        <w:rPr>
          <w:rFonts w:asciiTheme="minorHAnsi" w:hAnsiTheme="minorHAnsi" w:cs="Arial"/>
          <w:i/>
          <w:iCs/>
          <w:color w:val="1F1F1F"/>
        </w:rPr>
        <w:t>P</w:t>
      </w:r>
      <w:r w:rsidRPr="00A14F37">
        <w:rPr>
          <w:rFonts w:asciiTheme="minorHAnsi" w:hAnsiTheme="minorHAnsi" w:cs="Arial"/>
          <w:color w:val="1F1F1F"/>
        </w:rPr>
        <w:t> = 0.029). Progesterone was greater on D21 than D2 and D14 (</w:t>
      </w:r>
      <w:r w:rsidRPr="00A14F37">
        <w:rPr>
          <w:rFonts w:asciiTheme="minorHAnsi" w:hAnsiTheme="minorHAnsi" w:cs="Arial"/>
          <w:i/>
          <w:iCs/>
          <w:color w:val="1F1F1F"/>
        </w:rPr>
        <w:t>P</w:t>
      </w:r>
      <w:r w:rsidRPr="00A14F37">
        <w:rPr>
          <w:rFonts w:asciiTheme="minorHAnsi" w:hAnsiTheme="minorHAnsi" w:cs="Arial"/>
          <w:color w:val="1F1F1F"/>
        </w:rPr>
        <w:t> = 0.011, and 0.012, respectively).</w:t>
      </w:r>
    </w:p>
    <w:tbl>
      <w:tblPr>
        <w:tblStyle w:val="TableGrid"/>
        <w:tblW w:w="10705" w:type="dxa"/>
        <w:tblLook w:val="04A0" w:firstRow="1" w:lastRow="0" w:firstColumn="1" w:lastColumn="0" w:noHBand="0" w:noVBand="1"/>
      </w:tblPr>
      <w:tblGrid>
        <w:gridCol w:w="6499"/>
        <w:gridCol w:w="1460"/>
        <w:gridCol w:w="1533"/>
        <w:gridCol w:w="1213"/>
      </w:tblGrid>
      <w:tr w:rsidR="00EC524B" w:rsidRPr="00A14F37" w14:paraId="335E9BB6" w14:textId="77777777" w:rsidTr="0045788C">
        <w:tc>
          <w:tcPr>
            <w:tcW w:w="0" w:type="auto"/>
            <w:hideMark/>
          </w:tcPr>
          <w:p w14:paraId="3FF22ABB" w14:textId="77777777" w:rsidR="00EC524B" w:rsidRPr="00A14F37" w:rsidRDefault="00EC524B" w:rsidP="00A14F37">
            <w:pPr>
              <w:pStyle w:val="NormalWeb"/>
              <w:shd w:val="clear" w:color="auto" w:fill="FFFFFF"/>
              <w:rPr>
                <w:rFonts w:asciiTheme="minorHAnsi" w:hAnsiTheme="minorHAnsi" w:cs="Arial"/>
                <w:b/>
                <w:bCs/>
                <w:color w:val="1F1F1F"/>
              </w:rPr>
            </w:pPr>
            <w:r w:rsidRPr="00A14F37">
              <w:rPr>
                <w:rStyle w:val="captionlabel"/>
                <w:rFonts w:asciiTheme="minorHAnsi" w:eastAsiaTheme="majorEastAsia" w:hAnsiTheme="minorHAnsi" w:cs="Arial"/>
                <w:b/>
                <w:bCs/>
                <w:color w:val="1F1F1F"/>
              </w:rPr>
              <w:t>Table 4.</w:t>
            </w:r>
            <w:r w:rsidRPr="00A14F37">
              <w:rPr>
                <w:rFonts w:asciiTheme="minorHAnsi" w:hAnsiTheme="minorHAnsi" w:cs="Arial"/>
                <w:b/>
                <w:bCs/>
                <w:color w:val="1F1F1F"/>
              </w:rPr>
              <w:t> Group average concentrations for 17β-estradiol and progesterone across the 3 tested phases of the menstrual cycle</w:t>
            </w:r>
          </w:p>
        </w:tc>
        <w:tc>
          <w:tcPr>
            <w:tcW w:w="1460" w:type="dxa"/>
          </w:tcPr>
          <w:p w14:paraId="485E2392" w14:textId="77777777" w:rsidR="00EC524B" w:rsidRPr="00A14F37" w:rsidRDefault="00EC524B" w:rsidP="00A14F37">
            <w:pPr>
              <w:pStyle w:val="NormalWeb"/>
              <w:shd w:val="clear" w:color="auto" w:fill="FFFFFF"/>
              <w:rPr>
                <w:rFonts w:asciiTheme="minorHAnsi" w:hAnsiTheme="minorHAnsi" w:cs="Arial"/>
                <w:b/>
                <w:bCs/>
                <w:color w:val="1F1F1F"/>
              </w:rPr>
            </w:pPr>
          </w:p>
        </w:tc>
        <w:tc>
          <w:tcPr>
            <w:tcW w:w="1533" w:type="dxa"/>
          </w:tcPr>
          <w:p w14:paraId="5E87777F" w14:textId="77777777" w:rsidR="00EC524B" w:rsidRPr="00A14F37" w:rsidRDefault="00EC524B" w:rsidP="00A14F37">
            <w:pPr>
              <w:pStyle w:val="NormalWeb"/>
              <w:shd w:val="clear" w:color="auto" w:fill="FFFFFF"/>
              <w:rPr>
                <w:rFonts w:asciiTheme="minorHAnsi" w:hAnsiTheme="minorHAnsi" w:cs="Arial"/>
                <w:b/>
                <w:bCs/>
                <w:color w:val="1F1F1F"/>
              </w:rPr>
            </w:pPr>
          </w:p>
        </w:tc>
        <w:tc>
          <w:tcPr>
            <w:tcW w:w="1213" w:type="dxa"/>
          </w:tcPr>
          <w:p w14:paraId="341C0E55" w14:textId="6C4F796D" w:rsidR="00EC524B" w:rsidRPr="00A14F37" w:rsidRDefault="00EC524B" w:rsidP="00A14F37">
            <w:pPr>
              <w:pStyle w:val="NormalWeb"/>
              <w:shd w:val="clear" w:color="auto" w:fill="FFFFFF"/>
              <w:rPr>
                <w:rFonts w:asciiTheme="minorHAnsi" w:hAnsiTheme="minorHAnsi" w:cs="Arial"/>
                <w:b/>
                <w:bCs/>
                <w:color w:val="1F1F1F"/>
              </w:rPr>
            </w:pPr>
          </w:p>
        </w:tc>
      </w:tr>
      <w:tr w:rsidR="0045788C" w:rsidRPr="00A14F37" w14:paraId="5D3BA796" w14:textId="77777777" w:rsidTr="00E15F02">
        <w:trPr>
          <w:trHeight w:val="512"/>
        </w:trPr>
        <w:tc>
          <w:tcPr>
            <w:tcW w:w="0" w:type="auto"/>
            <w:hideMark/>
          </w:tcPr>
          <w:p w14:paraId="4F885DDF" w14:textId="77777777" w:rsidR="00557018" w:rsidRPr="00A14F37" w:rsidRDefault="00557018" w:rsidP="00A14F37">
            <w:pPr>
              <w:rPr>
                <w:rFonts w:cs="Arial"/>
                <w:b/>
                <w:bCs/>
                <w:color w:val="1F1F1F"/>
              </w:rPr>
            </w:pPr>
          </w:p>
        </w:tc>
        <w:tc>
          <w:tcPr>
            <w:tcW w:w="1460" w:type="dxa"/>
            <w:hideMark/>
          </w:tcPr>
          <w:p w14:paraId="3D861C2A" w14:textId="77777777" w:rsidR="00557018" w:rsidRPr="00A14F37" w:rsidRDefault="00557018" w:rsidP="00A14F37">
            <w:pPr>
              <w:rPr>
                <w:rFonts w:cs="Arial"/>
                <w:b/>
                <w:bCs/>
                <w:color w:val="000000"/>
                <w:sz w:val="24"/>
                <w:szCs w:val="24"/>
              </w:rPr>
            </w:pPr>
            <w:r w:rsidRPr="00A14F37">
              <w:rPr>
                <w:rFonts w:cs="Arial"/>
                <w:b/>
                <w:bCs/>
                <w:color w:val="000000"/>
              </w:rPr>
              <w:t>Day 2</w:t>
            </w:r>
          </w:p>
        </w:tc>
        <w:tc>
          <w:tcPr>
            <w:tcW w:w="1533" w:type="dxa"/>
            <w:hideMark/>
          </w:tcPr>
          <w:p w14:paraId="5CF33D2A" w14:textId="77777777" w:rsidR="00557018" w:rsidRPr="00A14F37" w:rsidRDefault="00557018" w:rsidP="00A14F37">
            <w:pPr>
              <w:rPr>
                <w:rFonts w:cs="Arial"/>
                <w:b/>
                <w:bCs/>
                <w:color w:val="000000"/>
              </w:rPr>
            </w:pPr>
            <w:r w:rsidRPr="00A14F37">
              <w:rPr>
                <w:rFonts w:cs="Arial"/>
                <w:b/>
                <w:bCs/>
                <w:color w:val="000000"/>
              </w:rPr>
              <w:t>Day 14</w:t>
            </w:r>
          </w:p>
        </w:tc>
        <w:tc>
          <w:tcPr>
            <w:tcW w:w="1213" w:type="dxa"/>
            <w:hideMark/>
          </w:tcPr>
          <w:p w14:paraId="7A7E6027" w14:textId="77777777" w:rsidR="00557018" w:rsidRPr="00A14F37" w:rsidRDefault="00557018" w:rsidP="00A14F37">
            <w:pPr>
              <w:rPr>
                <w:rFonts w:cs="Arial"/>
                <w:b/>
                <w:bCs/>
                <w:color w:val="000000"/>
              </w:rPr>
            </w:pPr>
            <w:r w:rsidRPr="00A14F37">
              <w:rPr>
                <w:rFonts w:cs="Arial"/>
                <w:b/>
                <w:bCs/>
                <w:color w:val="000000"/>
              </w:rPr>
              <w:t>Day 21</w:t>
            </w:r>
          </w:p>
        </w:tc>
      </w:tr>
      <w:tr w:rsidR="0045788C" w:rsidRPr="00A14F37" w14:paraId="25C3B548" w14:textId="77777777" w:rsidTr="0045788C">
        <w:tc>
          <w:tcPr>
            <w:tcW w:w="0" w:type="auto"/>
            <w:hideMark/>
          </w:tcPr>
          <w:p w14:paraId="5499033A" w14:textId="77777777" w:rsidR="00557018" w:rsidRPr="00A14F37" w:rsidRDefault="00557018" w:rsidP="00A14F37">
            <w:pPr>
              <w:rPr>
                <w:rFonts w:cs="Arial"/>
                <w:b/>
                <w:bCs/>
                <w:color w:val="1F1F1F"/>
              </w:rPr>
            </w:pPr>
            <w:r w:rsidRPr="00A14F37">
              <w:rPr>
                <w:rFonts w:cs="Arial"/>
                <w:b/>
                <w:bCs/>
                <w:color w:val="1F1F1F"/>
              </w:rPr>
              <w:t>17β-Estradiol, pg/ml</w:t>
            </w:r>
          </w:p>
        </w:tc>
        <w:tc>
          <w:tcPr>
            <w:tcW w:w="1460" w:type="dxa"/>
            <w:hideMark/>
          </w:tcPr>
          <w:p w14:paraId="0D1DAAD4" w14:textId="77777777" w:rsidR="00557018" w:rsidRPr="00A14F37" w:rsidRDefault="00557018" w:rsidP="00A14F37">
            <w:pPr>
              <w:rPr>
                <w:rFonts w:cs="Arial"/>
                <w:b/>
                <w:bCs/>
                <w:color w:val="1F1F1F"/>
              </w:rPr>
            </w:pPr>
            <w:r w:rsidRPr="00A14F37">
              <w:rPr>
                <w:rFonts w:cs="Arial"/>
                <w:b/>
                <w:bCs/>
                <w:color w:val="1F1F1F"/>
              </w:rPr>
              <w:t>248 ± 129</w:t>
            </w:r>
          </w:p>
        </w:tc>
        <w:tc>
          <w:tcPr>
            <w:tcW w:w="1533" w:type="dxa"/>
            <w:hideMark/>
          </w:tcPr>
          <w:p w14:paraId="462F49ED" w14:textId="77777777" w:rsidR="00557018" w:rsidRPr="00A14F37" w:rsidRDefault="00557018" w:rsidP="00A14F37">
            <w:pPr>
              <w:rPr>
                <w:rFonts w:cs="Arial"/>
                <w:b/>
                <w:bCs/>
                <w:color w:val="1F1F1F"/>
              </w:rPr>
            </w:pPr>
            <w:r w:rsidRPr="00A14F37">
              <w:rPr>
                <w:rFonts w:cs="Arial"/>
                <w:b/>
                <w:bCs/>
                <w:color w:val="1F1F1F"/>
              </w:rPr>
              <w:t>328 ± 160</w:t>
            </w:r>
            <w:hyperlink r:id="rId79" w:anchor="T4F1" w:history="1">
              <w:r w:rsidRPr="00B17024">
                <w:rPr>
                  <w:rStyle w:val="Hyperlink"/>
                  <w:rFonts w:cs="Arial"/>
                  <w:b/>
                  <w:bCs/>
                  <w:color w:val="auto"/>
                </w:rPr>
                <w:t>*</w:t>
              </w:r>
            </w:hyperlink>
          </w:p>
        </w:tc>
        <w:tc>
          <w:tcPr>
            <w:tcW w:w="1213" w:type="dxa"/>
            <w:hideMark/>
          </w:tcPr>
          <w:p w14:paraId="1F33EACE" w14:textId="77777777" w:rsidR="00557018" w:rsidRPr="00A14F37" w:rsidRDefault="00557018" w:rsidP="00A14F37">
            <w:pPr>
              <w:rPr>
                <w:rFonts w:cs="Arial"/>
                <w:b/>
                <w:bCs/>
                <w:color w:val="1F1F1F"/>
              </w:rPr>
            </w:pPr>
            <w:r w:rsidRPr="00A14F37">
              <w:rPr>
                <w:rFonts w:cs="Arial"/>
                <w:b/>
                <w:bCs/>
                <w:color w:val="1F1F1F"/>
              </w:rPr>
              <w:t>341 ± 186</w:t>
            </w:r>
            <w:hyperlink r:id="rId80" w:anchor="T4F1" w:history="1">
              <w:r w:rsidRPr="00B17024">
                <w:rPr>
                  <w:rStyle w:val="Hyperlink"/>
                  <w:rFonts w:cs="Arial"/>
                  <w:b/>
                  <w:bCs/>
                  <w:color w:val="auto"/>
                </w:rPr>
                <w:t>*</w:t>
              </w:r>
            </w:hyperlink>
          </w:p>
        </w:tc>
      </w:tr>
      <w:tr w:rsidR="0045788C" w:rsidRPr="00A14F37" w14:paraId="027A01E8" w14:textId="77777777" w:rsidTr="0045788C">
        <w:tc>
          <w:tcPr>
            <w:tcW w:w="0" w:type="auto"/>
            <w:hideMark/>
          </w:tcPr>
          <w:p w14:paraId="600E59D4" w14:textId="77777777" w:rsidR="00557018" w:rsidRPr="00A14F37" w:rsidRDefault="00557018" w:rsidP="00A14F37">
            <w:pPr>
              <w:rPr>
                <w:rFonts w:cs="Arial"/>
                <w:b/>
                <w:bCs/>
                <w:color w:val="1F1F1F"/>
              </w:rPr>
            </w:pPr>
            <w:r w:rsidRPr="00A14F37">
              <w:rPr>
                <w:rFonts w:cs="Arial"/>
                <w:b/>
                <w:bCs/>
                <w:color w:val="1F1F1F"/>
              </w:rPr>
              <w:t>Progesterone, ng/ml</w:t>
            </w:r>
          </w:p>
        </w:tc>
        <w:tc>
          <w:tcPr>
            <w:tcW w:w="1460" w:type="dxa"/>
            <w:hideMark/>
          </w:tcPr>
          <w:p w14:paraId="21990F95" w14:textId="77777777" w:rsidR="00557018" w:rsidRPr="00A14F37" w:rsidRDefault="00557018" w:rsidP="00A14F37">
            <w:pPr>
              <w:rPr>
                <w:rFonts w:cs="Arial"/>
                <w:b/>
                <w:bCs/>
                <w:color w:val="1F1F1F"/>
              </w:rPr>
            </w:pPr>
            <w:r w:rsidRPr="00A14F37">
              <w:rPr>
                <w:rFonts w:cs="Arial"/>
                <w:b/>
                <w:bCs/>
                <w:color w:val="1F1F1F"/>
              </w:rPr>
              <w:t>1.27 ± 0.50</w:t>
            </w:r>
          </w:p>
        </w:tc>
        <w:tc>
          <w:tcPr>
            <w:tcW w:w="1533" w:type="dxa"/>
            <w:hideMark/>
          </w:tcPr>
          <w:p w14:paraId="07F77A62" w14:textId="77777777" w:rsidR="00557018" w:rsidRPr="00A14F37" w:rsidRDefault="00557018" w:rsidP="00A14F37">
            <w:pPr>
              <w:rPr>
                <w:rFonts w:cs="Arial"/>
                <w:b/>
                <w:bCs/>
                <w:color w:val="1F1F1F"/>
              </w:rPr>
            </w:pPr>
            <w:r w:rsidRPr="00A14F37">
              <w:rPr>
                <w:rFonts w:cs="Arial"/>
                <w:b/>
                <w:bCs/>
                <w:color w:val="1F1F1F"/>
              </w:rPr>
              <w:t>1.38 ± 0.69</w:t>
            </w:r>
          </w:p>
        </w:tc>
        <w:tc>
          <w:tcPr>
            <w:tcW w:w="1213" w:type="dxa"/>
            <w:hideMark/>
          </w:tcPr>
          <w:p w14:paraId="3C1EBE5E" w14:textId="77777777" w:rsidR="00557018" w:rsidRPr="00A14F37" w:rsidRDefault="00557018" w:rsidP="00A14F37">
            <w:pPr>
              <w:rPr>
                <w:rFonts w:cs="Arial"/>
                <w:b/>
                <w:bCs/>
                <w:color w:val="1F1F1F"/>
              </w:rPr>
            </w:pPr>
            <w:r w:rsidRPr="00A14F37">
              <w:rPr>
                <w:rFonts w:cs="Arial"/>
                <w:b/>
                <w:bCs/>
                <w:color w:val="1F1F1F"/>
              </w:rPr>
              <w:t>4.41 ± 4.60</w:t>
            </w:r>
            <w:hyperlink r:id="rId81" w:anchor="T4F1" w:history="1">
              <w:r w:rsidRPr="00B17024">
                <w:rPr>
                  <w:rStyle w:val="Hyperlink"/>
                  <w:rFonts w:cs="Arial"/>
                  <w:b/>
                  <w:bCs/>
                  <w:color w:val="auto"/>
                </w:rPr>
                <w:t>*</w:t>
              </w:r>
            </w:hyperlink>
            <w:hyperlink r:id="rId82" w:anchor="T4F2" w:history="1">
              <w:r w:rsidRPr="00B17024">
                <w:rPr>
                  <w:rStyle w:val="Hyperlink"/>
                  <w:rFonts w:cs="Arial"/>
                  <w:b/>
                  <w:bCs/>
                  <w:color w:val="auto"/>
                </w:rPr>
                <w:t>#</w:t>
              </w:r>
            </w:hyperlink>
          </w:p>
        </w:tc>
      </w:tr>
      <w:tr w:rsidR="0045788C" w:rsidRPr="00A14F37" w14:paraId="5DD506C9" w14:textId="77777777" w:rsidTr="0045788C">
        <w:tc>
          <w:tcPr>
            <w:tcW w:w="0" w:type="auto"/>
            <w:hideMark/>
          </w:tcPr>
          <w:p w14:paraId="1DA7C806" w14:textId="77777777" w:rsidR="00557018" w:rsidRPr="00A14F37" w:rsidRDefault="00557018" w:rsidP="00A14F37">
            <w:pPr>
              <w:rPr>
                <w:rFonts w:cs="Arial"/>
                <w:b/>
                <w:bCs/>
                <w:color w:val="1F1F1F"/>
              </w:rPr>
            </w:pPr>
            <w:r w:rsidRPr="00A14F37">
              <w:rPr>
                <w:rFonts w:cs="Arial"/>
                <w:b/>
                <w:bCs/>
                <w:color w:val="1F1F1F"/>
              </w:rPr>
              <w:t>E:P ratio</w:t>
            </w:r>
          </w:p>
        </w:tc>
        <w:tc>
          <w:tcPr>
            <w:tcW w:w="1460" w:type="dxa"/>
            <w:hideMark/>
          </w:tcPr>
          <w:p w14:paraId="48B13E23" w14:textId="77777777" w:rsidR="00557018" w:rsidRPr="00A14F37" w:rsidRDefault="00557018" w:rsidP="00A14F37">
            <w:pPr>
              <w:rPr>
                <w:rFonts w:cs="Arial"/>
                <w:b/>
                <w:bCs/>
                <w:color w:val="1F1F1F"/>
              </w:rPr>
            </w:pPr>
            <w:r w:rsidRPr="00A14F37">
              <w:rPr>
                <w:rFonts w:cs="Arial"/>
                <w:b/>
                <w:bCs/>
                <w:color w:val="1F1F1F"/>
              </w:rPr>
              <w:t>0.20 ± 0.13</w:t>
            </w:r>
          </w:p>
        </w:tc>
        <w:tc>
          <w:tcPr>
            <w:tcW w:w="1533" w:type="dxa"/>
            <w:hideMark/>
          </w:tcPr>
          <w:p w14:paraId="52A998C9" w14:textId="77777777" w:rsidR="00557018" w:rsidRPr="00A14F37" w:rsidRDefault="00557018" w:rsidP="00A14F37">
            <w:pPr>
              <w:rPr>
                <w:rFonts w:cs="Arial"/>
                <w:b/>
                <w:bCs/>
                <w:color w:val="1F1F1F"/>
              </w:rPr>
            </w:pPr>
            <w:r w:rsidRPr="00A14F37">
              <w:rPr>
                <w:rFonts w:cs="Arial"/>
                <w:b/>
                <w:bCs/>
                <w:color w:val="1F1F1F"/>
              </w:rPr>
              <w:t>0.28 ± 0.18</w:t>
            </w:r>
          </w:p>
        </w:tc>
        <w:tc>
          <w:tcPr>
            <w:tcW w:w="1213" w:type="dxa"/>
            <w:hideMark/>
          </w:tcPr>
          <w:p w14:paraId="4F572937" w14:textId="77777777" w:rsidR="00557018" w:rsidRPr="00A14F37" w:rsidRDefault="00557018" w:rsidP="00A14F37">
            <w:pPr>
              <w:rPr>
                <w:rFonts w:cs="Arial"/>
                <w:b/>
                <w:bCs/>
                <w:color w:val="1F1F1F"/>
              </w:rPr>
            </w:pPr>
            <w:r w:rsidRPr="00A14F37">
              <w:rPr>
                <w:rFonts w:cs="Arial"/>
                <w:b/>
                <w:bCs/>
                <w:color w:val="1F1F1F"/>
              </w:rPr>
              <w:t>0.12 ± 0.10</w:t>
            </w:r>
            <w:hyperlink r:id="rId83" w:anchor="T4F1" w:history="1">
              <w:r w:rsidRPr="00B17024">
                <w:rPr>
                  <w:rStyle w:val="Hyperlink"/>
                  <w:rFonts w:cs="Arial"/>
                  <w:b/>
                  <w:bCs/>
                  <w:color w:val="auto"/>
                </w:rPr>
                <w:t>*</w:t>
              </w:r>
            </w:hyperlink>
            <w:hyperlink r:id="rId84" w:anchor="T4F2" w:history="1">
              <w:r w:rsidRPr="00B17024">
                <w:rPr>
                  <w:rStyle w:val="Hyperlink"/>
                  <w:rFonts w:cs="Arial"/>
                  <w:b/>
                  <w:bCs/>
                  <w:color w:val="auto"/>
                </w:rPr>
                <w:t>#</w:t>
              </w:r>
            </w:hyperlink>
          </w:p>
        </w:tc>
      </w:tr>
    </w:tbl>
    <w:p w14:paraId="507224C3" w14:textId="77777777" w:rsidR="00557018" w:rsidRPr="00A14F37" w:rsidRDefault="00557018" w:rsidP="00A14F37">
      <w:pPr>
        <w:pStyle w:val="NormalWeb"/>
        <w:shd w:val="clear" w:color="auto" w:fill="FFFFFF"/>
        <w:spacing w:before="240" w:beforeAutospacing="0" w:after="0" w:afterAutospacing="0"/>
        <w:rPr>
          <w:rFonts w:asciiTheme="minorHAnsi" w:hAnsiTheme="minorHAnsi" w:cs="Arial"/>
          <w:color w:val="1F1F1F"/>
        </w:rPr>
      </w:pPr>
      <w:r w:rsidRPr="00A14F37">
        <w:rPr>
          <w:rFonts w:asciiTheme="minorHAnsi" w:hAnsiTheme="minorHAnsi" w:cs="Arial"/>
          <w:color w:val="1F1F1F"/>
        </w:rPr>
        <w:t>Values are means ± SD. E:P, estrogen-to-progesterone; D, day of cycle.</w:t>
      </w:r>
    </w:p>
    <w:p w14:paraId="45F91B37" w14:textId="77777777" w:rsidR="00557018" w:rsidRPr="00A14F37" w:rsidRDefault="00557018" w:rsidP="00A14F37">
      <w:pPr>
        <w:pStyle w:val="NormalWeb"/>
        <w:shd w:val="clear" w:color="auto" w:fill="FFFFFF"/>
        <w:spacing w:before="240" w:beforeAutospacing="0" w:after="0" w:afterAutospacing="0"/>
        <w:rPr>
          <w:rFonts w:asciiTheme="minorHAnsi" w:hAnsiTheme="minorHAnsi" w:cs="Arial"/>
          <w:color w:val="1F1F1F"/>
        </w:rPr>
      </w:pPr>
      <w:r w:rsidRPr="00A14F37">
        <w:rPr>
          <w:rFonts w:asciiTheme="minorHAnsi" w:hAnsiTheme="minorHAnsi" w:cs="Arial"/>
          <w:color w:val="1F1F1F"/>
          <w:sz w:val="16"/>
          <w:szCs w:val="16"/>
          <w:vertAlign w:val="superscript"/>
        </w:rPr>
        <w:t>*</w:t>
      </w:r>
      <w:r w:rsidRPr="00A14F37">
        <w:rPr>
          <w:rFonts w:asciiTheme="minorHAnsi" w:hAnsiTheme="minorHAnsi" w:cs="Arial"/>
          <w:color w:val="1F1F1F"/>
        </w:rPr>
        <w:t>greater than D2;</w:t>
      </w:r>
    </w:p>
    <w:p w14:paraId="0095E6AD" w14:textId="77777777" w:rsidR="00557018" w:rsidRPr="00A14F37" w:rsidRDefault="00557018" w:rsidP="00A14F37">
      <w:pPr>
        <w:pStyle w:val="NormalWeb"/>
        <w:shd w:val="clear" w:color="auto" w:fill="FFFFFF"/>
        <w:spacing w:before="240" w:beforeAutospacing="0" w:after="0" w:afterAutospacing="0"/>
        <w:rPr>
          <w:rFonts w:asciiTheme="minorHAnsi" w:hAnsiTheme="minorHAnsi" w:cs="Arial"/>
          <w:color w:val="1F1F1F"/>
        </w:rPr>
      </w:pPr>
      <w:r w:rsidRPr="00A14F37">
        <w:rPr>
          <w:rFonts w:asciiTheme="minorHAnsi" w:hAnsiTheme="minorHAnsi" w:cs="Arial"/>
          <w:color w:val="1F1F1F"/>
          <w:sz w:val="16"/>
          <w:szCs w:val="16"/>
          <w:vertAlign w:val="superscript"/>
        </w:rPr>
        <w:t>#</w:t>
      </w:r>
      <w:r w:rsidRPr="00A14F37">
        <w:rPr>
          <w:rFonts w:asciiTheme="minorHAnsi" w:hAnsiTheme="minorHAnsi" w:cs="Arial"/>
          <w:color w:val="1F1F1F"/>
        </w:rPr>
        <w:t>greater than D14.</w:t>
      </w:r>
    </w:p>
    <w:p w14:paraId="7BA05051" w14:textId="5CE5D348" w:rsidR="001012D5" w:rsidRPr="00A14F37" w:rsidRDefault="001012D5" w:rsidP="00A14F37">
      <w:pPr>
        <w:spacing w:line="240" w:lineRule="auto"/>
      </w:pPr>
    </w:p>
    <w:p w14:paraId="003481DF" w14:textId="77777777" w:rsidR="00587647" w:rsidRPr="00A14F37" w:rsidRDefault="00587647" w:rsidP="00A14F37">
      <w:pPr>
        <w:pStyle w:val="Heading3"/>
        <w:spacing w:line="240" w:lineRule="auto"/>
        <w:rPr>
          <w:rFonts w:asciiTheme="minorHAnsi" w:hAnsiTheme="minorHAnsi"/>
        </w:rPr>
      </w:pPr>
      <w:r w:rsidRPr="00A14F37">
        <w:rPr>
          <w:rFonts w:asciiTheme="minorHAnsi" w:hAnsiTheme="minorHAnsi"/>
        </w:rPr>
        <w:t>Baseline neuromuscular function.</w:t>
      </w:r>
    </w:p>
    <w:p w14:paraId="79670467" w14:textId="44BCDAAC" w:rsidR="00587647" w:rsidRPr="00A14F37" w:rsidRDefault="00587647" w:rsidP="00A14F37">
      <w:pPr>
        <w:spacing w:line="240" w:lineRule="auto"/>
      </w:pPr>
      <w:r w:rsidRPr="00587647">
        <w:t>MVC force was unaffected by MCP (</w:t>
      </w:r>
      <w:hyperlink r:id="rId85" w:anchor="F0001" w:history="1">
        <w:r w:rsidRPr="00587647">
          <w:rPr>
            <w:rStyle w:val="Hyperlink"/>
          </w:rPr>
          <w:t>Fig. 1</w:t>
        </w:r>
        <w:r w:rsidRPr="00587647">
          <w:rPr>
            <w:rStyle w:val="Hyperlink"/>
            <w:i/>
            <w:iCs/>
          </w:rPr>
          <w:t>A</w:t>
        </w:r>
      </w:hyperlink>
      <w:r w:rsidRPr="00587647">
        <w:t>, </w:t>
      </w:r>
      <w:r w:rsidRPr="00587647">
        <w:rPr>
          <w:i/>
          <w:iCs/>
        </w:rPr>
        <w:t>F</w:t>
      </w:r>
      <w:r w:rsidRPr="00587647">
        <w:rPr>
          <w:vertAlign w:val="subscript"/>
        </w:rPr>
        <w:t>1.4,16.8</w:t>
      </w:r>
      <w:r w:rsidRPr="00587647">
        <w:t> = 0.15, </w:t>
      </w:r>
      <w:r w:rsidRPr="00587647">
        <w:rPr>
          <w:i/>
          <w:iCs/>
        </w:rPr>
        <w:t>P</w:t>
      </w:r>
      <w:r w:rsidRPr="00587647">
        <w:t> = 0.790, η</w:t>
      </w:r>
      <w:r w:rsidRPr="00587647">
        <w:rPr>
          <w:vertAlign w:val="subscript"/>
        </w:rPr>
        <w:t>p</w:t>
      </w:r>
      <w:r w:rsidRPr="00587647">
        <w:rPr>
          <w:vertAlign w:val="superscript"/>
        </w:rPr>
        <w:t>2</w:t>
      </w:r>
      <w:r w:rsidRPr="00587647">
        <w:t> = 0.01). Potentiated twitch force was also unchanged (</w:t>
      </w:r>
      <w:hyperlink r:id="rId86" w:anchor="F0001" w:history="1">
        <w:r w:rsidRPr="00587647">
          <w:rPr>
            <w:rStyle w:val="Hyperlink"/>
          </w:rPr>
          <w:t>Fig. 1</w:t>
        </w:r>
        <w:r w:rsidRPr="00587647">
          <w:rPr>
            <w:rStyle w:val="Hyperlink"/>
            <w:i/>
            <w:iCs/>
          </w:rPr>
          <w:t>B</w:t>
        </w:r>
      </w:hyperlink>
      <w:r w:rsidRPr="00587647">
        <w:t>; </w:t>
      </w:r>
      <w:r w:rsidRPr="00587647">
        <w:rPr>
          <w:i/>
          <w:iCs/>
        </w:rPr>
        <w:t>F</w:t>
      </w:r>
      <w:r w:rsidRPr="00587647">
        <w:rPr>
          <w:vertAlign w:val="subscript"/>
        </w:rPr>
        <w:t>2,24</w:t>
      </w:r>
      <w:r w:rsidRPr="00587647">
        <w:t> = 0.25, </w:t>
      </w:r>
      <w:r w:rsidRPr="00587647">
        <w:rPr>
          <w:i/>
          <w:iCs/>
        </w:rPr>
        <w:t>P</w:t>
      </w:r>
      <w:r w:rsidRPr="00587647">
        <w:t> = 0.782, η</w:t>
      </w:r>
      <w:r w:rsidRPr="00587647">
        <w:rPr>
          <w:vertAlign w:val="subscript"/>
        </w:rPr>
        <w:t>p</w:t>
      </w:r>
      <w:r w:rsidRPr="00587647">
        <w:rPr>
          <w:vertAlign w:val="superscript"/>
        </w:rPr>
        <w:t>2</w:t>
      </w:r>
      <w:r w:rsidRPr="00587647">
        <w:t> = 0.02); however, the SIT elicited by MNS was affected by MCP (</w:t>
      </w:r>
      <w:r w:rsidRPr="00587647">
        <w:rPr>
          <w:i/>
          <w:iCs/>
        </w:rPr>
        <w:t>F</w:t>
      </w:r>
      <w:r w:rsidRPr="00587647">
        <w:rPr>
          <w:vertAlign w:val="subscript"/>
        </w:rPr>
        <w:t>2,28</w:t>
      </w:r>
      <w:r w:rsidRPr="00587647">
        <w:t> = 3.69, </w:t>
      </w:r>
      <w:r w:rsidRPr="00587647">
        <w:rPr>
          <w:i/>
          <w:iCs/>
        </w:rPr>
        <w:t>P</w:t>
      </w:r>
      <w:r w:rsidRPr="00587647">
        <w:t> = 0.040, η</w:t>
      </w:r>
      <w:r w:rsidRPr="00587647">
        <w:rPr>
          <w:vertAlign w:val="subscript"/>
        </w:rPr>
        <w:t>p</w:t>
      </w:r>
      <w:r w:rsidRPr="00587647">
        <w:rPr>
          <w:vertAlign w:val="superscript"/>
        </w:rPr>
        <w:t>2</w:t>
      </w:r>
      <w:r w:rsidRPr="00587647">
        <w:t> = 0.24), with greater SITs on D14 compared with D2 (mean difference: 2 N, </w:t>
      </w:r>
      <w:r w:rsidRPr="00587647">
        <w:rPr>
          <w:i/>
          <w:iCs/>
        </w:rPr>
        <w:t>P</w:t>
      </w:r>
      <w:r w:rsidRPr="00587647">
        <w:t> = 0.031). The reduced SIT on D14 meant that VA</w:t>
      </w:r>
      <w:r w:rsidRPr="00587647">
        <w:rPr>
          <w:vertAlign w:val="subscript"/>
        </w:rPr>
        <w:t>MNS</w:t>
      </w:r>
      <w:r w:rsidRPr="00587647">
        <w:t> was affected by MCP (</w:t>
      </w:r>
      <w:hyperlink r:id="rId87" w:anchor="F0001" w:history="1">
        <w:r w:rsidRPr="00587647">
          <w:rPr>
            <w:rStyle w:val="Hyperlink"/>
          </w:rPr>
          <w:t>Fig. 1</w:t>
        </w:r>
        <w:r w:rsidRPr="00587647">
          <w:rPr>
            <w:rStyle w:val="Hyperlink"/>
            <w:i/>
            <w:iCs/>
          </w:rPr>
          <w:t>C</w:t>
        </w:r>
      </w:hyperlink>
      <w:r w:rsidRPr="00587647">
        <w:t>; </w:t>
      </w:r>
      <w:r w:rsidRPr="00587647">
        <w:rPr>
          <w:i/>
          <w:iCs/>
        </w:rPr>
        <w:t>F</w:t>
      </w:r>
      <w:r w:rsidRPr="00587647">
        <w:rPr>
          <w:vertAlign w:val="subscript"/>
        </w:rPr>
        <w:t>2,28</w:t>
      </w:r>
      <w:r w:rsidRPr="00587647">
        <w:t> = 9.23, </w:t>
      </w:r>
      <w:r w:rsidRPr="00587647">
        <w:rPr>
          <w:i/>
          <w:iCs/>
        </w:rPr>
        <w:t>P</w:t>
      </w:r>
      <w:r w:rsidRPr="00587647">
        <w:t> = 0.001, η</w:t>
      </w:r>
      <w:r w:rsidRPr="00587647">
        <w:rPr>
          <w:vertAlign w:val="subscript"/>
        </w:rPr>
        <w:t>p</w:t>
      </w:r>
      <w:r w:rsidRPr="00587647">
        <w:rPr>
          <w:vertAlign w:val="superscript"/>
        </w:rPr>
        <w:t>2</w:t>
      </w:r>
      <w:r w:rsidRPr="00587647">
        <w:t> = 0.44), with post hoc tests showing greater VA</w:t>
      </w:r>
      <w:r w:rsidRPr="00587647">
        <w:rPr>
          <w:vertAlign w:val="subscript"/>
        </w:rPr>
        <w:t>MNS</w:t>
      </w:r>
      <w:r w:rsidRPr="00587647">
        <w:t> on D14 than on D2 (mean difference: 1.9%, </w:t>
      </w:r>
      <w:r w:rsidRPr="00587647">
        <w:rPr>
          <w:i/>
          <w:iCs/>
        </w:rPr>
        <w:t>P</w:t>
      </w:r>
      <w:r w:rsidRPr="00587647">
        <w:t> = 0.007); however, there was no difference between D14 and D21 (mean difference: 1.0%, </w:t>
      </w:r>
      <w:r w:rsidRPr="00587647">
        <w:rPr>
          <w:i/>
          <w:iCs/>
        </w:rPr>
        <w:t>P</w:t>
      </w:r>
      <w:r w:rsidRPr="00587647">
        <w:t> = 0.059). VA</w:t>
      </w:r>
      <w:r w:rsidRPr="00587647">
        <w:rPr>
          <w:vertAlign w:val="subscript"/>
        </w:rPr>
        <w:t>TMS</w:t>
      </w:r>
      <w:r w:rsidRPr="00587647">
        <w:t> was also affected by MCP (</w:t>
      </w:r>
      <w:hyperlink r:id="rId88" w:anchor="F0001" w:history="1">
        <w:r w:rsidRPr="00587647">
          <w:rPr>
            <w:rStyle w:val="Hyperlink"/>
          </w:rPr>
          <w:t>Fig. 1</w:t>
        </w:r>
        <w:r w:rsidRPr="00587647">
          <w:rPr>
            <w:rStyle w:val="Hyperlink"/>
            <w:i/>
            <w:iCs/>
          </w:rPr>
          <w:t>D</w:t>
        </w:r>
      </w:hyperlink>
      <w:r w:rsidRPr="00587647">
        <w:t>; </w:t>
      </w:r>
      <w:r w:rsidRPr="00587647">
        <w:rPr>
          <w:i/>
          <w:iCs/>
        </w:rPr>
        <w:t>F</w:t>
      </w:r>
      <w:r w:rsidRPr="00587647">
        <w:rPr>
          <w:vertAlign w:val="subscript"/>
        </w:rPr>
        <w:t>2,28</w:t>
      </w:r>
      <w:r w:rsidRPr="00587647">
        <w:t> = 5.89, </w:t>
      </w:r>
      <w:r w:rsidRPr="00587647">
        <w:rPr>
          <w:i/>
          <w:iCs/>
        </w:rPr>
        <w:t>P</w:t>
      </w:r>
      <w:r w:rsidRPr="00587647">
        <w:t> = 0.008, η</w:t>
      </w:r>
      <w:r w:rsidRPr="00587647">
        <w:rPr>
          <w:vertAlign w:val="subscript"/>
        </w:rPr>
        <w:t>p</w:t>
      </w:r>
      <w:r w:rsidRPr="00587647">
        <w:rPr>
          <w:vertAlign w:val="superscript"/>
        </w:rPr>
        <w:t>2</w:t>
      </w:r>
      <w:r w:rsidRPr="00587647">
        <w:t> = 0.33), with greater values on D14 than on D21 (mean difference: 3.0%, </w:t>
      </w:r>
      <w:r w:rsidRPr="00587647">
        <w:rPr>
          <w:i/>
          <w:iCs/>
        </w:rPr>
        <w:t>P</w:t>
      </w:r>
      <w:r w:rsidRPr="00587647">
        <w:t> = 0.016); however, D14 and D2 were not different (mean difference: 2.5%, </w:t>
      </w:r>
      <w:r w:rsidRPr="00587647">
        <w:rPr>
          <w:i/>
          <w:iCs/>
        </w:rPr>
        <w:t>P</w:t>
      </w:r>
      <w:r w:rsidRPr="00587647">
        <w:t xml:space="preserve"> = 0.080). </w:t>
      </w:r>
      <w:r w:rsidRPr="00587647">
        <w:lastRenderedPageBreak/>
        <w:t>Despite the change in VA</w:t>
      </w:r>
      <w:r w:rsidRPr="00587647">
        <w:rPr>
          <w:vertAlign w:val="subscript"/>
        </w:rPr>
        <w:t>TMS</w:t>
      </w:r>
      <w:r w:rsidRPr="00587647">
        <w:t>, neither of its constituent parts were altered by MCP: ERT (</w:t>
      </w:r>
      <w:r w:rsidRPr="00587647">
        <w:rPr>
          <w:i/>
          <w:iCs/>
        </w:rPr>
        <w:t>F</w:t>
      </w:r>
      <w:r w:rsidRPr="00587647">
        <w:rPr>
          <w:vertAlign w:val="subscript"/>
        </w:rPr>
        <w:t>1.3,15.3</w:t>
      </w:r>
      <w:r w:rsidRPr="00587647">
        <w:t> = 0.25, </w:t>
      </w:r>
      <w:r w:rsidRPr="00587647">
        <w:rPr>
          <w:i/>
          <w:iCs/>
        </w:rPr>
        <w:t>P</w:t>
      </w:r>
      <w:r w:rsidRPr="00587647">
        <w:t> = 0.784, η</w:t>
      </w:r>
      <w:r w:rsidRPr="00587647">
        <w:rPr>
          <w:vertAlign w:val="subscript"/>
        </w:rPr>
        <w:t>p</w:t>
      </w:r>
      <w:r w:rsidRPr="00587647">
        <w:rPr>
          <w:vertAlign w:val="superscript"/>
        </w:rPr>
        <w:t>2</w:t>
      </w:r>
      <w:r w:rsidRPr="00587647">
        <w:t> = 0.02) and SIT elicited by TMS (</w:t>
      </w:r>
      <w:r w:rsidRPr="00587647">
        <w:rPr>
          <w:i/>
          <w:iCs/>
        </w:rPr>
        <w:t>F</w:t>
      </w:r>
      <w:r w:rsidRPr="00587647">
        <w:rPr>
          <w:vertAlign w:val="subscript"/>
        </w:rPr>
        <w:t>1.3,15.3</w:t>
      </w:r>
      <w:r w:rsidRPr="00587647">
        <w:t> = 2.17, </w:t>
      </w:r>
      <w:r w:rsidRPr="00587647">
        <w:rPr>
          <w:i/>
          <w:iCs/>
        </w:rPr>
        <w:t>P</w:t>
      </w:r>
      <w:r w:rsidRPr="00587647">
        <w:t> = 0.136, η</w:t>
      </w:r>
      <w:r w:rsidRPr="00587647">
        <w:rPr>
          <w:vertAlign w:val="subscript"/>
        </w:rPr>
        <w:t>p</w:t>
      </w:r>
      <w:r w:rsidRPr="00587647">
        <w:rPr>
          <w:vertAlign w:val="superscript"/>
        </w:rPr>
        <w:t>2</w:t>
      </w:r>
      <w:r w:rsidRPr="00587647">
        <w:t> = 0.15).</w:t>
      </w:r>
    </w:p>
    <w:p w14:paraId="1C1DD759" w14:textId="3FDB2329" w:rsidR="00587647" w:rsidRPr="00A14F37" w:rsidRDefault="00587647" w:rsidP="00A14F37">
      <w:pPr>
        <w:spacing w:line="240" w:lineRule="auto"/>
      </w:pPr>
    </w:p>
    <w:p w14:paraId="54E0ADB7" w14:textId="31C1AD08" w:rsidR="00587647" w:rsidRPr="00587647" w:rsidRDefault="00587647" w:rsidP="00A14F37">
      <w:pPr>
        <w:spacing w:line="240" w:lineRule="auto"/>
      </w:pPr>
      <w:r w:rsidRPr="00A14F37">
        <w:rPr>
          <w:noProof/>
        </w:rPr>
        <w:drawing>
          <wp:inline distT="0" distB="0" distL="0" distR="0" wp14:anchorId="42E6D335" wp14:editId="6C910A80">
            <wp:extent cx="4448175" cy="4762500"/>
            <wp:effectExtent l="0" t="0" r="9525" b="0"/>
            <wp:docPr id="1" name="Picture 1" descr="Fig. 1.&#10;Baseline neuromuscular measures across the 3 time points. A: maximum voluntary contraction (MVC). B: potentiated twitch force (Qtw.pot). C: voluntary activation assessed with motor nerve stimulation (VAMNS). D: VA assessed with transcranial magnetic stimulation (VATMS). E: superimposed MVS-evoked twitch during a maximum voluntary contraction (SITMNS). F: superimposed transcranial magnetic stimulation (TMS)-evoked twitch during a MVC (SITTMS). Individual data are shown with mean data overlaid as filled symbols and connectin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448175" cy="4762500"/>
                    </a:xfrm>
                    <a:prstGeom prst="rect">
                      <a:avLst/>
                    </a:prstGeom>
                    <a:noFill/>
                    <a:ln>
                      <a:noFill/>
                    </a:ln>
                  </pic:spPr>
                </pic:pic>
              </a:graphicData>
            </a:graphic>
          </wp:inline>
        </w:drawing>
      </w:r>
    </w:p>
    <w:p w14:paraId="77E76B10" w14:textId="415E542A" w:rsidR="00587647" w:rsidRPr="00A14F37" w:rsidRDefault="00587647" w:rsidP="00A14F37">
      <w:pPr>
        <w:spacing w:line="240" w:lineRule="auto"/>
      </w:pPr>
      <w:r w:rsidRPr="00A14F37">
        <w:rPr>
          <w:rFonts w:cs="Arial"/>
          <w:b/>
          <w:bCs/>
          <w:color w:val="1F1F1F"/>
          <w:sz w:val="21"/>
          <w:szCs w:val="21"/>
          <w:shd w:val="clear" w:color="auto" w:fill="FFFFFF"/>
        </w:rPr>
        <w:t xml:space="preserve">Fig. </w:t>
      </w:r>
      <w:proofErr w:type="gramStart"/>
      <w:r w:rsidRPr="00A14F37">
        <w:rPr>
          <w:rFonts w:cs="Arial"/>
          <w:b/>
          <w:bCs/>
          <w:color w:val="1F1F1F"/>
          <w:sz w:val="21"/>
          <w:szCs w:val="21"/>
          <w:shd w:val="clear" w:color="auto" w:fill="FFFFFF"/>
        </w:rPr>
        <w:t>1.</w:t>
      </w:r>
      <w:r w:rsidRPr="00A14F37">
        <w:rPr>
          <w:rFonts w:cs="Arial"/>
          <w:color w:val="1F1F1F"/>
          <w:sz w:val="21"/>
          <w:szCs w:val="21"/>
          <w:shd w:val="clear" w:color="auto" w:fill="FFFFFF"/>
        </w:rPr>
        <w:t>Baseline</w:t>
      </w:r>
      <w:proofErr w:type="gramEnd"/>
      <w:r w:rsidRPr="00A14F37">
        <w:rPr>
          <w:rFonts w:cs="Arial"/>
          <w:color w:val="1F1F1F"/>
          <w:sz w:val="21"/>
          <w:szCs w:val="21"/>
          <w:shd w:val="clear" w:color="auto" w:fill="FFFFFF"/>
        </w:rPr>
        <w:t xml:space="preserve"> neuromuscular measures across the 3 time points. </w:t>
      </w:r>
      <w:r w:rsidRPr="00A14F37">
        <w:rPr>
          <w:rFonts w:cs="Arial"/>
          <w:i/>
          <w:iCs/>
          <w:color w:val="1F1F1F"/>
          <w:sz w:val="21"/>
          <w:szCs w:val="21"/>
          <w:shd w:val="clear" w:color="auto" w:fill="FFFFFF"/>
        </w:rPr>
        <w:t>A</w:t>
      </w:r>
      <w:r w:rsidRPr="00A14F37">
        <w:rPr>
          <w:rFonts w:cs="Arial"/>
          <w:color w:val="1F1F1F"/>
          <w:sz w:val="21"/>
          <w:szCs w:val="21"/>
          <w:shd w:val="clear" w:color="auto" w:fill="FFFFFF"/>
        </w:rPr>
        <w:t>: maximum voluntary contraction (MVC). </w:t>
      </w:r>
      <w:r w:rsidRPr="00A14F37">
        <w:rPr>
          <w:rFonts w:cs="Arial"/>
          <w:i/>
          <w:iCs/>
          <w:color w:val="1F1F1F"/>
          <w:sz w:val="21"/>
          <w:szCs w:val="21"/>
          <w:shd w:val="clear" w:color="auto" w:fill="FFFFFF"/>
        </w:rPr>
        <w:t>B</w:t>
      </w:r>
      <w:r w:rsidRPr="00A14F37">
        <w:rPr>
          <w:rFonts w:cs="Arial"/>
          <w:color w:val="1F1F1F"/>
          <w:sz w:val="21"/>
          <w:szCs w:val="21"/>
          <w:shd w:val="clear" w:color="auto" w:fill="FFFFFF"/>
        </w:rPr>
        <w:t>: potentiated twitch force (Q</w:t>
      </w:r>
      <w:r w:rsidRPr="00A14F37">
        <w:rPr>
          <w:rFonts w:cs="Arial"/>
          <w:color w:val="1F1F1F"/>
          <w:sz w:val="16"/>
          <w:szCs w:val="16"/>
          <w:shd w:val="clear" w:color="auto" w:fill="FFFFFF"/>
          <w:vertAlign w:val="subscript"/>
        </w:rPr>
        <w:t>tw.pot</w:t>
      </w:r>
      <w:r w:rsidRPr="00A14F37">
        <w:rPr>
          <w:rFonts w:cs="Arial"/>
          <w:color w:val="1F1F1F"/>
          <w:sz w:val="21"/>
          <w:szCs w:val="21"/>
          <w:shd w:val="clear" w:color="auto" w:fill="FFFFFF"/>
        </w:rPr>
        <w:t>). </w:t>
      </w:r>
      <w:r w:rsidRPr="00A14F37">
        <w:rPr>
          <w:rFonts w:cs="Arial"/>
          <w:i/>
          <w:iCs/>
          <w:color w:val="1F1F1F"/>
          <w:sz w:val="21"/>
          <w:szCs w:val="21"/>
          <w:shd w:val="clear" w:color="auto" w:fill="FFFFFF"/>
        </w:rPr>
        <w:t>C</w:t>
      </w:r>
      <w:r w:rsidRPr="00A14F37">
        <w:rPr>
          <w:rFonts w:cs="Arial"/>
          <w:color w:val="1F1F1F"/>
          <w:sz w:val="21"/>
          <w:szCs w:val="21"/>
          <w:shd w:val="clear" w:color="auto" w:fill="FFFFFF"/>
        </w:rPr>
        <w:t>: voluntary activation assessed with motor nerve stimulation (VA</w:t>
      </w:r>
      <w:r w:rsidRPr="00A14F37">
        <w:rPr>
          <w:rFonts w:cs="Arial"/>
          <w:color w:val="1F1F1F"/>
          <w:sz w:val="16"/>
          <w:szCs w:val="16"/>
          <w:shd w:val="clear" w:color="auto" w:fill="FFFFFF"/>
          <w:vertAlign w:val="subscript"/>
        </w:rPr>
        <w:t>MNS</w:t>
      </w:r>
      <w:r w:rsidRPr="00A14F37">
        <w:rPr>
          <w:rFonts w:cs="Arial"/>
          <w:color w:val="1F1F1F"/>
          <w:sz w:val="21"/>
          <w:szCs w:val="21"/>
          <w:shd w:val="clear" w:color="auto" w:fill="FFFFFF"/>
        </w:rPr>
        <w:t>). </w:t>
      </w:r>
      <w:r w:rsidRPr="00A14F37">
        <w:rPr>
          <w:rFonts w:cs="Arial"/>
          <w:i/>
          <w:iCs/>
          <w:color w:val="1F1F1F"/>
          <w:sz w:val="21"/>
          <w:szCs w:val="21"/>
          <w:shd w:val="clear" w:color="auto" w:fill="FFFFFF"/>
        </w:rPr>
        <w:t>D</w:t>
      </w:r>
      <w:r w:rsidRPr="00A14F37">
        <w:rPr>
          <w:rFonts w:cs="Arial"/>
          <w:color w:val="1F1F1F"/>
          <w:sz w:val="21"/>
          <w:szCs w:val="21"/>
          <w:shd w:val="clear" w:color="auto" w:fill="FFFFFF"/>
        </w:rPr>
        <w:t>: VA assessed with transcranial magnetic stimulation (VA</w:t>
      </w:r>
      <w:r w:rsidRPr="00A14F37">
        <w:rPr>
          <w:rFonts w:cs="Arial"/>
          <w:color w:val="1F1F1F"/>
          <w:sz w:val="16"/>
          <w:szCs w:val="16"/>
          <w:shd w:val="clear" w:color="auto" w:fill="FFFFFF"/>
          <w:vertAlign w:val="subscript"/>
        </w:rPr>
        <w:t>TMS</w:t>
      </w:r>
      <w:r w:rsidRPr="00A14F37">
        <w:rPr>
          <w:rFonts w:cs="Arial"/>
          <w:color w:val="1F1F1F"/>
          <w:sz w:val="21"/>
          <w:szCs w:val="21"/>
          <w:shd w:val="clear" w:color="auto" w:fill="FFFFFF"/>
        </w:rPr>
        <w:t>). </w:t>
      </w:r>
      <w:r w:rsidRPr="00A14F37">
        <w:rPr>
          <w:rFonts w:cs="Arial"/>
          <w:i/>
          <w:iCs/>
          <w:color w:val="1F1F1F"/>
          <w:sz w:val="21"/>
          <w:szCs w:val="21"/>
          <w:shd w:val="clear" w:color="auto" w:fill="FFFFFF"/>
        </w:rPr>
        <w:t>E</w:t>
      </w:r>
      <w:r w:rsidRPr="00A14F37">
        <w:rPr>
          <w:rFonts w:cs="Arial"/>
          <w:color w:val="1F1F1F"/>
          <w:sz w:val="21"/>
          <w:szCs w:val="21"/>
          <w:shd w:val="clear" w:color="auto" w:fill="FFFFFF"/>
        </w:rPr>
        <w:t>: superimposed MVS-evoked twitch during a maximum voluntary contraction (SIT</w:t>
      </w:r>
      <w:r w:rsidRPr="00A14F37">
        <w:rPr>
          <w:rFonts w:cs="Arial"/>
          <w:color w:val="1F1F1F"/>
          <w:sz w:val="16"/>
          <w:szCs w:val="16"/>
          <w:shd w:val="clear" w:color="auto" w:fill="FFFFFF"/>
          <w:vertAlign w:val="subscript"/>
        </w:rPr>
        <w:t>MNS</w:t>
      </w:r>
      <w:r w:rsidRPr="00A14F37">
        <w:rPr>
          <w:rFonts w:cs="Arial"/>
          <w:color w:val="1F1F1F"/>
          <w:sz w:val="21"/>
          <w:szCs w:val="21"/>
          <w:shd w:val="clear" w:color="auto" w:fill="FFFFFF"/>
        </w:rPr>
        <w:t>). </w:t>
      </w:r>
      <w:r w:rsidRPr="00A14F37">
        <w:rPr>
          <w:rFonts w:cs="Arial"/>
          <w:i/>
          <w:iCs/>
          <w:color w:val="1F1F1F"/>
          <w:sz w:val="21"/>
          <w:szCs w:val="21"/>
          <w:shd w:val="clear" w:color="auto" w:fill="FFFFFF"/>
        </w:rPr>
        <w:t>F</w:t>
      </w:r>
      <w:r w:rsidRPr="00A14F37">
        <w:rPr>
          <w:rFonts w:cs="Arial"/>
          <w:color w:val="1F1F1F"/>
          <w:sz w:val="21"/>
          <w:szCs w:val="21"/>
          <w:shd w:val="clear" w:color="auto" w:fill="FFFFFF"/>
        </w:rPr>
        <w:t xml:space="preserve">: superimposed transcranial magnetic stimulation (TMS)-evoked twitch during </w:t>
      </w:r>
      <w:proofErr w:type="gramStart"/>
      <w:r w:rsidRPr="00A14F37">
        <w:rPr>
          <w:rFonts w:cs="Arial"/>
          <w:color w:val="1F1F1F"/>
          <w:sz w:val="21"/>
          <w:szCs w:val="21"/>
          <w:shd w:val="clear" w:color="auto" w:fill="FFFFFF"/>
        </w:rPr>
        <w:t>a</w:t>
      </w:r>
      <w:proofErr w:type="gramEnd"/>
      <w:r w:rsidRPr="00A14F37">
        <w:rPr>
          <w:rFonts w:cs="Arial"/>
          <w:color w:val="1F1F1F"/>
          <w:sz w:val="21"/>
          <w:szCs w:val="21"/>
          <w:shd w:val="clear" w:color="auto" w:fill="FFFFFF"/>
        </w:rPr>
        <w:t xml:space="preserve"> MVC (SIT</w:t>
      </w:r>
      <w:r w:rsidRPr="00A14F37">
        <w:rPr>
          <w:rFonts w:cs="Arial"/>
          <w:color w:val="1F1F1F"/>
          <w:sz w:val="16"/>
          <w:szCs w:val="16"/>
          <w:shd w:val="clear" w:color="auto" w:fill="FFFFFF"/>
          <w:vertAlign w:val="subscript"/>
        </w:rPr>
        <w:t>TMS</w:t>
      </w:r>
      <w:r w:rsidRPr="00A14F37">
        <w:rPr>
          <w:rFonts w:cs="Arial"/>
          <w:color w:val="1F1F1F"/>
          <w:sz w:val="21"/>
          <w:szCs w:val="21"/>
          <w:shd w:val="clear" w:color="auto" w:fill="FFFFFF"/>
        </w:rPr>
        <w:t>). Individual data are shown with mean data overlaid as filled symbols and connecting line.</w:t>
      </w:r>
    </w:p>
    <w:p w14:paraId="77753F59" w14:textId="07359C8D" w:rsidR="003407C3" w:rsidRPr="00A14F37" w:rsidRDefault="0082680F" w:rsidP="00A14F37">
      <w:pPr>
        <w:spacing w:line="240" w:lineRule="auto"/>
      </w:pPr>
      <w:r w:rsidRPr="00A14F37">
        <w:t>As shown in </w:t>
      </w:r>
      <w:hyperlink r:id="rId90" w:anchor="T3" w:history="1">
        <w:r w:rsidRPr="00A14F37">
          <w:rPr>
            <w:rStyle w:val="Hyperlink"/>
          </w:rPr>
          <w:t>Table 3</w:t>
        </w:r>
      </w:hyperlink>
      <w:r w:rsidRPr="00A14F37">
        <w:t>, M</w:t>
      </w:r>
      <w:r w:rsidRPr="00A14F37">
        <w:rPr>
          <w:vertAlign w:val="subscript"/>
        </w:rPr>
        <w:t>max</w:t>
      </w:r>
      <w:r w:rsidRPr="00A14F37">
        <w:t> was unaffected by MCP (</w:t>
      </w:r>
      <w:r w:rsidRPr="00A14F37">
        <w:rPr>
          <w:i/>
          <w:iCs/>
        </w:rPr>
        <w:t>F</w:t>
      </w:r>
      <w:r w:rsidRPr="00A14F37">
        <w:rPr>
          <w:vertAlign w:val="subscript"/>
        </w:rPr>
        <w:t>2,28</w:t>
      </w:r>
      <w:r w:rsidRPr="00A14F37">
        <w:t> = 0.24, </w:t>
      </w:r>
      <w:r w:rsidRPr="00A14F37">
        <w:rPr>
          <w:i/>
          <w:iCs/>
        </w:rPr>
        <w:t>P</w:t>
      </w:r>
      <w:r w:rsidRPr="00A14F37">
        <w:t> = 0.786, η</w:t>
      </w:r>
      <w:r w:rsidRPr="00A14F37">
        <w:rPr>
          <w:vertAlign w:val="subscript"/>
        </w:rPr>
        <w:t>p</w:t>
      </w:r>
      <w:r w:rsidRPr="00A14F37">
        <w:rPr>
          <w:vertAlign w:val="superscript"/>
        </w:rPr>
        <w:t>2</w:t>
      </w:r>
      <w:r w:rsidRPr="00A14F37">
        <w:t> = 0.02), nor was normalized MEP amplitude (</w:t>
      </w:r>
      <w:hyperlink r:id="rId91" w:anchor="F0002" w:history="1">
        <w:r w:rsidRPr="00A14F37">
          <w:rPr>
            <w:rStyle w:val="Hyperlink"/>
          </w:rPr>
          <w:t>Fig. 2</w:t>
        </w:r>
        <w:r w:rsidRPr="00A14F37">
          <w:rPr>
            <w:rStyle w:val="Hyperlink"/>
            <w:i/>
            <w:iCs/>
          </w:rPr>
          <w:t>A</w:t>
        </w:r>
      </w:hyperlink>
      <w:r w:rsidRPr="00A14F37">
        <w:t>;</w:t>
      </w:r>
      <w:r w:rsidRPr="00A14F37">
        <w:rPr>
          <w:i/>
          <w:iCs/>
        </w:rPr>
        <w:t>F</w:t>
      </w:r>
      <w:r w:rsidRPr="00A14F37">
        <w:rPr>
          <w:vertAlign w:val="subscript"/>
        </w:rPr>
        <w:t>2,28</w:t>
      </w:r>
      <w:r w:rsidRPr="00A14F37">
        <w:t> = 2.24, </w:t>
      </w:r>
      <w:r w:rsidRPr="00A14F37">
        <w:rPr>
          <w:i/>
          <w:iCs/>
        </w:rPr>
        <w:t>P</w:t>
      </w:r>
      <w:r w:rsidRPr="00A14F37">
        <w:t> = 0.129, η</w:t>
      </w:r>
      <w:r w:rsidRPr="00A14F37">
        <w:rPr>
          <w:vertAlign w:val="subscript"/>
        </w:rPr>
        <w:t>p</w:t>
      </w:r>
      <w:r w:rsidRPr="00A14F37">
        <w:rPr>
          <w:vertAlign w:val="superscript"/>
        </w:rPr>
        <w:t>2</w:t>
      </w:r>
      <w:r w:rsidRPr="00A14F37">
        <w:t> = 0.16). However, SICI was affected (</w:t>
      </w:r>
      <w:hyperlink r:id="rId92" w:anchor="T5" w:history="1">
        <w:r w:rsidRPr="00A14F37">
          <w:rPr>
            <w:rStyle w:val="Hyperlink"/>
          </w:rPr>
          <w:t>Table 5</w:t>
        </w:r>
      </w:hyperlink>
      <w:r w:rsidRPr="00A14F37">
        <w:t> and </w:t>
      </w:r>
      <w:hyperlink r:id="rId93" w:anchor="F0002" w:history="1">
        <w:r w:rsidRPr="00A14F37">
          <w:rPr>
            <w:rStyle w:val="Hyperlink"/>
          </w:rPr>
          <w:t>Fig. 2</w:t>
        </w:r>
        <w:r w:rsidRPr="00A14F37">
          <w:rPr>
            <w:rStyle w:val="Hyperlink"/>
            <w:i/>
            <w:iCs/>
          </w:rPr>
          <w:t>B</w:t>
        </w:r>
      </w:hyperlink>
      <w:r w:rsidRPr="00A14F37">
        <w:t>; </w:t>
      </w:r>
      <w:r w:rsidRPr="00A14F37">
        <w:rPr>
          <w:i/>
          <w:iCs/>
        </w:rPr>
        <w:t>F</w:t>
      </w:r>
      <w:r w:rsidRPr="00A14F37">
        <w:rPr>
          <w:vertAlign w:val="subscript"/>
        </w:rPr>
        <w:t>1.4, 16.8</w:t>
      </w:r>
      <w:r w:rsidRPr="00A14F37">
        <w:t> = 13.52, </w:t>
      </w:r>
      <w:r w:rsidRPr="00A14F37">
        <w:rPr>
          <w:i/>
          <w:iCs/>
        </w:rPr>
        <w:t>P</w:t>
      </w:r>
      <w:r w:rsidRPr="00A14F37">
        <w:t> &lt; 0.001, η</w:t>
      </w:r>
      <w:r w:rsidRPr="00A14F37">
        <w:rPr>
          <w:vertAlign w:val="subscript"/>
        </w:rPr>
        <w:t>p</w:t>
      </w:r>
      <w:r w:rsidRPr="00A14F37">
        <w:rPr>
          <w:vertAlign w:val="superscript"/>
        </w:rPr>
        <w:t>2</w:t>
      </w:r>
      <w:r w:rsidRPr="00A14F37">
        <w:t> = 0.53), with post hoc tests showing greater inhibition on D21 than on D2 (mean difference: −10%, </w:t>
      </w:r>
      <w:r w:rsidRPr="00A14F37">
        <w:rPr>
          <w:i/>
          <w:iCs/>
        </w:rPr>
        <w:t>P</w:t>
      </w:r>
      <w:r w:rsidRPr="00A14F37">
        <w:t> = 0.048) and D14 (mean difference: −14%, </w:t>
      </w:r>
      <w:r w:rsidRPr="00A14F37">
        <w:rPr>
          <w:i/>
          <w:iCs/>
        </w:rPr>
        <w:t>P</w:t>
      </w:r>
      <w:r w:rsidRPr="00A14F37">
        <w:t> = 0.001). The prestimulus normalized rmsEMG activity was not different between MCPs (D2, 1.16 ± 0.43; D14, 1.07 ± 0.53; D21, 1.20 ± 0.64% M</w:t>
      </w:r>
      <w:r w:rsidRPr="00A14F37">
        <w:rPr>
          <w:vertAlign w:val="subscript"/>
        </w:rPr>
        <w:t>max</w:t>
      </w:r>
      <w:r w:rsidRPr="00A14F37">
        <w:t>, </w:t>
      </w:r>
      <w:r w:rsidRPr="00A14F37">
        <w:rPr>
          <w:i/>
          <w:iCs/>
        </w:rPr>
        <w:t>F</w:t>
      </w:r>
      <w:r w:rsidRPr="00A14F37">
        <w:rPr>
          <w:vertAlign w:val="subscript"/>
        </w:rPr>
        <w:t>2,28</w:t>
      </w:r>
      <w:r w:rsidRPr="00A14F37">
        <w:t> = 0.31, </w:t>
      </w:r>
      <w:r w:rsidRPr="00A14F37">
        <w:rPr>
          <w:i/>
          <w:iCs/>
        </w:rPr>
        <w:t>P</w:t>
      </w:r>
      <w:r w:rsidRPr="00A14F37">
        <w:t> = 0.736, η</w:t>
      </w:r>
      <w:r w:rsidRPr="00A14F37">
        <w:rPr>
          <w:vertAlign w:val="subscript"/>
        </w:rPr>
        <w:t>p</w:t>
      </w:r>
      <w:r w:rsidRPr="00A14F37">
        <w:rPr>
          <w:vertAlign w:val="superscript"/>
        </w:rPr>
        <w:t>2</w:t>
      </w:r>
      <w:r w:rsidRPr="00A14F37">
        <w:t> = 0.025), and neither was the SP (</w:t>
      </w:r>
      <w:hyperlink r:id="rId94" w:anchor="F0002" w:history="1">
        <w:r w:rsidRPr="00A14F37">
          <w:rPr>
            <w:rStyle w:val="Hyperlink"/>
          </w:rPr>
          <w:t>Fig. 2</w:t>
        </w:r>
        <w:r w:rsidRPr="00A14F37">
          <w:rPr>
            <w:rStyle w:val="Hyperlink"/>
            <w:i/>
            <w:iCs/>
          </w:rPr>
          <w:t>C</w:t>
        </w:r>
      </w:hyperlink>
      <w:r w:rsidRPr="00A14F37">
        <w:t> and </w:t>
      </w:r>
      <w:hyperlink r:id="rId95" w:anchor="T5" w:history="1">
        <w:r w:rsidRPr="00A14F37">
          <w:rPr>
            <w:rStyle w:val="Hyperlink"/>
          </w:rPr>
          <w:t>Table 5</w:t>
        </w:r>
      </w:hyperlink>
      <w:r w:rsidRPr="00A14F37">
        <w:t>; </w:t>
      </w:r>
      <w:r w:rsidRPr="00A14F37">
        <w:rPr>
          <w:i/>
          <w:iCs/>
        </w:rPr>
        <w:t>F</w:t>
      </w:r>
      <w:r w:rsidRPr="00A14F37">
        <w:rPr>
          <w:vertAlign w:val="subscript"/>
        </w:rPr>
        <w:t>2,28</w:t>
      </w:r>
      <w:r w:rsidRPr="00A14F37">
        <w:t> = 0.53, </w:t>
      </w:r>
      <w:r w:rsidRPr="00A14F37">
        <w:rPr>
          <w:i/>
          <w:iCs/>
        </w:rPr>
        <w:t>P</w:t>
      </w:r>
      <w:r w:rsidRPr="00A14F37">
        <w:t> = 0.594, η</w:t>
      </w:r>
      <w:r w:rsidRPr="00A14F37">
        <w:rPr>
          <w:vertAlign w:val="subscript"/>
        </w:rPr>
        <w:t>p</w:t>
      </w:r>
      <w:r w:rsidRPr="00A14F37">
        <w:rPr>
          <w:vertAlign w:val="superscript"/>
        </w:rPr>
        <w:t>2</w:t>
      </w:r>
      <w:r w:rsidRPr="00A14F37">
        <w:t> = 0.04).</w:t>
      </w:r>
    </w:p>
    <w:p w14:paraId="2EC37AA1" w14:textId="1C444F2D" w:rsidR="0082680F" w:rsidRPr="00A14F37" w:rsidRDefault="0082680F" w:rsidP="00A14F37">
      <w:pPr>
        <w:spacing w:line="240" w:lineRule="auto"/>
      </w:pPr>
    </w:p>
    <w:p w14:paraId="039E3F47" w14:textId="1A2AC2C4" w:rsidR="0082680F" w:rsidRPr="00A14F37" w:rsidRDefault="00E9493A" w:rsidP="00A14F37">
      <w:pPr>
        <w:spacing w:line="240" w:lineRule="auto"/>
      </w:pPr>
      <w:r w:rsidRPr="00A14F37">
        <w:rPr>
          <w:noProof/>
        </w:rPr>
        <w:lastRenderedPageBreak/>
        <w:drawing>
          <wp:inline distT="0" distB="0" distL="0" distR="0" wp14:anchorId="09D8048A" wp14:editId="415C1ED5">
            <wp:extent cx="2314575" cy="4762500"/>
            <wp:effectExtent l="0" t="0" r="9525" b="0"/>
            <wp:docPr id="2" name="Picture 2" descr="Fig. 2.&#10;Transcranial magnetic stimulation evoked responses across the 3 testing time points. A: corticospinal excitability: motor evoked potential (MEP)/maximal muscle action potential (MMax). B: short-interval cortical inhibition (SICI). C: transcranial magnetic stimulation-evoked silent period. Individual data are shown with mean data overlaid as filled symbols and connectin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314575" cy="4762500"/>
                    </a:xfrm>
                    <a:prstGeom prst="rect">
                      <a:avLst/>
                    </a:prstGeom>
                    <a:noFill/>
                    <a:ln>
                      <a:noFill/>
                    </a:ln>
                  </pic:spPr>
                </pic:pic>
              </a:graphicData>
            </a:graphic>
          </wp:inline>
        </w:drawing>
      </w:r>
    </w:p>
    <w:p w14:paraId="2D9C5883" w14:textId="0617A90D" w:rsidR="00F617EE" w:rsidRPr="00A14F37" w:rsidRDefault="00E9493A" w:rsidP="00A14F37">
      <w:pPr>
        <w:spacing w:line="240" w:lineRule="auto"/>
        <w:rPr>
          <w:rFonts w:cstheme="minorHAnsi"/>
        </w:rPr>
      </w:pPr>
      <w:r w:rsidRPr="00A14F37">
        <w:rPr>
          <w:rFonts w:cstheme="minorHAnsi"/>
          <w:b/>
          <w:bCs/>
        </w:rPr>
        <w:t xml:space="preserve">Fig. </w:t>
      </w:r>
      <w:proofErr w:type="gramStart"/>
      <w:r w:rsidRPr="00A14F37">
        <w:rPr>
          <w:rFonts w:cstheme="minorHAnsi"/>
          <w:b/>
          <w:bCs/>
        </w:rPr>
        <w:t>2.</w:t>
      </w:r>
      <w:r w:rsidRPr="00A14F37">
        <w:rPr>
          <w:rFonts w:cstheme="minorHAnsi"/>
        </w:rPr>
        <w:t>Transcranial</w:t>
      </w:r>
      <w:proofErr w:type="gramEnd"/>
      <w:r w:rsidRPr="00A14F37">
        <w:rPr>
          <w:rFonts w:cstheme="minorHAnsi"/>
        </w:rPr>
        <w:t xml:space="preserve"> magnetic stimulation evoked responses across the 3 testing time points. </w:t>
      </w:r>
      <w:r w:rsidRPr="00A14F37">
        <w:rPr>
          <w:rFonts w:cstheme="minorHAnsi"/>
          <w:i/>
          <w:iCs/>
        </w:rPr>
        <w:t>A</w:t>
      </w:r>
      <w:r w:rsidRPr="00A14F37">
        <w:rPr>
          <w:rFonts w:cstheme="minorHAnsi"/>
        </w:rPr>
        <w:t>: corticospinal excitability: motor evoked potential (MEP)/maximal muscle action potential (M</w:t>
      </w:r>
      <w:r w:rsidRPr="00A14F37">
        <w:rPr>
          <w:rFonts w:cstheme="minorHAnsi"/>
          <w:vertAlign w:val="subscript"/>
        </w:rPr>
        <w:t>Max</w:t>
      </w:r>
      <w:r w:rsidRPr="00A14F37">
        <w:rPr>
          <w:rFonts w:cstheme="minorHAnsi"/>
        </w:rPr>
        <w:t>). </w:t>
      </w:r>
      <w:r w:rsidRPr="00A14F37">
        <w:rPr>
          <w:rFonts w:cstheme="minorHAnsi"/>
          <w:i/>
          <w:iCs/>
        </w:rPr>
        <w:t>B</w:t>
      </w:r>
      <w:r w:rsidRPr="00A14F37">
        <w:rPr>
          <w:rFonts w:cstheme="minorHAnsi"/>
        </w:rPr>
        <w:t>: short-interval cortical inhibition (SICI). </w:t>
      </w:r>
      <w:r w:rsidRPr="00A14F37">
        <w:rPr>
          <w:rFonts w:cstheme="minorHAnsi"/>
          <w:i/>
          <w:iCs/>
        </w:rPr>
        <w:t>C</w:t>
      </w:r>
      <w:r w:rsidRPr="00A14F37">
        <w:rPr>
          <w:rFonts w:cstheme="minorHAnsi"/>
        </w:rPr>
        <w:t>: transcranial magnetic stimulation-evoked silent period. Individual data are shown with mean data overlaid as filled symbols and connecting line.</w:t>
      </w:r>
    </w:p>
    <w:p w14:paraId="0B61E0E1" w14:textId="32695E6B" w:rsidR="00256FED" w:rsidRDefault="00256FED" w:rsidP="00A14F37">
      <w:pPr>
        <w:spacing w:line="240" w:lineRule="auto"/>
        <w:rPr>
          <w:rFonts w:cstheme="minorHAnsi"/>
        </w:rPr>
      </w:pPr>
    </w:p>
    <w:p w14:paraId="0F580B43" w14:textId="77777777" w:rsidR="00F76933" w:rsidRPr="00A14F37" w:rsidRDefault="00F76933" w:rsidP="00A14F37">
      <w:pPr>
        <w:spacing w:line="240" w:lineRule="auto"/>
        <w:rPr>
          <w:rFonts w:cstheme="minorHAnsi"/>
        </w:rPr>
      </w:pPr>
    </w:p>
    <w:p w14:paraId="6E09BFD8" w14:textId="0711C499" w:rsidR="003C4DF6" w:rsidRPr="00A14F37" w:rsidRDefault="003C4DF6" w:rsidP="00A14F37">
      <w:pPr>
        <w:spacing w:line="240" w:lineRule="auto"/>
        <w:rPr>
          <w:rFonts w:cstheme="minorHAnsi"/>
        </w:rPr>
      </w:pPr>
    </w:p>
    <w:p w14:paraId="54834555" w14:textId="2A55D6D8" w:rsidR="003C4DF6" w:rsidRPr="00A14F37" w:rsidRDefault="00256FED" w:rsidP="00A14F37">
      <w:pPr>
        <w:spacing w:line="240" w:lineRule="auto"/>
        <w:rPr>
          <w:rFonts w:cstheme="minorHAnsi"/>
        </w:rPr>
      </w:pPr>
      <w:r w:rsidRPr="00A14F37">
        <w:rPr>
          <w:rFonts w:cstheme="minorHAnsi"/>
          <w:b/>
          <w:bCs/>
        </w:rPr>
        <w:t>Table 5. Variables assessed throughout the pre- and post-exercise testing battery across the menstrual cycle</w:t>
      </w:r>
    </w:p>
    <w:tbl>
      <w:tblPr>
        <w:tblStyle w:val="TableGrid"/>
        <w:tblW w:w="10165" w:type="dxa"/>
        <w:tblLayout w:type="fixed"/>
        <w:tblLook w:val="04A0" w:firstRow="1" w:lastRow="0" w:firstColumn="1" w:lastColumn="0" w:noHBand="0" w:noVBand="1"/>
      </w:tblPr>
      <w:tblGrid>
        <w:gridCol w:w="624"/>
        <w:gridCol w:w="874"/>
        <w:gridCol w:w="749"/>
        <w:gridCol w:w="749"/>
        <w:gridCol w:w="750"/>
        <w:gridCol w:w="750"/>
        <w:gridCol w:w="750"/>
        <w:gridCol w:w="750"/>
        <w:gridCol w:w="750"/>
        <w:gridCol w:w="750"/>
        <w:gridCol w:w="750"/>
        <w:gridCol w:w="1019"/>
        <w:gridCol w:w="900"/>
      </w:tblGrid>
      <w:tr w:rsidR="00664375" w:rsidRPr="00A14F37" w14:paraId="15497179" w14:textId="77777777" w:rsidTr="00877AD1">
        <w:tc>
          <w:tcPr>
            <w:tcW w:w="624" w:type="dxa"/>
          </w:tcPr>
          <w:p w14:paraId="3BB01E83" w14:textId="77777777" w:rsidR="00664375" w:rsidRPr="00A14F37" w:rsidRDefault="00664375" w:rsidP="00A14F37">
            <w:pPr>
              <w:rPr>
                <w:b/>
                <w:bCs/>
                <w:color w:val="000000"/>
              </w:rPr>
            </w:pPr>
          </w:p>
        </w:tc>
        <w:tc>
          <w:tcPr>
            <w:tcW w:w="874" w:type="dxa"/>
          </w:tcPr>
          <w:p w14:paraId="6E8F6420" w14:textId="1CA0874C" w:rsidR="00664375" w:rsidRPr="00A14F37" w:rsidRDefault="00664375" w:rsidP="00A14F37">
            <w:pPr>
              <w:rPr>
                <w:b/>
                <w:bCs/>
                <w:color w:val="000000"/>
              </w:rPr>
            </w:pPr>
            <w:r w:rsidRPr="00A14F37">
              <w:rPr>
                <w:b/>
                <w:bCs/>
                <w:color w:val="000000"/>
              </w:rPr>
              <w:t>Day 2</w:t>
            </w:r>
          </w:p>
        </w:tc>
        <w:tc>
          <w:tcPr>
            <w:tcW w:w="749" w:type="dxa"/>
          </w:tcPr>
          <w:p w14:paraId="0E0105FB" w14:textId="77777777" w:rsidR="00664375" w:rsidRPr="00A14F37" w:rsidRDefault="00664375" w:rsidP="00A14F37">
            <w:pPr>
              <w:rPr>
                <w:b/>
                <w:bCs/>
                <w:color w:val="000000"/>
              </w:rPr>
            </w:pPr>
          </w:p>
        </w:tc>
        <w:tc>
          <w:tcPr>
            <w:tcW w:w="749" w:type="dxa"/>
          </w:tcPr>
          <w:p w14:paraId="584F2674" w14:textId="77777777" w:rsidR="00664375" w:rsidRPr="00A14F37" w:rsidRDefault="00664375" w:rsidP="00A14F37">
            <w:pPr>
              <w:rPr>
                <w:b/>
                <w:bCs/>
                <w:color w:val="000000"/>
              </w:rPr>
            </w:pPr>
          </w:p>
        </w:tc>
        <w:tc>
          <w:tcPr>
            <w:tcW w:w="750" w:type="dxa"/>
          </w:tcPr>
          <w:p w14:paraId="6F8319C9" w14:textId="31C21EE7" w:rsidR="00664375" w:rsidRPr="00A14F37" w:rsidRDefault="00664375" w:rsidP="00A14F37">
            <w:pPr>
              <w:rPr>
                <w:b/>
                <w:bCs/>
                <w:color w:val="000000"/>
              </w:rPr>
            </w:pPr>
            <w:r w:rsidRPr="00A14F37">
              <w:rPr>
                <w:b/>
                <w:bCs/>
                <w:color w:val="000000"/>
              </w:rPr>
              <w:t>Day 14</w:t>
            </w:r>
          </w:p>
        </w:tc>
        <w:tc>
          <w:tcPr>
            <w:tcW w:w="750" w:type="dxa"/>
          </w:tcPr>
          <w:p w14:paraId="13813892" w14:textId="77777777" w:rsidR="00664375" w:rsidRPr="00A14F37" w:rsidRDefault="00664375" w:rsidP="00A14F37">
            <w:pPr>
              <w:rPr>
                <w:b/>
                <w:bCs/>
                <w:color w:val="000000"/>
              </w:rPr>
            </w:pPr>
          </w:p>
        </w:tc>
        <w:tc>
          <w:tcPr>
            <w:tcW w:w="750" w:type="dxa"/>
          </w:tcPr>
          <w:p w14:paraId="5F63F8F4" w14:textId="77777777" w:rsidR="00664375" w:rsidRPr="00A14F37" w:rsidRDefault="00664375" w:rsidP="00A14F37">
            <w:pPr>
              <w:rPr>
                <w:b/>
                <w:bCs/>
                <w:color w:val="000000"/>
              </w:rPr>
            </w:pPr>
          </w:p>
        </w:tc>
        <w:tc>
          <w:tcPr>
            <w:tcW w:w="750" w:type="dxa"/>
          </w:tcPr>
          <w:p w14:paraId="19528029" w14:textId="31762067" w:rsidR="00664375" w:rsidRPr="00A14F37" w:rsidRDefault="00877AD1" w:rsidP="00A14F37">
            <w:pPr>
              <w:rPr>
                <w:b/>
                <w:bCs/>
                <w:color w:val="000000"/>
              </w:rPr>
            </w:pPr>
            <w:r w:rsidRPr="00A14F37">
              <w:rPr>
                <w:b/>
                <w:bCs/>
                <w:color w:val="000000"/>
              </w:rPr>
              <w:t>Day 21</w:t>
            </w:r>
          </w:p>
        </w:tc>
        <w:tc>
          <w:tcPr>
            <w:tcW w:w="750" w:type="dxa"/>
          </w:tcPr>
          <w:p w14:paraId="0D0B5E5E" w14:textId="77777777" w:rsidR="00664375" w:rsidRPr="00A14F37" w:rsidRDefault="00664375" w:rsidP="00A14F37">
            <w:pPr>
              <w:rPr>
                <w:b/>
                <w:bCs/>
                <w:color w:val="000000"/>
              </w:rPr>
            </w:pPr>
          </w:p>
        </w:tc>
        <w:tc>
          <w:tcPr>
            <w:tcW w:w="750" w:type="dxa"/>
          </w:tcPr>
          <w:p w14:paraId="082FFBD7" w14:textId="77777777" w:rsidR="00664375" w:rsidRPr="00A14F37" w:rsidRDefault="00664375" w:rsidP="00A14F37">
            <w:pPr>
              <w:rPr>
                <w:b/>
                <w:bCs/>
                <w:color w:val="000000"/>
              </w:rPr>
            </w:pPr>
          </w:p>
        </w:tc>
        <w:tc>
          <w:tcPr>
            <w:tcW w:w="750" w:type="dxa"/>
          </w:tcPr>
          <w:p w14:paraId="33DD29B8" w14:textId="758C63C3" w:rsidR="00664375" w:rsidRPr="00A14F37" w:rsidRDefault="00877AD1" w:rsidP="00A14F37">
            <w:pPr>
              <w:rPr>
                <w:b/>
                <w:bCs/>
                <w:color w:val="000000"/>
              </w:rPr>
            </w:pPr>
            <w:r w:rsidRPr="00A14F37">
              <w:rPr>
                <w:b/>
                <w:bCs/>
                <w:color w:val="000000"/>
              </w:rPr>
              <w:t>MCP Effect</w:t>
            </w:r>
          </w:p>
        </w:tc>
        <w:tc>
          <w:tcPr>
            <w:tcW w:w="1019" w:type="dxa"/>
          </w:tcPr>
          <w:p w14:paraId="46963DAD" w14:textId="3E4A4E25" w:rsidR="00664375" w:rsidRPr="00A14F37" w:rsidRDefault="00877AD1" w:rsidP="00A14F37">
            <w:pPr>
              <w:rPr>
                <w:b/>
                <w:bCs/>
                <w:color w:val="000000"/>
              </w:rPr>
            </w:pPr>
            <w:r w:rsidRPr="00A14F37">
              <w:rPr>
                <w:b/>
                <w:bCs/>
                <w:color w:val="000000"/>
              </w:rPr>
              <w:t>Pre-to-Post Exercise</w:t>
            </w:r>
          </w:p>
        </w:tc>
        <w:tc>
          <w:tcPr>
            <w:tcW w:w="900" w:type="dxa"/>
          </w:tcPr>
          <w:p w14:paraId="0CC8FAC8" w14:textId="72D4B0DC" w:rsidR="00664375" w:rsidRPr="00A14F37" w:rsidRDefault="00877AD1" w:rsidP="00A14F37">
            <w:pPr>
              <w:rPr>
                <w:b/>
                <w:bCs/>
                <w:color w:val="000000"/>
              </w:rPr>
            </w:pPr>
            <w:r w:rsidRPr="00A14F37">
              <w:rPr>
                <w:b/>
                <w:bCs/>
                <w:color w:val="000000"/>
              </w:rPr>
              <w:t>MCP x Exercise</w:t>
            </w:r>
          </w:p>
        </w:tc>
      </w:tr>
      <w:tr w:rsidR="00762F2E" w:rsidRPr="00A14F37" w14:paraId="1ADF733D" w14:textId="77777777" w:rsidTr="00877AD1">
        <w:tc>
          <w:tcPr>
            <w:tcW w:w="624" w:type="dxa"/>
            <w:hideMark/>
          </w:tcPr>
          <w:p w14:paraId="1C565FD6" w14:textId="77777777" w:rsidR="003C4DF6" w:rsidRPr="00A14F37" w:rsidRDefault="003C4DF6" w:rsidP="00A14F37">
            <w:pPr>
              <w:rPr>
                <w:b/>
                <w:bCs/>
                <w:color w:val="000000"/>
              </w:rPr>
            </w:pPr>
          </w:p>
        </w:tc>
        <w:tc>
          <w:tcPr>
            <w:tcW w:w="874" w:type="dxa"/>
            <w:hideMark/>
          </w:tcPr>
          <w:p w14:paraId="38A7642B" w14:textId="77777777" w:rsidR="003C4DF6" w:rsidRPr="00A14F37" w:rsidRDefault="003C4DF6" w:rsidP="00A14F37">
            <w:pPr>
              <w:rPr>
                <w:b/>
                <w:bCs/>
                <w:color w:val="000000"/>
                <w:sz w:val="24"/>
                <w:szCs w:val="24"/>
              </w:rPr>
            </w:pPr>
            <w:r w:rsidRPr="00A14F37">
              <w:rPr>
                <w:b/>
                <w:bCs/>
                <w:color w:val="000000"/>
              </w:rPr>
              <w:t>Pre</w:t>
            </w:r>
          </w:p>
        </w:tc>
        <w:tc>
          <w:tcPr>
            <w:tcW w:w="749" w:type="dxa"/>
            <w:hideMark/>
          </w:tcPr>
          <w:p w14:paraId="08BA8DC8" w14:textId="77777777" w:rsidR="003C4DF6" w:rsidRPr="00A14F37" w:rsidRDefault="003C4DF6" w:rsidP="00A14F37">
            <w:pPr>
              <w:rPr>
                <w:b/>
                <w:bCs/>
                <w:color w:val="000000"/>
              </w:rPr>
            </w:pPr>
            <w:r w:rsidRPr="00A14F37">
              <w:rPr>
                <w:b/>
                <w:bCs/>
                <w:color w:val="000000"/>
              </w:rPr>
              <w:t>Post</w:t>
            </w:r>
          </w:p>
        </w:tc>
        <w:tc>
          <w:tcPr>
            <w:tcW w:w="749" w:type="dxa"/>
            <w:hideMark/>
          </w:tcPr>
          <w:p w14:paraId="77DDE20F" w14:textId="77777777" w:rsidR="003C4DF6" w:rsidRPr="00A14F37" w:rsidRDefault="003C4DF6" w:rsidP="00A14F37">
            <w:pPr>
              <w:rPr>
                <w:b/>
                <w:bCs/>
                <w:color w:val="000000"/>
              </w:rPr>
            </w:pPr>
            <w:r w:rsidRPr="00A14F37">
              <w:rPr>
                <w:b/>
                <w:bCs/>
                <w:color w:val="000000"/>
              </w:rPr>
              <w:t>Δ</w:t>
            </w:r>
          </w:p>
        </w:tc>
        <w:tc>
          <w:tcPr>
            <w:tcW w:w="750" w:type="dxa"/>
            <w:hideMark/>
          </w:tcPr>
          <w:p w14:paraId="16364054" w14:textId="77777777" w:rsidR="003C4DF6" w:rsidRPr="00A14F37" w:rsidRDefault="003C4DF6" w:rsidP="00A14F37">
            <w:pPr>
              <w:rPr>
                <w:b/>
                <w:bCs/>
                <w:color w:val="000000"/>
              </w:rPr>
            </w:pPr>
            <w:r w:rsidRPr="00A14F37">
              <w:rPr>
                <w:b/>
                <w:bCs/>
                <w:color w:val="000000"/>
              </w:rPr>
              <w:t>Pre</w:t>
            </w:r>
          </w:p>
        </w:tc>
        <w:tc>
          <w:tcPr>
            <w:tcW w:w="750" w:type="dxa"/>
            <w:hideMark/>
          </w:tcPr>
          <w:p w14:paraId="3A4E9921" w14:textId="77777777" w:rsidR="003C4DF6" w:rsidRPr="00A14F37" w:rsidRDefault="003C4DF6" w:rsidP="00A14F37">
            <w:pPr>
              <w:rPr>
                <w:b/>
                <w:bCs/>
                <w:color w:val="000000"/>
              </w:rPr>
            </w:pPr>
            <w:r w:rsidRPr="00A14F37">
              <w:rPr>
                <w:b/>
                <w:bCs/>
                <w:color w:val="000000"/>
              </w:rPr>
              <w:t>Post</w:t>
            </w:r>
          </w:p>
        </w:tc>
        <w:tc>
          <w:tcPr>
            <w:tcW w:w="750" w:type="dxa"/>
            <w:hideMark/>
          </w:tcPr>
          <w:p w14:paraId="74554CD2" w14:textId="77777777" w:rsidR="003C4DF6" w:rsidRPr="00A14F37" w:rsidRDefault="003C4DF6" w:rsidP="00A14F37">
            <w:pPr>
              <w:rPr>
                <w:b/>
                <w:bCs/>
                <w:color w:val="000000"/>
              </w:rPr>
            </w:pPr>
            <w:r w:rsidRPr="00A14F37">
              <w:rPr>
                <w:b/>
                <w:bCs/>
                <w:color w:val="000000"/>
              </w:rPr>
              <w:t>Δ</w:t>
            </w:r>
          </w:p>
        </w:tc>
        <w:tc>
          <w:tcPr>
            <w:tcW w:w="750" w:type="dxa"/>
            <w:hideMark/>
          </w:tcPr>
          <w:p w14:paraId="0770F939" w14:textId="77777777" w:rsidR="003C4DF6" w:rsidRPr="00A14F37" w:rsidRDefault="003C4DF6" w:rsidP="00A14F37">
            <w:pPr>
              <w:rPr>
                <w:b/>
                <w:bCs/>
                <w:color w:val="000000"/>
              </w:rPr>
            </w:pPr>
            <w:r w:rsidRPr="00A14F37">
              <w:rPr>
                <w:b/>
                <w:bCs/>
                <w:color w:val="000000"/>
              </w:rPr>
              <w:t>Pre</w:t>
            </w:r>
          </w:p>
        </w:tc>
        <w:tc>
          <w:tcPr>
            <w:tcW w:w="750" w:type="dxa"/>
            <w:hideMark/>
          </w:tcPr>
          <w:p w14:paraId="1415A699" w14:textId="77777777" w:rsidR="003C4DF6" w:rsidRPr="00A14F37" w:rsidRDefault="003C4DF6" w:rsidP="00A14F37">
            <w:pPr>
              <w:rPr>
                <w:b/>
                <w:bCs/>
                <w:color w:val="000000"/>
              </w:rPr>
            </w:pPr>
            <w:r w:rsidRPr="00A14F37">
              <w:rPr>
                <w:b/>
                <w:bCs/>
                <w:color w:val="000000"/>
              </w:rPr>
              <w:t>Post</w:t>
            </w:r>
          </w:p>
        </w:tc>
        <w:tc>
          <w:tcPr>
            <w:tcW w:w="750" w:type="dxa"/>
            <w:hideMark/>
          </w:tcPr>
          <w:p w14:paraId="1DA4F97A" w14:textId="77777777" w:rsidR="003C4DF6" w:rsidRPr="00A14F37" w:rsidRDefault="003C4DF6" w:rsidP="00A14F37">
            <w:pPr>
              <w:rPr>
                <w:b/>
                <w:bCs/>
                <w:color w:val="000000"/>
              </w:rPr>
            </w:pPr>
            <w:r w:rsidRPr="00A14F37">
              <w:rPr>
                <w:b/>
                <w:bCs/>
                <w:color w:val="000000"/>
              </w:rPr>
              <w:t>Δ</w:t>
            </w:r>
          </w:p>
        </w:tc>
        <w:tc>
          <w:tcPr>
            <w:tcW w:w="750" w:type="dxa"/>
            <w:hideMark/>
          </w:tcPr>
          <w:p w14:paraId="5D037225" w14:textId="77777777" w:rsidR="003C4DF6" w:rsidRPr="00A14F37" w:rsidRDefault="003C4DF6" w:rsidP="00A14F37">
            <w:pPr>
              <w:rPr>
                <w:b/>
                <w:bCs/>
                <w:color w:val="000000"/>
              </w:rPr>
            </w:pPr>
            <w:r w:rsidRPr="00A14F37">
              <w:rPr>
                <w:b/>
                <w:bCs/>
                <w:color w:val="000000"/>
              </w:rPr>
              <w:t>1 × 3 ANOVA</w:t>
            </w:r>
          </w:p>
        </w:tc>
        <w:tc>
          <w:tcPr>
            <w:tcW w:w="1019" w:type="dxa"/>
            <w:hideMark/>
          </w:tcPr>
          <w:p w14:paraId="683ED174" w14:textId="77777777" w:rsidR="003C4DF6" w:rsidRPr="00A14F37" w:rsidRDefault="003C4DF6" w:rsidP="00A14F37">
            <w:pPr>
              <w:rPr>
                <w:b/>
                <w:bCs/>
                <w:color w:val="000000"/>
              </w:rPr>
            </w:pPr>
            <w:r w:rsidRPr="00A14F37">
              <w:rPr>
                <w:b/>
                <w:bCs/>
                <w:color w:val="000000"/>
              </w:rPr>
              <w:t>2 × 3 ANOVA</w:t>
            </w:r>
          </w:p>
        </w:tc>
        <w:tc>
          <w:tcPr>
            <w:tcW w:w="900" w:type="dxa"/>
            <w:hideMark/>
          </w:tcPr>
          <w:p w14:paraId="4CF62B14" w14:textId="77777777" w:rsidR="003C4DF6" w:rsidRPr="00A14F37" w:rsidRDefault="003C4DF6" w:rsidP="00A14F37">
            <w:pPr>
              <w:rPr>
                <w:b/>
                <w:bCs/>
                <w:color w:val="000000"/>
              </w:rPr>
            </w:pPr>
            <w:r w:rsidRPr="00A14F37">
              <w:rPr>
                <w:b/>
                <w:bCs/>
                <w:color w:val="000000"/>
              </w:rPr>
              <w:t>2 × 3 ANOVA</w:t>
            </w:r>
          </w:p>
        </w:tc>
      </w:tr>
      <w:tr w:rsidR="00877AD1" w:rsidRPr="00A14F37" w14:paraId="6367B4F5" w14:textId="77777777" w:rsidTr="00877AD1">
        <w:tc>
          <w:tcPr>
            <w:tcW w:w="624" w:type="dxa"/>
            <w:hideMark/>
          </w:tcPr>
          <w:p w14:paraId="09549DE4" w14:textId="77777777" w:rsidR="003C4DF6" w:rsidRPr="00A14F37" w:rsidRDefault="003C4DF6" w:rsidP="00A14F37">
            <w:r w:rsidRPr="00A14F37">
              <w:t>MVC, N</w:t>
            </w:r>
          </w:p>
        </w:tc>
        <w:tc>
          <w:tcPr>
            <w:tcW w:w="874" w:type="dxa"/>
            <w:hideMark/>
          </w:tcPr>
          <w:p w14:paraId="0E39E62F" w14:textId="77777777" w:rsidR="003C4DF6" w:rsidRPr="00A14F37" w:rsidRDefault="003C4DF6" w:rsidP="00A14F37">
            <w:r w:rsidRPr="00A14F37">
              <w:t>457 ± 79</w:t>
            </w:r>
          </w:p>
        </w:tc>
        <w:tc>
          <w:tcPr>
            <w:tcW w:w="749" w:type="dxa"/>
            <w:hideMark/>
          </w:tcPr>
          <w:p w14:paraId="5E404EF2" w14:textId="77777777" w:rsidR="003C4DF6" w:rsidRPr="00A14F37" w:rsidRDefault="003C4DF6" w:rsidP="00A14F37">
            <w:r w:rsidRPr="00A14F37">
              <w:t>344 ± 59</w:t>
            </w:r>
          </w:p>
        </w:tc>
        <w:tc>
          <w:tcPr>
            <w:tcW w:w="749" w:type="dxa"/>
            <w:hideMark/>
          </w:tcPr>
          <w:p w14:paraId="64218AC1" w14:textId="77777777" w:rsidR="003C4DF6" w:rsidRPr="00A14F37" w:rsidRDefault="003C4DF6" w:rsidP="00A14F37">
            <w:r w:rsidRPr="00A14F37">
              <w:t>−25%</w:t>
            </w:r>
          </w:p>
        </w:tc>
        <w:tc>
          <w:tcPr>
            <w:tcW w:w="750" w:type="dxa"/>
            <w:hideMark/>
          </w:tcPr>
          <w:p w14:paraId="75D4FD14" w14:textId="77777777" w:rsidR="003C4DF6" w:rsidRPr="00A14F37" w:rsidRDefault="003C4DF6" w:rsidP="00A14F37">
            <w:r w:rsidRPr="00A14F37">
              <w:t>454 ± 78</w:t>
            </w:r>
          </w:p>
        </w:tc>
        <w:tc>
          <w:tcPr>
            <w:tcW w:w="750" w:type="dxa"/>
            <w:hideMark/>
          </w:tcPr>
          <w:p w14:paraId="06FDE8D9" w14:textId="77777777" w:rsidR="003C4DF6" w:rsidRPr="00A14F37" w:rsidRDefault="003C4DF6" w:rsidP="00A14F37">
            <w:r w:rsidRPr="00A14F37">
              <w:t>337 ± 67</w:t>
            </w:r>
          </w:p>
        </w:tc>
        <w:tc>
          <w:tcPr>
            <w:tcW w:w="750" w:type="dxa"/>
            <w:hideMark/>
          </w:tcPr>
          <w:p w14:paraId="55DA749E" w14:textId="77777777" w:rsidR="003C4DF6" w:rsidRPr="00A14F37" w:rsidRDefault="003C4DF6" w:rsidP="00A14F37">
            <w:r w:rsidRPr="00A14F37">
              <w:t>−26%</w:t>
            </w:r>
          </w:p>
        </w:tc>
        <w:tc>
          <w:tcPr>
            <w:tcW w:w="750" w:type="dxa"/>
            <w:hideMark/>
          </w:tcPr>
          <w:p w14:paraId="38B8BC8C" w14:textId="77777777" w:rsidR="003C4DF6" w:rsidRPr="00A14F37" w:rsidRDefault="003C4DF6" w:rsidP="00A14F37">
            <w:r w:rsidRPr="00A14F37">
              <w:t>460 ± 87</w:t>
            </w:r>
          </w:p>
        </w:tc>
        <w:tc>
          <w:tcPr>
            <w:tcW w:w="750" w:type="dxa"/>
            <w:hideMark/>
          </w:tcPr>
          <w:p w14:paraId="222616F6" w14:textId="77777777" w:rsidR="003C4DF6" w:rsidRPr="00A14F37" w:rsidRDefault="003C4DF6" w:rsidP="00A14F37">
            <w:r w:rsidRPr="00A14F37">
              <w:t>355 ± 93</w:t>
            </w:r>
          </w:p>
        </w:tc>
        <w:tc>
          <w:tcPr>
            <w:tcW w:w="750" w:type="dxa"/>
            <w:hideMark/>
          </w:tcPr>
          <w:p w14:paraId="2A4B9583" w14:textId="77777777" w:rsidR="003C4DF6" w:rsidRPr="00A14F37" w:rsidRDefault="003C4DF6" w:rsidP="00A14F37">
            <w:r w:rsidRPr="00A14F37">
              <w:t>−24%</w:t>
            </w:r>
          </w:p>
        </w:tc>
        <w:tc>
          <w:tcPr>
            <w:tcW w:w="750" w:type="dxa"/>
            <w:hideMark/>
          </w:tcPr>
          <w:p w14:paraId="30B39AA2" w14:textId="77777777" w:rsidR="003C4DF6" w:rsidRPr="00A14F37" w:rsidRDefault="003C4DF6" w:rsidP="00A14F37">
            <w:r w:rsidRPr="00A14F37">
              <w:t>0.790</w:t>
            </w:r>
          </w:p>
        </w:tc>
        <w:tc>
          <w:tcPr>
            <w:tcW w:w="1019" w:type="dxa"/>
            <w:hideMark/>
          </w:tcPr>
          <w:p w14:paraId="753FFCBC" w14:textId="77777777" w:rsidR="003C4DF6" w:rsidRPr="00A14F37" w:rsidRDefault="003C4DF6" w:rsidP="00A14F37">
            <w:pPr>
              <w:rPr>
                <w:b/>
                <w:bCs/>
              </w:rPr>
            </w:pPr>
            <w:r w:rsidRPr="00A14F37">
              <w:rPr>
                <w:b/>
                <w:bCs/>
              </w:rPr>
              <w:t>&lt;0.001</w:t>
            </w:r>
          </w:p>
        </w:tc>
        <w:tc>
          <w:tcPr>
            <w:tcW w:w="900" w:type="dxa"/>
            <w:hideMark/>
          </w:tcPr>
          <w:p w14:paraId="32CFA7DE" w14:textId="77777777" w:rsidR="003C4DF6" w:rsidRPr="00A14F37" w:rsidRDefault="003C4DF6" w:rsidP="00A14F37">
            <w:r w:rsidRPr="00A14F37">
              <w:t>0.236</w:t>
            </w:r>
          </w:p>
        </w:tc>
      </w:tr>
      <w:tr w:rsidR="00877AD1" w:rsidRPr="00A14F37" w14:paraId="778A8A3F" w14:textId="77777777" w:rsidTr="00877AD1">
        <w:tc>
          <w:tcPr>
            <w:tcW w:w="624" w:type="dxa"/>
            <w:hideMark/>
          </w:tcPr>
          <w:p w14:paraId="1C95F585" w14:textId="77777777" w:rsidR="003C4DF6" w:rsidRPr="00A14F37" w:rsidRDefault="003C4DF6" w:rsidP="00A14F37">
            <w:r w:rsidRPr="00A14F37">
              <w:t>SIT</w:t>
            </w:r>
            <w:r w:rsidRPr="00A14F37">
              <w:rPr>
                <w:sz w:val="16"/>
                <w:szCs w:val="16"/>
                <w:vertAlign w:val="subscript"/>
              </w:rPr>
              <w:t>MNS</w:t>
            </w:r>
            <w:r w:rsidRPr="00A14F37">
              <w:t>, N</w:t>
            </w:r>
          </w:p>
        </w:tc>
        <w:tc>
          <w:tcPr>
            <w:tcW w:w="874" w:type="dxa"/>
            <w:hideMark/>
          </w:tcPr>
          <w:p w14:paraId="3FF8B2FA" w14:textId="77777777" w:rsidR="003C4DF6" w:rsidRPr="00A14F37" w:rsidRDefault="003C4DF6" w:rsidP="00A14F37">
            <w:r w:rsidRPr="00A14F37">
              <w:t>9 ± 5</w:t>
            </w:r>
            <w:hyperlink r:id="rId97" w:anchor="T5F2" w:history="1">
              <w:r w:rsidRPr="00B17024">
                <w:rPr>
                  <w:rStyle w:val="Hyperlink"/>
                  <w:color w:val="auto"/>
                </w:rPr>
                <w:t>#</w:t>
              </w:r>
            </w:hyperlink>
          </w:p>
        </w:tc>
        <w:tc>
          <w:tcPr>
            <w:tcW w:w="749" w:type="dxa"/>
            <w:hideMark/>
          </w:tcPr>
          <w:p w14:paraId="42F6FB7C" w14:textId="77777777" w:rsidR="003C4DF6" w:rsidRPr="00A14F37" w:rsidRDefault="003C4DF6" w:rsidP="00A14F37">
            <w:r w:rsidRPr="00A14F37">
              <w:t>11 ± 7</w:t>
            </w:r>
          </w:p>
        </w:tc>
        <w:tc>
          <w:tcPr>
            <w:tcW w:w="749" w:type="dxa"/>
            <w:hideMark/>
          </w:tcPr>
          <w:p w14:paraId="181A95A6" w14:textId="77777777" w:rsidR="003C4DF6" w:rsidRPr="00A14F37" w:rsidRDefault="003C4DF6" w:rsidP="00A14F37"/>
        </w:tc>
        <w:tc>
          <w:tcPr>
            <w:tcW w:w="750" w:type="dxa"/>
            <w:hideMark/>
          </w:tcPr>
          <w:p w14:paraId="4EEBAD5D" w14:textId="77777777" w:rsidR="003C4DF6" w:rsidRPr="00A14F37" w:rsidRDefault="003C4DF6" w:rsidP="00A14F37">
            <w:pPr>
              <w:rPr>
                <w:sz w:val="24"/>
                <w:szCs w:val="24"/>
              </w:rPr>
            </w:pPr>
            <w:r w:rsidRPr="00A14F37">
              <w:t>7 ± 4</w:t>
            </w:r>
          </w:p>
        </w:tc>
        <w:tc>
          <w:tcPr>
            <w:tcW w:w="750" w:type="dxa"/>
            <w:hideMark/>
          </w:tcPr>
          <w:p w14:paraId="42669B22" w14:textId="77777777" w:rsidR="003C4DF6" w:rsidRPr="00A14F37" w:rsidRDefault="003C4DF6" w:rsidP="00A14F37">
            <w:r w:rsidRPr="00A14F37">
              <w:t>10 ± 8</w:t>
            </w:r>
          </w:p>
        </w:tc>
        <w:tc>
          <w:tcPr>
            <w:tcW w:w="750" w:type="dxa"/>
            <w:hideMark/>
          </w:tcPr>
          <w:p w14:paraId="755A32BA" w14:textId="77777777" w:rsidR="003C4DF6" w:rsidRPr="00A14F37" w:rsidRDefault="003C4DF6" w:rsidP="00A14F37"/>
        </w:tc>
        <w:tc>
          <w:tcPr>
            <w:tcW w:w="750" w:type="dxa"/>
            <w:hideMark/>
          </w:tcPr>
          <w:p w14:paraId="2058FF6F" w14:textId="77777777" w:rsidR="003C4DF6" w:rsidRPr="00A14F37" w:rsidRDefault="003C4DF6" w:rsidP="00A14F37">
            <w:pPr>
              <w:rPr>
                <w:sz w:val="24"/>
                <w:szCs w:val="24"/>
              </w:rPr>
            </w:pPr>
            <w:r w:rsidRPr="00A14F37">
              <w:t>8 ± 4</w:t>
            </w:r>
          </w:p>
        </w:tc>
        <w:tc>
          <w:tcPr>
            <w:tcW w:w="750" w:type="dxa"/>
            <w:hideMark/>
          </w:tcPr>
          <w:p w14:paraId="114C1487" w14:textId="77777777" w:rsidR="003C4DF6" w:rsidRPr="00A14F37" w:rsidRDefault="003C4DF6" w:rsidP="00A14F37">
            <w:r w:rsidRPr="00A14F37">
              <w:t>11 ± 6</w:t>
            </w:r>
          </w:p>
        </w:tc>
        <w:tc>
          <w:tcPr>
            <w:tcW w:w="750" w:type="dxa"/>
            <w:hideMark/>
          </w:tcPr>
          <w:p w14:paraId="2EBC324C" w14:textId="77777777" w:rsidR="003C4DF6" w:rsidRPr="00A14F37" w:rsidRDefault="003C4DF6" w:rsidP="00A14F37">
            <w:pPr>
              <w:rPr>
                <w:b/>
                <w:bCs/>
              </w:rPr>
            </w:pPr>
          </w:p>
        </w:tc>
        <w:tc>
          <w:tcPr>
            <w:tcW w:w="750" w:type="dxa"/>
            <w:hideMark/>
          </w:tcPr>
          <w:p w14:paraId="04E24A61" w14:textId="77777777" w:rsidR="003C4DF6" w:rsidRPr="00A14F37" w:rsidRDefault="003C4DF6" w:rsidP="00A14F37">
            <w:pPr>
              <w:rPr>
                <w:b/>
                <w:bCs/>
                <w:sz w:val="24"/>
                <w:szCs w:val="24"/>
              </w:rPr>
            </w:pPr>
            <w:r w:rsidRPr="00A14F37">
              <w:rPr>
                <w:b/>
                <w:bCs/>
              </w:rPr>
              <w:t>0.040</w:t>
            </w:r>
          </w:p>
        </w:tc>
        <w:tc>
          <w:tcPr>
            <w:tcW w:w="1019" w:type="dxa"/>
            <w:hideMark/>
          </w:tcPr>
          <w:p w14:paraId="784C2AA0" w14:textId="77777777" w:rsidR="003C4DF6" w:rsidRPr="00A14F37" w:rsidRDefault="003C4DF6" w:rsidP="00A14F37">
            <w:pPr>
              <w:rPr>
                <w:b/>
                <w:bCs/>
              </w:rPr>
            </w:pPr>
            <w:r w:rsidRPr="00A14F37">
              <w:rPr>
                <w:b/>
                <w:bCs/>
              </w:rPr>
              <w:t>0.069</w:t>
            </w:r>
          </w:p>
        </w:tc>
        <w:tc>
          <w:tcPr>
            <w:tcW w:w="900" w:type="dxa"/>
            <w:hideMark/>
          </w:tcPr>
          <w:p w14:paraId="1D0C2F98" w14:textId="77777777" w:rsidR="003C4DF6" w:rsidRPr="00A14F37" w:rsidRDefault="003C4DF6" w:rsidP="00A14F37">
            <w:r w:rsidRPr="00A14F37">
              <w:t>0.452</w:t>
            </w:r>
          </w:p>
        </w:tc>
      </w:tr>
      <w:tr w:rsidR="00877AD1" w:rsidRPr="00A14F37" w14:paraId="0EECFC2A" w14:textId="77777777" w:rsidTr="00877AD1">
        <w:tc>
          <w:tcPr>
            <w:tcW w:w="624" w:type="dxa"/>
            <w:hideMark/>
          </w:tcPr>
          <w:p w14:paraId="18E67D4A" w14:textId="77777777" w:rsidR="003C4DF6" w:rsidRPr="00A14F37" w:rsidRDefault="003C4DF6" w:rsidP="00A14F37">
            <w:r w:rsidRPr="00A14F37">
              <w:lastRenderedPageBreak/>
              <w:t>Q</w:t>
            </w:r>
            <w:r w:rsidRPr="00A14F37">
              <w:rPr>
                <w:sz w:val="16"/>
                <w:szCs w:val="16"/>
                <w:vertAlign w:val="subscript"/>
              </w:rPr>
              <w:t>tw.pot</w:t>
            </w:r>
            <w:r w:rsidRPr="00A14F37">
              <w:t>N</w:t>
            </w:r>
          </w:p>
        </w:tc>
        <w:tc>
          <w:tcPr>
            <w:tcW w:w="874" w:type="dxa"/>
            <w:hideMark/>
          </w:tcPr>
          <w:p w14:paraId="5D6130A9" w14:textId="77777777" w:rsidR="003C4DF6" w:rsidRPr="00A14F37" w:rsidRDefault="003C4DF6" w:rsidP="00A14F37">
            <w:r w:rsidRPr="00A14F37">
              <w:t>148 ± 20</w:t>
            </w:r>
          </w:p>
        </w:tc>
        <w:tc>
          <w:tcPr>
            <w:tcW w:w="749" w:type="dxa"/>
            <w:hideMark/>
          </w:tcPr>
          <w:p w14:paraId="7494A6BF" w14:textId="77777777" w:rsidR="003C4DF6" w:rsidRPr="00A14F37" w:rsidRDefault="003C4DF6" w:rsidP="00A14F37">
            <w:r w:rsidRPr="00A14F37">
              <w:t>95 ± 24</w:t>
            </w:r>
          </w:p>
        </w:tc>
        <w:tc>
          <w:tcPr>
            <w:tcW w:w="749" w:type="dxa"/>
            <w:hideMark/>
          </w:tcPr>
          <w:p w14:paraId="05CDE80C" w14:textId="77777777" w:rsidR="003C4DF6" w:rsidRPr="00A14F37" w:rsidRDefault="003C4DF6" w:rsidP="00A14F37">
            <w:r w:rsidRPr="00A14F37">
              <w:t>−36%</w:t>
            </w:r>
          </w:p>
        </w:tc>
        <w:tc>
          <w:tcPr>
            <w:tcW w:w="750" w:type="dxa"/>
            <w:hideMark/>
          </w:tcPr>
          <w:p w14:paraId="474BD52C" w14:textId="77777777" w:rsidR="003C4DF6" w:rsidRPr="00A14F37" w:rsidRDefault="003C4DF6" w:rsidP="00A14F37">
            <w:r w:rsidRPr="00A14F37">
              <w:t>150 ± 20</w:t>
            </w:r>
          </w:p>
        </w:tc>
        <w:tc>
          <w:tcPr>
            <w:tcW w:w="750" w:type="dxa"/>
            <w:hideMark/>
          </w:tcPr>
          <w:p w14:paraId="433DD765" w14:textId="77777777" w:rsidR="003C4DF6" w:rsidRPr="00A14F37" w:rsidRDefault="003C4DF6" w:rsidP="00A14F37">
            <w:r w:rsidRPr="00A14F37">
              <w:t>91 ± 22</w:t>
            </w:r>
          </w:p>
        </w:tc>
        <w:tc>
          <w:tcPr>
            <w:tcW w:w="750" w:type="dxa"/>
            <w:hideMark/>
          </w:tcPr>
          <w:p w14:paraId="367D1270" w14:textId="77777777" w:rsidR="003C4DF6" w:rsidRPr="00A14F37" w:rsidRDefault="003C4DF6" w:rsidP="00A14F37">
            <w:r w:rsidRPr="00A14F37">
              <w:t>−39%</w:t>
            </w:r>
          </w:p>
        </w:tc>
        <w:tc>
          <w:tcPr>
            <w:tcW w:w="750" w:type="dxa"/>
            <w:hideMark/>
          </w:tcPr>
          <w:p w14:paraId="773916DF" w14:textId="77777777" w:rsidR="003C4DF6" w:rsidRPr="00A14F37" w:rsidRDefault="003C4DF6" w:rsidP="00A14F37">
            <w:r w:rsidRPr="00A14F37">
              <w:t>151 ± 23</w:t>
            </w:r>
          </w:p>
        </w:tc>
        <w:tc>
          <w:tcPr>
            <w:tcW w:w="750" w:type="dxa"/>
            <w:hideMark/>
          </w:tcPr>
          <w:p w14:paraId="642F4E17" w14:textId="77777777" w:rsidR="003C4DF6" w:rsidRPr="00A14F37" w:rsidRDefault="003C4DF6" w:rsidP="00A14F37">
            <w:r w:rsidRPr="00A14F37">
              <w:t>94 ± 26</w:t>
            </w:r>
          </w:p>
        </w:tc>
        <w:tc>
          <w:tcPr>
            <w:tcW w:w="750" w:type="dxa"/>
            <w:hideMark/>
          </w:tcPr>
          <w:p w14:paraId="05D3A38C" w14:textId="77777777" w:rsidR="003C4DF6" w:rsidRPr="00A14F37" w:rsidRDefault="003C4DF6" w:rsidP="00A14F37">
            <w:r w:rsidRPr="00A14F37">
              <w:t>−38%</w:t>
            </w:r>
          </w:p>
        </w:tc>
        <w:tc>
          <w:tcPr>
            <w:tcW w:w="750" w:type="dxa"/>
            <w:hideMark/>
          </w:tcPr>
          <w:p w14:paraId="2335E783" w14:textId="77777777" w:rsidR="003C4DF6" w:rsidRPr="00A14F37" w:rsidRDefault="003C4DF6" w:rsidP="00A14F37">
            <w:r w:rsidRPr="00A14F37">
              <w:t>0.782</w:t>
            </w:r>
          </w:p>
        </w:tc>
        <w:tc>
          <w:tcPr>
            <w:tcW w:w="1019" w:type="dxa"/>
            <w:hideMark/>
          </w:tcPr>
          <w:p w14:paraId="65FF4229" w14:textId="77777777" w:rsidR="003C4DF6" w:rsidRPr="00A14F37" w:rsidRDefault="003C4DF6" w:rsidP="00A14F37">
            <w:pPr>
              <w:rPr>
                <w:b/>
                <w:bCs/>
              </w:rPr>
            </w:pPr>
            <w:r w:rsidRPr="00A14F37">
              <w:rPr>
                <w:b/>
                <w:bCs/>
              </w:rPr>
              <w:t>&lt;0.001</w:t>
            </w:r>
          </w:p>
        </w:tc>
        <w:tc>
          <w:tcPr>
            <w:tcW w:w="900" w:type="dxa"/>
            <w:hideMark/>
          </w:tcPr>
          <w:p w14:paraId="0C9A1A3B" w14:textId="77777777" w:rsidR="003C4DF6" w:rsidRPr="00A14F37" w:rsidRDefault="003C4DF6" w:rsidP="00A14F37">
            <w:r w:rsidRPr="00A14F37">
              <w:t>0.634</w:t>
            </w:r>
          </w:p>
        </w:tc>
      </w:tr>
      <w:tr w:rsidR="00877AD1" w:rsidRPr="00A14F37" w14:paraId="11E91F2C" w14:textId="77777777" w:rsidTr="00877AD1">
        <w:tc>
          <w:tcPr>
            <w:tcW w:w="624" w:type="dxa"/>
            <w:hideMark/>
          </w:tcPr>
          <w:p w14:paraId="3492899C" w14:textId="77777777" w:rsidR="003C4DF6" w:rsidRPr="00A14F37" w:rsidRDefault="003C4DF6" w:rsidP="00A14F37">
            <w:r w:rsidRPr="00A14F37">
              <w:t>VA</w:t>
            </w:r>
            <w:r w:rsidRPr="00A14F37">
              <w:rPr>
                <w:sz w:val="16"/>
                <w:szCs w:val="16"/>
                <w:vertAlign w:val="subscript"/>
              </w:rPr>
              <w:t>MNS</w:t>
            </w:r>
            <w:r w:rsidRPr="00A14F37">
              <w:t>, %</w:t>
            </w:r>
          </w:p>
        </w:tc>
        <w:tc>
          <w:tcPr>
            <w:tcW w:w="874" w:type="dxa"/>
            <w:hideMark/>
          </w:tcPr>
          <w:p w14:paraId="74B601E8" w14:textId="77777777" w:rsidR="003C4DF6" w:rsidRPr="00A14F37" w:rsidRDefault="003C4DF6" w:rsidP="00A14F37">
            <w:r w:rsidRPr="00A14F37">
              <w:t>93.4 ± 2.8</w:t>
            </w:r>
          </w:p>
        </w:tc>
        <w:tc>
          <w:tcPr>
            <w:tcW w:w="749" w:type="dxa"/>
            <w:hideMark/>
          </w:tcPr>
          <w:p w14:paraId="05741221" w14:textId="77777777" w:rsidR="003C4DF6" w:rsidRPr="00A14F37" w:rsidRDefault="003C4DF6" w:rsidP="00A14F37">
            <w:r w:rsidRPr="00A14F37">
              <w:t>88.4 ± 8.8</w:t>
            </w:r>
          </w:p>
        </w:tc>
        <w:tc>
          <w:tcPr>
            <w:tcW w:w="749" w:type="dxa"/>
            <w:hideMark/>
          </w:tcPr>
          <w:p w14:paraId="50E81E61" w14:textId="77777777" w:rsidR="003C4DF6" w:rsidRPr="00A14F37" w:rsidRDefault="003C4DF6" w:rsidP="00A14F37">
            <w:r w:rsidRPr="00A14F37">
              <w:t>−6%</w:t>
            </w:r>
          </w:p>
        </w:tc>
        <w:tc>
          <w:tcPr>
            <w:tcW w:w="750" w:type="dxa"/>
            <w:hideMark/>
          </w:tcPr>
          <w:p w14:paraId="73E25763" w14:textId="77777777" w:rsidR="003C4DF6" w:rsidRPr="00A14F37" w:rsidRDefault="003C4DF6" w:rsidP="00A14F37">
            <w:r w:rsidRPr="00A14F37">
              <w:t>95.3 ± 1.9</w:t>
            </w:r>
            <w:hyperlink r:id="rId98" w:anchor="T5F1" w:history="1">
              <w:r w:rsidRPr="00B17024">
                <w:rPr>
                  <w:rStyle w:val="Hyperlink"/>
                  <w:color w:val="auto"/>
                </w:rPr>
                <w:t>*</w:t>
              </w:r>
            </w:hyperlink>
          </w:p>
        </w:tc>
        <w:tc>
          <w:tcPr>
            <w:tcW w:w="750" w:type="dxa"/>
            <w:hideMark/>
          </w:tcPr>
          <w:p w14:paraId="4D3F5D3C" w14:textId="77777777" w:rsidR="003C4DF6" w:rsidRPr="00A14F37" w:rsidRDefault="003C4DF6" w:rsidP="00A14F37">
            <w:r w:rsidRPr="00A14F37">
              <w:t>87.9 ± 6.9</w:t>
            </w:r>
          </w:p>
        </w:tc>
        <w:tc>
          <w:tcPr>
            <w:tcW w:w="750" w:type="dxa"/>
            <w:hideMark/>
          </w:tcPr>
          <w:p w14:paraId="12E8B2C6" w14:textId="77777777" w:rsidR="003C4DF6" w:rsidRPr="00A14F37" w:rsidRDefault="003C4DF6" w:rsidP="00A14F37">
            <w:r w:rsidRPr="00A14F37">
              <w:t>−8%</w:t>
            </w:r>
          </w:p>
        </w:tc>
        <w:tc>
          <w:tcPr>
            <w:tcW w:w="750" w:type="dxa"/>
            <w:hideMark/>
          </w:tcPr>
          <w:p w14:paraId="041EFF98" w14:textId="77777777" w:rsidR="003C4DF6" w:rsidRPr="00A14F37" w:rsidRDefault="003C4DF6" w:rsidP="00A14F37">
            <w:r w:rsidRPr="00A14F37">
              <w:t>94.3 ± 2.2</w:t>
            </w:r>
          </w:p>
        </w:tc>
        <w:tc>
          <w:tcPr>
            <w:tcW w:w="750" w:type="dxa"/>
            <w:hideMark/>
          </w:tcPr>
          <w:p w14:paraId="34401D65" w14:textId="77777777" w:rsidR="003C4DF6" w:rsidRPr="00A14F37" w:rsidRDefault="003C4DF6" w:rsidP="00A14F37">
            <w:r w:rsidRPr="00A14F37">
              <w:t>88.0 ± 5.6</w:t>
            </w:r>
          </w:p>
        </w:tc>
        <w:tc>
          <w:tcPr>
            <w:tcW w:w="750" w:type="dxa"/>
            <w:hideMark/>
          </w:tcPr>
          <w:p w14:paraId="1AB487DB" w14:textId="77777777" w:rsidR="003C4DF6" w:rsidRPr="00A14F37" w:rsidRDefault="003C4DF6" w:rsidP="00A14F37">
            <w:r w:rsidRPr="00A14F37">
              <w:t>−7%</w:t>
            </w:r>
          </w:p>
        </w:tc>
        <w:tc>
          <w:tcPr>
            <w:tcW w:w="750" w:type="dxa"/>
            <w:hideMark/>
          </w:tcPr>
          <w:p w14:paraId="1ACCA012" w14:textId="77777777" w:rsidR="003C4DF6" w:rsidRPr="00A14F37" w:rsidRDefault="003C4DF6" w:rsidP="00A14F37">
            <w:pPr>
              <w:rPr>
                <w:b/>
                <w:bCs/>
              </w:rPr>
            </w:pPr>
            <w:r w:rsidRPr="00A14F37">
              <w:rPr>
                <w:b/>
                <w:bCs/>
              </w:rPr>
              <w:t>0.001</w:t>
            </w:r>
          </w:p>
        </w:tc>
        <w:tc>
          <w:tcPr>
            <w:tcW w:w="1019" w:type="dxa"/>
            <w:hideMark/>
          </w:tcPr>
          <w:p w14:paraId="37259F44" w14:textId="77777777" w:rsidR="003C4DF6" w:rsidRPr="00A14F37" w:rsidRDefault="003C4DF6" w:rsidP="00A14F37">
            <w:pPr>
              <w:rPr>
                <w:b/>
                <w:bCs/>
              </w:rPr>
            </w:pPr>
            <w:r w:rsidRPr="00A14F37">
              <w:rPr>
                <w:b/>
                <w:bCs/>
              </w:rPr>
              <w:t>0.002</w:t>
            </w:r>
          </w:p>
        </w:tc>
        <w:tc>
          <w:tcPr>
            <w:tcW w:w="900" w:type="dxa"/>
            <w:hideMark/>
          </w:tcPr>
          <w:p w14:paraId="395BCD8B" w14:textId="77777777" w:rsidR="003C4DF6" w:rsidRPr="00A14F37" w:rsidRDefault="003C4DF6" w:rsidP="00A14F37">
            <w:r w:rsidRPr="00A14F37">
              <w:t>0.303</w:t>
            </w:r>
          </w:p>
        </w:tc>
      </w:tr>
      <w:tr w:rsidR="00877AD1" w:rsidRPr="00A14F37" w14:paraId="1A3B79E4" w14:textId="77777777" w:rsidTr="00877AD1">
        <w:tc>
          <w:tcPr>
            <w:tcW w:w="624" w:type="dxa"/>
            <w:hideMark/>
          </w:tcPr>
          <w:p w14:paraId="375D8E03" w14:textId="77777777" w:rsidR="003C4DF6" w:rsidRPr="00A14F37" w:rsidRDefault="003C4DF6" w:rsidP="00A14F37">
            <w:r w:rsidRPr="00A14F37">
              <w:t>SIT</w:t>
            </w:r>
            <w:r w:rsidRPr="00A14F37">
              <w:rPr>
                <w:sz w:val="16"/>
                <w:szCs w:val="16"/>
                <w:vertAlign w:val="subscript"/>
              </w:rPr>
              <w:t>TMS</w:t>
            </w:r>
            <w:r w:rsidRPr="00A14F37">
              <w:t>, N</w:t>
            </w:r>
          </w:p>
        </w:tc>
        <w:tc>
          <w:tcPr>
            <w:tcW w:w="874" w:type="dxa"/>
            <w:hideMark/>
          </w:tcPr>
          <w:p w14:paraId="1B1DD751" w14:textId="77777777" w:rsidR="003C4DF6" w:rsidRPr="00A14F37" w:rsidRDefault="003C4DF6" w:rsidP="00A14F37">
            <w:r w:rsidRPr="00A14F37">
              <w:t>6 ± 2</w:t>
            </w:r>
          </w:p>
        </w:tc>
        <w:tc>
          <w:tcPr>
            <w:tcW w:w="749" w:type="dxa"/>
            <w:hideMark/>
          </w:tcPr>
          <w:p w14:paraId="62DA0A2D" w14:textId="77777777" w:rsidR="003C4DF6" w:rsidRPr="00A14F37" w:rsidRDefault="003C4DF6" w:rsidP="00A14F37">
            <w:r w:rsidRPr="00A14F37">
              <w:t>10 ± 8</w:t>
            </w:r>
          </w:p>
        </w:tc>
        <w:tc>
          <w:tcPr>
            <w:tcW w:w="749" w:type="dxa"/>
            <w:hideMark/>
          </w:tcPr>
          <w:p w14:paraId="61C552B0" w14:textId="77777777" w:rsidR="003C4DF6" w:rsidRPr="00A14F37" w:rsidRDefault="003C4DF6" w:rsidP="00A14F37">
            <w:r w:rsidRPr="00A14F37">
              <w:t>67%</w:t>
            </w:r>
          </w:p>
        </w:tc>
        <w:tc>
          <w:tcPr>
            <w:tcW w:w="750" w:type="dxa"/>
            <w:hideMark/>
          </w:tcPr>
          <w:p w14:paraId="6A020AD1" w14:textId="77777777" w:rsidR="003C4DF6" w:rsidRPr="00A14F37" w:rsidRDefault="003C4DF6" w:rsidP="00A14F37">
            <w:r w:rsidRPr="00A14F37">
              <w:t>5 ± 3</w:t>
            </w:r>
          </w:p>
        </w:tc>
        <w:tc>
          <w:tcPr>
            <w:tcW w:w="750" w:type="dxa"/>
            <w:hideMark/>
          </w:tcPr>
          <w:p w14:paraId="6B65EECE" w14:textId="77777777" w:rsidR="003C4DF6" w:rsidRPr="00A14F37" w:rsidRDefault="003C4DF6" w:rsidP="00A14F37">
            <w:r w:rsidRPr="00A14F37">
              <w:t>9 ± 7</w:t>
            </w:r>
          </w:p>
        </w:tc>
        <w:tc>
          <w:tcPr>
            <w:tcW w:w="750" w:type="dxa"/>
            <w:hideMark/>
          </w:tcPr>
          <w:p w14:paraId="408750D8" w14:textId="77777777" w:rsidR="003C4DF6" w:rsidRPr="00A14F37" w:rsidRDefault="003C4DF6" w:rsidP="00A14F37">
            <w:r w:rsidRPr="00A14F37">
              <w:t>80%</w:t>
            </w:r>
          </w:p>
        </w:tc>
        <w:tc>
          <w:tcPr>
            <w:tcW w:w="750" w:type="dxa"/>
            <w:hideMark/>
          </w:tcPr>
          <w:p w14:paraId="223539A0" w14:textId="77777777" w:rsidR="003C4DF6" w:rsidRPr="00A14F37" w:rsidRDefault="003C4DF6" w:rsidP="00A14F37">
            <w:r w:rsidRPr="00A14F37">
              <w:t>7 ± 6</w:t>
            </w:r>
          </w:p>
        </w:tc>
        <w:tc>
          <w:tcPr>
            <w:tcW w:w="750" w:type="dxa"/>
            <w:hideMark/>
          </w:tcPr>
          <w:p w14:paraId="6EF069B7" w14:textId="77777777" w:rsidR="003C4DF6" w:rsidRPr="00A14F37" w:rsidRDefault="003C4DF6" w:rsidP="00A14F37">
            <w:r w:rsidRPr="00A14F37">
              <w:t>10 ± 9</w:t>
            </w:r>
          </w:p>
        </w:tc>
        <w:tc>
          <w:tcPr>
            <w:tcW w:w="750" w:type="dxa"/>
            <w:hideMark/>
          </w:tcPr>
          <w:p w14:paraId="18149355" w14:textId="77777777" w:rsidR="003C4DF6" w:rsidRPr="00A14F37" w:rsidRDefault="003C4DF6" w:rsidP="00A14F37">
            <w:r w:rsidRPr="00A14F37">
              <w:t>43%</w:t>
            </w:r>
          </w:p>
        </w:tc>
        <w:tc>
          <w:tcPr>
            <w:tcW w:w="750" w:type="dxa"/>
            <w:hideMark/>
          </w:tcPr>
          <w:p w14:paraId="6864F579" w14:textId="77777777" w:rsidR="003C4DF6" w:rsidRPr="00A14F37" w:rsidRDefault="003C4DF6" w:rsidP="00A14F37">
            <w:r w:rsidRPr="00A14F37">
              <w:t>0.136</w:t>
            </w:r>
          </w:p>
        </w:tc>
        <w:tc>
          <w:tcPr>
            <w:tcW w:w="1019" w:type="dxa"/>
            <w:hideMark/>
          </w:tcPr>
          <w:p w14:paraId="042A1BBF" w14:textId="77777777" w:rsidR="003C4DF6" w:rsidRPr="00A14F37" w:rsidRDefault="003C4DF6" w:rsidP="00A14F37">
            <w:pPr>
              <w:rPr>
                <w:b/>
                <w:bCs/>
              </w:rPr>
            </w:pPr>
            <w:r w:rsidRPr="00A14F37">
              <w:rPr>
                <w:b/>
                <w:bCs/>
              </w:rPr>
              <w:t>0.028</w:t>
            </w:r>
          </w:p>
        </w:tc>
        <w:tc>
          <w:tcPr>
            <w:tcW w:w="900" w:type="dxa"/>
            <w:hideMark/>
          </w:tcPr>
          <w:p w14:paraId="5E771A5E" w14:textId="77777777" w:rsidR="003C4DF6" w:rsidRPr="00A14F37" w:rsidRDefault="003C4DF6" w:rsidP="00A14F37">
            <w:r w:rsidRPr="00A14F37">
              <w:t>0.292</w:t>
            </w:r>
          </w:p>
        </w:tc>
      </w:tr>
      <w:tr w:rsidR="00877AD1" w:rsidRPr="00A14F37" w14:paraId="60FF2133" w14:textId="77777777" w:rsidTr="00877AD1">
        <w:tc>
          <w:tcPr>
            <w:tcW w:w="624" w:type="dxa"/>
            <w:hideMark/>
          </w:tcPr>
          <w:p w14:paraId="76BFEF53" w14:textId="77777777" w:rsidR="003C4DF6" w:rsidRPr="00A14F37" w:rsidRDefault="003C4DF6" w:rsidP="00A14F37">
            <w:r w:rsidRPr="00A14F37">
              <w:t>ERT, N</w:t>
            </w:r>
          </w:p>
        </w:tc>
        <w:tc>
          <w:tcPr>
            <w:tcW w:w="874" w:type="dxa"/>
            <w:hideMark/>
          </w:tcPr>
          <w:p w14:paraId="3C4D38A4" w14:textId="77777777" w:rsidR="003C4DF6" w:rsidRPr="00A14F37" w:rsidRDefault="003C4DF6" w:rsidP="00A14F37">
            <w:r w:rsidRPr="00A14F37">
              <w:t>94 ± 43,</w:t>
            </w:r>
          </w:p>
        </w:tc>
        <w:tc>
          <w:tcPr>
            <w:tcW w:w="749" w:type="dxa"/>
            <w:hideMark/>
          </w:tcPr>
          <w:p w14:paraId="7982BE39" w14:textId="77777777" w:rsidR="003C4DF6" w:rsidRPr="00A14F37" w:rsidRDefault="003C4DF6" w:rsidP="00A14F37">
            <w:r w:rsidRPr="00A14F37">
              <w:t>74 ± 37</w:t>
            </w:r>
          </w:p>
        </w:tc>
        <w:tc>
          <w:tcPr>
            <w:tcW w:w="749" w:type="dxa"/>
            <w:hideMark/>
          </w:tcPr>
          <w:p w14:paraId="27C877F6" w14:textId="77777777" w:rsidR="003C4DF6" w:rsidRPr="00A14F37" w:rsidRDefault="003C4DF6" w:rsidP="00A14F37">
            <w:r w:rsidRPr="00A14F37">
              <w:t>−35%</w:t>
            </w:r>
          </w:p>
        </w:tc>
        <w:tc>
          <w:tcPr>
            <w:tcW w:w="750" w:type="dxa"/>
            <w:hideMark/>
          </w:tcPr>
          <w:p w14:paraId="50AED788" w14:textId="77777777" w:rsidR="003C4DF6" w:rsidRPr="00A14F37" w:rsidRDefault="003C4DF6" w:rsidP="00A14F37">
            <w:r w:rsidRPr="00A14F37">
              <w:t>96 ± 39</w:t>
            </w:r>
          </w:p>
        </w:tc>
        <w:tc>
          <w:tcPr>
            <w:tcW w:w="750" w:type="dxa"/>
            <w:hideMark/>
          </w:tcPr>
          <w:p w14:paraId="5E8F5AF7" w14:textId="77777777" w:rsidR="003C4DF6" w:rsidRPr="00A14F37" w:rsidRDefault="003C4DF6" w:rsidP="00A14F37">
            <w:r w:rsidRPr="00A14F37">
              <w:t>64 ± 60</w:t>
            </w:r>
          </w:p>
        </w:tc>
        <w:tc>
          <w:tcPr>
            <w:tcW w:w="750" w:type="dxa"/>
            <w:hideMark/>
          </w:tcPr>
          <w:p w14:paraId="3CA19869" w14:textId="77777777" w:rsidR="003C4DF6" w:rsidRPr="00A14F37" w:rsidRDefault="003C4DF6" w:rsidP="00A14F37">
            <w:r w:rsidRPr="00A14F37">
              <w:t>−40%</w:t>
            </w:r>
          </w:p>
        </w:tc>
        <w:tc>
          <w:tcPr>
            <w:tcW w:w="750" w:type="dxa"/>
            <w:hideMark/>
          </w:tcPr>
          <w:p w14:paraId="1E60D674" w14:textId="77777777" w:rsidR="003C4DF6" w:rsidRPr="00A14F37" w:rsidRDefault="003C4DF6" w:rsidP="00A14F37">
            <w:r w:rsidRPr="00A14F37">
              <w:t>93 ± 43</w:t>
            </w:r>
          </w:p>
        </w:tc>
        <w:tc>
          <w:tcPr>
            <w:tcW w:w="750" w:type="dxa"/>
            <w:hideMark/>
          </w:tcPr>
          <w:p w14:paraId="040FDF9C" w14:textId="77777777" w:rsidR="003C4DF6" w:rsidRPr="00A14F37" w:rsidRDefault="003C4DF6" w:rsidP="00A14F37">
            <w:r w:rsidRPr="00A14F37">
              <w:t>70 ± 36</w:t>
            </w:r>
          </w:p>
        </w:tc>
        <w:tc>
          <w:tcPr>
            <w:tcW w:w="750" w:type="dxa"/>
            <w:hideMark/>
          </w:tcPr>
          <w:p w14:paraId="70021160" w14:textId="77777777" w:rsidR="003C4DF6" w:rsidRPr="00A14F37" w:rsidRDefault="003C4DF6" w:rsidP="00A14F37">
            <w:r w:rsidRPr="00A14F37">
              <w:t>−35%</w:t>
            </w:r>
          </w:p>
        </w:tc>
        <w:tc>
          <w:tcPr>
            <w:tcW w:w="750" w:type="dxa"/>
            <w:hideMark/>
          </w:tcPr>
          <w:p w14:paraId="1A618870" w14:textId="77777777" w:rsidR="003C4DF6" w:rsidRPr="00A14F37" w:rsidRDefault="003C4DF6" w:rsidP="00A14F37">
            <w:r w:rsidRPr="00A14F37">
              <w:t>0.784</w:t>
            </w:r>
          </w:p>
        </w:tc>
        <w:tc>
          <w:tcPr>
            <w:tcW w:w="1019" w:type="dxa"/>
            <w:hideMark/>
          </w:tcPr>
          <w:p w14:paraId="2ABBEE35" w14:textId="77777777" w:rsidR="003C4DF6" w:rsidRPr="00A14F37" w:rsidRDefault="003C4DF6" w:rsidP="00A14F37">
            <w:pPr>
              <w:rPr>
                <w:b/>
                <w:bCs/>
              </w:rPr>
            </w:pPr>
            <w:r w:rsidRPr="00A14F37">
              <w:rPr>
                <w:b/>
                <w:bCs/>
              </w:rPr>
              <w:t>0.001</w:t>
            </w:r>
          </w:p>
        </w:tc>
        <w:tc>
          <w:tcPr>
            <w:tcW w:w="900" w:type="dxa"/>
            <w:hideMark/>
          </w:tcPr>
          <w:p w14:paraId="06AE1F9B" w14:textId="77777777" w:rsidR="003C4DF6" w:rsidRPr="00A14F37" w:rsidRDefault="003C4DF6" w:rsidP="00A14F37">
            <w:r w:rsidRPr="00A14F37">
              <w:t>0.128</w:t>
            </w:r>
          </w:p>
        </w:tc>
      </w:tr>
      <w:tr w:rsidR="00877AD1" w:rsidRPr="00A14F37" w14:paraId="0A8F40FF" w14:textId="77777777" w:rsidTr="00877AD1">
        <w:tc>
          <w:tcPr>
            <w:tcW w:w="624" w:type="dxa"/>
            <w:hideMark/>
          </w:tcPr>
          <w:p w14:paraId="36A97B98" w14:textId="77777777" w:rsidR="003C4DF6" w:rsidRPr="00A14F37" w:rsidRDefault="003C4DF6" w:rsidP="00A14F37">
            <w:r w:rsidRPr="00A14F37">
              <w:t>VA</w:t>
            </w:r>
            <w:r w:rsidRPr="00A14F37">
              <w:rPr>
                <w:sz w:val="16"/>
                <w:szCs w:val="16"/>
                <w:vertAlign w:val="subscript"/>
              </w:rPr>
              <w:t>TMS</w:t>
            </w:r>
            <w:r w:rsidRPr="00A14F37">
              <w:t>, %</w:t>
            </w:r>
          </w:p>
        </w:tc>
        <w:tc>
          <w:tcPr>
            <w:tcW w:w="874" w:type="dxa"/>
            <w:hideMark/>
          </w:tcPr>
          <w:p w14:paraId="1EF7366F" w14:textId="77777777" w:rsidR="003C4DF6" w:rsidRPr="00A14F37" w:rsidRDefault="003C4DF6" w:rsidP="00A14F37">
            <w:r w:rsidRPr="00A14F37">
              <w:t>93.2 ± 2.8</w:t>
            </w:r>
          </w:p>
        </w:tc>
        <w:tc>
          <w:tcPr>
            <w:tcW w:w="749" w:type="dxa"/>
            <w:hideMark/>
          </w:tcPr>
          <w:p w14:paraId="0CF00D5B" w14:textId="77777777" w:rsidR="003C4DF6" w:rsidRPr="00A14F37" w:rsidRDefault="003C4DF6" w:rsidP="00A14F37">
            <w:r w:rsidRPr="00A14F37">
              <w:t>87.5 ± 8.5</w:t>
            </w:r>
          </w:p>
        </w:tc>
        <w:tc>
          <w:tcPr>
            <w:tcW w:w="749" w:type="dxa"/>
            <w:hideMark/>
          </w:tcPr>
          <w:p w14:paraId="703D050B" w14:textId="77777777" w:rsidR="003C4DF6" w:rsidRPr="00A14F37" w:rsidRDefault="003C4DF6" w:rsidP="00A14F37">
            <w:r w:rsidRPr="00A14F37">
              <w:t>−6%</w:t>
            </w:r>
          </w:p>
        </w:tc>
        <w:tc>
          <w:tcPr>
            <w:tcW w:w="750" w:type="dxa"/>
            <w:hideMark/>
          </w:tcPr>
          <w:p w14:paraId="6FF75E8B" w14:textId="77777777" w:rsidR="003C4DF6" w:rsidRPr="00A14F37" w:rsidRDefault="003C4DF6" w:rsidP="00A14F37">
            <w:r w:rsidRPr="00A14F37">
              <w:t>95.7 ± 2.4</w:t>
            </w:r>
            <w:hyperlink r:id="rId99" w:anchor="T5F3" w:history="1">
              <w:r w:rsidRPr="00B17024">
                <w:rPr>
                  <w:rStyle w:val="Hyperlink"/>
                  <w:color w:val="auto"/>
                </w:rPr>
                <w:t>†</w:t>
              </w:r>
            </w:hyperlink>
          </w:p>
        </w:tc>
        <w:tc>
          <w:tcPr>
            <w:tcW w:w="750" w:type="dxa"/>
            <w:hideMark/>
          </w:tcPr>
          <w:p w14:paraId="7FF2FBE5" w14:textId="77777777" w:rsidR="003C4DF6" w:rsidRPr="00A14F37" w:rsidRDefault="003C4DF6" w:rsidP="00A14F37">
            <w:r w:rsidRPr="00A14F37">
              <w:t>84.3 ± 9.4</w:t>
            </w:r>
          </w:p>
        </w:tc>
        <w:tc>
          <w:tcPr>
            <w:tcW w:w="750" w:type="dxa"/>
            <w:hideMark/>
          </w:tcPr>
          <w:p w14:paraId="27B674B5" w14:textId="77777777" w:rsidR="003C4DF6" w:rsidRPr="00A14F37" w:rsidRDefault="003C4DF6" w:rsidP="00A14F37">
            <w:r w:rsidRPr="00A14F37">
              <w:t>−12%</w:t>
            </w:r>
          </w:p>
        </w:tc>
        <w:tc>
          <w:tcPr>
            <w:tcW w:w="750" w:type="dxa"/>
            <w:hideMark/>
          </w:tcPr>
          <w:p w14:paraId="1DA8089E" w14:textId="77777777" w:rsidR="003C4DF6" w:rsidRPr="00A14F37" w:rsidRDefault="003C4DF6" w:rsidP="00A14F37">
            <w:r w:rsidRPr="00A14F37">
              <w:t>92.6 ± 3.2</w:t>
            </w:r>
          </w:p>
        </w:tc>
        <w:tc>
          <w:tcPr>
            <w:tcW w:w="750" w:type="dxa"/>
            <w:hideMark/>
          </w:tcPr>
          <w:p w14:paraId="525F461A" w14:textId="77777777" w:rsidR="003C4DF6" w:rsidRPr="00A14F37" w:rsidRDefault="003C4DF6" w:rsidP="00A14F37">
            <w:r w:rsidRPr="00A14F37">
              <w:t>86.7 ± 9.7</w:t>
            </w:r>
          </w:p>
        </w:tc>
        <w:tc>
          <w:tcPr>
            <w:tcW w:w="750" w:type="dxa"/>
            <w:hideMark/>
          </w:tcPr>
          <w:p w14:paraId="2C112FD5" w14:textId="77777777" w:rsidR="003C4DF6" w:rsidRPr="00A14F37" w:rsidRDefault="003C4DF6" w:rsidP="00A14F37">
            <w:r w:rsidRPr="00A14F37">
              <w:t>−7%</w:t>
            </w:r>
          </w:p>
        </w:tc>
        <w:tc>
          <w:tcPr>
            <w:tcW w:w="750" w:type="dxa"/>
            <w:hideMark/>
          </w:tcPr>
          <w:p w14:paraId="2A64D6CC" w14:textId="77777777" w:rsidR="003C4DF6" w:rsidRPr="00A14F37" w:rsidRDefault="003C4DF6" w:rsidP="00A14F37">
            <w:pPr>
              <w:rPr>
                <w:b/>
                <w:bCs/>
              </w:rPr>
            </w:pPr>
            <w:r w:rsidRPr="00A14F37">
              <w:rPr>
                <w:b/>
                <w:bCs/>
              </w:rPr>
              <w:t>0.008</w:t>
            </w:r>
          </w:p>
        </w:tc>
        <w:tc>
          <w:tcPr>
            <w:tcW w:w="1019" w:type="dxa"/>
            <w:hideMark/>
          </w:tcPr>
          <w:p w14:paraId="79911078" w14:textId="77777777" w:rsidR="003C4DF6" w:rsidRPr="00A14F37" w:rsidRDefault="003C4DF6" w:rsidP="00A14F37">
            <w:pPr>
              <w:rPr>
                <w:b/>
                <w:bCs/>
              </w:rPr>
            </w:pPr>
            <w:r w:rsidRPr="00A14F37">
              <w:rPr>
                <w:b/>
                <w:bCs/>
              </w:rPr>
              <w:t>0.003</w:t>
            </w:r>
          </w:p>
        </w:tc>
        <w:tc>
          <w:tcPr>
            <w:tcW w:w="900" w:type="dxa"/>
            <w:hideMark/>
          </w:tcPr>
          <w:p w14:paraId="4D31CCEB" w14:textId="77777777" w:rsidR="003C4DF6" w:rsidRPr="00A14F37" w:rsidRDefault="003C4DF6" w:rsidP="00A14F37">
            <w:pPr>
              <w:rPr>
                <w:b/>
                <w:bCs/>
              </w:rPr>
            </w:pPr>
            <w:r w:rsidRPr="00A14F37">
              <w:rPr>
                <w:b/>
                <w:bCs/>
              </w:rPr>
              <w:t>0.049</w:t>
            </w:r>
          </w:p>
        </w:tc>
      </w:tr>
      <w:tr w:rsidR="00877AD1" w:rsidRPr="00A14F37" w14:paraId="6AA818D0" w14:textId="77777777" w:rsidTr="00877AD1">
        <w:tc>
          <w:tcPr>
            <w:tcW w:w="624" w:type="dxa"/>
            <w:hideMark/>
          </w:tcPr>
          <w:p w14:paraId="34BD2026" w14:textId="77777777" w:rsidR="003C4DF6" w:rsidRPr="00A14F37" w:rsidRDefault="003C4DF6" w:rsidP="00A14F37">
            <w:r w:rsidRPr="00A14F37">
              <w:t>MEP/M</w:t>
            </w:r>
            <w:r w:rsidRPr="00A14F37">
              <w:rPr>
                <w:sz w:val="16"/>
                <w:szCs w:val="16"/>
                <w:vertAlign w:val="subscript"/>
              </w:rPr>
              <w:t>max</w:t>
            </w:r>
            <w:r w:rsidRPr="00A14F37">
              <w:t>, %</w:t>
            </w:r>
          </w:p>
        </w:tc>
        <w:tc>
          <w:tcPr>
            <w:tcW w:w="874" w:type="dxa"/>
            <w:hideMark/>
          </w:tcPr>
          <w:p w14:paraId="56871D68" w14:textId="77777777" w:rsidR="003C4DF6" w:rsidRPr="00A14F37" w:rsidRDefault="003C4DF6" w:rsidP="00A14F37">
            <w:r w:rsidRPr="00A14F37">
              <w:t>17 ± 5</w:t>
            </w:r>
          </w:p>
        </w:tc>
        <w:tc>
          <w:tcPr>
            <w:tcW w:w="749" w:type="dxa"/>
            <w:hideMark/>
          </w:tcPr>
          <w:p w14:paraId="18800330" w14:textId="77777777" w:rsidR="003C4DF6" w:rsidRPr="00A14F37" w:rsidRDefault="003C4DF6" w:rsidP="00A14F37">
            <w:r w:rsidRPr="00A14F37">
              <w:t>17 ± 9</w:t>
            </w:r>
          </w:p>
        </w:tc>
        <w:tc>
          <w:tcPr>
            <w:tcW w:w="749" w:type="dxa"/>
            <w:hideMark/>
          </w:tcPr>
          <w:p w14:paraId="02070B34" w14:textId="77777777" w:rsidR="003C4DF6" w:rsidRPr="00A14F37" w:rsidRDefault="003C4DF6" w:rsidP="00A14F37"/>
        </w:tc>
        <w:tc>
          <w:tcPr>
            <w:tcW w:w="750" w:type="dxa"/>
            <w:hideMark/>
          </w:tcPr>
          <w:p w14:paraId="6345774C" w14:textId="77777777" w:rsidR="003C4DF6" w:rsidRPr="00A14F37" w:rsidRDefault="003C4DF6" w:rsidP="00A14F37">
            <w:pPr>
              <w:rPr>
                <w:sz w:val="24"/>
                <w:szCs w:val="24"/>
              </w:rPr>
            </w:pPr>
            <w:r w:rsidRPr="00A14F37">
              <w:t>22 ± 7</w:t>
            </w:r>
          </w:p>
        </w:tc>
        <w:tc>
          <w:tcPr>
            <w:tcW w:w="750" w:type="dxa"/>
            <w:hideMark/>
          </w:tcPr>
          <w:p w14:paraId="7AFE7B4B" w14:textId="77777777" w:rsidR="003C4DF6" w:rsidRPr="00A14F37" w:rsidRDefault="003C4DF6" w:rsidP="00A14F37">
            <w:r w:rsidRPr="00A14F37">
              <w:t>18 ± 9</w:t>
            </w:r>
          </w:p>
        </w:tc>
        <w:tc>
          <w:tcPr>
            <w:tcW w:w="750" w:type="dxa"/>
            <w:hideMark/>
          </w:tcPr>
          <w:p w14:paraId="0FCCF78B" w14:textId="77777777" w:rsidR="003C4DF6" w:rsidRPr="00A14F37" w:rsidRDefault="003C4DF6" w:rsidP="00A14F37"/>
        </w:tc>
        <w:tc>
          <w:tcPr>
            <w:tcW w:w="750" w:type="dxa"/>
            <w:hideMark/>
          </w:tcPr>
          <w:p w14:paraId="45413662" w14:textId="77777777" w:rsidR="003C4DF6" w:rsidRPr="00A14F37" w:rsidRDefault="003C4DF6" w:rsidP="00A14F37">
            <w:pPr>
              <w:rPr>
                <w:sz w:val="24"/>
                <w:szCs w:val="24"/>
              </w:rPr>
            </w:pPr>
            <w:r w:rsidRPr="00A14F37">
              <w:t>18 ± 10</w:t>
            </w:r>
          </w:p>
        </w:tc>
        <w:tc>
          <w:tcPr>
            <w:tcW w:w="750" w:type="dxa"/>
            <w:hideMark/>
          </w:tcPr>
          <w:p w14:paraId="71D031DA" w14:textId="77777777" w:rsidR="003C4DF6" w:rsidRPr="00A14F37" w:rsidRDefault="003C4DF6" w:rsidP="00A14F37">
            <w:r w:rsidRPr="00A14F37">
              <w:t>15 ± 8</w:t>
            </w:r>
          </w:p>
        </w:tc>
        <w:tc>
          <w:tcPr>
            <w:tcW w:w="750" w:type="dxa"/>
            <w:hideMark/>
          </w:tcPr>
          <w:p w14:paraId="5B1579BF" w14:textId="77777777" w:rsidR="003C4DF6" w:rsidRPr="00A14F37" w:rsidRDefault="003C4DF6" w:rsidP="00A14F37"/>
        </w:tc>
        <w:tc>
          <w:tcPr>
            <w:tcW w:w="750" w:type="dxa"/>
            <w:hideMark/>
          </w:tcPr>
          <w:p w14:paraId="61EC7079" w14:textId="77777777" w:rsidR="003C4DF6" w:rsidRPr="00A14F37" w:rsidRDefault="003C4DF6" w:rsidP="00A14F37">
            <w:pPr>
              <w:rPr>
                <w:sz w:val="24"/>
                <w:szCs w:val="24"/>
              </w:rPr>
            </w:pPr>
            <w:r w:rsidRPr="00A14F37">
              <w:t>0.129</w:t>
            </w:r>
          </w:p>
        </w:tc>
        <w:tc>
          <w:tcPr>
            <w:tcW w:w="1019" w:type="dxa"/>
            <w:hideMark/>
          </w:tcPr>
          <w:p w14:paraId="46A3B4DD" w14:textId="77777777" w:rsidR="003C4DF6" w:rsidRPr="00A14F37" w:rsidRDefault="003C4DF6" w:rsidP="00A14F37">
            <w:r w:rsidRPr="00A14F37">
              <w:t>0.278</w:t>
            </w:r>
          </w:p>
        </w:tc>
        <w:tc>
          <w:tcPr>
            <w:tcW w:w="900" w:type="dxa"/>
            <w:hideMark/>
          </w:tcPr>
          <w:p w14:paraId="115E5323" w14:textId="77777777" w:rsidR="003C4DF6" w:rsidRPr="00A14F37" w:rsidRDefault="003C4DF6" w:rsidP="00A14F37">
            <w:r w:rsidRPr="00A14F37">
              <w:t>0.485</w:t>
            </w:r>
          </w:p>
        </w:tc>
      </w:tr>
      <w:tr w:rsidR="00877AD1" w:rsidRPr="00A14F37" w14:paraId="29E67B37" w14:textId="77777777" w:rsidTr="00877AD1">
        <w:tc>
          <w:tcPr>
            <w:tcW w:w="624" w:type="dxa"/>
            <w:hideMark/>
          </w:tcPr>
          <w:p w14:paraId="4DCCDF1E" w14:textId="77777777" w:rsidR="003C4DF6" w:rsidRPr="00A14F37" w:rsidRDefault="003C4DF6" w:rsidP="00A14F37">
            <w:r w:rsidRPr="00A14F37">
              <w:t>SICI, %</w:t>
            </w:r>
          </w:p>
        </w:tc>
        <w:tc>
          <w:tcPr>
            <w:tcW w:w="874" w:type="dxa"/>
            <w:hideMark/>
          </w:tcPr>
          <w:p w14:paraId="47986FE5" w14:textId="77777777" w:rsidR="003C4DF6" w:rsidRPr="00A14F37" w:rsidRDefault="003C4DF6" w:rsidP="00A14F37">
            <w:r w:rsidRPr="00A14F37">
              <w:t>77 ± 11</w:t>
            </w:r>
            <w:hyperlink r:id="rId100" w:anchor="T5F1" w:history="1">
              <w:r w:rsidRPr="00B17024">
                <w:rPr>
                  <w:rStyle w:val="Hyperlink"/>
                  <w:color w:val="auto"/>
                </w:rPr>
                <w:t>*</w:t>
              </w:r>
            </w:hyperlink>
          </w:p>
        </w:tc>
        <w:tc>
          <w:tcPr>
            <w:tcW w:w="749" w:type="dxa"/>
            <w:hideMark/>
          </w:tcPr>
          <w:p w14:paraId="3E09708B" w14:textId="77777777" w:rsidR="003C4DF6" w:rsidRPr="00A14F37" w:rsidRDefault="003C4DF6" w:rsidP="00A14F37">
            <w:r w:rsidRPr="00A14F37">
              <w:t>84 ± 14</w:t>
            </w:r>
          </w:p>
        </w:tc>
        <w:tc>
          <w:tcPr>
            <w:tcW w:w="749" w:type="dxa"/>
            <w:hideMark/>
          </w:tcPr>
          <w:p w14:paraId="0B2F61DC" w14:textId="77777777" w:rsidR="003C4DF6" w:rsidRPr="00A14F37" w:rsidRDefault="003C4DF6" w:rsidP="00A14F37"/>
        </w:tc>
        <w:tc>
          <w:tcPr>
            <w:tcW w:w="750" w:type="dxa"/>
            <w:hideMark/>
          </w:tcPr>
          <w:p w14:paraId="33C9F4D6" w14:textId="77777777" w:rsidR="003C4DF6" w:rsidRPr="00A14F37" w:rsidRDefault="003C4DF6" w:rsidP="00A14F37">
            <w:pPr>
              <w:rPr>
                <w:sz w:val="24"/>
                <w:szCs w:val="24"/>
              </w:rPr>
            </w:pPr>
            <w:r w:rsidRPr="00A14F37">
              <w:t>82 ± 10</w:t>
            </w:r>
            <w:hyperlink r:id="rId101" w:anchor="T5F1" w:history="1">
              <w:r w:rsidRPr="00B17024">
                <w:rPr>
                  <w:rStyle w:val="Hyperlink"/>
                  <w:color w:val="auto"/>
                </w:rPr>
                <w:t>*</w:t>
              </w:r>
            </w:hyperlink>
          </w:p>
        </w:tc>
        <w:tc>
          <w:tcPr>
            <w:tcW w:w="750" w:type="dxa"/>
            <w:hideMark/>
          </w:tcPr>
          <w:p w14:paraId="65C28D42" w14:textId="77777777" w:rsidR="003C4DF6" w:rsidRPr="00A14F37" w:rsidRDefault="003C4DF6" w:rsidP="00A14F37">
            <w:r w:rsidRPr="00A14F37">
              <w:t>74 ± 22</w:t>
            </w:r>
          </w:p>
        </w:tc>
        <w:tc>
          <w:tcPr>
            <w:tcW w:w="750" w:type="dxa"/>
            <w:hideMark/>
          </w:tcPr>
          <w:p w14:paraId="73B1FCCF" w14:textId="77777777" w:rsidR="003C4DF6" w:rsidRPr="00A14F37" w:rsidRDefault="003C4DF6" w:rsidP="00A14F37"/>
        </w:tc>
        <w:tc>
          <w:tcPr>
            <w:tcW w:w="750" w:type="dxa"/>
            <w:hideMark/>
          </w:tcPr>
          <w:p w14:paraId="0E3C7741" w14:textId="77777777" w:rsidR="003C4DF6" w:rsidRPr="00A14F37" w:rsidRDefault="003C4DF6" w:rsidP="00A14F37">
            <w:pPr>
              <w:rPr>
                <w:sz w:val="24"/>
                <w:szCs w:val="24"/>
              </w:rPr>
            </w:pPr>
            <w:r w:rsidRPr="00A14F37">
              <w:t>67 ± 12</w:t>
            </w:r>
          </w:p>
        </w:tc>
        <w:tc>
          <w:tcPr>
            <w:tcW w:w="750" w:type="dxa"/>
            <w:hideMark/>
          </w:tcPr>
          <w:p w14:paraId="40B7BB60" w14:textId="77777777" w:rsidR="003C4DF6" w:rsidRPr="00A14F37" w:rsidRDefault="003C4DF6" w:rsidP="00A14F37">
            <w:r w:rsidRPr="00A14F37">
              <w:t>75 ± 19</w:t>
            </w:r>
          </w:p>
        </w:tc>
        <w:tc>
          <w:tcPr>
            <w:tcW w:w="750" w:type="dxa"/>
            <w:hideMark/>
          </w:tcPr>
          <w:p w14:paraId="639C25A5" w14:textId="77777777" w:rsidR="003C4DF6" w:rsidRPr="00A14F37" w:rsidRDefault="003C4DF6" w:rsidP="00A14F37"/>
        </w:tc>
        <w:tc>
          <w:tcPr>
            <w:tcW w:w="750" w:type="dxa"/>
            <w:hideMark/>
          </w:tcPr>
          <w:p w14:paraId="785D07A0" w14:textId="77777777" w:rsidR="003C4DF6" w:rsidRPr="00A14F37" w:rsidRDefault="003C4DF6" w:rsidP="00A14F37">
            <w:pPr>
              <w:rPr>
                <w:b/>
                <w:bCs/>
                <w:sz w:val="24"/>
                <w:szCs w:val="24"/>
              </w:rPr>
            </w:pPr>
            <w:r w:rsidRPr="00A14F37">
              <w:rPr>
                <w:b/>
                <w:bCs/>
              </w:rPr>
              <w:t>0.001</w:t>
            </w:r>
          </w:p>
        </w:tc>
        <w:tc>
          <w:tcPr>
            <w:tcW w:w="1019" w:type="dxa"/>
            <w:hideMark/>
          </w:tcPr>
          <w:p w14:paraId="23FA796A" w14:textId="77777777" w:rsidR="003C4DF6" w:rsidRPr="00A14F37" w:rsidRDefault="003C4DF6" w:rsidP="00A14F37">
            <w:r w:rsidRPr="00A14F37">
              <w:t>0.578</w:t>
            </w:r>
          </w:p>
        </w:tc>
        <w:tc>
          <w:tcPr>
            <w:tcW w:w="900" w:type="dxa"/>
            <w:hideMark/>
          </w:tcPr>
          <w:p w14:paraId="5B10ADC0" w14:textId="77777777" w:rsidR="003C4DF6" w:rsidRPr="00A14F37" w:rsidRDefault="003C4DF6" w:rsidP="00A14F37">
            <w:pPr>
              <w:rPr>
                <w:b/>
                <w:bCs/>
              </w:rPr>
            </w:pPr>
            <w:r w:rsidRPr="00A14F37">
              <w:rPr>
                <w:b/>
                <w:bCs/>
              </w:rPr>
              <w:t>0.028</w:t>
            </w:r>
          </w:p>
        </w:tc>
      </w:tr>
      <w:tr w:rsidR="00877AD1" w:rsidRPr="00A14F37" w14:paraId="17F59EFD" w14:textId="77777777" w:rsidTr="00877AD1">
        <w:tc>
          <w:tcPr>
            <w:tcW w:w="624" w:type="dxa"/>
            <w:hideMark/>
          </w:tcPr>
          <w:p w14:paraId="0A11A601" w14:textId="77777777" w:rsidR="003C4DF6" w:rsidRPr="00A14F37" w:rsidRDefault="003C4DF6" w:rsidP="00A14F37">
            <w:r w:rsidRPr="00A14F37">
              <w:t>SP, ms</w:t>
            </w:r>
          </w:p>
        </w:tc>
        <w:tc>
          <w:tcPr>
            <w:tcW w:w="874" w:type="dxa"/>
            <w:hideMark/>
          </w:tcPr>
          <w:p w14:paraId="621A309B" w14:textId="77777777" w:rsidR="003C4DF6" w:rsidRPr="00A14F37" w:rsidRDefault="003C4DF6" w:rsidP="00A14F37">
            <w:r w:rsidRPr="00A14F37">
              <w:t>160 ± 42</w:t>
            </w:r>
          </w:p>
        </w:tc>
        <w:tc>
          <w:tcPr>
            <w:tcW w:w="749" w:type="dxa"/>
            <w:hideMark/>
          </w:tcPr>
          <w:p w14:paraId="21C785A6" w14:textId="77777777" w:rsidR="003C4DF6" w:rsidRPr="00A14F37" w:rsidRDefault="003C4DF6" w:rsidP="00A14F37">
            <w:r w:rsidRPr="00A14F37">
              <w:t>176 ± 49</w:t>
            </w:r>
          </w:p>
        </w:tc>
        <w:tc>
          <w:tcPr>
            <w:tcW w:w="749" w:type="dxa"/>
            <w:hideMark/>
          </w:tcPr>
          <w:p w14:paraId="7E5EF4E3" w14:textId="77777777" w:rsidR="003C4DF6" w:rsidRPr="00A14F37" w:rsidRDefault="003C4DF6" w:rsidP="00A14F37">
            <w:r w:rsidRPr="00A14F37">
              <w:t>12%</w:t>
            </w:r>
          </w:p>
        </w:tc>
        <w:tc>
          <w:tcPr>
            <w:tcW w:w="750" w:type="dxa"/>
            <w:hideMark/>
          </w:tcPr>
          <w:p w14:paraId="1BE5A287" w14:textId="77777777" w:rsidR="003C4DF6" w:rsidRPr="00A14F37" w:rsidRDefault="003C4DF6" w:rsidP="00A14F37">
            <w:r w:rsidRPr="00A14F37">
              <w:t>173 ± 70</w:t>
            </w:r>
          </w:p>
        </w:tc>
        <w:tc>
          <w:tcPr>
            <w:tcW w:w="750" w:type="dxa"/>
            <w:hideMark/>
          </w:tcPr>
          <w:p w14:paraId="5398C479" w14:textId="77777777" w:rsidR="003C4DF6" w:rsidRPr="00A14F37" w:rsidRDefault="003C4DF6" w:rsidP="00A14F37">
            <w:r w:rsidRPr="00A14F37">
              <w:t>176 ± 54</w:t>
            </w:r>
          </w:p>
        </w:tc>
        <w:tc>
          <w:tcPr>
            <w:tcW w:w="750" w:type="dxa"/>
            <w:hideMark/>
          </w:tcPr>
          <w:p w14:paraId="26B62EF9" w14:textId="77777777" w:rsidR="003C4DF6" w:rsidRPr="00A14F37" w:rsidRDefault="003C4DF6" w:rsidP="00A14F37">
            <w:r w:rsidRPr="00A14F37">
              <w:t>2%</w:t>
            </w:r>
          </w:p>
        </w:tc>
        <w:tc>
          <w:tcPr>
            <w:tcW w:w="750" w:type="dxa"/>
            <w:hideMark/>
          </w:tcPr>
          <w:p w14:paraId="3634D834" w14:textId="77777777" w:rsidR="003C4DF6" w:rsidRPr="00A14F37" w:rsidRDefault="003C4DF6" w:rsidP="00A14F37">
            <w:r w:rsidRPr="00A14F37">
              <w:t>174 ± 48</w:t>
            </w:r>
          </w:p>
        </w:tc>
        <w:tc>
          <w:tcPr>
            <w:tcW w:w="750" w:type="dxa"/>
            <w:hideMark/>
          </w:tcPr>
          <w:p w14:paraId="24572340" w14:textId="77777777" w:rsidR="003C4DF6" w:rsidRPr="00A14F37" w:rsidRDefault="003C4DF6" w:rsidP="00A14F37">
            <w:r w:rsidRPr="00A14F37">
              <w:t>176 ± 49</w:t>
            </w:r>
          </w:p>
        </w:tc>
        <w:tc>
          <w:tcPr>
            <w:tcW w:w="750" w:type="dxa"/>
            <w:hideMark/>
          </w:tcPr>
          <w:p w14:paraId="3DF0185B" w14:textId="77777777" w:rsidR="003C4DF6" w:rsidRPr="00A14F37" w:rsidRDefault="003C4DF6" w:rsidP="00A14F37">
            <w:r w:rsidRPr="00A14F37">
              <w:t>3%</w:t>
            </w:r>
          </w:p>
        </w:tc>
        <w:tc>
          <w:tcPr>
            <w:tcW w:w="750" w:type="dxa"/>
            <w:hideMark/>
          </w:tcPr>
          <w:p w14:paraId="3EE32730" w14:textId="77777777" w:rsidR="003C4DF6" w:rsidRPr="00A14F37" w:rsidRDefault="003C4DF6" w:rsidP="00A14F37">
            <w:r w:rsidRPr="00A14F37">
              <w:t>0.594</w:t>
            </w:r>
          </w:p>
        </w:tc>
        <w:tc>
          <w:tcPr>
            <w:tcW w:w="1019" w:type="dxa"/>
            <w:hideMark/>
          </w:tcPr>
          <w:p w14:paraId="2B6324E5" w14:textId="77777777" w:rsidR="003C4DF6" w:rsidRPr="00A14F37" w:rsidRDefault="003C4DF6" w:rsidP="00A14F37">
            <w:pPr>
              <w:rPr>
                <w:b/>
                <w:bCs/>
              </w:rPr>
            </w:pPr>
            <w:r w:rsidRPr="00A14F37">
              <w:rPr>
                <w:b/>
                <w:bCs/>
              </w:rPr>
              <w:t>0.010</w:t>
            </w:r>
          </w:p>
        </w:tc>
        <w:tc>
          <w:tcPr>
            <w:tcW w:w="900" w:type="dxa"/>
            <w:hideMark/>
          </w:tcPr>
          <w:p w14:paraId="158B3179" w14:textId="77777777" w:rsidR="003C4DF6" w:rsidRPr="00A14F37" w:rsidRDefault="003C4DF6" w:rsidP="00A14F37">
            <w:r w:rsidRPr="00A14F37">
              <w:t>0.360</w:t>
            </w:r>
          </w:p>
        </w:tc>
      </w:tr>
      <w:tr w:rsidR="00877AD1" w:rsidRPr="00A14F37" w14:paraId="1C301F52" w14:textId="77777777" w:rsidTr="00877AD1">
        <w:tc>
          <w:tcPr>
            <w:tcW w:w="624" w:type="dxa"/>
            <w:hideMark/>
          </w:tcPr>
          <w:p w14:paraId="44E113F2" w14:textId="77777777" w:rsidR="003C4DF6" w:rsidRPr="00A14F37" w:rsidRDefault="003C4DF6" w:rsidP="00A14F37">
            <w:r w:rsidRPr="00A14F37">
              <w:t>M</w:t>
            </w:r>
            <w:r w:rsidRPr="00A14F37">
              <w:rPr>
                <w:sz w:val="16"/>
                <w:szCs w:val="16"/>
                <w:vertAlign w:val="subscript"/>
              </w:rPr>
              <w:t>max</w:t>
            </w:r>
            <w:r w:rsidRPr="00A14F37">
              <w:t>, mV</w:t>
            </w:r>
          </w:p>
        </w:tc>
        <w:tc>
          <w:tcPr>
            <w:tcW w:w="874" w:type="dxa"/>
            <w:hideMark/>
          </w:tcPr>
          <w:p w14:paraId="09C7020F" w14:textId="77777777" w:rsidR="003C4DF6" w:rsidRPr="00A14F37" w:rsidRDefault="003C4DF6" w:rsidP="00A14F37">
            <w:r w:rsidRPr="00A14F37">
              <w:t>4.05 ± 2.19</w:t>
            </w:r>
          </w:p>
        </w:tc>
        <w:tc>
          <w:tcPr>
            <w:tcW w:w="749" w:type="dxa"/>
            <w:hideMark/>
          </w:tcPr>
          <w:p w14:paraId="32A6B671" w14:textId="77777777" w:rsidR="003C4DF6" w:rsidRPr="00A14F37" w:rsidRDefault="003C4DF6" w:rsidP="00A14F37">
            <w:r w:rsidRPr="00A14F37">
              <w:t>3.93 ± 2.27</w:t>
            </w:r>
          </w:p>
        </w:tc>
        <w:tc>
          <w:tcPr>
            <w:tcW w:w="749" w:type="dxa"/>
            <w:hideMark/>
          </w:tcPr>
          <w:p w14:paraId="40B1E158" w14:textId="77777777" w:rsidR="003C4DF6" w:rsidRPr="00A14F37" w:rsidRDefault="003C4DF6" w:rsidP="00A14F37"/>
        </w:tc>
        <w:tc>
          <w:tcPr>
            <w:tcW w:w="750" w:type="dxa"/>
            <w:hideMark/>
          </w:tcPr>
          <w:p w14:paraId="031ED413" w14:textId="77777777" w:rsidR="003C4DF6" w:rsidRPr="00A14F37" w:rsidRDefault="003C4DF6" w:rsidP="00A14F37">
            <w:pPr>
              <w:rPr>
                <w:sz w:val="24"/>
                <w:szCs w:val="24"/>
              </w:rPr>
            </w:pPr>
            <w:r w:rsidRPr="00A14F37">
              <w:t>4.39 ± 1.88</w:t>
            </w:r>
          </w:p>
        </w:tc>
        <w:tc>
          <w:tcPr>
            <w:tcW w:w="750" w:type="dxa"/>
            <w:hideMark/>
          </w:tcPr>
          <w:p w14:paraId="50BA8DFB" w14:textId="77777777" w:rsidR="003C4DF6" w:rsidRPr="00A14F37" w:rsidRDefault="003C4DF6" w:rsidP="00A14F37">
            <w:r w:rsidRPr="00A14F37">
              <w:t>4.06 ± 2.12</w:t>
            </w:r>
          </w:p>
        </w:tc>
        <w:tc>
          <w:tcPr>
            <w:tcW w:w="750" w:type="dxa"/>
            <w:hideMark/>
          </w:tcPr>
          <w:p w14:paraId="1FE5AF0E" w14:textId="77777777" w:rsidR="003C4DF6" w:rsidRPr="00A14F37" w:rsidRDefault="003C4DF6" w:rsidP="00A14F37"/>
        </w:tc>
        <w:tc>
          <w:tcPr>
            <w:tcW w:w="750" w:type="dxa"/>
            <w:hideMark/>
          </w:tcPr>
          <w:p w14:paraId="49796089" w14:textId="77777777" w:rsidR="003C4DF6" w:rsidRPr="00A14F37" w:rsidRDefault="003C4DF6" w:rsidP="00A14F37">
            <w:pPr>
              <w:rPr>
                <w:sz w:val="24"/>
                <w:szCs w:val="24"/>
              </w:rPr>
            </w:pPr>
            <w:r w:rsidRPr="00A14F37">
              <w:t>4.30 ± 2.50</w:t>
            </w:r>
          </w:p>
        </w:tc>
        <w:tc>
          <w:tcPr>
            <w:tcW w:w="750" w:type="dxa"/>
            <w:hideMark/>
          </w:tcPr>
          <w:p w14:paraId="5079474D" w14:textId="77777777" w:rsidR="003C4DF6" w:rsidRPr="00A14F37" w:rsidRDefault="003C4DF6" w:rsidP="00A14F37">
            <w:r w:rsidRPr="00A14F37">
              <w:t>3.80 ± 2.28</w:t>
            </w:r>
          </w:p>
        </w:tc>
        <w:tc>
          <w:tcPr>
            <w:tcW w:w="750" w:type="dxa"/>
            <w:hideMark/>
          </w:tcPr>
          <w:p w14:paraId="57B14584" w14:textId="77777777" w:rsidR="003C4DF6" w:rsidRPr="00A14F37" w:rsidRDefault="003C4DF6" w:rsidP="00A14F37"/>
        </w:tc>
        <w:tc>
          <w:tcPr>
            <w:tcW w:w="750" w:type="dxa"/>
            <w:hideMark/>
          </w:tcPr>
          <w:p w14:paraId="46C4AC0C" w14:textId="77777777" w:rsidR="003C4DF6" w:rsidRPr="00A14F37" w:rsidRDefault="003C4DF6" w:rsidP="00A14F37">
            <w:pPr>
              <w:rPr>
                <w:sz w:val="24"/>
                <w:szCs w:val="24"/>
              </w:rPr>
            </w:pPr>
            <w:r w:rsidRPr="00A14F37">
              <w:t>0.786</w:t>
            </w:r>
          </w:p>
        </w:tc>
        <w:tc>
          <w:tcPr>
            <w:tcW w:w="1019" w:type="dxa"/>
            <w:hideMark/>
          </w:tcPr>
          <w:p w14:paraId="02093310" w14:textId="77777777" w:rsidR="003C4DF6" w:rsidRPr="00A14F37" w:rsidRDefault="003C4DF6" w:rsidP="00A14F37">
            <w:r w:rsidRPr="00A14F37">
              <w:t>0.087</w:t>
            </w:r>
          </w:p>
        </w:tc>
        <w:tc>
          <w:tcPr>
            <w:tcW w:w="900" w:type="dxa"/>
            <w:hideMark/>
          </w:tcPr>
          <w:p w14:paraId="35F8931A" w14:textId="77777777" w:rsidR="003C4DF6" w:rsidRPr="00A14F37" w:rsidRDefault="003C4DF6" w:rsidP="00A14F37">
            <w:r w:rsidRPr="00A14F37">
              <w:t>0.436</w:t>
            </w:r>
          </w:p>
        </w:tc>
      </w:tr>
      <w:tr w:rsidR="00762F2E" w:rsidRPr="00A14F37" w14:paraId="07C89360" w14:textId="77777777" w:rsidTr="00877AD1">
        <w:tc>
          <w:tcPr>
            <w:tcW w:w="624" w:type="dxa"/>
            <w:hideMark/>
          </w:tcPr>
          <w:p w14:paraId="7D2E5338" w14:textId="77777777" w:rsidR="00117EC5" w:rsidRPr="00A14F37" w:rsidRDefault="00117EC5" w:rsidP="00A14F37">
            <w:r w:rsidRPr="00A14F37">
              <w:t>TTF, s</w:t>
            </w:r>
          </w:p>
        </w:tc>
        <w:tc>
          <w:tcPr>
            <w:tcW w:w="874" w:type="dxa"/>
            <w:hideMark/>
          </w:tcPr>
          <w:p w14:paraId="55D404E9" w14:textId="77777777" w:rsidR="00117EC5" w:rsidRPr="00A14F37" w:rsidRDefault="00117EC5" w:rsidP="00A14F37">
            <w:r w:rsidRPr="00A14F37">
              <w:t>519 ± 164</w:t>
            </w:r>
          </w:p>
        </w:tc>
        <w:tc>
          <w:tcPr>
            <w:tcW w:w="749" w:type="dxa"/>
          </w:tcPr>
          <w:p w14:paraId="753B81A7" w14:textId="250BEEC7" w:rsidR="00117EC5" w:rsidRPr="00A14F37" w:rsidRDefault="00117EC5" w:rsidP="00A14F37"/>
        </w:tc>
        <w:tc>
          <w:tcPr>
            <w:tcW w:w="749" w:type="dxa"/>
            <w:hideMark/>
          </w:tcPr>
          <w:p w14:paraId="06E9DCAE" w14:textId="77777777" w:rsidR="00117EC5" w:rsidRPr="00A14F37" w:rsidRDefault="00117EC5" w:rsidP="00A14F37"/>
        </w:tc>
        <w:tc>
          <w:tcPr>
            <w:tcW w:w="750" w:type="dxa"/>
            <w:hideMark/>
          </w:tcPr>
          <w:p w14:paraId="7491B448" w14:textId="77777777" w:rsidR="00117EC5" w:rsidRPr="00A14F37" w:rsidRDefault="00117EC5" w:rsidP="00A14F37">
            <w:pPr>
              <w:rPr>
                <w:sz w:val="24"/>
                <w:szCs w:val="24"/>
              </w:rPr>
            </w:pPr>
            <w:r w:rsidRPr="00A14F37">
              <w:t>571 ± 179</w:t>
            </w:r>
          </w:p>
        </w:tc>
        <w:tc>
          <w:tcPr>
            <w:tcW w:w="750" w:type="dxa"/>
          </w:tcPr>
          <w:p w14:paraId="54C3C02C" w14:textId="786C7A03" w:rsidR="00117EC5" w:rsidRPr="00A14F37" w:rsidRDefault="00117EC5" w:rsidP="00A14F37">
            <w:pPr>
              <w:rPr>
                <w:sz w:val="24"/>
                <w:szCs w:val="24"/>
              </w:rPr>
            </w:pPr>
          </w:p>
        </w:tc>
        <w:tc>
          <w:tcPr>
            <w:tcW w:w="750" w:type="dxa"/>
            <w:hideMark/>
          </w:tcPr>
          <w:p w14:paraId="74B04454" w14:textId="77777777" w:rsidR="00117EC5" w:rsidRPr="00A14F37" w:rsidRDefault="00117EC5" w:rsidP="00A14F37"/>
        </w:tc>
        <w:tc>
          <w:tcPr>
            <w:tcW w:w="750" w:type="dxa"/>
            <w:hideMark/>
          </w:tcPr>
          <w:p w14:paraId="42613F7C" w14:textId="77777777" w:rsidR="00117EC5" w:rsidRPr="00A14F37" w:rsidRDefault="00117EC5" w:rsidP="00A14F37">
            <w:pPr>
              <w:rPr>
                <w:sz w:val="24"/>
                <w:szCs w:val="24"/>
              </w:rPr>
            </w:pPr>
            <w:r w:rsidRPr="00A14F37">
              <w:t>706 ± 262</w:t>
            </w:r>
            <w:hyperlink r:id="rId102" w:anchor="T5F1" w:history="1">
              <w:r w:rsidRPr="00B17024">
                <w:rPr>
                  <w:rStyle w:val="Hyperlink"/>
                  <w:color w:val="auto"/>
                </w:rPr>
                <w:t>*</w:t>
              </w:r>
            </w:hyperlink>
          </w:p>
        </w:tc>
        <w:tc>
          <w:tcPr>
            <w:tcW w:w="750" w:type="dxa"/>
          </w:tcPr>
          <w:p w14:paraId="293A3D62" w14:textId="78DFF259" w:rsidR="00117EC5" w:rsidRPr="00A14F37" w:rsidRDefault="00117EC5" w:rsidP="00A14F37">
            <w:pPr>
              <w:rPr>
                <w:sz w:val="24"/>
                <w:szCs w:val="24"/>
              </w:rPr>
            </w:pPr>
          </w:p>
        </w:tc>
        <w:tc>
          <w:tcPr>
            <w:tcW w:w="750" w:type="dxa"/>
            <w:hideMark/>
          </w:tcPr>
          <w:p w14:paraId="3A519D9C" w14:textId="77777777" w:rsidR="00117EC5" w:rsidRPr="00A14F37" w:rsidRDefault="00117EC5" w:rsidP="00A14F37"/>
        </w:tc>
        <w:tc>
          <w:tcPr>
            <w:tcW w:w="750" w:type="dxa"/>
            <w:hideMark/>
          </w:tcPr>
          <w:p w14:paraId="68184EAC" w14:textId="77777777" w:rsidR="00117EC5" w:rsidRPr="00A14F37" w:rsidRDefault="00117EC5" w:rsidP="00A14F37">
            <w:pPr>
              <w:rPr>
                <w:b/>
                <w:bCs/>
                <w:sz w:val="24"/>
                <w:szCs w:val="24"/>
              </w:rPr>
            </w:pPr>
            <w:r w:rsidRPr="00A14F37">
              <w:rPr>
                <w:b/>
                <w:bCs/>
              </w:rPr>
              <w:t>0.030</w:t>
            </w:r>
          </w:p>
        </w:tc>
        <w:tc>
          <w:tcPr>
            <w:tcW w:w="1019" w:type="dxa"/>
            <w:hideMark/>
          </w:tcPr>
          <w:p w14:paraId="078F16FF" w14:textId="77777777" w:rsidR="00117EC5" w:rsidRPr="00A14F37" w:rsidRDefault="00117EC5" w:rsidP="00A14F37"/>
        </w:tc>
        <w:tc>
          <w:tcPr>
            <w:tcW w:w="900" w:type="dxa"/>
            <w:hideMark/>
          </w:tcPr>
          <w:p w14:paraId="1771E771" w14:textId="77777777" w:rsidR="00117EC5" w:rsidRPr="00A14F37" w:rsidRDefault="00117EC5" w:rsidP="00A14F37">
            <w:pPr>
              <w:rPr>
                <w:sz w:val="20"/>
                <w:szCs w:val="20"/>
              </w:rPr>
            </w:pPr>
          </w:p>
        </w:tc>
      </w:tr>
    </w:tbl>
    <w:p w14:paraId="34CA7BA1" w14:textId="77777777" w:rsidR="003C4DF6" w:rsidRPr="00A14F37" w:rsidRDefault="003C4DF6" w:rsidP="00A14F37">
      <w:pPr>
        <w:pStyle w:val="NormalWeb"/>
        <w:shd w:val="clear" w:color="auto" w:fill="FFFFFF"/>
        <w:spacing w:before="240" w:beforeAutospacing="0" w:after="0" w:afterAutospacing="0"/>
        <w:rPr>
          <w:rFonts w:asciiTheme="minorHAnsi" w:hAnsiTheme="minorHAnsi" w:cs="Arial"/>
          <w:color w:val="1F1F1F"/>
          <w:sz w:val="21"/>
          <w:szCs w:val="21"/>
        </w:rPr>
      </w:pPr>
      <w:r w:rsidRPr="00A14F37">
        <w:rPr>
          <w:rFonts w:asciiTheme="minorHAnsi" w:hAnsiTheme="minorHAnsi" w:cs="Arial"/>
          <w:color w:val="1F1F1F"/>
          <w:sz w:val="21"/>
          <w:szCs w:val="21"/>
        </w:rPr>
        <w:t>Values are means ± SD. </w:t>
      </w:r>
      <w:r w:rsidRPr="00A14F37">
        <w:rPr>
          <w:rFonts w:asciiTheme="minorHAnsi" w:hAnsiTheme="minorHAnsi" w:cs="Arial"/>
          <w:i/>
          <w:iCs/>
          <w:color w:val="1F1F1F"/>
          <w:sz w:val="21"/>
          <w:szCs w:val="21"/>
        </w:rPr>
        <w:t>P</w:t>
      </w:r>
      <w:r w:rsidRPr="00A14F37">
        <w:rPr>
          <w:rFonts w:asciiTheme="minorHAnsi" w:hAnsiTheme="minorHAnsi" w:cs="Arial"/>
          <w:color w:val="1F1F1F"/>
          <w:sz w:val="21"/>
          <w:szCs w:val="21"/>
        </w:rPr>
        <w:t> values from the baseline ANOVA (1 × 3 repeated measures), and the pre- to postexercise ANOVA (2 × 3 repeated measures) are reported. When a significant effect of exercise was found, the Δ in a variable from pre- to postexercise was reported. Day, day of cycle; MVC, maximum voluntary contraction; SIT</w:t>
      </w:r>
      <w:r w:rsidRPr="00A14F37">
        <w:rPr>
          <w:rFonts w:asciiTheme="minorHAnsi" w:hAnsiTheme="minorHAnsi" w:cs="Arial"/>
          <w:color w:val="1F1F1F"/>
          <w:sz w:val="16"/>
          <w:szCs w:val="16"/>
          <w:vertAlign w:val="subscript"/>
        </w:rPr>
        <w:t>MNS</w:t>
      </w:r>
      <w:r w:rsidRPr="00A14F37">
        <w:rPr>
          <w:rFonts w:asciiTheme="minorHAnsi" w:hAnsiTheme="minorHAnsi" w:cs="Arial"/>
          <w:color w:val="1F1F1F"/>
          <w:sz w:val="21"/>
          <w:szCs w:val="21"/>
        </w:rPr>
        <w:t>, superimposed twitch elicited by motor nerve stimulation; Q</w:t>
      </w:r>
      <w:r w:rsidRPr="00A14F37">
        <w:rPr>
          <w:rFonts w:asciiTheme="minorHAnsi" w:hAnsiTheme="minorHAnsi" w:cs="Arial"/>
          <w:color w:val="1F1F1F"/>
          <w:sz w:val="16"/>
          <w:szCs w:val="16"/>
          <w:vertAlign w:val="subscript"/>
        </w:rPr>
        <w:t>tw.pot</w:t>
      </w:r>
      <w:r w:rsidRPr="00A14F37">
        <w:rPr>
          <w:rFonts w:asciiTheme="minorHAnsi" w:hAnsiTheme="minorHAnsi" w:cs="Arial"/>
          <w:color w:val="1F1F1F"/>
          <w:sz w:val="21"/>
          <w:szCs w:val="21"/>
        </w:rPr>
        <w:t>, potentiated quadriceps twitch; VA</w:t>
      </w:r>
      <w:r w:rsidRPr="00A14F37">
        <w:rPr>
          <w:rFonts w:asciiTheme="minorHAnsi" w:hAnsiTheme="minorHAnsi" w:cs="Arial"/>
          <w:color w:val="1F1F1F"/>
          <w:sz w:val="16"/>
          <w:szCs w:val="16"/>
          <w:vertAlign w:val="subscript"/>
        </w:rPr>
        <w:t>MNS</w:t>
      </w:r>
      <w:r w:rsidRPr="00A14F37">
        <w:rPr>
          <w:rFonts w:asciiTheme="minorHAnsi" w:hAnsiTheme="minorHAnsi" w:cs="Arial"/>
          <w:color w:val="1F1F1F"/>
          <w:sz w:val="21"/>
          <w:szCs w:val="21"/>
        </w:rPr>
        <w:t>, voluntary activation assessed with motor nerve stimulation; SIT</w:t>
      </w:r>
      <w:r w:rsidRPr="00A14F37">
        <w:rPr>
          <w:rFonts w:asciiTheme="minorHAnsi" w:hAnsiTheme="minorHAnsi" w:cs="Arial"/>
          <w:color w:val="1F1F1F"/>
          <w:sz w:val="16"/>
          <w:szCs w:val="16"/>
          <w:vertAlign w:val="subscript"/>
        </w:rPr>
        <w:t>TMS</w:t>
      </w:r>
      <w:r w:rsidRPr="00A14F37">
        <w:rPr>
          <w:rFonts w:asciiTheme="minorHAnsi" w:hAnsiTheme="minorHAnsi" w:cs="Arial"/>
          <w:color w:val="1F1F1F"/>
          <w:sz w:val="21"/>
          <w:szCs w:val="21"/>
        </w:rPr>
        <w:t>, superimposed twitch elicited by transcranial magnetic stimulation (TMS); ERT, estimated resting twitch; VA</w:t>
      </w:r>
      <w:r w:rsidRPr="00A14F37">
        <w:rPr>
          <w:rFonts w:asciiTheme="minorHAnsi" w:hAnsiTheme="minorHAnsi" w:cs="Arial"/>
          <w:color w:val="1F1F1F"/>
          <w:sz w:val="16"/>
          <w:szCs w:val="16"/>
          <w:vertAlign w:val="subscript"/>
        </w:rPr>
        <w:t>TMS</w:t>
      </w:r>
      <w:r w:rsidRPr="00A14F37">
        <w:rPr>
          <w:rFonts w:asciiTheme="minorHAnsi" w:hAnsiTheme="minorHAnsi" w:cs="Arial"/>
          <w:color w:val="1F1F1F"/>
          <w:sz w:val="21"/>
          <w:szCs w:val="21"/>
        </w:rPr>
        <w:t>, voluntary activation assessed with TMS; MEP/M</w:t>
      </w:r>
      <w:r w:rsidRPr="00A14F37">
        <w:rPr>
          <w:rFonts w:asciiTheme="minorHAnsi" w:hAnsiTheme="minorHAnsi" w:cs="Arial"/>
          <w:color w:val="1F1F1F"/>
          <w:sz w:val="16"/>
          <w:szCs w:val="16"/>
          <w:vertAlign w:val="subscript"/>
        </w:rPr>
        <w:t>max</w:t>
      </w:r>
      <w:r w:rsidRPr="00A14F37">
        <w:rPr>
          <w:rFonts w:asciiTheme="minorHAnsi" w:hAnsiTheme="minorHAnsi" w:cs="Arial"/>
          <w:color w:val="1F1F1F"/>
          <w:sz w:val="21"/>
          <w:szCs w:val="21"/>
        </w:rPr>
        <w:t>, corticospinal excitability; SICI, short-interval cortical inhibition; SP, TMS evoked silent period; M</w:t>
      </w:r>
      <w:r w:rsidRPr="00A14F37">
        <w:rPr>
          <w:rFonts w:asciiTheme="minorHAnsi" w:hAnsiTheme="minorHAnsi" w:cs="Arial"/>
          <w:color w:val="1F1F1F"/>
          <w:sz w:val="16"/>
          <w:szCs w:val="16"/>
          <w:vertAlign w:val="subscript"/>
        </w:rPr>
        <w:t>max</w:t>
      </w:r>
      <w:r w:rsidRPr="00A14F37">
        <w:rPr>
          <w:rFonts w:asciiTheme="minorHAnsi" w:hAnsiTheme="minorHAnsi" w:cs="Arial"/>
          <w:color w:val="1F1F1F"/>
          <w:sz w:val="21"/>
          <w:szCs w:val="21"/>
        </w:rPr>
        <w:t>, maximum compound muscle action potential; TTF, time to task failure.</w:t>
      </w:r>
    </w:p>
    <w:p w14:paraId="1385D20F" w14:textId="77777777" w:rsidR="00F76933" w:rsidRPr="00A14F37" w:rsidRDefault="00F76933" w:rsidP="00A14F37">
      <w:pPr>
        <w:spacing w:line="240" w:lineRule="auto"/>
        <w:rPr>
          <w:rFonts w:cstheme="minorHAnsi"/>
        </w:rPr>
      </w:pPr>
    </w:p>
    <w:p w14:paraId="62DBC3D1" w14:textId="77777777" w:rsidR="0020532B" w:rsidRPr="00A14F37" w:rsidRDefault="0020532B" w:rsidP="00A14F37">
      <w:pPr>
        <w:pStyle w:val="Heading3"/>
        <w:spacing w:line="240" w:lineRule="auto"/>
        <w:rPr>
          <w:rFonts w:asciiTheme="minorHAnsi" w:hAnsiTheme="minorHAnsi"/>
        </w:rPr>
      </w:pPr>
      <w:r w:rsidRPr="00A14F37">
        <w:rPr>
          <w:rFonts w:asciiTheme="minorHAnsi" w:hAnsiTheme="minorHAnsi"/>
        </w:rPr>
        <w:t>Fatigability.</w:t>
      </w:r>
    </w:p>
    <w:p w14:paraId="23F40A7C" w14:textId="04B31088" w:rsidR="0020532B" w:rsidRPr="00A14F37" w:rsidRDefault="0020532B" w:rsidP="00A14F37">
      <w:pPr>
        <w:spacing w:line="240" w:lineRule="auto"/>
        <w:rPr>
          <w:rFonts w:cstheme="minorHAnsi"/>
        </w:rPr>
      </w:pPr>
      <w:r w:rsidRPr="0020532B">
        <w:rPr>
          <w:rFonts w:cstheme="minorHAnsi"/>
        </w:rPr>
        <w:t>Time to task failure during the intermittent, isometric, fatiguing task was significantly affected by MCP (</w:t>
      </w:r>
      <w:hyperlink r:id="rId103" w:anchor="F0003" w:history="1">
        <w:r w:rsidRPr="0020532B">
          <w:rPr>
            <w:rStyle w:val="Hyperlink"/>
            <w:rFonts w:cstheme="minorHAnsi"/>
          </w:rPr>
          <w:t>Fig. 3</w:t>
        </w:r>
      </w:hyperlink>
      <w:r w:rsidRPr="0020532B">
        <w:rPr>
          <w:rFonts w:cstheme="minorHAnsi"/>
        </w:rPr>
        <w:t>, </w:t>
      </w:r>
      <w:r w:rsidRPr="0020532B">
        <w:rPr>
          <w:rFonts w:cstheme="minorHAnsi"/>
          <w:i/>
          <w:iCs/>
        </w:rPr>
        <w:t>F</w:t>
      </w:r>
      <w:r w:rsidRPr="0020532B">
        <w:rPr>
          <w:rFonts w:cstheme="minorHAnsi"/>
          <w:vertAlign w:val="subscript"/>
        </w:rPr>
        <w:t>1.4, 14.8</w:t>
      </w:r>
      <w:r w:rsidRPr="0020532B">
        <w:rPr>
          <w:rFonts w:cstheme="minorHAnsi"/>
        </w:rPr>
        <w:t> = 6.89, </w:t>
      </w:r>
      <w:r w:rsidRPr="0020532B">
        <w:rPr>
          <w:rFonts w:cstheme="minorHAnsi"/>
          <w:i/>
          <w:iCs/>
        </w:rPr>
        <w:t>P</w:t>
      </w:r>
      <w:r w:rsidRPr="0020532B">
        <w:rPr>
          <w:rFonts w:cstheme="minorHAnsi"/>
        </w:rPr>
        <w:t> = 0.030, η</w:t>
      </w:r>
      <w:r w:rsidRPr="0020532B">
        <w:rPr>
          <w:rFonts w:cstheme="minorHAnsi"/>
          <w:vertAlign w:val="subscript"/>
        </w:rPr>
        <w:t>p</w:t>
      </w:r>
      <w:r w:rsidRPr="0020532B">
        <w:rPr>
          <w:rFonts w:cstheme="minorHAnsi"/>
          <w:vertAlign w:val="superscript"/>
        </w:rPr>
        <w:t>2</w:t>
      </w:r>
      <w:r w:rsidRPr="0020532B">
        <w:rPr>
          <w:rFonts w:cstheme="minorHAnsi"/>
        </w:rPr>
        <w:t> = 0.32), with post hoc tests showing greater TTF on D21 than on D2 (mean difference: 187 s, </w:t>
      </w:r>
      <w:r w:rsidRPr="0020532B">
        <w:rPr>
          <w:rFonts w:cstheme="minorHAnsi"/>
          <w:i/>
          <w:iCs/>
        </w:rPr>
        <w:t>P</w:t>
      </w:r>
      <w:r w:rsidRPr="0020532B">
        <w:rPr>
          <w:rFonts w:cstheme="minorHAnsi"/>
        </w:rPr>
        <w:t> = 0.025). However, there was no difference between D21 and D14 (mean difference: 135 s, </w:t>
      </w:r>
      <w:r w:rsidRPr="0020532B">
        <w:rPr>
          <w:rFonts w:cstheme="minorHAnsi"/>
          <w:i/>
          <w:iCs/>
        </w:rPr>
        <w:t>P</w:t>
      </w:r>
      <w:r w:rsidRPr="0020532B">
        <w:rPr>
          <w:rFonts w:cstheme="minorHAnsi"/>
        </w:rPr>
        <w:t> = 0.103) or D2 and D14 (</w:t>
      </w:r>
      <w:r w:rsidRPr="0020532B">
        <w:rPr>
          <w:rFonts w:cstheme="minorHAnsi"/>
          <w:i/>
          <w:iCs/>
        </w:rPr>
        <w:t>P</w:t>
      </w:r>
      <w:r w:rsidRPr="0020532B">
        <w:rPr>
          <w:rFonts w:cstheme="minorHAnsi"/>
        </w:rPr>
        <w:t> = 0.594). The two-way ANOVA (MCP × time) time effect showed that MVC decreased pre- to postexercise (</w:t>
      </w:r>
      <w:r w:rsidRPr="0020532B">
        <w:rPr>
          <w:rFonts w:cstheme="minorHAnsi"/>
          <w:i/>
          <w:iCs/>
        </w:rPr>
        <w:t>F</w:t>
      </w:r>
      <w:r w:rsidRPr="0020532B">
        <w:rPr>
          <w:rFonts w:cstheme="minorHAnsi"/>
          <w:vertAlign w:val="subscript"/>
        </w:rPr>
        <w:t>1,11</w:t>
      </w:r>
      <w:r w:rsidRPr="0020532B">
        <w:rPr>
          <w:rFonts w:cstheme="minorHAnsi"/>
        </w:rPr>
        <w:t> = 80.056, </w:t>
      </w:r>
      <w:r w:rsidRPr="0020532B">
        <w:rPr>
          <w:rFonts w:cstheme="minorHAnsi"/>
          <w:i/>
          <w:iCs/>
        </w:rPr>
        <w:t>P</w:t>
      </w:r>
      <w:r w:rsidRPr="0020532B">
        <w:rPr>
          <w:rFonts w:cstheme="minorHAnsi"/>
        </w:rPr>
        <w:t> &lt; 0.001, η</w:t>
      </w:r>
      <w:r w:rsidRPr="0020532B">
        <w:rPr>
          <w:rFonts w:cstheme="minorHAnsi"/>
          <w:vertAlign w:val="subscript"/>
        </w:rPr>
        <w:t>p</w:t>
      </w:r>
      <w:r w:rsidRPr="0020532B">
        <w:rPr>
          <w:rFonts w:cstheme="minorHAnsi"/>
          <w:vertAlign w:val="superscript"/>
        </w:rPr>
        <w:t>2</w:t>
      </w:r>
      <w:r w:rsidRPr="0020532B">
        <w:rPr>
          <w:rFonts w:cstheme="minorHAnsi"/>
        </w:rPr>
        <w:t> = 0.88), as did Q</w:t>
      </w:r>
      <w:r w:rsidRPr="0020532B">
        <w:rPr>
          <w:rFonts w:cstheme="minorHAnsi"/>
          <w:vertAlign w:val="subscript"/>
        </w:rPr>
        <w:t>tw.pot</w:t>
      </w:r>
      <w:r w:rsidRPr="0020532B">
        <w:rPr>
          <w:rFonts w:cstheme="minorHAnsi"/>
        </w:rPr>
        <w:t> (</w:t>
      </w:r>
      <w:r w:rsidRPr="0020532B">
        <w:rPr>
          <w:rFonts w:cstheme="minorHAnsi"/>
          <w:i/>
          <w:iCs/>
        </w:rPr>
        <w:t>F</w:t>
      </w:r>
      <w:r w:rsidRPr="0020532B">
        <w:rPr>
          <w:rFonts w:cstheme="minorHAnsi"/>
          <w:vertAlign w:val="subscript"/>
        </w:rPr>
        <w:t>1,11</w:t>
      </w:r>
      <w:r w:rsidRPr="0020532B">
        <w:rPr>
          <w:rFonts w:cstheme="minorHAnsi"/>
        </w:rPr>
        <w:t> = 123.53, </w:t>
      </w:r>
      <w:r w:rsidRPr="0020532B">
        <w:rPr>
          <w:rFonts w:cstheme="minorHAnsi"/>
          <w:i/>
          <w:iCs/>
        </w:rPr>
        <w:t>P</w:t>
      </w:r>
      <w:r w:rsidRPr="0020532B">
        <w:rPr>
          <w:rFonts w:cstheme="minorHAnsi"/>
        </w:rPr>
        <w:t> &lt; 0.001, η</w:t>
      </w:r>
      <w:r w:rsidRPr="0020532B">
        <w:rPr>
          <w:rFonts w:cstheme="minorHAnsi"/>
          <w:vertAlign w:val="subscript"/>
        </w:rPr>
        <w:t>p</w:t>
      </w:r>
      <w:r w:rsidRPr="0020532B">
        <w:rPr>
          <w:rFonts w:cstheme="minorHAnsi"/>
          <w:vertAlign w:val="superscript"/>
        </w:rPr>
        <w:t>2</w:t>
      </w:r>
      <w:r w:rsidRPr="0020532B">
        <w:rPr>
          <w:rFonts w:cstheme="minorHAnsi"/>
        </w:rPr>
        <w:t> = 0.92), VA</w:t>
      </w:r>
      <w:r w:rsidRPr="0020532B">
        <w:rPr>
          <w:rFonts w:cstheme="minorHAnsi"/>
          <w:vertAlign w:val="subscript"/>
        </w:rPr>
        <w:t>MNS</w:t>
      </w:r>
      <w:r w:rsidRPr="0020532B">
        <w:rPr>
          <w:rFonts w:cstheme="minorHAnsi"/>
        </w:rPr>
        <w:t> (</w:t>
      </w:r>
      <w:r w:rsidRPr="0020532B">
        <w:rPr>
          <w:rFonts w:cstheme="minorHAnsi"/>
          <w:i/>
          <w:iCs/>
        </w:rPr>
        <w:t>F</w:t>
      </w:r>
      <w:r w:rsidRPr="0020532B">
        <w:rPr>
          <w:rFonts w:cstheme="minorHAnsi"/>
          <w:vertAlign w:val="subscript"/>
        </w:rPr>
        <w:t>1,11</w:t>
      </w:r>
      <w:r w:rsidRPr="0020532B">
        <w:rPr>
          <w:rFonts w:cstheme="minorHAnsi"/>
        </w:rPr>
        <w:t> = 15.219, </w:t>
      </w:r>
      <w:r w:rsidRPr="0020532B">
        <w:rPr>
          <w:rFonts w:cstheme="minorHAnsi"/>
          <w:i/>
          <w:iCs/>
        </w:rPr>
        <w:t>P</w:t>
      </w:r>
      <w:r w:rsidRPr="0020532B">
        <w:rPr>
          <w:rFonts w:cstheme="minorHAnsi"/>
        </w:rPr>
        <w:t> = 0.002, η</w:t>
      </w:r>
      <w:r w:rsidRPr="0020532B">
        <w:rPr>
          <w:rFonts w:cstheme="minorHAnsi"/>
          <w:vertAlign w:val="subscript"/>
        </w:rPr>
        <w:t>p</w:t>
      </w:r>
      <w:r w:rsidRPr="0020532B">
        <w:rPr>
          <w:rFonts w:cstheme="minorHAnsi"/>
          <w:vertAlign w:val="superscript"/>
        </w:rPr>
        <w:t>2</w:t>
      </w:r>
      <w:r w:rsidRPr="0020532B">
        <w:rPr>
          <w:rFonts w:cstheme="minorHAnsi"/>
        </w:rPr>
        <w:t> = 0.58), and VA</w:t>
      </w:r>
      <w:r w:rsidRPr="0020532B">
        <w:rPr>
          <w:rFonts w:cstheme="minorHAnsi"/>
          <w:vertAlign w:val="subscript"/>
        </w:rPr>
        <w:t>TMS</w:t>
      </w:r>
      <w:r w:rsidRPr="0020532B">
        <w:rPr>
          <w:rFonts w:cstheme="minorHAnsi"/>
        </w:rPr>
        <w:t> (</w:t>
      </w:r>
      <w:r w:rsidRPr="0020532B">
        <w:rPr>
          <w:rFonts w:cstheme="minorHAnsi"/>
          <w:i/>
          <w:iCs/>
        </w:rPr>
        <w:t>F</w:t>
      </w:r>
      <w:r w:rsidRPr="0020532B">
        <w:rPr>
          <w:rFonts w:cstheme="minorHAnsi"/>
          <w:vertAlign w:val="subscript"/>
        </w:rPr>
        <w:t>1,11</w:t>
      </w:r>
      <w:r w:rsidRPr="0020532B">
        <w:rPr>
          <w:rFonts w:cstheme="minorHAnsi"/>
        </w:rPr>
        <w:t> = 13.99, </w:t>
      </w:r>
      <w:r w:rsidRPr="0020532B">
        <w:rPr>
          <w:rFonts w:cstheme="minorHAnsi"/>
          <w:i/>
          <w:iCs/>
        </w:rPr>
        <w:t>P</w:t>
      </w:r>
      <w:r w:rsidRPr="0020532B">
        <w:rPr>
          <w:rFonts w:cstheme="minorHAnsi"/>
        </w:rPr>
        <w:t> = 0.003, η</w:t>
      </w:r>
      <w:r w:rsidRPr="0020532B">
        <w:rPr>
          <w:rFonts w:cstheme="minorHAnsi"/>
          <w:vertAlign w:val="subscript"/>
        </w:rPr>
        <w:t>p</w:t>
      </w:r>
      <w:r w:rsidRPr="0020532B">
        <w:rPr>
          <w:rFonts w:cstheme="minorHAnsi"/>
          <w:vertAlign w:val="superscript"/>
        </w:rPr>
        <w:t>2</w:t>
      </w:r>
      <w:r w:rsidRPr="0020532B">
        <w:rPr>
          <w:rFonts w:cstheme="minorHAnsi"/>
        </w:rPr>
        <w:t> = 0.56). SP also increased pre- to postexercise (</w:t>
      </w:r>
      <w:r w:rsidRPr="0020532B">
        <w:rPr>
          <w:rFonts w:cstheme="minorHAnsi"/>
          <w:i/>
          <w:iCs/>
        </w:rPr>
        <w:t>F</w:t>
      </w:r>
      <w:r w:rsidRPr="0020532B">
        <w:rPr>
          <w:rFonts w:cstheme="minorHAnsi"/>
          <w:vertAlign w:val="subscript"/>
        </w:rPr>
        <w:t>1,11</w:t>
      </w:r>
      <w:r w:rsidRPr="0020532B">
        <w:rPr>
          <w:rFonts w:cstheme="minorHAnsi"/>
        </w:rPr>
        <w:t> = 9.68, </w:t>
      </w:r>
      <w:r w:rsidRPr="0020532B">
        <w:rPr>
          <w:rFonts w:cstheme="minorHAnsi"/>
          <w:i/>
          <w:iCs/>
        </w:rPr>
        <w:t>P</w:t>
      </w:r>
      <w:r w:rsidRPr="0020532B">
        <w:rPr>
          <w:rFonts w:cstheme="minorHAnsi"/>
        </w:rPr>
        <w:t> = 0.010, η</w:t>
      </w:r>
      <w:r w:rsidRPr="0020532B">
        <w:rPr>
          <w:rFonts w:cstheme="minorHAnsi"/>
          <w:vertAlign w:val="subscript"/>
        </w:rPr>
        <w:t>p</w:t>
      </w:r>
      <w:r w:rsidRPr="0020532B">
        <w:rPr>
          <w:rFonts w:cstheme="minorHAnsi"/>
          <w:vertAlign w:val="superscript"/>
        </w:rPr>
        <w:t>2</w:t>
      </w:r>
      <w:r w:rsidRPr="0020532B">
        <w:rPr>
          <w:rFonts w:cstheme="minorHAnsi"/>
        </w:rPr>
        <w:t xml:space="preserve"> = 0.468). The MCP × time interaction effects for the </w:t>
      </w:r>
      <w:proofErr w:type="gramStart"/>
      <w:r w:rsidRPr="0020532B">
        <w:rPr>
          <w:rFonts w:cstheme="minorHAnsi"/>
        </w:rPr>
        <w:t>aforementioned variables</w:t>
      </w:r>
      <w:proofErr w:type="gramEnd"/>
      <w:r w:rsidRPr="0020532B">
        <w:rPr>
          <w:rFonts w:cstheme="minorHAnsi"/>
        </w:rPr>
        <w:t xml:space="preserve"> that changed pre- to postexercise indicated no difference between MCPs (all </w:t>
      </w:r>
      <w:r w:rsidRPr="0020532B">
        <w:rPr>
          <w:rFonts w:cstheme="minorHAnsi"/>
          <w:i/>
          <w:iCs/>
        </w:rPr>
        <w:t>P</w:t>
      </w:r>
      <w:r w:rsidRPr="0020532B">
        <w:rPr>
          <w:rFonts w:cstheme="minorHAnsi"/>
        </w:rPr>
        <w:t> ≥ 0.128). The only exception to this was VA</w:t>
      </w:r>
      <w:r w:rsidRPr="0020532B">
        <w:rPr>
          <w:rFonts w:cstheme="minorHAnsi"/>
          <w:vertAlign w:val="subscript"/>
        </w:rPr>
        <w:t>TMS</w:t>
      </w:r>
      <w:r w:rsidRPr="0020532B">
        <w:rPr>
          <w:rFonts w:cstheme="minorHAnsi"/>
        </w:rPr>
        <w:t> (</w:t>
      </w:r>
      <w:r w:rsidRPr="0020532B">
        <w:rPr>
          <w:rFonts w:cstheme="minorHAnsi"/>
          <w:i/>
          <w:iCs/>
        </w:rPr>
        <w:t>F</w:t>
      </w:r>
      <w:r w:rsidRPr="0020532B">
        <w:rPr>
          <w:rFonts w:cstheme="minorHAnsi"/>
          <w:vertAlign w:val="subscript"/>
        </w:rPr>
        <w:t>2,22</w:t>
      </w:r>
      <w:r w:rsidRPr="0020532B">
        <w:rPr>
          <w:rFonts w:cstheme="minorHAnsi"/>
        </w:rPr>
        <w:t> = 3.48, </w:t>
      </w:r>
      <w:r w:rsidRPr="0020532B">
        <w:rPr>
          <w:rFonts w:cstheme="minorHAnsi"/>
          <w:i/>
          <w:iCs/>
        </w:rPr>
        <w:t>P</w:t>
      </w:r>
      <w:r w:rsidRPr="0020532B">
        <w:rPr>
          <w:rFonts w:cstheme="minorHAnsi"/>
        </w:rPr>
        <w:t> = 0.049, η</w:t>
      </w:r>
      <w:r w:rsidRPr="0020532B">
        <w:rPr>
          <w:rFonts w:cstheme="minorHAnsi"/>
          <w:vertAlign w:val="subscript"/>
        </w:rPr>
        <w:t>p</w:t>
      </w:r>
      <w:r w:rsidRPr="0020532B">
        <w:rPr>
          <w:rFonts w:cstheme="minorHAnsi"/>
          <w:vertAlign w:val="superscript"/>
        </w:rPr>
        <w:t>2</w:t>
      </w:r>
      <w:r w:rsidRPr="0020532B">
        <w:rPr>
          <w:rFonts w:cstheme="minorHAnsi"/>
        </w:rPr>
        <w:t> = 0.24); however, post hoc tests revealed that the differences were only apparent preexercise (as indicated above) and not postexercise (</w:t>
      </w:r>
      <w:r w:rsidRPr="0020532B">
        <w:rPr>
          <w:rFonts w:cstheme="minorHAnsi"/>
          <w:i/>
          <w:iCs/>
        </w:rPr>
        <w:t>P</w:t>
      </w:r>
      <w:r w:rsidRPr="0020532B">
        <w:rPr>
          <w:rFonts w:cstheme="minorHAnsi"/>
        </w:rPr>
        <w:t> ≥ 0.670). Despite no time effect (</w:t>
      </w:r>
      <w:r w:rsidRPr="0020532B">
        <w:rPr>
          <w:rFonts w:cstheme="minorHAnsi"/>
          <w:i/>
          <w:iCs/>
        </w:rPr>
        <w:t>P</w:t>
      </w:r>
      <w:r w:rsidRPr="0020532B">
        <w:rPr>
          <w:rFonts w:cstheme="minorHAnsi"/>
        </w:rPr>
        <w:t> = 0.578), SICI displayed a MCP × time interaction effect (</w:t>
      </w:r>
      <w:r w:rsidRPr="0020532B">
        <w:rPr>
          <w:rFonts w:cstheme="minorHAnsi"/>
          <w:i/>
          <w:iCs/>
        </w:rPr>
        <w:t>F</w:t>
      </w:r>
      <w:r w:rsidRPr="0020532B">
        <w:rPr>
          <w:rFonts w:cstheme="minorHAnsi"/>
          <w:vertAlign w:val="subscript"/>
        </w:rPr>
        <w:t>1.4, 15.0</w:t>
      </w:r>
      <w:r w:rsidRPr="0020532B">
        <w:rPr>
          <w:rFonts w:cstheme="minorHAnsi"/>
        </w:rPr>
        <w:t> = 5.26, </w:t>
      </w:r>
      <w:r w:rsidRPr="0020532B">
        <w:rPr>
          <w:rFonts w:cstheme="minorHAnsi"/>
          <w:i/>
          <w:iCs/>
        </w:rPr>
        <w:t>P</w:t>
      </w:r>
      <w:r w:rsidRPr="0020532B">
        <w:rPr>
          <w:rFonts w:cstheme="minorHAnsi"/>
        </w:rPr>
        <w:t> = 0.028, η</w:t>
      </w:r>
      <w:r w:rsidRPr="0020532B">
        <w:rPr>
          <w:rFonts w:cstheme="minorHAnsi"/>
          <w:vertAlign w:val="subscript"/>
        </w:rPr>
        <w:t>p</w:t>
      </w:r>
      <w:r w:rsidRPr="0020532B">
        <w:rPr>
          <w:rFonts w:cstheme="minorHAnsi"/>
          <w:vertAlign w:val="superscript"/>
        </w:rPr>
        <w:t>2</w:t>
      </w:r>
      <w:r w:rsidRPr="0020532B">
        <w:rPr>
          <w:rFonts w:cstheme="minorHAnsi"/>
        </w:rPr>
        <w:t> = 0.32); however, the only differences were evident preexercise (as indicated above), with no post-exercise difference (</w:t>
      </w:r>
      <w:r w:rsidRPr="0020532B">
        <w:rPr>
          <w:rFonts w:cstheme="minorHAnsi"/>
          <w:i/>
          <w:iCs/>
        </w:rPr>
        <w:t>P</w:t>
      </w:r>
      <w:r w:rsidRPr="0020532B">
        <w:rPr>
          <w:rFonts w:cstheme="minorHAnsi"/>
        </w:rPr>
        <w:t> ≥ 0.247).</w:t>
      </w:r>
    </w:p>
    <w:p w14:paraId="648DE854" w14:textId="3316BDD3" w:rsidR="0020532B" w:rsidRPr="00A14F37" w:rsidRDefault="0020532B" w:rsidP="00A14F37">
      <w:pPr>
        <w:spacing w:line="240" w:lineRule="auto"/>
        <w:rPr>
          <w:rFonts w:cstheme="minorHAnsi"/>
        </w:rPr>
      </w:pPr>
    </w:p>
    <w:p w14:paraId="0A7D234B" w14:textId="59173450" w:rsidR="0020532B" w:rsidRPr="0020532B" w:rsidRDefault="00406408" w:rsidP="00A14F37">
      <w:pPr>
        <w:spacing w:line="240" w:lineRule="auto"/>
        <w:rPr>
          <w:rFonts w:cstheme="minorHAnsi"/>
        </w:rPr>
      </w:pPr>
      <w:r w:rsidRPr="00A14F37">
        <w:rPr>
          <w:noProof/>
        </w:rPr>
        <w:drawing>
          <wp:inline distT="0" distB="0" distL="0" distR="0" wp14:anchorId="52F558B6" wp14:editId="3C4CD02B">
            <wp:extent cx="4762500" cy="2971800"/>
            <wp:effectExtent l="0" t="0" r="0" b="0"/>
            <wp:docPr id="3" name="Picture 3" descr="Fig. 3.&#10;Time to task failure during the submaximal intermittent isometric fatiguing task at the 3 testing time points. Individual data are shown with mean data overlaid as filled symbols and connectin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 descr="Fig. 3."/>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762500" cy="2971800"/>
                    </a:xfrm>
                    <a:prstGeom prst="rect">
                      <a:avLst/>
                    </a:prstGeom>
                    <a:noFill/>
                    <a:ln>
                      <a:noFill/>
                    </a:ln>
                  </pic:spPr>
                </pic:pic>
              </a:graphicData>
            </a:graphic>
          </wp:inline>
        </w:drawing>
      </w:r>
    </w:p>
    <w:p w14:paraId="451EA46B" w14:textId="69DADAA2" w:rsidR="00DB2256" w:rsidRPr="00A14F37" w:rsidRDefault="00406408" w:rsidP="00A14F37">
      <w:pPr>
        <w:spacing w:line="240" w:lineRule="auto"/>
        <w:rPr>
          <w:rFonts w:cstheme="minorHAnsi"/>
        </w:rPr>
      </w:pPr>
      <w:r w:rsidRPr="00A14F37">
        <w:rPr>
          <w:rFonts w:cstheme="minorHAnsi"/>
          <w:b/>
          <w:bCs/>
        </w:rPr>
        <w:t xml:space="preserve">Fig. </w:t>
      </w:r>
      <w:proofErr w:type="gramStart"/>
      <w:r w:rsidRPr="00A14F37">
        <w:rPr>
          <w:rFonts w:cstheme="minorHAnsi"/>
          <w:b/>
          <w:bCs/>
        </w:rPr>
        <w:t>3.</w:t>
      </w:r>
      <w:r w:rsidRPr="00A14F37">
        <w:rPr>
          <w:rFonts w:cstheme="minorHAnsi"/>
        </w:rPr>
        <w:t>Time</w:t>
      </w:r>
      <w:proofErr w:type="gramEnd"/>
      <w:r w:rsidRPr="00A14F37">
        <w:rPr>
          <w:rFonts w:cstheme="minorHAnsi"/>
        </w:rPr>
        <w:t xml:space="preserve"> to task failure during the submaximal intermittent isometric fatiguing task at the 3 testing time points. Individual data are shown with mean data overlaid as filled symbols and connecting line.</w:t>
      </w:r>
    </w:p>
    <w:p w14:paraId="0C0270F7" w14:textId="1403A1DD" w:rsidR="00406408" w:rsidRPr="00A14F37" w:rsidRDefault="00F033E2" w:rsidP="00A14F37">
      <w:pPr>
        <w:spacing w:line="240" w:lineRule="auto"/>
        <w:rPr>
          <w:rFonts w:cstheme="minorHAnsi"/>
        </w:rPr>
      </w:pPr>
      <w:r w:rsidRPr="00A14F37">
        <w:rPr>
          <w:rFonts w:cstheme="minorHAnsi"/>
        </w:rPr>
        <w:t>All variables measured during the fatiguing tasks (</w:t>
      </w:r>
      <w:hyperlink r:id="rId105" w:anchor="F0004" w:history="1">
        <w:r w:rsidRPr="00A14F37">
          <w:rPr>
            <w:rStyle w:val="Hyperlink"/>
            <w:rFonts w:cstheme="minorHAnsi"/>
          </w:rPr>
          <w:t>Fig. 4</w:t>
        </w:r>
      </w:hyperlink>
      <w:r w:rsidRPr="00A14F37">
        <w:rPr>
          <w:rFonts w:cstheme="minorHAnsi"/>
        </w:rPr>
        <w:t>) demonstrated time effects (</w:t>
      </w:r>
      <w:r w:rsidRPr="00A14F37">
        <w:rPr>
          <w:rFonts w:cstheme="minorHAnsi"/>
          <w:i/>
          <w:iCs/>
        </w:rPr>
        <w:t>P</w:t>
      </w:r>
      <w:r w:rsidRPr="00A14F37">
        <w:rPr>
          <w:rFonts w:cstheme="minorHAnsi"/>
        </w:rPr>
        <w:t> ≤ 0.024); however, only some (MVC, Q</w:t>
      </w:r>
      <w:r w:rsidRPr="00A14F37">
        <w:rPr>
          <w:rFonts w:cstheme="minorHAnsi"/>
          <w:vertAlign w:val="subscript"/>
        </w:rPr>
        <w:t>tw.pot</w:t>
      </w:r>
      <w:r w:rsidRPr="00A14F37">
        <w:rPr>
          <w:rFonts w:cstheme="minorHAnsi"/>
        </w:rPr>
        <w:t>, and VA</w:t>
      </w:r>
      <w:r w:rsidRPr="00A14F37">
        <w:rPr>
          <w:rFonts w:cstheme="minorHAnsi"/>
          <w:vertAlign w:val="subscript"/>
        </w:rPr>
        <w:t>MNS</w:t>
      </w:r>
      <w:r w:rsidRPr="00A14F37">
        <w:rPr>
          <w:rFonts w:cstheme="minorHAnsi"/>
        </w:rPr>
        <w:t>) demonstrated an absence of MCP × time interaction effects (</w:t>
      </w:r>
      <w:r w:rsidRPr="00A14F37">
        <w:rPr>
          <w:rFonts w:cstheme="minorHAnsi"/>
          <w:i/>
          <w:iCs/>
        </w:rPr>
        <w:t>P</w:t>
      </w:r>
      <w:r w:rsidRPr="00A14F37">
        <w:rPr>
          <w:rFonts w:cstheme="minorHAnsi"/>
        </w:rPr>
        <w:t> ≥ 0.205). MVC (</w:t>
      </w:r>
      <w:hyperlink r:id="rId106" w:anchor="F0004" w:history="1">
        <w:r w:rsidRPr="00A14F37">
          <w:rPr>
            <w:rStyle w:val="Hyperlink"/>
            <w:rFonts w:cstheme="minorHAnsi"/>
          </w:rPr>
          <w:t>Fig. 4</w:t>
        </w:r>
        <w:r w:rsidRPr="00A14F37">
          <w:rPr>
            <w:rStyle w:val="Hyperlink"/>
            <w:rFonts w:cstheme="minorHAnsi"/>
            <w:i/>
            <w:iCs/>
          </w:rPr>
          <w:t>A</w:t>
        </w:r>
      </w:hyperlink>
      <w:r w:rsidRPr="00A14F37">
        <w:rPr>
          <w:rFonts w:cstheme="minorHAnsi"/>
        </w:rPr>
        <w:t>) decreased progressively from baseline to 75% TTF (all intervals </w:t>
      </w:r>
      <w:r w:rsidRPr="00A14F37">
        <w:rPr>
          <w:rFonts w:cstheme="minorHAnsi"/>
          <w:i/>
          <w:iCs/>
        </w:rPr>
        <w:t>P</w:t>
      </w:r>
      <w:r w:rsidRPr="00A14F37">
        <w:rPr>
          <w:rFonts w:cstheme="minorHAnsi"/>
        </w:rPr>
        <w:t> ≤ 0.001); however, between 75 and 100% TTF, no further decrease was observed (</w:t>
      </w:r>
      <w:r w:rsidRPr="00A14F37">
        <w:rPr>
          <w:rFonts w:cstheme="minorHAnsi"/>
          <w:i/>
          <w:iCs/>
        </w:rPr>
        <w:t>P</w:t>
      </w:r>
      <w:r w:rsidRPr="00A14F37">
        <w:rPr>
          <w:rFonts w:cstheme="minorHAnsi"/>
        </w:rPr>
        <w:t> = 0.776). A similar pattern was observed with Q</w:t>
      </w:r>
      <w:r w:rsidRPr="00A14F37">
        <w:rPr>
          <w:rFonts w:cstheme="minorHAnsi"/>
          <w:vertAlign w:val="subscript"/>
        </w:rPr>
        <w:t>tw.pot</w:t>
      </w:r>
      <w:r w:rsidRPr="00A14F37">
        <w:rPr>
          <w:rFonts w:cstheme="minorHAnsi"/>
        </w:rPr>
        <w:t> (</w:t>
      </w:r>
      <w:hyperlink r:id="rId107" w:anchor="F0004" w:history="1">
        <w:r w:rsidRPr="00A14F37">
          <w:rPr>
            <w:rStyle w:val="Hyperlink"/>
            <w:rFonts w:cstheme="minorHAnsi"/>
          </w:rPr>
          <w:t>Fig. 4</w:t>
        </w:r>
        <w:r w:rsidRPr="00A14F37">
          <w:rPr>
            <w:rStyle w:val="Hyperlink"/>
            <w:rFonts w:cstheme="minorHAnsi"/>
            <w:i/>
            <w:iCs/>
          </w:rPr>
          <w:t>B</w:t>
        </w:r>
      </w:hyperlink>
      <w:r w:rsidRPr="00A14F37">
        <w:rPr>
          <w:rFonts w:cstheme="minorHAnsi"/>
        </w:rPr>
        <w:t>), with decreases exhibited until 50% TTF (both intervals </w:t>
      </w:r>
      <w:r w:rsidRPr="00A14F37">
        <w:rPr>
          <w:rFonts w:cstheme="minorHAnsi"/>
          <w:i/>
          <w:iCs/>
        </w:rPr>
        <w:t>P</w:t>
      </w:r>
      <w:r w:rsidRPr="00A14F37">
        <w:rPr>
          <w:rFonts w:cstheme="minorHAnsi"/>
        </w:rPr>
        <w:t> ≤ 0.009); however, between 50 and 100% TTF, Q</w:t>
      </w:r>
      <w:r w:rsidRPr="00A14F37">
        <w:rPr>
          <w:rFonts w:cstheme="minorHAnsi"/>
          <w:vertAlign w:val="subscript"/>
        </w:rPr>
        <w:t>tw.pot</w:t>
      </w:r>
      <w:r w:rsidRPr="00A14F37">
        <w:rPr>
          <w:rFonts w:cstheme="minorHAnsi"/>
        </w:rPr>
        <w:t> did not further decrease (</w:t>
      </w:r>
      <w:r w:rsidRPr="00A14F37">
        <w:rPr>
          <w:rFonts w:cstheme="minorHAnsi"/>
          <w:i/>
          <w:iCs/>
        </w:rPr>
        <w:t>P</w:t>
      </w:r>
      <w:r w:rsidRPr="00A14F37">
        <w:rPr>
          <w:rFonts w:cstheme="minorHAnsi"/>
        </w:rPr>
        <w:t> ≥ 0.593). VA</w:t>
      </w:r>
      <w:r w:rsidRPr="00A14F37">
        <w:rPr>
          <w:rFonts w:cstheme="minorHAnsi"/>
          <w:vertAlign w:val="subscript"/>
        </w:rPr>
        <w:t>MNS</w:t>
      </w:r>
      <w:r w:rsidRPr="00A14F37">
        <w:rPr>
          <w:rFonts w:cstheme="minorHAnsi"/>
        </w:rPr>
        <w:t> (</w:t>
      </w:r>
      <w:hyperlink r:id="rId108" w:anchor="F0004" w:history="1">
        <w:r w:rsidRPr="00A14F37">
          <w:rPr>
            <w:rStyle w:val="Hyperlink"/>
            <w:rFonts w:cstheme="minorHAnsi"/>
          </w:rPr>
          <w:t>Fig. 4</w:t>
        </w:r>
        <w:r w:rsidRPr="00A14F37">
          <w:rPr>
            <w:rStyle w:val="Hyperlink"/>
            <w:rFonts w:cstheme="minorHAnsi"/>
            <w:i/>
            <w:iCs/>
          </w:rPr>
          <w:t>C</w:t>
        </w:r>
      </w:hyperlink>
      <w:r w:rsidRPr="00A14F37">
        <w:rPr>
          <w:rFonts w:cstheme="minorHAnsi"/>
        </w:rPr>
        <w:t>) demonstrated the inverse time course, with no change from 0 to 50% TTF (</w:t>
      </w:r>
      <w:r w:rsidRPr="00A14F37">
        <w:rPr>
          <w:rFonts w:cstheme="minorHAnsi"/>
          <w:i/>
          <w:iCs/>
        </w:rPr>
        <w:t>P</w:t>
      </w:r>
      <w:r w:rsidRPr="00A14F37">
        <w:rPr>
          <w:rFonts w:cstheme="minorHAnsi"/>
        </w:rPr>
        <w:t> ≥ 0.345) and then a progressive decrease from 50 to 100% TTF (</w:t>
      </w:r>
      <w:r w:rsidRPr="00A14F37">
        <w:rPr>
          <w:rFonts w:cstheme="minorHAnsi"/>
          <w:i/>
          <w:iCs/>
        </w:rPr>
        <w:t>P</w:t>
      </w:r>
      <w:r w:rsidRPr="00A14F37">
        <w:rPr>
          <w:rFonts w:cstheme="minorHAnsi"/>
        </w:rPr>
        <w:t> ≤ 0.034). rmsEMG (</w:t>
      </w:r>
      <w:hyperlink r:id="rId109" w:anchor="F0004" w:history="1">
        <w:r w:rsidRPr="00A14F37">
          <w:rPr>
            <w:rStyle w:val="Hyperlink"/>
            <w:rFonts w:cstheme="minorHAnsi"/>
          </w:rPr>
          <w:t>Fig. 4</w:t>
        </w:r>
        <w:r w:rsidRPr="00A14F37">
          <w:rPr>
            <w:rStyle w:val="Hyperlink"/>
            <w:rFonts w:cstheme="minorHAnsi"/>
            <w:i/>
            <w:iCs/>
          </w:rPr>
          <w:t>D</w:t>
        </w:r>
      </w:hyperlink>
      <w:r w:rsidRPr="00A14F37">
        <w:rPr>
          <w:rFonts w:cstheme="minorHAnsi"/>
        </w:rPr>
        <w:t>) and RPE (</w:t>
      </w:r>
      <w:hyperlink r:id="rId110" w:anchor="F0004" w:history="1">
        <w:r w:rsidRPr="00A14F37">
          <w:rPr>
            <w:rStyle w:val="Hyperlink"/>
            <w:rFonts w:cstheme="minorHAnsi"/>
          </w:rPr>
          <w:t>Fig. 4</w:t>
        </w:r>
        <w:r w:rsidRPr="00A14F37">
          <w:rPr>
            <w:rStyle w:val="Hyperlink"/>
            <w:rFonts w:cstheme="minorHAnsi"/>
            <w:i/>
            <w:iCs/>
          </w:rPr>
          <w:t>E</w:t>
        </w:r>
      </w:hyperlink>
      <w:r w:rsidRPr="00A14F37">
        <w:rPr>
          <w:rFonts w:cstheme="minorHAnsi"/>
        </w:rPr>
        <w:t>) exhibited phase × time interaction effects (</w:t>
      </w:r>
      <w:r w:rsidRPr="00A14F37">
        <w:rPr>
          <w:rFonts w:cstheme="minorHAnsi"/>
          <w:i/>
          <w:iCs/>
        </w:rPr>
        <w:t>P</w:t>
      </w:r>
      <w:r w:rsidRPr="00A14F37">
        <w:rPr>
          <w:rFonts w:cstheme="minorHAnsi"/>
        </w:rPr>
        <w:t> ≤ 0.032). RPE increased progressively throughout all trials (</w:t>
      </w:r>
      <w:r w:rsidRPr="00A14F37">
        <w:rPr>
          <w:rFonts w:cstheme="minorHAnsi"/>
          <w:i/>
          <w:iCs/>
        </w:rPr>
        <w:t>P</w:t>
      </w:r>
      <w:r w:rsidRPr="00A14F37">
        <w:rPr>
          <w:rFonts w:cstheme="minorHAnsi"/>
        </w:rPr>
        <w:t> ≤ 0.008). However, at 25% TTF, RPE was greater on D21 than on D14 (+2, </w:t>
      </w:r>
      <w:r w:rsidRPr="00A14F37">
        <w:rPr>
          <w:rFonts w:cstheme="minorHAnsi"/>
          <w:i/>
          <w:iCs/>
        </w:rPr>
        <w:t>P</w:t>
      </w:r>
      <w:r w:rsidRPr="00A14F37">
        <w:rPr>
          <w:rFonts w:cstheme="minorHAnsi"/>
        </w:rPr>
        <w:t> = 0.006); at 50% TTF, D21 was greater than D2 (+2, </w:t>
      </w:r>
      <w:r w:rsidRPr="00A14F37">
        <w:rPr>
          <w:rFonts w:cstheme="minorHAnsi"/>
          <w:i/>
          <w:iCs/>
        </w:rPr>
        <w:t>P</w:t>
      </w:r>
      <w:r w:rsidRPr="00A14F37">
        <w:rPr>
          <w:rFonts w:cstheme="minorHAnsi"/>
        </w:rPr>
        <w:t> &lt; 0.001); and at 75% TTF, D21 was greater than D2 (+1, </w:t>
      </w:r>
      <w:r w:rsidRPr="00A14F37">
        <w:rPr>
          <w:rFonts w:cstheme="minorHAnsi"/>
          <w:i/>
          <w:iCs/>
        </w:rPr>
        <w:t>P</w:t>
      </w:r>
      <w:r w:rsidRPr="00A14F37">
        <w:rPr>
          <w:rFonts w:cstheme="minorHAnsi"/>
        </w:rPr>
        <w:t> = 0.005). The only significant increase in rmsEMG was between 25 and 50% TTF (</w:t>
      </w:r>
      <w:r w:rsidRPr="00A14F37">
        <w:rPr>
          <w:rFonts w:cstheme="minorHAnsi"/>
          <w:i/>
          <w:iCs/>
        </w:rPr>
        <w:t>P</w:t>
      </w:r>
      <w:r w:rsidRPr="00A14F37">
        <w:rPr>
          <w:rFonts w:cstheme="minorHAnsi"/>
        </w:rPr>
        <w:t> = 0.003), and despite the phase × time interaction effect, no post hoc differences between phases were apparent (</w:t>
      </w:r>
      <w:r w:rsidRPr="00A14F37">
        <w:rPr>
          <w:rFonts w:cstheme="minorHAnsi"/>
          <w:i/>
          <w:iCs/>
        </w:rPr>
        <w:t>P</w:t>
      </w:r>
      <w:r w:rsidRPr="00A14F37">
        <w:rPr>
          <w:rFonts w:cstheme="minorHAnsi"/>
        </w:rPr>
        <w:t> ≥ 0.205).</w:t>
      </w:r>
    </w:p>
    <w:p w14:paraId="6A656084" w14:textId="4E34A1DC" w:rsidR="00F033E2" w:rsidRPr="00A14F37" w:rsidRDefault="00F033E2" w:rsidP="00A14F37">
      <w:pPr>
        <w:spacing w:line="240" w:lineRule="auto"/>
        <w:rPr>
          <w:rFonts w:cstheme="minorHAnsi"/>
        </w:rPr>
      </w:pPr>
    </w:p>
    <w:p w14:paraId="54326311" w14:textId="04B3E440" w:rsidR="00F033E2" w:rsidRPr="00A14F37" w:rsidRDefault="00F033E2" w:rsidP="00A14F37">
      <w:pPr>
        <w:spacing w:line="240" w:lineRule="auto"/>
        <w:rPr>
          <w:rFonts w:cstheme="minorHAnsi"/>
        </w:rPr>
      </w:pPr>
      <w:r w:rsidRPr="00A14F37">
        <w:rPr>
          <w:noProof/>
        </w:rPr>
        <w:lastRenderedPageBreak/>
        <w:drawing>
          <wp:inline distT="0" distB="0" distL="0" distR="0" wp14:anchorId="7EC106B9" wp14:editId="1302FBAE">
            <wp:extent cx="4429125" cy="4762500"/>
            <wp:effectExtent l="0" t="0" r="9525" b="0"/>
            <wp:docPr id="4" name="Picture 4" descr="Fig. 4.&#10;Neuromuscular variables assessed at 25, 50, 75, and 100% time to task failure (TTF) throughout the fatiguing tasks in each menstrual cycle phase MCP. A: maximum voluntary contraction (MVC). B: potentiated quadriceps twitch (Qtw.pot). C: voluntary activation assessed with motor nerve stimulation (VAMNS). D: root mean squared EMG (rmsEMG). E: rating of perceived exertion (RPE). Data are means with standard deviation shown in A–D for the final point. Data are displayed as %baseline, although statistical analyses were performed on absolute data. Statistical differences (P &lt; 0.05) are depicted by letters: abetween baseline and 25% TTF; bbetween 25 and 50% TTF; cbetween 50 and 75% TTF; dbetween 75 and 100% TTF; *between D21 and D14; #between D21 and D2. D2, white circles; D14, gray circles; D21, black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1" descr="Fig. 4."/>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429125" cy="4762500"/>
                    </a:xfrm>
                    <a:prstGeom prst="rect">
                      <a:avLst/>
                    </a:prstGeom>
                    <a:noFill/>
                    <a:ln>
                      <a:noFill/>
                    </a:ln>
                  </pic:spPr>
                </pic:pic>
              </a:graphicData>
            </a:graphic>
          </wp:inline>
        </w:drawing>
      </w:r>
    </w:p>
    <w:p w14:paraId="6F6D812E" w14:textId="0AD17B2A" w:rsidR="008115A6" w:rsidRPr="00A14F37" w:rsidRDefault="00F033E2" w:rsidP="00A14F37">
      <w:pPr>
        <w:spacing w:line="240" w:lineRule="auto"/>
        <w:rPr>
          <w:rFonts w:cstheme="minorHAnsi"/>
        </w:rPr>
      </w:pPr>
      <w:r w:rsidRPr="00A14F37">
        <w:rPr>
          <w:rFonts w:cstheme="minorHAnsi"/>
          <w:b/>
          <w:bCs/>
        </w:rPr>
        <w:t xml:space="preserve">Fig. </w:t>
      </w:r>
      <w:proofErr w:type="gramStart"/>
      <w:r w:rsidRPr="00A14F37">
        <w:rPr>
          <w:rFonts w:cstheme="minorHAnsi"/>
          <w:b/>
          <w:bCs/>
        </w:rPr>
        <w:t>4.</w:t>
      </w:r>
      <w:r w:rsidRPr="00A14F37">
        <w:rPr>
          <w:rFonts w:cstheme="minorHAnsi"/>
        </w:rPr>
        <w:t>Neuromuscular</w:t>
      </w:r>
      <w:proofErr w:type="gramEnd"/>
      <w:r w:rsidRPr="00A14F37">
        <w:rPr>
          <w:rFonts w:cstheme="minorHAnsi"/>
        </w:rPr>
        <w:t xml:space="preserve"> variables assessed at 25, 50, 75, and 100% time to task failure (TTF) throughout the fatiguing tasks in each menstrual cycle phase MCP. </w:t>
      </w:r>
      <w:r w:rsidRPr="00A14F37">
        <w:rPr>
          <w:rFonts w:cstheme="minorHAnsi"/>
          <w:i/>
          <w:iCs/>
        </w:rPr>
        <w:t>A</w:t>
      </w:r>
      <w:r w:rsidRPr="00A14F37">
        <w:rPr>
          <w:rFonts w:cstheme="minorHAnsi"/>
        </w:rPr>
        <w:t>: maximum voluntary contraction (MVC). </w:t>
      </w:r>
      <w:r w:rsidRPr="00A14F37">
        <w:rPr>
          <w:rFonts w:cstheme="minorHAnsi"/>
          <w:i/>
          <w:iCs/>
        </w:rPr>
        <w:t>B</w:t>
      </w:r>
      <w:r w:rsidRPr="00A14F37">
        <w:rPr>
          <w:rFonts w:cstheme="minorHAnsi"/>
        </w:rPr>
        <w:t>: potentiated quadriceps twitch (Q</w:t>
      </w:r>
      <w:r w:rsidRPr="00A14F37">
        <w:rPr>
          <w:rFonts w:cstheme="minorHAnsi"/>
          <w:vertAlign w:val="subscript"/>
        </w:rPr>
        <w:t>tw.pot</w:t>
      </w:r>
      <w:r w:rsidRPr="00A14F37">
        <w:rPr>
          <w:rFonts w:cstheme="minorHAnsi"/>
        </w:rPr>
        <w:t>). </w:t>
      </w:r>
      <w:r w:rsidRPr="00A14F37">
        <w:rPr>
          <w:rFonts w:cstheme="minorHAnsi"/>
          <w:i/>
          <w:iCs/>
        </w:rPr>
        <w:t>C</w:t>
      </w:r>
      <w:r w:rsidRPr="00A14F37">
        <w:rPr>
          <w:rFonts w:cstheme="minorHAnsi"/>
        </w:rPr>
        <w:t>: voluntary activation assessed with motor nerve stimulation (VA</w:t>
      </w:r>
      <w:r w:rsidRPr="00A14F37">
        <w:rPr>
          <w:rFonts w:cstheme="minorHAnsi"/>
          <w:vertAlign w:val="subscript"/>
        </w:rPr>
        <w:t>MNS</w:t>
      </w:r>
      <w:r w:rsidRPr="00A14F37">
        <w:rPr>
          <w:rFonts w:cstheme="minorHAnsi"/>
        </w:rPr>
        <w:t>). </w:t>
      </w:r>
      <w:r w:rsidRPr="00A14F37">
        <w:rPr>
          <w:rFonts w:cstheme="minorHAnsi"/>
          <w:i/>
          <w:iCs/>
        </w:rPr>
        <w:t>D</w:t>
      </w:r>
      <w:r w:rsidRPr="00A14F37">
        <w:rPr>
          <w:rFonts w:cstheme="minorHAnsi"/>
        </w:rPr>
        <w:t>: root mean squared EMG (rmsEMG). </w:t>
      </w:r>
      <w:r w:rsidRPr="00A14F37">
        <w:rPr>
          <w:rFonts w:cstheme="minorHAnsi"/>
          <w:i/>
          <w:iCs/>
        </w:rPr>
        <w:t>E</w:t>
      </w:r>
      <w:r w:rsidRPr="00A14F37">
        <w:rPr>
          <w:rFonts w:cstheme="minorHAnsi"/>
        </w:rPr>
        <w:t>: rating of perceived exertion (RPE). Data are means with standard deviation shown in </w:t>
      </w:r>
      <w:r w:rsidRPr="00A14F37">
        <w:rPr>
          <w:rFonts w:cstheme="minorHAnsi"/>
          <w:i/>
          <w:iCs/>
        </w:rPr>
        <w:t>A–D</w:t>
      </w:r>
      <w:r w:rsidRPr="00A14F37">
        <w:rPr>
          <w:rFonts w:cstheme="minorHAnsi"/>
        </w:rPr>
        <w:t> for the final point. Data are displayed as %baseline, although statistical analyses were performed on absolute data. Statistical differences (</w:t>
      </w:r>
      <w:r w:rsidRPr="00A14F37">
        <w:rPr>
          <w:rFonts w:cstheme="minorHAnsi"/>
          <w:i/>
          <w:iCs/>
        </w:rPr>
        <w:t>P</w:t>
      </w:r>
      <w:r w:rsidRPr="00A14F37">
        <w:rPr>
          <w:rFonts w:cstheme="minorHAnsi"/>
        </w:rPr>
        <w:t> &lt; 0.05) are depicted by letters: </w:t>
      </w:r>
      <w:r w:rsidRPr="00A14F37">
        <w:rPr>
          <w:rFonts w:cstheme="minorHAnsi"/>
          <w:vertAlign w:val="superscript"/>
        </w:rPr>
        <w:t>a</w:t>
      </w:r>
      <w:r w:rsidRPr="00A14F37">
        <w:rPr>
          <w:rFonts w:cstheme="minorHAnsi"/>
        </w:rPr>
        <w:t>between baseline and 25% TTF; </w:t>
      </w:r>
      <w:r w:rsidRPr="00A14F37">
        <w:rPr>
          <w:rFonts w:cstheme="minorHAnsi"/>
          <w:vertAlign w:val="superscript"/>
        </w:rPr>
        <w:t>b</w:t>
      </w:r>
      <w:r w:rsidRPr="00A14F37">
        <w:rPr>
          <w:rFonts w:cstheme="minorHAnsi"/>
        </w:rPr>
        <w:t>between 25 and 50% TTF; </w:t>
      </w:r>
      <w:r w:rsidRPr="00A14F37">
        <w:rPr>
          <w:rFonts w:cstheme="minorHAnsi"/>
          <w:vertAlign w:val="superscript"/>
        </w:rPr>
        <w:t>c</w:t>
      </w:r>
      <w:r w:rsidRPr="00A14F37">
        <w:rPr>
          <w:rFonts w:cstheme="minorHAnsi"/>
        </w:rPr>
        <w:t>between 50 and 75% TTF; </w:t>
      </w:r>
      <w:r w:rsidRPr="00A14F37">
        <w:rPr>
          <w:rFonts w:cstheme="minorHAnsi"/>
          <w:vertAlign w:val="superscript"/>
        </w:rPr>
        <w:t>d</w:t>
      </w:r>
      <w:r w:rsidRPr="00A14F37">
        <w:rPr>
          <w:rFonts w:cstheme="minorHAnsi"/>
        </w:rPr>
        <w:t>between 75 and 100% TTF; *between D21 and D14; #between D21 and D2. D2, white circles; D14, gray circles; D21, black circles.</w:t>
      </w:r>
    </w:p>
    <w:p w14:paraId="1524F532"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t>DISCUSSION</w:t>
      </w:r>
    </w:p>
    <w:p w14:paraId="45DF29F3" w14:textId="77777777" w:rsidR="008115A6" w:rsidRPr="008115A6" w:rsidRDefault="008115A6" w:rsidP="00A14F37">
      <w:pPr>
        <w:spacing w:line="240" w:lineRule="auto"/>
        <w:rPr>
          <w:rFonts w:cstheme="minorHAnsi"/>
        </w:rPr>
      </w:pPr>
      <w:r w:rsidRPr="008115A6">
        <w:rPr>
          <w:rFonts w:cstheme="minorHAnsi"/>
        </w:rPr>
        <w:t>The present investigation aimed to assess the influence of modulations in female sex hormones across the eumenorrheic menstrual cycle on neuromuscular function and fatigability. The data from </w:t>
      </w:r>
      <w:r w:rsidRPr="008115A6">
        <w:rPr>
          <w:rFonts w:cstheme="minorHAnsi"/>
          <w:i/>
          <w:iCs/>
        </w:rPr>
        <w:t>Study A</w:t>
      </w:r>
      <w:r w:rsidRPr="008115A6">
        <w:rPr>
          <w:rFonts w:cstheme="minorHAnsi"/>
        </w:rPr>
        <w:t> established repeatability of the measures in a hormonally constant female population (mOCP users). Subsequently, </w:t>
      </w:r>
      <w:r w:rsidRPr="008115A6">
        <w:rPr>
          <w:rFonts w:cstheme="minorHAnsi"/>
          <w:i/>
          <w:iCs/>
        </w:rPr>
        <w:t>Study B</w:t>
      </w:r>
      <w:r w:rsidRPr="008115A6">
        <w:rPr>
          <w:rFonts w:cstheme="minorHAnsi"/>
        </w:rPr>
        <w:t> showed that in eumenorrheic women the hormone-induced changes in neuromuscular function and fatigability across the menstrual cycle were greater than the associated error from hormonally constant women in </w:t>
      </w:r>
      <w:r w:rsidRPr="008115A6">
        <w:rPr>
          <w:rFonts w:cstheme="minorHAnsi"/>
          <w:i/>
          <w:iCs/>
        </w:rPr>
        <w:t>Study A</w:t>
      </w:r>
      <w:r w:rsidRPr="008115A6">
        <w:rPr>
          <w:rFonts w:cstheme="minorHAnsi"/>
        </w:rPr>
        <w:t>. Although one index of neuromuscular function (MVC) did not change, modulations in CNS control of muscle contraction were observed. Specifically, VA was greatest on D14, which was concurrent with an increase in the concentration of estrogen. Additionally, parallel to an increase in progesterone, SICI was greatest on D21. Time to task failure during the open-ended, intermittent, isometric protocol was greatest on D21 of the cycle. Collectively, the present data suggest that neuromuscular function and fatigability are modulated by the eumenorrheic menstrual cycle.</w:t>
      </w:r>
    </w:p>
    <w:p w14:paraId="1D591E41"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lastRenderedPageBreak/>
        <w:t>Maximum Strength and VA Across the Menstrual Cycle</w:t>
      </w:r>
    </w:p>
    <w:p w14:paraId="7EEA6852" w14:textId="77777777" w:rsidR="008115A6" w:rsidRPr="008115A6" w:rsidRDefault="008115A6" w:rsidP="00A14F37">
      <w:pPr>
        <w:spacing w:line="240" w:lineRule="auto"/>
        <w:rPr>
          <w:rFonts w:cstheme="minorHAnsi"/>
        </w:rPr>
      </w:pPr>
      <w:r w:rsidRPr="008115A6">
        <w:rPr>
          <w:rFonts w:cstheme="minorHAnsi"/>
        </w:rPr>
        <w:t>There was no effect of MCP on MVC force. As mentioned, previous data regarding maximum voluntary strength across the menstrual cycle is equivocal. In agreement with the present study, multiple studies have shown no effect (</w:t>
      </w:r>
      <w:hyperlink r:id="rId112" w:anchor="B24" w:history="1">
        <w:r w:rsidRPr="008115A6">
          <w:rPr>
            <w:rStyle w:val="Hyperlink"/>
            <w:rFonts w:cstheme="minorHAnsi"/>
          </w:rPr>
          <w:t>24</w:t>
        </w:r>
      </w:hyperlink>
      <w:r w:rsidRPr="008115A6">
        <w:rPr>
          <w:rFonts w:cstheme="minorHAnsi"/>
        </w:rPr>
        <w:t>, </w:t>
      </w:r>
      <w:hyperlink r:id="rId113" w:anchor="B40" w:history="1">
        <w:r w:rsidRPr="008115A6">
          <w:rPr>
            <w:rStyle w:val="Hyperlink"/>
            <w:rFonts w:cstheme="minorHAnsi"/>
          </w:rPr>
          <w:t>40</w:t>
        </w:r>
      </w:hyperlink>
      <w:r w:rsidRPr="008115A6">
        <w:rPr>
          <w:rFonts w:cstheme="minorHAnsi"/>
        </w:rPr>
        <w:t>, </w:t>
      </w:r>
      <w:hyperlink r:id="rId114" w:anchor="B46" w:history="1">
        <w:r w:rsidRPr="008115A6">
          <w:rPr>
            <w:rStyle w:val="Hyperlink"/>
            <w:rFonts w:cstheme="minorHAnsi"/>
          </w:rPr>
          <w:t>46</w:t>
        </w:r>
      </w:hyperlink>
      <w:r w:rsidRPr="008115A6">
        <w:rPr>
          <w:rFonts w:cstheme="minorHAnsi"/>
        </w:rPr>
        <w:t>); however, several studies have shown that strength peaks midcycle (</w:t>
      </w:r>
      <w:hyperlink r:id="rId115" w:anchor="B49" w:history="1">
        <w:r w:rsidRPr="008115A6">
          <w:rPr>
            <w:rStyle w:val="Hyperlink"/>
            <w:rFonts w:cstheme="minorHAnsi"/>
          </w:rPr>
          <w:t>49</w:t>
        </w:r>
      </w:hyperlink>
      <w:r w:rsidRPr="008115A6">
        <w:rPr>
          <w:rFonts w:cstheme="minorHAnsi"/>
        </w:rPr>
        <w:t>, </w:t>
      </w:r>
      <w:hyperlink r:id="rId116" w:anchor="B53" w:history="1">
        <w:r w:rsidRPr="008115A6">
          <w:rPr>
            <w:rStyle w:val="Hyperlink"/>
            <w:rFonts w:cstheme="minorHAnsi"/>
          </w:rPr>
          <w:t>53</w:t>
        </w:r>
      </w:hyperlink>
      <w:r w:rsidRPr="008115A6">
        <w:rPr>
          <w:rFonts w:cstheme="minorHAnsi"/>
        </w:rPr>
        <w:t>, </w:t>
      </w:r>
      <w:hyperlink r:id="rId117" w:anchor="B64" w:history="1">
        <w:r w:rsidRPr="008115A6">
          <w:rPr>
            <w:rStyle w:val="Hyperlink"/>
            <w:rFonts w:cstheme="minorHAnsi"/>
          </w:rPr>
          <w:t>64</w:t>
        </w:r>
      </w:hyperlink>
      <w:r w:rsidRPr="008115A6">
        <w:rPr>
          <w:rFonts w:cstheme="minorHAnsi"/>
        </w:rPr>
        <w:t>). Previously, discrepancies such as the time of day (</w:t>
      </w:r>
      <w:hyperlink r:id="rId118" w:anchor="B4" w:history="1">
        <w:r w:rsidRPr="008115A6">
          <w:rPr>
            <w:rStyle w:val="Hyperlink"/>
            <w:rFonts w:cstheme="minorHAnsi"/>
          </w:rPr>
          <w:t>4</w:t>
        </w:r>
      </w:hyperlink>
      <w:r w:rsidRPr="008115A6">
        <w:rPr>
          <w:rFonts w:cstheme="minorHAnsi"/>
        </w:rPr>
        <w:t>) or variability in menstrual cycle duration, as well as the chosen days of the menstrual cycle for testing (</w:t>
      </w:r>
      <w:hyperlink r:id="rId119" w:anchor="B27" w:history="1">
        <w:r w:rsidRPr="008115A6">
          <w:rPr>
            <w:rStyle w:val="Hyperlink"/>
            <w:rFonts w:cstheme="minorHAnsi"/>
          </w:rPr>
          <w:t>27</w:t>
        </w:r>
      </w:hyperlink>
      <w:r w:rsidRPr="008115A6">
        <w:rPr>
          <w:rFonts w:cstheme="minorHAnsi"/>
        </w:rPr>
        <w:t>), have been used as explanatory reasons for this discrepancy. The present study controlled these factors within </w:t>
      </w:r>
      <w:r w:rsidRPr="008115A6">
        <w:rPr>
          <w:rFonts w:cstheme="minorHAnsi"/>
          <w:i/>
          <w:iCs/>
        </w:rPr>
        <w:t>Study B</w:t>
      </w:r>
      <w:r w:rsidRPr="008115A6">
        <w:rPr>
          <w:rFonts w:cstheme="minorHAnsi"/>
        </w:rPr>
        <w:t> by testing at the same time of day and confirming that participants were in the correct phase by serum hormone analysis, yet no effect of MCP was observed.</w:t>
      </w:r>
    </w:p>
    <w:p w14:paraId="01B10149" w14:textId="77777777" w:rsidR="008115A6" w:rsidRPr="008115A6" w:rsidRDefault="008115A6" w:rsidP="00A14F37">
      <w:pPr>
        <w:spacing w:line="240" w:lineRule="auto"/>
        <w:rPr>
          <w:rFonts w:cstheme="minorHAnsi"/>
        </w:rPr>
      </w:pPr>
      <w:r w:rsidRPr="008115A6">
        <w:rPr>
          <w:rFonts w:cstheme="minorHAnsi"/>
        </w:rPr>
        <w:t>Interestingly, </w:t>
      </w:r>
      <w:r w:rsidRPr="008115A6">
        <w:rPr>
          <w:rFonts w:cstheme="minorHAnsi"/>
          <w:i/>
          <w:iCs/>
        </w:rPr>
        <w:t>Study B</w:t>
      </w:r>
      <w:r w:rsidRPr="008115A6">
        <w:rPr>
          <w:rFonts w:cstheme="minorHAnsi"/>
        </w:rPr>
        <w:t> demonstrated changes in VA (assessed by both MNS and TMS) despite no change in MVC. VA</w:t>
      </w:r>
      <w:r w:rsidRPr="008115A6">
        <w:rPr>
          <w:rFonts w:cstheme="minorHAnsi"/>
          <w:vertAlign w:val="subscript"/>
        </w:rPr>
        <w:t>MNS</w:t>
      </w:r>
      <w:r w:rsidRPr="008115A6">
        <w:rPr>
          <w:rFonts w:cstheme="minorHAnsi"/>
        </w:rPr>
        <w:t> peaked on D14, and VA</w:t>
      </w:r>
      <w:r w:rsidRPr="008115A6">
        <w:rPr>
          <w:rFonts w:cstheme="minorHAnsi"/>
          <w:vertAlign w:val="subscript"/>
        </w:rPr>
        <w:t>TMS</w:t>
      </w:r>
      <w:r w:rsidRPr="008115A6">
        <w:rPr>
          <w:rFonts w:cstheme="minorHAnsi"/>
        </w:rPr>
        <w:t> was greater on D14 compared with D21 (see </w:t>
      </w:r>
      <w:hyperlink r:id="rId120" w:anchor="F0001" w:history="1">
        <w:r w:rsidRPr="008115A6">
          <w:rPr>
            <w:rStyle w:val="Hyperlink"/>
            <w:rFonts w:cstheme="minorHAnsi"/>
          </w:rPr>
          <w:t>Fig. 1</w:t>
        </w:r>
      </w:hyperlink>
      <w:r w:rsidRPr="008115A6">
        <w:rPr>
          <w:rFonts w:cstheme="minorHAnsi"/>
        </w:rPr>
        <w:t>). As Q</w:t>
      </w:r>
      <w:r w:rsidRPr="008115A6">
        <w:rPr>
          <w:rFonts w:cstheme="minorHAnsi"/>
          <w:vertAlign w:val="subscript"/>
        </w:rPr>
        <w:t>tw.pot</w:t>
      </w:r>
      <w:r w:rsidRPr="008115A6">
        <w:rPr>
          <w:rFonts w:cstheme="minorHAnsi"/>
        </w:rPr>
        <w:t> and ERT were not affected by MCP, these changes in VA were mediated by a decreased SIT amplitude on D14 in response to both motor nerve and motor cortical stimulation. This could indicate that there was a decrease in the capacity of the CNS to elicit extra force in response to stimulation. The TMS- and MNS-evoked SITs represent the extra force from motor units that the CNS is not able to voluntarily recruit or discharge at a sufficient rate (</w:t>
      </w:r>
      <w:hyperlink r:id="rId121" w:anchor="B68" w:history="1">
        <w:r w:rsidRPr="008115A6">
          <w:rPr>
            <w:rStyle w:val="Hyperlink"/>
            <w:rFonts w:cstheme="minorHAnsi"/>
          </w:rPr>
          <w:t>68</w:t>
        </w:r>
      </w:hyperlink>
      <w:r w:rsidRPr="008115A6">
        <w:rPr>
          <w:rFonts w:cstheme="minorHAnsi"/>
        </w:rPr>
        <w:t>). As acknowledged by Todd et al. (</w:t>
      </w:r>
      <w:hyperlink r:id="rId122" w:anchor="B68" w:history="1">
        <w:r w:rsidRPr="008115A6">
          <w:rPr>
            <w:rStyle w:val="Hyperlink"/>
            <w:rFonts w:cstheme="minorHAnsi"/>
          </w:rPr>
          <w:t>68</w:t>
        </w:r>
      </w:hyperlink>
      <w:r w:rsidRPr="008115A6">
        <w:rPr>
          <w:rFonts w:cstheme="minorHAnsi"/>
        </w:rPr>
        <w:t>), a change in SIT force could be caused by changes in the CNS altering activation of the motoneuron; therefore, changes within the motor cortex could provide an explanation for the change in VA. An alternative explanation could be the magnitude of the respective measurement errors of these variables. In </w:t>
      </w:r>
      <w:r w:rsidRPr="008115A6">
        <w:rPr>
          <w:rFonts w:cstheme="minorHAnsi"/>
          <w:i/>
          <w:iCs/>
        </w:rPr>
        <w:t>StudyA</w:t>
      </w:r>
      <w:r w:rsidRPr="008115A6">
        <w:rPr>
          <w:rFonts w:cstheme="minorHAnsi"/>
        </w:rPr>
        <w:t>, when hormones were controlled, the CVs of VA</w:t>
      </w:r>
      <w:r w:rsidRPr="008115A6">
        <w:rPr>
          <w:rFonts w:cstheme="minorHAnsi"/>
          <w:vertAlign w:val="subscript"/>
        </w:rPr>
        <w:t>MNS</w:t>
      </w:r>
      <w:r w:rsidRPr="008115A6">
        <w:rPr>
          <w:rFonts w:cstheme="minorHAnsi"/>
        </w:rPr>
        <w:t> (1.7%) and VA</w:t>
      </w:r>
      <w:r w:rsidRPr="008115A6">
        <w:rPr>
          <w:rFonts w:cstheme="minorHAnsi"/>
          <w:vertAlign w:val="subscript"/>
        </w:rPr>
        <w:t>TMS</w:t>
      </w:r>
      <w:r w:rsidRPr="008115A6">
        <w:rPr>
          <w:rFonts w:cstheme="minorHAnsi"/>
        </w:rPr>
        <w:t> (3.0%) are lower than the TE for MVC (5.0%). Although changes seen in the present data set (i.e., the 1.8% increase in VA</w:t>
      </w:r>
      <w:r w:rsidRPr="008115A6">
        <w:rPr>
          <w:rFonts w:cstheme="minorHAnsi"/>
          <w:vertAlign w:val="subscript"/>
        </w:rPr>
        <w:t>MNS</w:t>
      </w:r>
      <w:r w:rsidRPr="008115A6">
        <w:rPr>
          <w:rFonts w:cstheme="minorHAnsi"/>
        </w:rPr>
        <w:t> between D2 and D14 or the 3.1% decrease in VA</w:t>
      </w:r>
      <w:r w:rsidRPr="008115A6">
        <w:rPr>
          <w:rFonts w:cstheme="minorHAnsi"/>
          <w:vertAlign w:val="subscript"/>
        </w:rPr>
        <w:t>TMS</w:t>
      </w:r>
      <w:r w:rsidRPr="008115A6">
        <w:rPr>
          <w:rFonts w:cstheme="minorHAnsi"/>
        </w:rPr>
        <w:t> between D14 and D21) were similar to typical error, it could be the case that the increase in VA was not large enough to elicit a detectable increase in MVC due to its larger TE. Previous studies that have shown VA</w:t>
      </w:r>
      <w:r w:rsidRPr="008115A6">
        <w:rPr>
          <w:rFonts w:cstheme="minorHAnsi"/>
          <w:vertAlign w:val="subscript"/>
        </w:rPr>
        <w:t>MNS</w:t>
      </w:r>
      <w:r w:rsidRPr="008115A6">
        <w:rPr>
          <w:rFonts w:cstheme="minorHAnsi"/>
        </w:rPr>
        <w:t> not to change have used the central activation ratio (</w:t>
      </w:r>
      <w:hyperlink r:id="rId123" w:anchor="B40" w:history="1">
        <w:r w:rsidRPr="008115A6">
          <w:rPr>
            <w:rStyle w:val="Hyperlink"/>
            <w:rFonts w:cstheme="minorHAnsi"/>
          </w:rPr>
          <w:t>40</w:t>
        </w:r>
      </w:hyperlink>
      <w:r w:rsidRPr="008115A6">
        <w:rPr>
          <w:rFonts w:cstheme="minorHAnsi"/>
        </w:rPr>
        <w:t>, </w:t>
      </w:r>
      <w:hyperlink r:id="rId124" w:anchor="B46" w:history="1">
        <w:r w:rsidRPr="008115A6">
          <w:rPr>
            <w:rStyle w:val="Hyperlink"/>
            <w:rFonts w:cstheme="minorHAnsi"/>
          </w:rPr>
          <w:t>46</w:t>
        </w:r>
      </w:hyperlink>
      <w:r w:rsidRPr="008115A6">
        <w:rPr>
          <w:rFonts w:cstheme="minorHAnsi"/>
        </w:rPr>
        <w:t>), which is less sensitive to change than the ITT (</w:t>
      </w:r>
      <w:hyperlink r:id="rId125" w:anchor="B50" w:history="1">
        <w:r w:rsidRPr="008115A6">
          <w:rPr>
            <w:rStyle w:val="Hyperlink"/>
            <w:rFonts w:cstheme="minorHAnsi"/>
          </w:rPr>
          <w:t>50</w:t>
        </w:r>
      </w:hyperlink>
      <w:r w:rsidRPr="008115A6">
        <w:rPr>
          <w:rFonts w:cstheme="minorHAnsi"/>
        </w:rPr>
        <w:t>). It is likely, therefore, that the magnitude of menstrual cycle effect on VA</w:t>
      </w:r>
      <w:r w:rsidRPr="008115A6">
        <w:rPr>
          <w:rFonts w:cstheme="minorHAnsi"/>
          <w:vertAlign w:val="subscript"/>
        </w:rPr>
        <w:t>MNS</w:t>
      </w:r>
      <w:r w:rsidRPr="008115A6">
        <w:rPr>
          <w:rFonts w:cstheme="minorHAnsi"/>
        </w:rPr>
        <w:t> and VA</w:t>
      </w:r>
      <w:r w:rsidRPr="008115A6">
        <w:rPr>
          <w:rFonts w:cstheme="minorHAnsi"/>
          <w:vertAlign w:val="subscript"/>
        </w:rPr>
        <w:t>TMS</w:t>
      </w:r>
      <w:r w:rsidRPr="008115A6">
        <w:rPr>
          <w:rFonts w:cstheme="minorHAnsi"/>
        </w:rPr>
        <w:t xml:space="preserve"> is marginally greater than the random error associated with the techniques used to assess it; thus, based on current evidence, the true effect is unclear. </w:t>
      </w:r>
      <w:proofErr w:type="gramStart"/>
      <w:r w:rsidRPr="008115A6">
        <w:rPr>
          <w:rFonts w:cstheme="minorHAnsi"/>
        </w:rPr>
        <w:t>Also</w:t>
      </w:r>
      <w:proofErr w:type="gramEnd"/>
      <w:r w:rsidRPr="008115A6">
        <w:rPr>
          <w:rFonts w:cstheme="minorHAnsi"/>
        </w:rPr>
        <w:t xml:space="preserve"> of note is the MCP × time interaction effect for VA</w:t>
      </w:r>
      <w:r w:rsidRPr="008115A6">
        <w:rPr>
          <w:rFonts w:cstheme="minorHAnsi"/>
          <w:vertAlign w:val="subscript"/>
        </w:rPr>
        <w:t>TMS</w:t>
      </w:r>
      <w:r w:rsidRPr="008115A6">
        <w:rPr>
          <w:rFonts w:cstheme="minorHAnsi"/>
        </w:rPr>
        <w:t>, which would indicate that the magnitude of change from pre- to postexercise was different between MCPs. However, this appears to have been driven by the increased VA</w:t>
      </w:r>
      <w:r w:rsidRPr="008115A6">
        <w:rPr>
          <w:rFonts w:cstheme="minorHAnsi"/>
          <w:vertAlign w:val="subscript"/>
        </w:rPr>
        <w:t>TMS</w:t>
      </w:r>
      <w:r w:rsidRPr="008115A6">
        <w:rPr>
          <w:rFonts w:cstheme="minorHAnsi"/>
        </w:rPr>
        <w:t> preexercise on D14, as there were no differences in postexercise values. Therefore, it is unlikely that participants experienced a greater degree of CNS adjustment following exercise during the late-follicular phase (D14).</w:t>
      </w:r>
    </w:p>
    <w:p w14:paraId="7E8B0BC8"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t>Corticospinal and Intracortical Function Across the Menstrual Cycle</w:t>
      </w:r>
    </w:p>
    <w:p w14:paraId="374FF5B0" w14:textId="77777777" w:rsidR="008115A6" w:rsidRPr="008115A6" w:rsidRDefault="008115A6" w:rsidP="00A14F37">
      <w:pPr>
        <w:spacing w:line="240" w:lineRule="auto"/>
        <w:rPr>
          <w:rFonts w:cstheme="minorHAnsi"/>
        </w:rPr>
      </w:pPr>
      <w:r w:rsidRPr="008115A6">
        <w:rPr>
          <w:rFonts w:cstheme="minorHAnsi"/>
        </w:rPr>
        <w:t>As mentioned, the increase in both measurements of VA on D14 (VA</w:t>
      </w:r>
      <w:r w:rsidRPr="008115A6">
        <w:rPr>
          <w:rFonts w:cstheme="minorHAnsi"/>
          <w:vertAlign w:val="subscript"/>
        </w:rPr>
        <w:t>MNS</w:t>
      </w:r>
      <w:r w:rsidRPr="008115A6">
        <w:rPr>
          <w:rFonts w:cstheme="minorHAnsi"/>
        </w:rPr>
        <w:t> and VA</w:t>
      </w:r>
      <w:r w:rsidRPr="008115A6">
        <w:rPr>
          <w:rFonts w:cstheme="minorHAnsi"/>
          <w:vertAlign w:val="subscript"/>
        </w:rPr>
        <w:t>TMS</w:t>
      </w:r>
      <w:r w:rsidRPr="008115A6">
        <w:rPr>
          <w:rFonts w:cstheme="minorHAnsi"/>
        </w:rPr>
        <w:t>) could represent changes in supraspinal properties altering synaptic drive to the motoneuron pool across the menstrual cycle (</w:t>
      </w:r>
      <w:hyperlink r:id="rId126" w:anchor="B51" w:history="1">
        <w:r w:rsidRPr="008115A6">
          <w:rPr>
            <w:rStyle w:val="Hyperlink"/>
            <w:rFonts w:cstheme="minorHAnsi"/>
          </w:rPr>
          <w:t>51</w:t>
        </w:r>
      </w:hyperlink>
      <w:r w:rsidRPr="008115A6">
        <w:rPr>
          <w:rFonts w:cstheme="minorHAnsi"/>
        </w:rPr>
        <w:t>). To investigate the state of the corticospinal tract and motor cortex, the present study employed single- and paired-pulse TMS. No menstrual cycle effect was observed on corticospinal excitability; however, intracortical inhibition was increased on D21. Single-pulse MEPs in the resting first dorsal interosseous muscle have previously been shown not to be affected by estrogen concentrations [day 1 vs. day 14 of the menstrual cycle (</w:t>
      </w:r>
      <w:hyperlink r:id="rId127" w:anchor="B39" w:history="1">
        <w:r w:rsidRPr="008115A6">
          <w:rPr>
            <w:rStyle w:val="Hyperlink"/>
            <w:rFonts w:cstheme="minorHAnsi"/>
          </w:rPr>
          <w:t>39</w:t>
        </w:r>
      </w:hyperlink>
      <w:r w:rsidRPr="008115A6">
        <w:rPr>
          <w:rFonts w:cstheme="minorHAnsi"/>
        </w:rPr>
        <w:t>)], and the present study extends this conclusion to the active knee extensors while demonstrating that the increase of progesterone concentrations on D21 is not concurrent with changes in corticospinal excitability. When paired-pulse responses are considered, however, the increase in progesterone concentrations was concomitant with an ~14% increase in SICI, which when considered with previous evidence (</w:t>
      </w:r>
      <w:hyperlink r:id="rId128" w:anchor="B37" w:history="1">
        <w:r w:rsidRPr="008115A6">
          <w:rPr>
            <w:rStyle w:val="Hyperlink"/>
            <w:rFonts w:cstheme="minorHAnsi"/>
          </w:rPr>
          <w:t>37</w:t>
        </w:r>
      </w:hyperlink>
      <w:r w:rsidRPr="008115A6">
        <w:rPr>
          <w:rFonts w:cstheme="minorHAnsi"/>
        </w:rPr>
        <w:t>, </w:t>
      </w:r>
      <w:hyperlink r:id="rId129" w:anchor="B59" w:history="1">
        <w:r w:rsidRPr="008115A6">
          <w:rPr>
            <w:rStyle w:val="Hyperlink"/>
            <w:rFonts w:cstheme="minorHAnsi"/>
          </w:rPr>
          <w:t>59</w:t>
        </w:r>
      </w:hyperlink>
      <w:r w:rsidRPr="008115A6">
        <w:rPr>
          <w:rFonts w:cstheme="minorHAnsi"/>
        </w:rPr>
        <w:t>) was likely through potentiation of GABA</w:t>
      </w:r>
      <w:r w:rsidRPr="008115A6">
        <w:rPr>
          <w:rFonts w:cstheme="minorHAnsi"/>
          <w:vertAlign w:val="subscript"/>
        </w:rPr>
        <w:t>A</w:t>
      </w:r>
      <w:r w:rsidRPr="008115A6">
        <w:rPr>
          <w:rFonts w:cstheme="minorHAnsi"/>
        </w:rPr>
        <w:t> inhibition. Indeed, GABA agonist pharmacological interventions (e.g., baclofen and gabapentin) have shown similar changes (</w:t>
      </w:r>
      <w:hyperlink r:id="rId130" w:anchor="B74" w:history="1">
        <w:r w:rsidRPr="008115A6">
          <w:rPr>
            <w:rStyle w:val="Hyperlink"/>
            <w:rFonts w:cstheme="minorHAnsi"/>
          </w:rPr>
          <w:t>74</w:t>
        </w:r>
      </w:hyperlink>
      <w:r w:rsidRPr="008115A6">
        <w:rPr>
          <w:rFonts w:cstheme="minorHAnsi"/>
        </w:rPr>
        <w:t>). The difference between D14 and D21 demonstrated in </w:t>
      </w:r>
      <w:r w:rsidRPr="008115A6">
        <w:rPr>
          <w:rFonts w:cstheme="minorHAnsi"/>
          <w:i/>
          <w:iCs/>
        </w:rPr>
        <w:t>Study B</w:t>
      </w:r>
      <w:r w:rsidRPr="008115A6">
        <w:rPr>
          <w:rFonts w:cstheme="minorHAnsi"/>
        </w:rPr>
        <w:t> (14%) was double the measurement error of SICI observed in </w:t>
      </w:r>
      <w:r w:rsidRPr="008115A6">
        <w:rPr>
          <w:rFonts w:cstheme="minorHAnsi"/>
          <w:i/>
          <w:iCs/>
        </w:rPr>
        <w:t>Study A</w:t>
      </w:r>
      <w:r w:rsidRPr="008115A6">
        <w:rPr>
          <w:rFonts w:cstheme="minorHAnsi"/>
        </w:rPr>
        <w:t> (7%); however, there was no difference between D2 and D14 (difference = 4%). Interestingly, SICI followed a similar pattern to the estrogen-to-progesterone (E/P) ratio (see </w:t>
      </w:r>
      <w:hyperlink r:id="rId131" w:anchor="T4" w:history="1">
        <w:r w:rsidRPr="008115A6">
          <w:rPr>
            <w:rStyle w:val="Hyperlink"/>
            <w:rFonts w:cstheme="minorHAnsi"/>
          </w:rPr>
          <w:t>Table 4</w:t>
        </w:r>
      </w:hyperlink>
      <w:r w:rsidRPr="008115A6">
        <w:rPr>
          <w:rFonts w:cstheme="minorHAnsi"/>
        </w:rPr>
        <w:t>), with the only significant change demonstrated on D21 concurrent to a decrease in the E/P ratio. Furthermore, the MCP × time interaction effect for SICI in </w:t>
      </w:r>
      <w:r w:rsidRPr="008115A6">
        <w:rPr>
          <w:rFonts w:cstheme="minorHAnsi"/>
          <w:i/>
          <w:iCs/>
        </w:rPr>
        <w:t>Study B</w:t>
      </w:r>
      <w:r w:rsidRPr="008115A6">
        <w:rPr>
          <w:rFonts w:cstheme="minorHAnsi"/>
        </w:rPr>
        <w:t> would suggest that intracortical inhibition is differentially modulated by exercise throughout the menstrual cycle. Although this is a concept that has been postulated before (</w:t>
      </w:r>
      <w:hyperlink r:id="rId132" w:anchor="B23" w:history="1">
        <w:r w:rsidRPr="008115A6">
          <w:rPr>
            <w:rStyle w:val="Hyperlink"/>
            <w:rFonts w:cstheme="minorHAnsi"/>
          </w:rPr>
          <w:t>23</w:t>
        </w:r>
      </w:hyperlink>
      <w:r w:rsidRPr="008115A6">
        <w:rPr>
          <w:rFonts w:cstheme="minorHAnsi"/>
        </w:rPr>
        <w:t xml:space="preserve">), and the present data appear to show this phenomenon, the interaction should be </w:t>
      </w:r>
      <w:r w:rsidRPr="008115A6">
        <w:rPr>
          <w:rFonts w:cstheme="minorHAnsi"/>
        </w:rPr>
        <w:lastRenderedPageBreak/>
        <w:t>treated with caution, as the postexercise reliability of SICI in </w:t>
      </w:r>
      <w:r w:rsidRPr="008115A6">
        <w:rPr>
          <w:rFonts w:cstheme="minorHAnsi"/>
          <w:i/>
          <w:iCs/>
        </w:rPr>
        <w:t>Study A</w:t>
      </w:r>
      <w:r w:rsidRPr="008115A6">
        <w:rPr>
          <w:rFonts w:cstheme="minorHAnsi"/>
        </w:rPr>
        <w:t> was poor. A significant bias was observed (</w:t>
      </w:r>
      <w:r w:rsidRPr="008115A6">
        <w:rPr>
          <w:rFonts w:cstheme="minorHAnsi"/>
          <w:i/>
          <w:iCs/>
        </w:rPr>
        <w:t>P</w:t>
      </w:r>
      <w:r w:rsidRPr="008115A6">
        <w:rPr>
          <w:rFonts w:cstheme="minorHAnsi"/>
        </w:rPr>
        <w:t> = 0.031), with a poor ICC value (0.42); thus, a conclusion regarding MCP-specific changes in intracortical inhibition following exercise cannot be confidently made using the present data.</w:t>
      </w:r>
    </w:p>
    <w:p w14:paraId="11913F6D" w14:textId="77777777" w:rsidR="008115A6" w:rsidRPr="008115A6" w:rsidRDefault="008115A6" w:rsidP="00A14F37">
      <w:pPr>
        <w:spacing w:line="240" w:lineRule="auto"/>
        <w:rPr>
          <w:rFonts w:cstheme="minorHAnsi"/>
        </w:rPr>
      </w:pPr>
      <w:r w:rsidRPr="008115A6">
        <w:rPr>
          <w:rFonts w:cstheme="minorHAnsi"/>
        </w:rPr>
        <w:t>The TMS SP, thought to partly reflect GABA</w:t>
      </w:r>
      <w:r w:rsidRPr="008115A6">
        <w:rPr>
          <w:rFonts w:cstheme="minorHAnsi"/>
          <w:vertAlign w:val="subscript"/>
        </w:rPr>
        <w:t>B</w:t>
      </w:r>
      <w:r w:rsidRPr="008115A6">
        <w:rPr>
          <w:rFonts w:cstheme="minorHAnsi"/>
        </w:rPr>
        <w:t> inhibitory mechanisms (</w:t>
      </w:r>
      <w:hyperlink r:id="rId133" w:anchor="B14" w:history="1">
        <w:r w:rsidRPr="008115A6">
          <w:rPr>
            <w:rStyle w:val="Hyperlink"/>
            <w:rFonts w:cstheme="minorHAnsi"/>
          </w:rPr>
          <w:t>14</w:t>
        </w:r>
      </w:hyperlink>
      <w:r w:rsidRPr="008115A6">
        <w:rPr>
          <w:rFonts w:cstheme="minorHAnsi"/>
        </w:rPr>
        <w:t>), was not affected by MCP, supporting previous data recorded in the FDI muscle (</w:t>
      </w:r>
      <w:hyperlink r:id="rId134" w:anchor="B33" w:history="1">
        <w:r w:rsidRPr="008115A6">
          <w:rPr>
            <w:rStyle w:val="Hyperlink"/>
            <w:rFonts w:cstheme="minorHAnsi"/>
          </w:rPr>
          <w:t>33</w:t>
        </w:r>
      </w:hyperlink>
      <w:r w:rsidRPr="008115A6">
        <w:rPr>
          <w:rFonts w:cstheme="minorHAnsi"/>
        </w:rPr>
        <w:t>). However, the conclusion that the menstrual cycle affects only GABA</w:t>
      </w:r>
      <w:r w:rsidRPr="008115A6">
        <w:rPr>
          <w:rFonts w:cstheme="minorHAnsi"/>
          <w:vertAlign w:val="subscript"/>
        </w:rPr>
        <w:t>A</w:t>
      </w:r>
      <w:r w:rsidRPr="008115A6">
        <w:rPr>
          <w:rFonts w:cstheme="minorHAnsi"/>
        </w:rPr>
        <w:t> neurotransmission cannot be made with the current data, as Yacyshyn et al. (</w:t>
      </w:r>
      <w:hyperlink r:id="rId135" w:anchor="B73" w:history="1">
        <w:r w:rsidRPr="008115A6">
          <w:rPr>
            <w:rStyle w:val="Hyperlink"/>
            <w:rFonts w:cstheme="minorHAnsi"/>
          </w:rPr>
          <w:t>73</w:t>
        </w:r>
      </w:hyperlink>
      <w:r w:rsidRPr="008115A6">
        <w:rPr>
          <w:rFonts w:cstheme="minorHAnsi"/>
        </w:rPr>
        <w:t>) showed that the SP has a large spinal contribution. Additionally, glutamatergic intracortical facilitation (ICF) was not measured in the present study, but it has previously been shown to be affected by the menstrual cycle, with augmented ICF demonstrated midcycle (</w:t>
      </w:r>
      <w:hyperlink r:id="rId136" w:anchor="B56" w:history="1">
        <w:r w:rsidRPr="008115A6">
          <w:rPr>
            <w:rStyle w:val="Hyperlink"/>
            <w:rFonts w:cstheme="minorHAnsi"/>
          </w:rPr>
          <w:t>56</w:t>
        </w:r>
      </w:hyperlink>
      <w:r w:rsidRPr="008115A6">
        <w:rPr>
          <w:rFonts w:cstheme="minorHAnsi"/>
        </w:rPr>
        <w:t>, </w:t>
      </w:r>
      <w:hyperlink r:id="rId137" w:anchor="B57" w:history="1">
        <w:r w:rsidRPr="008115A6">
          <w:rPr>
            <w:rStyle w:val="Hyperlink"/>
            <w:rFonts w:cstheme="minorHAnsi"/>
          </w:rPr>
          <w:t>57</w:t>
        </w:r>
      </w:hyperlink>
      <w:r w:rsidRPr="008115A6">
        <w:rPr>
          <w:rFonts w:cstheme="minorHAnsi"/>
        </w:rPr>
        <w:t>). Although the causal link between intracortical function and VA is underresearched, it is possible that the adjustments of intracortical circuitry altered the capacity of TMS and MNS to evoke a SIT. For instance, if intracortical excitability was greatest on D14, there may have been a “ceiling effect,” meaning the stimulations were not able to induce additional excitation in the motor cortex, thus innervating fewer additive motor units during MVCs and evoking a smaller SIT, and the contrary occurring on D21, when inhibition was greatest. The modulation of neurotransmitters has previously shown to affect VA, with pharmacological increases in norepinephrine (</w:t>
      </w:r>
      <w:hyperlink r:id="rId138" w:anchor="B44" w:history="1">
        <w:r w:rsidRPr="008115A6">
          <w:rPr>
            <w:rStyle w:val="Hyperlink"/>
            <w:rFonts w:cstheme="minorHAnsi"/>
          </w:rPr>
          <w:t>44</w:t>
        </w:r>
      </w:hyperlink>
      <w:r w:rsidRPr="008115A6">
        <w:rPr>
          <w:rFonts w:cstheme="minorHAnsi"/>
        </w:rPr>
        <w:t>) and serotonin (</w:t>
      </w:r>
      <w:hyperlink r:id="rId139" w:anchor="B42" w:history="1">
        <w:r w:rsidRPr="008115A6">
          <w:rPr>
            <w:rStyle w:val="Hyperlink"/>
            <w:rFonts w:cstheme="minorHAnsi"/>
          </w:rPr>
          <w:t>42</w:t>
        </w:r>
      </w:hyperlink>
      <w:r w:rsidRPr="008115A6">
        <w:rPr>
          <w:rFonts w:cstheme="minorHAnsi"/>
        </w:rPr>
        <w:t>) resulting in a ~1–2% increase in VA. Indeed the effects of serotonin have been shown to be augmented by estrogen (</w:t>
      </w:r>
      <w:hyperlink r:id="rId140" w:anchor="B3" w:history="1">
        <w:r w:rsidRPr="008115A6">
          <w:rPr>
            <w:rStyle w:val="Hyperlink"/>
            <w:rFonts w:cstheme="minorHAnsi"/>
          </w:rPr>
          <w:t>3</w:t>
        </w:r>
      </w:hyperlink>
      <w:r w:rsidRPr="008115A6">
        <w:rPr>
          <w:rFonts w:cstheme="minorHAnsi"/>
        </w:rPr>
        <w:t>) and inhibited by progesterone (</w:t>
      </w:r>
      <w:hyperlink r:id="rId141" w:anchor="B34" w:history="1">
        <w:r w:rsidRPr="008115A6">
          <w:rPr>
            <w:rStyle w:val="Hyperlink"/>
            <w:rFonts w:cstheme="minorHAnsi"/>
          </w:rPr>
          <w:t>34</w:t>
        </w:r>
      </w:hyperlink>
      <w:r w:rsidRPr="008115A6">
        <w:rPr>
          <w:rFonts w:cstheme="minorHAnsi"/>
        </w:rPr>
        <w:t>). Therefore, it is possible that the modulation of inhibitory and facilitatory intracortical circuitry across the menstrual cycle might collectively contribute to the changes in VA</w:t>
      </w:r>
      <w:r w:rsidRPr="008115A6">
        <w:rPr>
          <w:rFonts w:cstheme="minorHAnsi"/>
          <w:vertAlign w:val="subscript"/>
        </w:rPr>
        <w:t>MNS</w:t>
      </w:r>
      <w:r w:rsidRPr="008115A6">
        <w:rPr>
          <w:rFonts w:cstheme="minorHAnsi"/>
        </w:rPr>
        <w:t> and VA</w:t>
      </w:r>
      <w:r w:rsidRPr="008115A6">
        <w:rPr>
          <w:rFonts w:cstheme="minorHAnsi"/>
          <w:vertAlign w:val="subscript"/>
        </w:rPr>
        <w:t>TMS</w:t>
      </w:r>
      <w:r w:rsidRPr="008115A6">
        <w:rPr>
          <w:rFonts w:cstheme="minorHAnsi"/>
        </w:rPr>
        <w:t>.</w:t>
      </w:r>
    </w:p>
    <w:p w14:paraId="0C3AEDF3"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t>Fatigability Across the Menstrual Cycle</w:t>
      </w:r>
    </w:p>
    <w:p w14:paraId="4BC74357" w14:textId="77777777" w:rsidR="008115A6" w:rsidRPr="008115A6" w:rsidRDefault="008115A6" w:rsidP="00A14F37">
      <w:pPr>
        <w:spacing w:line="240" w:lineRule="auto"/>
        <w:rPr>
          <w:rFonts w:cstheme="minorHAnsi"/>
        </w:rPr>
      </w:pPr>
      <w:r w:rsidRPr="008115A6">
        <w:rPr>
          <w:rFonts w:cstheme="minorHAnsi"/>
        </w:rPr>
        <w:t>Fatigability, as measured by the TTF of the open-ended fatiguing protocol, was lowest on D21 (i.e., greatest TTF), thus supporting the findings of Sarwar et al. (</w:t>
      </w:r>
      <w:hyperlink r:id="rId142" w:anchor="B53" w:history="1">
        <w:r w:rsidRPr="008115A6">
          <w:rPr>
            <w:rStyle w:val="Hyperlink"/>
            <w:rFonts w:cstheme="minorHAnsi"/>
          </w:rPr>
          <w:t>53</w:t>
        </w:r>
      </w:hyperlink>
      <w:r w:rsidRPr="008115A6">
        <w:rPr>
          <w:rFonts w:cstheme="minorHAnsi"/>
        </w:rPr>
        <w:t>), who showed that fatigue index was lowest in the luteal phase during a 3-min intermittent involuntary contraction protocol. The present data, however, contradict Janse de Jonge et al. (</w:t>
      </w:r>
      <w:hyperlink r:id="rId143" w:anchor="B40" w:history="1">
        <w:r w:rsidRPr="008115A6">
          <w:rPr>
            <w:rStyle w:val="Hyperlink"/>
            <w:rFonts w:cstheme="minorHAnsi"/>
          </w:rPr>
          <w:t>40</w:t>
        </w:r>
      </w:hyperlink>
      <w:r w:rsidRPr="008115A6">
        <w:rPr>
          <w:rFonts w:cstheme="minorHAnsi"/>
        </w:rPr>
        <w:t>), who showed no effect of MCP during voluntary or electrically evoked fatiguing protocols performed with the KE. The differences between tasks could explain these discrepancies. The voluntary task used by Janse de Jonge et al. (</w:t>
      </w:r>
      <w:hyperlink r:id="rId144" w:anchor="B44" w:history="1">
        <w:r w:rsidRPr="008115A6">
          <w:rPr>
            <w:rStyle w:val="Hyperlink"/>
            <w:rFonts w:cstheme="minorHAnsi"/>
          </w:rPr>
          <w:t>44</w:t>
        </w:r>
      </w:hyperlink>
      <w:r w:rsidRPr="008115A6">
        <w:rPr>
          <w:rFonts w:cstheme="minorHAnsi"/>
        </w:rPr>
        <w:t>) involved both dynamic knee extension and flexion rather than a single muscle group. This anisometric, multi-muscle group exercise likely elicits a different pattern of sensory afferent feedback (</w:t>
      </w:r>
      <w:hyperlink r:id="rId145" w:anchor="B30" w:history="1">
        <w:r w:rsidRPr="008115A6">
          <w:rPr>
            <w:rStyle w:val="Hyperlink"/>
            <w:rFonts w:cstheme="minorHAnsi"/>
          </w:rPr>
          <w:t>30</w:t>
        </w:r>
      </w:hyperlink>
      <w:r w:rsidRPr="008115A6">
        <w:rPr>
          <w:rFonts w:cstheme="minorHAnsi"/>
        </w:rPr>
        <w:t>) and was not open-ended like the present study, which could explain the discrepancies in fatigability. The same reasons might also apply to why the findings of DiBrezzo et al. (</w:t>
      </w:r>
      <w:hyperlink r:id="rId146" w:anchor="B21" w:history="1">
        <w:r w:rsidRPr="008115A6">
          <w:rPr>
            <w:rStyle w:val="Hyperlink"/>
            <w:rFonts w:cstheme="minorHAnsi"/>
          </w:rPr>
          <w:t>21</w:t>
        </w:r>
      </w:hyperlink>
      <w:r w:rsidRPr="008115A6">
        <w:rPr>
          <w:rFonts w:cstheme="minorHAnsi"/>
        </w:rPr>
        <w:t>) are inconsistent with those of the present study, who similarly demonstrated no menstrual cycle effect on fatigue during a set amount of dynamic contractions. Thus, the task employed in the present study likely permitted a greater degree of fatigue to develop, allowing the aforementioned MCP differences to be discerned.</w:t>
      </w:r>
    </w:p>
    <w:p w14:paraId="366F460F" w14:textId="77777777" w:rsidR="008115A6" w:rsidRPr="008115A6" w:rsidRDefault="008115A6" w:rsidP="00A14F37">
      <w:pPr>
        <w:spacing w:line="240" w:lineRule="auto"/>
        <w:rPr>
          <w:rFonts w:cstheme="minorHAnsi"/>
        </w:rPr>
      </w:pPr>
      <w:r w:rsidRPr="008115A6">
        <w:rPr>
          <w:rFonts w:cstheme="minorHAnsi"/>
        </w:rPr>
        <w:t>As widely acknowledged, fatigability has both physiological and perceptual components that interact to determine exercise tolerance (</w:t>
      </w:r>
      <w:hyperlink r:id="rId147" w:anchor="B26" w:history="1">
        <w:r w:rsidRPr="008115A6">
          <w:rPr>
            <w:rStyle w:val="Hyperlink"/>
            <w:rFonts w:cstheme="minorHAnsi"/>
          </w:rPr>
          <w:t>26</w:t>
        </w:r>
      </w:hyperlink>
      <w:r w:rsidRPr="008115A6">
        <w:rPr>
          <w:rFonts w:cstheme="minorHAnsi"/>
        </w:rPr>
        <w:t>, </w:t>
      </w:r>
      <w:hyperlink r:id="rId148" w:anchor="B66" w:history="1">
        <w:r w:rsidRPr="008115A6">
          <w:rPr>
            <w:rStyle w:val="Hyperlink"/>
            <w:rFonts w:cstheme="minorHAnsi"/>
          </w:rPr>
          <w:t>66</w:t>
        </w:r>
      </w:hyperlink>
      <w:r w:rsidRPr="008115A6">
        <w:rPr>
          <w:rFonts w:cstheme="minorHAnsi"/>
        </w:rPr>
        <w:t>). The fatiguing task in the present study involved high-intensity (60% MVC), intermittent isometric contractions, which were assumed to be far greater than the critical torque [~30% MVC (</w:t>
      </w:r>
      <w:hyperlink r:id="rId149" w:anchor="B12" w:history="1">
        <w:r w:rsidRPr="008115A6">
          <w:rPr>
            <w:rStyle w:val="Hyperlink"/>
            <w:rFonts w:cstheme="minorHAnsi"/>
          </w:rPr>
          <w:t>12</w:t>
        </w:r>
      </w:hyperlink>
      <w:r w:rsidRPr="008115A6">
        <w:rPr>
          <w:rFonts w:cstheme="minorHAnsi"/>
        </w:rPr>
        <w:t>)] and were limited by decrements in neuromuscular adjustments (</w:t>
      </w:r>
      <w:hyperlink r:id="rId150" w:anchor="B1" w:history="1">
        <w:r w:rsidRPr="008115A6">
          <w:rPr>
            <w:rStyle w:val="Hyperlink"/>
            <w:rFonts w:cstheme="minorHAnsi"/>
          </w:rPr>
          <w:t>1</w:t>
        </w:r>
      </w:hyperlink>
      <w:r w:rsidRPr="008115A6">
        <w:rPr>
          <w:rFonts w:cstheme="minorHAnsi"/>
        </w:rPr>
        <w:t>, </w:t>
      </w:r>
      <w:hyperlink r:id="rId151" w:anchor="B11" w:history="1">
        <w:r w:rsidRPr="008115A6">
          <w:rPr>
            <w:rStyle w:val="Hyperlink"/>
            <w:rFonts w:cstheme="minorHAnsi"/>
          </w:rPr>
          <w:t>11</w:t>
        </w:r>
      </w:hyperlink>
      <w:r w:rsidRPr="008115A6">
        <w:rPr>
          <w:rFonts w:cstheme="minorHAnsi"/>
        </w:rPr>
        <w:t>). With no MCP × time interaction effects displayed for neuromuscular variables (MVC, Q</w:t>
      </w:r>
      <w:r w:rsidRPr="008115A6">
        <w:rPr>
          <w:rFonts w:cstheme="minorHAnsi"/>
          <w:vertAlign w:val="subscript"/>
        </w:rPr>
        <w:t>tw.pot</w:t>
      </w:r>
      <w:r w:rsidRPr="008115A6">
        <w:rPr>
          <w:rFonts w:cstheme="minorHAnsi"/>
        </w:rPr>
        <w:t>, and VA), the degree of pre- to postexercise adjustment was not different between menstrual cycle phases. Accordingly, one hypothesis for why TTF was longer on D21 could be the influence of neurotransmitter systems on perceptions of fatigue. The present study measured GABAergic inhibition and demonstrated a large increase in SICI on D21 (</w:t>
      </w:r>
      <w:hyperlink r:id="rId152" w:anchor="F0002" w:history="1">
        <w:r w:rsidRPr="008115A6">
          <w:rPr>
            <w:rStyle w:val="Hyperlink"/>
            <w:rFonts w:cstheme="minorHAnsi"/>
          </w:rPr>
          <w:t>Fig. 2</w:t>
        </w:r>
        <w:r w:rsidRPr="008115A6">
          <w:rPr>
            <w:rStyle w:val="Hyperlink"/>
            <w:rFonts w:cstheme="minorHAnsi"/>
            <w:i/>
            <w:iCs/>
          </w:rPr>
          <w:t>B</w:t>
        </w:r>
      </w:hyperlink>
      <w:r w:rsidRPr="008115A6">
        <w:rPr>
          <w:rFonts w:cstheme="minorHAnsi"/>
        </w:rPr>
        <w:t>), and it has previously been shown that GABA can have antinociceptive properties (</w:t>
      </w:r>
      <w:hyperlink r:id="rId153" w:anchor="B25" w:history="1">
        <w:r w:rsidRPr="008115A6">
          <w:rPr>
            <w:rStyle w:val="Hyperlink"/>
            <w:rFonts w:cstheme="minorHAnsi"/>
          </w:rPr>
          <w:t>25</w:t>
        </w:r>
      </w:hyperlink>
      <w:r w:rsidRPr="008115A6">
        <w:rPr>
          <w:rFonts w:cstheme="minorHAnsi"/>
        </w:rPr>
        <w:t>) acting as an analgesic (</w:t>
      </w:r>
      <w:hyperlink r:id="rId154" w:anchor="B41" w:history="1">
        <w:r w:rsidRPr="008115A6">
          <w:rPr>
            <w:rStyle w:val="Hyperlink"/>
            <w:rFonts w:cstheme="minorHAnsi"/>
          </w:rPr>
          <w:t>41</w:t>
        </w:r>
      </w:hyperlink>
      <w:r w:rsidRPr="008115A6">
        <w:rPr>
          <w:rFonts w:cstheme="minorHAnsi"/>
        </w:rPr>
        <w:t>). Indeed, it has recently been postulated that “luteal analgesia” occurs in eumenorrheic women when progesterone is elevated, where the affective response to nociceptive pain is reduced due to alterations in functional connectivity in the emotional regulation network (</w:t>
      </w:r>
      <w:hyperlink r:id="rId155" w:anchor="B69" w:history="1">
        <w:r w:rsidRPr="008115A6">
          <w:rPr>
            <w:rStyle w:val="Hyperlink"/>
            <w:rFonts w:cstheme="minorHAnsi"/>
          </w:rPr>
          <w:t>69</w:t>
        </w:r>
      </w:hyperlink>
      <w:r w:rsidRPr="008115A6">
        <w:rPr>
          <w:rFonts w:cstheme="minorHAnsi"/>
        </w:rPr>
        <w:t>). Thus, it could be possible that the analgesic effects of enhanced GABAergic neurotransmission permitted participants to continue exercising for a longer period due to a lower perception of pain. However, more evidence is needed to explore the effects of GABAergic inhibition on exercise-induced fatigue.</w:t>
      </w:r>
    </w:p>
    <w:p w14:paraId="65DF850A"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lastRenderedPageBreak/>
        <w:t>Further Considerations</w:t>
      </w:r>
    </w:p>
    <w:p w14:paraId="4AFFB76F" w14:textId="77777777" w:rsidR="008115A6" w:rsidRPr="008115A6" w:rsidRDefault="008115A6" w:rsidP="00A14F37">
      <w:pPr>
        <w:spacing w:line="240" w:lineRule="auto"/>
        <w:rPr>
          <w:rFonts w:cstheme="minorHAnsi"/>
        </w:rPr>
      </w:pPr>
      <w:r w:rsidRPr="008115A6">
        <w:rPr>
          <w:rFonts w:cstheme="minorHAnsi"/>
        </w:rPr>
        <w:t>In </w:t>
      </w:r>
      <w:r w:rsidRPr="008115A6">
        <w:rPr>
          <w:rFonts w:cstheme="minorHAnsi"/>
          <w:i/>
          <w:iCs/>
        </w:rPr>
        <w:t>StudyB</w:t>
      </w:r>
      <w:r w:rsidRPr="008115A6">
        <w:rPr>
          <w:rFonts w:cstheme="minorHAnsi"/>
        </w:rPr>
        <w:t> it would appear that there was substantial between-subject variation in neuromuscular function and the changes across the menstrual cycle (</w:t>
      </w:r>
      <w:hyperlink r:id="rId156" w:anchor="F0001" w:history="1">
        <w:r w:rsidRPr="008115A6">
          <w:rPr>
            <w:rStyle w:val="Hyperlink"/>
            <w:rFonts w:cstheme="minorHAnsi"/>
          </w:rPr>
          <w:t>Figs. 1</w:t>
        </w:r>
      </w:hyperlink>
      <w:r w:rsidRPr="008115A6">
        <w:rPr>
          <w:rFonts w:cstheme="minorHAnsi"/>
        </w:rPr>
        <w:t>–</w:t>
      </w:r>
      <w:hyperlink r:id="rId157" w:anchor="F0003" w:history="1">
        <w:r w:rsidRPr="008115A6">
          <w:rPr>
            <w:rStyle w:val="Hyperlink"/>
            <w:rFonts w:cstheme="minorHAnsi"/>
          </w:rPr>
          <w:t>3</w:t>
        </w:r>
      </w:hyperlink>
      <w:r w:rsidRPr="008115A6">
        <w:rPr>
          <w:rFonts w:cstheme="minorHAnsi"/>
        </w:rPr>
        <w:t>). Potential explanations for this could be the large standard deviations in hormone concentrations at each time point (</w:t>
      </w:r>
      <w:hyperlink r:id="rId158" w:anchor="T4" w:history="1">
        <w:r w:rsidRPr="008115A6">
          <w:rPr>
            <w:rStyle w:val="Hyperlink"/>
            <w:rFonts w:cstheme="minorHAnsi"/>
          </w:rPr>
          <w:t>Table 4</w:t>
        </w:r>
      </w:hyperlink>
      <w:r w:rsidRPr="008115A6">
        <w:rPr>
          <w:rFonts w:cstheme="minorHAnsi"/>
        </w:rPr>
        <w:t>), which has been reported in previous investigations (</w:t>
      </w:r>
      <w:hyperlink r:id="rId159" w:anchor="B55" w:history="1">
        <w:r w:rsidRPr="008115A6">
          <w:rPr>
            <w:rStyle w:val="Hyperlink"/>
            <w:rFonts w:cstheme="minorHAnsi"/>
          </w:rPr>
          <w:t>55</w:t>
        </w:r>
      </w:hyperlink>
      <w:r w:rsidRPr="008115A6">
        <w:rPr>
          <w:rFonts w:cstheme="minorHAnsi"/>
        </w:rPr>
        <w:t>). Additionally, interindividual differences in hormone receptor numbers and sensitivity could contribute to the variation in changes across the menstrual cycle. In muscle tissue (</w:t>
      </w:r>
      <w:hyperlink r:id="rId160" w:anchor="B22" w:history="1">
        <w:r w:rsidRPr="008115A6">
          <w:rPr>
            <w:rStyle w:val="Hyperlink"/>
            <w:rFonts w:cstheme="minorHAnsi"/>
          </w:rPr>
          <w:t>22</w:t>
        </w:r>
      </w:hyperlink>
      <w:r w:rsidRPr="008115A6">
        <w:rPr>
          <w:rFonts w:cstheme="minorHAnsi"/>
        </w:rPr>
        <w:t>), expression of sex hormone receptors is altered by changing hormonal environments, which could conceivably occur in neuronal tissues such as the motor cortex; however, the present data cannot answer this research question.</w:t>
      </w:r>
    </w:p>
    <w:p w14:paraId="4F2CFF41" w14:textId="77777777" w:rsidR="008115A6" w:rsidRPr="008115A6" w:rsidRDefault="008115A6" w:rsidP="00A14F37">
      <w:pPr>
        <w:spacing w:line="240" w:lineRule="auto"/>
        <w:rPr>
          <w:rFonts w:cstheme="minorHAnsi"/>
        </w:rPr>
      </w:pPr>
      <w:r w:rsidRPr="008115A6">
        <w:rPr>
          <w:rFonts w:cstheme="minorHAnsi"/>
        </w:rPr>
        <w:t>While serum hormones were quantified for the eumenorrheic women in </w:t>
      </w:r>
      <w:r w:rsidRPr="008115A6">
        <w:rPr>
          <w:rFonts w:cstheme="minorHAnsi"/>
          <w:i/>
          <w:iCs/>
        </w:rPr>
        <w:t>Study B</w:t>
      </w:r>
      <w:r w:rsidRPr="008115A6">
        <w:rPr>
          <w:rFonts w:cstheme="minorHAnsi"/>
        </w:rPr>
        <w:t>, the mOCP users’ serum hormone concentrations were not quantified in </w:t>
      </w:r>
      <w:r w:rsidRPr="008115A6">
        <w:rPr>
          <w:rFonts w:cstheme="minorHAnsi"/>
          <w:i/>
          <w:iCs/>
        </w:rPr>
        <w:t>Study A</w:t>
      </w:r>
      <w:r w:rsidRPr="008115A6">
        <w:rPr>
          <w:rFonts w:cstheme="minorHAnsi"/>
        </w:rPr>
        <w:t>. These data would have provided useful information about the measurement error of the sample; however, individual “meaningful” changes might differ between participants to achieve ovulation.</w:t>
      </w:r>
    </w:p>
    <w:p w14:paraId="0C4949F7" w14:textId="77777777" w:rsidR="008115A6" w:rsidRPr="00A14F37" w:rsidRDefault="008115A6" w:rsidP="00A14F37">
      <w:pPr>
        <w:pStyle w:val="Heading1"/>
        <w:spacing w:line="240" w:lineRule="auto"/>
        <w:rPr>
          <w:rFonts w:asciiTheme="minorHAnsi" w:hAnsiTheme="minorHAnsi"/>
        </w:rPr>
      </w:pPr>
      <w:r w:rsidRPr="00A14F37">
        <w:rPr>
          <w:rFonts w:asciiTheme="minorHAnsi" w:hAnsiTheme="minorHAnsi"/>
        </w:rPr>
        <w:t>Conclusion</w:t>
      </w:r>
    </w:p>
    <w:p w14:paraId="72A74B0A" w14:textId="14A453C8" w:rsidR="008115A6" w:rsidRDefault="008115A6" w:rsidP="00A14F37">
      <w:pPr>
        <w:spacing w:line="240" w:lineRule="auto"/>
        <w:rPr>
          <w:rFonts w:cstheme="minorHAnsi"/>
        </w:rPr>
      </w:pPr>
      <w:r w:rsidRPr="008115A6">
        <w:rPr>
          <w:rFonts w:cstheme="minorHAnsi"/>
        </w:rPr>
        <w:t>The present investigation demonstrated that, when neuroactive hormones are constant, women demonstrate stable neuromuscular function (</w:t>
      </w:r>
      <w:r w:rsidRPr="008115A6">
        <w:rPr>
          <w:rFonts w:cstheme="minorHAnsi"/>
          <w:i/>
          <w:iCs/>
        </w:rPr>
        <w:t>Study A</w:t>
      </w:r>
      <w:r w:rsidRPr="008115A6">
        <w:rPr>
          <w:rFonts w:cstheme="minorHAnsi"/>
        </w:rPr>
        <w:t>). In contrast, when eumenorrheic women were tested at three distinct phases of the menstrual cycle (</w:t>
      </w:r>
      <w:r w:rsidRPr="008115A6">
        <w:rPr>
          <w:rFonts w:cstheme="minorHAnsi"/>
          <w:i/>
          <w:iCs/>
        </w:rPr>
        <w:t>Study B</w:t>
      </w:r>
      <w:r w:rsidRPr="008115A6">
        <w:rPr>
          <w:rFonts w:cstheme="minorHAnsi"/>
        </w:rPr>
        <w:t>), the changing hormonal environment coincided with large changes in CNS function, which affected aspects of motor performance. Specifically, estrogen had neuroexcitatory effects that were associated with an increase in VA on D14, whereas progesterone’s neuroinhibitory effects were concurrent with an increased intracortical inhibition and decreased VA. Additionally, fatigability was modulated by MCP, with the greatest TTF seen on D21, concurrent with an increase in progesterone. Thus, the menstrual cycle elicits changes in neuromuscular function and fatigability in locomotor muscle of eumenorrheic women.</w:t>
      </w:r>
    </w:p>
    <w:p w14:paraId="2FE49AD2" w14:textId="7D5D280A" w:rsidR="00EF1FEF" w:rsidRPr="008115A6" w:rsidRDefault="00EF1FEF" w:rsidP="00954EC6">
      <w:pPr>
        <w:pStyle w:val="Heading1"/>
        <w:rPr>
          <w:rFonts w:asciiTheme="minorHAnsi" w:hAnsiTheme="minorHAnsi"/>
        </w:rPr>
      </w:pPr>
      <w:r>
        <w:t xml:space="preserve">References </w:t>
      </w:r>
    </w:p>
    <w:p w14:paraId="2FC75916" w14:textId="77777777" w:rsidR="00EF1FEF" w:rsidRPr="00EF1FEF" w:rsidRDefault="00EF1FEF" w:rsidP="00EF1FEF">
      <w:pPr>
        <w:spacing w:line="240" w:lineRule="auto"/>
        <w:ind w:left="720" w:hanging="720"/>
        <w:rPr>
          <w:rFonts w:cstheme="minorHAnsi"/>
        </w:rPr>
      </w:pPr>
      <w:r w:rsidRPr="00EF1FEF">
        <w:rPr>
          <w:rFonts w:cstheme="minorHAnsi"/>
        </w:rPr>
        <w:t>1.  Amann M. Central and peripheral fatigue: interaction during cycling exercise in humans. Med Sci Sports Exerc 43: 2039–2045, 2011. doi:10.1249/MSS.0b013e31821f59ab.</w:t>
      </w:r>
    </w:p>
    <w:p w14:paraId="68D9BC0E" w14:textId="77777777" w:rsidR="00EF1FEF" w:rsidRPr="00EF1FEF" w:rsidRDefault="00EF1FEF" w:rsidP="00EF1FEF">
      <w:pPr>
        <w:spacing w:line="240" w:lineRule="auto"/>
        <w:ind w:left="720" w:hanging="720"/>
        <w:rPr>
          <w:rFonts w:cstheme="minorHAnsi"/>
        </w:rPr>
      </w:pPr>
      <w:r w:rsidRPr="00EF1FEF">
        <w:rPr>
          <w:rFonts w:cstheme="minorHAnsi"/>
        </w:rPr>
        <w:t>2.  Atkinson G, Nevill AM. Statistical methods for assessing measurement error (reliability) in variables relevant to sports medicine. Sports Med 26: 217–238, 1998. doi:10.2165/00007256-199826040-00002.</w:t>
      </w:r>
    </w:p>
    <w:p w14:paraId="006D0334" w14:textId="77777777" w:rsidR="00EF1FEF" w:rsidRPr="00EF1FEF" w:rsidRDefault="00EF1FEF" w:rsidP="00EF1FEF">
      <w:pPr>
        <w:spacing w:line="240" w:lineRule="auto"/>
        <w:ind w:left="720" w:hanging="720"/>
        <w:rPr>
          <w:rFonts w:cstheme="minorHAnsi"/>
        </w:rPr>
      </w:pPr>
      <w:r w:rsidRPr="00EF1FEF">
        <w:rPr>
          <w:rFonts w:cstheme="minorHAnsi"/>
        </w:rPr>
        <w:t>3.  Bethea CL, Lu NZ, Gundlah C, Streicher JM. Diverse actions of ovarian steroids in the serotonin neural system. Front Neuroendocrinol 23: 41–100, 2002. doi:10.1006/frne.2001.0225.</w:t>
      </w:r>
    </w:p>
    <w:p w14:paraId="07A224C2" w14:textId="77777777" w:rsidR="00EF1FEF" w:rsidRPr="00EF1FEF" w:rsidRDefault="00EF1FEF" w:rsidP="00EF1FEF">
      <w:pPr>
        <w:spacing w:line="240" w:lineRule="auto"/>
        <w:ind w:left="720" w:hanging="720"/>
        <w:rPr>
          <w:rFonts w:cstheme="minorHAnsi"/>
        </w:rPr>
      </w:pPr>
      <w:r w:rsidRPr="00EF1FEF">
        <w:rPr>
          <w:rFonts w:cstheme="minorHAnsi"/>
        </w:rPr>
        <w:t>4.  Birch K, Reilly T. The diurnal rhythm in isometric muscular performance differs with eumenorrheic menstrual cycle phase. Chronobiol Int 19: 731–742, 2002. doi:10.1081/CBI-120006083.</w:t>
      </w:r>
    </w:p>
    <w:p w14:paraId="3E5296B9" w14:textId="77777777" w:rsidR="00EF1FEF" w:rsidRPr="00EF1FEF" w:rsidRDefault="00EF1FEF" w:rsidP="00EF1FEF">
      <w:pPr>
        <w:spacing w:line="240" w:lineRule="auto"/>
        <w:ind w:left="720" w:hanging="720"/>
        <w:rPr>
          <w:rFonts w:cstheme="minorHAnsi"/>
        </w:rPr>
      </w:pPr>
      <w:r w:rsidRPr="00EF1FEF">
        <w:rPr>
          <w:rFonts w:cstheme="minorHAnsi"/>
        </w:rPr>
        <w:t>5.  Bland JM, Altman DG. Statistical methods for assessing agreement between two methods of clinical measurement. Lancet 327: 307–310, 1986. doi:10.1016/S0140-6736(86)90837-8.</w:t>
      </w:r>
    </w:p>
    <w:p w14:paraId="4FC0D034" w14:textId="77777777" w:rsidR="00EF1FEF" w:rsidRPr="00EF1FEF" w:rsidRDefault="00EF1FEF" w:rsidP="00EF1FEF">
      <w:pPr>
        <w:spacing w:line="240" w:lineRule="auto"/>
        <w:ind w:left="720" w:hanging="720"/>
        <w:rPr>
          <w:rFonts w:cstheme="minorHAnsi"/>
        </w:rPr>
      </w:pPr>
      <w:r w:rsidRPr="00EF1FEF">
        <w:rPr>
          <w:rFonts w:cstheme="minorHAnsi"/>
        </w:rPr>
        <w:t>6.  Borg GA. Psychophysical bases of perceived exertion. Med Sci Sports Exerc 14: 377–381, 1982. doi:10.1249/00005768-198205000-00012.</w:t>
      </w:r>
    </w:p>
    <w:p w14:paraId="2B977431" w14:textId="77777777" w:rsidR="00EF1FEF" w:rsidRPr="00EF1FEF" w:rsidRDefault="00EF1FEF" w:rsidP="00EF1FEF">
      <w:pPr>
        <w:spacing w:line="240" w:lineRule="auto"/>
        <w:ind w:left="720" w:hanging="720"/>
        <w:rPr>
          <w:rFonts w:cstheme="minorHAnsi"/>
        </w:rPr>
      </w:pPr>
      <w:r w:rsidRPr="00EF1FEF">
        <w:rPr>
          <w:rFonts w:cstheme="minorHAnsi"/>
        </w:rPr>
        <w:t>7.  Brouwer B, Ashby P. Corticospinal projections to upper and lower limb spinal motoneurons in man. Electroencephalogr Clin Neurophysiol 76: 509–519, 1990. doi:10.1016/0013-4694(90)90002-2.</w:t>
      </w:r>
    </w:p>
    <w:p w14:paraId="021C6222" w14:textId="77777777" w:rsidR="00EF1FEF" w:rsidRPr="00EF1FEF" w:rsidRDefault="00EF1FEF" w:rsidP="00EF1FEF">
      <w:pPr>
        <w:spacing w:line="240" w:lineRule="auto"/>
        <w:ind w:left="720" w:hanging="720"/>
        <w:rPr>
          <w:rFonts w:cstheme="minorHAnsi"/>
        </w:rPr>
      </w:pPr>
      <w:r w:rsidRPr="00EF1FEF">
        <w:rPr>
          <w:rFonts w:cstheme="minorHAnsi"/>
        </w:rPr>
        <w:t>8.  Brownstein CG, Ansdell P, Škarabot J, Howatson G, Goodall S, Thomas K. An optimal protocol for measurement of corticospinal excitability, short intracortical inhibition and intracortical facilitation in the rectus femoris. J Neurol Sci 394: 45–56, 2018. doi:10.1016/j.jns.2018.09.001.</w:t>
      </w:r>
    </w:p>
    <w:p w14:paraId="201132A4" w14:textId="7B36B863" w:rsidR="00EF1FEF" w:rsidRPr="00EF1FEF" w:rsidRDefault="00EF1FEF" w:rsidP="006305E4">
      <w:pPr>
        <w:spacing w:line="240" w:lineRule="auto"/>
        <w:ind w:left="720" w:hanging="720"/>
        <w:rPr>
          <w:rFonts w:cstheme="minorHAnsi"/>
        </w:rPr>
      </w:pPr>
      <w:r w:rsidRPr="00EF1FEF">
        <w:rPr>
          <w:rFonts w:cstheme="minorHAnsi"/>
        </w:rPr>
        <w:t>9.  Brownstein CG, Dent JP, Parker P, Hicks KM, Howatson G, Goodall S, Thomas K. Etiology and recovery of neuromuscular fatigue following competitive soccer match-play. Front Physiol 8: 831, 2017. doi:10.3389/fphys.2017.00831.</w:t>
      </w:r>
    </w:p>
    <w:p w14:paraId="4ED074A6" w14:textId="77777777" w:rsidR="00EF1FEF" w:rsidRPr="00EF1FEF" w:rsidRDefault="00EF1FEF" w:rsidP="00EF1FEF">
      <w:pPr>
        <w:spacing w:line="240" w:lineRule="auto"/>
        <w:ind w:left="720" w:hanging="720"/>
        <w:rPr>
          <w:rFonts w:cstheme="minorHAnsi"/>
        </w:rPr>
      </w:pPr>
      <w:r w:rsidRPr="00EF1FEF">
        <w:rPr>
          <w:rFonts w:cstheme="minorHAnsi"/>
        </w:rPr>
        <w:lastRenderedPageBreak/>
        <w:t>10.  Bryant AL, Clark RA, Bartold S, Murphy A, Bennell KL, Hohmann E, Marshall-Gradisnik S, Payne C, Crossley KM. Effects of estrogen on the mechanical behavior of the human Achilles tendon in vivo. J Appl Physiol (1985) 105: 1035–1043, 2008. doi:10.1152/japplphysiol.01281.2007.</w:t>
      </w:r>
    </w:p>
    <w:p w14:paraId="679A819E" w14:textId="77777777" w:rsidR="00EF1FEF" w:rsidRPr="00EF1FEF" w:rsidRDefault="00EF1FEF" w:rsidP="00EF1FEF">
      <w:pPr>
        <w:spacing w:line="240" w:lineRule="auto"/>
        <w:ind w:left="720" w:hanging="720"/>
        <w:rPr>
          <w:rFonts w:cstheme="minorHAnsi"/>
        </w:rPr>
      </w:pPr>
      <w:r w:rsidRPr="00EF1FEF">
        <w:rPr>
          <w:rFonts w:cstheme="minorHAnsi"/>
        </w:rPr>
        <w:t>11.  Burnley M, Vanhatalo A, Fulford J, Jones AM. Similar metabolic perturbations during all-out and constant force exhaustive exercise in humans: a (31)P magnetic resonance spectroscopy study. Exp Physiol 95: 798–807, 2010. doi:10.1113/expphysiol.2010.052688.</w:t>
      </w:r>
    </w:p>
    <w:p w14:paraId="0CE59ED8" w14:textId="77777777" w:rsidR="00EF1FEF" w:rsidRPr="00EF1FEF" w:rsidRDefault="00EF1FEF" w:rsidP="00EF1FEF">
      <w:pPr>
        <w:spacing w:line="240" w:lineRule="auto"/>
        <w:ind w:left="720" w:hanging="720"/>
        <w:rPr>
          <w:rFonts w:cstheme="minorHAnsi"/>
        </w:rPr>
      </w:pPr>
      <w:r w:rsidRPr="00EF1FEF">
        <w:rPr>
          <w:rFonts w:cstheme="minorHAnsi"/>
        </w:rPr>
        <w:t>12.  Burnley M, Vanhatalo A, Jones AM. Distinct profiles of neuromuscular fatigue during muscle contractions below and above the critical torque in humans. J Appl Physiol (1985) 113: 215–223, 2012. doi:10.1152/japplphysiol.00022.2012.</w:t>
      </w:r>
    </w:p>
    <w:p w14:paraId="32337A07" w14:textId="77777777" w:rsidR="00EF1FEF" w:rsidRPr="00EF1FEF" w:rsidRDefault="00EF1FEF" w:rsidP="00EF1FEF">
      <w:pPr>
        <w:spacing w:line="240" w:lineRule="auto"/>
        <w:ind w:left="720" w:hanging="720"/>
        <w:rPr>
          <w:rFonts w:cstheme="minorHAnsi"/>
        </w:rPr>
      </w:pPr>
      <w:r w:rsidRPr="00EF1FEF">
        <w:rPr>
          <w:rFonts w:cstheme="minorHAnsi"/>
        </w:rPr>
        <w:t>13.  Carroll TJ, Taylor JL, Gandevia SC. Recovery of central and peripheral neuromuscular fatigue after exercise. J Appl Physiol (1985) 122: 1068–1076, 2017. doi:10.1152/japplphysiol.00775.2016.</w:t>
      </w:r>
    </w:p>
    <w:p w14:paraId="6FCEC486" w14:textId="77777777" w:rsidR="00EF1FEF" w:rsidRPr="00EF1FEF" w:rsidRDefault="00EF1FEF" w:rsidP="00EF1FEF">
      <w:pPr>
        <w:spacing w:line="240" w:lineRule="auto"/>
        <w:ind w:left="720" w:hanging="720"/>
        <w:rPr>
          <w:rFonts w:cstheme="minorHAnsi"/>
        </w:rPr>
      </w:pPr>
      <w:r w:rsidRPr="00EF1FEF">
        <w:rPr>
          <w:rFonts w:cstheme="minorHAnsi"/>
        </w:rPr>
        <w:t>14.  Chen R, Lozano AM, Ashby P. Mechanism of the silent period following transcranial magnetic stimulation. Evidence from epidural recordings. Exp Brain Res 128: 539–542, 1999. doi:10.1007/s002210050878.</w:t>
      </w:r>
    </w:p>
    <w:p w14:paraId="076583D3" w14:textId="77777777" w:rsidR="00EF1FEF" w:rsidRPr="00EF1FEF" w:rsidRDefault="00EF1FEF" w:rsidP="00EF1FEF">
      <w:pPr>
        <w:spacing w:line="240" w:lineRule="auto"/>
        <w:ind w:left="720" w:hanging="720"/>
        <w:rPr>
          <w:rFonts w:cstheme="minorHAnsi"/>
        </w:rPr>
      </w:pPr>
      <w:r w:rsidRPr="00EF1FEF">
        <w:rPr>
          <w:rFonts w:cstheme="minorHAnsi"/>
        </w:rPr>
        <w:t>15.  Chen R, Tam A, Bütefisch C, Corwell B, Ziemann U, Rothwell JC, Cohen LG. Intracortical inhibition and facilitation in different representations of the human motor cortex. J Neurophysiol 80: 2870–2881, 1998. doi:10.1152/jn.1998.80.6.2870.</w:t>
      </w:r>
    </w:p>
    <w:p w14:paraId="09FF1CF8" w14:textId="77777777" w:rsidR="00EF1FEF" w:rsidRPr="00EF1FEF" w:rsidRDefault="00EF1FEF" w:rsidP="00EF1FEF">
      <w:pPr>
        <w:spacing w:line="240" w:lineRule="auto"/>
        <w:ind w:left="720" w:hanging="720"/>
        <w:rPr>
          <w:rFonts w:cstheme="minorHAnsi"/>
        </w:rPr>
      </w:pPr>
      <w:r w:rsidRPr="00EF1FEF">
        <w:rPr>
          <w:rFonts w:cstheme="minorHAnsi"/>
        </w:rPr>
        <w:t>16.  Clark BC, Cook SB, Ploutz-Snyder LL. Reliability of techniques to assess human neuromuscular function in vivo. J Electromyogr Kinesiol 17: 90–101, 2007. doi:10.1016/j.jelekin.2005.11.008.</w:t>
      </w:r>
    </w:p>
    <w:p w14:paraId="772F6168" w14:textId="77777777" w:rsidR="00EF1FEF" w:rsidRPr="00EF1FEF" w:rsidRDefault="00EF1FEF" w:rsidP="00EF1FEF">
      <w:pPr>
        <w:spacing w:line="240" w:lineRule="auto"/>
        <w:ind w:left="720" w:hanging="720"/>
        <w:rPr>
          <w:rFonts w:cstheme="minorHAnsi"/>
        </w:rPr>
      </w:pPr>
      <w:r w:rsidRPr="00EF1FEF">
        <w:rPr>
          <w:rFonts w:cstheme="minorHAnsi"/>
        </w:rPr>
        <w:t>17.  Clarkson AN, Huang BS, Macisaac SE, Mody I, Carmichael ST. Reducing excessive GABA-mediated tonic inhibition promotes functional recovery after stroke. Nature 468: 305–309, 2010. doi:10.1038/nature09511.</w:t>
      </w:r>
    </w:p>
    <w:p w14:paraId="20C4FC65" w14:textId="77777777" w:rsidR="00EF1FEF" w:rsidRPr="00EF1FEF" w:rsidRDefault="00EF1FEF" w:rsidP="00EF1FEF">
      <w:pPr>
        <w:spacing w:line="240" w:lineRule="auto"/>
        <w:ind w:left="720" w:hanging="720"/>
        <w:rPr>
          <w:rFonts w:cstheme="minorHAnsi"/>
        </w:rPr>
      </w:pPr>
      <w:r w:rsidRPr="00EF1FEF">
        <w:rPr>
          <w:rFonts w:cstheme="minorHAnsi"/>
        </w:rPr>
        <w:t>18.  Dekerle J, Ansdell P, Schäfer L, Greenhouse-Tucknott A, Wrightson J. Methodological issues with the assessment of voluntary activation using transcranial magnetic stimulation in the knee extensors. Eur J Appl Physiol 119: 991–1005, 2019. doi:10.1007/s00421-019-04089-7.</w:t>
      </w:r>
    </w:p>
    <w:p w14:paraId="3DEE5637" w14:textId="656683E2" w:rsidR="00EF1FEF" w:rsidRPr="00EF1FEF" w:rsidRDefault="00EF1FEF" w:rsidP="007030FF">
      <w:pPr>
        <w:spacing w:line="240" w:lineRule="auto"/>
        <w:ind w:left="720" w:hanging="720"/>
        <w:rPr>
          <w:rFonts w:cstheme="minorHAnsi"/>
        </w:rPr>
      </w:pPr>
      <w:r w:rsidRPr="00EF1FEF">
        <w:rPr>
          <w:rFonts w:cstheme="minorHAnsi"/>
        </w:rPr>
        <w:t>19.  Dekerle J, Greenhouse-Tucknott A, Wrightson J, Schäfer L, Ansdell P. Improving the measurement of TMS-assessed voluntary activation in the knee extensors (Online). https://osf.io/45fsg. [2 August 2018].</w:t>
      </w:r>
    </w:p>
    <w:p w14:paraId="7B6E5A16" w14:textId="77777777" w:rsidR="00EF1FEF" w:rsidRPr="00EF1FEF" w:rsidRDefault="00EF1FEF" w:rsidP="00EF1FEF">
      <w:pPr>
        <w:spacing w:line="240" w:lineRule="auto"/>
        <w:ind w:left="720" w:hanging="720"/>
        <w:rPr>
          <w:rFonts w:cstheme="minorHAnsi"/>
        </w:rPr>
      </w:pPr>
      <w:r w:rsidRPr="00EF1FEF">
        <w:rPr>
          <w:rFonts w:cstheme="minorHAnsi"/>
        </w:rPr>
        <w:t>20.  Dibrezzo R, Fort IL, Brown B. Dynamic strength and work variations during three stages of the menstrual cycle. J Orthop Sports Phys Ther 10: 113–116, 1988. doi:10.2519/jospt.1988.10.4.113.</w:t>
      </w:r>
    </w:p>
    <w:p w14:paraId="642D8C99" w14:textId="77777777" w:rsidR="00EF1FEF" w:rsidRPr="00EF1FEF" w:rsidRDefault="00EF1FEF" w:rsidP="00EF1FEF">
      <w:pPr>
        <w:spacing w:line="240" w:lineRule="auto"/>
        <w:ind w:left="720" w:hanging="720"/>
        <w:rPr>
          <w:rFonts w:cstheme="minorHAnsi"/>
        </w:rPr>
      </w:pPr>
      <w:r w:rsidRPr="00EF1FEF">
        <w:rPr>
          <w:rFonts w:cstheme="minorHAnsi"/>
        </w:rPr>
        <w:t>21.  DiBrezzo R, Fort IL, Brown B. Relationships among strength, endurance, weight and body fat during three phases of the menstrual cycle. J Sports Med Phys Fitness 31: 89–94, 1991.</w:t>
      </w:r>
    </w:p>
    <w:p w14:paraId="05463B12" w14:textId="77777777" w:rsidR="00EF1FEF" w:rsidRPr="00EF1FEF" w:rsidRDefault="00EF1FEF" w:rsidP="00EF1FEF">
      <w:pPr>
        <w:spacing w:line="240" w:lineRule="auto"/>
        <w:ind w:left="720" w:hanging="720"/>
        <w:rPr>
          <w:rFonts w:cstheme="minorHAnsi"/>
        </w:rPr>
      </w:pPr>
      <w:r w:rsidRPr="00EF1FEF">
        <w:rPr>
          <w:rFonts w:cstheme="minorHAnsi"/>
        </w:rPr>
        <w:t>22.  Ekenros L, Papoutsi Z, Fridén C, Dahlman Wright K, Lindén Hirschberg A. Expression of sex steroid hormone receptors in human skeletal muscle during the menstrual cycle. Acta Physiol (Oxf) 219: 486–493, 2017. doi:10.1111/apha.12757.</w:t>
      </w:r>
    </w:p>
    <w:p w14:paraId="3BADA9ED" w14:textId="77777777" w:rsidR="00EF1FEF" w:rsidRPr="00EF1FEF" w:rsidRDefault="00EF1FEF" w:rsidP="00EF1FEF">
      <w:pPr>
        <w:spacing w:line="240" w:lineRule="auto"/>
        <w:ind w:left="720" w:hanging="720"/>
        <w:rPr>
          <w:rFonts w:cstheme="minorHAnsi"/>
        </w:rPr>
      </w:pPr>
      <w:r w:rsidRPr="00EF1FEF">
        <w:rPr>
          <w:rFonts w:cstheme="minorHAnsi"/>
        </w:rPr>
        <w:t>23.  El-Sayes J, Harasym D, Turco CV, Locke MB, Nelson AJ. Exercise-induced neuroplasticity: a mechanistic model and prospects for promoting plasticity. Neuroscientist 25: 65–85, 2019. doi:10.1177/1073858418771538.</w:t>
      </w:r>
    </w:p>
    <w:p w14:paraId="52A0B7FF" w14:textId="77777777" w:rsidR="00EF1FEF" w:rsidRPr="00EF1FEF" w:rsidRDefault="00EF1FEF" w:rsidP="00EF1FEF">
      <w:pPr>
        <w:spacing w:line="240" w:lineRule="auto"/>
        <w:ind w:left="720" w:hanging="720"/>
        <w:rPr>
          <w:rFonts w:cstheme="minorHAnsi"/>
        </w:rPr>
      </w:pPr>
      <w:r w:rsidRPr="00EF1FEF">
        <w:rPr>
          <w:rFonts w:cstheme="minorHAnsi"/>
        </w:rPr>
        <w:t>24.  Elliott KJ, Cable NT, Reilly T, Diver MJ. Effect of menstrual cycle phase on the concentration of bioavailable 17-β oestradiol and testosterone and muscle strength. Clin Sci (Lond) 105: 663–669, 2003. doi:10.1042/CS20020360.</w:t>
      </w:r>
    </w:p>
    <w:p w14:paraId="2122DB52" w14:textId="77777777" w:rsidR="00EF1FEF" w:rsidRPr="00EF1FEF" w:rsidRDefault="00EF1FEF" w:rsidP="00EF1FEF">
      <w:pPr>
        <w:spacing w:line="240" w:lineRule="auto"/>
        <w:ind w:left="720" w:hanging="720"/>
        <w:rPr>
          <w:rFonts w:cstheme="minorHAnsi"/>
        </w:rPr>
      </w:pPr>
      <w:r w:rsidRPr="00EF1FEF">
        <w:rPr>
          <w:rFonts w:cstheme="minorHAnsi"/>
        </w:rPr>
        <w:t>25.  Enna SJ, McCarson KE. The role of GABA in the mediation and perception of pain. Adv Pharmacol 54: 1–27, 2006. doi:10.1016/S1054-3589(06)54001-3.</w:t>
      </w:r>
    </w:p>
    <w:p w14:paraId="5312A155" w14:textId="77777777" w:rsidR="00EF1FEF" w:rsidRPr="00EF1FEF" w:rsidRDefault="00EF1FEF" w:rsidP="00EF1FEF">
      <w:pPr>
        <w:spacing w:line="240" w:lineRule="auto"/>
        <w:ind w:left="720" w:hanging="720"/>
        <w:rPr>
          <w:rFonts w:cstheme="minorHAnsi"/>
        </w:rPr>
      </w:pPr>
      <w:r w:rsidRPr="00EF1FEF">
        <w:rPr>
          <w:rFonts w:cstheme="minorHAnsi"/>
        </w:rPr>
        <w:lastRenderedPageBreak/>
        <w:t>26.  Enoka RM, Duchateau J. Translating fatigue to human performance. Med Sci Sports Exerc 48: 2228–2238, 2016. doi:10.1249/MSS.0000000000000929.</w:t>
      </w:r>
    </w:p>
    <w:p w14:paraId="5AD8F8A2" w14:textId="77777777" w:rsidR="00EF1FEF" w:rsidRPr="00EF1FEF" w:rsidRDefault="00EF1FEF" w:rsidP="00EF1FEF">
      <w:pPr>
        <w:spacing w:line="240" w:lineRule="auto"/>
        <w:ind w:left="720" w:hanging="720"/>
        <w:rPr>
          <w:rFonts w:cstheme="minorHAnsi"/>
        </w:rPr>
      </w:pPr>
      <w:r w:rsidRPr="00EF1FEF">
        <w:rPr>
          <w:rFonts w:cstheme="minorHAnsi"/>
        </w:rPr>
        <w:t>27.  Fehring RJ, Schneider M, Raviele K. Variability in the phases of the menstrual cycle. J Obstet Gynecol Neonatal Nurs 35: 376–384, 2006. doi:10.1111/j.1552-6909.2006.00051.x.</w:t>
      </w:r>
    </w:p>
    <w:p w14:paraId="07971BCD" w14:textId="77777777" w:rsidR="00EF1FEF" w:rsidRPr="00EF1FEF" w:rsidRDefault="00EF1FEF" w:rsidP="00EF1FEF">
      <w:pPr>
        <w:spacing w:line="240" w:lineRule="auto"/>
        <w:ind w:left="720" w:hanging="720"/>
        <w:rPr>
          <w:rFonts w:cstheme="minorHAnsi"/>
        </w:rPr>
      </w:pPr>
      <w:r w:rsidRPr="00EF1FEF">
        <w:rPr>
          <w:rFonts w:cstheme="minorHAnsi"/>
        </w:rPr>
        <w:t>28.  Frye CA. An overview of oral contraceptives: mechanism of action and clinical use. Neurology 66, Suppl 3: S29–S36, 2006. doi:10.1212/WNL.66.66_suppl_3.S29.</w:t>
      </w:r>
    </w:p>
    <w:p w14:paraId="16BF7EB1" w14:textId="77777777" w:rsidR="00EF1FEF" w:rsidRPr="00EF1FEF" w:rsidRDefault="00EF1FEF" w:rsidP="00EF1FEF">
      <w:pPr>
        <w:spacing w:line="240" w:lineRule="auto"/>
        <w:ind w:left="720" w:hanging="720"/>
        <w:rPr>
          <w:rFonts w:cstheme="minorHAnsi"/>
        </w:rPr>
      </w:pPr>
      <w:r w:rsidRPr="00EF1FEF">
        <w:rPr>
          <w:rFonts w:cstheme="minorHAnsi"/>
        </w:rPr>
        <w:t>29.  Furlan L, Sterr A. The applicability of standard error of measurement and minimal detectable change to motor learning research—a behavioral study. Front Hum Neurosci 12: 95, 2018. doi:10.3389/fnhum.2018.00095.</w:t>
      </w:r>
    </w:p>
    <w:p w14:paraId="0B0C3247" w14:textId="77777777" w:rsidR="00EF1FEF" w:rsidRPr="00EF1FEF" w:rsidRDefault="00EF1FEF" w:rsidP="00EF1FEF">
      <w:pPr>
        <w:spacing w:line="240" w:lineRule="auto"/>
        <w:ind w:left="720" w:hanging="720"/>
        <w:rPr>
          <w:rFonts w:cstheme="minorHAnsi"/>
        </w:rPr>
      </w:pPr>
      <w:r w:rsidRPr="00EF1FEF">
        <w:rPr>
          <w:rFonts w:cstheme="minorHAnsi"/>
        </w:rPr>
        <w:t>30.  Gandevia SC. Spinal and supraspinal factors in human muscle fatigue. Physiol Rev 81: 1725–1789, 2001. doi:10.1152/physrev.2001.81.4.1725.</w:t>
      </w:r>
    </w:p>
    <w:p w14:paraId="63D3D2ED" w14:textId="77777777" w:rsidR="00EF1FEF" w:rsidRPr="00EF1FEF" w:rsidRDefault="00EF1FEF" w:rsidP="00EF1FEF">
      <w:pPr>
        <w:spacing w:line="240" w:lineRule="auto"/>
        <w:ind w:left="720" w:hanging="720"/>
        <w:rPr>
          <w:rFonts w:cstheme="minorHAnsi"/>
        </w:rPr>
      </w:pPr>
      <w:r w:rsidRPr="00EF1FEF">
        <w:rPr>
          <w:rFonts w:cstheme="minorHAnsi"/>
        </w:rPr>
        <w:t>31.  Goodall S, Howatson G, Thomas K. Modulation of specific inhibitory networks in fatigued locomotor muscles of healthy males. Exp Brain Res 236: 463–473, 2018. doi:10.1007/s00221-017-5142-x.</w:t>
      </w:r>
    </w:p>
    <w:p w14:paraId="2059B545" w14:textId="77777777" w:rsidR="00EF1FEF" w:rsidRPr="00EF1FEF" w:rsidRDefault="00EF1FEF" w:rsidP="00EF1FEF">
      <w:pPr>
        <w:spacing w:line="240" w:lineRule="auto"/>
        <w:ind w:left="720" w:hanging="720"/>
        <w:rPr>
          <w:rFonts w:cstheme="minorHAnsi"/>
        </w:rPr>
      </w:pPr>
      <w:r w:rsidRPr="00EF1FEF">
        <w:rPr>
          <w:rFonts w:cstheme="minorHAnsi"/>
        </w:rPr>
        <w:t>32.  Gruet M, Temesi J, Rupp T, Levy P, Verges S, Millet GY. Dynamics of corticospinal changes during and after high-intensity quadriceps exercise. Exp Physiol 99: 1053–1064, 2014. doi:10.1113/expphysiol.2014.078840.</w:t>
      </w:r>
    </w:p>
    <w:p w14:paraId="0A06A56E" w14:textId="77777777" w:rsidR="00EF1FEF" w:rsidRPr="00EF1FEF" w:rsidRDefault="00EF1FEF" w:rsidP="00EF1FEF">
      <w:pPr>
        <w:spacing w:line="240" w:lineRule="auto"/>
        <w:ind w:left="720" w:hanging="720"/>
        <w:rPr>
          <w:rFonts w:cstheme="minorHAnsi"/>
        </w:rPr>
      </w:pPr>
      <w:r w:rsidRPr="00EF1FEF">
        <w:rPr>
          <w:rFonts w:cstheme="minorHAnsi"/>
        </w:rPr>
        <w:t>33.  Hausmann M, Tegenthoff M, Sänger J, Janssen F, Güntürkün O, Schwenkreis P. Transcallosal inhibition across the menstrual cycle: a TMS study. Clin Neurophysiol 117: 26–32, 2006. doi:10.1016/j.clinph.2005.08.022.</w:t>
      </w:r>
    </w:p>
    <w:p w14:paraId="2CE52CE9" w14:textId="77777777" w:rsidR="00EF1FEF" w:rsidRPr="00EF1FEF" w:rsidRDefault="00EF1FEF" w:rsidP="00EF1FEF">
      <w:pPr>
        <w:spacing w:line="240" w:lineRule="auto"/>
        <w:ind w:left="720" w:hanging="720"/>
        <w:rPr>
          <w:rFonts w:cstheme="minorHAnsi"/>
        </w:rPr>
      </w:pPr>
      <w:r w:rsidRPr="00EF1FEF">
        <w:rPr>
          <w:rFonts w:cstheme="minorHAnsi"/>
        </w:rPr>
        <w:t>34.  Henderson JA, Bethea CL. Differential effects of ovarian steroids and raloxifene on serotonin 1A and 2C receptor protein expression in macaques. Endocrine 33: 285–293, 2008. doi:10.1007/s12020-008-9087-5.</w:t>
      </w:r>
    </w:p>
    <w:p w14:paraId="56EEF2E0" w14:textId="77777777" w:rsidR="00EF1FEF" w:rsidRPr="00EF1FEF" w:rsidRDefault="00EF1FEF" w:rsidP="00EF1FEF">
      <w:pPr>
        <w:spacing w:line="240" w:lineRule="auto"/>
        <w:ind w:left="720" w:hanging="720"/>
        <w:rPr>
          <w:rFonts w:cstheme="minorHAnsi"/>
        </w:rPr>
      </w:pPr>
      <w:r w:rsidRPr="00EF1FEF">
        <w:rPr>
          <w:rFonts w:cstheme="minorHAnsi"/>
        </w:rPr>
        <w:t>35.  Hermens HJ, Freriks B, Disselhorst-Klug C, Rau G. Development of recommendations for SEMG sensors and sensor placement procedures. J Electromyogr Kinesiol 10: 361–374, 2000. doi:10.1016/S1050-6411(00)00027-4.</w:t>
      </w:r>
    </w:p>
    <w:p w14:paraId="17986AF7" w14:textId="77777777" w:rsidR="00EF1FEF" w:rsidRPr="00EF1FEF" w:rsidRDefault="00EF1FEF" w:rsidP="00EF1FEF">
      <w:pPr>
        <w:spacing w:line="240" w:lineRule="auto"/>
        <w:ind w:left="720" w:hanging="720"/>
        <w:rPr>
          <w:rFonts w:cstheme="minorHAnsi"/>
        </w:rPr>
      </w:pPr>
      <w:r w:rsidRPr="00EF1FEF">
        <w:rPr>
          <w:rFonts w:cstheme="minorHAnsi"/>
        </w:rPr>
        <w:t>36.  Hopkins WG. Measures of reliability in sports medicine and science. Sports Med 30: 1–15, 2000. doi:10.2165/00007256-200030010-00001.</w:t>
      </w:r>
    </w:p>
    <w:p w14:paraId="01BCA69A" w14:textId="77777777" w:rsidR="00EF1FEF" w:rsidRPr="00EF1FEF" w:rsidRDefault="00EF1FEF" w:rsidP="00EF1FEF">
      <w:pPr>
        <w:spacing w:line="240" w:lineRule="auto"/>
        <w:ind w:left="720" w:hanging="720"/>
        <w:rPr>
          <w:rFonts w:cstheme="minorHAnsi"/>
        </w:rPr>
      </w:pPr>
      <w:r w:rsidRPr="00EF1FEF">
        <w:rPr>
          <w:rFonts w:cstheme="minorHAnsi"/>
        </w:rPr>
        <w:t>37.  Hsu F-C, Smith SS. Progesterone withdrawal reduces paired-pulse inhibition in rat hippocampus: dependence on GABA(A) receptor α4 subunit upregulation. J Neurophysiol 89: 186–198, 2003. doi:10.1152/jn.00195.2002.</w:t>
      </w:r>
    </w:p>
    <w:p w14:paraId="41FCBCCF" w14:textId="77777777" w:rsidR="00EF1FEF" w:rsidRPr="00EF1FEF" w:rsidRDefault="00EF1FEF" w:rsidP="00EF1FEF">
      <w:pPr>
        <w:spacing w:line="240" w:lineRule="auto"/>
        <w:ind w:left="720" w:hanging="720"/>
        <w:rPr>
          <w:rFonts w:cstheme="minorHAnsi"/>
        </w:rPr>
      </w:pPr>
      <w:r w:rsidRPr="00EF1FEF">
        <w:rPr>
          <w:rFonts w:cstheme="minorHAnsi"/>
        </w:rPr>
        <w:t>38.  Hunter SK. Performance fatigability: mechanisms and task specificity. Cold Spring Harb Perspect Med 8: a029728, 2018. doi:10.1101/cshperspect.a029728.</w:t>
      </w:r>
    </w:p>
    <w:p w14:paraId="26EF54D5" w14:textId="77777777" w:rsidR="00EF1FEF" w:rsidRPr="00EF1FEF" w:rsidRDefault="00EF1FEF" w:rsidP="00EF1FEF">
      <w:pPr>
        <w:spacing w:line="240" w:lineRule="auto"/>
        <w:ind w:left="720" w:hanging="720"/>
        <w:rPr>
          <w:rFonts w:cstheme="minorHAnsi"/>
        </w:rPr>
      </w:pPr>
      <w:r w:rsidRPr="00EF1FEF">
        <w:rPr>
          <w:rFonts w:cstheme="minorHAnsi"/>
        </w:rPr>
        <w:t>39.  Inghilleri M, Conte A, Currà A, Frasca V, Lorenzano C, Berardelli A. Ovarian hormones and cortical excitability. An rTMS study in humans. Clin Neurophysiol 115: 1063–1068, 2004. doi:10.1016/j.clinph.2003.12.003.</w:t>
      </w:r>
    </w:p>
    <w:p w14:paraId="0D10EBB4" w14:textId="77777777" w:rsidR="00EF1FEF" w:rsidRPr="00EF1FEF" w:rsidRDefault="00EF1FEF" w:rsidP="00EF1FEF">
      <w:pPr>
        <w:spacing w:line="240" w:lineRule="auto"/>
        <w:ind w:left="720" w:hanging="720"/>
        <w:rPr>
          <w:rFonts w:cstheme="minorHAnsi"/>
        </w:rPr>
      </w:pPr>
      <w:r w:rsidRPr="00EF1FEF">
        <w:rPr>
          <w:rFonts w:cstheme="minorHAnsi"/>
        </w:rPr>
        <w:t>40.  Janse de Jonge XA, Boot CR, Thom JM, Ruell PA, Thompson MW. The influence of menstrual cycle phase on skeletal muscle contractile characteristics in humans. J Physiol 530: 161–166, 2001. doi:10.1111/j.1469-7793.2001.0161m.x.</w:t>
      </w:r>
    </w:p>
    <w:p w14:paraId="7003FF89" w14:textId="77777777" w:rsidR="00EF1FEF" w:rsidRPr="00EF1FEF" w:rsidRDefault="00EF1FEF" w:rsidP="00EF1FEF">
      <w:pPr>
        <w:spacing w:line="240" w:lineRule="auto"/>
        <w:ind w:left="720" w:hanging="720"/>
        <w:rPr>
          <w:rFonts w:cstheme="minorHAnsi"/>
        </w:rPr>
      </w:pPr>
      <w:r w:rsidRPr="00EF1FEF">
        <w:rPr>
          <w:rFonts w:cstheme="minorHAnsi"/>
        </w:rPr>
        <w:t>41.  Jasmin L, Rabkin SD, Granato A, Boudah A, Ohara PT. Analgesia and hyperalgesia from GABA-mediated modulation of the cerebral cortex. Nature 424: 316–320, 2003. doi:10.1038/nature01808.</w:t>
      </w:r>
    </w:p>
    <w:p w14:paraId="14CB2712" w14:textId="77777777" w:rsidR="00EF1FEF" w:rsidRPr="00EF1FEF" w:rsidRDefault="00EF1FEF" w:rsidP="00EF1FEF">
      <w:pPr>
        <w:spacing w:line="240" w:lineRule="auto"/>
        <w:ind w:left="720" w:hanging="720"/>
        <w:rPr>
          <w:rFonts w:cstheme="minorHAnsi"/>
        </w:rPr>
      </w:pPr>
      <w:r w:rsidRPr="00EF1FEF">
        <w:rPr>
          <w:rFonts w:cstheme="minorHAnsi"/>
        </w:rPr>
        <w:lastRenderedPageBreak/>
        <w:t>42.  Kavanagh JJ, McFarland AJ, Taylor JL. Enhanced availability of serotonin increases activation of unfatigued muscle but exacerbates central fatigue during prolonged sustained contractions. J Physiol 597: 319–332, 2019. doi:10.1113/JP277148.</w:t>
      </w:r>
    </w:p>
    <w:p w14:paraId="228327B4" w14:textId="77777777" w:rsidR="00EF1FEF" w:rsidRPr="00EF1FEF" w:rsidRDefault="00EF1FEF" w:rsidP="00EF1FEF">
      <w:pPr>
        <w:spacing w:line="240" w:lineRule="auto"/>
        <w:ind w:left="720" w:hanging="720"/>
        <w:rPr>
          <w:rFonts w:cstheme="minorHAnsi"/>
        </w:rPr>
      </w:pPr>
      <w:r w:rsidRPr="00EF1FEF">
        <w:rPr>
          <w:rFonts w:cstheme="minorHAnsi"/>
        </w:rPr>
        <w:t>43.  Keller A. Intrinsic synaptic organization of the motor cortex. Cereb Cortex 3: 430–441, 1993. doi:10.1093/cercor/3.5.430.</w:t>
      </w:r>
    </w:p>
    <w:p w14:paraId="63E0FA6D" w14:textId="77777777" w:rsidR="00EF1FEF" w:rsidRPr="00EF1FEF" w:rsidRDefault="00EF1FEF" w:rsidP="00EF1FEF">
      <w:pPr>
        <w:spacing w:line="240" w:lineRule="auto"/>
        <w:ind w:left="720" w:hanging="720"/>
        <w:rPr>
          <w:rFonts w:cstheme="minorHAnsi"/>
        </w:rPr>
      </w:pPr>
      <w:r w:rsidRPr="00EF1FEF">
        <w:rPr>
          <w:rFonts w:cstheme="minorHAnsi"/>
        </w:rPr>
        <w:t>44.  Klass M, Roelands B, Meeusen R, Duchateau J. Acute effect of noradrenergic modulation on motor output adjustment in men. Med Sci Sports Exerc 50: 1579–1587, 2018. doi:10.1249/MSS.0000000000001622.</w:t>
      </w:r>
    </w:p>
    <w:p w14:paraId="598256D3" w14:textId="77777777" w:rsidR="00EF1FEF" w:rsidRPr="00EF1FEF" w:rsidRDefault="00EF1FEF" w:rsidP="00EF1FEF">
      <w:pPr>
        <w:spacing w:line="240" w:lineRule="auto"/>
        <w:ind w:left="720" w:hanging="720"/>
        <w:rPr>
          <w:rFonts w:cstheme="minorHAnsi"/>
        </w:rPr>
      </w:pPr>
      <w:r w:rsidRPr="00EF1FEF">
        <w:rPr>
          <w:rFonts w:cstheme="minorHAnsi"/>
        </w:rPr>
        <w:t>45.  Koo TK, Li MY. A guideline of selecting and reporting intraclass correlation coefficients for reliability research. J Chiropr Med 15: 155–163, 2016. [Erratum in J Chiropr Med 16: 346, 2017]. doi:10.1016/j.jcm.2016.02.012.</w:t>
      </w:r>
    </w:p>
    <w:p w14:paraId="412117F8" w14:textId="77777777" w:rsidR="00EF1FEF" w:rsidRPr="00EF1FEF" w:rsidRDefault="00EF1FEF" w:rsidP="00EF1FEF">
      <w:pPr>
        <w:spacing w:line="240" w:lineRule="auto"/>
        <w:ind w:left="720" w:hanging="720"/>
        <w:rPr>
          <w:rFonts w:cstheme="minorHAnsi"/>
        </w:rPr>
      </w:pPr>
      <w:r w:rsidRPr="00EF1FEF">
        <w:rPr>
          <w:rFonts w:cstheme="minorHAnsi"/>
        </w:rPr>
        <w:t>46.  Kubo K, Miyamoto M, Tanaka S, Maki A, Tsunoda N, Kanehisa H. Muscle and tendon properties during menstrual cycle. Int J Sports Med 30: 139–143, 2009. doi:10.1055/s-0028-1104573.</w:t>
      </w:r>
    </w:p>
    <w:p w14:paraId="21C6D3E1" w14:textId="77777777" w:rsidR="00EF1FEF" w:rsidRPr="00EF1FEF" w:rsidRDefault="00EF1FEF" w:rsidP="00EF1FEF">
      <w:pPr>
        <w:spacing w:line="240" w:lineRule="auto"/>
        <w:ind w:left="720" w:hanging="720"/>
        <w:rPr>
          <w:rFonts w:cstheme="minorHAnsi"/>
        </w:rPr>
      </w:pPr>
      <w:r w:rsidRPr="00EF1FEF">
        <w:rPr>
          <w:rFonts w:cstheme="minorHAnsi"/>
        </w:rPr>
        <w:t>47.  McEwen BS. Invited review: Estrogens effects on the brain: multiple sites and molecular mechanisms. J Appl Physiol (1985) 91: 2785–2801, 2001. doi:10.1152/jappl.2001.91.6.2785.</w:t>
      </w:r>
    </w:p>
    <w:p w14:paraId="1D403C6D" w14:textId="77777777" w:rsidR="00EF1FEF" w:rsidRPr="00EF1FEF" w:rsidRDefault="00EF1FEF" w:rsidP="00EF1FEF">
      <w:pPr>
        <w:spacing w:line="240" w:lineRule="auto"/>
        <w:ind w:left="720" w:hanging="720"/>
        <w:rPr>
          <w:rFonts w:cstheme="minorHAnsi"/>
        </w:rPr>
      </w:pPr>
      <w:r w:rsidRPr="00EF1FEF">
        <w:rPr>
          <w:rFonts w:cstheme="minorHAnsi"/>
        </w:rPr>
        <w:t>48.  Merton PA. Voluntary strength and fatigue. J Physiol 123: 553–564, 1954. doi:10.1113/jphysiol.1954.sp005070.</w:t>
      </w:r>
    </w:p>
    <w:p w14:paraId="6FC35C7F" w14:textId="77777777" w:rsidR="00EF1FEF" w:rsidRPr="00EF1FEF" w:rsidRDefault="00EF1FEF" w:rsidP="00EF1FEF">
      <w:pPr>
        <w:spacing w:line="240" w:lineRule="auto"/>
        <w:ind w:left="720" w:hanging="720"/>
        <w:rPr>
          <w:rFonts w:cstheme="minorHAnsi"/>
        </w:rPr>
      </w:pPr>
      <w:r w:rsidRPr="00EF1FEF">
        <w:rPr>
          <w:rFonts w:cstheme="minorHAnsi"/>
        </w:rPr>
        <w:t>49.  Phillips SK, Sanderson AG, Birch K, Bruce SA, Woledge RC. Changes in maximal voluntary force of human adductor pollicis muscle during the menstrual cycle. J Physiol 496: 551–557, 1996. doi:10.1113/jphysiol.1996.sp021706.</w:t>
      </w:r>
    </w:p>
    <w:p w14:paraId="559546DA" w14:textId="77777777" w:rsidR="00EF1FEF" w:rsidRPr="00EF1FEF" w:rsidRDefault="00EF1FEF" w:rsidP="00EF1FEF">
      <w:pPr>
        <w:spacing w:line="240" w:lineRule="auto"/>
        <w:ind w:left="720" w:hanging="720"/>
        <w:rPr>
          <w:rFonts w:cstheme="minorHAnsi"/>
        </w:rPr>
      </w:pPr>
      <w:r w:rsidRPr="00EF1FEF">
        <w:rPr>
          <w:rFonts w:cstheme="minorHAnsi"/>
        </w:rPr>
        <w:t>50.  Place N, Maffiuletti NA, Martin A, Lepers R. Assessment of the reliability of central and peripheral fatigue after sustained maximal voluntary contraction of the quadriceps muscle. Muscle Nerve 35: 486–495, 2007. doi:10.1002/mus.20714.</w:t>
      </w:r>
    </w:p>
    <w:p w14:paraId="5F84B76E" w14:textId="77777777" w:rsidR="00EF1FEF" w:rsidRPr="00EF1FEF" w:rsidRDefault="00EF1FEF" w:rsidP="00EF1FEF">
      <w:pPr>
        <w:spacing w:line="240" w:lineRule="auto"/>
        <w:ind w:left="720" w:hanging="720"/>
        <w:rPr>
          <w:rFonts w:cstheme="minorHAnsi"/>
        </w:rPr>
      </w:pPr>
      <w:r w:rsidRPr="00EF1FEF">
        <w:rPr>
          <w:rFonts w:cstheme="minorHAnsi"/>
        </w:rPr>
        <w:t>51.  Rekling JC, Funk GD, Bayliss DA, Dong XW, Feldman JL. Synaptic control of motoneuronal excitability. Physiol Rev 80: 767–852, 2000. doi:10.1152/physrev.2000.80.2.767.</w:t>
      </w:r>
    </w:p>
    <w:p w14:paraId="5C0ACEB0" w14:textId="78DBAFB1" w:rsidR="00EF1FEF" w:rsidRPr="00EF1FEF" w:rsidRDefault="00EF1FEF" w:rsidP="00900A31">
      <w:pPr>
        <w:spacing w:line="240" w:lineRule="auto"/>
        <w:ind w:left="720" w:hanging="720"/>
        <w:rPr>
          <w:rFonts w:cstheme="minorHAnsi"/>
        </w:rPr>
      </w:pPr>
      <w:r w:rsidRPr="00EF1FEF">
        <w:rPr>
          <w:rFonts w:cstheme="minorHAnsi"/>
        </w:rPr>
        <w:t>52.  Säisänen L, Pirinen E, Teitti S, Könönen M, Julkunen P, Määttä S, Karhu J. Factors influencing cortical silent period: optimized stimulus location, intensity and muscle contraction. J Neurosci Methods 169: 231–238, 2008. doi:10.1016/j.jneumeth.2007.12.005.</w:t>
      </w:r>
    </w:p>
    <w:p w14:paraId="25A82F9F" w14:textId="77777777" w:rsidR="00EF1FEF" w:rsidRPr="00EF1FEF" w:rsidRDefault="00EF1FEF" w:rsidP="00EF1FEF">
      <w:pPr>
        <w:spacing w:line="240" w:lineRule="auto"/>
        <w:ind w:left="720" w:hanging="720"/>
        <w:rPr>
          <w:rFonts w:cstheme="minorHAnsi"/>
        </w:rPr>
      </w:pPr>
      <w:r w:rsidRPr="00EF1FEF">
        <w:rPr>
          <w:rFonts w:cstheme="minorHAnsi"/>
        </w:rPr>
        <w:t>53.  Sarwar R, Niclos BB, Rutherford OM. Changes in muscle strength, relaxation rate and fatiguability during the human menstrual cycle. J Physiol 493: 267–272, 1996. doi:10.1113/jphysiol.1996.sp021381.</w:t>
      </w:r>
    </w:p>
    <w:p w14:paraId="35CDA6A7" w14:textId="77777777" w:rsidR="00EF1FEF" w:rsidRPr="00EF1FEF" w:rsidRDefault="00EF1FEF" w:rsidP="00EF1FEF">
      <w:pPr>
        <w:spacing w:line="240" w:lineRule="auto"/>
        <w:ind w:left="720" w:hanging="720"/>
        <w:rPr>
          <w:rFonts w:cstheme="minorHAnsi"/>
        </w:rPr>
      </w:pPr>
      <w:r w:rsidRPr="00EF1FEF">
        <w:rPr>
          <w:rFonts w:cstheme="minorHAnsi"/>
        </w:rPr>
        <w:t>54.  Schultz KN, von Esenwein SA, Hu M, Bennett AL, Kennedy RT, Musatov S, Toran-Allerand CD, Kaplitt MG, Young LJ, Becker JB. Viral vector-mediated overexpression of estrogen receptor-α in striatum enhances the estradiol-induced motor activity in female rats and estradiol-modulated GABA release. J Neurosci 29: 1897–1903, 2009. doi:10.1523/JNEUROSCI.4647-08.2009.</w:t>
      </w:r>
    </w:p>
    <w:p w14:paraId="0247CCFD" w14:textId="77777777" w:rsidR="00EF1FEF" w:rsidRPr="00EF1FEF" w:rsidRDefault="00EF1FEF" w:rsidP="00EF1FEF">
      <w:pPr>
        <w:spacing w:line="240" w:lineRule="auto"/>
        <w:ind w:left="720" w:hanging="720"/>
        <w:rPr>
          <w:rFonts w:cstheme="minorHAnsi"/>
        </w:rPr>
      </w:pPr>
      <w:r w:rsidRPr="00EF1FEF">
        <w:rPr>
          <w:rFonts w:cstheme="minorHAnsi"/>
        </w:rPr>
        <w:t>55.  Sherman BM, Korenman SG. Hormonal characteristics of the human menstrual cycle throughout reproductive life. J Clin Invest 55: 699–706, 1975. doi:10.1172/JCI107979.</w:t>
      </w:r>
    </w:p>
    <w:p w14:paraId="01E44454" w14:textId="77777777" w:rsidR="00EF1FEF" w:rsidRPr="00EF1FEF" w:rsidRDefault="00EF1FEF" w:rsidP="00EF1FEF">
      <w:pPr>
        <w:spacing w:line="240" w:lineRule="auto"/>
        <w:ind w:left="720" w:hanging="720"/>
        <w:rPr>
          <w:rFonts w:cstheme="minorHAnsi"/>
        </w:rPr>
      </w:pPr>
      <w:r w:rsidRPr="00EF1FEF">
        <w:rPr>
          <w:rFonts w:cstheme="minorHAnsi"/>
        </w:rPr>
        <w:t>56.  Smith MJ, Adams LF, Schmidt PJ, Rubinow DR, Wassermann EM. Effects of ovarian hormones on human cortical excitability. Ann Neurol 51: 599–603, 2002. doi:10.1002/ana.10180.</w:t>
      </w:r>
    </w:p>
    <w:p w14:paraId="74E790F3" w14:textId="77777777" w:rsidR="00EF1FEF" w:rsidRPr="00EF1FEF" w:rsidRDefault="00EF1FEF" w:rsidP="00EF1FEF">
      <w:pPr>
        <w:spacing w:line="240" w:lineRule="auto"/>
        <w:ind w:left="720" w:hanging="720"/>
        <w:rPr>
          <w:rFonts w:cstheme="minorHAnsi"/>
        </w:rPr>
      </w:pPr>
      <w:r w:rsidRPr="00EF1FEF">
        <w:rPr>
          <w:rFonts w:cstheme="minorHAnsi"/>
        </w:rPr>
        <w:t>57.  Smith MJ, Keel JC, Greenberg BD, Adams LF, Schmidt PJ, Rubinow DA, Wassermann EM. Menstrual cycle effects on cortical excitability. Neurology 53: 2069–2072, 1999. doi:10.1212/WNL.53.9.2069.</w:t>
      </w:r>
    </w:p>
    <w:p w14:paraId="00E912B1" w14:textId="77777777" w:rsidR="00EF1FEF" w:rsidRPr="00EF1FEF" w:rsidRDefault="00EF1FEF" w:rsidP="00EF1FEF">
      <w:pPr>
        <w:spacing w:line="240" w:lineRule="auto"/>
        <w:ind w:left="720" w:hanging="720"/>
        <w:rPr>
          <w:rFonts w:cstheme="minorHAnsi"/>
        </w:rPr>
      </w:pPr>
      <w:r w:rsidRPr="00EF1FEF">
        <w:rPr>
          <w:rFonts w:cstheme="minorHAnsi"/>
        </w:rPr>
        <w:t>58.  Smith SS. Estrogen administration increases neuronal responses to excitatory amino acids as a long-term effect. Brain Res 503: 354–357, 1989. doi:10.1016/0006-8993(89)91691-0.</w:t>
      </w:r>
    </w:p>
    <w:p w14:paraId="0462A15D" w14:textId="77777777" w:rsidR="00EF1FEF" w:rsidRPr="00EF1FEF" w:rsidRDefault="00EF1FEF" w:rsidP="00EF1FEF">
      <w:pPr>
        <w:spacing w:line="240" w:lineRule="auto"/>
        <w:ind w:left="720" w:hanging="720"/>
        <w:rPr>
          <w:rFonts w:cstheme="minorHAnsi"/>
        </w:rPr>
      </w:pPr>
      <w:r w:rsidRPr="00EF1FEF">
        <w:rPr>
          <w:rFonts w:cstheme="minorHAnsi"/>
        </w:rPr>
        <w:lastRenderedPageBreak/>
        <w:t>59.  Smith SS, Waterhouse BD, Chapin JK, Woodward DJ. Progesterone alters GABA and glutamate responsiveness: a possible mechanism for its anxiolytic action. Brain Res 400: 353–359, 1987. doi:10.1016/0006-8993(87)90634-2.</w:t>
      </w:r>
    </w:p>
    <w:p w14:paraId="495ECAC8" w14:textId="77777777" w:rsidR="00EF1FEF" w:rsidRPr="00EF1FEF" w:rsidRDefault="00EF1FEF" w:rsidP="00EF1FEF">
      <w:pPr>
        <w:spacing w:line="240" w:lineRule="auto"/>
        <w:ind w:left="720" w:hanging="720"/>
        <w:rPr>
          <w:rFonts w:cstheme="minorHAnsi"/>
        </w:rPr>
      </w:pPr>
      <w:r w:rsidRPr="00EF1FEF">
        <w:rPr>
          <w:rFonts w:cstheme="minorHAnsi"/>
        </w:rPr>
        <w:t>60.  Smith SS, Woodward DJ, Chapin JK. Sex steroids modulate motor-correlated increases in cerebellar discharge. Brain Res 476: 307–316, 1989. doi:10.1016/0006-8993(89)91251-1.</w:t>
      </w:r>
    </w:p>
    <w:p w14:paraId="2417BEE7" w14:textId="77777777" w:rsidR="00EF1FEF" w:rsidRPr="00EF1FEF" w:rsidRDefault="00EF1FEF" w:rsidP="00EF1FEF">
      <w:pPr>
        <w:spacing w:line="240" w:lineRule="auto"/>
        <w:ind w:left="720" w:hanging="720"/>
        <w:rPr>
          <w:rFonts w:cstheme="minorHAnsi"/>
        </w:rPr>
      </w:pPr>
      <w:r w:rsidRPr="00EF1FEF">
        <w:rPr>
          <w:rFonts w:cstheme="minorHAnsi"/>
        </w:rPr>
        <w:t>61.  Smith SS, Woolley CS. Cellular and molecular effects of steroid hormones on CNS excitability. Cleve Clin J Med 71, Suppl 2: S4–S10, 2004. doi:10.3949/ccjm.71.Suppl_2.S4.</w:t>
      </w:r>
    </w:p>
    <w:p w14:paraId="230B5A8B" w14:textId="77777777" w:rsidR="00EF1FEF" w:rsidRPr="00EF1FEF" w:rsidRDefault="00EF1FEF" w:rsidP="00EF1FEF">
      <w:pPr>
        <w:spacing w:line="240" w:lineRule="auto"/>
        <w:ind w:left="720" w:hanging="720"/>
        <w:rPr>
          <w:rFonts w:cstheme="minorHAnsi"/>
        </w:rPr>
      </w:pPr>
      <w:r w:rsidRPr="00EF1FEF">
        <w:rPr>
          <w:rFonts w:cstheme="minorHAnsi"/>
        </w:rPr>
        <w:t>62.  Stoffel-Wagner B. Neurosteroid metabolism in the human brain. Eur J Endocrinol 145: 669–679, 2001. doi:10.1530/eje.0.1450669.</w:t>
      </w:r>
    </w:p>
    <w:p w14:paraId="7FC24937" w14:textId="77777777" w:rsidR="00EF1FEF" w:rsidRPr="00EF1FEF" w:rsidRDefault="00EF1FEF" w:rsidP="00EF1FEF">
      <w:pPr>
        <w:spacing w:line="240" w:lineRule="auto"/>
        <w:ind w:left="720" w:hanging="720"/>
        <w:rPr>
          <w:rFonts w:cstheme="minorHAnsi"/>
        </w:rPr>
      </w:pPr>
      <w:r w:rsidRPr="00EF1FEF">
        <w:rPr>
          <w:rFonts w:cstheme="minorHAnsi"/>
        </w:rPr>
        <w:t>63.  Tamm AS, Lagerquist O, Ley AL, Collins DF. Chronotype influences diurnal variations in the excitability of the human motor cortex and the ability to generate torque during a maximum voluntary contraction. J Biol Rhythms 24: 211–224, 2009. doi:10.1177/0748730409334135.</w:t>
      </w:r>
    </w:p>
    <w:p w14:paraId="4E981D72" w14:textId="77777777" w:rsidR="00EF1FEF" w:rsidRPr="00EF1FEF" w:rsidRDefault="00EF1FEF" w:rsidP="00EF1FEF">
      <w:pPr>
        <w:spacing w:line="240" w:lineRule="auto"/>
        <w:ind w:left="720" w:hanging="720"/>
        <w:rPr>
          <w:rFonts w:cstheme="minorHAnsi"/>
        </w:rPr>
      </w:pPr>
      <w:r w:rsidRPr="00EF1FEF">
        <w:rPr>
          <w:rFonts w:cstheme="minorHAnsi"/>
        </w:rPr>
        <w:t>64.  Tenan MS, Hackney AC, Griffin L. Maximal force and tremor changes across the menstrual cycle. Eur J Appl Physiol 116: 153–160, 2016. doi:10.1007/s00421-015-3258-x.</w:t>
      </w:r>
    </w:p>
    <w:p w14:paraId="0C8A4450" w14:textId="77777777" w:rsidR="00EF1FEF" w:rsidRPr="00EF1FEF" w:rsidRDefault="00EF1FEF" w:rsidP="00EF1FEF">
      <w:pPr>
        <w:spacing w:line="240" w:lineRule="auto"/>
        <w:ind w:left="720" w:hanging="720"/>
        <w:rPr>
          <w:rFonts w:cstheme="minorHAnsi"/>
        </w:rPr>
      </w:pPr>
      <w:r w:rsidRPr="00EF1FEF">
        <w:rPr>
          <w:rFonts w:cstheme="minorHAnsi"/>
        </w:rPr>
        <w:t>65.  Tenan MS, Peng YL, Hackney AC, Griffin L. Menstrual cycle mediates vastus medialis and vastus medialis oblique muscle activity. Med Sci Sports Exerc 45: 2151–2157, 2013. doi:10.1249/MSS.0b013e318299a69d.</w:t>
      </w:r>
    </w:p>
    <w:p w14:paraId="48F69188" w14:textId="77777777" w:rsidR="00EF1FEF" w:rsidRPr="00EF1FEF" w:rsidRDefault="00EF1FEF" w:rsidP="00EF1FEF">
      <w:pPr>
        <w:spacing w:line="240" w:lineRule="auto"/>
        <w:ind w:left="720" w:hanging="720"/>
        <w:rPr>
          <w:rFonts w:cstheme="minorHAnsi"/>
        </w:rPr>
      </w:pPr>
      <w:r w:rsidRPr="00EF1FEF">
        <w:rPr>
          <w:rFonts w:cstheme="minorHAnsi"/>
        </w:rPr>
        <w:t>66.  Thomas K, Goodall S, Howatson G. Performance fatigability is not regulated to a peripheral critical threshold. Exerc Sport Sci Rev 46: 240–246, 2018. doi:10.1249/JES.0000000000000162.</w:t>
      </w:r>
    </w:p>
    <w:p w14:paraId="698F0807" w14:textId="77777777" w:rsidR="00EF1FEF" w:rsidRPr="00EF1FEF" w:rsidRDefault="00EF1FEF" w:rsidP="00EF1FEF">
      <w:pPr>
        <w:spacing w:line="240" w:lineRule="auto"/>
        <w:ind w:left="720" w:hanging="720"/>
        <w:rPr>
          <w:rFonts w:cstheme="minorHAnsi"/>
        </w:rPr>
      </w:pPr>
      <w:r w:rsidRPr="00EF1FEF">
        <w:rPr>
          <w:rFonts w:cstheme="minorHAnsi"/>
        </w:rPr>
        <w:t>67.  Todd G, Gorman RB, Gandevia SC. Measurement and reproducibility of strength and voluntary activation of lower-limb muscles. Muscle Nerve 29: 834–842, 2004. doi:10.1002/mus.20027.</w:t>
      </w:r>
    </w:p>
    <w:p w14:paraId="7344A2F7" w14:textId="77777777" w:rsidR="00EF1FEF" w:rsidRPr="00EF1FEF" w:rsidRDefault="00EF1FEF" w:rsidP="00EF1FEF">
      <w:pPr>
        <w:spacing w:line="240" w:lineRule="auto"/>
        <w:ind w:left="720" w:hanging="720"/>
        <w:rPr>
          <w:rFonts w:cstheme="minorHAnsi"/>
        </w:rPr>
      </w:pPr>
      <w:r w:rsidRPr="00EF1FEF">
        <w:rPr>
          <w:rFonts w:cstheme="minorHAnsi"/>
        </w:rPr>
        <w:t>68.  Todd G, Taylor JL, Gandevia SC. Measurement of voluntary activation of fresh and fatigued human muscles using transcranial magnetic stimulation. J Physiol 551: 661–671, 2003. doi:10.1113/jphysiol.2003.044099.</w:t>
      </w:r>
    </w:p>
    <w:p w14:paraId="7400037F" w14:textId="77777777" w:rsidR="00EF1FEF" w:rsidRPr="00EF1FEF" w:rsidRDefault="00EF1FEF" w:rsidP="00EF1FEF">
      <w:pPr>
        <w:spacing w:line="240" w:lineRule="auto"/>
        <w:ind w:left="720" w:hanging="720"/>
        <w:rPr>
          <w:rFonts w:cstheme="minorHAnsi"/>
        </w:rPr>
      </w:pPr>
      <w:r w:rsidRPr="00EF1FEF">
        <w:rPr>
          <w:rFonts w:cstheme="minorHAnsi"/>
        </w:rPr>
        <w:t>69.  Vincent K, Stagg CJ, Warnaby CE, Moore J, Kennedy S, Tracey I. “Luteal analgesia”: progesterone dissociates pain intensity and unpleasantness by influencing emotion regulation networks. Front Endocrinol (Lausanne) 9: 413, 2018. doi:10.3389/fendo.2018.00413.</w:t>
      </w:r>
    </w:p>
    <w:p w14:paraId="07C1D9FA" w14:textId="77777777" w:rsidR="00EF1FEF" w:rsidRPr="00EF1FEF" w:rsidRDefault="00EF1FEF" w:rsidP="00EF1FEF">
      <w:pPr>
        <w:spacing w:line="240" w:lineRule="auto"/>
        <w:ind w:left="720" w:hanging="720"/>
        <w:rPr>
          <w:rFonts w:cstheme="minorHAnsi"/>
        </w:rPr>
      </w:pPr>
      <w:r w:rsidRPr="00EF1FEF">
        <w:rPr>
          <w:rFonts w:cstheme="minorHAnsi"/>
        </w:rPr>
        <w:t>70.  Wallis CJ, Luttge WG. Influence of estrogen and progesterone on glutamic acid decarboxylase activity in discrete regions of rat brain. J Neurochem 34: 609–613, 1980. doi:10.1111/j.1471-4159.1980.tb11187.x.</w:t>
      </w:r>
    </w:p>
    <w:p w14:paraId="0B4BE8E5" w14:textId="77777777" w:rsidR="00EF1FEF" w:rsidRPr="00EF1FEF" w:rsidRDefault="00EF1FEF" w:rsidP="00EF1FEF">
      <w:pPr>
        <w:spacing w:line="240" w:lineRule="auto"/>
        <w:ind w:left="720" w:hanging="720"/>
        <w:rPr>
          <w:rFonts w:cstheme="minorHAnsi"/>
        </w:rPr>
      </w:pPr>
      <w:r w:rsidRPr="00EF1FEF">
        <w:rPr>
          <w:rFonts w:cstheme="minorHAnsi"/>
        </w:rPr>
        <w:t>71.  Weier AT, Pearce AJ, Kidgell DJ. Strength training reduces intracortical inhibition. Acta Physiol (Oxf) 206: 109–119, 2012. doi:10.1111/j.1748-1716.2012.02454.x.</w:t>
      </w:r>
    </w:p>
    <w:p w14:paraId="77E1E036" w14:textId="77777777" w:rsidR="00EF1FEF" w:rsidRPr="00EF1FEF" w:rsidRDefault="00EF1FEF" w:rsidP="00EF1FEF">
      <w:pPr>
        <w:spacing w:line="240" w:lineRule="auto"/>
        <w:ind w:left="720" w:hanging="720"/>
        <w:rPr>
          <w:rFonts w:cstheme="minorHAnsi"/>
        </w:rPr>
      </w:pPr>
      <w:r w:rsidRPr="00EF1FEF">
        <w:rPr>
          <w:rFonts w:cstheme="minorHAnsi"/>
        </w:rPr>
        <w:t>72.  Wong M, Moss RL. Long-term and short-term electrophysiological effects of estrogen on the synaptic properties of hippocampal CA1 neurons. J Neurosci 12: 3217–3225, 1992. doi:10.1523/JNEUROSCI.12-08-03217.1992.</w:t>
      </w:r>
    </w:p>
    <w:p w14:paraId="144F182E" w14:textId="77777777" w:rsidR="00EF1FEF" w:rsidRPr="00EF1FEF" w:rsidRDefault="00EF1FEF" w:rsidP="00EF1FEF">
      <w:pPr>
        <w:spacing w:line="240" w:lineRule="auto"/>
        <w:ind w:left="720" w:hanging="720"/>
        <w:rPr>
          <w:rFonts w:cstheme="minorHAnsi"/>
        </w:rPr>
      </w:pPr>
      <w:r w:rsidRPr="00EF1FEF">
        <w:rPr>
          <w:rFonts w:cstheme="minorHAnsi"/>
        </w:rPr>
        <w:t>73.  Yacyshyn AF, Woo EJ, Price MC, McNeil CJ. Motoneuron responsiveness to corticospinal tract stimulation during the silent period induced by transcranial magnetic stimulation. Exp Brain Res 234: 3457–3463, 2016. doi:10.1007/s00221-016-4742-1.</w:t>
      </w:r>
    </w:p>
    <w:p w14:paraId="18F8AE96" w14:textId="77777777" w:rsidR="00EF1FEF" w:rsidRPr="00EF1FEF" w:rsidRDefault="00EF1FEF" w:rsidP="00EF1FEF">
      <w:pPr>
        <w:spacing w:line="240" w:lineRule="auto"/>
        <w:ind w:left="720" w:hanging="720"/>
        <w:rPr>
          <w:rFonts w:cstheme="minorHAnsi"/>
        </w:rPr>
      </w:pPr>
      <w:r w:rsidRPr="00EF1FEF">
        <w:rPr>
          <w:rFonts w:cstheme="minorHAnsi"/>
        </w:rPr>
        <w:t>74.  Ziemann U, Lönnecker S, Steinhoff BJ, Paulus W. Effects of antiepileptic drugs on motor cortex excitability in humans: a transcranial magnetic stimulation study. Ann Neurol 40: 367–378, 1996. doi:10.1002/ana.410400306.</w:t>
      </w:r>
    </w:p>
    <w:p w14:paraId="76684322" w14:textId="3B8D0491" w:rsidR="008115A6" w:rsidRPr="00A14F37" w:rsidRDefault="008115A6" w:rsidP="00EF1FEF">
      <w:pPr>
        <w:spacing w:line="240" w:lineRule="auto"/>
        <w:ind w:left="720" w:hanging="720"/>
        <w:rPr>
          <w:rFonts w:cstheme="minorHAnsi"/>
        </w:rPr>
      </w:pPr>
    </w:p>
    <w:sectPr w:rsidR="008115A6" w:rsidRPr="00A14F3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j8e/QkAhG1WdDLAy6MPVr7+M5NLqO6Tt+Txc2szNQ2JarkSNZquy5sqzt1RWNruFflwW6pgBo0H3VHre0VjvIw==" w:salt="iJ7bQopeQkVyJfvP3KEG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2026"/>
    <w:rsid w:val="00034205"/>
    <w:rsid w:val="00035704"/>
    <w:rsid w:val="000418D5"/>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4345"/>
    <w:rsid w:val="00097FBC"/>
    <w:rsid w:val="000A0975"/>
    <w:rsid w:val="000A266C"/>
    <w:rsid w:val="000A2D53"/>
    <w:rsid w:val="000A55C6"/>
    <w:rsid w:val="000A5843"/>
    <w:rsid w:val="000A7622"/>
    <w:rsid w:val="000A7F84"/>
    <w:rsid w:val="000B1EEB"/>
    <w:rsid w:val="000B22D3"/>
    <w:rsid w:val="000B2768"/>
    <w:rsid w:val="000B2CAC"/>
    <w:rsid w:val="000B3464"/>
    <w:rsid w:val="000B389E"/>
    <w:rsid w:val="000B4E8A"/>
    <w:rsid w:val="000B501D"/>
    <w:rsid w:val="000B5170"/>
    <w:rsid w:val="000C0E5B"/>
    <w:rsid w:val="000C1BE5"/>
    <w:rsid w:val="000C3F6B"/>
    <w:rsid w:val="000C6BA7"/>
    <w:rsid w:val="000D3573"/>
    <w:rsid w:val="000D4F0B"/>
    <w:rsid w:val="000D6BF2"/>
    <w:rsid w:val="000E69EF"/>
    <w:rsid w:val="000E7C46"/>
    <w:rsid w:val="000F0449"/>
    <w:rsid w:val="000F08DA"/>
    <w:rsid w:val="000F1470"/>
    <w:rsid w:val="000F14F0"/>
    <w:rsid w:val="000F1D5E"/>
    <w:rsid w:val="000F33D0"/>
    <w:rsid w:val="001012D5"/>
    <w:rsid w:val="00101A98"/>
    <w:rsid w:val="00104CE6"/>
    <w:rsid w:val="00107EA8"/>
    <w:rsid w:val="00110825"/>
    <w:rsid w:val="00114114"/>
    <w:rsid w:val="00117EC5"/>
    <w:rsid w:val="00117F89"/>
    <w:rsid w:val="00120313"/>
    <w:rsid w:val="001233A5"/>
    <w:rsid w:val="00123BC0"/>
    <w:rsid w:val="00123E80"/>
    <w:rsid w:val="00131A15"/>
    <w:rsid w:val="00131C28"/>
    <w:rsid w:val="00134CF7"/>
    <w:rsid w:val="00137500"/>
    <w:rsid w:val="0014182B"/>
    <w:rsid w:val="0014490B"/>
    <w:rsid w:val="00146601"/>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32B"/>
    <w:rsid w:val="00206486"/>
    <w:rsid w:val="00206CC8"/>
    <w:rsid w:val="00211422"/>
    <w:rsid w:val="00212109"/>
    <w:rsid w:val="00224240"/>
    <w:rsid w:val="00226FA2"/>
    <w:rsid w:val="0024134B"/>
    <w:rsid w:val="00251132"/>
    <w:rsid w:val="002535DF"/>
    <w:rsid w:val="002558EB"/>
    <w:rsid w:val="00255B43"/>
    <w:rsid w:val="00255BDC"/>
    <w:rsid w:val="00255BEA"/>
    <w:rsid w:val="00256FED"/>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C6B70"/>
    <w:rsid w:val="002D02F2"/>
    <w:rsid w:val="002D28EA"/>
    <w:rsid w:val="002D51BB"/>
    <w:rsid w:val="002D5BAE"/>
    <w:rsid w:val="002D5DDC"/>
    <w:rsid w:val="002D6AA3"/>
    <w:rsid w:val="002E5C33"/>
    <w:rsid w:val="002E5D29"/>
    <w:rsid w:val="002F4444"/>
    <w:rsid w:val="002F4AA0"/>
    <w:rsid w:val="00300EE4"/>
    <w:rsid w:val="0030197F"/>
    <w:rsid w:val="0030223E"/>
    <w:rsid w:val="00303A1E"/>
    <w:rsid w:val="00303BBD"/>
    <w:rsid w:val="00313440"/>
    <w:rsid w:val="00314FCD"/>
    <w:rsid w:val="00324290"/>
    <w:rsid w:val="00331737"/>
    <w:rsid w:val="0033243D"/>
    <w:rsid w:val="0033652E"/>
    <w:rsid w:val="00340617"/>
    <w:rsid w:val="003407C3"/>
    <w:rsid w:val="00340B13"/>
    <w:rsid w:val="00340CDB"/>
    <w:rsid w:val="003427C6"/>
    <w:rsid w:val="00343472"/>
    <w:rsid w:val="003455AA"/>
    <w:rsid w:val="00347634"/>
    <w:rsid w:val="0035042D"/>
    <w:rsid w:val="00351E90"/>
    <w:rsid w:val="00360206"/>
    <w:rsid w:val="003624EE"/>
    <w:rsid w:val="003632E1"/>
    <w:rsid w:val="00363CD3"/>
    <w:rsid w:val="003656A9"/>
    <w:rsid w:val="00366852"/>
    <w:rsid w:val="003706EF"/>
    <w:rsid w:val="00370BE4"/>
    <w:rsid w:val="00371D56"/>
    <w:rsid w:val="0037755D"/>
    <w:rsid w:val="00381F0E"/>
    <w:rsid w:val="00383AB7"/>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4DF6"/>
    <w:rsid w:val="003D3301"/>
    <w:rsid w:val="003D4641"/>
    <w:rsid w:val="003E05B7"/>
    <w:rsid w:val="003E0C0A"/>
    <w:rsid w:val="003E6CFF"/>
    <w:rsid w:val="004010E3"/>
    <w:rsid w:val="004055B8"/>
    <w:rsid w:val="00406408"/>
    <w:rsid w:val="0040709D"/>
    <w:rsid w:val="004122F9"/>
    <w:rsid w:val="004124D3"/>
    <w:rsid w:val="004139BA"/>
    <w:rsid w:val="00413C35"/>
    <w:rsid w:val="00421CBC"/>
    <w:rsid w:val="0043008C"/>
    <w:rsid w:val="00430B91"/>
    <w:rsid w:val="004343E9"/>
    <w:rsid w:val="004374EF"/>
    <w:rsid w:val="004401D8"/>
    <w:rsid w:val="00440F61"/>
    <w:rsid w:val="004441CB"/>
    <w:rsid w:val="00450DB8"/>
    <w:rsid w:val="00453D2C"/>
    <w:rsid w:val="00454851"/>
    <w:rsid w:val="00456070"/>
    <w:rsid w:val="00456B26"/>
    <w:rsid w:val="004570E7"/>
    <w:rsid w:val="0045788C"/>
    <w:rsid w:val="00460A1D"/>
    <w:rsid w:val="004613DF"/>
    <w:rsid w:val="00461BB2"/>
    <w:rsid w:val="00463F96"/>
    <w:rsid w:val="004660BE"/>
    <w:rsid w:val="0046696C"/>
    <w:rsid w:val="00466DD7"/>
    <w:rsid w:val="00471195"/>
    <w:rsid w:val="00471F7D"/>
    <w:rsid w:val="00473B19"/>
    <w:rsid w:val="00474CB3"/>
    <w:rsid w:val="00474ECD"/>
    <w:rsid w:val="004757B5"/>
    <w:rsid w:val="004816ED"/>
    <w:rsid w:val="004834F0"/>
    <w:rsid w:val="00487185"/>
    <w:rsid w:val="004873AE"/>
    <w:rsid w:val="00487718"/>
    <w:rsid w:val="00490ABE"/>
    <w:rsid w:val="004932A8"/>
    <w:rsid w:val="00493D15"/>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57018"/>
    <w:rsid w:val="005605E4"/>
    <w:rsid w:val="00563D7B"/>
    <w:rsid w:val="00563E3B"/>
    <w:rsid w:val="005643C8"/>
    <w:rsid w:val="005673D1"/>
    <w:rsid w:val="00570F38"/>
    <w:rsid w:val="00573955"/>
    <w:rsid w:val="00580E33"/>
    <w:rsid w:val="00583225"/>
    <w:rsid w:val="0058724D"/>
    <w:rsid w:val="00587647"/>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05E4"/>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375"/>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30FF"/>
    <w:rsid w:val="007065D3"/>
    <w:rsid w:val="007071B1"/>
    <w:rsid w:val="00707EC1"/>
    <w:rsid w:val="00710582"/>
    <w:rsid w:val="00714EE9"/>
    <w:rsid w:val="00716967"/>
    <w:rsid w:val="00716B0E"/>
    <w:rsid w:val="007246B0"/>
    <w:rsid w:val="007258CB"/>
    <w:rsid w:val="00730E29"/>
    <w:rsid w:val="00732FF6"/>
    <w:rsid w:val="00735393"/>
    <w:rsid w:val="00745E32"/>
    <w:rsid w:val="007466F7"/>
    <w:rsid w:val="0075225B"/>
    <w:rsid w:val="00757D89"/>
    <w:rsid w:val="0076194B"/>
    <w:rsid w:val="00762F2E"/>
    <w:rsid w:val="00763676"/>
    <w:rsid w:val="00772776"/>
    <w:rsid w:val="00776E56"/>
    <w:rsid w:val="00781619"/>
    <w:rsid w:val="0079146B"/>
    <w:rsid w:val="00791DD5"/>
    <w:rsid w:val="00796875"/>
    <w:rsid w:val="0079756E"/>
    <w:rsid w:val="007A1233"/>
    <w:rsid w:val="007A258F"/>
    <w:rsid w:val="007A3B3A"/>
    <w:rsid w:val="007A6450"/>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5A6"/>
    <w:rsid w:val="00813292"/>
    <w:rsid w:val="00813E40"/>
    <w:rsid w:val="00816489"/>
    <w:rsid w:val="00817C16"/>
    <w:rsid w:val="00820049"/>
    <w:rsid w:val="0082013E"/>
    <w:rsid w:val="00822617"/>
    <w:rsid w:val="00824B15"/>
    <w:rsid w:val="0082680F"/>
    <w:rsid w:val="00831F20"/>
    <w:rsid w:val="008322E3"/>
    <w:rsid w:val="00834DF7"/>
    <w:rsid w:val="008366BC"/>
    <w:rsid w:val="00836F01"/>
    <w:rsid w:val="008406F5"/>
    <w:rsid w:val="00841F1E"/>
    <w:rsid w:val="00842203"/>
    <w:rsid w:val="00850E3E"/>
    <w:rsid w:val="00864432"/>
    <w:rsid w:val="008649A3"/>
    <w:rsid w:val="0086670A"/>
    <w:rsid w:val="00870BA1"/>
    <w:rsid w:val="00873CDE"/>
    <w:rsid w:val="00874421"/>
    <w:rsid w:val="00875997"/>
    <w:rsid w:val="0087796C"/>
    <w:rsid w:val="00877AD1"/>
    <w:rsid w:val="00880932"/>
    <w:rsid w:val="008825B5"/>
    <w:rsid w:val="00885E74"/>
    <w:rsid w:val="00886B14"/>
    <w:rsid w:val="008927F4"/>
    <w:rsid w:val="00893B58"/>
    <w:rsid w:val="00894E4C"/>
    <w:rsid w:val="0089642A"/>
    <w:rsid w:val="008A04A4"/>
    <w:rsid w:val="008A1743"/>
    <w:rsid w:val="008A23DD"/>
    <w:rsid w:val="008A39DE"/>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6EDA"/>
    <w:rsid w:val="008F7645"/>
    <w:rsid w:val="00900A31"/>
    <w:rsid w:val="0090248F"/>
    <w:rsid w:val="00902F25"/>
    <w:rsid w:val="0090407E"/>
    <w:rsid w:val="009048AB"/>
    <w:rsid w:val="00905334"/>
    <w:rsid w:val="00907ABB"/>
    <w:rsid w:val="00911307"/>
    <w:rsid w:val="00913DBA"/>
    <w:rsid w:val="00915110"/>
    <w:rsid w:val="009151B5"/>
    <w:rsid w:val="00916ADA"/>
    <w:rsid w:val="00916C64"/>
    <w:rsid w:val="00920FFB"/>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4EC6"/>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2417"/>
    <w:rsid w:val="009B4F83"/>
    <w:rsid w:val="009B6983"/>
    <w:rsid w:val="009C5450"/>
    <w:rsid w:val="009C5716"/>
    <w:rsid w:val="009D316A"/>
    <w:rsid w:val="009D3527"/>
    <w:rsid w:val="009D5368"/>
    <w:rsid w:val="009D54DF"/>
    <w:rsid w:val="009E56AC"/>
    <w:rsid w:val="009E56AF"/>
    <w:rsid w:val="009E6152"/>
    <w:rsid w:val="009E678D"/>
    <w:rsid w:val="009F28E2"/>
    <w:rsid w:val="009F4BDF"/>
    <w:rsid w:val="009F60BA"/>
    <w:rsid w:val="009F7F44"/>
    <w:rsid w:val="00A01B8D"/>
    <w:rsid w:val="00A01F1E"/>
    <w:rsid w:val="00A034AE"/>
    <w:rsid w:val="00A035F5"/>
    <w:rsid w:val="00A11F34"/>
    <w:rsid w:val="00A1350A"/>
    <w:rsid w:val="00A13900"/>
    <w:rsid w:val="00A14F37"/>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7E7"/>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024"/>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3DD0"/>
    <w:rsid w:val="00B55B5C"/>
    <w:rsid w:val="00B56290"/>
    <w:rsid w:val="00B61B54"/>
    <w:rsid w:val="00B6351D"/>
    <w:rsid w:val="00B64203"/>
    <w:rsid w:val="00B6519E"/>
    <w:rsid w:val="00B66AF1"/>
    <w:rsid w:val="00B70245"/>
    <w:rsid w:val="00B703C2"/>
    <w:rsid w:val="00B74823"/>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BD7"/>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70F"/>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A22"/>
    <w:rsid w:val="00CC0FD9"/>
    <w:rsid w:val="00CC1F8F"/>
    <w:rsid w:val="00CD139B"/>
    <w:rsid w:val="00CD5E59"/>
    <w:rsid w:val="00CD7831"/>
    <w:rsid w:val="00CE05D4"/>
    <w:rsid w:val="00CE1AC9"/>
    <w:rsid w:val="00CE4712"/>
    <w:rsid w:val="00CF53EE"/>
    <w:rsid w:val="00CF70E3"/>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A49"/>
    <w:rsid w:val="00D87BB8"/>
    <w:rsid w:val="00D908E2"/>
    <w:rsid w:val="00D90BD9"/>
    <w:rsid w:val="00D932C5"/>
    <w:rsid w:val="00D939A7"/>
    <w:rsid w:val="00D9581C"/>
    <w:rsid w:val="00D95DCB"/>
    <w:rsid w:val="00D96228"/>
    <w:rsid w:val="00DA5459"/>
    <w:rsid w:val="00DB2256"/>
    <w:rsid w:val="00DB357A"/>
    <w:rsid w:val="00DB4233"/>
    <w:rsid w:val="00DB5097"/>
    <w:rsid w:val="00DC4F7C"/>
    <w:rsid w:val="00DC7134"/>
    <w:rsid w:val="00DC7C2C"/>
    <w:rsid w:val="00DD2256"/>
    <w:rsid w:val="00DD4B55"/>
    <w:rsid w:val="00DD5871"/>
    <w:rsid w:val="00DD6B1C"/>
    <w:rsid w:val="00DE2F66"/>
    <w:rsid w:val="00DE4173"/>
    <w:rsid w:val="00DE4592"/>
    <w:rsid w:val="00DE66D6"/>
    <w:rsid w:val="00DF6125"/>
    <w:rsid w:val="00E13E05"/>
    <w:rsid w:val="00E15784"/>
    <w:rsid w:val="00E15F02"/>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93A"/>
    <w:rsid w:val="00E95F4D"/>
    <w:rsid w:val="00E97067"/>
    <w:rsid w:val="00EA6E8E"/>
    <w:rsid w:val="00EA7978"/>
    <w:rsid w:val="00EA7D19"/>
    <w:rsid w:val="00EB7F70"/>
    <w:rsid w:val="00EC4C2A"/>
    <w:rsid w:val="00EC524B"/>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933"/>
    <w:rsid w:val="00EF1FEF"/>
    <w:rsid w:val="00EF2D7A"/>
    <w:rsid w:val="00EF586D"/>
    <w:rsid w:val="00EF70F2"/>
    <w:rsid w:val="00F00B9A"/>
    <w:rsid w:val="00F0246E"/>
    <w:rsid w:val="00F026DB"/>
    <w:rsid w:val="00F033E2"/>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17EE"/>
    <w:rsid w:val="00F6204B"/>
    <w:rsid w:val="00F62CDA"/>
    <w:rsid w:val="00F6448C"/>
    <w:rsid w:val="00F65D8A"/>
    <w:rsid w:val="00F74422"/>
    <w:rsid w:val="00F76222"/>
    <w:rsid w:val="00F76933"/>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01D"/>
    <w:rsid w:val="00FF2B49"/>
    <w:rsid w:val="00FF3001"/>
    <w:rsid w:val="00FF3F69"/>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87A49"/>
    <w:rPr>
      <w:color w:val="0563C1" w:themeColor="hyperlink"/>
      <w:u w:val="single"/>
    </w:rPr>
  </w:style>
  <w:style w:type="character" w:styleId="UnresolvedMention">
    <w:name w:val="Unresolved Mention"/>
    <w:basedOn w:val="DefaultParagraphFont"/>
    <w:uiPriority w:val="99"/>
    <w:semiHidden/>
    <w:unhideWhenUsed/>
    <w:rsid w:val="00D87A49"/>
    <w:rPr>
      <w:color w:val="605E5C"/>
      <w:shd w:val="clear" w:color="auto" w:fill="E1DFDD"/>
    </w:rPr>
  </w:style>
  <w:style w:type="paragraph" w:styleId="NormalWeb">
    <w:name w:val="Normal (Web)"/>
    <w:basedOn w:val="Normal"/>
    <w:uiPriority w:val="99"/>
    <w:unhideWhenUsed/>
    <w:rsid w:val="00383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383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6602">
      <w:bodyDiv w:val="1"/>
      <w:marLeft w:val="0"/>
      <w:marRight w:val="0"/>
      <w:marTop w:val="0"/>
      <w:marBottom w:val="0"/>
      <w:divBdr>
        <w:top w:val="none" w:sz="0" w:space="0" w:color="auto"/>
        <w:left w:val="none" w:sz="0" w:space="0" w:color="auto"/>
        <w:bottom w:val="none" w:sz="0" w:space="0" w:color="auto"/>
        <w:right w:val="none" w:sz="0" w:space="0" w:color="auto"/>
      </w:divBdr>
    </w:div>
    <w:div w:id="38556351">
      <w:bodyDiv w:val="1"/>
      <w:marLeft w:val="0"/>
      <w:marRight w:val="0"/>
      <w:marTop w:val="0"/>
      <w:marBottom w:val="0"/>
      <w:divBdr>
        <w:top w:val="none" w:sz="0" w:space="0" w:color="auto"/>
        <w:left w:val="none" w:sz="0" w:space="0" w:color="auto"/>
        <w:bottom w:val="none" w:sz="0" w:space="0" w:color="auto"/>
        <w:right w:val="none" w:sz="0" w:space="0" w:color="auto"/>
      </w:divBdr>
      <w:divsChild>
        <w:div w:id="1843663840">
          <w:marLeft w:val="0"/>
          <w:marRight w:val="0"/>
          <w:marTop w:val="0"/>
          <w:marBottom w:val="0"/>
          <w:divBdr>
            <w:top w:val="none" w:sz="0" w:space="0" w:color="auto"/>
            <w:left w:val="none" w:sz="0" w:space="0" w:color="auto"/>
            <w:bottom w:val="none" w:sz="0" w:space="0" w:color="auto"/>
            <w:right w:val="none" w:sz="0" w:space="0" w:color="auto"/>
          </w:divBdr>
          <w:divsChild>
            <w:div w:id="673537948">
              <w:marLeft w:val="0"/>
              <w:marRight w:val="0"/>
              <w:marTop w:val="0"/>
              <w:marBottom w:val="0"/>
              <w:divBdr>
                <w:top w:val="none" w:sz="0" w:space="0" w:color="auto"/>
                <w:left w:val="none" w:sz="0" w:space="0" w:color="auto"/>
                <w:bottom w:val="none" w:sz="0" w:space="0" w:color="auto"/>
                <w:right w:val="none" w:sz="0" w:space="0" w:color="auto"/>
              </w:divBdr>
            </w:div>
            <w:div w:id="2117095357">
              <w:marLeft w:val="0"/>
              <w:marRight w:val="0"/>
              <w:marTop w:val="0"/>
              <w:marBottom w:val="0"/>
              <w:divBdr>
                <w:top w:val="none" w:sz="0" w:space="0" w:color="auto"/>
                <w:left w:val="none" w:sz="0" w:space="0" w:color="auto"/>
                <w:bottom w:val="none" w:sz="0" w:space="0" w:color="auto"/>
                <w:right w:val="none" w:sz="0" w:space="0" w:color="auto"/>
              </w:divBdr>
            </w:div>
            <w:div w:id="59286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78439">
      <w:bodyDiv w:val="1"/>
      <w:marLeft w:val="0"/>
      <w:marRight w:val="0"/>
      <w:marTop w:val="0"/>
      <w:marBottom w:val="0"/>
      <w:divBdr>
        <w:top w:val="none" w:sz="0" w:space="0" w:color="auto"/>
        <w:left w:val="none" w:sz="0" w:space="0" w:color="auto"/>
        <w:bottom w:val="none" w:sz="0" w:space="0" w:color="auto"/>
        <w:right w:val="none" w:sz="0" w:space="0" w:color="auto"/>
      </w:divBdr>
      <w:divsChild>
        <w:div w:id="975448595">
          <w:marLeft w:val="0"/>
          <w:marRight w:val="0"/>
          <w:marTop w:val="0"/>
          <w:marBottom w:val="0"/>
          <w:divBdr>
            <w:top w:val="none" w:sz="0" w:space="0" w:color="auto"/>
            <w:left w:val="none" w:sz="0" w:space="0" w:color="auto"/>
            <w:bottom w:val="none" w:sz="0" w:space="0" w:color="auto"/>
            <w:right w:val="none" w:sz="0" w:space="0" w:color="auto"/>
          </w:divBdr>
        </w:div>
        <w:div w:id="1083451103">
          <w:marLeft w:val="0"/>
          <w:marRight w:val="0"/>
          <w:marTop w:val="0"/>
          <w:marBottom w:val="0"/>
          <w:divBdr>
            <w:top w:val="none" w:sz="0" w:space="0" w:color="auto"/>
            <w:left w:val="none" w:sz="0" w:space="0" w:color="auto"/>
            <w:bottom w:val="none" w:sz="0" w:space="0" w:color="auto"/>
            <w:right w:val="none" w:sz="0" w:space="0" w:color="auto"/>
          </w:divBdr>
        </w:div>
        <w:div w:id="1525095119">
          <w:marLeft w:val="0"/>
          <w:marRight w:val="0"/>
          <w:marTop w:val="0"/>
          <w:marBottom w:val="0"/>
          <w:divBdr>
            <w:top w:val="none" w:sz="0" w:space="0" w:color="auto"/>
            <w:left w:val="none" w:sz="0" w:space="0" w:color="auto"/>
            <w:bottom w:val="none" w:sz="0" w:space="0" w:color="auto"/>
            <w:right w:val="none" w:sz="0" w:space="0" w:color="auto"/>
          </w:divBdr>
        </w:div>
      </w:divsChild>
    </w:div>
    <w:div w:id="162163031">
      <w:bodyDiv w:val="1"/>
      <w:marLeft w:val="0"/>
      <w:marRight w:val="0"/>
      <w:marTop w:val="0"/>
      <w:marBottom w:val="0"/>
      <w:divBdr>
        <w:top w:val="none" w:sz="0" w:space="0" w:color="auto"/>
        <w:left w:val="none" w:sz="0" w:space="0" w:color="auto"/>
        <w:bottom w:val="none" w:sz="0" w:space="0" w:color="auto"/>
        <w:right w:val="none" w:sz="0" w:space="0" w:color="auto"/>
      </w:divBdr>
    </w:div>
    <w:div w:id="165481951">
      <w:bodyDiv w:val="1"/>
      <w:marLeft w:val="0"/>
      <w:marRight w:val="0"/>
      <w:marTop w:val="0"/>
      <w:marBottom w:val="0"/>
      <w:divBdr>
        <w:top w:val="none" w:sz="0" w:space="0" w:color="auto"/>
        <w:left w:val="none" w:sz="0" w:space="0" w:color="auto"/>
        <w:bottom w:val="none" w:sz="0" w:space="0" w:color="auto"/>
        <w:right w:val="none" w:sz="0" w:space="0" w:color="auto"/>
      </w:divBdr>
      <w:divsChild>
        <w:div w:id="1456869601">
          <w:marLeft w:val="0"/>
          <w:marRight w:val="0"/>
          <w:marTop w:val="0"/>
          <w:marBottom w:val="0"/>
          <w:divBdr>
            <w:top w:val="none" w:sz="0" w:space="0" w:color="auto"/>
            <w:left w:val="none" w:sz="0" w:space="0" w:color="auto"/>
            <w:bottom w:val="none" w:sz="0" w:space="0" w:color="auto"/>
            <w:right w:val="none" w:sz="0" w:space="0" w:color="auto"/>
          </w:divBdr>
          <w:divsChild>
            <w:div w:id="166712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52024">
      <w:bodyDiv w:val="1"/>
      <w:marLeft w:val="0"/>
      <w:marRight w:val="0"/>
      <w:marTop w:val="0"/>
      <w:marBottom w:val="0"/>
      <w:divBdr>
        <w:top w:val="none" w:sz="0" w:space="0" w:color="auto"/>
        <w:left w:val="none" w:sz="0" w:space="0" w:color="auto"/>
        <w:bottom w:val="none" w:sz="0" w:space="0" w:color="auto"/>
        <w:right w:val="none" w:sz="0" w:space="0" w:color="auto"/>
      </w:divBdr>
      <w:divsChild>
        <w:div w:id="2103136836">
          <w:marLeft w:val="0"/>
          <w:marRight w:val="0"/>
          <w:marTop w:val="0"/>
          <w:marBottom w:val="0"/>
          <w:divBdr>
            <w:top w:val="none" w:sz="0" w:space="0" w:color="auto"/>
            <w:left w:val="none" w:sz="0" w:space="0" w:color="auto"/>
            <w:bottom w:val="none" w:sz="0" w:space="0" w:color="auto"/>
            <w:right w:val="none" w:sz="0" w:space="0" w:color="auto"/>
          </w:divBdr>
          <w:divsChild>
            <w:div w:id="117692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47118">
      <w:bodyDiv w:val="1"/>
      <w:marLeft w:val="0"/>
      <w:marRight w:val="0"/>
      <w:marTop w:val="0"/>
      <w:marBottom w:val="0"/>
      <w:divBdr>
        <w:top w:val="none" w:sz="0" w:space="0" w:color="auto"/>
        <w:left w:val="none" w:sz="0" w:space="0" w:color="auto"/>
        <w:bottom w:val="none" w:sz="0" w:space="0" w:color="auto"/>
        <w:right w:val="none" w:sz="0" w:space="0" w:color="auto"/>
      </w:divBdr>
      <w:divsChild>
        <w:div w:id="219905857">
          <w:marLeft w:val="0"/>
          <w:marRight w:val="0"/>
          <w:marTop w:val="0"/>
          <w:marBottom w:val="0"/>
          <w:divBdr>
            <w:top w:val="none" w:sz="0" w:space="0" w:color="auto"/>
            <w:left w:val="none" w:sz="0" w:space="0" w:color="auto"/>
            <w:bottom w:val="none" w:sz="0" w:space="0" w:color="auto"/>
            <w:right w:val="none" w:sz="0" w:space="0" w:color="auto"/>
          </w:divBdr>
          <w:divsChild>
            <w:div w:id="92746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415776">
      <w:bodyDiv w:val="1"/>
      <w:marLeft w:val="0"/>
      <w:marRight w:val="0"/>
      <w:marTop w:val="0"/>
      <w:marBottom w:val="0"/>
      <w:divBdr>
        <w:top w:val="none" w:sz="0" w:space="0" w:color="auto"/>
        <w:left w:val="none" w:sz="0" w:space="0" w:color="auto"/>
        <w:bottom w:val="none" w:sz="0" w:space="0" w:color="auto"/>
        <w:right w:val="none" w:sz="0" w:space="0" w:color="auto"/>
      </w:divBdr>
      <w:divsChild>
        <w:div w:id="1928269390">
          <w:marLeft w:val="0"/>
          <w:marRight w:val="0"/>
          <w:marTop w:val="0"/>
          <w:marBottom w:val="0"/>
          <w:divBdr>
            <w:top w:val="none" w:sz="0" w:space="0" w:color="auto"/>
            <w:left w:val="none" w:sz="0" w:space="0" w:color="auto"/>
            <w:bottom w:val="none" w:sz="0" w:space="0" w:color="auto"/>
            <w:right w:val="none" w:sz="0" w:space="0" w:color="auto"/>
          </w:divBdr>
        </w:div>
        <w:div w:id="1269312761">
          <w:marLeft w:val="0"/>
          <w:marRight w:val="0"/>
          <w:marTop w:val="0"/>
          <w:marBottom w:val="0"/>
          <w:divBdr>
            <w:top w:val="none" w:sz="0" w:space="0" w:color="auto"/>
            <w:left w:val="none" w:sz="0" w:space="0" w:color="auto"/>
            <w:bottom w:val="none" w:sz="0" w:space="0" w:color="auto"/>
            <w:right w:val="none" w:sz="0" w:space="0" w:color="auto"/>
          </w:divBdr>
        </w:div>
        <w:div w:id="1492058169">
          <w:marLeft w:val="0"/>
          <w:marRight w:val="0"/>
          <w:marTop w:val="0"/>
          <w:marBottom w:val="0"/>
          <w:divBdr>
            <w:top w:val="none" w:sz="0" w:space="0" w:color="auto"/>
            <w:left w:val="none" w:sz="0" w:space="0" w:color="auto"/>
            <w:bottom w:val="none" w:sz="0" w:space="0" w:color="auto"/>
            <w:right w:val="none" w:sz="0" w:space="0" w:color="auto"/>
          </w:divBdr>
        </w:div>
        <w:div w:id="489295619">
          <w:marLeft w:val="0"/>
          <w:marRight w:val="0"/>
          <w:marTop w:val="0"/>
          <w:marBottom w:val="0"/>
          <w:divBdr>
            <w:top w:val="none" w:sz="0" w:space="0" w:color="auto"/>
            <w:left w:val="none" w:sz="0" w:space="0" w:color="auto"/>
            <w:bottom w:val="none" w:sz="0" w:space="0" w:color="auto"/>
            <w:right w:val="none" w:sz="0" w:space="0" w:color="auto"/>
          </w:divBdr>
        </w:div>
        <w:div w:id="2086880053">
          <w:marLeft w:val="0"/>
          <w:marRight w:val="0"/>
          <w:marTop w:val="0"/>
          <w:marBottom w:val="0"/>
          <w:divBdr>
            <w:top w:val="none" w:sz="0" w:space="0" w:color="auto"/>
            <w:left w:val="none" w:sz="0" w:space="0" w:color="auto"/>
            <w:bottom w:val="none" w:sz="0" w:space="0" w:color="auto"/>
            <w:right w:val="none" w:sz="0" w:space="0" w:color="auto"/>
          </w:divBdr>
        </w:div>
        <w:div w:id="1821194246">
          <w:marLeft w:val="0"/>
          <w:marRight w:val="0"/>
          <w:marTop w:val="0"/>
          <w:marBottom w:val="0"/>
          <w:divBdr>
            <w:top w:val="none" w:sz="0" w:space="0" w:color="auto"/>
            <w:left w:val="none" w:sz="0" w:space="0" w:color="auto"/>
            <w:bottom w:val="none" w:sz="0" w:space="0" w:color="auto"/>
            <w:right w:val="none" w:sz="0" w:space="0" w:color="auto"/>
          </w:divBdr>
        </w:div>
        <w:div w:id="1698893350">
          <w:marLeft w:val="0"/>
          <w:marRight w:val="0"/>
          <w:marTop w:val="0"/>
          <w:marBottom w:val="0"/>
          <w:divBdr>
            <w:top w:val="none" w:sz="0" w:space="0" w:color="auto"/>
            <w:left w:val="none" w:sz="0" w:space="0" w:color="auto"/>
            <w:bottom w:val="none" w:sz="0" w:space="0" w:color="auto"/>
            <w:right w:val="none" w:sz="0" w:space="0" w:color="auto"/>
          </w:divBdr>
        </w:div>
        <w:div w:id="1361659624">
          <w:marLeft w:val="0"/>
          <w:marRight w:val="0"/>
          <w:marTop w:val="0"/>
          <w:marBottom w:val="0"/>
          <w:divBdr>
            <w:top w:val="none" w:sz="0" w:space="0" w:color="auto"/>
            <w:left w:val="none" w:sz="0" w:space="0" w:color="auto"/>
            <w:bottom w:val="none" w:sz="0" w:space="0" w:color="auto"/>
            <w:right w:val="none" w:sz="0" w:space="0" w:color="auto"/>
          </w:divBdr>
        </w:div>
        <w:div w:id="1589338976">
          <w:marLeft w:val="0"/>
          <w:marRight w:val="0"/>
          <w:marTop w:val="0"/>
          <w:marBottom w:val="0"/>
          <w:divBdr>
            <w:top w:val="none" w:sz="0" w:space="0" w:color="auto"/>
            <w:left w:val="none" w:sz="0" w:space="0" w:color="auto"/>
            <w:bottom w:val="none" w:sz="0" w:space="0" w:color="auto"/>
            <w:right w:val="none" w:sz="0" w:space="0" w:color="auto"/>
          </w:divBdr>
        </w:div>
      </w:divsChild>
    </w:div>
    <w:div w:id="314841731">
      <w:bodyDiv w:val="1"/>
      <w:marLeft w:val="0"/>
      <w:marRight w:val="0"/>
      <w:marTop w:val="0"/>
      <w:marBottom w:val="0"/>
      <w:divBdr>
        <w:top w:val="none" w:sz="0" w:space="0" w:color="auto"/>
        <w:left w:val="none" w:sz="0" w:space="0" w:color="auto"/>
        <w:bottom w:val="none" w:sz="0" w:space="0" w:color="auto"/>
        <w:right w:val="none" w:sz="0" w:space="0" w:color="auto"/>
      </w:divBdr>
    </w:div>
    <w:div w:id="324209601">
      <w:bodyDiv w:val="1"/>
      <w:marLeft w:val="0"/>
      <w:marRight w:val="0"/>
      <w:marTop w:val="0"/>
      <w:marBottom w:val="0"/>
      <w:divBdr>
        <w:top w:val="none" w:sz="0" w:space="0" w:color="auto"/>
        <w:left w:val="none" w:sz="0" w:space="0" w:color="auto"/>
        <w:bottom w:val="none" w:sz="0" w:space="0" w:color="auto"/>
        <w:right w:val="none" w:sz="0" w:space="0" w:color="auto"/>
      </w:divBdr>
      <w:divsChild>
        <w:div w:id="814417234">
          <w:marLeft w:val="0"/>
          <w:marRight w:val="0"/>
          <w:marTop w:val="0"/>
          <w:marBottom w:val="0"/>
          <w:divBdr>
            <w:top w:val="none" w:sz="0" w:space="0" w:color="auto"/>
            <w:left w:val="none" w:sz="0" w:space="0" w:color="auto"/>
            <w:bottom w:val="none" w:sz="0" w:space="0" w:color="auto"/>
            <w:right w:val="none" w:sz="0" w:space="0" w:color="auto"/>
          </w:divBdr>
        </w:div>
      </w:divsChild>
    </w:div>
    <w:div w:id="458303420">
      <w:bodyDiv w:val="1"/>
      <w:marLeft w:val="0"/>
      <w:marRight w:val="0"/>
      <w:marTop w:val="0"/>
      <w:marBottom w:val="0"/>
      <w:divBdr>
        <w:top w:val="none" w:sz="0" w:space="0" w:color="auto"/>
        <w:left w:val="none" w:sz="0" w:space="0" w:color="auto"/>
        <w:bottom w:val="none" w:sz="0" w:space="0" w:color="auto"/>
        <w:right w:val="none" w:sz="0" w:space="0" w:color="auto"/>
      </w:divBdr>
      <w:divsChild>
        <w:div w:id="1965039666">
          <w:marLeft w:val="0"/>
          <w:marRight w:val="0"/>
          <w:marTop w:val="0"/>
          <w:marBottom w:val="0"/>
          <w:divBdr>
            <w:top w:val="none" w:sz="0" w:space="0" w:color="auto"/>
            <w:left w:val="none" w:sz="0" w:space="0" w:color="auto"/>
            <w:bottom w:val="none" w:sz="0" w:space="0" w:color="auto"/>
            <w:right w:val="none" w:sz="0" w:space="0" w:color="auto"/>
          </w:divBdr>
        </w:div>
        <w:div w:id="627273379">
          <w:marLeft w:val="0"/>
          <w:marRight w:val="0"/>
          <w:marTop w:val="0"/>
          <w:marBottom w:val="0"/>
          <w:divBdr>
            <w:top w:val="none" w:sz="0" w:space="0" w:color="auto"/>
            <w:left w:val="none" w:sz="0" w:space="0" w:color="auto"/>
            <w:bottom w:val="none" w:sz="0" w:space="0" w:color="auto"/>
            <w:right w:val="none" w:sz="0" w:space="0" w:color="auto"/>
          </w:divBdr>
        </w:div>
        <w:div w:id="2084372598">
          <w:marLeft w:val="0"/>
          <w:marRight w:val="0"/>
          <w:marTop w:val="0"/>
          <w:marBottom w:val="0"/>
          <w:divBdr>
            <w:top w:val="none" w:sz="0" w:space="0" w:color="auto"/>
            <w:left w:val="none" w:sz="0" w:space="0" w:color="auto"/>
            <w:bottom w:val="none" w:sz="0" w:space="0" w:color="auto"/>
            <w:right w:val="none" w:sz="0" w:space="0" w:color="auto"/>
          </w:divBdr>
        </w:div>
        <w:div w:id="924145213">
          <w:marLeft w:val="0"/>
          <w:marRight w:val="0"/>
          <w:marTop w:val="0"/>
          <w:marBottom w:val="0"/>
          <w:divBdr>
            <w:top w:val="none" w:sz="0" w:space="0" w:color="auto"/>
            <w:left w:val="none" w:sz="0" w:space="0" w:color="auto"/>
            <w:bottom w:val="none" w:sz="0" w:space="0" w:color="auto"/>
            <w:right w:val="none" w:sz="0" w:space="0" w:color="auto"/>
          </w:divBdr>
        </w:div>
        <w:div w:id="382678230">
          <w:marLeft w:val="0"/>
          <w:marRight w:val="0"/>
          <w:marTop w:val="0"/>
          <w:marBottom w:val="0"/>
          <w:divBdr>
            <w:top w:val="none" w:sz="0" w:space="0" w:color="auto"/>
            <w:left w:val="none" w:sz="0" w:space="0" w:color="auto"/>
            <w:bottom w:val="none" w:sz="0" w:space="0" w:color="auto"/>
            <w:right w:val="none" w:sz="0" w:space="0" w:color="auto"/>
          </w:divBdr>
        </w:div>
      </w:divsChild>
    </w:div>
    <w:div w:id="524564687">
      <w:bodyDiv w:val="1"/>
      <w:marLeft w:val="0"/>
      <w:marRight w:val="0"/>
      <w:marTop w:val="0"/>
      <w:marBottom w:val="0"/>
      <w:divBdr>
        <w:top w:val="none" w:sz="0" w:space="0" w:color="auto"/>
        <w:left w:val="none" w:sz="0" w:space="0" w:color="auto"/>
        <w:bottom w:val="none" w:sz="0" w:space="0" w:color="auto"/>
        <w:right w:val="none" w:sz="0" w:space="0" w:color="auto"/>
      </w:divBdr>
    </w:div>
    <w:div w:id="635914164">
      <w:bodyDiv w:val="1"/>
      <w:marLeft w:val="0"/>
      <w:marRight w:val="0"/>
      <w:marTop w:val="0"/>
      <w:marBottom w:val="0"/>
      <w:divBdr>
        <w:top w:val="none" w:sz="0" w:space="0" w:color="auto"/>
        <w:left w:val="none" w:sz="0" w:space="0" w:color="auto"/>
        <w:bottom w:val="none" w:sz="0" w:space="0" w:color="auto"/>
        <w:right w:val="none" w:sz="0" w:space="0" w:color="auto"/>
      </w:divBdr>
    </w:div>
    <w:div w:id="672222250">
      <w:bodyDiv w:val="1"/>
      <w:marLeft w:val="0"/>
      <w:marRight w:val="0"/>
      <w:marTop w:val="0"/>
      <w:marBottom w:val="0"/>
      <w:divBdr>
        <w:top w:val="none" w:sz="0" w:space="0" w:color="auto"/>
        <w:left w:val="none" w:sz="0" w:space="0" w:color="auto"/>
        <w:bottom w:val="none" w:sz="0" w:space="0" w:color="auto"/>
        <w:right w:val="none" w:sz="0" w:space="0" w:color="auto"/>
      </w:divBdr>
    </w:div>
    <w:div w:id="731738735">
      <w:bodyDiv w:val="1"/>
      <w:marLeft w:val="0"/>
      <w:marRight w:val="0"/>
      <w:marTop w:val="0"/>
      <w:marBottom w:val="0"/>
      <w:divBdr>
        <w:top w:val="none" w:sz="0" w:space="0" w:color="auto"/>
        <w:left w:val="none" w:sz="0" w:space="0" w:color="auto"/>
        <w:bottom w:val="none" w:sz="0" w:space="0" w:color="auto"/>
        <w:right w:val="none" w:sz="0" w:space="0" w:color="auto"/>
      </w:divBdr>
      <w:divsChild>
        <w:div w:id="737091334">
          <w:marLeft w:val="0"/>
          <w:marRight w:val="0"/>
          <w:marTop w:val="0"/>
          <w:marBottom w:val="0"/>
          <w:divBdr>
            <w:top w:val="none" w:sz="0" w:space="0" w:color="auto"/>
            <w:left w:val="none" w:sz="0" w:space="0" w:color="auto"/>
            <w:bottom w:val="none" w:sz="0" w:space="0" w:color="auto"/>
            <w:right w:val="none" w:sz="0" w:space="0" w:color="auto"/>
          </w:divBdr>
        </w:div>
      </w:divsChild>
    </w:div>
    <w:div w:id="787091554">
      <w:bodyDiv w:val="1"/>
      <w:marLeft w:val="0"/>
      <w:marRight w:val="0"/>
      <w:marTop w:val="0"/>
      <w:marBottom w:val="0"/>
      <w:divBdr>
        <w:top w:val="none" w:sz="0" w:space="0" w:color="auto"/>
        <w:left w:val="none" w:sz="0" w:space="0" w:color="auto"/>
        <w:bottom w:val="none" w:sz="0" w:space="0" w:color="auto"/>
        <w:right w:val="none" w:sz="0" w:space="0" w:color="auto"/>
      </w:divBdr>
      <w:divsChild>
        <w:div w:id="315886564">
          <w:marLeft w:val="0"/>
          <w:marRight w:val="0"/>
          <w:marTop w:val="0"/>
          <w:marBottom w:val="0"/>
          <w:divBdr>
            <w:top w:val="none" w:sz="0" w:space="0" w:color="auto"/>
            <w:left w:val="none" w:sz="0" w:space="0" w:color="auto"/>
            <w:bottom w:val="none" w:sz="0" w:space="0" w:color="auto"/>
            <w:right w:val="none" w:sz="0" w:space="0" w:color="auto"/>
          </w:divBdr>
          <w:divsChild>
            <w:div w:id="647245660">
              <w:marLeft w:val="0"/>
              <w:marRight w:val="0"/>
              <w:marTop w:val="0"/>
              <w:marBottom w:val="0"/>
              <w:divBdr>
                <w:top w:val="none" w:sz="0" w:space="0" w:color="auto"/>
                <w:left w:val="none" w:sz="0" w:space="0" w:color="auto"/>
                <w:bottom w:val="none" w:sz="0" w:space="0" w:color="auto"/>
                <w:right w:val="none" w:sz="0" w:space="0" w:color="auto"/>
              </w:divBdr>
            </w:div>
            <w:div w:id="7277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65168">
      <w:bodyDiv w:val="1"/>
      <w:marLeft w:val="0"/>
      <w:marRight w:val="0"/>
      <w:marTop w:val="0"/>
      <w:marBottom w:val="0"/>
      <w:divBdr>
        <w:top w:val="none" w:sz="0" w:space="0" w:color="auto"/>
        <w:left w:val="none" w:sz="0" w:space="0" w:color="auto"/>
        <w:bottom w:val="none" w:sz="0" w:space="0" w:color="auto"/>
        <w:right w:val="none" w:sz="0" w:space="0" w:color="auto"/>
      </w:divBdr>
      <w:divsChild>
        <w:div w:id="381372269">
          <w:marLeft w:val="0"/>
          <w:marRight w:val="0"/>
          <w:marTop w:val="0"/>
          <w:marBottom w:val="0"/>
          <w:divBdr>
            <w:top w:val="none" w:sz="0" w:space="0" w:color="auto"/>
            <w:left w:val="none" w:sz="0" w:space="0" w:color="auto"/>
            <w:bottom w:val="none" w:sz="0" w:space="0" w:color="auto"/>
            <w:right w:val="none" w:sz="0" w:space="0" w:color="auto"/>
          </w:divBdr>
          <w:divsChild>
            <w:div w:id="2798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0923">
      <w:bodyDiv w:val="1"/>
      <w:marLeft w:val="0"/>
      <w:marRight w:val="0"/>
      <w:marTop w:val="0"/>
      <w:marBottom w:val="0"/>
      <w:divBdr>
        <w:top w:val="none" w:sz="0" w:space="0" w:color="auto"/>
        <w:left w:val="none" w:sz="0" w:space="0" w:color="auto"/>
        <w:bottom w:val="none" w:sz="0" w:space="0" w:color="auto"/>
        <w:right w:val="none" w:sz="0" w:space="0" w:color="auto"/>
      </w:divBdr>
      <w:divsChild>
        <w:div w:id="943463020">
          <w:marLeft w:val="0"/>
          <w:marRight w:val="0"/>
          <w:marTop w:val="0"/>
          <w:marBottom w:val="0"/>
          <w:divBdr>
            <w:top w:val="none" w:sz="0" w:space="0" w:color="auto"/>
            <w:left w:val="none" w:sz="0" w:space="0" w:color="auto"/>
            <w:bottom w:val="none" w:sz="0" w:space="0" w:color="auto"/>
            <w:right w:val="none" w:sz="0" w:space="0" w:color="auto"/>
          </w:divBdr>
          <w:divsChild>
            <w:div w:id="1457021038">
              <w:marLeft w:val="0"/>
              <w:marRight w:val="0"/>
              <w:marTop w:val="0"/>
              <w:marBottom w:val="0"/>
              <w:divBdr>
                <w:top w:val="none" w:sz="0" w:space="0" w:color="auto"/>
                <w:left w:val="none" w:sz="0" w:space="0" w:color="auto"/>
                <w:bottom w:val="none" w:sz="0" w:space="0" w:color="auto"/>
                <w:right w:val="none" w:sz="0" w:space="0" w:color="auto"/>
              </w:divBdr>
            </w:div>
            <w:div w:id="191262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89345450">
      <w:bodyDiv w:val="1"/>
      <w:marLeft w:val="0"/>
      <w:marRight w:val="0"/>
      <w:marTop w:val="0"/>
      <w:marBottom w:val="0"/>
      <w:divBdr>
        <w:top w:val="none" w:sz="0" w:space="0" w:color="auto"/>
        <w:left w:val="none" w:sz="0" w:space="0" w:color="auto"/>
        <w:bottom w:val="none" w:sz="0" w:space="0" w:color="auto"/>
        <w:right w:val="none" w:sz="0" w:space="0" w:color="auto"/>
      </w:divBdr>
      <w:divsChild>
        <w:div w:id="450125036">
          <w:marLeft w:val="0"/>
          <w:marRight w:val="0"/>
          <w:marTop w:val="0"/>
          <w:marBottom w:val="0"/>
          <w:divBdr>
            <w:top w:val="none" w:sz="0" w:space="0" w:color="auto"/>
            <w:left w:val="none" w:sz="0" w:space="0" w:color="auto"/>
            <w:bottom w:val="none" w:sz="0" w:space="0" w:color="auto"/>
            <w:right w:val="none" w:sz="0" w:space="0" w:color="auto"/>
          </w:divBdr>
        </w:div>
        <w:div w:id="1914118537">
          <w:marLeft w:val="0"/>
          <w:marRight w:val="0"/>
          <w:marTop w:val="0"/>
          <w:marBottom w:val="0"/>
          <w:divBdr>
            <w:top w:val="none" w:sz="0" w:space="0" w:color="auto"/>
            <w:left w:val="none" w:sz="0" w:space="0" w:color="auto"/>
            <w:bottom w:val="none" w:sz="0" w:space="0" w:color="auto"/>
            <w:right w:val="none" w:sz="0" w:space="0" w:color="auto"/>
          </w:divBdr>
        </w:div>
        <w:div w:id="358433487">
          <w:marLeft w:val="0"/>
          <w:marRight w:val="0"/>
          <w:marTop w:val="0"/>
          <w:marBottom w:val="0"/>
          <w:divBdr>
            <w:top w:val="none" w:sz="0" w:space="0" w:color="auto"/>
            <w:left w:val="none" w:sz="0" w:space="0" w:color="auto"/>
            <w:bottom w:val="none" w:sz="0" w:space="0" w:color="auto"/>
            <w:right w:val="none" w:sz="0" w:space="0" w:color="auto"/>
          </w:divBdr>
        </w:div>
        <w:div w:id="162865784">
          <w:marLeft w:val="0"/>
          <w:marRight w:val="0"/>
          <w:marTop w:val="0"/>
          <w:marBottom w:val="0"/>
          <w:divBdr>
            <w:top w:val="none" w:sz="0" w:space="0" w:color="auto"/>
            <w:left w:val="none" w:sz="0" w:space="0" w:color="auto"/>
            <w:bottom w:val="none" w:sz="0" w:space="0" w:color="auto"/>
            <w:right w:val="none" w:sz="0" w:space="0" w:color="auto"/>
          </w:divBdr>
        </w:div>
        <w:div w:id="1821264963">
          <w:marLeft w:val="0"/>
          <w:marRight w:val="0"/>
          <w:marTop w:val="0"/>
          <w:marBottom w:val="0"/>
          <w:divBdr>
            <w:top w:val="none" w:sz="0" w:space="0" w:color="auto"/>
            <w:left w:val="none" w:sz="0" w:space="0" w:color="auto"/>
            <w:bottom w:val="none" w:sz="0" w:space="0" w:color="auto"/>
            <w:right w:val="none" w:sz="0" w:space="0" w:color="auto"/>
          </w:divBdr>
        </w:div>
      </w:divsChild>
    </w:div>
    <w:div w:id="1068770930">
      <w:bodyDiv w:val="1"/>
      <w:marLeft w:val="0"/>
      <w:marRight w:val="0"/>
      <w:marTop w:val="0"/>
      <w:marBottom w:val="0"/>
      <w:divBdr>
        <w:top w:val="none" w:sz="0" w:space="0" w:color="auto"/>
        <w:left w:val="none" w:sz="0" w:space="0" w:color="auto"/>
        <w:bottom w:val="none" w:sz="0" w:space="0" w:color="auto"/>
        <w:right w:val="none" w:sz="0" w:space="0" w:color="auto"/>
      </w:divBdr>
      <w:divsChild>
        <w:div w:id="2028099538">
          <w:marLeft w:val="0"/>
          <w:marRight w:val="0"/>
          <w:marTop w:val="0"/>
          <w:marBottom w:val="0"/>
          <w:divBdr>
            <w:top w:val="none" w:sz="0" w:space="0" w:color="auto"/>
            <w:left w:val="none" w:sz="0" w:space="0" w:color="auto"/>
            <w:bottom w:val="none" w:sz="0" w:space="0" w:color="auto"/>
            <w:right w:val="none" w:sz="0" w:space="0" w:color="auto"/>
          </w:divBdr>
          <w:divsChild>
            <w:div w:id="133511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8330">
      <w:bodyDiv w:val="1"/>
      <w:marLeft w:val="0"/>
      <w:marRight w:val="0"/>
      <w:marTop w:val="0"/>
      <w:marBottom w:val="0"/>
      <w:divBdr>
        <w:top w:val="none" w:sz="0" w:space="0" w:color="auto"/>
        <w:left w:val="none" w:sz="0" w:space="0" w:color="auto"/>
        <w:bottom w:val="none" w:sz="0" w:space="0" w:color="auto"/>
        <w:right w:val="none" w:sz="0" w:space="0" w:color="auto"/>
      </w:divBdr>
    </w:div>
    <w:div w:id="1103375354">
      <w:bodyDiv w:val="1"/>
      <w:marLeft w:val="0"/>
      <w:marRight w:val="0"/>
      <w:marTop w:val="0"/>
      <w:marBottom w:val="0"/>
      <w:divBdr>
        <w:top w:val="none" w:sz="0" w:space="0" w:color="auto"/>
        <w:left w:val="none" w:sz="0" w:space="0" w:color="auto"/>
        <w:bottom w:val="none" w:sz="0" w:space="0" w:color="auto"/>
        <w:right w:val="none" w:sz="0" w:space="0" w:color="auto"/>
      </w:divBdr>
    </w:div>
    <w:div w:id="1182933185">
      <w:bodyDiv w:val="1"/>
      <w:marLeft w:val="0"/>
      <w:marRight w:val="0"/>
      <w:marTop w:val="0"/>
      <w:marBottom w:val="0"/>
      <w:divBdr>
        <w:top w:val="none" w:sz="0" w:space="0" w:color="auto"/>
        <w:left w:val="none" w:sz="0" w:space="0" w:color="auto"/>
        <w:bottom w:val="none" w:sz="0" w:space="0" w:color="auto"/>
        <w:right w:val="none" w:sz="0" w:space="0" w:color="auto"/>
      </w:divBdr>
    </w:div>
    <w:div w:id="1198809565">
      <w:bodyDiv w:val="1"/>
      <w:marLeft w:val="0"/>
      <w:marRight w:val="0"/>
      <w:marTop w:val="0"/>
      <w:marBottom w:val="0"/>
      <w:divBdr>
        <w:top w:val="none" w:sz="0" w:space="0" w:color="auto"/>
        <w:left w:val="none" w:sz="0" w:space="0" w:color="auto"/>
        <w:bottom w:val="none" w:sz="0" w:space="0" w:color="auto"/>
        <w:right w:val="none" w:sz="0" w:space="0" w:color="auto"/>
      </w:divBdr>
      <w:divsChild>
        <w:div w:id="571088830">
          <w:marLeft w:val="0"/>
          <w:marRight w:val="0"/>
          <w:marTop w:val="0"/>
          <w:marBottom w:val="0"/>
          <w:divBdr>
            <w:top w:val="none" w:sz="0" w:space="0" w:color="auto"/>
            <w:left w:val="none" w:sz="0" w:space="0" w:color="auto"/>
            <w:bottom w:val="none" w:sz="0" w:space="0" w:color="auto"/>
            <w:right w:val="none" w:sz="0" w:space="0" w:color="auto"/>
          </w:divBdr>
          <w:divsChild>
            <w:div w:id="772281036">
              <w:marLeft w:val="0"/>
              <w:marRight w:val="0"/>
              <w:marTop w:val="0"/>
              <w:marBottom w:val="0"/>
              <w:divBdr>
                <w:top w:val="none" w:sz="0" w:space="0" w:color="auto"/>
                <w:left w:val="none" w:sz="0" w:space="0" w:color="auto"/>
                <w:bottom w:val="none" w:sz="0" w:space="0" w:color="auto"/>
                <w:right w:val="none" w:sz="0" w:space="0" w:color="auto"/>
              </w:divBdr>
            </w:div>
            <w:div w:id="712311410">
              <w:marLeft w:val="0"/>
              <w:marRight w:val="0"/>
              <w:marTop w:val="0"/>
              <w:marBottom w:val="0"/>
              <w:divBdr>
                <w:top w:val="none" w:sz="0" w:space="0" w:color="auto"/>
                <w:left w:val="none" w:sz="0" w:space="0" w:color="auto"/>
                <w:bottom w:val="none" w:sz="0" w:space="0" w:color="auto"/>
                <w:right w:val="none" w:sz="0" w:space="0" w:color="auto"/>
              </w:divBdr>
            </w:div>
            <w:div w:id="178600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00701">
      <w:bodyDiv w:val="1"/>
      <w:marLeft w:val="0"/>
      <w:marRight w:val="0"/>
      <w:marTop w:val="0"/>
      <w:marBottom w:val="0"/>
      <w:divBdr>
        <w:top w:val="none" w:sz="0" w:space="0" w:color="auto"/>
        <w:left w:val="none" w:sz="0" w:space="0" w:color="auto"/>
        <w:bottom w:val="none" w:sz="0" w:space="0" w:color="auto"/>
        <w:right w:val="none" w:sz="0" w:space="0" w:color="auto"/>
      </w:divBdr>
      <w:divsChild>
        <w:div w:id="1048454679">
          <w:marLeft w:val="0"/>
          <w:marRight w:val="0"/>
          <w:marTop w:val="0"/>
          <w:marBottom w:val="0"/>
          <w:divBdr>
            <w:top w:val="none" w:sz="0" w:space="0" w:color="auto"/>
            <w:left w:val="none" w:sz="0" w:space="0" w:color="auto"/>
            <w:bottom w:val="none" w:sz="0" w:space="0" w:color="auto"/>
            <w:right w:val="none" w:sz="0" w:space="0" w:color="auto"/>
          </w:divBdr>
          <w:divsChild>
            <w:div w:id="1606771247">
              <w:marLeft w:val="0"/>
              <w:marRight w:val="0"/>
              <w:marTop w:val="100"/>
              <w:marBottom w:val="100"/>
              <w:divBdr>
                <w:top w:val="single" w:sz="6" w:space="0" w:color="B0B0B0"/>
                <w:left w:val="single" w:sz="6" w:space="0" w:color="B0B0B0"/>
                <w:bottom w:val="single" w:sz="6" w:space="0" w:color="B0B0B0"/>
                <w:right w:val="single" w:sz="6" w:space="0" w:color="B0B0B0"/>
              </w:divBdr>
              <w:divsChild>
                <w:div w:id="1059673854">
                  <w:marLeft w:val="0"/>
                  <w:marRight w:val="0"/>
                  <w:marTop w:val="0"/>
                  <w:marBottom w:val="0"/>
                  <w:divBdr>
                    <w:top w:val="none" w:sz="0" w:space="0" w:color="auto"/>
                    <w:left w:val="none" w:sz="0" w:space="0" w:color="auto"/>
                    <w:bottom w:val="none" w:sz="0" w:space="0" w:color="auto"/>
                    <w:right w:val="none" w:sz="0" w:space="0" w:color="auto"/>
                  </w:divBdr>
                  <w:divsChild>
                    <w:div w:id="1139306702">
                      <w:marLeft w:val="0"/>
                      <w:marRight w:val="0"/>
                      <w:marTop w:val="0"/>
                      <w:marBottom w:val="0"/>
                      <w:divBdr>
                        <w:top w:val="none" w:sz="0" w:space="0" w:color="auto"/>
                        <w:left w:val="none" w:sz="0" w:space="0" w:color="auto"/>
                        <w:bottom w:val="none" w:sz="0" w:space="0" w:color="auto"/>
                        <w:right w:val="none" w:sz="0" w:space="0" w:color="auto"/>
                      </w:divBdr>
                      <w:divsChild>
                        <w:div w:id="331371071">
                          <w:marLeft w:val="0"/>
                          <w:marRight w:val="0"/>
                          <w:marTop w:val="0"/>
                          <w:marBottom w:val="0"/>
                          <w:divBdr>
                            <w:top w:val="none" w:sz="0" w:space="0" w:color="auto"/>
                            <w:left w:val="none" w:sz="0" w:space="0" w:color="auto"/>
                            <w:bottom w:val="none" w:sz="0" w:space="0" w:color="auto"/>
                            <w:right w:val="none" w:sz="0" w:space="0" w:color="auto"/>
                          </w:divBdr>
                        </w:div>
                        <w:div w:id="1503743812">
                          <w:marLeft w:val="0"/>
                          <w:marRight w:val="0"/>
                          <w:marTop w:val="0"/>
                          <w:marBottom w:val="0"/>
                          <w:divBdr>
                            <w:top w:val="none" w:sz="0" w:space="0" w:color="auto"/>
                            <w:left w:val="none" w:sz="0" w:space="0" w:color="auto"/>
                            <w:bottom w:val="none" w:sz="0" w:space="0" w:color="auto"/>
                            <w:right w:val="none" w:sz="0" w:space="0" w:color="auto"/>
                          </w:divBdr>
                        </w:div>
                        <w:div w:id="20301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944786">
      <w:bodyDiv w:val="1"/>
      <w:marLeft w:val="0"/>
      <w:marRight w:val="0"/>
      <w:marTop w:val="0"/>
      <w:marBottom w:val="0"/>
      <w:divBdr>
        <w:top w:val="none" w:sz="0" w:space="0" w:color="auto"/>
        <w:left w:val="none" w:sz="0" w:space="0" w:color="auto"/>
        <w:bottom w:val="none" w:sz="0" w:space="0" w:color="auto"/>
        <w:right w:val="none" w:sz="0" w:space="0" w:color="auto"/>
      </w:divBdr>
      <w:divsChild>
        <w:div w:id="2025356832">
          <w:marLeft w:val="0"/>
          <w:marRight w:val="0"/>
          <w:marTop w:val="0"/>
          <w:marBottom w:val="0"/>
          <w:divBdr>
            <w:top w:val="none" w:sz="0" w:space="0" w:color="auto"/>
            <w:left w:val="none" w:sz="0" w:space="0" w:color="auto"/>
            <w:bottom w:val="none" w:sz="0" w:space="0" w:color="auto"/>
            <w:right w:val="none" w:sz="0" w:space="0" w:color="auto"/>
          </w:divBdr>
        </w:div>
        <w:div w:id="745493282">
          <w:marLeft w:val="0"/>
          <w:marRight w:val="0"/>
          <w:marTop w:val="0"/>
          <w:marBottom w:val="0"/>
          <w:divBdr>
            <w:top w:val="none" w:sz="0" w:space="0" w:color="auto"/>
            <w:left w:val="none" w:sz="0" w:space="0" w:color="auto"/>
            <w:bottom w:val="none" w:sz="0" w:space="0" w:color="auto"/>
            <w:right w:val="none" w:sz="0" w:space="0" w:color="auto"/>
          </w:divBdr>
        </w:div>
      </w:divsChild>
    </w:div>
    <w:div w:id="1461532280">
      <w:bodyDiv w:val="1"/>
      <w:marLeft w:val="0"/>
      <w:marRight w:val="0"/>
      <w:marTop w:val="0"/>
      <w:marBottom w:val="0"/>
      <w:divBdr>
        <w:top w:val="none" w:sz="0" w:space="0" w:color="auto"/>
        <w:left w:val="none" w:sz="0" w:space="0" w:color="auto"/>
        <w:bottom w:val="none" w:sz="0" w:space="0" w:color="auto"/>
        <w:right w:val="none" w:sz="0" w:space="0" w:color="auto"/>
      </w:divBdr>
      <w:divsChild>
        <w:div w:id="921990044">
          <w:marLeft w:val="0"/>
          <w:marRight w:val="0"/>
          <w:marTop w:val="0"/>
          <w:marBottom w:val="0"/>
          <w:divBdr>
            <w:top w:val="none" w:sz="0" w:space="0" w:color="auto"/>
            <w:left w:val="none" w:sz="0" w:space="0" w:color="auto"/>
            <w:bottom w:val="none" w:sz="0" w:space="0" w:color="auto"/>
            <w:right w:val="none" w:sz="0" w:space="0" w:color="auto"/>
          </w:divBdr>
          <w:divsChild>
            <w:div w:id="1092362238">
              <w:marLeft w:val="0"/>
              <w:marRight w:val="0"/>
              <w:marTop w:val="0"/>
              <w:marBottom w:val="0"/>
              <w:divBdr>
                <w:top w:val="none" w:sz="0" w:space="0" w:color="auto"/>
                <w:left w:val="none" w:sz="0" w:space="0" w:color="auto"/>
                <w:bottom w:val="none" w:sz="0" w:space="0" w:color="auto"/>
                <w:right w:val="none" w:sz="0" w:space="0" w:color="auto"/>
              </w:divBdr>
            </w:div>
            <w:div w:id="1717659594">
              <w:marLeft w:val="0"/>
              <w:marRight w:val="0"/>
              <w:marTop w:val="0"/>
              <w:marBottom w:val="0"/>
              <w:divBdr>
                <w:top w:val="none" w:sz="0" w:space="0" w:color="auto"/>
                <w:left w:val="none" w:sz="0" w:space="0" w:color="auto"/>
                <w:bottom w:val="none" w:sz="0" w:space="0" w:color="auto"/>
                <w:right w:val="none" w:sz="0" w:space="0" w:color="auto"/>
              </w:divBdr>
            </w:div>
            <w:div w:id="14298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4398">
      <w:bodyDiv w:val="1"/>
      <w:marLeft w:val="0"/>
      <w:marRight w:val="0"/>
      <w:marTop w:val="0"/>
      <w:marBottom w:val="0"/>
      <w:divBdr>
        <w:top w:val="none" w:sz="0" w:space="0" w:color="auto"/>
        <w:left w:val="none" w:sz="0" w:space="0" w:color="auto"/>
        <w:bottom w:val="none" w:sz="0" w:space="0" w:color="auto"/>
        <w:right w:val="none" w:sz="0" w:space="0" w:color="auto"/>
      </w:divBdr>
      <w:divsChild>
        <w:div w:id="1009260868">
          <w:marLeft w:val="0"/>
          <w:marRight w:val="0"/>
          <w:marTop w:val="0"/>
          <w:marBottom w:val="0"/>
          <w:divBdr>
            <w:top w:val="none" w:sz="0" w:space="0" w:color="auto"/>
            <w:left w:val="none" w:sz="0" w:space="0" w:color="auto"/>
            <w:bottom w:val="none" w:sz="0" w:space="0" w:color="auto"/>
            <w:right w:val="none" w:sz="0" w:space="0" w:color="auto"/>
          </w:divBdr>
        </w:div>
        <w:div w:id="1134638393">
          <w:marLeft w:val="0"/>
          <w:marRight w:val="0"/>
          <w:marTop w:val="0"/>
          <w:marBottom w:val="0"/>
          <w:divBdr>
            <w:top w:val="none" w:sz="0" w:space="0" w:color="auto"/>
            <w:left w:val="none" w:sz="0" w:space="0" w:color="auto"/>
            <w:bottom w:val="none" w:sz="0" w:space="0" w:color="auto"/>
            <w:right w:val="none" w:sz="0" w:space="0" w:color="auto"/>
          </w:divBdr>
        </w:div>
      </w:divsChild>
    </w:div>
    <w:div w:id="1731462517">
      <w:bodyDiv w:val="1"/>
      <w:marLeft w:val="0"/>
      <w:marRight w:val="0"/>
      <w:marTop w:val="0"/>
      <w:marBottom w:val="0"/>
      <w:divBdr>
        <w:top w:val="none" w:sz="0" w:space="0" w:color="auto"/>
        <w:left w:val="none" w:sz="0" w:space="0" w:color="auto"/>
        <w:bottom w:val="none" w:sz="0" w:space="0" w:color="auto"/>
        <w:right w:val="none" w:sz="0" w:space="0" w:color="auto"/>
      </w:divBdr>
    </w:div>
    <w:div w:id="1785424872">
      <w:bodyDiv w:val="1"/>
      <w:marLeft w:val="0"/>
      <w:marRight w:val="0"/>
      <w:marTop w:val="0"/>
      <w:marBottom w:val="0"/>
      <w:divBdr>
        <w:top w:val="none" w:sz="0" w:space="0" w:color="auto"/>
        <w:left w:val="none" w:sz="0" w:space="0" w:color="auto"/>
        <w:bottom w:val="none" w:sz="0" w:space="0" w:color="auto"/>
        <w:right w:val="none" w:sz="0" w:space="0" w:color="auto"/>
      </w:divBdr>
      <w:divsChild>
        <w:div w:id="1291013151">
          <w:marLeft w:val="0"/>
          <w:marRight w:val="0"/>
          <w:marTop w:val="0"/>
          <w:marBottom w:val="0"/>
          <w:divBdr>
            <w:top w:val="none" w:sz="0" w:space="0" w:color="auto"/>
            <w:left w:val="none" w:sz="0" w:space="0" w:color="auto"/>
            <w:bottom w:val="none" w:sz="0" w:space="0" w:color="auto"/>
            <w:right w:val="none" w:sz="0" w:space="0" w:color="auto"/>
          </w:divBdr>
          <w:divsChild>
            <w:div w:id="334496404">
              <w:marLeft w:val="0"/>
              <w:marRight w:val="0"/>
              <w:marTop w:val="0"/>
              <w:marBottom w:val="0"/>
              <w:divBdr>
                <w:top w:val="none" w:sz="0" w:space="0" w:color="auto"/>
                <w:left w:val="none" w:sz="0" w:space="0" w:color="auto"/>
                <w:bottom w:val="none" w:sz="0" w:space="0" w:color="auto"/>
                <w:right w:val="none" w:sz="0" w:space="0" w:color="auto"/>
              </w:divBdr>
            </w:div>
            <w:div w:id="1751778973">
              <w:marLeft w:val="0"/>
              <w:marRight w:val="0"/>
              <w:marTop w:val="0"/>
              <w:marBottom w:val="0"/>
              <w:divBdr>
                <w:top w:val="none" w:sz="0" w:space="0" w:color="auto"/>
                <w:left w:val="none" w:sz="0" w:space="0" w:color="auto"/>
                <w:bottom w:val="none" w:sz="0" w:space="0" w:color="auto"/>
                <w:right w:val="none" w:sz="0" w:space="0" w:color="auto"/>
              </w:divBdr>
            </w:div>
            <w:div w:id="74083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10204">
      <w:bodyDiv w:val="1"/>
      <w:marLeft w:val="0"/>
      <w:marRight w:val="0"/>
      <w:marTop w:val="0"/>
      <w:marBottom w:val="0"/>
      <w:divBdr>
        <w:top w:val="none" w:sz="0" w:space="0" w:color="auto"/>
        <w:left w:val="none" w:sz="0" w:space="0" w:color="auto"/>
        <w:bottom w:val="none" w:sz="0" w:space="0" w:color="auto"/>
        <w:right w:val="none" w:sz="0" w:space="0" w:color="auto"/>
      </w:divBdr>
      <w:divsChild>
        <w:div w:id="1125924431">
          <w:marLeft w:val="0"/>
          <w:marRight w:val="0"/>
          <w:marTop w:val="0"/>
          <w:marBottom w:val="0"/>
          <w:divBdr>
            <w:top w:val="none" w:sz="0" w:space="0" w:color="auto"/>
            <w:left w:val="none" w:sz="0" w:space="0" w:color="auto"/>
            <w:bottom w:val="none" w:sz="0" w:space="0" w:color="auto"/>
            <w:right w:val="none" w:sz="0" w:space="0" w:color="auto"/>
          </w:divBdr>
          <w:divsChild>
            <w:div w:id="212487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09536">
      <w:bodyDiv w:val="1"/>
      <w:marLeft w:val="0"/>
      <w:marRight w:val="0"/>
      <w:marTop w:val="0"/>
      <w:marBottom w:val="0"/>
      <w:divBdr>
        <w:top w:val="none" w:sz="0" w:space="0" w:color="auto"/>
        <w:left w:val="none" w:sz="0" w:space="0" w:color="auto"/>
        <w:bottom w:val="none" w:sz="0" w:space="0" w:color="auto"/>
        <w:right w:val="none" w:sz="0" w:space="0" w:color="auto"/>
      </w:divBdr>
      <w:divsChild>
        <w:div w:id="192574809">
          <w:marLeft w:val="0"/>
          <w:marRight w:val="0"/>
          <w:marTop w:val="0"/>
          <w:marBottom w:val="0"/>
          <w:divBdr>
            <w:top w:val="none" w:sz="0" w:space="0" w:color="auto"/>
            <w:left w:val="none" w:sz="0" w:space="0" w:color="auto"/>
            <w:bottom w:val="none" w:sz="0" w:space="0" w:color="auto"/>
            <w:right w:val="none" w:sz="0" w:space="0" w:color="auto"/>
          </w:divBdr>
        </w:div>
      </w:divsChild>
    </w:div>
    <w:div w:id="1940408896">
      <w:bodyDiv w:val="1"/>
      <w:marLeft w:val="0"/>
      <w:marRight w:val="0"/>
      <w:marTop w:val="0"/>
      <w:marBottom w:val="0"/>
      <w:divBdr>
        <w:top w:val="none" w:sz="0" w:space="0" w:color="auto"/>
        <w:left w:val="none" w:sz="0" w:space="0" w:color="auto"/>
        <w:bottom w:val="none" w:sz="0" w:space="0" w:color="auto"/>
        <w:right w:val="none" w:sz="0" w:space="0" w:color="auto"/>
      </w:divBdr>
    </w:div>
    <w:div w:id="1952083573">
      <w:bodyDiv w:val="1"/>
      <w:marLeft w:val="0"/>
      <w:marRight w:val="0"/>
      <w:marTop w:val="0"/>
      <w:marBottom w:val="0"/>
      <w:divBdr>
        <w:top w:val="none" w:sz="0" w:space="0" w:color="auto"/>
        <w:left w:val="none" w:sz="0" w:space="0" w:color="auto"/>
        <w:bottom w:val="none" w:sz="0" w:space="0" w:color="auto"/>
        <w:right w:val="none" w:sz="0" w:space="0" w:color="auto"/>
      </w:divBdr>
      <w:divsChild>
        <w:div w:id="1384789629">
          <w:marLeft w:val="0"/>
          <w:marRight w:val="0"/>
          <w:marTop w:val="0"/>
          <w:marBottom w:val="0"/>
          <w:divBdr>
            <w:top w:val="none" w:sz="0" w:space="0" w:color="auto"/>
            <w:left w:val="none" w:sz="0" w:space="0" w:color="auto"/>
            <w:bottom w:val="none" w:sz="0" w:space="0" w:color="auto"/>
            <w:right w:val="none" w:sz="0" w:space="0" w:color="auto"/>
          </w:divBdr>
          <w:divsChild>
            <w:div w:id="14412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4234">
      <w:bodyDiv w:val="1"/>
      <w:marLeft w:val="0"/>
      <w:marRight w:val="0"/>
      <w:marTop w:val="0"/>
      <w:marBottom w:val="0"/>
      <w:divBdr>
        <w:top w:val="none" w:sz="0" w:space="0" w:color="auto"/>
        <w:left w:val="none" w:sz="0" w:space="0" w:color="auto"/>
        <w:bottom w:val="none" w:sz="0" w:space="0" w:color="auto"/>
        <w:right w:val="none" w:sz="0" w:space="0" w:color="auto"/>
      </w:divBdr>
      <w:divsChild>
        <w:div w:id="349769471">
          <w:marLeft w:val="0"/>
          <w:marRight w:val="0"/>
          <w:marTop w:val="0"/>
          <w:marBottom w:val="0"/>
          <w:divBdr>
            <w:top w:val="none" w:sz="0" w:space="0" w:color="auto"/>
            <w:left w:val="none" w:sz="0" w:space="0" w:color="auto"/>
            <w:bottom w:val="none" w:sz="0" w:space="0" w:color="auto"/>
            <w:right w:val="none" w:sz="0" w:space="0" w:color="auto"/>
          </w:divBdr>
          <w:divsChild>
            <w:div w:id="232550794">
              <w:marLeft w:val="0"/>
              <w:marRight w:val="0"/>
              <w:marTop w:val="0"/>
              <w:marBottom w:val="0"/>
              <w:divBdr>
                <w:top w:val="none" w:sz="0" w:space="0" w:color="auto"/>
                <w:left w:val="none" w:sz="0" w:space="0" w:color="auto"/>
                <w:bottom w:val="none" w:sz="0" w:space="0" w:color="auto"/>
                <w:right w:val="none" w:sz="0" w:space="0" w:color="auto"/>
              </w:divBdr>
            </w:div>
            <w:div w:id="1521429888">
              <w:marLeft w:val="0"/>
              <w:marRight w:val="0"/>
              <w:marTop w:val="0"/>
              <w:marBottom w:val="0"/>
              <w:divBdr>
                <w:top w:val="none" w:sz="0" w:space="0" w:color="auto"/>
                <w:left w:val="none" w:sz="0" w:space="0" w:color="auto"/>
                <w:bottom w:val="none" w:sz="0" w:space="0" w:color="auto"/>
                <w:right w:val="none" w:sz="0" w:space="0" w:color="auto"/>
              </w:divBdr>
            </w:div>
          </w:divsChild>
        </w:div>
        <w:div w:id="1375622871">
          <w:marLeft w:val="0"/>
          <w:marRight w:val="0"/>
          <w:marTop w:val="0"/>
          <w:marBottom w:val="0"/>
          <w:divBdr>
            <w:top w:val="none" w:sz="0" w:space="0" w:color="auto"/>
            <w:left w:val="none" w:sz="0" w:space="0" w:color="auto"/>
            <w:bottom w:val="none" w:sz="0" w:space="0" w:color="auto"/>
            <w:right w:val="none" w:sz="0" w:space="0" w:color="auto"/>
          </w:divBdr>
          <w:divsChild>
            <w:div w:id="1797290827">
              <w:marLeft w:val="0"/>
              <w:marRight w:val="0"/>
              <w:marTop w:val="0"/>
              <w:marBottom w:val="0"/>
              <w:divBdr>
                <w:top w:val="none" w:sz="0" w:space="0" w:color="auto"/>
                <w:left w:val="none" w:sz="0" w:space="0" w:color="auto"/>
                <w:bottom w:val="none" w:sz="0" w:space="0" w:color="auto"/>
                <w:right w:val="none" w:sz="0" w:space="0" w:color="auto"/>
              </w:divBdr>
            </w:div>
            <w:div w:id="572665779">
              <w:marLeft w:val="0"/>
              <w:marRight w:val="0"/>
              <w:marTop w:val="0"/>
              <w:marBottom w:val="0"/>
              <w:divBdr>
                <w:top w:val="none" w:sz="0" w:space="0" w:color="auto"/>
                <w:left w:val="none" w:sz="0" w:space="0" w:color="auto"/>
                <w:bottom w:val="none" w:sz="0" w:space="0" w:color="auto"/>
                <w:right w:val="none" w:sz="0" w:space="0" w:color="auto"/>
              </w:divBdr>
            </w:div>
            <w:div w:id="1832334805">
              <w:marLeft w:val="0"/>
              <w:marRight w:val="0"/>
              <w:marTop w:val="0"/>
              <w:marBottom w:val="0"/>
              <w:divBdr>
                <w:top w:val="none" w:sz="0" w:space="0" w:color="auto"/>
                <w:left w:val="none" w:sz="0" w:space="0" w:color="auto"/>
                <w:bottom w:val="none" w:sz="0" w:space="0" w:color="auto"/>
                <w:right w:val="none" w:sz="0" w:space="0" w:color="auto"/>
              </w:divBdr>
            </w:div>
            <w:div w:id="1438792040">
              <w:marLeft w:val="0"/>
              <w:marRight w:val="0"/>
              <w:marTop w:val="0"/>
              <w:marBottom w:val="0"/>
              <w:divBdr>
                <w:top w:val="none" w:sz="0" w:space="0" w:color="auto"/>
                <w:left w:val="none" w:sz="0" w:space="0" w:color="auto"/>
                <w:bottom w:val="none" w:sz="0" w:space="0" w:color="auto"/>
                <w:right w:val="none" w:sz="0" w:space="0" w:color="auto"/>
              </w:divBdr>
            </w:div>
          </w:divsChild>
        </w:div>
        <w:div w:id="693502665">
          <w:marLeft w:val="0"/>
          <w:marRight w:val="0"/>
          <w:marTop w:val="0"/>
          <w:marBottom w:val="0"/>
          <w:divBdr>
            <w:top w:val="none" w:sz="0" w:space="0" w:color="auto"/>
            <w:left w:val="none" w:sz="0" w:space="0" w:color="auto"/>
            <w:bottom w:val="none" w:sz="0" w:space="0" w:color="auto"/>
            <w:right w:val="none" w:sz="0" w:space="0" w:color="auto"/>
          </w:divBdr>
        </w:div>
        <w:div w:id="1648049913">
          <w:marLeft w:val="0"/>
          <w:marRight w:val="0"/>
          <w:marTop w:val="0"/>
          <w:marBottom w:val="0"/>
          <w:divBdr>
            <w:top w:val="none" w:sz="0" w:space="0" w:color="auto"/>
            <w:left w:val="none" w:sz="0" w:space="0" w:color="auto"/>
            <w:bottom w:val="none" w:sz="0" w:space="0" w:color="auto"/>
            <w:right w:val="none" w:sz="0" w:space="0" w:color="auto"/>
          </w:divBdr>
        </w:div>
        <w:div w:id="1879849494">
          <w:marLeft w:val="0"/>
          <w:marRight w:val="0"/>
          <w:marTop w:val="0"/>
          <w:marBottom w:val="0"/>
          <w:divBdr>
            <w:top w:val="none" w:sz="0" w:space="0" w:color="auto"/>
            <w:left w:val="none" w:sz="0" w:space="0" w:color="auto"/>
            <w:bottom w:val="none" w:sz="0" w:space="0" w:color="auto"/>
            <w:right w:val="none" w:sz="0" w:space="0" w:color="auto"/>
          </w:divBdr>
        </w:div>
      </w:divsChild>
    </w:div>
    <w:div w:id="2043289378">
      <w:bodyDiv w:val="1"/>
      <w:marLeft w:val="0"/>
      <w:marRight w:val="0"/>
      <w:marTop w:val="0"/>
      <w:marBottom w:val="0"/>
      <w:divBdr>
        <w:top w:val="none" w:sz="0" w:space="0" w:color="auto"/>
        <w:left w:val="none" w:sz="0" w:space="0" w:color="auto"/>
        <w:bottom w:val="none" w:sz="0" w:space="0" w:color="auto"/>
        <w:right w:val="none" w:sz="0" w:space="0" w:color="auto"/>
      </w:divBdr>
      <w:divsChild>
        <w:div w:id="2026666975">
          <w:marLeft w:val="0"/>
          <w:marRight w:val="0"/>
          <w:marTop w:val="0"/>
          <w:marBottom w:val="0"/>
          <w:divBdr>
            <w:top w:val="none" w:sz="0" w:space="0" w:color="auto"/>
            <w:left w:val="none" w:sz="0" w:space="0" w:color="auto"/>
            <w:bottom w:val="none" w:sz="0" w:space="0" w:color="auto"/>
            <w:right w:val="none" w:sz="0" w:space="0" w:color="auto"/>
          </w:divBdr>
          <w:divsChild>
            <w:div w:id="604580737">
              <w:marLeft w:val="0"/>
              <w:marRight w:val="0"/>
              <w:marTop w:val="0"/>
              <w:marBottom w:val="0"/>
              <w:divBdr>
                <w:top w:val="none" w:sz="0" w:space="0" w:color="auto"/>
                <w:left w:val="none" w:sz="0" w:space="0" w:color="auto"/>
                <w:bottom w:val="none" w:sz="0" w:space="0" w:color="auto"/>
                <w:right w:val="none" w:sz="0" w:space="0" w:color="auto"/>
              </w:divBdr>
            </w:div>
            <w:div w:id="455761026">
              <w:marLeft w:val="0"/>
              <w:marRight w:val="0"/>
              <w:marTop w:val="0"/>
              <w:marBottom w:val="0"/>
              <w:divBdr>
                <w:top w:val="none" w:sz="0" w:space="0" w:color="auto"/>
                <w:left w:val="none" w:sz="0" w:space="0" w:color="auto"/>
                <w:bottom w:val="none" w:sz="0" w:space="0" w:color="auto"/>
                <w:right w:val="none" w:sz="0" w:space="0" w:color="auto"/>
              </w:divBdr>
            </w:div>
          </w:divsChild>
        </w:div>
        <w:div w:id="1348556019">
          <w:marLeft w:val="0"/>
          <w:marRight w:val="0"/>
          <w:marTop w:val="0"/>
          <w:marBottom w:val="0"/>
          <w:divBdr>
            <w:top w:val="none" w:sz="0" w:space="0" w:color="auto"/>
            <w:left w:val="none" w:sz="0" w:space="0" w:color="auto"/>
            <w:bottom w:val="none" w:sz="0" w:space="0" w:color="auto"/>
            <w:right w:val="none" w:sz="0" w:space="0" w:color="auto"/>
          </w:divBdr>
          <w:divsChild>
            <w:div w:id="1222906260">
              <w:marLeft w:val="0"/>
              <w:marRight w:val="0"/>
              <w:marTop w:val="0"/>
              <w:marBottom w:val="0"/>
              <w:divBdr>
                <w:top w:val="none" w:sz="0" w:space="0" w:color="auto"/>
                <w:left w:val="none" w:sz="0" w:space="0" w:color="auto"/>
                <w:bottom w:val="none" w:sz="0" w:space="0" w:color="auto"/>
                <w:right w:val="none" w:sz="0" w:space="0" w:color="auto"/>
              </w:divBdr>
            </w:div>
            <w:div w:id="1883131602">
              <w:marLeft w:val="0"/>
              <w:marRight w:val="0"/>
              <w:marTop w:val="0"/>
              <w:marBottom w:val="0"/>
              <w:divBdr>
                <w:top w:val="none" w:sz="0" w:space="0" w:color="auto"/>
                <w:left w:val="none" w:sz="0" w:space="0" w:color="auto"/>
                <w:bottom w:val="none" w:sz="0" w:space="0" w:color="auto"/>
                <w:right w:val="none" w:sz="0" w:space="0" w:color="auto"/>
              </w:divBdr>
            </w:div>
            <w:div w:id="1868712190">
              <w:marLeft w:val="0"/>
              <w:marRight w:val="0"/>
              <w:marTop w:val="0"/>
              <w:marBottom w:val="0"/>
              <w:divBdr>
                <w:top w:val="none" w:sz="0" w:space="0" w:color="auto"/>
                <w:left w:val="none" w:sz="0" w:space="0" w:color="auto"/>
                <w:bottom w:val="none" w:sz="0" w:space="0" w:color="auto"/>
                <w:right w:val="none" w:sz="0" w:space="0" w:color="auto"/>
              </w:divBdr>
            </w:div>
            <w:div w:id="1589776177">
              <w:marLeft w:val="0"/>
              <w:marRight w:val="0"/>
              <w:marTop w:val="0"/>
              <w:marBottom w:val="0"/>
              <w:divBdr>
                <w:top w:val="none" w:sz="0" w:space="0" w:color="auto"/>
                <w:left w:val="none" w:sz="0" w:space="0" w:color="auto"/>
                <w:bottom w:val="none" w:sz="0" w:space="0" w:color="auto"/>
                <w:right w:val="none" w:sz="0" w:space="0" w:color="auto"/>
              </w:divBdr>
            </w:div>
          </w:divsChild>
        </w:div>
        <w:div w:id="278538680">
          <w:marLeft w:val="0"/>
          <w:marRight w:val="0"/>
          <w:marTop w:val="0"/>
          <w:marBottom w:val="0"/>
          <w:divBdr>
            <w:top w:val="none" w:sz="0" w:space="0" w:color="auto"/>
            <w:left w:val="none" w:sz="0" w:space="0" w:color="auto"/>
            <w:bottom w:val="none" w:sz="0" w:space="0" w:color="auto"/>
            <w:right w:val="none" w:sz="0" w:space="0" w:color="auto"/>
          </w:divBdr>
        </w:div>
        <w:div w:id="244606798">
          <w:marLeft w:val="0"/>
          <w:marRight w:val="0"/>
          <w:marTop w:val="0"/>
          <w:marBottom w:val="0"/>
          <w:divBdr>
            <w:top w:val="none" w:sz="0" w:space="0" w:color="auto"/>
            <w:left w:val="none" w:sz="0" w:space="0" w:color="auto"/>
            <w:bottom w:val="none" w:sz="0" w:space="0" w:color="auto"/>
            <w:right w:val="none" w:sz="0" w:space="0" w:color="auto"/>
          </w:divBdr>
        </w:div>
        <w:div w:id="1044868333">
          <w:marLeft w:val="0"/>
          <w:marRight w:val="0"/>
          <w:marTop w:val="0"/>
          <w:marBottom w:val="0"/>
          <w:divBdr>
            <w:top w:val="none" w:sz="0" w:space="0" w:color="auto"/>
            <w:left w:val="none" w:sz="0" w:space="0" w:color="auto"/>
            <w:bottom w:val="none" w:sz="0" w:space="0" w:color="auto"/>
            <w:right w:val="none" w:sz="0" w:space="0" w:color="auto"/>
          </w:divBdr>
        </w:div>
      </w:divsChild>
    </w:div>
    <w:div w:id="2058502502">
      <w:bodyDiv w:val="1"/>
      <w:marLeft w:val="0"/>
      <w:marRight w:val="0"/>
      <w:marTop w:val="0"/>
      <w:marBottom w:val="0"/>
      <w:divBdr>
        <w:top w:val="none" w:sz="0" w:space="0" w:color="auto"/>
        <w:left w:val="none" w:sz="0" w:space="0" w:color="auto"/>
        <w:bottom w:val="none" w:sz="0" w:space="0" w:color="auto"/>
        <w:right w:val="none" w:sz="0" w:space="0" w:color="auto"/>
      </w:divBdr>
      <w:divsChild>
        <w:div w:id="1545678067">
          <w:marLeft w:val="0"/>
          <w:marRight w:val="0"/>
          <w:marTop w:val="0"/>
          <w:marBottom w:val="0"/>
          <w:divBdr>
            <w:top w:val="none" w:sz="0" w:space="0" w:color="auto"/>
            <w:left w:val="none" w:sz="0" w:space="0" w:color="auto"/>
            <w:bottom w:val="none" w:sz="0" w:space="0" w:color="auto"/>
            <w:right w:val="none" w:sz="0" w:space="0" w:color="auto"/>
          </w:divBdr>
          <w:divsChild>
            <w:div w:id="1767732099">
              <w:marLeft w:val="0"/>
              <w:marRight w:val="0"/>
              <w:marTop w:val="0"/>
              <w:marBottom w:val="0"/>
              <w:divBdr>
                <w:top w:val="none" w:sz="0" w:space="0" w:color="auto"/>
                <w:left w:val="none" w:sz="0" w:space="0" w:color="auto"/>
                <w:bottom w:val="none" w:sz="0" w:space="0" w:color="auto"/>
                <w:right w:val="none" w:sz="0" w:space="0" w:color="auto"/>
              </w:divBdr>
            </w:div>
            <w:div w:id="161748019">
              <w:marLeft w:val="0"/>
              <w:marRight w:val="0"/>
              <w:marTop w:val="0"/>
              <w:marBottom w:val="0"/>
              <w:divBdr>
                <w:top w:val="none" w:sz="0" w:space="0" w:color="auto"/>
                <w:left w:val="none" w:sz="0" w:space="0" w:color="auto"/>
                <w:bottom w:val="none" w:sz="0" w:space="0" w:color="auto"/>
                <w:right w:val="none" w:sz="0" w:space="0" w:color="auto"/>
              </w:divBdr>
            </w:div>
            <w:div w:id="18979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244672">
      <w:bodyDiv w:val="1"/>
      <w:marLeft w:val="0"/>
      <w:marRight w:val="0"/>
      <w:marTop w:val="0"/>
      <w:marBottom w:val="0"/>
      <w:divBdr>
        <w:top w:val="none" w:sz="0" w:space="0" w:color="auto"/>
        <w:left w:val="none" w:sz="0" w:space="0" w:color="auto"/>
        <w:bottom w:val="none" w:sz="0" w:space="0" w:color="auto"/>
        <w:right w:val="none" w:sz="0" w:space="0" w:color="auto"/>
      </w:divBdr>
      <w:divsChild>
        <w:div w:id="512688928">
          <w:marLeft w:val="0"/>
          <w:marRight w:val="0"/>
          <w:marTop w:val="0"/>
          <w:marBottom w:val="0"/>
          <w:divBdr>
            <w:top w:val="none" w:sz="0" w:space="0" w:color="auto"/>
            <w:left w:val="none" w:sz="0" w:space="0" w:color="auto"/>
            <w:bottom w:val="none" w:sz="0" w:space="0" w:color="auto"/>
            <w:right w:val="none" w:sz="0" w:space="0" w:color="auto"/>
          </w:divBdr>
          <w:divsChild>
            <w:div w:id="1816752571">
              <w:marLeft w:val="0"/>
              <w:marRight w:val="0"/>
              <w:marTop w:val="0"/>
              <w:marBottom w:val="0"/>
              <w:divBdr>
                <w:top w:val="none" w:sz="0" w:space="0" w:color="auto"/>
                <w:left w:val="none" w:sz="0" w:space="0" w:color="auto"/>
                <w:bottom w:val="none" w:sz="0" w:space="0" w:color="auto"/>
                <w:right w:val="none" w:sz="0" w:space="0" w:color="auto"/>
              </w:divBdr>
            </w:div>
            <w:div w:id="77352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28720">
      <w:bodyDiv w:val="1"/>
      <w:marLeft w:val="0"/>
      <w:marRight w:val="0"/>
      <w:marTop w:val="0"/>
      <w:marBottom w:val="0"/>
      <w:divBdr>
        <w:top w:val="none" w:sz="0" w:space="0" w:color="auto"/>
        <w:left w:val="none" w:sz="0" w:space="0" w:color="auto"/>
        <w:bottom w:val="none" w:sz="0" w:space="0" w:color="auto"/>
        <w:right w:val="none" w:sz="0" w:space="0" w:color="auto"/>
      </w:divBdr>
    </w:div>
    <w:div w:id="2127506326">
      <w:bodyDiv w:val="1"/>
      <w:marLeft w:val="0"/>
      <w:marRight w:val="0"/>
      <w:marTop w:val="0"/>
      <w:marBottom w:val="0"/>
      <w:divBdr>
        <w:top w:val="none" w:sz="0" w:space="0" w:color="auto"/>
        <w:left w:val="none" w:sz="0" w:space="0" w:color="auto"/>
        <w:bottom w:val="none" w:sz="0" w:space="0" w:color="auto"/>
        <w:right w:val="none" w:sz="0" w:space="0" w:color="auto"/>
      </w:divBdr>
      <w:divsChild>
        <w:div w:id="1855072199">
          <w:marLeft w:val="0"/>
          <w:marRight w:val="0"/>
          <w:marTop w:val="0"/>
          <w:marBottom w:val="0"/>
          <w:divBdr>
            <w:top w:val="none" w:sz="0" w:space="0" w:color="auto"/>
            <w:left w:val="none" w:sz="0" w:space="0" w:color="auto"/>
            <w:bottom w:val="none" w:sz="0" w:space="0" w:color="auto"/>
            <w:right w:val="none" w:sz="0" w:space="0" w:color="auto"/>
          </w:divBdr>
          <w:divsChild>
            <w:div w:id="911042386">
              <w:marLeft w:val="0"/>
              <w:marRight w:val="0"/>
              <w:marTop w:val="0"/>
              <w:marBottom w:val="0"/>
              <w:divBdr>
                <w:top w:val="none" w:sz="0" w:space="0" w:color="auto"/>
                <w:left w:val="none" w:sz="0" w:space="0" w:color="auto"/>
                <w:bottom w:val="none" w:sz="0" w:space="0" w:color="auto"/>
                <w:right w:val="none" w:sz="0" w:space="0" w:color="auto"/>
              </w:divBdr>
            </w:div>
            <w:div w:id="1265840664">
              <w:marLeft w:val="0"/>
              <w:marRight w:val="0"/>
              <w:marTop w:val="0"/>
              <w:marBottom w:val="0"/>
              <w:divBdr>
                <w:top w:val="none" w:sz="0" w:space="0" w:color="auto"/>
                <w:left w:val="none" w:sz="0" w:space="0" w:color="auto"/>
                <w:bottom w:val="none" w:sz="0" w:space="0" w:color="auto"/>
                <w:right w:val="none" w:sz="0" w:space="0" w:color="auto"/>
              </w:divBdr>
            </w:div>
            <w:div w:id="18047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physiology.org/doi/full/10.1152/japplphysiol.01041.2018" TargetMode="External"/><Relationship Id="rId21" Type="http://schemas.openxmlformats.org/officeDocument/2006/relationships/hyperlink" Target="https://www.physiology.org/doi/full/10.1152/japplphysiol.01041.2018" TargetMode="External"/><Relationship Id="rId42" Type="http://schemas.openxmlformats.org/officeDocument/2006/relationships/hyperlink" Target="https://www.physiology.org/doi/full/10.1152/japplphysiol.01041.2018" TargetMode="External"/><Relationship Id="rId63" Type="http://schemas.openxmlformats.org/officeDocument/2006/relationships/hyperlink" Target="https://www.physiology.org/doi/full/10.1152/japplphysiol.01041.2018" TargetMode="External"/><Relationship Id="rId84" Type="http://schemas.openxmlformats.org/officeDocument/2006/relationships/hyperlink" Target="https://www.physiology.org/doi/full/10.1152/japplphysiol.01041.2018" TargetMode="External"/><Relationship Id="rId138" Type="http://schemas.openxmlformats.org/officeDocument/2006/relationships/hyperlink" Target="https://www.physiology.org/doi/full/10.1152/japplphysiol.01041.2018" TargetMode="External"/><Relationship Id="rId159" Type="http://schemas.openxmlformats.org/officeDocument/2006/relationships/hyperlink" Target="https://www.physiology.org/doi/full/10.1152/japplphysiol.01041.2018" TargetMode="External"/><Relationship Id="rId107" Type="http://schemas.openxmlformats.org/officeDocument/2006/relationships/hyperlink" Target="https://www.physiology.org/doi/full/10.1152/japplphysiol.01041.2018" TargetMode="External"/><Relationship Id="rId11" Type="http://schemas.openxmlformats.org/officeDocument/2006/relationships/hyperlink" Target="https://www.physiology.org/doi/full/10.1152/japplphysiol.01041.2018" TargetMode="External"/><Relationship Id="rId32" Type="http://schemas.openxmlformats.org/officeDocument/2006/relationships/hyperlink" Target="https://www.physiology.org/doi/full/10.1152/japplphysiol.01041.2018" TargetMode="External"/><Relationship Id="rId53" Type="http://schemas.openxmlformats.org/officeDocument/2006/relationships/hyperlink" Target="https://www.physiology.org/doi/full/10.1152/japplphysiol.01041.2018" TargetMode="External"/><Relationship Id="rId74" Type="http://schemas.openxmlformats.org/officeDocument/2006/relationships/hyperlink" Target="https://www.physiology.org/doi/full/10.1152/japplphysiol.01041.2018" TargetMode="External"/><Relationship Id="rId128" Type="http://schemas.openxmlformats.org/officeDocument/2006/relationships/hyperlink" Target="https://www.physiology.org/doi/full/10.1152/japplphysiol.01041.2018" TargetMode="External"/><Relationship Id="rId149" Type="http://schemas.openxmlformats.org/officeDocument/2006/relationships/hyperlink" Target="https://www.physiology.org/doi/full/10.1152/japplphysiol.01041.2018" TargetMode="External"/><Relationship Id="rId5" Type="http://schemas.openxmlformats.org/officeDocument/2006/relationships/styles" Target="styles.xml"/><Relationship Id="rId95" Type="http://schemas.openxmlformats.org/officeDocument/2006/relationships/hyperlink" Target="https://www.physiology.org/doi/full/10.1152/japplphysiol.01041.2018" TargetMode="External"/><Relationship Id="rId160" Type="http://schemas.openxmlformats.org/officeDocument/2006/relationships/hyperlink" Target="https://www.physiology.org/doi/full/10.1152/japplphysiol.01041.2018" TargetMode="External"/><Relationship Id="rId22" Type="http://schemas.openxmlformats.org/officeDocument/2006/relationships/hyperlink" Target="https://www.physiology.org/doi/full/10.1152/japplphysiol.01041.2018" TargetMode="External"/><Relationship Id="rId43" Type="http://schemas.openxmlformats.org/officeDocument/2006/relationships/hyperlink" Target="https://www.physiology.org/doi/full/10.1152/japplphysiol.01041.2018" TargetMode="External"/><Relationship Id="rId64" Type="http://schemas.openxmlformats.org/officeDocument/2006/relationships/hyperlink" Target="https://www.physiology.org/doi/full/10.1152/japplphysiol.01041.2018" TargetMode="External"/><Relationship Id="rId118" Type="http://schemas.openxmlformats.org/officeDocument/2006/relationships/hyperlink" Target="https://www.physiology.org/doi/full/10.1152/japplphysiol.01041.2018" TargetMode="External"/><Relationship Id="rId139" Type="http://schemas.openxmlformats.org/officeDocument/2006/relationships/hyperlink" Target="https://www.physiology.org/doi/full/10.1152/japplphysiol.01041.2018" TargetMode="External"/><Relationship Id="rId85" Type="http://schemas.openxmlformats.org/officeDocument/2006/relationships/hyperlink" Target="https://www.physiology.org/doi/full/10.1152/japplphysiol.01041.2018" TargetMode="External"/><Relationship Id="rId150" Type="http://schemas.openxmlformats.org/officeDocument/2006/relationships/hyperlink" Target="https://www.physiology.org/doi/full/10.1152/japplphysiol.01041.2018" TargetMode="External"/><Relationship Id="rId12" Type="http://schemas.openxmlformats.org/officeDocument/2006/relationships/hyperlink" Target="https://www.physiology.org/doi/full/10.1152/japplphysiol.01041.2018" TargetMode="External"/><Relationship Id="rId17" Type="http://schemas.openxmlformats.org/officeDocument/2006/relationships/hyperlink" Target="https://www.physiology.org/doi/full/10.1152/japplphysiol.01041.2018" TargetMode="External"/><Relationship Id="rId33" Type="http://schemas.openxmlformats.org/officeDocument/2006/relationships/hyperlink" Target="https://www.physiology.org/doi/full/10.1152/japplphysiol.01041.2018" TargetMode="External"/><Relationship Id="rId38" Type="http://schemas.openxmlformats.org/officeDocument/2006/relationships/hyperlink" Target="https://www.physiology.org/doi/full/10.1152/japplphysiol.01041.2018" TargetMode="External"/><Relationship Id="rId59" Type="http://schemas.openxmlformats.org/officeDocument/2006/relationships/hyperlink" Target="https://www.physiology.org/doi/full/10.1152/japplphysiol.01041.2018" TargetMode="External"/><Relationship Id="rId103" Type="http://schemas.openxmlformats.org/officeDocument/2006/relationships/hyperlink" Target="https://www.physiology.org/doi/full/10.1152/japplphysiol.01041.2018" TargetMode="External"/><Relationship Id="rId108" Type="http://schemas.openxmlformats.org/officeDocument/2006/relationships/hyperlink" Target="https://www.physiology.org/doi/full/10.1152/japplphysiol.01041.2018" TargetMode="External"/><Relationship Id="rId124" Type="http://schemas.openxmlformats.org/officeDocument/2006/relationships/hyperlink" Target="https://www.physiology.org/doi/full/10.1152/japplphysiol.01041.2018" TargetMode="External"/><Relationship Id="rId129" Type="http://schemas.openxmlformats.org/officeDocument/2006/relationships/hyperlink" Target="https://www.physiology.org/doi/full/10.1152/japplphysiol.01041.2018" TargetMode="External"/><Relationship Id="rId54" Type="http://schemas.openxmlformats.org/officeDocument/2006/relationships/hyperlink" Target="https://www.physiology.org/doi/full/10.1152/japplphysiol.01041.2018" TargetMode="External"/><Relationship Id="rId70" Type="http://schemas.openxmlformats.org/officeDocument/2006/relationships/hyperlink" Target="https://www.physiology.org/doi/full/10.1152/japplphysiol.01041.2018" TargetMode="External"/><Relationship Id="rId75" Type="http://schemas.openxmlformats.org/officeDocument/2006/relationships/hyperlink" Target="https://www.physiology.org/doi/full/10.1152/japplphysiol.01041.2018" TargetMode="External"/><Relationship Id="rId91" Type="http://schemas.openxmlformats.org/officeDocument/2006/relationships/hyperlink" Target="https://www.physiology.org/doi/full/10.1152/japplphysiol.01041.2018" TargetMode="External"/><Relationship Id="rId96" Type="http://schemas.openxmlformats.org/officeDocument/2006/relationships/image" Target="media/image2.gif"/><Relationship Id="rId140" Type="http://schemas.openxmlformats.org/officeDocument/2006/relationships/hyperlink" Target="https://www.physiology.org/doi/full/10.1152/japplphysiol.01041.2018" TargetMode="External"/><Relationship Id="rId145" Type="http://schemas.openxmlformats.org/officeDocument/2006/relationships/hyperlink" Target="https://www.physiology.org/doi/full/10.1152/japplphysiol.01041.2018"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physiology.org/doi/full/10.1152/japplphysiol.01041.2018" TargetMode="External"/><Relationship Id="rId28" Type="http://schemas.openxmlformats.org/officeDocument/2006/relationships/hyperlink" Target="https://www.physiology.org/doi/full/10.1152/japplphysiol.01041.2018" TargetMode="External"/><Relationship Id="rId49" Type="http://schemas.openxmlformats.org/officeDocument/2006/relationships/hyperlink" Target="https://www.physiology.org/doi/full/10.1152/japplphysiol.01041.2018" TargetMode="External"/><Relationship Id="rId114" Type="http://schemas.openxmlformats.org/officeDocument/2006/relationships/hyperlink" Target="https://www.physiology.org/doi/full/10.1152/japplphysiol.01041.2018" TargetMode="External"/><Relationship Id="rId119" Type="http://schemas.openxmlformats.org/officeDocument/2006/relationships/hyperlink" Target="https://www.physiology.org/doi/full/10.1152/japplphysiol.01041.2018" TargetMode="External"/><Relationship Id="rId44" Type="http://schemas.openxmlformats.org/officeDocument/2006/relationships/hyperlink" Target="https://www.physiology.org/doi/full/10.1152/japplphysiol.01041.2018" TargetMode="External"/><Relationship Id="rId60" Type="http://schemas.openxmlformats.org/officeDocument/2006/relationships/hyperlink" Target="https://www.physiology.org/doi/full/10.1152/japplphysiol.01041.2018" TargetMode="External"/><Relationship Id="rId65" Type="http://schemas.openxmlformats.org/officeDocument/2006/relationships/hyperlink" Target="https://www.physiology.org/doi/full/10.1152/japplphysiol.01041.2018" TargetMode="External"/><Relationship Id="rId81" Type="http://schemas.openxmlformats.org/officeDocument/2006/relationships/hyperlink" Target="https://www.physiology.org/doi/full/10.1152/japplphysiol.01041.2018" TargetMode="External"/><Relationship Id="rId86" Type="http://schemas.openxmlformats.org/officeDocument/2006/relationships/hyperlink" Target="https://www.physiology.org/doi/full/10.1152/japplphysiol.01041.2018" TargetMode="External"/><Relationship Id="rId130" Type="http://schemas.openxmlformats.org/officeDocument/2006/relationships/hyperlink" Target="https://www.physiology.org/doi/full/10.1152/japplphysiol.01041.2018" TargetMode="External"/><Relationship Id="rId135" Type="http://schemas.openxmlformats.org/officeDocument/2006/relationships/hyperlink" Target="https://www.physiology.org/doi/full/10.1152/japplphysiol.01041.2018" TargetMode="External"/><Relationship Id="rId151" Type="http://schemas.openxmlformats.org/officeDocument/2006/relationships/hyperlink" Target="https://www.physiology.org/doi/full/10.1152/japplphysiol.01041.2018" TargetMode="External"/><Relationship Id="rId156" Type="http://schemas.openxmlformats.org/officeDocument/2006/relationships/hyperlink" Target="https://www.physiology.org/doi/full/10.1152/japplphysiol.01041.2018" TargetMode="External"/><Relationship Id="rId13" Type="http://schemas.openxmlformats.org/officeDocument/2006/relationships/hyperlink" Target="https://www.physiology.org/doi/full/10.1152/japplphysiol.01041.2018" TargetMode="External"/><Relationship Id="rId18" Type="http://schemas.openxmlformats.org/officeDocument/2006/relationships/hyperlink" Target="https://www.physiology.org/doi/full/10.1152/japplphysiol.01041.2018" TargetMode="External"/><Relationship Id="rId39" Type="http://schemas.openxmlformats.org/officeDocument/2006/relationships/hyperlink" Target="https://www.physiology.org/doi/full/10.1152/japplphysiol.01041.2018" TargetMode="External"/><Relationship Id="rId109" Type="http://schemas.openxmlformats.org/officeDocument/2006/relationships/hyperlink" Target="https://www.physiology.org/doi/full/10.1152/japplphysiol.01041.2018" TargetMode="External"/><Relationship Id="rId34" Type="http://schemas.openxmlformats.org/officeDocument/2006/relationships/hyperlink" Target="https://www.physiology.org/doi/full/10.1152/japplphysiol.01041.2018" TargetMode="External"/><Relationship Id="rId50" Type="http://schemas.openxmlformats.org/officeDocument/2006/relationships/hyperlink" Target="https://www.physiology.org/doi/full/10.1152/japplphysiol.01041.2018" TargetMode="External"/><Relationship Id="rId55" Type="http://schemas.openxmlformats.org/officeDocument/2006/relationships/hyperlink" Target="https://www.physiology.org/doi/full/10.1152/japplphysiol.01041.2018" TargetMode="External"/><Relationship Id="rId76" Type="http://schemas.openxmlformats.org/officeDocument/2006/relationships/hyperlink" Target="https://www.physiology.org/doi/full/10.1152/japplphysiol.01041.2018" TargetMode="External"/><Relationship Id="rId97" Type="http://schemas.openxmlformats.org/officeDocument/2006/relationships/hyperlink" Target="https://www.physiology.org/doi/full/10.1152/japplphysiol.01041.2018" TargetMode="External"/><Relationship Id="rId104" Type="http://schemas.openxmlformats.org/officeDocument/2006/relationships/image" Target="media/image3.gif"/><Relationship Id="rId120" Type="http://schemas.openxmlformats.org/officeDocument/2006/relationships/hyperlink" Target="https://www.physiology.org/doi/full/10.1152/japplphysiol.01041.2018" TargetMode="External"/><Relationship Id="rId125" Type="http://schemas.openxmlformats.org/officeDocument/2006/relationships/hyperlink" Target="https://www.physiology.org/doi/full/10.1152/japplphysiol.01041.2018" TargetMode="External"/><Relationship Id="rId141" Type="http://schemas.openxmlformats.org/officeDocument/2006/relationships/hyperlink" Target="https://www.physiology.org/doi/full/10.1152/japplphysiol.01041.2018" TargetMode="External"/><Relationship Id="rId146" Type="http://schemas.openxmlformats.org/officeDocument/2006/relationships/hyperlink" Target="https://www.physiology.org/doi/full/10.1152/japplphysiol.01041.2018" TargetMode="External"/><Relationship Id="rId7" Type="http://schemas.openxmlformats.org/officeDocument/2006/relationships/webSettings" Target="webSettings.xml"/><Relationship Id="rId71" Type="http://schemas.openxmlformats.org/officeDocument/2006/relationships/hyperlink" Target="https://www.physiology.org/doi/full/10.1152/japplphysiol.01041.2018" TargetMode="External"/><Relationship Id="rId92" Type="http://schemas.openxmlformats.org/officeDocument/2006/relationships/hyperlink" Target="https://www.physiology.org/doi/full/10.1152/japplphysiol.01041.2018" TargetMode="External"/><Relationship Id="rId16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physiology.org/doi/full/10.1152/japplphysiol.01041.2018" TargetMode="External"/><Relationship Id="rId24" Type="http://schemas.openxmlformats.org/officeDocument/2006/relationships/hyperlink" Target="https://www.physiology.org/doi/full/10.1152/japplphysiol.01041.2018" TargetMode="External"/><Relationship Id="rId40" Type="http://schemas.openxmlformats.org/officeDocument/2006/relationships/hyperlink" Target="https://www.physiology.org/doi/full/10.1152/japplphysiol.01041.2018" TargetMode="External"/><Relationship Id="rId45" Type="http://schemas.openxmlformats.org/officeDocument/2006/relationships/hyperlink" Target="https://www.physiology.org/doi/full/10.1152/japplphysiol.01041.2018" TargetMode="External"/><Relationship Id="rId66" Type="http://schemas.openxmlformats.org/officeDocument/2006/relationships/hyperlink" Target="https://www.physiology.org/doi/full/10.1152/japplphysiol.01041.2018" TargetMode="External"/><Relationship Id="rId87" Type="http://schemas.openxmlformats.org/officeDocument/2006/relationships/hyperlink" Target="https://www.physiology.org/doi/full/10.1152/japplphysiol.01041.2018" TargetMode="External"/><Relationship Id="rId110" Type="http://schemas.openxmlformats.org/officeDocument/2006/relationships/hyperlink" Target="https://www.physiology.org/doi/full/10.1152/japplphysiol.01041.2018" TargetMode="External"/><Relationship Id="rId115" Type="http://schemas.openxmlformats.org/officeDocument/2006/relationships/hyperlink" Target="https://www.physiology.org/doi/full/10.1152/japplphysiol.01041.2018" TargetMode="External"/><Relationship Id="rId131" Type="http://schemas.openxmlformats.org/officeDocument/2006/relationships/hyperlink" Target="https://www.physiology.org/doi/full/10.1152/japplphysiol.01041.2018" TargetMode="External"/><Relationship Id="rId136" Type="http://schemas.openxmlformats.org/officeDocument/2006/relationships/hyperlink" Target="https://www.physiology.org/doi/full/10.1152/japplphysiol.01041.2018" TargetMode="External"/><Relationship Id="rId157" Type="http://schemas.openxmlformats.org/officeDocument/2006/relationships/hyperlink" Target="https://www.physiology.org/doi/full/10.1152/japplphysiol.01041.2018" TargetMode="External"/><Relationship Id="rId61" Type="http://schemas.openxmlformats.org/officeDocument/2006/relationships/hyperlink" Target="https://www.physiology.org/doi/full/10.1152/japplphysiol.01041.2018" TargetMode="External"/><Relationship Id="rId82" Type="http://schemas.openxmlformats.org/officeDocument/2006/relationships/hyperlink" Target="https://www.physiology.org/doi/full/10.1152/japplphysiol.01041.2018" TargetMode="External"/><Relationship Id="rId152" Type="http://schemas.openxmlformats.org/officeDocument/2006/relationships/hyperlink" Target="https://www.physiology.org/doi/full/10.1152/japplphysiol.01041.2018" TargetMode="External"/><Relationship Id="rId19" Type="http://schemas.openxmlformats.org/officeDocument/2006/relationships/hyperlink" Target="https://www.physiology.org/doi/full/10.1152/japplphysiol.01041.2018" TargetMode="External"/><Relationship Id="rId14" Type="http://schemas.openxmlformats.org/officeDocument/2006/relationships/hyperlink" Target="https://www.physiology.org/doi/full/10.1152/japplphysiol.01041.2018" TargetMode="External"/><Relationship Id="rId30" Type="http://schemas.openxmlformats.org/officeDocument/2006/relationships/hyperlink" Target="https://www.physiology.org/doi/full/10.1152/japplphysiol.01041.2018" TargetMode="External"/><Relationship Id="rId35" Type="http://schemas.openxmlformats.org/officeDocument/2006/relationships/hyperlink" Target="https://www.physiology.org/doi/full/10.1152/japplphysiol.01041.2018" TargetMode="External"/><Relationship Id="rId56" Type="http://schemas.openxmlformats.org/officeDocument/2006/relationships/hyperlink" Target="https://www.physiology.org/doi/full/10.1152/japplphysiol.01041.2018" TargetMode="External"/><Relationship Id="rId77" Type="http://schemas.openxmlformats.org/officeDocument/2006/relationships/hyperlink" Target="https://www.physiology.org/doi/full/10.1152/japplphysiol.01041.2018" TargetMode="External"/><Relationship Id="rId100" Type="http://schemas.openxmlformats.org/officeDocument/2006/relationships/hyperlink" Target="https://www.physiology.org/doi/full/10.1152/japplphysiol.01041.2018" TargetMode="External"/><Relationship Id="rId105" Type="http://schemas.openxmlformats.org/officeDocument/2006/relationships/hyperlink" Target="https://www.physiology.org/doi/full/10.1152/japplphysiol.01041.2018" TargetMode="External"/><Relationship Id="rId126" Type="http://schemas.openxmlformats.org/officeDocument/2006/relationships/hyperlink" Target="https://www.physiology.org/doi/full/10.1152/japplphysiol.01041.2018" TargetMode="External"/><Relationship Id="rId147" Type="http://schemas.openxmlformats.org/officeDocument/2006/relationships/hyperlink" Target="https://www.physiology.org/doi/full/10.1152/japplphysiol.01041.2018" TargetMode="External"/><Relationship Id="rId8" Type="http://schemas.openxmlformats.org/officeDocument/2006/relationships/hyperlink" Target="https://dx.doi.org/10.1152/japplphysiol.01041.2018" TargetMode="External"/><Relationship Id="rId51" Type="http://schemas.openxmlformats.org/officeDocument/2006/relationships/hyperlink" Target="https://www.physiology.org/doi/full/10.1152/japplphysiol.01041.2018" TargetMode="External"/><Relationship Id="rId72" Type="http://schemas.openxmlformats.org/officeDocument/2006/relationships/hyperlink" Target="https://www.physiology.org/doi/full/10.1152/japplphysiol.01041.2018" TargetMode="External"/><Relationship Id="rId93" Type="http://schemas.openxmlformats.org/officeDocument/2006/relationships/hyperlink" Target="https://www.physiology.org/doi/full/10.1152/japplphysiol.01041.2018" TargetMode="External"/><Relationship Id="rId98" Type="http://schemas.openxmlformats.org/officeDocument/2006/relationships/hyperlink" Target="https://www.physiology.org/doi/full/10.1152/japplphysiol.01041.2018" TargetMode="External"/><Relationship Id="rId121" Type="http://schemas.openxmlformats.org/officeDocument/2006/relationships/hyperlink" Target="https://www.physiology.org/doi/full/10.1152/japplphysiol.01041.2018" TargetMode="External"/><Relationship Id="rId142" Type="http://schemas.openxmlformats.org/officeDocument/2006/relationships/hyperlink" Target="https://www.physiology.org/doi/full/10.1152/japplphysiol.01041.2018" TargetMode="External"/><Relationship Id="rId3" Type="http://schemas.openxmlformats.org/officeDocument/2006/relationships/customXml" Target="../customXml/item3.xml"/><Relationship Id="rId25" Type="http://schemas.openxmlformats.org/officeDocument/2006/relationships/hyperlink" Target="https://www.physiology.org/doi/full/10.1152/japplphysiol.01041.2018" TargetMode="External"/><Relationship Id="rId46" Type="http://schemas.openxmlformats.org/officeDocument/2006/relationships/hyperlink" Target="https://www.physiology.org/doi/full/10.1152/japplphysiol.01041.2018" TargetMode="External"/><Relationship Id="rId67" Type="http://schemas.openxmlformats.org/officeDocument/2006/relationships/hyperlink" Target="https://www.physiology.org/doi/full/10.1152/japplphysiol.01041.2018" TargetMode="External"/><Relationship Id="rId116" Type="http://schemas.openxmlformats.org/officeDocument/2006/relationships/hyperlink" Target="https://www.physiology.org/doi/full/10.1152/japplphysiol.01041.2018" TargetMode="External"/><Relationship Id="rId137" Type="http://schemas.openxmlformats.org/officeDocument/2006/relationships/hyperlink" Target="https://www.physiology.org/doi/full/10.1152/japplphysiol.01041.2018" TargetMode="External"/><Relationship Id="rId158" Type="http://schemas.openxmlformats.org/officeDocument/2006/relationships/hyperlink" Target="https://www.physiology.org/doi/full/10.1152/japplphysiol.01041.2018" TargetMode="External"/><Relationship Id="rId20" Type="http://schemas.openxmlformats.org/officeDocument/2006/relationships/hyperlink" Target="https://www.physiology.org/doi/full/10.1152/japplphysiol.01041.2018" TargetMode="External"/><Relationship Id="rId41" Type="http://schemas.openxmlformats.org/officeDocument/2006/relationships/hyperlink" Target="https://www.physiology.org/doi/full/10.1152/japplphysiol.01041.2018" TargetMode="External"/><Relationship Id="rId62" Type="http://schemas.openxmlformats.org/officeDocument/2006/relationships/hyperlink" Target="https://www.physiology.org/doi/full/10.1152/japplphysiol.01041.2018" TargetMode="External"/><Relationship Id="rId83" Type="http://schemas.openxmlformats.org/officeDocument/2006/relationships/hyperlink" Target="https://www.physiology.org/doi/full/10.1152/japplphysiol.01041.2018" TargetMode="External"/><Relationship Id="rId88" Type="http://schemas.openxmlformats.org/officeDocument/2006/relationships/hyperlink" Target="https://www.physiology.org/doi/full/10.1152/japplphysiol.01041.2018" TargetMode="External"/><Relationship Id="rId111" Type="http://schemas.openxmlformats.org/officeDocument/2006/relationships/image" Target="media/image4.gif"/><Relationship Id="rId132" Type="http://schemas.openxmlformats.org/officeDocument/2006/relationships/hyperlink" Target="https://www.physiology.org/doi/full/10.1152/japplphysiol.01041.2018" TargetMode="External"/><Relationship Id="rId153" Type="http://schemas.openxmlformats.org/officeDocument/2006/relationships/hyperlink" Target="https://www.physiology.org/doi/full/10.1152/japplphysiol.01041.2018" TargetMode="External"/><Relationship Id="rId15" Type="http://schemas.openxmlformats.org/officeDocument/2006/relationships/hyperlink" Target="https://www.physiology.org/doi/full/10.1152/japplphysiol.01041.2018" TargetMode="External"/><Relationship Id="rId36" Type="http://schemas.openxmlformats.org/officeDocument/2006/relationships/hyperlink" Target="https://www.physiology.org/doi/full/10.1152/japplphysiol.01041.2018" TargetMode="External"/><Relationship Id="rId57" Type="http://schemas.openxmlformats.org/officeDocument/2006/relationships/hyperlink" Target="https://www.physiology.org/doi/full/10.1152/japplphysiol.01041.2018" TargetMode="External"/><Relationship Id="rId106" Type="http://schemas.openxmlformats.org/officeDocument/2006/relationships/hyperlink" Target="https://www.physiology.org/doi/full/10.1152/japplphysiol.01041.2018" TargetMode="External"/><Relationship Id="rId127" Type="http://schemas.openxmlformats.org/officeDocument/2006/relationships/hyperlink" Target="https://www.physiology.org/doi/full/10.1152/japplphysiol.01041.2018" TargetMode="External"/><Relationship Id="rId10" Type="http://schemas.openxmlformats.org/officeDocument/2006/relationships/hyperlink" Target="https://www.physiology.org/doi/full/10.1152/japplphysiol.01041.2018" TargetMode="External"/><Relationship Id="rId31" Type="http://schemas.openxmlformats.org/officeDocument/2006/relationships/hyperlink" Target="https://www.physiology.org/doi/full/10.1152/japplphysiol.01041.2018" TargetMode="External"/><Relationship Id="rId52" Type="http://schemas.openxmlformats.org/officeDocument/2006/relationships/hyperlink" Target="https://www.physiology.org/doi/full/10.1152/japplphysiol.01041.2018" TargetMode="External"/><Relationship Id="rId73" Type="http://schemas.openxmlformats.org/officeDocument/2006/relationships/hyperlink" Target="https://www.physiology.org/doi/full/10.1152/japplphysiol.01041.2018" TargetMode="External"/><Relationship Id="rId78" Type="http://schemas.openxmlformats.org/officeDocument/2006/relationships/hyperlink" Target="https://www.physiology.org/doi/full/10.1152/japplphysiol.01041.2018" TargetMode="External"/><Relationship Id="rId94" Type="http://schemas.openxmlformats.org/officeDocument/2006/relationships/hyperlink" Target="https://www.physiology.org/doi/full/10.1152/japplphysiol.01041.2018" TargetMode="External"/><Relationship Id="rId99" Type="http://schemas.openxmlformats.org/officeDocument/2006/relationships/hyperlink" Target="https://www.physiology.org/doi/full/10.1152/japplphysiol.01041.2018" TargetMode="External"/><Relationship Id="rId101" Type="http://schemas.openxmlformats.org/officeDocument/2006/relationships/hyperlink" Target="https://www.physiology.org/doi/full/10.1152/japplphysiol.01041.2018" TargetMode="External"/><Relationship Id="rId122" Type="http://schemas.openxmlformats.org/officeDocument/2006/relationships/hyperlink" Target="https://www.physiology.org/doi/full/10.1152/japplphysiol.01041.2018" TargetMode="External"/><Relationship Id="rId143" Type="http://schemas.openxmlformats.org/officeDocument/2006/relationships/hyperlink" Target="https://www.physiology.org/doi/full/10.1152/japplphysiol.01041.2018" TargetMode="External"/><Relationship Id="rId148" Type="http://schemas.openxmlformats.org/officeDocument/2006/relationships/hyperlink" Target="https://www.physiology.org/doi/full/10.1152/japplphysiol.01041.2018"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26" Type="http://schemas.openxmlformats.org/officeDocument/2006/relationships/hyperlink" Target="https://www.physiology.org/doi/full/10.1152/japplphysiol.01041.2018" TargetMode="External"/><Relationship Id="rId47" Type="http://schemas.openxmlformats.org/officeDocument/2006/relationships/hyperlink" Target="https://www.physiology.org/doi/full/10.1152/japplphysiol.01041.2018" TargetMode="External"/><Relationship Id="rId68" Type="http://schemas.openxmlformats.org/officeDocument/2006/relationships/hyperlink" Target="https://www.physiology.org/doi/full/10.1152/japplphysiol.01041.2018" TargetMode="External"/><Relationship Id="rId89" Type="http://schemas.openxmlformats.org/officeDocument/2006/relationships/image" Target="media/image1.gif"/><Relationship Id="rId112" Type="http://schemas.openxmlformats.org/officeDocument/2006/relationships/hyperlink" Target="https://www.physiology.org/doi/full/10.1152/japplphysiol.01041.2018" TargetMode="External"/><Relationship Id="rId133" Type="http://schemas.openxmlformats.org/officeDocument/2006/relationships/hyperlink" Target="https://www.physiology.org/doi/full/10.1152/japplphysiol.01041.2018" TargetMode="External"/><Relationship Id="rId154" Type="http://schemas.openxmlformats.org/officeDocument/2006/relationships/hyperlink" Target="https://www.physiology.org/doi/full/10.1152/japplphysiol.01041.2018" TargetMode="External"/><Relationship Id="rId16" Type="http://schemas.openxmlformats.org/officeDocument/2006/relationships/hyperlink" Target="https://www.physiology.org/doi/full/10.1152/japplphysiol.01041.2018" TargetMode="External"/><Relationship Id="rId37" Type="http://schemas.openxmlformats.org/officeDocument/2006/relationships/hyperlink" Target="https://www.physiology.org/doi/full/10.1152/japplphysiol.01041.2018" TargetMode="External"/><Relationship Id="rId58" Type="http://schemas.openxmlformats.org/officeDocument/2006/relationships/hyperlink" Target="https://www.physiology.org/doi/full/10.1152/japplphysiol.01041.2018" TargetMode="External"/><Relationship Id="rId79" Type="http://schemas.openxmlformats.org/officeDocument/2006/relationships/hyperlink" Target="https://www.physiology.org/doi/full/10.1152/japplphysiol.01041.2018" TargetMode="External"/><Relationship Id="rId102" Type="http://schemas.openxmlformats.org/officeDocument/2006/relationships/hyperlink" Target="https://www.physiology.org/doi/full/10.1152/japplphysiol.01041.2018" TargetMode="External"/><Relationship Id="rId123" Type="http://schemas.openxmlformats.org/officeDocument/2006/relationships/hyperlink" Target="https://www.physiology.org/doi/full/10.1152/japplphysiol.01041.2018" TargetMode="External"/><Relationship Id="rId144" Type="http://schemas.openxmlformats.org/officeDocument/2006/relationships/hyperlink" Target="https://www.physiology.org/doi/full/10.1152/japplphysiol.01041.2018" TargetMode="External"/><Relationship Id="rId90" Type="http://schemas.openxmlformats.org/officeDocument/2006/relationships/hyperlink" Target="https://www.physiology.org/doi/full/10.1152/japplphysiol.01041.2018" TargetMode="External"/><Relationship Id="rId27" Type="http://schemas.openxmlformats.org/officeDocument/2006/relationships/hyperlink" Target="https://www.physiology.org/doi/full/10.1152/japplphysiol.01041.2018" TargetMode="External"/><Relationship Id="rId48" Type="http://schemas.openxmlformats.org/officeDocument/2006/relationships/hyperlink" Target="https://www.physiology.org/doi/full/10.1152/japplphysiol.01041.2018" TargetMode="External"/><Relationship Id="rId69" Type="http://schemas.openxmlformats.org/officeDocument/2006/relationships/hyperlink" Target="https://www.physiology.org/doi/full/10.1152/japplphysiol.01041.2018" TargetMode="External"/><Relationship Id="rId113" Type="http://schemas.openxmlformats.org/officeDocument/2006/relationships/hyperlink" Target="https://www.physiology.org/doi/full/10.1152/japplphysiol.01041.2018" TargetMode="External"/><Relationship Id="rId134" Type="http://schemas.openxmlformats.org/officeDocument/2006/relationships/hyperlink" Target="https://www.physiology.org/doi/full/10.1152/japplphysiol.01041.2018" TargetMode="External"/><Relationship Id="rId80" Type="http://schemas.openxmlformats.org/officeDocument/2006/relationships/hyperlink" Target="https://www.physiology.org/doi/full/10.1152/japplphysiol.01041.2018" TargetMode="External"/><Relationship Id="rId155" Type="http://schemas.openxmlformats.org/officeDocument/2006/relationships/hyperlink" Target="https://www.physiology.org/doi/full/10.1152/japplphysiol.01041.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2B858B-225D-4E26-9207-15943D8D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23</Pages>
  <Words>12962</Words>
  <Characters>73630</Characters>
  <Application>Microsoft Office Word</Application>
  <DocSecurity>8</DocSecurity>
  <Lines>1840</Lines>
  <Paragraphs>874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83</cp:revision>
  <dcterms:created xsi:type="dcterms:W3CDTF">2019-09-25T18:58:00Z</dcterms:created>
  <dcterms:modified xsi:type="dcterms:W3CDTF">2019-09-30T14:09:00Z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