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86F9F25" w:rsidR="000A7622" w:rsidRPr="00C04F25" w:rsidRDefault="00451F88" w:rsidP="00D14423">
      <w:pPr>
        <w:autoSpaceDE w:val="0"/>
        <w:autoSpaceDN w:val="0"/>
        <w:adjustRightInd w:val="0"/>
        <w:rPr>
          <w:rFonts w:cstheme="minorHAnsi"/>
          <w:b/>
          <w:bCs/>
          <w:i/>
          <w:iCs/>
          <w:sz w:val="32"/>
          <w:szCs w:val="32"/>
        </w:rPr>
      </w:pPr>
      <w:r>
        <w:rPr>
          <w:rFonts w:cstheme="minorHAnsi"/>
          <w:b/>
          <w:bCs/>
          <w:i/>
          <w:iCs/>
          <w:sz w:val="32"/>
          <w:szCs w:val="32"/>
        </w:rPr>
        <w:t xml:space="preserve">Finance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 Administration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D5ABD8C" w:rsidR="000A7622" w:rsidRDefault="00A9619A" w:rsidP="00D14423">
      <w:pPr>
        <w:rPr>
          <w:rFonts w:cstheme="minorHAnsi"/>
          <w:sz w:val="24"/>
          <w:szCs w:val="24"/>
        </w:rPr>
      </w:pPr>
      <w:proofErr w:type="spellStart"/>
      <w:r>
        <w:rPr>
          <w:rFonts w:cstheme="minorHAnsi"/>
          <w:i/>
          <w:sz w:val="24"/>
          <w:szCs w:val="24"/>
          <w:lang w:val="fr-FR"/>
        </w:rPr>
        <w:t>Managerial</w:t>
      </w:r>
      <w:proofErr w:type="spellEnd"/>
      <w:r>
        <w:rPr>
          <w:rFonts w:cstheme="minorHAnsi"/>
          <w:i/>
          <w:sz w:val="24"/>
          <w:szCs w:val="24"/>
          <w:lang w:val="fr-FR"/>
        </w:rPr>
        <w:t xml:space="preserve"> Finance</w:t>
      </w:r>
      <w:r w:rsidR="000A7622" w:rsidRPr="00C04F25">
        <w:rPr>
          <w:rFonts w:cstheme="minorHAnsi"/>
          <w:sz w:val="24"/>
          <w:szCs w:val="24"/>
          <w:lang w:val="fr-FR"/>
        </w:rPr>
        <w:t xml:space="preserve">, Vol. </w:t>
      </w:r>
      <w:r>
        <w:rPr>
          <w:rFonts w:cstheme="minorHAnsi"/>
          <w:sz w:val="24"/>
          <w:szCs w:val="24"/>
          <w:lang w:val="fr-FR"/>
        </w:rPr>
        <w:t>46</w:t>
      </w:r>
      <w:r w:rsidR="000A7622" w:rsidRPr="00C04F25">
        <w:rPr>
          <w:rFonts w:cstheme="minorHAnsi"/>
          <w:sz w:val="24"/>
          <w:szCs w:val="24"/>
          <w:lang w:val="fr-FR"/>
        </w:rPr>
        <w:t xml:space="preserve">, No. </w:t>
      </w:r>
      <w:r>
        <w:rPr>
          <w:rFonts w:cstheme="minorHAnsi"/>
          <w:sz w:val="24"/>
          <w:szCs w:val="24"/>
          <w:lang w:val="fr-FR"/>
        </w:rPr>
        <w:t>5</w:t>
      </w:r>
      <w:r w:rsidR="000A7622" w:rsidRPr="00C04F25">
        <w:rPr>
          <w:rFonts w:cstheme="minorHAnsi"/>
          <w:sz w:val="24"/>
          <w:szCs w:val="24"/>
          <w:lang w:val="fr-FR"/>
        </w:rPr>
        <w:t xml:space="preserve"> (</w:t>
      </w:r>
      <w:r>
        <w:rPr>
          <w:rFonts w:cstheme="minorHAnsi"/>
          <w:sz w:val="24"/>
          <w:szCs w:val="24"/>
          <w:lang w:val="fr-FR"/>
        </w:rPr>
        <w:t>2020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590-598</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D87169">
        <w:rPr>
          <w:rFonts w:cstheme="minorHAnsi"/>
          <w:sz w:val="24"/>
          <w:szCs w:val="24"/>
        </w:rPr>
        <w:t>Emerald</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D87169">
        <w:rPr>
          <w:rFonts w:cstheme="minorHAnsi"/>
          <w:sz w:val="24"/>
          <w:szCs w:val="24"/>
        </w:rPr>
        <w:t>Emerald</w:t>
      </w:r>
      <w:r w:rsidR="000A7622" w:rsidRPr="00C04F25">
        <w:rPr>
          <w:rFonts w:cstheme="minorHAnsi"/>
          <w:sz w:val="24"/>
          <w:szCs w:val="24"/>
        </w:rPr>
        <w:t xml:space="preserve"> does not grant permission for this article to be further copied/distributed or hosted elsewhere without the express permission from </w:t>
      </w:r>
      <w:r w:rsidR="00D87169">
        <w:rPr>
          <w:rFonts w:cstheme="minorHAnsi"/>
          <w:sz w:val="24"/>
          <w:szCs w:val="24"/>
        </w:rPr>
        <w:t>Emerald</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125BC674" w14:textId="121505DB" w:rsidR="00133C64" w:rsidRDefault="00133C64" w:rsidP="006C44DB">
      <w:pPr>
        <w:pStyle w:val="Title"/>
      </w:pPr>
      <w:r w:rsidRPr="00133C64">
        <w:t xml:space="preserve">How </w:t>
      </w:r>
      <w:r w:rsidR="006C44DB" w:rsidRPr="00133C64">
        <w:t xml:space="preserve">To Develop Successful and Ethical Investment Analysts: </w:t>
      </w:r>
      <w:r w:rsidRPr="00133C64">
        <w:t xml:space="preserve">Marquette University’s Applied Investment Management </w:t>
      </w:r>
      <w:r w:rsidR="006C44DB" w:rsidRPr="00133C64">
        <w:t>Program</w:t>
      </w:r>
    </w:p>
    <w:p w14:paraId="1D4EE2CD" w14:textId="77777777" w:rsidR="006C44DB" w:rsidRPr="006C44DB" w:rsidRDefault="006C44DB" w:rsidP="006C44DB"/>
    <w:p w14:paraId="605BEC7B" w14:textId="77777777" w:rsidR="001736E9" w:rsidRPr="000838E8" w:rsidRDefault="00133C64" w:rsidP="000838E8">
      <w:pPr>
        <w:pStyle w:val="NoSpacing"/>
        <w:rPr>
          <w:sz w:val="32"/>
          <w:szCs w:val="32"/>
        </w:rPr>
      </w:pPr>
      <w:r w:rsidRPr="000838E8">
        <w:rPr>
          <w:sz w:val="32"/>
          <w:szCs w:val="32"/>
        </w:rPr>
        <w:t>Matteo Arena</w:t>
      </w:r>
    </w:p>
    <w:p w14:paraId="2D5149F6" w14:textId="77777777" w:rsidR="000838E8" w:rsidRPr="000838E8" w:rsidRDefault="000838E8" w:rsidP="000838E8">
      <w:pPr>
        <w:pStyle w:val="NoSpacing"/>
        <w:rPr>
          <w:sz w:val="24"/>
          <w:szCs w:val="24"/>
        </w:rPr>
      </w:pPr>
      <w:r w:rsidRPr="000838E8">
        <w:rPr>
          <w:sz w:val="24"/>
          <w:szCs w:val="24"/>
        </w:rPr>
        <w:t>College of Business Administration, Marquette University, Milwaukee, Wisconsin</w:t>
      </w:r>
    </w:p>
    <w:p w14:paraId="65D901F7" w14:textId="2305B72F" w:rsidR="00133C64" w:rsidRPr="000838E8" w:rsidRDefault="00133C64" w:rsidP="000838E8">
      <w:pPr>
        <w:pStyle w:val="NoSpacing"/>
        <w:rPr>
          <w:sz w:val="32"/>
          <w:szCs w:val="32"/>
        </w:rPr>
      </w:pPr>
      <w:r w:rsidRPr="000838E8">
        <w:rPr>
          <w:sz w:val="32"/>
          <w:szCs w:val="32"/>
        </w:rPr>
        <w:t>David K. Krause </w:t>
      </w:r>
    </w:p>
    <w:p w14:paraId="5FFEC776" w14:textId="5B37CEB9" w:rsidR="001736E9" w:rsidRPr="000838E8" w:rsidRDefault="000838E8" w:rsidP="000838E8">
      <w:pPr>
        <w:pStyle w:val="NoSpacing"/>
        <w:rPr>
          <w:sz w:val="24"/>
          <w:szCs w:val="24"/>
        </w:rPr>
      </w:pPr>
      <w:r w:rsidRPr="000838E8">
        <w:rPr>
          <w:sz w:val="24"/>
          <w:szCs w:val="24"/>
        </w:rPr>
        <w:t>College of Business Administration, Marquette University, Milwaukee, Wisconsin</w:t>
      </w:r>
    </w:p>
    <w:p w14:paraId="6F280FA1" w14:textId="77777777" w:rsidR="001736E9" w:rsidRDefault="001736E9" w:rsidP="00133C64">
      <w:pPr>
        <w:rPr>
          <w:rFonts w:cstheme="minorHAnsi"/>
          <w:sz w:val="24"/>
          <w:szCs w:val="24"/>
        </w:rPr>
      </w:pPr>
    </w:p>
    <w:p w14:paraId="3578B98F" w14:textId="4C36D8CD" w:rsidR="00133C64" w:rsidRPr="00133C64" w:rsidRDefault="00133C64" w:rsidP="000838E8">
      <w:pPr>
        <w:pStyle w:val="Heading1"/>
      </w:pPr>
      <w:r w:rsidRPr="00133C64">
        <w:t>Abstract</w:t>
      </w:r>
    </w:p>
    <w:p w14:paraId="73737F2F" w14:textId="77777777" w:rsidR="00133C64" w:rsidRPr="00133C64" w:rsidRDefault="00133C64" w:rsidP="000838E8">
      <w:pPr>
        <w:pStyle w:val="Heading2"/>
      </w:pPr>
      <w:r w:rsidRPr="00133C64">
        <w:t>Purpose</w:t>
      </w:r>
    </w:p>
    <w:p w14:paraId="30E31EEB" w14:textId="77777777" w:rsidR="00133C64" w:rsidRPr="00133C64" w:rsidRDefault="00133C64" w:rsidP="00133C64">
      <w:pPr>
        <w:rPr>
          <w:rFonts w:cstheme="minorHAnsi"/>
          <w:sz w:val="24"/>
          <w:szCs w:val="24"/>
        </w:rPr>
      </w:pPr>
      <w:r w:rsidRPr="00133C64">
        <w:rPr>
          <w:rFonts w:cstheme="minorHAnsi"/>
          <w:sz w:val="24"/>
          <w:szCs w:val="24"/>
        </w:rPr>
        <w:t>The purpose of this paper is to suggest best practices for managing a successful student-managed investment program (SMIP) based on the experience of the Marquette University’s Applied Investment Management (AIM) program.</w:t>
      </w:r>
    </w:p>
    <w:p w14:paraId="1425E621" w14:textId="77777777" w:rsidR="00133C64" w:rsidRPr="00133C64" w:rsidRDefault="00133C64" w:rsidP="000838E8">
      <w:pPr>
        <w:pStyle w:val="Heading2"/>
      </w:pPr>
      <w:r w:rsidRPr="00133C64">
        <w:t>Design/methodology/approach</w:t>
      </w:r>
    </w:p>
    <w:p w14:paraId="0CFA41C7" w14:textId="77777777" w:rsidR="00133C64" w:rsidRPr="00133C64" w:rsidRDefault="00133C64" w:rsidP="00133C64">
      <w:pPr>
        <w:rPr>
          <w:rFonts w:cstheme="minorHAnsi"/>
          <w:sz w:val="24"/>
          <w:szCs w:val="24"/>
        </w:rPr>
      </w:pPr>
      <w:r w:rsidRPr="00133C64">
        <w:rPr>
          <w:rFonts w:cstheme="minorHAnsi"/>
          <w:sz w:val="24"/>
          <w:szCs w:val="24"/>
        </w:rPr>
        <w:t>The authors provide a detailed description of the program curriculum, instructional design, fund structure, program history, fund performance and student outcomes.</w:t>
      </w:r>
    </w:p>
    <w:p w14:paraId="77BA3533" w14:textId="77777777" w:rsidR="00133C64" w:rsidRPr="00133C64" w:rsidRDefault="00133C64" w:rsidP="000838E8">
      <w:pPr>
        <w:pStyle w:val="Heading2"/>
      </w:pPr>
      <w:r w:rsidRPr="00133C64">
        <w:t>Findings</w:t>
      </w:r>
    </w:p>
    <w:p w14:paraId="3D97D16D" w14:textId="77777777" w:rsidR="00133C64" w:rsidRPr="00133C64" w:rsidRDefault="00133C64" w:rsidP="00133C64">
      <w:pPr>
        <w:rPr>
          <w:rFonts w:cstheme="minorHAnsi"/>
          <w:sz w:val="24"/>
          <w:szCs w:val="24"/>
        </w:rPr>
      </w:pPr>
      <w:r w:rsidRPr="00133C64">
        <w:rPr>
          <w:rFonts w:cstheme="minorHAnsi"/>
          <w:sz w:val="24"/>
          <w:szCs w:val="24"/>
        </w:rPr>
        <w:t>Through its experiential learning innovations, focus on ethics and close relationships with a dedicated alumni group, the AIM program prepares students for a successful career in investment analysis. Students who graduate from the AIM program experience a significantly higher successful placement rate and higher compensation at their first post-graduation job than finance major students who graduate outside the program.</w:t>
      </w:r>
    </w:p>
    <w:p w14:paraId="044A0BA8" w14:textId="77777777" w:rsidR="00133C64" w:rsidRPr="00133C64" w:rsidRDefault="00133C64" w:rsidP="000838E8">
      <w:pPr>
        <w:pStyle w:val="Heading2"/>
      </w:pPr>
      <w:r w:rsidRPr="00133C64">
        <w:t>Originality/value</w:t>
      </w:r>
    </w:p>
    <w:p w14:paraId="27ADE355" w14:textId="77777777" w:rsidR="00133C64" w:rsidRPr="00133C64" w:rsidRDefault="00133C64" w:rsidP="00133C64">
      <w:pPr>
        <w:rPr>
          <w:rFonts w:cstheme="minorHAnsi"/>
          <w:sz w:val="24"/>
          <w:szCs w:val="24"/>
        </w:rPr>
      </w:pPr>
      <w:r w:rsidRPr="00133C64">
        <w:rPr>
          <w:rFonts w:cstheme="minorHAnsi"/>
          <w:sz w:val="24"/>
          <w:szCs w:val="24"/>
        </w:rPr>
        <w:t>This paper provides a detailed description of the distinguishing characteristics of the AIM program and, in doing so, it offers ideas that could be implemented by other SMIPs to improve student satisfaction, proficiency in investment analysis and employment prospects.</w:t>
      </w:r>
    </w:p>
    <w:p w14:paraId="54F6E94D" w14:textId="77777777" w:rsidR="00133C64" w:rsidRPr="00133C64" w:rsidRDefault="00133C64" w:rsidP="000838E8">
      <w:pPr>
        <w:pStyle w:val="Heading1"/>
      </w:pPr>
      <w:r w:rsidRPr="00133C64">
        <w:t>Keywords</w:t>
      </w:r>
    </w:p>
    <w:p w14:paraId="6A466D46" w14:textId="5BFD83DC" w:rsidR="00133C64" w:rsidRPr="000838E8" w:rsidRDefault="00133C64" w:rsidP="000838E8">
      <w:pPr>
        <w:pStyle w:val="NoSpacing"/>
      </w:pPr>
      <w:hyperlink r:id="rId11" w:tooltip="Search for keyword Financial education" w:history="1">
        <w:r w:rsidRPr="000838E8">
          <w:rPr>
            <w:rStyle w:val="Hyperlink"/>
            <w:color w:val="auto"/>
            <w:u w:val="none"/>
          </w:rPr>
          <w:t>Financial education</w:t>
        </w:r>
      </w:hyperlink>
      <w:r w:rsidR="000838E8">
        <w:t xml:space="preserve">, </w:t>
      </w:r>
      <w:hyperlink r:id="rId12" w:tooltip="Search for keyword Student-managed investment funds (SMIF)" w:history="1">
        <w:r w:rsidRPr="000838E8">
          <w:rPr>
            <w:rStyle w:val="Hyperlink"/>
            <w:color w:val="auto"/>
            <w:u w:val="none"/>
          </w:rPr>
          <w:t>Student-managed investment funds (SMIF)</w:t>
        </w:r>
      </w:hyperlink>
      <w:r w:rsidR="000838E8">
        <w:t xml:space="preserve">, </w:t>
      </w:r>
      <w:hyperlink r:id="rId13" w:tooltip="Search for keyword Investment ethics" w:history="1">
        <w:r w:rsidRPr="000838E8">
          <w:rPr>
            <w:rStyle w:val="Hyperlink"/>
            <w:color w:val="auto"/>
            <w:u w:val="none"/>
          </w:rPr>
          <w:t>Investment ethics</w:t>
        </w:r>
      </w:hyperlink>
      <w:r w:rsidR="000838E8">
        <w:t xml:space="preserve">, </w:t>
      </w:r>
      <w:hyperlink r:id="rId14" w:tooltip="Search for keyword Student-managed investment programs (SMIP)" w:history="1">
        <w:r w:rsidRPr="000838E8">
          <w:rPr>
            <w:rStyle w:val="Hyperlink"/>
            <w:color w:val="auto"/>
            <w:u w:val="none"/>
          </w:rPr>
          <w:t>Student-managed investment programs (SMIP)</w:t>
        </w:r>
      </w:hyperlink>
    </w:p>
    <w:p w14:paraId="037BB450" w14:textId="77777777" w:rsidR="00133C64" w:rsidRPr="00133C64" w:rsidRDefault="00133C64" w:rsidP="001539AE">
      <w:pPr>
        <w:pStyle w:val="Heading1"/>
      </w:pPr>
      <w:r w:rsidRPr="00133C64">
        <w:t>1. Introduction</w:t>
      </w:r>
    </w:p>
    <w:p w14:paraId="3BC10F25" w14:textId="01E98559" w:rsidR="00133C64" w:rsidRPr="00133C64" w:rsidRDefault="00133C64" w:rsidP="00133C64">
      <w:pPr>
        <w:rPr>
          <w:rFonts w:cstheme="minorHAnsi"/>
          <w:sz w:val="24"/>
          <w:szCs w:val="24"/>
        </w:rPr>
      </w:pPr>
      <w:r w:rsidRPr="00133C64">
        <w:rPr>
          <w:rFonts w:cstheme="minorHAnsi"/>
          <w:sz w:val="24"/>
          <w:szCs w:val="24"/>
        </w:rPr>
        <w:t>Even though the educational model of “learning by doing” in modern higher education can be traced back to Dewey (1938), experiential learning (or applied learning) has only recently become widespread (McCarthy, 2010). Business schools understand the importance of providing experiential learning opportunities to their students to best prepare them for the job market (Clark and White, 2010). However, many of the applied learning components offered by universities, such as shadow programs and internships, are not directly linked to the academic concepts and theory taught in the classroom. As a result, students occasionally struggle to clearly see the connection between what is learned in the classroom and what is observed in the business world (</w:t>
      </w:r>
      <w:proofErr w:type="spellStart"/>
      <w:r w:rsidRPr="00133C64">
        <w:rPr>
          <w:rFonts w:cstheme="minorHAnsi"/>
          <w:sz w:val="24"/>
          <w:szCs w:val="24"/>
        </w:rPr>
        <w:t>Knouse</w:t>
      </w:r>
      <w:proofErr w:type="spellEnd"/>
      <w:r w:rsidRPr="00133C64">
        <w:rPr>
          <w:rFonts w:cstheme="minorHAnsi"/>
          <w:sz w:val="24"/>
          <w:szCs w:val="24"/>
        </w:rPr>
        <w:t xml:space="preserve"> and Fontenot, 2011). Student-managed investment funds (SMIFs) avoid this pitfall as they allow students to directly apply finance, accounting and economics concepts by making real investment decisions with direct and observable results (</w:t>
      </w:r>
      <w:proofErr w:type="gramStart"/>
      <w:r w:rsidRPr="00133C64">
        <w:rPr>
          <w:rFonts w:cstheme="minorHAnsi"/>
          <w:sz w:val="24"/>
          <w:szCs w:val="24"/>
        </w:rPr>
        <w:t>i.e.</w:t>
      </w:r>
      <w:proofErr w:type="gramEnd"/>
      <w:r w:rsidRPr="00133C64">
        <w:rPr>
          <w:rFonts w:cstheme="minorHAnsi"/>
          <w:sz w:val="24"/>
          <w:szCs w:val="24"/>
        </w:rPr>
        <w:t> Neely and Cooley, 2004; Lawrence, 2008; Dolan and Stevens, 2010; Ammerman </w:t>
      </w:r>
      <w:r w:rsidRPr="00133C64">
        <w:rPr>
          <w:rFonts w:cstheme="minorHAnsi"/>
          <w:i/>
          <w:iCs/>
          <w:sz w:val="24"/>
          <w:szCs w:val="24"/>
        </w:rPr>
        <w:t>et al.</w:t>
      </w:r>
      <w:r w:rsidRPr="00133C64">
        <w:rPr>
          <w:rFonts w:cstheme="minorHAnsi"/>
          <w:sz w:val="24"/>
          <w:szCs w:val="24"/>
        </w:rPr>
        <w:t xml:space="preserve">, 2011). SMIFs are highly effective at developing communication, leadership, </w:t>
      </w:r>
      <w:proofErr w:type="gramStart"/>
      <w:r w:rsidRPr="00133C64">
        <w:rPr>
          <w:rFonts w:cstheme="minorHAnsi"/>
          <w:sz w:val="24"/>
          <w:szCs w:val="24"/>
        </w:rPr>
        <w:t>presentation</w:t>
      </w:r>
      <w:proofErr w:type="gramEnd"/>
      <w:r w:rsidRPr="00133C64">
        <w:rPr>
          <w:rFonts w:cstheme="minorHAnsi"/>
          <w:sz w:val="24"/>
          <w:szCs w:val="24"/>
        </w:rPr>
        <w:t xml:space="preserve"> and interpersonal skills (Lamb </w:t>
      </w:r>
      <w:r w:rsidRPr="00133C64">
        <w:rPr>
          <w:rFonts w:cstheme="minorHAnsi"/>
          <w:i/>
          <w:iCs/>
          <w:sz w:val="24"/>
          <w:szCs w:val="24"/>
        </w:rPr>
        <w:t>et al.</w:t>
      </w:r>
      <w:r w:rsidRPr="00133C64">
        <w:rPr>
          <w:rFonts w:cstheme="minorHAnsi"/>
          <w:sz w:val="24"/>
          <w:szCs w:val="24"/>
        </w:rPr>
        <w:t>, 2015; Charlton </w:t>
      </w:r>
      <w:r w:rsidRPr="00133C64">
        <w:rPr>
          <w:rFonts w:cstheme="minorHAnsi"/>
          <w:i/>
          <w:iCs/>
          <w:sz w:val="24"/>
          <w:szCs w:val="24"/>
        </w:rPr>
        <w:t>et al.</w:t>
      </w:r>
      <w:r w:rsidRPr="00133C64">
        <w:rPr>
          <w:rFonts w:cstheme="minorHAnsi"/>
          <w:sz w:val="24"/>
          <w:szCs w:val="24"/>
        </w:rPr>
        <w:t>, 2015; </w:t>
      </w:r>
      <w:proofErr w:type="spellStart"/>
      <w:r w:rsidRPr="00133C64">
        <w:rPr>
          <w:rFonts w:cstheme="minorHAnsi"/>
          <w:sz w:val="24"/>
          <w:szCs w:val="24"/>
        </w:rPr>
        <w:t>Clinebell</w:t>
      </w:r>
      <w:proofErr w:type="spellEnd"/>
      <w:r w:rsidRPr="00133C64">
        <w:rPr>
          <w:rFonts w:cstheme="minorHAnsi"/>
          <w:sz w:val="24"/>
          <w:szCs w:val="24"/>
        </w:rPr>
        <w:t xml:space="preserve"> and Murphy, 2016).</w:t>
      </w:r>
    </w:p>
    <w:p w14:paraId="786ECD1D" w14:textId="77777777" w:rsidR="00133C64" w:rsidRPr="00133C64" w:rsidRDefault="00133C64" w:rsidP="00133C64">
      <w:pPr>
        <w:rPr>
          <w:rFonts w:cstheme="minorHAnsi"/>
          <w:sz w:val="24"/>
          <w:szCs w:val="24"/>
        </w:rPr>
      </w:pPr>
      <w:r w:rsidRPr="00133C64">
        <w:rPr>
          <w:rFonts w:cstheme="minorHAnsi"/>
          <w:sz w:val="24"/>
          <w:szCs w:val="24"/>
        </w:rPr>
        <w:t xml:space="preserve">In this paper we focus on the Applied Investment Management (AIM) program at Marquette University. Structured differently than most other SMIFs, the AIM program is a </w:t>
      </w:r>
      <w:proofErr w:type="spellStart"/>
      <w:r w:rsidRPr="00133C64">
        <w:rPr>
          <w:rFonts w:cstheme="minorHAnsi"/>
          <w:sz w:val="24"/>
          <w:szCs w:val="24"/>
        </w:rPr>
        <w:t>fullfledged</w:t>
      </w:r>
      <w:proofErr w:type="spellEnd"/>
      <w:r w:rsidRPr="00133C64">
        <w:rPr>
          <w:rFonts w:cstheme="minorHAnsi"/>
          <w:sz w:val="24"/>
          <w:szCs w:val="24"/>
        </w:rPr>
        <w:t xml:space="preserve"> student-managed investment program (SMIPs) with a curriculum that is distinct from the traditional finance major. Following a rigorous application process, which includes interviews with faculty and alumni, a handful of students are selected into the program every year. Program participants take tailored courses in investment analysis, participate to fund investment decisions, frequently pitch their stock selections in front of professionals and participate in selective investment analysis and investment banking internships made available through a dedicated AIM-specific professional network. Therefore, the experiential learning experience offered by the AIM program is holistic, fully blending theory with practice and preparing students for a successful career in finance.</w:t>
      </w:r>
    </w:p>
    <w:p w14:paraId="4DBFC719" w14:textId="271C2F0C" w:rsidR="00133C64" w:rsidRPr="00133C64" w:rsidRDefault="00133C64" w:rsidP="00133C64">
      <w:pPr>
        <w:rPr>
          <w:rFonts w:cstheme="minorHAnsi"/>
          <w:sz w:val="24"/>
          <w:szCs w:val="24"/>
        </w:rPr>
      </w:pPr>
      <w:r w:rsidRPr="00133C64">
        <w:rPr>
          <w:rFonts w:cstheme="minorHAnsi"/>
          <w:sz w:val="24"/>
          <w:szCs w:val="24"/>
        </w:rPr>
        <w:t>The AIM program has been a pioneer among undergraduate student-managed programs and funds through innovations that have later been implemented by other universities. For instance, the AIM program was the first undergraduate program to become a CFA® partner, as well as the first to introduce an international equity fund and an ETF-centric fixed income fund (</w:t>
      </w:r>
      <w:proofErr w:type="spellStart"/>
      <w:r w:rsidRPr="00133C64">
        <w:rPr>
          <w:rFonts w:cstheme="minorHAnsi"/>
          <w:sz w:val="24"/>
          <w:szCs w:val="24"/>
        </w:rPr>
        <w:t>Dewally</w:t>
      </w:r>
      <w:proofErr w:type="spellEnd"/>
      <w:r w:rsidRPr="00133C64">
        <w:rPr>
          <w:rFonts w:cstheme="minorHAnsi"/>
          <w:sz w:val="24"/>
          <w:szCs w:val="24"/>
        </w:rPr>
        <w:t xml:space="preserve"> and Krause, 2009). In this paper we discuss these innovations along with other unique characteristics of the program such as its focus on investment ethics, weekly professional stock presentations to the investment community, full social media integration and an extensive use of executive co-teachers who complement the theoretical knowledge of the tenure-track faculty with professional applications in emerging financial technologies and data analytics.</w:t>
      </w:r>
    </w:p>
    <w:p w14:paraId="5145E3C5" w14:textId="33FE8D10" w:rsidR="00133C64" w:rsidRPr="00133C64" w:rsidRDefault="00133C64" w:rsidP="00133C64">
      <w:pPr>
        <w:rPr>
          <w:rFonts w:cstheme="minorHAnsi"/>
          <w:sz w:val="24"/>
          <w:szCs w:val="24"/>
        </w:rPr>
      </w:pPr>
      <w:r w:rsidRPr="00133C64">
        <w:rPr>
          <w:rFonts w:cstheme="minorHAnsi"/>
          <w:sz w:val="24"/>
          <w:szCs w:val="24"/>
        </w:rPr>
        <w:t>The remainder of the paper is organized as follows. Section 2 presents an in-depth discussion of the AIM program, including its curriculum and instructional design. Section 3 focuses on the investment funds managed by the AIM students. Section 4 provides a brief chronology of the AIM program. Section 5 discusses the fund performance and student outcomes. Section 6 concludes.</w:t>
      </w:r>
    </w:p>
    <w:p w14:paraId="013FE6AB" w14:textId="77777777" w:rsidR="00133C64" w:rsidRPr="00133C64" w:rsidRDefault="00133C64" w:rsidP="001539AE">
      <w:pPr>
        <w:pStyle w:val="Heading1"/>
      </w:pPr>
      <w:r w:rsidRPr="00133C64">
        <w:t>2. The Applied Investment Management program and Marquette University</w:t>
      </w:r>
    </w:p>
    <w:p w14:paraId="0B80E965" w14:textId="77777777" w:rsidR="00133C64" w:rsidRPr="00133C64" w:rsidRDefault="00133C64" w:rsidP="00133C64">
      <w:pPr>
        <w:rPr>
          <w:rFonts w:cstheme="minorHAnsi"/>
          <w:sz w:val="24"/>
          <w:szCs w:val="24"/>
        </w:rPr>
      </w:pPr>
      <w:r w:rsidRPr="00133C64">
        <w:rPr>
          <w:rFonts w:cstheme="minorHAnsi"/>
          <w:sz w:val="24"/>
          <w:szCs w:val="24"/>
        </w:rPr>
        <w:t>Since its inception in 2005, the mission of the AIM program has been guided by Marquette University’s Jesuit values. The AIM program seeks to provide undergraduate students with the opportunity to integrate financial principles, along with relevant internships and investment experiences, with the goal of developing proficient and ethical investment analysts.</w:t>
      </w:r>
    </w:p>
    <w:p w14:paraId="6B866ECE" w14:textId="77777777" w:rsidR="00133C64" w:rsidRPr="00133C64" w:rsidRDefault="00133C64" w:rsidP="00133C64">
      <w:pPr>
        <w:rPr>
          <w:rFonts w:cstheme="minorHAnsi"/>
          <w:sz w:val="24"/>
          <w:szCs w:val="24"/>
        </w:rPr>
      </w:pPr>
      <w:r w:rsidRPr="00133C64">
        <w:rPr>
          <w:rFonts w:cstheme="minorHAnsi"/>
          <w:sz w:val="24"/>
          <w:szCs w:val="24"/>
        </w:rPr>
        <w:t>The instructional format of the program is designed to actively support the students’ ability to acquire knowledge and to successfully apply it – while at the same time developing future financial leaders ethically for the lasting benefit of society at large. The program’s mission is accomplished through an experiential learning process which enables students to master applied data analysis, develop problem solving skills, conduct investment research and become effective communicators.</w:t>
      </w:r>
    </w:p>
    <w:p w14:paraId="1F55B323" w14:textId="77777777" w:rsidR="00133C64" w:rsidRPr="00133C64" w:rsidRDefault="00133C64" w:rsidP="00133C64">
      <w:pPr>
        <w:rPr>
          <w:rFonts w:cstheme="minorHAnsi"/>
          <w:sz w:val="24"/>
          <w:szCs w:val="24"/>
        </w:rPr>
      </w:pPr>
      <w:r w:rsidRPr="00133C64">
        <w:rPr>
          <w:rFonts w:cstheme="minorHAnsi"/>
          <w:sz w:val="24"/>
          <w:szCs w:val="24"/>
        </w:rPr>
        <w:t xml:space="preserve">Students in the program attend AIM courses and perform their securities research in a dedicated high-tech research room. The AIM research room includes 28 workstations with dual monitors, </w:t>
      </w:r>
      <w:proofErr w:type="gramStart"/>
      <w:r w:rsidRPr="00133C64">
        <w:rPr>
          <w:rFonts w:cstheme="minorHAnsi"/>
          <w:sz w:val="24"/>
          <w:szCs w:val="24"/>
        </w:rPr>
        <w:t>similar to</w:t>
      </w:r>
      <w:proofErr w:type="gramEnd"/>
      <w:r w:rsidRPr="00133C64">
        <w:rPr>
          <w:rFonts w:cstheme="minorHAnsi"/>
          <w:sz w:val="24"/>
          <w:szCs w:val="24"/>
        </w:rPr>
        <w:t xml:space="preserve"> the configuration of an investment firm’s research space. The classes are taught in </w:t>
      </w:r>
      <w:proofErr w:type="gramStart"/>
      <w:r w:rsidRPr="00133C64">
        <w:rPr>
          <w:rFonts w:cstheme="minorHAnsi"/>
          <w:sz w:val="24"/>
          <w:szCs w:val="24"/>
        </w:rPr>
        <w:t>the</w:t>
      </w:r>
      <w:proofErr w:type="gramEnd"/>
      <w:r w:rsidRPr="00133C64">
        <w:rPr>
          <w:rFonts w:cstheme="minorHAnsi"/>
          <w:sz w:val="24"/>
          <w:szCs w:val="24"/>
        </w:rPr>
        <w:t xml:space="preserve"> room and the students have room access seven days a week for nearly 20 h per day. Students have access to a multitude of investment research platforms and databases </w:t>
      </w:r>
      <w:proofErr w:type="gramStart"/>
      <w:r w:rsidRPr="00133C64">
        <w:rPr>
          <w:rFonts w:cstheme="minorHAnsi"/>
          <w:sz w:val="24"/>
          <w:szCs w:val="24"/>
        </w:rPr>
        <w:t>including:</w:t>
      </w:r>
      <w:proofErr w:type="gramEnd"/>
      <w:r w:rsidRPr="00133C64">
        <w:rPr>
          <w:rFonts w:cstheme="minorHAnsi"/>
          <w:sz w:val="24"/>
          <w:szCs w:val="24"/>
        </w:rPr>
        <w:t xml:space="preserve"> Bloomberg, FactSet, Morningstar Direct, Thomson One, WRDS (Wharton Research Data Services), </w:t>
      </w:r>
      <w:proofErr w:type="spellStart"/>
      <w:r w:rsidRPr="00133C64">
        <w:rPr>
          <w:rFonts w:cstheme="minorHAnsi"/>
          <w:sz w:val="24"/>
          <w:szCs w:val="24"/>
        </w:rPr>
        <w:t>Compustat</w:t>
      </w:r>
      <w:proofErr w:type="spellEnd"/>
      <w:r w:rsidRPr="00133C64">
        <w:rPr>
          <w:rFonts w:cstheme="minorHAnsi"/>
          <w:sz w:val="24"/>
          <w:szCs w:val="24"/>
        </w:rPr>
        <w:t xml:space="preserve"> Capital IQ, Business Insights Essentials, Hoover’s and private company reports (via LexisNexis). The AIM research room is equipped with two large financial digital signage screens, numerous televisions, displays, digital whiteboards and video displays. Each Friday afternoon, students present stocks in the AIM room before their peers, </w:t>
      </w:r>
      <w:proofErr w:type="gramStart"/>
      <w:r w:rsidRPr="00133C64">
        <w:rPr>
          <w:rFonts w:cstheme="minorHAnsi"/>
          <w:sz w:val="24"/>
          <w:szCs w:val="24"/>
        </w:rPr>
        <w:t>faculty</w:t>
      </w:r>
      <w:proofErr w:type="gramEnd"/>
      <w:r w:rsidRPr="00133C64">
        <w:rPr>
          <w:rFonts w:cstheme="minorHAnsi"/>
          <w:sz w:val="24"/>
          <w:szCs w:val="24"/>
        </w:rPr>
        <w:t xml:space="preserve"> and alumni. The presentations are </w:t>
      </w:r>
      <w:proofErr w:type="gramStart"/>
      <w:r w:rsidRPr="00133C64">
        <w:rPr>
          <w:rFonts w:cstheme="minorHAnsi"/>
          <w:sz w:val="24"/>
          <w:szCs w:val="24"/>
        </w:rPr>
        <w:t>live-streamed</w:t>
      </w:r>
      <w:proofErr w:type="gramEnd"/>
      <w:r w:rsidRPr="00133C64">
        <w:rPr>
          <w:rFonts w:cstheme="minorHAnsi"/>
          <w:sz w:val="24"/>
          <w:szCs w:val="24"/>
        </w:rPr>
        <w:t xml:space="preserve"> via web camera and viewers can interact through instant messaging and Twitter feeds which are </w:t>
      </w:r>
      <w:proofErr w:type="gramStart"/>
      <w:r w:rsidRPr="00133C64">
        <w:rPr>
          <w:rFonts w:cstheme="minorHAnsi"/>
          <w:sz w:val="24"/>
          <w:szCs w:val="24"/>
        </w:rPr>
        <w:t>displayed</w:t>
      </w:r>
      <w:proofErr w:type="gramEnd"/>
      <w:r w:rsidRPr="00133C64">
        <w:rPr>
          <w:rFonts w:cstheme="minorHAnsi"/>
          <w:sz w:val="24"/>
          <w:szCs w:val="24"/>
        </w:rPr>
        <w:t xml:space="preserve"> real-time during the students’ presentations.</w:t>
      </w:r>
    </w:p>
    <w:p w14:paraId="35C5FCF0" w14:textId="77777777" w:rsidR="00133C64" w:rsidRPr="00133C64" w:rsidRDefault="00133C64" w:rsidP="00133C64">
      <w:pPr>
        <w:rPr>
          <w:rFonts w:cstheme="minorHAnsi"/>
          <w:sz w:val="24"/>
          <w:szCs w:val="24"/>
        </w:rPr>
      </w:pPr>
      <w:r w:rsidRPr="00133C64">
        <w:rPr>
          <w:rFonts w:cstheme="minorHAnsi"/>
          <w:sz w:val="24"/>
          <w:szCs w:val="24"/>
        </w:rPr>
        <w:t>In 2006, the AIM program was the first undergraduate business program selected as a University Program Partner by the Chartered Financial Analysts (CFA)® Institute. The partnership designation was awarded based on offering a degree program that covers at least 70 percent of the CFA® Institute’s Core Body of Knowledge and embraces the Institute’s Code of Ethics and Standards of Professional Conduct. Recognition as a CFA® Institute’s University Affiliation Program signals to prospective students and employers that the program’s curriculum is closely tied to the practice of investment management and is supportive to students preparing for the CFA® exams.</w:t>
      </w:r>
    </w:p>
    <w:p w14:paraId="07855803" w14:textId="77777777" w:rsidR="00133C64" w:rsidRPr="00133C64" w:rsidRDefault="00133C64" w:rsidP="001539AE">
      <w:pPr>
        <w:pStyle w:val="Heading2"/>
      </w:pPr>
      <w:r w:rsidRPr="00133C64">
        <w:t>2.1 AIM program curriculum</w:t>
      </w:r>
    </w:p>
    <w:p w14:paraId="218E0FE2" w14:textId="77777777" w:rsidR="00133C64" w:rsidRPr="00133C64" w:rsidRDefault="00133C64" w:rsidP="00133C64">
      <w:pPr>
        <w:rPr>
          <w:rFonts w:cstheme="minorHAnsi"/>
          <w:sz w:val="24"/>
          <w:szCs w:val="24"/>
        </w:rPr>
      </w:pPr>
      <w:r w:rsidRPr="00133C64">
        <w:rPr>
          <w:rFonts w:cstheme="minorHAnsi"/>
          <w:sz w:val="24"/>
          <w:szCs w:val="24"/>
        </w:rPr>
        <w:t xml:space="preserve">The AIM curriculum is rich with applied learning activities that provide students with practical and valuable experiences which enhance the theory and skills taught in the classroom. These activities consist of student-managed equity and fixed income portfolios, a state-of-the art professionally equipped research room, high-profile executive co-teachers and guest lecturers, mentors, site-visits, academic competitions and </w:t>
      </w:r>
      <w:proofErr w:type="gramStart"/>
      <w:r w:rsidRPr="00133C64">
        <w:rPr>
          <w:rFonts w:cstheme="minorHAnsi"/>
          <w:sz w:val="24"/>
          <w:szCs w:val="24"/>
        </w:rPr>
        <w:t>Summer</w:t>
      </w:r>
      <w:proofErr w:type="gramEnd"/>
      <w:r w:rsidRPr="00133C64">
        <w:rPr>
          <w:rFonts w:cstheme="minorHAnsi"/>
          <w:sz w:val="24"/>
          <w:szCs w:val="24"/>
        </w:rPr>
        <w:t xml:space="preserve"> internships. The curriculum makes extensive use of the CFA Institute’s Core Body of Knowledge®. Wherever possible, CFA texts and supporting materials are utilized as the primary sources of the program’s coursework to help prepare students to successfully undertake the rigorous CFA® Level 1 exam.</w:t>
      </w:r>
    </w:p>
    <w:p w14:paraId="62040BB2" w14:textId="77777777" w:rsidR="00133C64" w:rsidRPr="00133C64" w:rsidRDefault="00133C64" w:rsidP="00133C64">
      <w:pPr>
        <w:rPr>
          <w:rFonts w:cstheme="minorHAnsi"/>
          <w:sz w:val="24"/>
          <w:szCs w:val="24"/>
        </w:rPr>
      </w:pPr>
      <w:r w:rsidRPr="00133C64">
        <w:rPr>
          <w:rFonts w:cstheme="minorHAnsi"/>
          <w:sz w:val="24"/>
          <w:szCs w:val="24"/>
        </w:rPr>
        <w:t>In addition to taking three required finance courses and a minimum of four accounting courses, students in the AIM program are required to complete four unique courses: Introduction to AIM; Financial Analysis and Valuation; Portfolio Management and Current Investment Topics; and Sustainable Finance and Investment Ethics.</w:t>
      </w:r>
    </w:p>
    <w:p w14:paraId="50418727" w14:textId="77777777" w:rsidR="00133C64" w:rsidRPr="00133C64" w:rsidRDefault="00133C64" w:rsidP="00133C64">
      <w:pPr>
        <w:rPr>
          <w:rFonts w:cstheme="minorHAnsi"/>
          <w:sz w:val="24"/>
          <w:szCs w:val="24"/>
        </w:rPr>
      </w:pPr>
      <w:r w:rsidRPr="00133C64">
        <w:rPr>
          <w:rFonts w:cstheme="minorHAnsi"/>
          <w:sz w:val="24"/>
          <w:szCs w:val="24"/>
        </w:rPr>
        <w:t xml:space="preserve">In “Introduction to AIM,” the first required AIM course, students study securities law, regulatory </w:t>
      </w:r>
      <w:proofErr w:type="gramStart"/>
      <w:r w:rsidRPr="00133C64">
        <w:rPr>
          <w:rFonts w:cstheme="minorHAnsi"/>
          <w:sz w:val="24"/>
          <w:szCs w:val="24"/>
        </w:rPr>
        <w:t>issues</w:t>
      </w:r>
      <w:proofErr w:type="gramEnd"/>
      <w:r w:rsidRPr="00133C64">
        <w:rPr>
          <w:rFonts w:cstheme="minorHAnsi"/>
          <w:sz w:val="24"/>
          <w:szCs w:val="24"/>
        </w:rPr>
        <w:t xml:space="preserve"> and the basic elements of the investment research process. They learn how to access and utilize a variety of information sources to support investment research. The second course “Financial Analysis and Valuation” provides students with in-depth knowledge of the various approaches to fundamental investment research and valuation, including exposure to different investment strategies and styles. Students learn to apply key investment tools, quantitative research methods, economic </w:t>
      </w:r>
      <w:proofErr w:type="gramStart"/>
      <w:r w:rsidRPr="00133C64">
        <w:rPr>
          <w:rFonts w:cstheme="minorHAnsi"/>
          <w:sz w:val="24"/>
          <w:szCs w:val="24"/>
        </w:rPr>
        <w:t>relationships</w:t>
      </w:r>
      <w:proofErr w:type="gramEnd"/>
      <w:r w:rsidRPr="00133C64">
        <w:rPr>
          <w:rFonts w:cstheme="minorHAnsi"/>
          <w:sz w:val="24"/>
          <w:szCs w:val="24"/>
        </w:rPr>
        <w:t xml:space="preserve"> and financial statement analysis – while also beginning to manage the AIM equity and fixed income portfolios. A lecture series is included where investment practitioners discuss their investment philosophies, </w:t>
      </w:r>
      <w:proofErr w:type="gramStart"/>
      <w:r w:rsidRPr="00133C64">
        <w:rPr>
          <w:rFonts w:cstheme="minorHAnsi"/>
          <w:sz w:val="24"/>
          <w:szCs w:val="24"/>
        </w:rPr>
        <w:t>strategies</w:t>
      </w:r>
      <w:proofErr w:type="gramEnd"/>
      <w:r w:rsidRPr="00133C64">
        <w:rPr>
          <w:rFonts w:cstheme="minorHAnsi"/>
          <w:sz w:val="24"/>
          <w:szCs w:val="24"/>
        </w:rPr>
        <w:t xml:space="preserve"> and experiences. “Portfolio Management and Current Investment Topics” focuses on the evaluation of financial assets from the portfolio manager’s perspective. The course includes performance measurement, asset allocation, factor analysis and the elements of the portfolio management process. Students manage the AIM portfolios and prepare professional performance reports that are </w:t>
      </w:r>
      <w:proofErr w:type="gramStart"/>
      <w:r w:rsidRPr="00133C64">
        <w:rPr>
          <w:rFonts w:cstheme="minorHAnsi"/>
          <w:sz w:val="24"/>
          <w:szCs w:val="24"/>
        </w:rPr>
        <w:t>present</w:t>
      </w:r>
      <w:proofErr w:type="gramEnd"/>
      <w:r w:rsidRPr="00133C64">
        <w:rPr>
          <w:rFonts w:cstheme="minorHAnsi"/>
          <w:sz w:val="24"/>
          <w:szCs w:val="24"/>
        </w:rPr>
        <w:t xml:space="preserve"> to Marquette University’s administration and alumni. Current investment topics include advances in behavioral finance, data analytics and blockchain technology. The final course “Sustainable Finance and Investment Ethics” is focused on socially responsible investment topics. The objective is to make students aware of the role and importance of making sound ethical and socially responsible decisions. Students acquire a thorough understanding of the Chartered Financial Analyst® professional standards of conduct in the application of ethics to the moral dimensions of money management. The course covers environmental, social and governance factors and investor activism.</w:t>
      </w:r>
    </w:p>
    <w:p w14:paraId="7CEAB4B0" w14:textId="77777777" w:rsidR="00133C64" w:rsidRPr="00133C64" w:rsidRDefault="00133C64" w:rsidP="001539AE">
      <w:pPr>
        <w:pStyle w:val="Heading2"/>
      </w:pPr>
      <w:r w:rsidRPr="00133C64">
        <w:t>2.2 AIM program instructional design</w:t>
      </w:r>
    </w:p>
    <w:p w14:paraId="5322B5C1" w14:textId="77777777" w:rsidR="00133C64" w:rsidRPr="00133C64" w:rsidRDefault="00133C64" w:rsidP="00133C64">
      <w:pPr>
        <w:rPr>
          <w:rFonts w:cstheme="minorHAnsi"/>
          <w:sz w:val="24"/>
          <w:szCs w:val="24"/>
        </w:rPr>
      </w:pPr>
      <w:r w:rsidRPr="00133C64">
        <w:rPr>
          <w:rFonts w:cstheme="minorHAnsi"/>
          <w:sz w:val="24"/>
          <w:szCs w:val="24"/>
        </w:rPr>
        <w:t>Students benefit from the learning process which includes a combination of interactive classroom discussions and hands-on financial analysis. Class meetings usually start by discussing the relevant news of the day as it relates to the course content and the portfolio holdings to help students to see the connection between the material they are learning and its applications. The AIM program pedagogy is tailored for today’s young adults’ learning processes, which is vastly different than previous generations and one that requires a more immediate connection between the subject matter and how it relates to the real world.</w:t>
      </w:r>
    </w:p>
    <w:p w14:paraId="75A383A7" w14:textId="77777777" w:rsidR="00133C64" w:rsidRPr="00133C64" w:rsidRDefault="00133C64" w:rsidP="00133C64">
      <w:pPr>
        <w:rPr>
          <w:rFonts w:cstheme="minorHAnsi"/>
          <w:sz w:val="24"/>
          <w:szCs w:val="24"/>
        </w:rPr>
      </w:pPr>
      <w:r w:rsidRPr="00133C64">
        <w:rPr>
          <w:rFonts w:cstheme="minorHAnsi"/>
          <w:sz w:val="24"/>
          <w:szCs w:val="24"/>
        </w:rPr>
        <w:t>In their lesson, the AIM faculty strives to include examples of how the course content is relevant and encourages students to offer their own observations. Class discussions require students to explore subject material at a deeper level and to question each other’s assumptions and conclusions. While open discussions can at times veer off course, as they progress through the curriculum students become successful at working back to the core concept of the general topic. In many of the AIM classes instructors act more as facilitators who guide discussions in a Socratic manner rather than traditional lecturers.</w:t>
      </w:r>
    </w:p>
    <w:p w14:paraId="1CFE9601" w14:textId="77777777" w:rsidR="00133C64" w:rsidRPr="00133C64" w:rsidRDefault="00133C64" w:rsidP="00133C64">
      <w:pPr>
        <w:rPr>
          <w:rFonts w:cstheme="minorHAnsi"/>
          <w:sz w:val="24"/>
          <w:szCs w:val="24"/>
        </w:rPr>
      </w:pPr>
      <w:r w:rsidRPr="00133C64">
        <w:rPr>
          <w:rFonts w:cstheme="minorHAnsi"/>
          <w:sz w:val="24"/>
          <w:szCs w:val="24"/>
        </w:rPr>
        <w:t xml:space="preserve">Experiential learning is at the core of the AIM program. Initially, our students are uncomfortable being asked questions by their peers during their investment presentations; however, they evolve and ultimately embrace the Aristotelian approach of “learning by doing.” The program </w:t>
      </w:r>
      <w:proofErr w:type="gramStart"/>
      <w:r w:rsidRPr="00133C64">
        <w:rPr>
          <w:rFonts w:cstheme="minorHAnsi"/>
          <w:sz w:val="24"/>
          <w:szCs w:val="24"/>
        </w:rPr>
        <w:t>makes also</w:t>
      </w:r>
      <w:proofErr w:type="gramEnd"/>
      <w:r w:rsidRPr="00133C64">
        <w:rPr>
          <w:rFonts w:cstheme="minorHAnsi"/>
          <w:sz w:val="24"/>
          <w:szCs w:val="24"/>
        </w:rPr>
        <w:t xml:space="preserve"> extensive use of professionals within the classroom to enhance the learning experience and to provide different opinions and approaches to complement the content delivered by the full-time faculty.</w:t>
      </w:r>
    </w:p>
    <w:p w14:paraId="6DCD7369" w14:textId="77777777" w:rsidR="00133C64" w:rsidRPr="00133C64" w:rsidRDefault="00133C64" w:rsidP="00133C64">
      <w:pPr>
        <w:rPr>
          <w:rFonts w:cstheme="minorHAnsi"/>
          <w:sz w:val="24"/>
          <w:szCs w:val="24"/>
        </w:rPr>
      </w:pPr>
      <w:r w:rsidRPr="00133C64">
        <w:rPr>
          <w:rFonts w:cstheme="minorHAnsi"/>
          <w:sz w:val="24"/>
          <w:szCs w:val="24"/>
        </w:rPr>
        <w:t xml:space="preserve">Over the past several years the program has begun to employ the “flipped classroom” instructional strategy of delivering some of the lectures online. In several courses, students watch online video lectures stored in our learning management system or within our own massive open online course, collaborate in online discussions and carry out independent research projects. Students are encouraged to offer questions and provide immediate feedback to their peers during AIM presentations via Twitter and other social media. Student presentations are also </w:t>
      </w:r>
      <w:proofErr w:type="gramStart"/>
      <w:r w:rsidRPr="00133C64">
        <w:rPr>
          <w:rFonts w:cstheme="minorHAnsi"/>
          <w:sz w:val="24"/>
          <w:szCs w:val="24"/>
        </w:rPr>
        <w:t>webcasted</w:t>
      </w:r>
      <w:proofErr w:type="gramEnd"/>
      <w:r w:rsidRPr="00133C64">
        <w:rPr>
          <w:rFonts w:cstheme="minorHAnsi"/>
          <w:sz w:val="24"/>
          <w:szCs w:val="24"/>
        </w:rPr>
        <w:t xml:space="preserve"> live to alumni, investment professionals and students’ families – with the opportunity for them to provide feedback via instant messaging. Course delivery methods in the AIM program are continuously updated to reflect technological innovations in higher education.</w:t>
      </w:r>
    </w:p>
    <w:p w14:paraId="7DD1752F" w14:textId="77777777" w:rsidR="00133C64" w:rsidRPr="00133C64" w:rsidRDefault="00133C64" w:rsidP="00133C64">
      <w:pPr>
        <w:rPr>
          <w:rFonts w:cstheme="minorHAnsi"/>
          <w:sz w:val="24"/>
          <w:szCs w:val="24"/>
        </w:rPr>
      </w:pPr>
      <w:r w:rsidRPr="00133C64">
        <w:rPr>
          <w:rFonts w:cstheme="minorHAnsi"/>
          <w:sz w:val="24"/>
          <w:szCs w:val="24"/>
        </w:rPr>
        <w:t xml:space="preserve">To keep the curriculum current and interactive, the AIM program makes extensive use of guest lecturers. Bringing into the classroom financial analysts and portfolio managers with proven expertise in specific topics adds a practical dimension to the course content and provides students with alternative points of view that complement the course curriculum. Throughout their time in the AIM program, students </w:t>
      </w:r>
      <w:proofErr w:type="gramStart"/>
      <w:r w:rsidRPr="00133C64">
        <w:rPr>
          <w:rFonts w:cstheme="minorHAnsi"/>
          <w:sz w:val="24"/>
          <w:szCs w:val="24"/>
        </w:rPr>
        <w:t>have also</w:t>
      </w:r>
      <w:proofErr w:type="gramEnd"/>
      <w:r w:rsidRPr="00133C64">
        <w:rPr>
          <w:rFonts w:cstheme="minorHAnsi"/>
          <w:sz w:val="24"/>
          <w:szCs w:val="24"/>
        </w:rPr>
        <w:t xml:space="preserve"> an opportunity to meet and interview corporate-level executives of publicly traded firms in a forum </w:t>
      </w:r>
      <w:proofErr w:type="gramStart"/>
      <w:r w:rsidRPr="00133C64">
        <w:rPr>
          <w:rFonts w:cstheme="minorHAnsi"/>
          <w:sz w:val="24"/>
          <w:szCs w:val="24"/>
        </w:rPr>
        <w:t>similar to</w:t>
      </w:r>
      <w:proofErr w:type="gramEnd"/>
      <w:r w:rsidRPr="00133C64">
        <w:rPr>
          <w:rFonts w:cstheme="minorHAnsi"/>
          <w:sz w:val="24"/>
          <w:szCs w:val="24"/>
        </w:rPr>
        <w:t xml:space="preserve"> an analyst meeting. During these interactions with corporate insiders, students are mindful of securities laws, including Regulation Fair Disclosure (Reg FD) which was introduced by the US Securities and Exchange Commission in 2000 </w:t>
      </w:r>
      <w:proofErr w:type="gramStart"/>
      <w:r w:rsidRPr="00133C64">
        <w:rPr>
          <w:rFonts w:cstheme="minorHAnsi"/>
          <w:sz w:val="24"/>
          <w:szCs w:val="24"/>
        </w:rPr>
        <w:t>in an effort to</w:t>
      </w:r>
      <w:proofErr w:type="gramEnd"/>
      <w:r w:rsidRPr="00133C64">
        <w:rPr>
          <w:rFonts w:cstheme="minorHAnsi"/>
          <w:sz w:val="24"/>
          <w:szCs w:val="24"/>
        </w:rPr>
        <w:t xml:space="preserve"> abolish selective disclosure practices and to level the playing field for investors. As Reg FD increases public companies’ financial communication responsibilities, students managing investment funds are affected by it.</w:t>
      </w:r>
    </w:p>
    <w:p w14:paraId="67897798" w14:textId="77777777" w:rsidR="00133C64" w:rsidRPr="00133C64" w:rsidRDefault="00133C64" w:rsidP="00133C64">
      <w:pPr>
        <w:rPr>
          <w:rFonts w:cstheme="minorHAnsi"/>
          <w:sz w:val="24"/>
          <w:szCs w:val="24"/>
        </w:rPr>
      </w:pPr>
      <w:r w:rsidRPr="00133C64">
        <w:rPr>
          <w:rFonts w:cstheme="minorHAnsi"/>
          <w:sz w:val="24"/>
          <w:szCs w:val="24"/>
        </w:rPr>
        <w:t>Recently the program has also adopted an executive co-teacher instructional approach through which professionals with expertise in specific areas are hired to teach a two or three-week module inside an existing course. This new instructional design is particularly effective to nimbly adjust the curriculum to rapid changes in the final industry caused by emerging finance technologies. For example, two co-executive teachers collaborated on the Spring 2018 “Portfolio Management and Current Investment Topics” course: the CEO and founder of a start-up Fintech company that introduced students to blockchain in financial services firms, and the research director of an international investment management firm who provided students with a primer on big data analytics and the R programming language.</w:t>
      </w:r>
    </w:p>
    <w:p w14:paraId="1FBDF53C" w14:textId="77777777" w:rsidR="00133C64" w:rsidRPr="00133C64" w:rsidRDefault="00133C64" w:rsidP="00133C64">
      <w:pPr>
        <w:rPr>
          <w:rFonts w:cstheme="minorHAnsi"/>
          <w:sz w:val="24"/>
          <w:szCs w:val="24"/>
        </w:rPr>
      </w:pPr>
      <w:r w:rsidRPr="00133C64">
        <w:rPr>
          <w:rFonts w:cstheme="minorHAnsi"/>
          <w:sz w:val="24"/>
          <w:szCs w:val="24"/>
        </w:rPr>
        <w:t xml:space="preserve">AIM students </w:t>
      </w:r>
      <w:proofErr w:type="gramStart"/>
      <w:r w:rsidRPr="00133C64">
        <w:rPr>
          <w:rFonts w:cstheme="minorHAnsi"/>
          <w:sz w:val="24"/>
          <w:szCs w:val="24"/>
        </w:rPr>
        <w:t>take also</w:t>
      </w:r>
      <w:proofErr w:type="gramEnd"/>
      <w:r w:rsidRPr="00133C64">
        <w:rPr>
          <w:rFonts w:cstheme="minorHAnsi"/>
          <w:sz w:val="24"/>
          <w:szCs w:val="24"/>
        </w:rPr>
        <w:t xml:space="preserve"> field trips to major financial centers, such as New York City and Chicago. These trips primarily serve as real-world teaching laboratories. Students visit investment banks, hedge funds and private equity firms to experience the work environment, hear from experts who discuss their current projects and tasks, and to network with alumni and supporters of the program for possible internships or full-time positions.</w:t>
      </w:r>
    </w:p>
    <w:p w14:paraId="5575D1AB" w14:textId="77777777" w:rsidR="00133C64" w:rsidRPr="00133C64" w:rsidRDefault="00133C64" w:rsidP="001539AE">
      <w:pPr>
        <w:pStyle w:val="Heading1"/>
      </w:pPr>
      <w:r w:rsidRPr="00133C64">
        <w:t>3. Funds characteristics and strategies</w:t>
      </w:r>
    </w:p>
    <w:p w14:paraId="23F962EB" w14:textId="77777777" w:rsidR="00133C64" w:rsidRPr="00133C64" w:rsidRDefault="00133C64" w:rsidP="001539AE">
      <w:pPr>
        <w:pStyle w:val="Heading2"/>
      </w:pPr>
      <w:r w:rsidRPr="00133C64">
        <w:t>3.1 Equity funds</w:t>
      </w:r>
    </w:p>
    <w:p w14:paraId="31548406" w14:textId="77777777" w:rsidR="00133C64" w:rsidRPr="00133C64" w:rsidRDefault="00133C64" w:rsidP="00133C64">
      <w:pPr>
        <w:rPr>
          <w:rFonts w:cstheme="minorHAnsi"/>
          <w:sz w:val="24"/>
          <w:szCs w:val="24"/>
        </w:rPr>
      </w:pPr>
      <w:r w:rsidRPr="00133C64">
        <w:rPr>
          <w:rFonts w:cstheme="minorHAnsi"/>
          <w:sz w:val="24"/>
          <w:szCs w:val="24"/>
        </w:rPr>
        <w:t xml:space="preserve">Each AIM student is assigned to be an analyst on either the small-cap equity or international equity fund and is also assigned to be an analyst for one of the 11 GICS sectors. </w:t>
      </w:r>
      <w:proofErr w:type="gramStart"/>
      <w:r w:rsidRPr="00133C64">
        <w:rPr>
          <w:rFonts w:cstheme="minorHAnsi"/>
          <w:sz w:val="24"/>
          <w:szCs w:val="24"/>
        </w:rPr>
        <w:t>Large</w:t>
      </w:r>
      <w:proofErr w:type="gramEnd"/>
      <w:r w:rsidRPr="00133C64">
        <w:rPr>
          <w:rFonts w:cstheme="minorHAnsi"/>
          <w:sz w:val="24"/>
          <w:szCs w:val="24"/>
        </w:rPr>
        <w:t xml:space="preserve"> sector might be assigned to up to three students. Students are expected to perform a thorough fundamental analysis and valuation of at least two new potential holdings within their sector each semester.</w:t>
      </w:r>
    </w:p>
    <w:p w14:paraId="1259ABEE" w14:textId="77777777" w:rsidR="00133C64" w:rsidRPr="00133C64" w:rsidRDefault="00133C64" w:rsidP="00133C64">
      <w:pPr>
        <w:rPr>
          <w:rFonts w:cstheme="minorHAnsi"/>
          <w:sz w:val="24"/>
          <w:szCs w:val="24"/>
        </w:rPr>
      </w:pPr>
      <w:r w:rsidRPr="00133C64">
        <w:rPr>
          <w:rFonts w:cstheme="minorHAnsi"/>
          <w:sz w:val="24"/>
          <w:szCs w:val="24"/>
        </w:rPr>
        <w:t>Presently the students employ traditional bottom–up fundamental equity analysis. Students are expected to offer at least three drivers to support their buy recommendation and they are expected to estimate share valuation based on at least three methodologies (</w:t>
      </w:r>
      <w:proofErr w:type="gramStart"/>
      <w:r w:rsidRPr="00133C64">
        <w:rPr>
          <w:rFonts w:cstheme="minorHAnsi"/>
          <w:sz w:val="24"/>
          <w:szCs w:val="24"/>
        </w:rPr>
        <w:t>i.e.</w:t>
      </w:r>
      <w:proofErr w:type="gramEnd"/>
      <w:r w:rsidRPr="00133C64">
        <w:rPr>
          <w:rFonts w:cstheme="minorHAnsi"/>
          <w:sz w:val="24"/>
          <w:szCs w:val="24"/>
        </w:rPr>
        <w:t xml:space="preserve"> discounted cash flow, discounted dividend models, relative valuation techniques, excess return models, private market valuations). Currently there is no explicit bias toward value or growth equities – and while factor analysis is employed in evaluating performance, there is </w:t>
      </w:r>
      <w:proofErr w:type="gramStart"/>
      <w:r w:rsidRPr="00133C64">
        <w:rPr>
          <w:rFonts w:cstheme="minorHAnsi"/>
          <w:sz w:val="24"/>
          <w:szCs w:val="24"/>
        </w:rPr>
        <w:t>not</w:t>
      </w:r>
      <w:proofErr w:type="gramEnd"/>
      <w:r w:rsidRPr="00133C64">
        <w:rPr>
          <w:rFonts w:cstheme="minorHAnsi"/>
          <w:sz w:val="24"/>
          <w:szCs w:val="24"/>
        </w:rPr>
        <w:t xml:space="preserve"> specific factor bias.</w:t>
      </w:r>
    </w:p>
    <w:p w14:paraId="15258375" w14:textId="24333316" w:rsidR="00133C64" w:rsidRPr="00133C64" w:rsidRDefault="00133C64" w:rsidP="00133C64">
      <w:pPr>
        <w:rPr>
          <w:rFonts w:cstheme="minorHAnsi"/>
          <w:sz w:val="24"/>
          <w:szCs w:val="24"/>
        </w:rPr>
      </w:pPr>
      <w:r w:rsidRPr="00133C64">
        <w:rPr>
          <w:rFonts w:cstheme="minorHAnsi"/>
          <w:sz w:val="24"/>
          <w:szCs w:val="24"/>
        </w:rPr>
        <w:t>Following their thorough fundamental analysis, the students prepare a three-page report that is distributed to the AIM students, finance and accounting faculty, alumni and interested investment professionals. All the equity write-ups are also posted on the AIM website at </w:t>
      </w:r>
      <w:proofErr w:type="gramStart"/>
      <w:r w:rsidRPr="00133C64">
        <w:rPr>
          <w:rFonts w:cstheme="minorHAnsi"/>
          <w:sz w:val="24"/>
          <w:szCs w:val="24"/>
        </w:rPr>
        <w:t>www.marquette.edu/business/applied-investment-management/student-equity-writeups.php</w:t>
      </w:r>
      <w:proofErr w:type="gramEnd"/>
    </w:p>
    <w:p w14:paraId="5B30E99B" w14:textId="77777777" w:rsidR="00133C64" w:rsidRPr="00133C64" w:rsidRDefault="00133C64" w:rsidP="00133C64">
      <w:pPr>
        <w:rPr>
          <w:rFonts w:cstheme="minorHAnsi"/>
          <w:sz w:val="24"/>
          <w:szCs w:val="24"/>
        </w:rPr>
      </w:pPr>
      <w:r w:rsidRPr="00133C64">
        <w:rPr>
          <w:rFonts w:cstheme="minorHAnsi"/>
          <w:sz w:val="24"/>
          <w:szCs w:val="24"/>
        </w:rPr>
        <w:t>The students are then required to orally present (</w:t>
      </w:r>
      <w:proofErr w:type="gramStart"/>
      <w:r w:rsidRPr="00133C64">
        <w:rPr>
          <w:rFonts w:cstheme="minorHAnsi"/>
          <w:sz w:val="24"/>
          <w:szCs w:val="24"/>
        </w:rPr>
        <w:t>i.e.</w:t>
      </w:r>
      <w:proofErr w:type="gramEnd"/>
      <w:r w:rsidRPr="00133C64">
        <w:rPr>
          <w:rFonts w:cstheme="minorHAnsi"/>
          <w:sz w:val="24"/>
          <w:szCs w:val="24"/>
        </w:rPr>
        <w:t xml:space="preserve"> pitch) their recommendation without the support of PowerPoint or other props. The average number of attendees in-person and online is 50. Students have 7 min to make their case which includes a brief overview of the company and management; industry and peer comparisons; discussion of valuation techniques employed; a summary of the key drivers and a review of the relevant risks. Following the oral presentation, the students face 8 min of </w:t>
      </w:r>
      <w:proofErr w:type="gramStart"/>
      <w:r w:rsidRPr="00133C64">
        <w:rPr>
          <w:rFonts w:cstheme="minorHAnsi"/>
          <w:sz w:val="24"/>
          <w:szCs w:val="24"/>
        </w:rPr>
        <w:t>question</w:t>
      </w:r>
      <w:proofErr w:type="gramEnd"/>
      <w:r w:rsidRPr="00133C64">
        <w:rPr>
          <w:rFonts w:cstheme="minorHAnsi"/>
          <w:sz w:val="24"/>
          <w:szCs w:val="24"/>
        </w:rPr>
        <w:t xml:space="preserve"> and answer from the members of the audience – as well as from online viewers (either via instant messaging or Twitter).</w:t>
      </w:r>
    </w:p>
    <w:p w14:paraId="7E7ED1CC" w14:textId="77777777" w:rsidR="00133C64" w:rsidRPr="00133C64" w:rsidRDefault="00133C64" w:rsidP="00133C64">
      <w:pPr>
        <w:rPr>
          <w:rFonts w:cstheme="minorHAnsi"/>
          <w:sz w:val="24"/>
          <w:szCs w:val="24"/>
        </w:rPr>
      </w:pPr>
      <w:r w:rsidRPr="00133C64">
        <w:rPr>
          <w:rFonts w:cstheme="minorHAnsi"/>
          <w:sz w:val="24"/>
          <w:szCs w:val="24"/>
        </w:rPr>
        <w:t xml:space="preserve">The students are given until Sunday morning to prepare short responses to follow up on questions raised during their presentations. After that the students make a formal buy and sell recommendation which is put to a secret ballot. Students are given 24 h to process the recommendation, re-read the write-ups and evaluate the buy and sell recommendations. Buy and sell decisions require an affirmative vote of at least a super majority (two-thirds) of the voting student managers. At the end of the Spring semester, the outgoing senior class of AIM students prepares a formal annual report and presents it to Marquette’s Chief Investment Officer, Administration, faculty, </w:t>
      </w:r>
      <w:proofErr w:type="gramStart"/>
      <w:r w:rsidRPr="00133C64">
        <w:rPr>
          <w:rFonts w:cstheme="minorHAnsi"/>
          <w:sz w:val="24"/>
          <w:szCs w:val="24"/>
        </w:rPr>
        <w:t>alumni</w:t>
      </w:r>
      <w:proofErr w:type="gramEnd"/>
      <w:r w:rsidRPr="00133C64">
        <w:rPr>
          <w:rFonts w:cstheme="minorHAnsi"/>
          <w:sz w:val="24"/>
          <w:szCs w:val="24"/>
        </w:rPr>
        <w:t xml:space="preserve"> and students.</w:t>
      </w:r>
    </w:p>
    <w:p w14:paraId="62436DED" w14:textId="4A72EE13" w:rsidR="00133C64" w:rsidRPr="00133C64" w:rsidRDefault="00133C64" w:rsidP="00133C64">
      <w:pPr>
        <w:rPr>
          <w:rFonts w:cstheme="minorHAnsi"/>
          <w:sz w:val="24"/>
          <w:szCs w:val="24"/>
        </w:rPr>
      </w:pPr>
      <w:r w:rsidRPr="00133C64">
        <w:rPr>
          <w:rFonts w:cstheme="minorHAnsi"/>
          <w:sz w:val="24"/>
          <w:szCs w:val="24"/>
        </w:rPr>
        <w:t xml:space="preserve">It is important to notice that the program requires students to run the AIM funds in the same way as real investment companies operate. Students must abide to the bylaws set in the investment policy statement that requires students to run the funds as fiduciaries, rather than mere hobbyists. Our students closely adhere to our investment policy statement and operate within our benchmark to ensure that any excess return is the result of skill rather than gaming the </w:t>
      </w:r>
      <w:proofErr w:type="gramStart"/>
      <w:r w:rsidRPr="00133C64">
        <w:rPr>
          <w:rFonts w:cstheme="minorHAnsi"/>
          <w:sz w:val="24"/>
          <w:szCs w:val="24"/>
        </w:rPr>
        <w:t>benchmark[</w:t>
      </w:r>
      <w:proofErr w:type="gramEnd"/>
      <w:r w:rsidRPr="00133C64">
        <w:rPr>
          <w:rFonts w:cstheme="minorHAnsi"/>
          <w:sz w:val="24"/>
          <w:szCs w:val="24"/>
        </w:rPr>
        <w:t>1].</w:t>
      </w:r>
    </w:p>
    <w:p w14:paraId="4FDD0FD0" w14:textId="77777777" w:rsidR="00133C64" w:rsidRPr="00133C64" w:rsidRDefault="00133C64" w:rsidP="00133C64">
      <w:pPr>
        <w:rPr>
          <w:rFonts w:cstheme="minorHAnsi"/>
          <w:sz w:val="24"/>
          <w:szCs w:val="24"/>
        </w:rPr>
      </w:pPr>
      <w:r w:rsidRPr="00133C64">
        <w:rPr>
          <w:rFonts w:cstheme="minorHAnsi"/>
          <w:sz w:val="24"/>
          <w:szCs w:val="24"/>
        </w:rPr>
        <w:t>Through the guidance of the program director, faculty and investment professionals, our students apply the knowledge provided by financial research in asset pricing, behavioral finance, agency costs, market efficiency and incorporate it into their analysis, portfolio management techniques and recommendations. We require extensive screening, financial modeling, professional write-ups and oral presentations and the ability to answer questions on-the-fly.</w:t>
      </w:r>
    </w:p>
    <w:p w14:paraId="6EB47BEC" w14:textId="77777777" w:rsidR="00133C64" w:rsidRPr="00133C64" w:rsidRDefault="00133C64" w:rsidP="00133C64">
      <w:pPr>
        <w:rPr>
          <w:rFonts w:cstheme="minorHAnsi"/>
          <w:sz w:val="24"/>
          <w:szCs w:val="24"/>
        </w:rPr>
      </w:pPr>
      <w:r w:rsidRPr="00133C64">
        <w:rPr>
          <w:rFonts w:cstheme="minorHAnsi"/>
          <w:sz w:val="24"/>
          <w:szCs w:val="24"/>
        </w:rPr>
        <w:t>Presentations are performed without props. These requirements, which are part of the student’s grade, differentiate the AIM program and fund management from other SMIPs. SMIPs in most other universities only require one semester-long equity analysis and one presentation at the end of the semester.</w:t>
      </w:r>
    </w:p>
    <w:p w14:paraId="1D02F304" w14:textId="77777777" w:rsidR="00133C64" w:rsidRPr="00133C64" w:rsidRDefault="00133C64" w:rsidP="001539AE">
      <w:pPr>
        <w:pStyle w:val="Heading2"/>
      </w:pPr>
      <w:r w:rsidRPr="00133C64">
        <w:t>3.2 Fixed income fund</w:t>
      </w:r>
    </w:p>
    <w:p w14:paraId="153191AF" w14:textId="77777777" w:rsidR="00133C64" w:rsidRPr="00133C64" w:rsidRDefault="00133C64" w:rsidP="00133C64">
      <w:pPr>
        <w:rPr>
          <w:rFonts w:cstheme="minorHAnsi"/>
          <w:sz w:val="24"/>
          <w:szCs w:val="24"/>
        </w:rPr>
      </w:pPr>
      <w:r w:rsidRPr="00133C64">
        <w:rPr>
          <w:rFonts w:cstheme="minorHAnsi"/>
          <w:sz w:val="24"/>
          <w:szCs w:val="24"/>
        </w:rPr>
        <w:t>Fixed income decisions are made by using a top–down approach. Because the fund consists of ETFs, students do not evaluate individual fixed income securities as to whether they are under or overvalued. Instead, students prepare a macro-level forecast of the US economy – including quarterly forecasts of short and long-term treasury rates, the yield curve, credit spreads and expectations about the Federal Reserve monetary policy. Following a series of secret votes, a consensus is reached regarding the economic forecast and students then develop various fixed income asset allocation scenarios. Following modeling various allocations, students discuss their options and finally hold a secret vote to determine the asset allocations among treasury, agency, corporate (investment grade and high yield), mortgage backed, international, inflation-</w:t>
      </w:r>
      <w:proofErr w:type="gramStart"/>
      <w:r w:rsidRPr="00133C64">
        <w:rPr>
          <w:rFonts w:cstheme="minorHAnsi"/>
          <w:sz w:val="24"/>
          <w:szCs w:val="24"/>
        </w:rPr>
        <w:t>adjusted</w:t>
      </w:r>
      <w:proofErr w:type="gramEnd"/>
      <w:r w:rsidRPr="00133C64">
        <w:rPr>
          <w:rFonts w:cstheme="minorHAnsi"/>
          <w:sz w:val="24"/>
          <w:szCs w:val="24"/>
        </w:rPr>
        <w:t xml:space="preserve"> and floating rate holdings. The vote determines the changes that need to be made to the portfolio to achieve the desired duration and allocation exposure.</w:t>
      </w:r>
    </w:p>
    <w:p w14:paraId="29AEA704" w14:textId="1FC0F34F" w:rsidR="00133C64" w:rsidRPr="00133C64" w:rsidRDefault="00133C64" w:rsidP="00133C64">
      <w:pPr>
        <w:rPr>
          <w:rFonts w:cstheme="minorHAnsi"/>
          <w:sz w:val="24"/>
          <w:szCs w:val="24"/>
        </w:rPr>
      </w:pPr>
      <w:r w:rsidRPr="00133C64">
        <w:rPr>
          <w:rFonts w:cstheme="minorHAnsi"/>
          <w:sz w:val="24"/>
          <w:szCs w:val="24"/>
        </w:rPr>
        <w:t>This team-based consensus decisional model differentiates the AIM program from other SMIF in which a few student managers make executive decisions for the entire student team (</w:t>
      </w:r>
      <w:proofErr w:type="gramStart"/>
      <w:r w:rsidRPr="00133C64">
        <w:rPr>
          <w:rFonts w:cstheme="minorHAnsi"/>
          <w:sz w:val="24"/>
          <w:szCs w:val="24"/>
        </w:rPr>
        <w:t>e.g.</w:t>
      </w:r>
      <w:proofErr w:type="gramEnd"/>
      <w:r w:rsidRPr="00133C64">
        <w:rPr>
          <w:rFonts w:cstheme="minorHAnsi"/>
          <w:sz w:val="24"/>
          <w:szCs w:val="24"/>
        </w:rPr>
        <w:t> Charlton </w:t>
      </w:r>
      <w:r w:rsidRPr="00133C64">
        <w:rPr>
          <w:rFonts w:cstheme="minorHAnsi"/>
          <w:i/>
          <w:iCs/>
          <w:sz w:val="24"/>
          <w:szCs w:val="24"/>
        </w:rPr>
        <w:t>et al.</w:t>
      </w:r>
      <w:r w:rsidRPr="00133C64">
        <w:rPr>
          <w:rFonts w:cstheme="minorHAnsi"/>
          <w:sz w:val="24"/>
          <w:szCs w:val="24"/>
        </w:rPr>
        <w:t xml:space="preserve">, 2015). Our model encourages </w:t>
      </w:r>
      <w:proofErr w:type="gramStart"/>
      <w:r w:rsidRPr="00133C64">
        <w:rPr>
          <w:rFonts w:cstheme="minorHAnsi"/>
          <w:sz w:val="24"/>
          <w:szCs w:val="24"/>
        </w:rPr>
        <w:t>team-work</w:t>
      </w:r>
      <w:proofErr w:type="gramEnd"/>
      <w:r w:rsidRPr="00133C64">
        <w:rPr>
          <w:rFonts w:cstheme="minorHAnsi"/>
          <w:sz w:val="24"/>
          <w:szCs w:val="24"/>
        </w:rPr>
        <w:t xml:space="preserve">, </w:t>
      </w:r>
      <w:proofErr w:type="gramStart"/>
      <w:r w:rsidRPr="00133C64">
        <w:rPr>
          <w:rFonts w:cstheme="minorHAnsi"/>
          <w:sz w:val="24"/>
          <w:szCs w:val="24"/>
        </w:rPr>
        <w:t>develop</w:t>
      </w:r>
      <w:proofErr w:type="gramEnd"/>
      <w:r w:rsidRPr="00133C64">
        <w:rPr>
          <w:rFonts w:cstheme="minorHAnsi"/>
          <w:sz w:val="24"/>
          <w:szCs w:val="24"/>
        </w:rPr>
        <w:t xml:space="preserve"> persuasion skills and allow all the students in the program to grow and learn at the same rate. This model is effective at preparing all the AIM students in the same cohort to be fully competitive in the job marketplace.</w:t>
      </w:r>
    </w:p>
    <w:p w14:paraId="2C4A0006" w14:textId="77777777" w:rsidR="00133C64" w:rsidRPr="00133C64" w:rsidRDefault="00133C64" w:rsidP="001539AE">
      <w:pPr>
        <w:pStyle w:val="Heading1"/>
      </w:pPr>
      <w:r w:rsidRPr="00133C64">
        <w:t>4. A short history of the AIM program and funds</w:t>
      </w:r>
    </w:p>
    <w:p w14:paraId="2DEFA92B" w14:textId="77777777" w:rsidR="00133C64" w:rsidRPr="00133C64" w:rsidRDefault="00133C64" w:rsidP="00133C64">
      <w:pPr>
        <w:rPr>
          <w:rFonts w:cstheme="minorHAnsi"/>
          <w:sz w:val="24"/>
          <w:szCs w:val="24"/>
        </w:rPr>
      </w:pPr>
      <w:r w:rsidRPr="00133C64">
        <w:rPr>
          <w:rFonts w:cstheme="minorHAnsi"/>
          <w:sz w:val="24"/>
          <w:szCs w:val="24"/>
        </w:rPr>
        <w:t xml:space="preserve">The AIM program was founded in early 2005 with Dr David Krause selected as the inaugural director. The AIM SMIF was </w:t>
      </w:r>
      <w:proofErr w:type="gramStart"/>
      <w:r w:rsidRPr="00133C64">
        <w:rPr>
          <w:rFonts w:cstheme="minorHAnsi"/>
          <w:sz w:val="24"/>
          <w:szCs w:val="24"/>
        </w:rPr>
        <w:t>funded</w:t>
      </w:r>
      <w:proofErr w:type="gramEnd"/>
      <w:r w:rsidRPr="00133C64">
        <w:rPr>
          <w:rFonts w:cstheme="minorHAnsi"/>
          <w:sz w:val="24"/>
          <w:szCs w:val="24"/>
        </w:rPr>
        <w:t xml:space="preserve"> in September 2005. It initially consisted of a small-cap equity portfolio with $500,000 under management. The source of this and all subsequent funding was from the Marquette University endowment. The program established a $500,000 fixed income fund in January </w:t>
      </w:r>
      <w:proofErr w:type="gramStart"/>
      <w:r w:rsidRPr="00133C64">
        <w:rPr>
          <w:rFonts w:cstheme="minorHAnsi"/>
          <w:sz w:val="24"/>
          <w:szCs w:val="24"/>
        </w:rPr>
        <w:t>2006;</w:t>
      </w:r>
      <w:proofErr w:type="gramEnd"/>
      <w:r w:rsidRPr="00133C64">
        <w:rPr>
          <w:rFonts w:cstheme="minorHAnsi"/>
          <w:sz w:val="24"/>
          <w:szCs w:val="24"/>
        </w:rPr>
        <w:t xml:space="preserve"> which at the time was the first higher-ed institution to initiate a fixed income ETF fund.</w:t>
      </w:r>
    </w:p>
    <w:p w14:paraId="5E3998EE" w14:textId="77777777" w:rsidR="00133C64" w:rsidRPr="00133C64" w:rsidRDefault="00133C64" w:rsidP="00133C64">
      <w:pPr>
        <w:rPr>
          <w:rFonts w:cstheme="minorHAnsi"/>
          <w:sz w:val="24"/>
          <w:szCs w:val="24"/>
        </w:rPr>
      </w:pPr>
      <w:r w:rsidRPr="00133C64">
        <w:rPr>
          <w:rFonts w:cstheme="minorHAnsi"/>
          <w:sz w:val="24"/>
          <w:szCs w:val="24"/>
        </w:rPr>
        <w:t>In 2006, the AIM program was the first undergraduate business program selected as a University Program Partner by the CFA Institute. The AIM program moved into a newly renovated and larger research room in 2008. In September 2008, a $500,000 international equity fund was added to the SMIF funds; Marquette was one of the first universities to introduce an international SMIF. The only fund allocation change occurred in July 2015 when $278,000 were transferred from the fixed income fund to the small-cap equity fund.</w:t>
      </w:r>
    </w:p>
    <w:p w14:paraId="62ACD925" w14:textId="77777777" w:rsidR="00133C64" w:rsidRPr="00133C64" w:rsidRDefault="00133C64" w:rsidP="00133C64">
      <w:pPr>
        <w:rPr>
          <w:rFonts w:cstheme="minorHAnsi"/>
          <w:sz w:val="24"/>
          <w:szCs w:val="24"/>
        </w:rPr>
      </w:pPr>
      <w:r w:rsidRPr="00133C64">
        <w:rPr>
          <w:rFonts w:cstheme="minorHAnsi"/>
          <w:sz w:val="24"/>
          <w:szCs w:val="24"/>
        </w:rPr>
        <w:t>As of June 30, 2018, the value of the small-cap equity fund amounts to $1,891,059; the fixed income fund has a $528,325 value; and the international equity fund has a $661,671 value.</w:t>
      </w:r>
    </w:p>
    <w:p w14:paraId="1C1355DB" w14:textId="77777777" w:rsidR="00133C64" w:rsidRPr="00133C64" w:rsidRDefault="00133C64" w:rsidP="001539AE">
      <w:pPr>
        <w:pStyle w:val="Heading1"/>
      </w:pPr>
      <w:r w:rsidRPr="00133C64">
        <w:t>5. Performance and student outcomes</w:t>
      </w:r>
    </w:p>
    <w:p w14:paraId="2CD17E3D" w14:textId="77777777" w:rsidR="00133C64" w:rsidRPr="00133C64" w:rsidRDefault="00133C64" w:rsidP="001539AE">
      <w:pPr>
        <w:pStyle w:val="Heading2"/>
      </w:pPr>
      <w:r w:rsidRPr="00133C64">
        <w:t>5.1 Funds’ performance</w:t>
      </w:r>
    </w:p>
    <w:p w14:paraId="7BE4AF2A" w14:textId="21C60F3D" w:rsidR="00133C64" w:rsidRPr="00133C64" w:rsidRDefault="00133C64" w:rsidP="00133C64">
      <w:pPr>
        <w:rPr>
          <w:rFonts w:cstheme="minorHAnsi"/>
          <w:sz w:val="24"/>
          <w:szCs w:val="24"/>
        </w:rPr>
      </w:pPr>
      <w:r w:rsidRPr="00133C64">
        <w:rPr>
          <w:rFonts w:cstheme="minorHAnsi"/>
          <w:sz w:val="24"/>
          <w:szCs w:val="24"/>
        </w:rPr>
        <w:t xml:space="preserve">Table I shows the performance of the AIM funds and their respective benchmarks. The AIM small-cap fund </w:t>
      </w:r>
      <w:proofErr w:type="gramStart"/>
      <w:r w:rsidRPr="00133C64">
        <w:rPr>
          <w:rFonts w:cstheme="minorHAnsi"/>
          <w:sz w:val="24"/>
          <w:szCs w:val="24"/>
        </w:rPr>
        <w:t>is considered to be</w:t>
      </w:r>
      <w:proofErr w:type="gramEnd"/>
      <w:r w:rsidRPr="00133C64">
        <w:rPr>
          <w:rFonts w:cstheme="minorHAnsi"/>
          <w:sz w:val="24"/>
          <w:szCs w:val="24"/>
        </w:rPr>
        <w:t xml:space="preserve"> the flagship of the AIM funds and has been among the best performing domestic small-cap funds over the past five years. In the 12-month period spanning from July 2017–June 2018, the AIM small-cap fund returned 26.20 percent, significantly surpassing the performance of the Russell 2000 Index and the Morningstar US Fund Small Blend Index (17.27 percent and 14.65 percent, respectively). The AIM small-cap fund outperformed its benchmarks also during the most recent five-year period. Based on the Morningstar fund performance data for the small blend equity category, which is composed of 250 small-cap domestic mutual funds, as of the end of June 2018 the one-year return of the AIM small-cap fund ranked in the top first percentile among all the Morningstar small blend equity funds and the five-year return ranked in the top eleventh percentile.</w:t>
      </w:r>
    </w:p>
    <w:p w14:paraId="0F20E9A1" w14:textId="77777777" w:rsidR="00133C64" w:rsidRPr="00133C64" w:rsidRDefault="00133C64" w:rsidP="00133C64">
      <w:pPr>
        <w:rPr>
          <w:rFonts w:cstheme="minorHAnsi"/>
          <w:sz w:val="24"/>
          <w:szCs w:val="24"/>
        </w:rPr>
      </w:pPr>
      <w:r w:rsidRPr="00133C64">
        <w:rPr>
          <w:rFonts w:cstheme="minorHAnsi"/>
          <w:sz w:val="24"/>
          <w:szCs w:val="24"/>
        </w:rPr>
        <w:t>The strong relative and absolute return performance of this fund is due in large part to the above-mentioned elements of the AIM program and because our students through the training offered by the program have been successful at identifying and predicting disruptors within each sector. Our program’s focus on identifying technological, regulatory, social, political, demographic, economic, trends is one of the main reasons for our ability to generate significant </w:t>
      </w:r>
      <w:r w:rsidRPr="00133C64">
        <w:rPr>
          <w:rFonts w:cstheme="minorHAnsi"/>
          <w:i/>
          <w:iCs/>
          <w:sz w:val="24"/>
          <w:szCs w:val="24"/>
        </w:rPr>
        <w:t>α</w:t>
      </w:r>
      <w:r w:rsidRPr="00133C64">
        <w:rPr>
          <w:rFonts w:cstheme="minorHAnsi"/>
          <w:sz w:val="24"/>
          <w:szCs w:val="24"/>
        </w:rPr>
        <w:t>.</w:t>
      </w:r>
    </w:p>
    <w:p w14:paraId="7CAF7344" w14:textId="0FC71992" w:rsidR="00133C64" w:rsidRPr="00133C64" w:rsidRDefault="00133C64" w:rsidP="00133C64">
      <w:pPr>
        <w:rPr>
          <w:rFonts w:cstheme="minorHAnsi"/>
          <w:sz w:val="24"/>
          <w:szCs w:val="24"/>
        </w:rPr>
      </w:pPr>
      <w:r w:rsidRPr="00133C64">
        <w:rPr>
          <w:rFonts w:cstheme="minorHAnsi"/>
          <w:sz w:val="24"/>
          <w:szCs w:val="24"/>
        </w:rPr>
        <w:t xml:space="preserve">The performance of the AIM International Equity Fund has been less consistent than </w:t>
      </w:r>
      <w:proofErr w:type="gramStart"/>
      <w:r w:rsidRPr="00133C64">
        <w:rPr>
          <w:rFonts w:cstheme="minorHAnsi"/>
          <w:sz w:val="24"/>
          <w:szCs w:val="24"/>
        </w:rPr>
        <w:t>the</w:t>
      </w:r>
      <w:proofErr w:type="gramEnd"/>
      <w:r w:rsidRPr="00133C64">
        <w:rPr>
          <w:rFonts w:cstheme="minorHAnsi"/>
          <w:sz w:val="24"/>
          <w:szCs w:val="24"/>
        </w:rPr>
        <w:t xml:space="preserve"> domestic small-cap fund. As shown in Table I, the one-year returns of this fund are superior </w:t>
      </w:r>
      <w:proofErr w:type="gramStart"/>
      <w:r w:rsidRPr="00133C64">
        <w:rPr>
          <w:rFonts w:cstheme="minorHAnsi"/>
          <w:sz w:val="24"/>
          <w:szCs w:val="24"/>
        </w:rPr>
        <w:t>than</w:t>
      </w:r>
      <w:proofErr w:type="gramEnd"/>
      <w:r w:rsidRPr="00133C64">
        <w:rPr>
          <w:rFonts w:cstheme="minorHAnsi"/>
          <w:sz w:val="24"/>
          <w:szCs w:val="24"/>
        </w:rPr>
        <w:t xml:space="preserve"> its benchmarks but the fund performance lags behind its two benchmarks when considering the five-year horizon and the entire lifespan of the portfolio. The underperformance in the mid and long term is likely due to challenges deriving from major swings in currencies, </w:t>
      </w:r>
      <w:proofErr w:type="gramStart"/>
      <w:r w:rsidRPr="00133C64">
        <w:rPr>
          <w:rFonts w:cstheme="minorHAnsi"/>
          <w:sz w:val="24"/>
          <w:szCs w:val="24"/>
        </w:rPr>
        <w:t>commodities</w:t>
      </w:r>
      <w:proofErr w:type="gramEnd"/>
      <w:r w:rsidRPr="00133C64">
        <w:rPr>
          <w:rFonts w:cstheme="minorHAnsi"/>
          <w:sz w:val="24"/>
          <w:szCs w:val="24"/>
        </w:rPr>
        <w:t xml:space="preserve"> and various global and local financial crises during the last 10 years. The students employ </w:t>
      </w:r>
      <w:proofErr w:type="gramStart"/>
      <w:r w:rsidRPr="00133C64">
        <w:rPr>
          <w:rFonts w:cstheme="minorHAnsi"/>
          <w:sz w:val="24"/>
          <w:szCs w:val="24"/>
        </w:rPr>
        <w:t>that same fundamental techniques</w:t>
      </w:r>
      <w:proofErr w:type="gramEnd"/>
      <w:r w:rsidRPr="00133C64">
        <w:rPr>
          <w:rFonts w:cstheme="minorHAnsi"/>
          <w:sz w:val="24"/>
          <w:szCs w:val="24"/>
        </w:rPr>
        <w:t xml:space="preserve"> as for the other two funds; however, obtaining information from companies located outside the USA is challenging due to different political and regulatory regimes, language barriers and differences in financial reporting requirements, which require our students to make decisions with high information asymmetry.</w:t>
      </w:r>
    </w:p>
    <w:p w14:paraId="71E5F73A" w14:textId="78DF1435" w:rsidR="00133C64" w:rsidRPr="00133C64" w:rsidRDefault="00133C64" w:rsidP="00133C64">
      <w:pPr>
        <w:rPr>
          <w:rFonts w:cstheme="minorHAnsi"/>
          <w:sz w:val="24"/>
          <w:szCs w:val="24"/>
        </w:rPr>
      </w:pPr>
      <w:r w:rsidRPr="00133C64">
        <w:rPr>
          <w:rFonts w:cstheme="minorHAnsi"/>
          <w:sz w:val="24"/>
          <w:szCs w:val="24"/>
        </w:rPr>
        <w:t>As reported in Table I, the AIM Fixed Income Fund performed similarly to its benchmarks during all the three sample periods. Since its inception this portfolio has generated a small but positive </w:t>
      </w:r>
      <w:r w:rsidRPr="00133C64">
        <w:rPr>
          <w:rFonts w:cstheme="minorHAnsi"/>
          <w:i/>
          <w:iCs/>
          <w:sz w:val="24"/>
          <w:szCs w:val="24"/>
        </w:rPr>
        <w:t>α</w:t>
      </w:r>
      <w:r w:rsidRPr="00133C64">
        <w:rPr>
          <w:rFonts w:cstheme="minorHAnsi"/>
          <w:sz w:val="24"/>
          <w:szCs w:val="24"/>
        </w:rPr>
        <w:t>. This fund is a top–down, rather than bottom–up run portfolio. The process followed by the students managing the fixed income fund is based on the reliance on ETFs and focuses on predicting future mid-term changes in the macro-economic and monetary environment. The fund selection process is disciplined and requires student consensus.</w:t>
      </w:r>
    </w:p>
    <w:p w14:paraId="1E4A7245" w14:textId="77777777" w:rsidR="00133C64" w:rsidRPr="00133C64" w:rsidRDefault="00133C64" w:rsidP="001539AE">
      <w:pPr>
        <w:pStyle w:val="Heading2"/>
      </w:pPr>
      <w:r w:rsidRPr="00133C64">
        <w:t>5.2 Student outcomes</w:t>
      </w:r>
    </w:p>
    <w:p w14:paraId="290E80D5" w14:textId="77777777" w:rsidR="00133C64" w:rsidRPr="00133C64" w:rsidRDefault="00133C64" w:rsidP="00133C64">
      <w:pPr>
        <w:rPr>
          <w:rFonts w:cstheme="minorHAnsi"/>
          <w:sz w:val="24"/>
          <w:szCs w:val="24"/>
        </w:rPr>
      </w:pPr>
      <w:r w:rsidRPr="00133C64">
        <w:rPr>
          <w:rFonts w:cstheme="minorHAnsi"/>
          <w:sz w:val="24"/>
          <w:szCs w:val="24"/>
        </w:rPr>
        <w:t xml:space="preserve">Based on the Marquette College of Business Administration exit survey and data collected by the Marquette Business Career Center, in the period between 2014 and 2017 the AIM program has achieved a 100 percent internship placement and a 97 percent successful employment placement record in the six months following graduation (employment, graduate school or military service). In comparison, during the same period 90 percent of Marquette non-AIM finance students placed successfully in the six months after graduation. The list of top 10 employers of AIM graduates is provided below. The list </w:t>
      </w:r>
      <w:proofErr w:type="gramStart"/>
      <w:r w:rsidRPr="00133C64">
        <w:rPr>
          <w:rFonts w:cstheme="minorHAnsi"/>
          <w:sz w:val="24"/>
          <w:szCs w:val="24"/>
        </w:rPr>
        <w:t>based</w:t>
      </w:r>
      <w:proofErr w:type="gramEnd"/>
      <w:r w:rsidRPr="00133C64">
        <w:rPr>
          <w:rFonts w:cstheme="minorHAnsi"/>
          <w:sz w:val="24"/>
          <w:szCs w:val="24"/>
        </w:rPr>
        <w:t xml:space="preserve"> on the number of AIM students hired since the inception of the program. The list is ordered in reverse, starting from the firm which has cumulatively hired the most AIM students. The below list of “Top 10 employers of AIM program graduates” shows that R.W. Baird has hired the largest number of students who graduated from the AIM program, followed by Northwestern Mutual and Wells Capital Management. Firms are presented in reverse order of number of hires:</w:t>
      </w:r>
    </w:p>
    <w:p w14:paraId="2C7134F6" w14:textId="77777777" w:rsidR="00133C64" w:rsidRPr="00133C64" w:rsidRDefault="00133C64" w:rsidP="009D34AD">
      <w:pPr>
        <w:numPr>
          <w:ilvl w:val="0"/>
          <w:numId w:val="6"/>
        </w:numPr>
        <w:spacing w:after="0"/>
        <w:rPr>
          <w:rFonts w:cstheme="minorHAnsi"/>
          <w:sz w:val="24"/>
          <w:szCs w:val="24"/>
        </w:rPr>
      </w:pPr>
      <w:r w:rsidRPr="00133C64">
        <w:rPr>
          <w:rFonts w:cstheme="minorHAnsi"/>
          <w:sz w:val="24"/>
          <w:szCs w:val="24"/>
        </w:rPr>
        <w:t>R.W. Baird</w:t>
      </w:r>
    </w:p>
    <w:p w14:paraId="0E098315" w14:textId="77777777" w:rsidR="00133C64" w:rsidRPr="00133C64" w:rsidRDefault="00133C64" w:rsidP="009D34AD">
      <w:pPr>
        <w:numPr>
          <w:ilvl w:val="0"/>
          <w:numId w:val="6"/>
        </w:numPr>
        <w:spacing w:after="0"/>
        <w:rPr>
          <w:rFonts w:cstheme="minorHAnsi"/>
          <w:sz w:val="24"/>
          <w:szCs w:val="24"/>
        </w:rPr>
      </w:pPr>
      <w:r w:rsidRPr="00133C64">
        <w:rPr>
          <w:rFonts w:cstheme="minorHAnsi"/>
          <w:sz w:val="24"/>
          <w:szCs w:val="24"/>
        </w:rPr>
        <w:t>Northwestern Mutual</w:t>
      </w:r>
    </w:p>
    <w:p w14:paraId="1DF67B92" w14:textId="77777777" w:rsidR="00133C64" w:rsidRPr="00133C64" w:rsidRDefault="00133C64" w:rsidP="009D34AD">
      <w:pPr>
        <w:numPr>
          <w:ilvl w:val="0"/>
          <w:numId w:val="6"/>
        </w:numPr>
        <w:spacing w:after="0"/>
        <w:rPr>
          <w:rFonts w:cstheme="minorHAnsi"/>
          <w:sz w:val="24"/>
          <w:szCs w:val="24"/>
        </w:rPr>
      </w:pPr>
      <w:r w:rsidRPr="00133C64">
        <w:rPr>
          <w:rFonts w:cstheme="minorHAnsi"/>
          <w:sz w:val="24"/>
          <w:szCs w:val="24"/>
        </w:rPr>
        <w:t>Wells Capital Management</w:t>
      </w:r>
    </w:p>
    <w:p w14:paraId="13EF59B2" w14:textId="77777777" w:rsidR="00133C64" w:rsidRPr="00133C64" w:rsidRDefault="00133C64" w:rsidP="009D34AD">
      <w:pPr>
        <w:numPr>
          <w:ilvl w:val="0"/>
          <w:numId w:val="6"/>
        </w:numPr>
        <w:spacing w:after="0"/>
        <w:rPr>
          <w:rFonts w:cstheme="minorHAnsi"/>
          <w:sz w:val="24"/>
          <w:szCs w:val="24"/>
        </w:rPr>
      </w:pPr>
      <w:r w:rsidRPr="00133C64">
        <w:rPr>
          <w:rFonts w:cstheme="minorHAnsi"/>
          <w:sz w:val="24"/>
          <w:szCs w:val="24"/>
        </w:rPr>
        <w:t>Citigroup</w:t>
      </w:r>
    </w:p>
    <w:p w14:paraId="6050CA58" w14:textId="77777777" w:rsidR="00133C64" w:rsidRPr="00133C64" w:rsidRDefault="00133C64" w:rsidP="009D34AD">
      <w:pPr>
        <w:numPr>
          <w:ilvl w:val="0"/>
          <w:numId w:val="6"/>
        </w:numPr>
        <w:spacing w:after="0"/>
        <w:rPr>
          <w:rFonts w:cstheme="minorHAnsi"/>
          <w:sz w:val="24"/>
          <w:szCs w:val="24"/>
        </w:rPr>
      </w:pPr>
      <w:r w:rsidRPr="00133C64">
        <w:rPr>
          <w:rFonts w:cstheme="minorHAnsi"/>
          <w:sz w:val="24"/>
          <w:szCs w:val="24"/>
        </w:rPr>
        <w:t>JP Morgan</w:t>
      </w:r>
    </w:p>
    <w:p w14:paraId="166F7327" w14:textId="77777777" w:rsidR="00133C64" w:rsidRPr="00133C64" w:rsidRDefault="00133C64" w:rsidP="009D34AD">
      <w:pPr>
        <w:numPr>
          <w:ilvl w:val="0"/>
          <w:numId w:val="6"/>
        </w:numPr>
        <w:spacing w:after="0"/>
        <w:rPr>
          <w:rFonts w:cstheme="minorHAnsi"/>
          <w:sz w:val="24"/>
          <w:szCs w:val="24"/>
        </w:rPr>
      </w:pPr>
      <w:r w:rsidRPr="00133C64">
        <w:rPr>
          <w:rFonts w:cstheme="minorHAnsi"/>
          <w:sz w:val="24"/>
          <w:szCs w:val="24"/>
        </w:rPr>
        <w:t>BNP-Paribas</w:t>
      </w:r>
    </w:p>
    <w:p w14:paraId="4CA16932" w14:textId="77777777" w:rsidR="00133C64" w:rsidRPr="00133C64" w:rsidRDefault="00133C64" w:rsidP="009D34AD">
      <w:pPr>
        <w:numPr>
          <w:ilvl w:val="0"/>
          <w:numId w:val="6"/>
        </w:numPr>
        <w:spacing w:after="0"/>
        <w:rPr>
          <w:rFonts w:cstheme="minorHAnsi"/>
          <w:sz w:val="24"/>
          <w:szCs w:val="24"/>
        </w:rPr>
      </w:pPr>
      <w:r w:rsidRPr="00133C64">
        <w:rPr>
          <w:rFonts w:cstheme="minorHAnsi"/>
          <w:sz w:val="24"/>
          <w:szCs w:val="24"/>
        </w:rPr>
        <w:t>Royal Bank of Canada</w:t>
      </w:r>
    </w:p>
    <w:p w14:paraId="674D8EAF" w14:textId="77777777" w:rsidR="00133C64" w:rsidRPr="00133C64" w:rsidRDefault="00133C64" w:rsidP="009D34AD">
      <w:pPr>
        <w:numPr>
          <w:ilvl w:val="0"/>
          <w:numId w:val="6"/>
        </w:numPr>
        <w:spacing w:after="0"/>
        <w:rPr>
          <w:rFonts w:cstheme="minorHAnsi"/>
          <w:sz w:val="24"/>
          <w:szCs w:val="24"/>
        </w:rPr>
      </w:pPr>
      <w:r w:rsidRPr="00133C64">
        <w:rPr>
          <w:rFonts w:cstheme="minorHAnsi"/>
          <w:sz w:val="24"/>
          <w:szCs w:val="24"/>
        </w:rPr>
        <w:t>Artisan Partners</w:t>
      </w:r>
    </w:p>
    <w:p w14:paraId="2567C284" w14:textId="77777777" w:rsidR="00133C64" w:rsidRPr="00133C64" w:rsidRDefault="00133C64" w:rsidP="009D34AD">
      <w:pPr>
        <w:numPr>
          <w:ilvl w:val="0"/>
          <w:numId w:val="6"/>
        </w:numPr>
        <w:spacing w:after="0"/>
        <w:rPr>
          <w:rFonts w:cstheme="minorHAnsi"/>
          <w:sz w:val="24"/>
          <w:szCs w:val="24"/>
        </w:rPr>
      </w:pPr>
      <w:r w:rsidRPr="00133C64">
        <w:rPr>
          <w:rFonts w:cstheme="minorHAnsi"/>
          <w:sz w:val="24"/>
          <w:szCs w:val="24"/>
        </w:rPr>
        <w:t>Société Générale</w:t>
      </w:r>
    </w:p>
    <w:p w14:paraId="189E0DDC" w14:textId="77777777" w:rsidR="00133C64" w:rsidRPr="00133C64" w:rsidRDefault="00133C64" w:rsidP="009D34AD">
      <w:pPr>
        <w:numPr>
          <w:ilvl w:val="0"/>
          <w:numId w:val="6"/>
        </w:numPr>
        <w:spacing w:after="0"/>
        <w:rPr>
          <w:rFonts w:cstheme="minorHAnsi"/>
          <w:sz w:val="24"/>
          <w:szCs w:val="24"/>
        </w:rPr>
      </w:pPr>
      <w:r w:rsidRPr="00133C64">
        <w:rPr>
          <w:rFonts w:cstheme="minorHAnsi"/>
          <w:sz w:val="24"/>
          <w:szCs w:val="24"/>
        </w:rPr>
        <w:t>Morgan Stanley</w:t>
      </w:r>
    </w:p>
    <w:p w14:paraId="342252C7" w14:textId="77777777" w:rsidR="009D34AD" w:rsidRDefault="009D34AD" w:rsidP="00133C64">
      <w:pPr>
        <w:rPr>
          <w:rFonts w:cstheme="minorHAnsi"/>
          <w:sz w:val="24"/>
          <w:szCs w:val="24"/>
        </w:rPr>
      </w:pPr>
    </w:p>
    <w:p w14:paraId="0286647A" w14:textId="3E5D0AB3" w:rsidR="00133C64" w:rsidRPr="00133C64" w:rsidRDefault="00133C64" w:rsidP="00133C64">
      <w:pPr>
        <w:rPr>
          <w:rFonts w:cstheme="minorHAnsi"/>
          <w:sz w:val="24"/>
          <w:szCs w:val="24"/>
        </w:rPr>
      </w:pPr>
      <w:r w:rsidRPr="00133C64">
        <w:rPr>
          <w:rFonts w:cstheme="minorHAnsi"/>
          <w:sz w:val="24"/>
          <w:szCs w:val="24"/>
        </w:rPr>
        <w:t xml:space="preserve">Table II presents statistics about first-job annual compensation for AIM program </w:t>
      </w:r>
      <w:proofErr w:type="gramStart"/>
      <w:r w:rsidRPr="00133C64">
        <w:rPr>
          <w:rFonts w:cstheme="minorHAnsi"/>
          <w:sz w:val="24"/>
          <w:szCs w:val="24"/>
        </w:rPr>
        <w:t>graduates</w:t>
      </w:r>
      <w:proofErr w:type="gramEnd"/>
      <w:r w:rsidRPr="00133C64">
        <w:rPr>
          <w:rFonts w:cstheme="minorHAnsi"/>
          <w:sz w:val="24"/>
          <w:szCs w:val="24"/>
        </w:rPr>
        <w:t xml:space="preserve"> vs Marquette University general finance graduates. The average (median) first-year compensation (salary plus bonus) of AIM students who graduated from the program between 2015 and 2017 is $69,568 ($65,000). During the sample period the average (median) total compensation of non-AIM finance graduates is $54,931 ($55,000). The </w:t>
      </w:r>
      <w:r w:rsidRPr="00133C64">
        <w:rPr>
          <w:rFonts w:cstheme="minorHAnsi"/>
          <w:i/>
          <w:iCs/>
          <w:sz w:val="24"/>
          <w:szCs w:val="24"/>
        </w:rPr>
        <w:t>t</w:t>
      </w:r>
      <w:r w:rsidRPr="00133C64">
        <w:rPr>
          <w:rFonts w:cstheme="minorHAnsi"/>
          <w:sz w:val="24"/>
          <w:szCs w:val="24"/>
        </w:rPr>
        <w:t>-test of the difference and the Wilcoxon two-sample test show that the difference in average and median compensation is statistically significant at the 1 percent level. The </w:t>
      </w:r>
      <w:r w:rsidRPr="00133C64">
        <w:rPr>
          <w:rFonts w:cstheme="minorHAnsi"/>
          <w:i/>
          <w:iCs/>
          <w:sz w:val="24"/>
          <w:szCs w:val="24"/>
        </w:rPr>
        <w:t>t</w:t>
      </w:r>
      <w:r w:rsidRPr="00133C64">
        <w:rPr>
          <w:rFonts w:cstheme="minorHAnsi"/>
          <w:sz w:val="24"/>
          <w:szCs w:val="24"/>
        </w:rPr>
        <w:t xml:space="preserve">-test and Wilcoxon test for salary (without bonus) and bonus are also statistically significant at the 1 percent level. Bonus is set to zero when unreported, therefore the average and median bonus amount might possibly underestimate the actual bonus received on average from the recent graduates. </w:t>
      </w:r>
      <w:proofErr w:type="gramStart"/>
      <w:r w:rsidRPr="00133C64">
        <w:rPr>
          <w:rFonts w:cstheme="minorHAnsi"/>
          <w:sz w:val="24"/>
          <w:szCs w:val="24"/>
        </w:rPr>
        <w:t>Overall</w:t>
      </w:r>
      <w:proofErr w:type="gramEnd"/>
      <w:r w:rsidRPr="00133C64">
        <w:rPr>
          <w:rFonts w:cstheme="minorHAnsi"/>
          <w:sz w:val="24"/>
          <w:szCs w:val="24"/>
        </w:rPr>
        <w:t xml:space="preserve"> our results show that the AIM program, through its innovations in applied learning, pedagogical design and rigor elicits on average a premium of almost $15,000. This result is consistent with what Lamb </w:t>
      </w:r>
      <w:r w:rsidRPr="00133C64">
        <w:rPr>
          <w:rFonts w:cstheme="minorHAnsi"/>
          <w:i/>
          <w:iCs/>
          <w:sz w:val="24"/>
          <w:szCs w:val="24"/>
        </w:rPr>
        <w:t>et al.</w:t>
      </w:r>
      <w:r w:rsidRPr="00133C64">
        <w:rPr>
          <w:rFonts w:cstheme="minorHAnsi"/>
          <w:sz w:val="24"/>
          <w:szCs w:val="24"/>
        </w:rPr>
        <w:t> (2015) find among SMIF students at a different institution.</w:t>
      </w:r>
    </w:p>
    <w:p w14:paraId="78C94E98" w14:textId="77777777" w:rsidR="00133C64" w:rsidRPr="00133C64" w:rsidRDefault="00133C64" w:rsidP="009D34AD">
      <w:pPr>
        <w:pStyle w:val="Heading1"/>
      </w:pPr>
      <w:r w:rsidRPr="00133C64">
        <w:t>6. Conclusions</w:t>
      </w:r>
    </w:p>
    <w:p w14:paraId="5DD918DA" w14:textId="77777777" w:rsidR="00133C64" w:rsidRPr="00133C64" w:rsidRDefault="00133C64" w:rsidP="00133C64">
      <w:pPr>
        <w:rPr>
          <w:rFonts w:cstheme="minorHAnsi"/>
          <w:sz w:val="24"/>
          <w:szCs w:val="24"/>
        </w:rPr>
      </w:pPr>
      <w:r w:rsidRPr="00133C64">
        <w:rPr>
          <w:rFonts w:cstheme="minorHAnsi"/>
          <w:sz w:val="24"/>
          <w:szCs w:val="24"/>
        </w:rPr>
        <w:t>Since its inception in 2005, the AIM program at Marquette University has trained more than 200 students for a successful career in investment analysis and investment banking. Its focus on investment ethics, recurrent stock presentations in front of investment professionals and the recent introduction of executive co-teaching distinguish the AIM program among the ever-growing field of student-managed funds and programs in higher education. The AIM program continues to adapt to meet the demands of a fast-changing investment industry. The program will soon offer an elective course in financial technologies and is beginning to explore neuro-science pedagogical innovations.</w:t>
      </w:r>
    </w:p>
    <w:p w14:paraId="1C477F83" w14:textId="2E73FA1F" w:rsidR="00133C64" w:rsidRPr="00133C64" w:rsidRDefault="00133C64" w:rsidP="00133C64">
      <w:pPr>
        <w:rPr>
          <w:rFonts w:cstheme="minorHAnsi"/>
          <w:sz w:val="24"/>
          <w:szCs w:val="24"/>
        </w:rPr>
      </w:pPr>
      <w:r w:rsidRPr="00133C64">
        <w:rPr>
          <w:rFonts w:cstheme="minorHAnsi"/>
          <w:sz w:val="24"/>
          <w:szCs w:val="24"/>
        </w:rPr>
        <w:t>Table I</w:t>
      </w:r>
      <w:r w:rsidR="009D34AD">
        <w:rPr>
          <w:rFonts w:cstheme="minorHAnsi"/>
          <w:sz w:val="24"/>
          <w:szCs w:val="24"/>
        </w:rPr>
        <w:t xml:space="preserve"> </w:t>
      </w:r>
      <w:r w:rsidRPr="00133C64">
        <w:rPr>
          <w:rFonts w:cstheme="minorHAnsi"/>
          <w:sz w:val="24"/>
          <w:szCs w:val="24"/>
        </w:rPr>
        <w:t>Funds’ performance</w:t>
      </w:r>
    </w:p>
    <w:tbl>
      <w:tblPr>
        <w:tblStyle w:val="TableGrid"/>
        <w:tblW w:w="0" w:type="auto"/>
        <w:tblLook w:val="04A0" w:firstRow="1" w:lastRow="0" w:firstColumn="1" w:lastColumn="0" w:noHBand="0" w:noVBand="1"/>
      </w:tblPr>
      <w:tblGrid>
        <w:gridCol w:w="2086"/>
        <w:gridCol w:w="899"/>
        <w:gridCol w:w="764"/>
        <w:gridCol w:w="913"/>
        <w:gridCol w:w="899"/>
        <w:gridCol w:w="764"/>
        <w:gridCol w:w="913"/>
        <w:gridCol w:w="1155"/>
        <w:gridCol w:w="764"/>
        <w:gridCol w:w="913"/>
      </w:tblGrid>
      <w:tr w:rsidR="00CE46C0" w:rsidRPr="00133C64" w14:paraId="1D9BC8B3" w14:textId="77777777" w:rsidTr="00732E9A">
        <w:tc>
          <w:tcPr>
            <w:tcW w:w="0" w:type="auto"/>
            <w:hideMark/>
          </w:tcPr>
          <w:p w14:paraId="7DF378A9" w14:textId="77777777" w:rsidR="00CE46C0" w:rsidRPr="00133C64" w:rsidRDefault="00CE46C0" w:rsidP="009D34AD">
            <w:pPr>
              <w:spacing w:line="259" w:lineRule="auto"/>
              <w:rPr>
                <w:rFonts w:cstheme="minorHAnsi"/>
                <w:sz w:val="24"/>
                <w:szCs w:val="24"/>
              </w:rPr>
            </w:pPr>
          </w:p>
        </w:tc>
        <w:tc>
          <w:tcPr>
            <w:tcW w:w="0" w:type="auto"/>
            <w:hideMark/>
          </w:tcPr>
          <w:p w14:paraId="46ABCDF1" w14:textId="77777777" w:rsidR="00CE46C0" w:rsidRPr="00133C64" w:rsidRDefault="00CE46C0" w:rsidP="009D34AD">
            <w:pPr>
              <w:rPr>
                <w:rFonts w:cstheme="minorHAnsi"/>
                <w:b/>
                <w:bCs/>
                <w:sz w:val="24"/>
                <w:szCs w:val="24"/>
              </w:rPr>
            </w:pPr>
            <w:r w:rsidRPr="00133C64">
              <w:rPr>
                <w:rFonts w:cstheme="minorHAnsi"/>
                <w:b/>
                <w:bCs/>
                <w:sz w:val="24"/>
                <w:szCs w:val="24"/>
              </w:rPr>
              <w:t>1 year</w:t>
            </w:r>
          </w:p>
        </w:tc>
        <w:tc>
          <w:tcPr>
            <w:tcW w:w="0" w:type="auto"/>
          </w:tcPr>
          <w:p w14:paraId="48087CFA" w14:textId="77777777" w:rsidR="00CE46C0" w:rsidRPr="00133C64" w:rsidRDefault="00CE46C0" w:rsidP="009D34AD">
            <w:pPr>
              <w:rPr>
                <w:rFonts w:cstheme="minorHAnsi"/>
                <w:b/>
                <w:bCs/>
                <w:sz w:val="24"/>
                <w:szCs w:val="24"/>
              </w:rPr>
            </w:pPr>
          </w:p>
        </w:tc>
        <w:tc>
          <w:tcPr>
            <w:tcW w:w="0" w:type="auto"/>
          </w:tcPr>
          <w:p w14:paraId="0068F4D1" w14:textId="7D15C176" w:rsidR="00CE46C0" w:rsidRPr="00133C64" w:rsidRDefault="00CE46C0" w:rsidP="009D34AD">
            <w:pPr>
              <w:spacing w:after="0"/>
              <w:rPr>
                <w:rFonts w:cstheme="minorHAnsi"/>
                <w:b/>
                <w:bCs/>
                <w:sz w:val="24"/>
                <w:szCs w:val="24"/>
              </w:rPr>
            </w:pPr>
          </w:p>
        </w:tc>
        <w:tc>
          <w:tcPr>
            <w:tcW w:w="0" w:type="auto"/>
            <w:hideMark/>
          </w:tcPr>
          <w:p w14:paraId="05E8A15B" w14:textId="77777777" w:rsidR="00CE46C0" w:rsidRPr="00133C64" w:rsidRDefault="00CE46C0" w:rsidP="009D34AD">
            <w:pPr>
              <w:rPr>
                <w:rFonts w:cstheme="minorHAnsi"/>
                <w:b/>
                <w:bCs/>
                <w:sz w:val="24"/>
                <w:szCs w:val="24"/>
              </w:rPr>
            </w:pPr>
            <w:r w:rsidRPr="00133C64">
              <w:rPr>
                <w:rFonts w:cstheme="minorHAnsi"/>
                <w:b/>
                <w:bCs/>
                <w:sz w:val="24"/>
                <w:szCs w:val="24"/>
              </w:rPr>
              <w:t>5 years</w:t>
            </w:r>
          </w:p>
        </w:tc>
        <w:tc>
          <w:tcPr>
            <w:tcW w:w="0" w:type="auto"/>
          </w:tcPr>
          <w:p w14:paraId="4882C55F" w14:textId="77777777" w:rsidR="00CE46C0" w:rsidRPr="00133C64" w:rsidRDefault="00CE46C0" w:rsidP="009D34AD">
            <w:pPr>
              <w:rPr>
                <w:rFonts w:cstheme="minorHAnsi"/>
                <w:b/>
                <w:bCs/>
                <w:sz w:val="24"/>
                <w:szCs w:val="24"/>
              </w:rPr>
            </w:pPr>
          </w:p>
        </w:tc>
        <w:tc>
          <w:tcPr>
            <w:tcW w:w="0" w:type="auto"/>
          </w:tcPr>
          <w:p w14:paraId="5584AE7F" w14:textId="5599BCB0" w:rsidR="00CE46C0" w:rsidRPr="00133C64" w:rsidRDefault="00CE46C0" w:rsidP="009D34AD">
            <w:pPr>
              <w:spacing w:line="259" w:lineRule="auto"/>
              <w:rPr>
                <w:rFonts w:cstheme="minorHAnsi"/>
                <w:b/>
                <w:bCs/>
                <w:sz w:val="24"/>
                <w:szCs w:val="24"/>
              </w:rPr>
            </w:pPr>
          </w:p>
        </w:tc>
        <w:tc>
          <w:tcPr>
            <w:tcW w:w="0" w:type="auto"/>
            <w:hideMark/>
          </w:tcPr>
          <w:p w14:paraId="1679952B" w14:textId="77777777" w:rsidR="00CE46C0" w:rsidRPr="00133C64" w:rsidRDefault="00CE46C0" w:rsidP="009D34AD">
            <w:pPr>
              <w:rPr>
                <w:rFonts w:cstheme="minorHAnsi"/>
                <w:b/>
                <w:bCs/>
                <w:sz w:val="24"/>
                <w:szCs w:val="24"/>
              </w:rPr>
            </w:pPr>
            <w:r w:rsidRPr="00133C64">
              <w:rPr>
                <w:rFonts w:cstheme="minorHAnsi"/>
                <w:b/>
                <w:bCs/>
                <w:sz w:val="24"/>
                <w:szCs w:val="24"/>
              </w:rPr>
              <w:t>Since inception</w:t>
            </w:r>
          </w:p>
        </w:tc>
        <w:tc>
          <w:tcPr>
            <w:tcW w:w="0" w:type="auto"/>
          </w:tcPr>
          <w:p w14:paraId="515C43B3" w14:textId="77777777" w:rsidR="00CE46C0" w:rsidRPr="00133C64" w:rsidRDefault="00CE46C0" w:rsidP="009D34AD">
            <w:pPr>
              <w:rPr>
                <w:rFonts w:cstheme="minorHAnsi"/>
                <w:b/>
                <w:bCs/>
                <w:sz w:val="24"/>
                <w:szCs w:val="24"/>
              </w:rPr>
            </w:pPr>
          </w:p>
        </w:tc>
        <w:tc>
          <w:tcPr>
            <w:tcW w:w="0" w:type="auto"/>
          </w:tcPr>
          <w:p w14:paraId="5E271D4C" w14:textId="7A2C7461" w:rsidR="00CE46C0" w:rsidRPr="00133C64" w:rsidRDefault="00CE46C0" w:rsidP="009D34AD">
            <w:pPr>
              <w:spacing w:line="259" w:lineRule="auto"/>
              <w:rPr>
                <w:rFonts w:cstheme="minorHAnsi"/>
                <w:b/>
                <w:bCs/>
                <w:sz w:val="24"/>
                <w:szCs w:val="24"/>
              </w:rPr>
            </w:pPr>
          </w:p>
        </w:tc>
      </w:tr>
      <w:tr w:rsidR="00CE46C0" w:rsidRPr="00133C64" w14:paraId="58C54898" w14:textId="77777777" w:rsidTr="009D34AD">
        <w:tc>
          <w:tcPr>
            <w:tcW w:w="0" w:type="auto"/>
            <w:hideMark/>
          </w:tcPr>
          <w:p w14:paraId="7C6F3791" w14:textId="77777777" w:rsidR="00133C64" w:rsidRPr="00133C64" w:rsidRDefault="00133C64" w:rsidP="009D34AD">
            <w:pPr>
              <w:spacing w:line="259" w:lineRule="auto"/>
              <w:rPr>
                <w:rFonts w:cstheme="minorHAnsi"/>
                <w:b/>
                <w:bCs/>
                <w:sz w:val="24"/>
                <w:szCs w:val="24"/>
              </w:rPr>
            </w:pPr>
            <w:r w:rsidRPr="00133C64">
              <w:rPr>
                <w:rFonts w:cstheme="minorHAnsi"/>
                <w:b/>
                <w:bCs/>
                <w:sz w:val="24"/>
                <w:szCs w:val="24"/>
              </w:rPr>
              <w:t>Group/Investment</w:t>
            </w:r>
          </w:p>
        </w:tc>
        <w:tc>
          <w:tcPr>
            <w:tcW w:w="0" w:type="auto"/>
            <w:hideMark/>
          </w:tcPr>
          <w:p w14:paraId="51B3ACE3" w14:textId="77777777" w:rsidR="00133C64" w:rsidRPr="00133C64" w:rsidRDefault="00133C64" w:rsidP="009D34AD">
            <w:pPr>
              <w:spacing w:after="0"/>
              <w:rPr>
                <w:rFonts w:cstheme="minorHAnsi"/>
                <w:b/>
                <w:bCs/>
                <w:sz w:val="24"/>
                <w:szCs w:val="24"/>
              </w:rPr>
            </w:pPr>
            <w:r w:rsidRPr="00133C64">
              <w:rPr>
                <w:rFonts w:cstheme="minorHAnsi"/>
                <w:b/>
                <w:bCs/>
                <w:sz w:val="24"/>
                <w:szCs w:val="24"/>
              </w:rPr>
              <w:t>Return</w:t>
            </w:r>
          </w:p>
        </w:tc>
        <w:tc>
          <w:tcPr>
            <w:tcW w:w="0" w:type="auto"/>
            <w:hideMark/>
          </w:tcPr>
          <w:p w14:paraId="74FC5A00" w14:textId="77777777" w:rsidR="00133C64" w:rsidRPr="00133C64" w:rsidRDefault="00133C64" w:rsidP="009D34AD">
            <w:pPr>
              <w:spacing w:line="259" w:lineRule="auto"/>
              <w:rPr>
                <w:rFonts w:cstheme="minorHAnsi"/>
                <w:b/>
                <w:bCs/>
                <w:sz w:val="24"/>
                <w:szCs w:val="24"/>
              </w:rPr>
            </w:pPr>
            <w:r w:rsidRPr="00133C64">
              <w:rPr>
                <w:rFonts w:cstheme="minorHAnsi"/>
                <w:b/>
                <w:bCs/>
                <w:sz w:val="24"/>
                <w:szCs w:val="24"/>
              </w:rPr>
              <w:t>SD</w:t>
            </w:r>
          </w:p>
        </w:tc>
        <w:tc>
          <w:tcPr>
            <w:tcW w:w="0" w:type="auto"/>
            <w:hideMark/>
          </w:tcPr>
          <w:p w14:paraId="1015B487" w14:textId="77777777" w:rsidR="00133C64" w:rsidRPr="00133C64" w:rsidRDefault="00133C64" w:rsidP="009D34AD">
            <w:pPr>
              <w:spacing w:line="259" w:lineRule="auto"/>
              <w:rPr>
                <w:rFonts w:cstheme="minorHAnsi"/>
                <w:b/>
                <w:bCs/>
                <w:sz w:val="24"/>
                <w:szCs w:val="24"/>
              </w:rPr>
            </w:pPr>
            <w:r w:rsidRPr="00133C64">
              <w:rPr>
                <w:rFonts w:cstheme="minorHAnsi"/>
                <w:b/>
                <w:bCs/>
                <w:sz w:val="24"/>
                <w:szCs w:val="24"/>
              </w:rPr>
              <w:t>Sharpe ratio</w:t>
            </w:r>
          </w:p>
        </w:tc>
        <w:tc>
          <w:tcPr>
            <w:tcW w:w="0" w:type="auto"/>
            <w:hideMark/>
          </w:tcPr>
          <w:p w14:paraId="2BBB62B4" w14:textId="77777777" w:rsidR="00133C64" w:rsidRPr="00133C64" w:rsidRDefault="00133C64" w:rsidP="009D34AD">
            <w:pPr>
              <w:spacing w:line="259" w:lineRule="auto"/>
              <w:rPr>
                <w:rFonts w:cstheme="minorHAnsi"/>
                <w:b/>
                <w:bCs/>
                <w:sz w:val="24"/>
                <w:szCs w:val="24"/>
              </w:rPr>
            </w:pPr>
            <w:r w:rsidRPr="00133C64">
              <w:rPr>
                <w:rFonts w:cstheme="minorHAnsi"/>
                <w:b/>
                <w:bCs/>
                <w:sz w:val="24"/>
                <w:szCs w:val="24"/>
              </w:rPr>
              <w:t>Return</w:t>
            </w:r>
          </w:p>
        </w:tc>
        <w:tc>
          <w:tcPr>
            <w:tcW w:w="0" w:type="auto"/>
            <w:hideMark/>
          </w:tcPr>
          <w:p w14:paraId="4EC66E0E" w14:textId="77777777" w:rsidR="00133C64" w:rsidRPr="00133C64" w:rsidRDefault="00133C64" w:rsidP="009D34AD">
            <w:pPr>
              <w:spacing w:line="259" w:lineRule="auto"/>
              <w:rPr>
                <w:rFonts w:cstheme="minorHAnsi"/>
                <w:b/>
                <w:bCs/>
                <w:sz w:val="24"/>
                <w:szCs w:val="24"/>
              </w:rPr>
            </w:pPr>
            <w:r w:rsidRPr="00133C64">
              <w:rPr>
                <w:rFonts w:cstheme="minorHAnsi"/>
                <w:b/>
                <w:bCs/>
                <w:sz w:val="24"/>
                <w:szCs w:val="24"/>
              </w:rPr>
              <w:t>SD</w:t>
            </w:r>
          </w:p>
        </w:tc>
        <w:tc>
          <w:tcPr>
            <w:tcW w:w="0" w:type="auto"/>
            <w:hideMark/>
          </w:tcPr>
          <w:p w14:paraId="2D78E0AF" w14:textId="77777777" w:rsidR="00133C64" w:rsidRPr="00133C64" w:rsidRDefault="00133C64" w:rsidP="009D34AD">
            <w:pPr>
              <w:spacing w:line="259" w:lineRule="auto"/>
              <w:rPr>
                <w:rFonts w:cstheme="minorHAnsi"/>
                <w:b/>
                <w:bCs/>
                <w:sz w:val="24"/>
                <w:szCs w:val="24"/>
              </w:rPr>
            </w:pPr>
            <w:r w:rsidRPr="00133C64">
              <w:rPr>
                <w:rFonts w:cstheme="minorHAnsi"/>
                <w:b/>
                <w:bCs/>
                <w:sz w:val="24"/>
                <w:szCs w:val="24"/>
              </w:rPr>
              <w:t>Sharpe ratio</w:t>
            </w:r>
          </w:p>
        </w:tc>
        <w:tc>
          <w:tcPr>
            <w:tcW w:w="0" w:type="auto"/>
            <w:hideMark/>
          </w:tcPr>
          <w:p w14:paraId="11506C00" w14:textId="77777777" w:rsidR="00133C64" w:rsidRPr="00133C64" w:rsidRDefault="00133C64" w:rsidP="009D34AD">
            <w:pPr>
              <w:spacing w:line="259" w:lineRule="auto"/>
              <w:rPr>
                <w:rFonts w:cstheme="minorHAnsi"/>
                <w:b/>
                <w:bCs/>
                <w:sz w:val="24"/>
                <w:szCs w:val="24"/>
              </w:rPr>
            </w:pPr>
            <w:r w:rsidRPr="00133C64">
              <w:rPr>
                <w:rFonts w:cstheme="minorHAnsi"/>
                <w:b/>
                <w:bCs/>
                <w:sz w:val="24"/>
                <w:szCs w:val="24"/>
              </w:rPr>
              <w:t>Return</w:t>
            </w:r>
          </w:p>
        </w:tc>
        <w:tc>
          <w:tcPr>
            <w:tcW w:w="0" w:type="auto"/>
            <w:hideMark/>
          </w:tcPr>
          <w:p w14:paraId="554BE7FB" w14:textId="77777777" w:rsidR="00133C64" w:rsidRPr="00133C64" w:rsidRDefault="00133C64" w:rsidP="009D34AD">
            <w:pPr>
              <w:spacing w:line="259" w:lineRule="auto"/>
              <w:rPr>
                <w:rFonts w:cstheme="minorHAnsi"/>
                <w:b/>
                <w:bCs/>
                <w:sz w:val="24"/>
                <w:szCs w:val="24"/>
              </w:rPr>
            </w:pPr>
            <w:r w:rsidRPr="00133C64">
              <w:rPr>
                <w:rFonts w:cstheme="minorHAnsi"/>
                <w:b/>
                <w:bCs/>
                <w:sz w:val="24"/>
                <w:szCs w:val="24"/>
              </w:rPr>
              <w:t>SD</w:t>
            </w:r>
          </w:p>
        </w:tc>
        <w:tc>
          <w:tcPr>
            <w:tcW w:w="0" w:type="auto"/>
            <w:hideMark/>
          </w:tcPr>
          <w:p w14:paraId="5C0F79EC" w14:textId="77777777" w:rsidR="00133C64" w:rsidRPr="00133C64" w:rsidRDefault="00133C64" w:rsidP="009D34AD">
            <w:pPr>
              <w:spacing w:line="259" w:lineRule="auto"/>
              <w:rPr>
                <w:rFonts w:cstheme="minorHAnsi"/>
                <w:b/>
                <w:bCs/>
                <w:sz w:val="24"/>
                <w:szCs w:val="24"/>
              </w:rPr>
            </w:pPr>
            <w:r w:rsidRPr="00133C64">
              <w:rPr>
                <w:rFonts w:cstheme="minorHAnsi"/>
                <w:b/>
                <w:bCs/>
                <w:sz w:val="24"/>
                <w:szCs w:val="24"/>
              </w:rPr>
              <w:t>Sharpe ratio</w:t>
            </w:r>
          </w:p>
        </w:tc>
      </w:tr>
      <w:tr w:rsidR="00133C64" w:rsidRPr="00133C64" w14:paraId="4DAEB425" w14:textId="77777777" w:rsidTr="009D34AD">
        <w:tc>
          <w:tcPr>
            <w:tcW w:w="0" w:type="auto"/>
            <w:hideMark/>
          </w:tcPr>
          <w:p w14:paraId="237EE4B5" w14:textId="77777777" w:rsidR="00133C64" w:rsidRPr="00133C64" w:rsidRDefault="00133C64" w:rsidP="009D34AD">
            <w:pPr>
              <w:spacing w:line="259" w:lineRule="auto"/>
              <w:rPr>
                <w:rFonts w:cstheme="minorHAnsi"/>
                <w:sz w:val="24"/>
                <w:szCs w:val="24"/>
              </w:rPr>
            </w:pPr>
            <w:r w:rsidRPr="00133C64">
              <w:rPr>
                <w:rFonts w:cstheme="minorHAnsi"/>
                <w:i/>
                <w:iCs/>
                <w:sz w:val="24"/>
                <w:szCs w:val="24"/>
              </w:rPr>
              <w:t>AIM small-cap fund</w:t>
            </w:r>
          </w:p>
        </w:tc>
        <w:tc>
          <w:tcPr>
            <w:tcW w:w="0" w:type="auto"/>
            <w:hideMark/>
          </w:tcPr>
          <w:p w14:paraId="5618C666" w14:textId="77777777" w:rsidR="00133C64" w:rsidRPr="00133C64" w:rsidRDefault="00133C64" w:rsidP="009D34AD">
            <w:pPr>
              <w:spacing w:after="0"/>
              <w:rPr>
                <w:rFonts w:cstheme="minorHAnsi"/>
                <w:sz w:val="24"/>
                <w:szCs w:val="24"/>
              </w:rPr>
            </w:pPr>
            <w:r w:rsidRPr="00133C64">
              <w:rPr>
                <w:rFonts w:cstheme="minorHAnsi"/>
                <w:sz w:val="24"/>
                <w:szCs w:val="24"/>
              </w:rPr>
              <w:t>26.20</w:t>
            </w:r>
          </w:p>
        </w:tc>
        <w:tc>
          <w:tcPr>
            <w:tcW w:w="0" w:type="auto"/>
            <w:hideMark/>
          </w:tcPr>
          <w:p w14:paraId="0F801E4F" w14:textId="77777777" w:rsidR="00133C64" w:rsidRPr="00133C64" w:rsidRDefault="00133C64" w:rsidP="009D34AD">
            <w:pPr>
              <w:spacing w:after="0"/>
              <w:rPr>
                <w:rFonts w:cstheme="minorHAnsi"/>
                <w:sz w:val="24"/>
                <w:szCs w:val="24"/>
              </w:rPr>
            </w:pPr>
            <w:r w:rsidRPr="00133C64">
              <w:rPr>
                <w:rFonts w:cstheme="minorHAnsi"/>
                <w:sz w:val="24"/>
                <w:szCs w:val="24"/>
              </w:rPr>
              <w:t>10.73</w:t>
            </w:r>
          </w:p>
        </w:tc>
        <w:tc>
          <w:tcPr>
            <w:tcW w:w="0" w:type="auto"/>
            <w:hideMark/>
          </w:tcPr>
          <w:p w14:paraId="41177BB7" w14:textId="77777777" w:rsidR="00133C64" w:rsidRPr="00133C64" w:rsidRDefault="00133C64" w:rsidP="009D34AD">
            <w:pPr>
              <w:spacing w:after="0"/>
              <w:rPr>
                <w:rFonts w:cstheme="minorHAnsi"/>
                <w:sz w:val="24"/>
                <w:szCs w:val="24"/>
              </w:rPr>
            </w:pPr>
            <w:r w:rsidRPr="00133C64">
              <w:rPr>
                <w:rFonts w:cstheme="minorHAnsi"/>
                <w:sz w:val="24"/>
                <w:szCs w:val="24"/>
              </w:rPr>
              <w:t>2.10</w:t>
            </w:r>
          </w:p>
        </w:tc>
        <w:tc>
          <w:tcPr>
            <w:tcW w:w="0" w:type="auto"/>
            <w:hideMark/>
          </w:tcPr>
          <w:p w14:paraId="3CF1EC1B" w14:textId="77777777" w:rsidR="00133C64" w:rsidRPr="00133C64" w:rsidRDefault="00133C64" w:rsidP="009D34AD">
            <w:pPr>
              <w:spacing w:after="0"/>
              <w:rPr>
                <w:rFonts w:cstheme="minorHAnsi"/>
                <w:sz w:val="24"/>
                <w:szCs w:val="24"/>
              </w:rPr>
            </w:pPr>
            <w:r w:rsidRPr="00133C64">
              <w:rPr>
                <w:rFonts w:cstheme="minorHAnsi"/>
                <w:sz w:val="24"/>
                <w:szCs w:val="24"/>
              </w:rPr>
              <w:t>13.29</w:t>
            </w:r>
          </w:p>
        </w:tc>
        <w:tc>
          <w:tcPr>
            <w:tcW w:w="0" w:type="auto"/>
            <w:hideMark/>
          </w:tcPr>
          <w:p w14:paraId="27FB8C5F" w14:textId="77777777" w:rsidR="00133C64" w:rsidRPr="00133C64" w:rsidRDefault="00133C64" w:rsidP="009D34AD">
            <w:pPr>
              <w:spacing w:after="0"/>
              <w:rPr>
                <w:rFonts w:cstheme="minorHAnsi"/>
                <w:sz w:val="24"/>
                <w:szCs w:val="24"/>
              </w:rPr>
            </w:pPr>
            <w:r w:rsidRPr="00133C64">
              <w:rPr>
                <w:rFonts w:cstheme="minorHAnsi"/>
                <w:sz w:val="24"/>
                <w:szCs w:val="24"/>
              </w:rPr>
              <w:t>14.92</w:t>
            </w:r>
          </w:p>
        </w:tc>
        <w:tc>
          <w:tcPr>
            <w:tcW w:w="0" w:type="auto"/>
            <w:hideMark/>
          </w:tcPr>
          <w:p w14:paraId="7844D3B4" w14:textId="77777777" w:rsidR="00133C64" w:rsidRPr="00133C64" w:rsidRDefault="00133C64" w:rsidP="009D34AD">
            <w:pPr>
              <w:spacing w:after="0"/>
              <w:rPr>
                <w:rFonts w:cstheme="minorHAnsi"/>
                <w:sz w:val="24"/>
                <w:szCs w:val="24"/>
              </w:rPr>
            </w:pPr>
            <w:r w:rsidRPr="00133C64">
              <w:rPr>
                <w:rFonts w:cstheme="minorHAnsi"/>
                <w:sz w:val="24"/>
                <w:szCs w:val="24"/>
              </w:rPr>
              <w:t>0.88</w:t>
            </w:r>
          </w:p>
        </w:tc>
        <w:tc>
          <w:tcPr>
            <w:tcW w:w="0" w:type="auto"/>
            <w:hideMark/>
          </w:tcPr>
          <w:p w14:paraId="037A8D44" w14:textId="77777777" w:rsidR="00133C64" w:rsidRPr="00133C64" w:rsidRDefault="00133C64" w:rsidP="009D34AD">
            <w:pPr>
              <w:spacing w:after="0"/>
              <w:rPr>
                <w:rFonts w:cstheme="minorHAnsi"/>
                <w:sz w:val="24"/>
                <w:szCs w:val="24"/>
              </w:rPr>
            </w:pPr>
            <w:r w:rsidRPr="00133C64">
              <w:rPr>
                <w:rFonts w:cstheme="minorHAnsi"/>
                <w:sz w:val="24"/>
                <w:szCs w:val="24"/>
              </w:rPr>
              <w:t>8.47</w:t>
            </w:r>
          </w:p>
        </w:tc>
        <w:tc>
          <w:tcPr>
            <w:tcW w:w="0" w:type="auto"/>
            <w:hideMark/>
          </w:tcPr>
          <w:p w14:paraId="0F8A1A56" w14:textId="77777777" w:rsidR="00133C64" w:rsidRPr="00133C64" w:rsidRDefault="00133C64" w:rsidP="009D34AD">
            <w:pPr>
              <w:spacing w:after="0"/>
              <w:rPr>
                <w:rFonts w:cstheme="minorHAnsi"/>
                <w:sz w:val="24"/>
                <w:szCs w:val="24"/>
              </w:rPr>
            </w:pPr>
            <w:r w:rsidRPr="00133C64">
              <w:rPr>
                <w:rFonts w:cstheme="minorHAnsi"/>
                <w:sz w:val="24"/>
                <w:szCs w:val="24"/>
              </w:rPr>
              <w:t>27.58</w:t>
            </w:r>
          </w:p>
        </w:tc>
        <w:tc>
          <w:tcPr>
            <w:tcW w:w="0" w:type="auto"/>
            <w:hideMark/>
          </w:tcPr>
          <w:p w14:paraId="4021044C" w14:textId="77777777" w:rsidR="00133C64" w:rsidRPr="00133C64" w:rsidRDefault="00133C64" w:rsidP="009D34AD">
            <w:pPr>
              <w:spacing w:after="0"/>
              <w:rPr>
                <w:rFonts w:cstheme="minorHAnsi"/>
                <w:sz w:val="24"/>
                <w:szCs w:val="24"/>
              </w:rPr>
            </w:pPr>
            <w:r w:rsidRPr="00133C64">
              <w:rPr>
                <w:rFonts w:cstheme="minorHAnsi"/>
                <w:sz w:val="24"/>
                <w:szCs w:val="24"/>
              </w:rPr>
              <w:t>0.50</w:t>
            </w:r>
          </w:p>
        </w:tc>
      </w:tr>
      <w:tr w:rsidR="00CE46C0" w:rsidRPr="00133C64" w14:paraId="4C684474" w14:textId="77777777" w:rsidTr="009D34AD">
        <w:tc>
          <w:tcPr>
            <w:tcW w:w="0" w:type="auto"/>
            <w:hideMark/>
          </w:tcPr>
          <w:p w14:paraId="4241D5CB" w14:textId="77777777" w:rsidR="00133C64" w:rsidRPr="00133C64" w:rsidRDefault="00133C64" w:rsidP="009D34AD">
            <w:pPr>
              <w:spacing w:after="0"/>
              <w:rPr>
                <w:rFonts w:cstheme="minorHAnsi"/>
                <w:sz w:val="24"/>
                <w:szCs w:val="24"/>
              </w:rPr>
            </w:pPr>
            <w:r w:rsidRPr="00133C64">
              <w:rPr>
                <w:rFonts w:cstheme="minorHAnsi"/>
                <w:sz w:val="24"/>
                <w:szCs w:val="24"/>
              </w:rPr>
              <w:t>Benchmark 1: Russell 2000 Index</w:t>
            </w:r>
          </w:p>
        </w:tc>
        <w:tc>
          <w:tcPr>
            <w:tcW w:w="0" w:type="auto"/>
            <w:hideMark/>
          </w:tcPr>
          <w:p w14:paraId="72B3AB3A" w14:textId="77777777" w:rsidR="00133C64" w:rsidRPr="00133C64" w:rsidRDefault="00133C64" w:rsidP="009D34AD">
            <w:pPr>
              <w:spacing w:after="0"/>
              <w:rPr>
                <w:rFonts w:cstheme="minorHAnsi"/>
                <w:sz w:val="24"/>
                <w:szCs w:val="24"/>
              </w:rPr>
            </w:pPr>
            <w:r w:rsidRPr="00133C64">
              <w:rPr>
                <w:rFonts w:cstheme="minorHAnsi"/>
                <w:sz w:val="24"/>
                <w:szCs w:val="24"/>
              </w:rPr>
              <w:t>17.57</w:t>
            </w:r>
          </w:p>
        </w:tc>
        <w:tc>
          <w:tcPr>
            <w:tcW w:w="0" w:type="auto"/>
            <w:hideMark/>
          </w:tcPr>
          <w:p w14:paraId="71BCD225" w14:textId="77777777" w:rsidR="00133C64" w:rsidRPr="00133C64" w:rsidRDefault="00133C64" w:rsidP="009D34AD">
            <w:pPr>
              <w:spacing w:after="0"/>
              <w:rPr>
                <w:rFonts w:cstheme="minorHAnsi"/>
                <w:sz w:val="24"/>
                <w:szCs w:val="24"/>
              </w:rPr>
            </w:pPr>
            <w:r w:rsidRPr="00133C64">
              <w:rPr>
                <w:rFonts w:cstheme="minorHAnsi"/>
                <w:sz w:val="24"/>
                <w:szCs w:val="24"/>
              </w:rPr>
              <w:t>9.83</w:t>
            </w:r>
          </w:p>
        </w:tc>
        <w:tc>
          <w:tcPr>
            <w:tcW w:w="0" w:type="auto"/>
            <w:hideMark/>
          </w:tcPr>
          <w:p w14:paraId="73D6BBDE" w14:textId="77777777" w:rsidR="00133C64" w:rsidRPr="00133C64" w:rsidRDefault="00133C64" w:rsidP="009D34AD">
            <w:pPr>
              <w:spacing w:after="0"/>
              <w:rPr>
                <w:rFonts w:cstheme="minorHAnsi"/>
                <w:sz w:val="24"/>
                <w:szCs w:val="24"/>
              </w:rPr>
            </w:pPr>
            <w:r w:rsidRPr="00133C64">
              <w:rPr>
                <w:rFonts w:cstheme="minorHAnsi"/>
                <w:sz w:val="24"/>
                <w:szCs w:val="24"/>
              </w:rPr>
              <w:t>1.55</w:t>
            </w:r>
          </w:p>
        </w:tc>
        <w:tc>
          <w:tcPr>
            <w:tcW w:w="0" w:type="auto"/>
            <w:hideMark/>
          </w:tcPr>
          <w:p w14:paraId="0FF2192E" w14:textId="77777777" w:rsidR="00133C64" w:rsidRPr="00133C64" w:rsidRDefault="00133C64" w:rsidP="009D34AD">
            <w:pPr>
              <w:spacing w:after="0"/>
              <w:rPr>
                <w:rFonts w:cstheme="minorHAnsi"/>
                <w:sz w:val="24"/>
                <w:szCs w:val="24"/>
              </w:rPr>
            </w:pPr>
            <w:r w:rsidRPr="00133C64">
              <w:rPr>
                <w:rFonts w:cstheme="minorHAnsi"/>
                <w:sz w:val="24"/>
                <w:szCs w:val="24"/>
              </w:rPr>
              <w:t>12.46</w:t>
            </w:r>
          </w:p>
        </w:tc>
        <w:tc>
          <w:tcPr>
            <w:tcW w:w="0" w:type="auto"/>
            <w:hideMark/>
          </w:tcPr>
          <w:p w14:paraId="55BCB1FB" w14:textId="77777777" w:rsidR="00133C64" w:rsidRPr="00133C64" w:rsidRDefault="00133C64" w:rsidP="009D34AD">
            <w:pPr>
              <w:spacing w:after="0"/>
              <w:rPr>
                <w:rFonts w:cstheme="minorHAnsi"/>
                <w:sz w:val="24"/>
                <w:szCs w:val="24"/>
              </w:rPr>
            </w:pPr>
            <w:r w:rsidRPr="00133C64">
              <w:rPr>
                <w:rFonts w:cstheme="minorHAnsi"/>
                <w:sz w:val="24"/>
                <w:szCs w:val="24"/>
              </w:rPr>
              <w:t>13.91</w:t>
            </w:r>
          </w:p>
        </w:tc>
        <w:tc>
          <w:tcPr>
            <w:tcW w:w="0" w:type="auto"/>
            <w:hideMark/>
          </w:tcPr>
          <w:p w14:paraId="4304D3D5" w14:textId="77777777" w:rsidR="00133C64" w:rsidRPr="00133C64" w:rsidRDefault="00133C64" w:rsidP="009D34AD">
            <w:pPr>
              <w:spacing w:after="0"/>
              <w:rPr>
                <w:rFonts w:cstheme="minorHAnsi"/>
                <w:sz w:val="24"/>
                <w:szCs w:val="24"/>
              </w:rPr>
            </w:pPr>
            <w:r w:rsidRPr="00133C64">
              <w:rPr>
                <w:rFonts w:cstheme="minorHAnsi"/>
                <w:sz w:val="24"/>
                <w:szCs w:val="24"/>
              </w:rPr>
              <w:t>0.88</w:t>
            </w:r>
          </w:p>
        </w:tc>
        <w:tc>
          <w:tcPr>
            <w:tcW w:w="0" w:type="auto"/>
            <w:hideMark/>
          </w:tcPr>
          <w:p w14:paraId="2B3F7091" w14:textId="77777777" w:rsidR="00133C64" w:rsidRPr="00133C64" w:rsidRDefault="00133C64" w:rsidP="009D34AD">
            <w:pPr>
              <w:spacing w:after="0"/>
              <w:rPr>
                <w:rFonts w:cstheme="minorHAnsi"/>
                <w:sz w:val="24"/>
                <w:szCs w:val="24"/>
              </w:rPr>
            </w:pPr>
            <w:r w:rsidRPr="00133C64">
              <w:rPr>
                <w:rFonts w:cstheme="minorHAnsi"/>
                <w:sz w:val="24"/>
                <w:szCs w:val="24"/>
              </w:rPr>
              <w:t>8.82</w:t>
            </w:r>
          </w:p>
        </w:tc>
        <w:tc>
          <w:tcPr>
            <w:tcW w:w="0" w:type="auto"/>
            <w:hideMark/>
          </w:tcPr>
          <w:p w14:paraId="3BCE2A84" w14:textId="77777777" w:rsidR="00133C64" w:rsidRPr="00133C64" w:rsidRDefault="00133C64" w:rsidP="009D34AD">
            <w:pPr>
              <w:spacing w:after="0"/>
              <w:rPr>
                <w:rFonts w:cstheme="minorHAnsi"/>
                <w:sz w:val="24"/>
                <w:szCs w:val="24"/>
              </w:rPr>
            </w:pPr>
            <w:r w:rsidRPr="00133C64">
              <w:rPr>
                <w:rFonts w:cstheme="minorHAnsi"/>
                <w:sz w:val="24"/>
                <w:szCs w:val="24"/>
              </w:rPr>
              <w:t>29.47</w:t>
            </w:r>
          </w:p>
        </w:tc>
        <w:tc>
          <w:tcPr>
            <w:tcW w:w="0" w:type="auto"/>
            <w:hideMark/>
          </w:tcPr>
          <w:p w14:paraId="6F41DA80" w14:textId="77777777" w:rsidR="00133C64" w:rsidRPr="00133C64" w:rsidRDefault="00133C64" w:rsidP="009D34AD">
            <w:pPr>
              <w:spacing w:after="0"/>
              <w:rPr>
                <w:rFonts w:cstheme="minorHAnsi"/>
                <w:sz w:val="24"/>
                <w:szCs w:val="24"/>
              </w:rPr>
            </w:pPr>
            <w:r w:rsidRPr="00133C64">
              <w:rPr>
                <w:rFonts w:cstheme="minorHAnsi"/>
                <w:sz w:val="24"/>
                <w:szCs w:val="24"/>
              </w:rPr>
              <w:t>0.50</w:t>
            </w:r>
          </w:p>
        </w:tc>
      </w:tr>
      <w:tr w:rsidR="00133C64" w:rsidRPr="00133C64" w14:paraId="368954DD" w14:textId="77777777" w:rsidTr="009D34AD">
        <w:tc>
          <w:tcPr>
            <w:tcW w:w="0" w:type="auto"/>
            <w:hideMark/>
          </w:tcPr>
          <w:p w14:paraId="5716FBF8" w14:textId="77777777" w:rsidR="00133C64" w:rsidRPr="00133C64" w:rsidRDefault="00133C64" w:rsidP="009D34AD">
            <w:pPr>
              <w:spacing w:after="0"/>
              <w:rPr>
                <w:rFonts w:cstheme="minorHAnsi"/>
                <w:sz w:val="24"/>
                <w:szCs w:val="24"/>
              </w:rPr>
            </w:pPr>
            <w:r w:rsidRPr="00133C64">
              <w:rPr>
                <w:rFonts w:cstheme="minorHAnsi"/>
                <w:sz w:val="24"/>
                <w:szCs w:val="24"/>
              </w:rPr>
              <w:t>Benchmark 2: US fund small blend</w:t>
            </w:r>
          </w:p>
        </w:tc>
        <w:tc>
          <w:tcPr>
            <w:tcW w:w="0" w:type="auto"/>
            <w:hideMark/>
          </w:tcPr>
          <w:p w14:paraId="27CD2D2A" w14:textId="77777777" w:rsidR="00133C64" w:rsidRPr="00133C64" w:rsidRDefault="00133C64" w:rsidP="009D34AD">
            <w:pPr>
              <w:spacing w:after="0"/>
              <w:rPr>
                <w:rFonts w:cstheme="minorHAnsi"/>
                <w:sz w:val="24"/>
                <w:szCs w:val="24"/>
              </w:rPr>
            </w:pPr>
            <w:r w:rsidRPr="00133C64">
              <w:rPr>
                <w:rFonts w:cstheme="minorHAnsi"/>
                <w:sz w:val="24"/>
                <w:szCs w:val="24"/>
              </w:rPr>
              <w:t>14.65</w:t>
            </w:r>
          </w:p>
        </w:tc>
        <w:tc>
          <w:tcPr>
            <w:tcW w:w="0" w:type="auto"/>
            <w:hideMark/>
          </w:tcPr>
          <w:p w14:paraId="054A7675" w14:textId="77777777" w:rsidR="00133C64" w:rsidRPr="00133C64" w:rsidRDefault="00133C64" w:rsidP="009D34AD">
            <w:pPr>
              <w:spacing w:after="0"/>
              <w:rPr>
                <w:rFonts w:cstheme="minorHAnsi"/>
                <w:sz w:val="24"/>
                <w:szCs w:val="24"/>
              </w:rPr>
            </w:pPr>
            <w:r w:rsidRPr="00133C64">
              <w:rPr>
                <w:rFonts w:cstheme="minorHAnsi"/>
                <w:sz w:val="24"/>
                <w:szCs w:val="24"/>
              </w:rPr>
              <w:t>9.62</w:t>
            </w:r>
          </w:p>
        </w:tc>
        <w:tc>
          <w:tcPr>
            <w:tcW w:w="0" w:type="auto"/>
            <w:hideMark/>
          </w:tcPr>
          <w:p w14:paraId="14AF23F3" w14:textId="77777777" w:rsidR="00133C64" w:rsidRPr="00133C64" w:rsidRDefault="00133C64" w:rsidP="009D34AD">
            <w:pPr>
              <w:spacing w:after="0"/>
              <w:rPr>
                <w:rFonts w:cstheme="minorHAnsi"/>
                <w:sz w:val="24"/>
                <w:szCs w:val="24"/>
              </w:rPr>
            </w:pPr>
            <w:r w:rsidRPr="00133C64">
              <w:rPr>
                <w:rFonts w:cstheme="minorHAnsi"/>
                <w:sz w:val="24"/>
                <w:szCs w:val="24"/>
              </w:rPr>
              <w:t>1.32</w:t>
            </w:r>
          </w:p>
        </w:tc>
        <w:tc>
          <w:tcPr>
            <w:tcW w:w="0" w:type="auto"/>
            <w:hideMark/>
          </w:tcPr>
          <w:p w14:paraId="1E02D2A8" w14:textId="77777777" w:rsidR="00133C64" w:rsidRPr="00133C64" w:rsidRDefault="00133C64" w:rsidP="009D34AD">
            <w:pPr>
              <w:spacing w:after="0"/>
              <w:rPr>
                <w:rFonts w:cstheme="minorHAnsi"/>
                <w:sz w:val="24"/>
                <w:szCs w:val="24"/>
              </w:rPr>
            </w:pPr>
            <w:r w:rsidRPr="00133C64">
              <w:rPr>
                <w:rFonts w:cstheme="minorHAnsi"/>
                <w:sz w:val="24"/>
                <w:szCs w:val="24"/>
              </w:rPr>
              <w:t>10.85</w:t>
            </w:r>
          </w:p>
        </w:tc>
        <w:tc>
          <w:tcPr>
            <w:tcW w:w="0" w:type="auto"/>
            <w:hideMark/>
          </w:tcPr>
          <w:p w14:paraId="6D584567" w14:textId="77777777" w:rsidR="00133C64" w:rsidRPr="00133C64" w:rsidRDefault="00133C64" w:rsidP="009D34AD">
            <w:pPr>
              <w:spacing w:after="0"/>
              <w:rPr>
                <w:rFonts w:cstheme="minorHAnsi"/>
                <w:sz w:val="24"/>
                <w:szCs w:val="24"/>
              </w:rPr>
            </w:pPr>
            <w:r w:rsidRPr="00133C64">
              <w:rPr>
                <w:rFonts w:cstheme="minorHAnsi"/>
                <w:sz w:val="24"/>
                <w:szCs w:val="24"/>
              </w:rPr>
              <w:t>12.74</w:t>
            </w:r>
          </w:p>
        </w:tc>
        <w:tc>
          <w:tcPr>
            <w:tcW w:w="0" w:type="auto"/>
            <w:hideMark/>
          </w:tcPr>
          <w:p w14:paraId="6E6B8078" w14:textId="77777777" w:rsidR="00133C64" w:rsidRPr="00133C64" w:rsidRDefault="00133C64" w:rsidP="009D34AD">
            <w:pPr>
              <w:spacing w:after="0"/>
              <w:rPr>
                <w:rFonts w:cstheme="minorHAnsi"/>
                <w:sz w:val="24"/>
                <w:szCs w:val="24"/>
              </w:rPr>
            </w:pPr>
            <w:r w:rsidRPr="00133C64">
              <w:rPr>
                <w:rFonts w:cstheme="minorHAnsi"/>
                <w:sz w:val="24"/>
                <w:szCs w:val="24"/>
              </w:rPr>
              <w:t>0.84</w:t>
            </w:r>
          </w:p>
        </w:tc>
        <w:tc>
          <w:tcPr>
            <w:tcW w:w="0" w:type="auto"/>
            <w:hideMark/>
          </w:tcPr>
          <w:p w14:paraId="2D2C65C5" w14:textId="77777777" w:rsidR="00133C64" w:rsidRPr="00133C64" w:rsidRDefault="00133C64" w:rsidP="009D34AD">
            <w:pPr>
              <w:spacing w:after="0"/>
              <w:rPr>
                <w:rFonts w:cstheme="minorHAnsi"/>
                <w:sz w:val="24"/>
                <w:szCs w:val="24"/>
              </w:rPr>
            </w:pPr>
            <w:r w:rsidRPr="00133C64">
              <w:rPr>
                <w:rFonts w:cstheme="minorHAnsi"/>
                <w:sz w:val="24"/>
                <w:szCs w:val="24"/>
              </w:rPr>
              <w:t>7.80</w:t>
            </w:r>
          </w:p>
        </w:tc>
        <w:tc>
          <w:tcPr>
            <w:tcW w:w="0" w:type="auto"/>
            <w:hideMark/>
          </w:tcPr>
          <w:p w14:paraId="1B48F8E1" w14:textId="77777777" w:rsidR="00133C64" w:rsidRPr="00133C64" w:rsidRDefault="00133C64" w:rsidP="009D34AD">
            <w:pPr>
              <w:spacing w:after="0"/>
              <w:rPr>
                <w:rFonts w:cstheme="minorHAnsi"/>
                <w:sz w:val="24"/>
                <w:szCs w:val="24"/>
              </w:rPr>
            </w:pPr>
            <w:r w:rsidRPr="00133C64">
              <w:rPr>
                <w:rFonts w:cstheme="minorHAnsi"/>
                <w:sz w:val="24"/>
                <w:szCs w:val="24"/>
              </w:rPr>
              <w:t>27.04</w:t>
            </w:r>
          </w:p>
        </w:tc>
        <w:tc>
          <w:tcPr>
            <w:tcW w:w="0" w:type="auto"/>
            <w:hideMark/>
          </w:tcPr>
          <w:p w14:paraId="5980A00F" w14:textId="77777777" w:rsidR="00133C64" w:rsidRPr="00133C64" w:rsidRDefault="00133C64" w:rsidP="009D34AD">
            <w:pPr>
              <w:spacing w:after="0"/>
              <w:rPr>
                <w:rFonts w:cstheme="minorHAnsi"/>
                <w:sz w:val="24"/>
                <w:szCs w:val="24"/>
              </w:rPr>
            </w:pPr>
            <w:r w:rsidRPr="00133C64">
              <w:rPr>
                <w:rFonts w:cstheme="minorHAnsi"/>
                <w:sz w:val="24"/>
                <w:szCs w:val="24"/>
              </w:rPr>
              <w:t>0.47</w:t>
            </w:r>
          </w:p>
        </w:tc>
      </w:tr>
      <w:tr w:rsidR="00CE46C0" w:rsidRPr="00133C64" w14:paraId="5391B52B" w14:textId="77777777" w:rsidTr="009D34AD">
        <w:tc>
          <w:tcPr>
            <w:tcW w:w="0" w:type="auto"/>
            <w:hideMark/>
          </w:tcPr>
          <w:p w14:paraId="4D896DF6" w14:textId="77777777" w:rsidR="00133C64" w:rsidRPr="00133C64" w:rsidRDefault="00133C64" w:rsidP="009D34AD">
            <w:pPr>
              <w:spacing w:after="0"/>
              <w:rPr>
                <w:rFonts w:cstheme="minorHAnsi"/>
                <w:sz w:val="24"/>
                <w:szCs w:val="24"/>
              </w:rPr>
            </w:pPr>
            <w:r w:rsidRPr="00133C64">
              <w:rPr>
                <w:rFonts w:cstheme="minorHAnsi"/>
                <w:i/>
                <w:iCs/>
                <w:sz w:val="24"/>
                <w:szCs w:val="24"/>
              </w:rPr>
              <w:t>AIM Intl equity fund</w:t>
            </w:r>
          </w:p>
        </w:tc>
        <w:tc>
          <w:tcPr>
            <w:tcW w:w="0" w:type="auto"/>
            <w:hideMark/>
          </w:tcPr>
          <w:p w14:paraId="2C4C61BE" w14:textId="77777777" w:rsidR="00133C64" w:rsidRPr="00133C64" w:rsidRDefault="00133C64" w:rsidP="009D34AD">
            <w:pPr>
              <w:spacing w:after="0"/>
              <w:rPr>
                <w:rFonts w:cstheme="minorHAnsi"/>
                <w:sz w:val="24"/>
                <w:szCs w:val="24"/>
              </w:rPr>
            </w:pPr>
            <w:r w:rsidRPr="00133C64">
              <w:rPr>
                <w:rFonts w:cstheme="minorHAnsi"/>
                <w:sz w:val="24"/>
                <w:szCs w:val="24"/>
              </w:rPr>
              <w:t>8.13</w:t>
            </w:r>
          </w:p>
        </w:tc>
        <w:tc>
          <w:tcPr>
            <w:tcW w:w="0" w:type="auto"/>
            <w:hideMark/>
          </w:tcPr>
          <w:p w14:paraId="094E74AB" w14:textId="77777777" w:rsidR="00133C64" w:rsidRPr="00133C64" w:rsidRDefault="00133C64" w:rsidP="009D34AD">
            <w:pPr>
              <w:spacing w:after="0"/>
              <w:rPr>
                <w:rFonts w:cstheme="minorHAnsi"/>
                <w:sz w:val="24"/>
                <w:szCs w:val="24"/>
              </w:rPr>
            </w:pPr>
            <w:r w:rsidRPr="00133C64">
              <w:rPr>
                <w:rFonts w:cstheme="minorHAnsi"/>
                <w:sz w:val="24"/>
                <w:szCs w:val="24"/>
              </w:rPr>
              <w:t>6.56</w:t>
            </w:r>
          </w:p>
        </w:tc>
        <w:tc>
          <w:tcPr>
            <w:tcW w:w="0" w:type="auto"/>
            <w:hideMark/>
          </w:tcPr>
          <w:p w14:paraId="21DE71E8" w14:textId="77777777" w:rsidR="00133C64" w:rsidRPr="00133C64" w:rsidRDefault="00133C64" w:rsidP="009D34AD">
            <w:pPr>
              <w:spacing w:after="0"/>
              <w:rPr>
                <w:rFonts w:cstheme="minorHAnsi"/>
                <w:sz w:val="24"/>
                <w:szCs w:val="24"/>
              </w:rPr>
            </w:pPr>
            <w:r w:rsidRPr="00133C64">
              <w:rPr>
                <w:rFonts w:cstheme="minorHAnsi"/>
                <w:sz w:val="24"/>
                <w:szCs w:val="24"/>
              </w:rPr>
              <w:t>0.99</w:t>
            </w:r>
          </w:p>
        </w:tc>
        <w:tc>
          <w:tcPr>
            <w:tcW w:w="0" w:type="auto"/>
            <w:hideMark/>
          </w:tcPr>
          <w:p w14:paraId="6DC48415" w14:textId="77777777" w:rsidR="00133C64" w:rsidRPr="00133C64" w:rsidRDefault="00133C64" w:rsidP="009D34AD">
            <w:pPr>
              <w:spacing w:after="0"/>
              <w:rPr>
                <w:rFonts w:cstheme="minorHAnsi"/>
                <w:sz w:val="24"/>
                <w:szCs w:val="24"/>
              </w:rPr>
            </w:pPr>
            <w:r w:rsidRPr="00133C64">
              <w:rPr>
                <w:rFonts w:cstheme="minorHAnsi"/>
                <w:sz w:val="24"/>
                <w:szCs w:val="24"/>
              </w:rPr>
              <w:t>3.68</w:t>
            </w:r>
          </w:p>
        </w:tc>
        <w:tc>
          <w:tcPr>
            <w:tcW w:w="0" w:type="auto"/>
            <w:hideMark/>
          </w:tcPr>
          <w:p w14:paraId="270BF950" w14:textId="77777777" w:rsidR="00133C64" w:rsidRPr="00133C64" w:rsidRDefault="00133C64" w:rsidP="009D34AD">
            <w:pPr>
              <w:spacing w:after="0"/>
              <w:rPr>
                <w:rFonts w:cstheme="minorHAnsi"/>
                <w:sz w:val="24"/>
                <w:szCs w:val="24"/>
              </w:rPr>
            </w:pPr>
            <w:r w:rsidRPr="00133C64">
              <w:rPr>
                <w:rFonts w:cstheme="minorHAnsi"/>
                <w:sz w:val="24"/>
                <w:szCs w:val="24"/>
              </w:rPr>
              <w:t>10.70</w:t>
            </w:r>
          </w:p>
        </w:tc>
        <w:tc>
          <w:tcPr>
            <w:tcW w:w="0" w:type="auto"/>
            <w:hideMark/>
          </w:tcPr>
          <w:p w14:paraId="11684A42" w14:textId="77777777" w:rsidR="00133C64" w:rsidRPr="00133C64" w:rsidRDefault="00133C64" w:rsidP="009D34AD">
            <w:pPr>
              <w:spacing w:after="0"/>
              <w:rPr>
                <w:rFonts w:cstheme="minorHAnsi"/>
                <w:sz w:val="24"/>
                <w:szCs w:val="24"/>
              </w:rPr>
            </w:pPr>
            <w:r w:rsidRPr="00133C64">
              <w:rPr>
                <w:rFonts w:cstheme="minorHAnsi"/>
                <w:sz w:val="24"/>
                <w:szCs w:val="24"/>
              </w:rPr>
              <w:t>0.35</w:t>
            </w:r>
          </w:p>
        </w:tc>
        <w:tc>
          <w:tcPr>
            <w:tcW w:w="0" w:type="auto"/>
            <w:hideMark/>
          </w:tcPr>
          <w:p w14:paraId="68F5716F" w14:textId="77777777" w:rsidR="00133C64" w:rsidRPr="00133C64" w:rsidRDefault="00133C64" w:rsidP="009D34AD">
            <w:pPr>
              <w:spacing w:after="0"/>
              <w:rPr>
                <w:rFonts w:cstheme="minorHAnsi"/>
                <w:sz w:val="24"/>
                <w:szCs w:val="24"/>
              </w:rPr>
            </w:pPr>
            <w:r w:rsidRPr="00133C64">
              <w:rPr>
                <w:rFonts w:cstheme="minorHAnsi"/>
                <w:sz w:val="24"/>
                <w:szCs w:val="24"/>
              </w:rPr>
              <w:t>3.11</w:t>
            </w:r>
          </w:p>
        </w:tc>
        <w:tc>
          <w:tcPr>
            <w:tcW w:w="0" w:type="auto"/>
            <w:hideMark/>
          </w:tcPr>
          <w:p w14:paraId="2B0D96A7" w14:textId="77777777" w:rsidR="00133C64" w:rsidRPr="00133C64" w:rsidRDefault="00133C64" w:rsidP="009D34AD">
            <w:pPr>
              <w:spacing w:after="0"/>
              <w:rPr>
                <w:rFonts w:cstheme="minorHAnsi"/>
                <w:sz w:val="24"/>
                <w:szCs w:val="24"/>
              </w:rPr>
            </w:pPr>
            <w:r w:rsidRPr="00133C64">
              <w:rPr>
                <w:rFonts w:cstheme="minorHAnsi"/>
                <w:sz w:val="24"/>
                <w:szCs w:val="24"/>
              </w:rPr>
              <w:t>27.08</w:t>
            </w:r>
          </w:p>
        </w:tc>
        <w:tc>
          <w:tcPr>
            <w:tcW w:w="0" w:type="auto"/>
            <w:hideMark/>
          </w:tcPr>
          <w:p w14:paraId="43594AA7" w14:textId="77777777" w:rsidR="00133C64" w:rsidRPr="00133C64" w:rsidRDefault="00133C64" w:rsidP="009D34AD">
            <w:pPr>
              <w:spacing w:after="0"/>
              <w:rPr>
                <w:rFonts w:cstheme="minorHAnsi"/>
                <w:sz w:val="24"/>
                <w:szCs w:val="24"/>
              </w:rPr>
            </w:pPr>
            <w:r w:rsidRPr="00133C64">
              <w:rPr>
                <w:rFonts w:cstheme="minorHAnsi"/>
                <w:sz w:val="24"/>
                <w:szCs w:val="24"/>
              </w:rPr>
              <w:t>0.28</w:t>
            </w:r>
          </w:p>
        </w:tc>
      </w:tr>
      <w:tr w:rsidR="00133C64" w:rsidRPr="00133C64" w14:paraId="3E6512FE" w14:textId="77777777" w:rsidTr="009D34AD">
        <w:tc>
          <w:tcPr>
            <w:tcW w:w="0" w:type="auto"/>
            <w:hideMark/>
          </w:tcPr>
          <w:p w14:paraId="17E01DEC" w14:textId="77777777" w:rsidR="00133C64" w:rsidRPr="00133C64" w:rsidRDefault="00133C64" w:rsidP="009D34AD">
            <w:pPr>
              <w:spacing w:after="0"/>
              <w:rPr>
                <w:rFonts w:cstheme="minorHAnsi"/>
                <w:sz w:val="24"/>
                <w:szCs w:val="24"/>
              </w:rPr>
            </w:pPr>
            <w:r w:rsidRPr="00133C64">
              <w:rPr>
                <w:rFonts w:cstheme="minorHAnsi"/>
                <w:sz w:val="24"/>
                <w:szCs w:val="24"/>
              </w:rPr>
              <w:t>Benchmark 1: S&amp;P ADR TR</w:t>
            </w:r>
          </w:p>
        </w:tc>
        <w:tc>
          <w:tcPr>
            <w:tcW w:w="0" w:type="auto"/>
            <w:hideMark/>
          </w:tcPr>
          <w:p w14:paraId="0BE89E69" w14:textId="77777777" w:rsidR="00133C64" w:rsidRPr="00133C64" w:rsidRDefault="00133C64" w:rsidP="009D34AD">
            <w:pPr>
              <w:spacing w:after="0"/>
              <w:rPr>
                <w:rFonts w:cstheme="minorHAnsi"/>
                <w:sz w:val="24"/>
                <w:szCs w:val="24"/>
              </w:rPr>
            </w:pPr>
            <w:r w:rsidRPr="00133C64">
              <w:rPr>
                <w:rFonts w:cstheme="minorHAnsi"/>
                <w:sz w:val="24"/>
                <w:szCs w:val="24"/>
              </w:rPr>
              <w:t>7.14</w:t>
            </w:r>
          </w:p>
        </w:tc>
        <w:tc>
          <w:tcPr>
            <w:tcW w:w="0" w:type="auto"/>
            <w:hideMark/>
          </w:tcPr>
          <w:p w14:paraId="7611D40B" w14:textId="77777777" w:rsidR="00133C64" w:rsidRPr="00133C64" w:rsidRDefault="00133C64" w:rsidP="009D34AD">
            <w:pPr>
              <w:spacing w:after="0"/>
              <w:rPr>
                <w:rFonts w:cstheme="minorHAnsi"/>
                <w:sz w:val="24"/>
                <w:szCs w:val="24"/>
              </w:rPr>
            </w:pPr>
            <w:r w:rsidRPr="00133C64">
              <w:rPr>
                <w:rFonts w:cstheme="minorHAnsi"/>
                <w:sz w:val="24"/>
                <w:szCs w:val="24"/>
              </w:rPr>
              <w:t>10.26</w:t>
            </w:r>
          </w:p>
        </w:tc>
        <w:tc>
          <w:tcPr>
            <w:tcW w:w="0" w:type="auto"/>
            <w:hideMark/>
          </w:tcPr>
          <w:p w14:paraId="2500A927" w14:textId="77777777" w:rsidR="00133C64" w:rsidRPr="00133C64" w:rsidRDefault="00133C64" w:rsidP="009D34AD">
            <w:pPr>
              <w:spacing w:after="0"/>
              <w:rPr>
                <w:rFonts w:cstheme="minorHAnsi"/>
                <w:sz w:val="24"/>
                <w:szCs w:val="24"/>
              </w:rPr>
            </w:pPr>
            <w:r w:rsidRPr="00133C64">
              <w:rPr>
                <w:rFonts w:cstheme="minorHAnsi"/>
                <w:sz w:val="24"/>
                <w:szCs w:val="24"/>
              </w:rPr>
              <w:t>0.58</w:t>
            </w:r>
          </w:p>
        </w:tc>
        <w:tc>
          <w:tcPr>
            <w:tcW w:w="0" w:type="auto"/>
            <w:hideMark/>
          </w:tcPr>
          <w:p w14:paraId="2565FA16" w14:textId="77777777" w:rsidR="00133C64" w:rsidRPr="00133C64" w:rsidRDefault="00133C64" w:rsidP="009D34AD">
            <w:pPr>
              <w:spacing w:after="0"/>
              <w:rPr>
                <w:rFonts w:cstheme="minorHAnsi"/>
                <w:sz w:val="24"/>
                <w:szCs w:val="24"/>
              </w:rPr>
            </w:pPr>
            <w:r w:rsidRPr="00133C64">
              <w:rPr>
                <w:rFonts w:cstheme="minorHAnsi"/>
                <w:sz w:val="24"/>
                <w:szCs w:val="24"/>
              </w:rPr>
              <w:t>5.10</w:t>
            </w:r>
          </w:p>
        </w:tc>
        <w:tc>
          <w:tcPr>
            <w:tcW w:w="0" w:type="auto"/>
            <w:hideMark/>
          </w:tcPr>
          <w:p w14:paraId="5437EB51" w14:textId="77777777" w:rsidR="00133C64" w:rsidRPr="00133C64" w:rsidRDefault="00133C64" w:rsidP="009D34AD">
            <w:pPr>
              <w:spacing w:after="0"/>
              <w:rPr>
                <w:rFonts w:cstheme="minorHAnsi"/>
                <w:sz w:val="24"/>
                <w:szCs w:val="24"/>
              </w:rPr>
            </w:pPr>
            <w:r w:rsidRPr="00133C64">
              <w:rPr>
                <w:rFonts w:cstheme="minorHAnsi"/>
                <w:sz w:val="24"/>
                <w:szCs w:val="24"/>
              </w:rPr>
              <w:t>11.67</w:t>
            </w:r>
          </w:p>
        </w:tc>
        <w:tc>
          <w:tcPr>
            <w:tcW w:w="0" w:type="auto"/>
            <w:hideMark/>
          </w:tcPr>
          <w:p w14:paraId="004B6DA7" w14:textId="77777777" w:rsidR="00133C64" w:rsidRPr="00133C64" w:rsidRDefault="00133C64" w:rsidP="009D34AD">
            <w:pPr>
              <w:spacing w:after="0"/>
              <w:rPr>
                <w:rFonts w:cstheme="minorHAnsi"/>
                <w:sz w:val="24"/>
                <w:szCs w:val="24"/>
              </w:rPr>
            </w:pPr>
            <w:r w:rsidRPr="00133C64">
              <w:rPr>
                <w:rFonts w:cstheme="minorHAnsi"/>
                <w:sz w:val="24"/>
                <w:szCs w:val="24"/>
              </w:rPr>
              <w:t>0.44</w:t>
            </w:r>
          </w:p>
        </w:tc>
        <w:tc>
          <w:tcPr>
            <w:tcW w:w="0" w:type="auto"/>
            <w:hideMark/>
          </w:tcPr>
          <w:p w14:paraId="68BA505F" w14:textId="77777777" w:rsidR="00133C64" w:rsidRPr="00133C64" w:rsidRDefault="00133C64" w:rsidP="009D34AD">
            <w:pPr>
              <w:spacing w:after="0"/>
              <w:rPr>
                <w:rFonts w:cstheme="minorHAnsi"/>
                <w:sz w:val="24"/>
                <w:szCs w:val="24"/>
              </w:rPr>
            </w:pPr>
            <w:r w:rsidRPr="00133C64">
              <w:rPr>
                <w:rFonts w:cstheme="minorHAnsi"/>
                <w:sz w:val="24"/>
                <w:szCs w:val="24"/>
              </w:rPr>
              <w:t>3.57</w:t>
            </w:r>
          </w:p>
        </w:tc>
        <w:tc>
          <w:tcPr>
            <w:tcW w:w="0" w:type="auto"/>
            <w:hideMark/>
          </w:tcPr>
          <w:p w14:paraId="4EAA28E6" w14:textId="77777777" w:rsidR="00133C64" w:rsidRPr="00133C64" w:rsidRDefault="00133C64" w:rsidP="009D34AD">
            <w:pPr>
              <w:spacing w:after="0"/>
              <w:rPr>
                <w:rFonts w:cstheme="minorHAnsi"/>
                <w:sz w:val="24"/>
                <w:szCs w:val="24"/>
              </w:rPr>
            </w:pPr>
            <w:r w:rsidRPr="00133C64">
              <w:rPr>
                <w:rFonts w:cstheme="minorHAnsi"/>
                <w:sz w:val="24"/>
                <w:szCs w:val="24"/>
              </w:rPr>
              <w:t>28.50</w:t>
            </w:r>
          </w:p>
        </w:tc>
        <w:tc>
          <w:tcPr>
            <w:tcW w:w="0" w:type="auto"/>
            <w:hideMark/>
          </w:tcPr>
          <w:p w14:paraId="70EFE65B" w14:textId="77777777" w:rsidR="00133C64" w:rsidRPr="00133C64" w:rsidRDefault="00133C64" w:rsidP="009D34AD">
            <w:pPr>
              <w:spacing w:after="0"/>
              <w:rPr>
                <w:rFonts w:cstheme="minorHAnsi"/>
                <w:sz w:val="24"/>
                <w:szCs w:val="24"/>
              </w:rPr>
            </w:pPr>
            <w:r w:rsidRPr="00133C64">
              <w:rPr>
                <w:rFonts w:cstheme="minorHAnsi"/>
                <w:sz w:val="24"/>
                <w:szCs w:val="24"/>
              </w:rPr>
              <w:t>0.31</w:t>
            </w:r>
          </w:p>
        </w:tc>
      </w:tr>
      <w:tr w:rsidR="00CE46C0" w:rsidRPr="00133C64" w14:paraId="7E3FBC4B" w14:textId="77777777" w:rsidTr="009D34AD">
        <w:tc>
          <w:tcPr>
            <w:tcW w:w="0" w:type="auto"/>
            <w:hideMark/>
          </w:tcPr>
          <w:p w14:paraId="46965D56" w14:textId="77777777" w:rsidR="00133C64" w:rsidRPr="00133C64" w:rsidRDefault="00133C64" w:rsidP="009D34AD">
            <w:pPr>
              <w:spacing w:after="0"/>
              <w:rPr>
                <w:rFonts w:cstheme="minorHAnsi"/>
                <w:sz w:val="24"/>
                <w:szCs w:val="24"/>
              </w:rPr>
            </w:pPr>
            <w:r w:rsidRPr="00133C64">
              <w:rPr>
                <w:rFonts w:cstheme="minorHAnsi"/>
                <w:sz w:val="24"/>
                <w:szCs w:val="24"/>
              </w:rPr>
              <w:t>Benchmark 2: international blended benchmark</w:t>
            </w:r>
          </w:p>
        </w:tc>
        <w:tc>
          <w:tcPr>
            <w:tcW w:w="0" w:type="auto"/>
            <w:hideMark/>
          </w:tcPr>
          <w:p w14:paraId="11877586" w14:textId="77777777" w:rsidR="00133C64" w:rsidRPr="00133C64" w:rsidRDefault="00133C64" w:rsidP="009D34AD">
            <w:pPr>
              <w:spacing w:after="0"/>
              <w:rPr>
                <w:rFonts w:cstheme="minorHAnsi"/>
                <w:sz w:val="24"/>
                <w:szCs w:val="24"/>
              </w:rPr>
            </w:pPr>
            <w:r w:rsidRPr="00133C64">
              <w:rPr>
                <w:rFonts w:cstheme="minorHAnsi"/>
                <w:sz w:val="24"/>
                <w:szCs w:val="24"/>
              </w:rPr>
              <w:t>7.68</w:t>
            </w:r>
          </w:p>
        </w:tc>
        <w:tc>
          <w:tcPr>
            <w:tcW w:w="0" w:type="auto"/>
            <w:hideMark/>
          </w:tcPr>
          <w:p w14:paraId="14B461E2" w14:textId="77777777" w:rsidR="00133C64" w:rsidRPr="00133C64" w:rsidRDefault="00133C64" w:rsidP="009D34AD">
            <w:pPr>
              <w:spacing w:after="0"/>
              <w:rPr>
                <w:rFonts w:cstheme="minorHAnsi"/>
                <w:sz w:val="24"/>
                <w:szCs w:val="24"/>
              </w:rPr>
            </w:pPr>
            <w:r w:rsidRPr="00133C64">
              <w:rPr>
                <w:rFonts w:cstheme="minorHAnsi"/>
                <w:sz w:val="24"/>
                <w:szCs w:val="24"/>
              </w:rPr>
              <w:t>9.85</w:t>
            </w:r>
          </w:p>
        </w:tc>
        <w:tc>
          <w:tcPr>
            <w:tcW w:w="0" w:type="auto"/>
            <w:hideMark/>
          </w:tcPr>
          <w:p w14:paraId="671BEA86" w14:textId="77777777" w:rsidR="00133C64" w:rsidRPr="00133C64" w:rsidRDefault="00133C64" w:rsidP="009D34AD">
            <w:pPr>
              <w:spacing w:after="0"/>
              <w:rPr>
                <w:rFonts w:cstheme="minorHAnsi"/>
                <w:sz w:val="24"/>
                <w:szCs w:val="24"/>
              </w:rPr>
            </w:pPr>
            <w:r w:rsidRPr="00133C64">
              <w:rPr>
                <w:rFonts w:cstheme="minorHAnsi"/>
                <w:sz w:val="24"/>
                <w:szCs w:val="24"/>
              </w:rPr>
              <w:t>0.65</w:t>
            </w:r>
          </w:p>
        </w:tc>
        <w:tc>
          <w:tcPr>
            <w:tcW w:w="0" w:type="auto"/>
            <w:hideMark/>
          </w:tcPr>
          <w:p w14:paraId="35010533" w14:textId="77777777" w:rsidR="00133C64" w:rsidRPr="00133C64" w:rsidRDefault="00133C64" w:rsidP="009D34AD">
            <w:pPr>
              <w:spacing w:after="0"/>
              <w:rPr>
                <w:rFonts w:cstheme="minorHAnsi"/>
                <w:sz w:val="24"/>
                <w:szCs w:val="24"/>
              </w:rPr>
            </w:pPr>
            <w:r w:rsidRPr="00133C64">
              <w:rPr>
                <w:rFonts w:cstheme="minorHAnsi"/>
                <w:sz w:val="24"/>
                <w:szCs w:val="24"/>
              </w:rPr>
              <w:t>6.10</w:t>
            </w:r>
          </w:p>
        </w:tc>
        <w:tc>
          <w:tcPr>
            <w:tcW w:w="0" w:type="auto"/>
            <w:hideMark/>
          </w:tcPr>
          <w:p w14:paraId="03314C4C" w14:textId="77777777" w:rsidR="00133C64" w:rsidRPr="00133C64" w:rsidRDefault="00133C64" w:rsidP="009D34AD">
            <w:pPr>
              <w:spacing w:after="0"/>
              <w:rPr>
                <w:rFonts w:cstheme="minorHAnsi"/>
                <w:sz w:val="24"/>
                <w:szCs w:val="24"/>
              </w:rPr>
            </w:pPr>
            <w:r w:rsidRPr="00133C64">
              <w:rPr>
                <w:rFonts w:cstheme="minorHAnsi"/>
                <w:sz w:val="24"/>
                <w:szCs w:val="24"/>
              </w:rPr>
              <w:t>11.49</w:t>
            </w:r>
          </w:p>
        </w:tc>
        <w:tc>
          <w:tcPr>
            <w:tcW w:w="0" w:type="auto"/>
            <w:hideMark/>
          </w:tcPr>
          <w:p w14:paraId="1548C020" w14:textId="77777777" w:rsidR="00133C64" w:rsidRPr="00133C64" w:rsidRDefault="00133C64" w:rsidP="009D34AD">
            <w:pPr>
              <w:spacing w:after="0"/>
              <w:rPr>
                <w:rFonts w:cstheme="minorHAnsi"/>
                <w:sz w:val="24"/>
                <w:szCs w:val="24"/>
              </w:rPr>
            </w:pPr>
            <w:r w:rsidRPr="00133C64">
              <w:rPr>
                <w:rFonts w:cstheme="minorHAnsi"/>
                <w:sz w:val="24"/>
                <w:szCs w:val="24"/>
              </w:rPr>
              <w:t>0.53</w:t>
            </w:r>
          </w:p>
        </w:tc>
        <w:tc>
          <w:tcPr>
            <w:tcW w:w="0" w:type="auto"/>
            <w:hideMark/>
          </w:tcPr>
          <w:p w14:paraId="22FF4E2A" w14:textId="77777777" w:rsidR="00133C64" w:rsidRPr="00133C64" w:rsidRDefault="00133C64" w:rsidP="009D34AD">
            <w:pPr>
              <w:spacing w:after="0"/>
              <w:rPr>
                <w:rFonts w:cstheme="minorHAnsi"/>
                <w:sz w:val="24"/>
                <w:szCs w:val="24"/>
              </w:rPr>
            </w:pPr>
            <w:r w:rsidRPr="00133C64">
              <w:rPr>
                <w:rFonts w:cstheme="minorHAnsi"/>
                <w:sz w:val="24"/>
                <w:szCs w:val="24"/>
              </w:rPr>
              <w:t>4.62</w:t>
            </w:r>
          </w:p>
        </w:tc>
        <w:tc>
          <w:tcPr>
            <w:tcW w:w="0" w:type="auto"/>
            <w:hideMark/>
          </w:tcPr>
          <w:p w14:paraId="37667720" w14:textId="77777777" w:rsidR="00133C64" w:rsidRPr="00133C64" w:rsidRDefault="00133C64" w:rsidP="009D34AD">
            <w:pPr>
              <w:spacing w:after="0"/>
              <w:rPr>
                <w:rFonts w:cstheme="minorHAnsi"/>
                <w:sz w:val="24"/>
                <w:szCs w:val="24"/>
              </w:rPr>
            </w:pPr>
            <w:r w:rsidRPr="00133C64">
              <w:rPr>
                <w:rFonts w:cstheme="minorHAnsi"/>
                <w:sz w:val="24"/>
                <w:szCs w:val="24"/>
              </w:rPr>
              <w:t>22.85</w:t>
            </w:r>
          </w:p>
        </w:tc>
        <w:tc>
          <w:tcPr>
            <w:tcW w:w="0" w:type="auto"/>
            <w:hideMark/>
          </w:tcPr>
          <w:p w14:paraId="70F4E69B" w14:textId="77777777" w:rsidR="00133C64" w:rsidRPr="00133C64" w:rsidRDefault="00133C64" w:rsidP="009D34AD">
            <w:pPr>
              <w:spacing w:after="0"/>
              <w:rPr>
                <w:rFonts w:cstheme="minorHAnsi"/>
                <w:sz w:val="24"/>
                <w:szCs w:val="24"/>
              </w:rPr>
            </w:pPr>
            <w:r w:rsidRPr="00133C64">
              <w:rPr>
                <w:rFonts w:cstheme="minorHAnsi"/>
                <w:sz w:val="24"/>
                <w:szCs w:val="24"/>
              </w:rPr>
              <w:t>0.37</w:t>
            </w:r>
          </w:p>
        </w:tc>
      </w:tr>
      <w:tr w:rsidR="00133C64" w:rsidRPr="00133C64" w14:paraId="0CFA05DE" w14:textId="77777777" w:rsidTr="009D34AD">
        <w:tc>
          <w:tcPr>
            <w:tcW w:w="0" w:type="auto"/>
            <w:hideMark/>
          </w:tcPr>
          <w:p w14:paraId="6E279057" w14:textId="77777777" w:rsidR="00133C64" w:rsidRPr="00133C64" w:rsidRDefault="00133C64" w:rsidP="009D34AD">
            <w:pPr>
              <w:spacing w:after="0"/>
              <w:rPr>
                <w:rFonts w:cstheme="minorHAnsi"/>
                <w:sz w:val="24"/>
                <w:szCs w:val="24"/>
              </w:rPr>
            </w:pPr>
            <w:r w:rsidRPr="00133C64">
              <w:rPr>
                <w:rFonts w:cstheme="minorHAnsi"/>
                <w:i/>
                <w:iCs/>
                <w:sz w:val="24"/>
                <w:szCs w:val="24"/>
              </w:rPr>
              <w:t>AIM fixed income fund</w:t>
            </w:r>
          </w:p>
        </w:tc>
        <w:tc>
          <w:tcPr>
            <w:tcW w:w="0" w:type="auto"/>
            <w:hideMark/>
          </w:tcPr>
          <w:p w14:paraId="7ED9469F" w14:textId="77777777" w:rsidR="00133C64" w:rsidRPr="00133C64" w:rsidRDefault="00133C64" w:rsidP="009D34AD">
            <w:pPr>
              <w:spacing w:after="0"/>
              <w:rPr>
                <w:rFonts w:cstheme="minorHAnsi"/>
                <w:sz w:val="24"/>
                <w:szCs w:val="24"/>
              </w:rPr>
            </w:pPr>
            <w:r w:rsidRPr="00133C64">
              <w:rPr>
                <w:rFonts w:cstheme="minorHAnsi"/>
                <w:sz w:val="24"/>
                <w:szCs w:val="24"/>
              </w:rPr>
              <w:t>−0.37</w:t>
            </w:r>
          </w:p>
        </w:tc>
        <w:tc>
          <w:tcPr>
            <w:tcW w:w="0" w:type="auto"/>
            <w:hideMark/>
          </w:tcPr>
          <w:p w14:paraId="70774D0D" w14:textId="77777777" w:rsidR="00133C64" w:rsidRPr="00133C64" w:rsidRDefault="00133C64" w:rsidP="009D34AD">
            <w:pPr>
              <w:spacing w:after="0"/>
              <w:rPr>
                <w:rFonts w:cstheme="minorHAnsi"/>
                <w:sz w:val="24"/>
                <w:szCs w:val="24"/>
              </w:rPr>
            </w:pPr>
            <w:r w:rsidRPr="00133C64">
              <w:rPr>
                <w:rFonts w:cstheme="minorHAnsi"/>
                <w:sz w:val="24"/>
                <w:szCs w:val="24"/>
              </w:rPr>
              <w:t>2.10</w:t>
            </w:r>
          </w:p>
        </w:tc>
        <w:tc>
          <w:tcPr>
            <w:tcW w:w="0" w:type="auto"/>
            <w:hideMark/>
          </w:tcPr>
          <w:p w14:paraId="2BD3DF57" w14:textId="77777777" w:rsidR="00133C64" w:rsidRPr="00133C64" w:rsidRDefault="00133C64" w:rsidP="009D34AD">
            <w:pPr>
              <w:spacing w:after="0"/>
              <w:rPr>
                <w:rFonts w:cstheme="minorHAnsi"/>
                <w:sz w:val="24"/>
                <w:szCs w:val="24"/>
              </w:rPr>
            </w:pPr>
            <w:r w:rsidRPr="00133C64">
              <w:rPr>
                <w:rFonts w:cstheme="minorHAnsi"/>
                <w:sz w:val="24"/>
                <w:szCs w:val="24"/>
              </w:rPr>
              <w:t>−0.86</w:t>
            </w:r>
          </w:p>
        </w:tc>
        <w:tc>
          <w:tcPr>
            <w:tcW w:w="0" w:type="auto"/>
            <w:hideMark/>
          </w:tcPr>
          <w:p w14:paraId="7A2BCA91" w14:textId="77777777" w:rsidR="00133C64" w:rsidRPr="00133C64" w:rsidRDefault="00133C64" w:rsidP="009D34AD">
            <w:pPr>
              <w:spacing w:after="0"/>
              <w:rPr>
                <w:rFonts w:cstheme="minorHAnsi"/>
                <w:sz w:val="24"/>
                <w:szCs w:val="24"/>
              </w:rPr>
            </w:pPr>
            <w:r w:rsidRPr="00133C64">
              <w:rPr>
                <w:rFonts w:cstheme="minorHAnsi"/>
                <w:sz w:val="24"/>
                <w:szCs w:val="24"/>
              </w:rPr>
              <w:t>2.11</w:t>
            </w:r>
          </w:p>
        </w:tc>
        <w:tc>
          <w:tcPr>
            <w:tcW w:w="0" w:type="auto"/>
            <w:hideMark/>
          </w:tcPr>
          <w:p w14:paraId="7D072531" w14:textId="77777777" w:rsidR="00133C64" w:rsidRPr="00133C64" w:rsidRDefault="00133C64" w:rsidP="009D34AD">
            <w:pPr>
              <w:spacing w:after="0"/>
              <w:rPr>
                <w:rFonts w:cstheme="minorHAnsi"/>
                <w:sz w:val="24"/>
                <w:szCs w:val="24"/>
              </w:rPr>
            </w:pPr>
            <w:r w:rsidRPr="00133C64">
              <w:rPr>
                <w:rFonts w:cstheme="minorHAnsi"/>
                <w:sz w:val="24"/>
                <w:szCs w:val="24"/>
              </w:rPr>
              <w:t>2.60</w:t>
            </w:r>
          </w:p>
        </w:tc>
        <w:tc>
          <w:tcPr>
            <w:tcW w:w="0" w:type="auto"/>
            <w:hideMark/>
          </w:tcPr>
          <w:p w14:paraId="162AC735" w14:textId="77777777" w:rsidR="00133C64" w:rsidRPr="00133C64" w:rsidRDefault="00133C64" w:rsidP="009D34AD">
            <w:pPr>
              <w:spacing w:after="0"/>
              <w:rPr>
                <w:rFonts w:cstheme="minorHAnsi"/>
                <w:sz w:val="24"/>
                <w:szCs w:val="24"/>
              </w:rPr>
            </w:pPr>
            <w:r w:rsidRPr="00133C64">
              <w:rPr>
                <w:rFonts w:cstheme="minorHAnsi"/>
                <w:sz w:val="24"/>
                <w:szCs w:val="24"/>
              </w:rPr>
              <w:t>0.63</w:t>
            </w:r>
          </w:p>
        </w:tc>
        <w:tc>
          <w:tcPr>
            <w:tcW w:w="0" w:type="auto"/>
            <w:hideMark/>
          </w:tcPr>
          <w:p w14:paraId="02290038" w14:textId="77777777" w:rsidR="00133C64" w:rsidRPr="00133C64" w:rsidRDefault="00133C64" w:rsidP="009D34AD">
            <w:pPr>
              <w:spacing w:after="0"/>
              <w:rPr>
                <w:rFonts w:cstheme="minorHAnsi"/>
                <w:sz w:val="24"/>
                <w:szCs w:val="24"/>
              </w:rPr>
            </w:pPr>
            <w:r w:rsidRPr="00133C64">
              <w:rPr>
                <w:rFonts w:cstheme="minorHAnsi"/>
                <w:sz w:val="24"/>
                <w:szCs w:val="24"/>
              </w:rPr>
              <w:t>4.01</w:t>
            </w:r>
          </w:p>
        </w:tc>
        <w:tc>
          <w:tcPr>
            <w:tcW w:w="0" w:type="auto"/>
            <w:hideMark/>
          </w:tcPr>
          <w:p w14:paraId="79FA0E27" w14:textId="77777777" w:rsidR="00133C64" w:rsidRPr="00133C64" w:rsidRDefault="00133C64" w:rsidP="009D34AD">
            <w:pPr>
              <w:spacing w:after="0"/>
              <w:rPr>
                <w:rFonts w:cstheme="minorHAnsi"/>
                <w:sz w:val="24"/>
                <w:szCs w:val="24"/>
              </w:rPr>
            </w:pPr>
            <w:r w:rsidRPr="00133C64">
              <w:rPr>
                <w:rFonts w:cstheme="minorHAnsi"/>
                <w:sz w:val="24"/>
                <w:szCs w:val="24"/>
              </w:rPr>
              <w:t>3.53</w:t>
            </w:r>
          </w:p>
        </w:tc>
        <w:tc>
          <w:tcPr>
            <w:tcW w:w="0" w:type="auto"/>
            <w:hideMark/>
          </w:tcPr>
          <w:p w14:paraId="08FDD5A6" w14:textId="77777777" w:rsidR="00133C64" w:rsidRPr="00133C64" w:rsidRDefault="00133C64" w:rsidP="009D34AD">
            <w:pPr>
              <w:spacing w:after="0"/>
              <w:rPr>
                <w:rFonts w:cstheme="minorHAnsi"/>
                <w:sz w:val="24"/>
                <w:szCs w:val="24"/>
              </w:rPr>
            </w:pPr>
            <w:r w:rsidRPr="00133C64">
              <w:rPr>
                <w:rFonts w:cstheme="minorHAnsi"/>
                <w:sz w:val="24"/>
                <w:szCs w:val="24"/>
              </w:rPr>
              <w:t>0.82</w:t>
            </w:r>
          </w:p>
        </w:tc>
      </w:tr>
      <w:tr w:rsidR="00CE46C0" w:rsidRPr="00133C64" w14:paraId="3B264F8D" w14:textId="77777777" w:rsidTr="009D34AD">
        <w:tc>
          <w:tcPr>
            <w:tcW w:w="0" w:type="auto"/>
            <w:hideMark/>
          </w:tcPr>
          <w:p w14:paraId="6EBFD0D7" w14:textId="77777777" w:rsidR="00133C64" w:rsidRPr="00133C64" w:rsidRDefault="00133C64" w:rsidP="009D34AD">
            <w:pPr>
              <w:spacing w:after="0"/>
              <w:rPr>
                <w:rFonts w:cstheme="minorHAnsi"/>
                <w:sz w:val="24"/>
                <w:szCs w:val="24"/>
              </w:rPr>
            </w:pPr>
            <w:r w:rsidRPr="00133C64">
              <w:rPr>
                <w:rFonts w:cstheme="minorHAnsi"/>
                <w:sz w:val="24"/>
                <w:szCs w:val="24"/>
              </w:rPr>
              <w:t>Benchmark 1: iShares Core US aggregate bond ETF</w:t>
            </w:r>
          </w:p>
        </w:tc>
        <w:tc>
          <w:tcPr>
            <w:tcW w:w="0" w:type="auto"/>
            <w:hideMark/>
          </w:tcPr>
          <w:p w14:paraId="4FBBB4FA" w14:textId="77777777" w:rsidR="00133C64" w:rsidRPr="00133C64" w:rsidRDefault="00133C64" w:rsidP="009D34AD">
            <w:pPr>
              <w:spacing w:after="0"/>
              <w:rPr>
                <w:rFonts w:cstheme="minorHAnsi"/>
                <w:sz w:val="24"/>
                <w:szCs w:val="24"/>
              </w:rPr>
            </w:pPr>
            <w:r w:rsidRPr="00133C64">
              <w:rPr>
                <w:rFonts w:cstheme="minorHAnsi"/>
                <w:sz w:val="24"/>
                <w:szCs w:val="24"/>
              </w:rPr>
              <w:t>−0.47</w:t>
            </w:r>
          </w:p>
        </w:tc>
        <w:tc>
          <w:tcPr>
            <w:tcW w:w="0" w:type="auto"/>
            <w:hideMark/>
          </w:tcPr>
          <w:p w14:paraId="6F1AB1CF" w14:textId="77777777" w:rsidR="00133C64" w:rsidRPr="00133C64" w:rsidRDefault="00133C64" w:rsidP="009D34AD">
            <w:pPr>
              <w:spacing w:after="0"/>
              <w:rPr>
                <w:rFonts w:cstheme="minorHAnsi"/>
                <w:sz w:val="24"/>
                <w:szCs w:val="24"/>
              </w:rPr>
            </w:pPr>
            <w:r w:rsidRPr="00133C64">
              <w:rPr>
                <w:rFonts w:cstheme="minorHAnsi"/>
                <w:sz w:val="24"/>
                <w:szCs w:val="24"/>
              </w:rPr>
              <w:t>2.36</w:t>
            </w:r>
          </w:p>
        </w:tc>
        <w:tc>
          <w:tcPr>
            <w:tcW w:w="0" w:type="auto"/>
            <w:hideMark/>
          </w:tcPr>
          <w:p w14:paraId="6E244DFA" w14:textId="77777777" w:rsidR="00133C64" w:rsidRPr="00133C64" w:rsidRDefault="00133C64" w:rsidP="009D34AD">
            <w:pPr>
              <w:spacing w:after="0"/>
              <w:rPr>
                <w:rFonts w:cstheme="minorHAnsi"/>
                <w:sz w:val="24"/>
                <w:szCs w:val="24"/>
              </w:rPr>
            </w:pPr>
            <w:r w:rsidRPr="00133C64">
              <w:rPr>
                <w:rFonts w:cstheme="minorHAnsi"/>
                <w:sz w:val="24"/>
                <w:szCs w:val="24"/>
              </w:rPr>
              <w:t>−0.80</w:t>
            </w:r>
          </w:p>
        </w:tc>
        <w:tc>
          <w:tcPr>
            <w:tcW w:w="0" w:type="auto"/>
            <w:hideMark/>
          </w:tcPr>
          <w:p w14:paraId="01D072B9" w14:textId="77777777" w:rsidR="00133C64" w:rsidRPr="00133C64" w:rsidRDefault="00133C64" w:rsidP="009D34AD">
            <w:pPr>
              <w:spacing w:after="0"/>
              <w:rPr>
                <w:rFonts w:cstheme="minorHAnsi"/>
                <w:sz w:val="24"/>
                <w:szCs w:val="24"/>
              </w:rPr>
            </w:pPr>
            <w:r w:rsidRPr="00133C64">
              <w:rPr>
                <w:rFonts w:cstheme="minorHAnsi"/>
                <w:sz w:val="24"/>
                <w:szCs w:val="24"/>
              </w:rPr>
              <w:t>2.23</w:t>
            </w:r>
          </w:p>
        </w:tc>
        <w:tc>
          <w:tcPr>
            <w:tcW w:w="0" w:type="auto"/>
            <w:hideMark/>
          </w:tcPr>
          <w:p w14:paraId="34CDE346" w14:textId="77777777" w:rsidR="00133C64" w:rsidRPr="00133C64" w:rsidRDefault="00133C64" w:rsidP="009D34AD">
            <w:pPr>
              <w:spacing w:after="0"/>
              <w:rPr>
                <w:rFonts w:cstheme="minorHAnsi"/>
                <w:sz w:val="24"/>
                <w:szCs w:val="24"/>
              </w:rPr>
            </w:pPr>
            <w:r w:rsidRPr="00133C64">
              <w:rPr>
                <w:rFonts w:cstheme="minorHAnsi"/>
                <w:sz w:val="24"/>
                <w:szCs w:val="24"/>
              </w:rPr>
              <w:t>2.72</w:t>
            </w:r>
          </w:p>
        </w:tc>
        <w:tc>
          <w:tcPr>
            <w:tcW w:w="0" w:type="auto"/>
            <w:hideMark/>
          </w:tcPr>
          <w:p w14:paraId="5994B385" w14:textId="77777777" w:rsidR="00133C64" w:rsidRPr="00133C64" w:rsidRDefault="00133C64" w:rsidP="009D34AD">
            <w:pPr>
              <w:spacing w:after="0"/>
              <w:rPr>
                <w:rFonts w:cstheme="minorHAnsi"/>
                <w:sz w:val="24"/>
                <w:szCs w:val="24"/>
              </w:rPr>
            </w:pPr>
            <w:r w:rsidRPr="00133C64">
              <w:rPr>
                <w:rFonts w:cstheme="minorHAnsi"/>
                <w:sz w:val="24"/>
                <w:szCs w:val="24"/>
              </w:rPr>
              <w:t>0.65</w:t>
            </w:r>
          </w:p>
        </w:tc>
        <w:tc>
          <w:tcPr>
            <w:tcW w:w="0" w:type="auto"/>
            <w:hideMark/>
          </w:tcPr>
          <w:p w14:paraId="38B7E3E9" w14:textId="77777777" w:rsidR="00133C64" w:rsidRPr="00133C64" w:rsidRDefault="00133C64" w:rsidP="009D34AD">
            <w:pPr>
              <w:spacing w:after="0"/>
              <w:rPr>
                <w:rFonts w:cstheme="minorHAnsi"/>
                <w:sz w:val="24"/>
                <w:szCs w:val="24"/>
              </w:rPr>
            </w:pPr>
            <w:r w:rsidRPr="00133C64">
              <w:rPr>
                <w:rFonts w:cstheme="minorHAnsi"/>
                <w:sz w:val="24"/>
                <w:szCs w:val="24"/>
              </w:rPr>
              <w:t>3.83</w:t>
            </w:r>
          </w:p>
        </w:tc>
        <w:tc>
          <w:tcPr>
            <w:tcW w:w="0" w:type="auto"/>
            <w:hideMark/>
          </w:tcPr>
          <w:p w14:paraId="01AF3F62" w14:textId="77777777" w:rsidR="00133C64" w:rsidRPr="00133C64" w:rsidRDefault="00133C64" w:rsidP="009D34AD">
            <w:pPr>
              <w:spacing w:after="0"/>
              <w:rPr>
                <w:rFonts w:cstheme="minorHAnsi"/>
                <w:sz w:val="24"/>
                <w:szCs w:val="24"/>
              </w:rPr>
            </w:pPr>
            <w:r w:rsidRPr="00133C64">
              <w:rPr>
                <w:rFonts w:cstheme="minorHAnsi"/>
                <w:sz w:val="24"/>
                <w:szCs w:val="24"/>
              </w:rPr>
              <w:t>3.20</w:t>
            </w:r>
          </w:p>
        </w:tc>
        <w:tc>
          <w:tcPr>
            <w:tcW w:w="0" w:type="auto"/>
            <w:hideMark/>
          </w:tcPr>
          <w:p w14:paraId="3B1F4EFF" w14:textId="77777777" w:rsidR="00133C64" w:rsidRPr="00133C64" w:rsidRDefault="00133C64" w:rsidP="009D34AD">
            <w:pPr>
              <w:spacing w:after="0"/>
              <w:rPr>
                <w:rFonts w:cstheme="minorHAnsi"/>
                <w:sz w:val="24"/>
                <w:szCs w:val="24"/>
              </w:rPr>
            </w:pPr>
            <w:r w:rsidRPr="00133C64">
              <w:rPr>
                <w:rFonts w:cstheme="minorHAnsi"/>
                <w:sz w:val="24"/>
                <w:szCs w:val="24"/>
              </w:rPr>
              <w:t>0.84</w:t>
            </w:r>
          </w:p>
        </w:tc>
      </w:tr>
      <w:tr w:rsidR="00133C64" w:rsidRPr="00133C64" w14:paraId="5DCB1AC9" w14:textId="77777777" w:rsidTr="009D34AD">
        <w:tc>
          <w:tcPr>
            <w:tcW w:w="0" w:type="auto"/>
            <w:hideMark/>
          </w:tcPr>
          <w:p w14:paraId="47C6A692" w14:textId="77777777" w:rsidR="00133C64" w:rsidRPr="00133C64" w:rsidRDefault="00133C64" w:rsidP="009D34AD">
            <w:pPr>
              <w:spacing w:after="0"/>
              <w:rPr>
                <w:rFonts w:cstheme="minorHAnsi"/>
                <w:sz w:val="24"/>
                <w:szCs w:val="24"/>
              </w:rPr>
            </w:pPr>
            <w:r w:rsidRPr="00133C64">
              <w:rPr>
                <w:rFonts w:cstheme="minorHAnsi"/>
                <w:sz w:val="24"/>
                <w:szCs w:val="24"/>
              </w:rPr>
              <w:t xml:space="preserve">Benchmark 2: </w:t>
            </w:r>
            <w:proofErr w:type="spellStart"/>
            <w:r w:rsidRPr="00133C64">
              <w:rPr>
                <w:rFonts w:cstheme="minorHAnsi"/>
                <w:sz w:val="24"/>
                <w:szCs w:val="24"/>
              </w:rPr>
              <w:t>BBgBarc</w:t>
            </w:r>
            <w:proofErr w:type="spellEnd"/>
            <w:r w:rsidRPr="00133C64">
              <w:rPr>
                <w:rFonts w:cstheme="minorHAnsi"/>
                <w:sz w:val="24"/>
                <w:szCs w:val="24"/>
              </w:rPr>
              <w:t xml:space="preserve"> US aggregate bond TR USD</w:t>
            </w:r>
          </w:p>
        </w:tc>
        <w:tc>
          <w:tcPr>
            <w:tcW w:w="0" w:type="auto"/>
            <w:hideMark/>
          </w:tcPr>
          <w:p w14:paraId="2AF0FA6B" w14:textId="77777777" w:rsidR="00133C64" w:rsidRPr="00133C64" w:rsidRDefault="00133C64" w:rsidP="009D34AD">
            <w:pPr>
              <w:spacing w:after="0"/>
              <w:rPr>
                <w:rFonts w:cstheme="minorHAnsi"/>
                <w:sz w:val="24"/>
                <w:szCs w:val="24"/>
              </w:rPr>
            </w:pPr>
            <w:r w:rsidRPr="00133C64">
              <w:rPr>
                <w:rFonts w:cstheme="minorHAnsi"/>
                <w:sz w:val="24"/>
                <w:szCs w:val="24"/>
              </w:rPr>
              <w:t>−0.40</w:t>
            </w:r>
          </w:p>
        </w:tc>
        <w:tc>
          <w:tcPr>
            <w:tcW w:w="0" w:type="auto"/>
            <w:hideMark/>
          </w:tcPr>
          <w:p w14:paraId="79C3AA5E" w14:textId="77777777" w:rsidR="00133C64" w:rsidRPr="00133C64" w:rsidRDefault="00133C64" w:rsidP="009D34AD">
            <w:pPr>
              <w:spacing w:after="0"/>
              <w:rPr>
                <w:rFonts w:cstheme="minorHAnsi"/>
                <w:sz w:val="24"/>
                <w:szCs w:val="24"/>
              </w:rPr>
            </w:pPr>
            <w:r w:rsidRPr="00133C64">
              <w:rPr>
                <w:rFonts w:cstheme="minorHAnsi"/>
                <w:sz w:val="24"/>
                <w:szCs w:val="24"/>
              </w:rPr>
              <w:t>2.37</w:t>
            </w:r>
          </w:p>
        </w:tc>
        <w:tc>
          <w:tcPr>
            <w:tcW w:w="0" w:type="auto"/>
            <w:hideMark/>
          </w:tcPr>
          <w:p w14:paraId="626BCDA2" w14:textId="77777777" w:rsidR="00133C64" w:rsidRPr="00133C64" w:rsidRDefault="00133C64" w:rsidP="009D34AD">
            <w:pPr>
              <w:spacing w:after="0"/>
              <w:rPr>
                <w:rFonts w:cstheme="minorHAnsi"/>
                <w:sz w:val="24"/>
                <w:szCs w:val="24"/>
              </w:rPr>
            </w:pPr>
            <w:r w:rsidRPr="00133C64">
              <w:rPr>
                <w:rFonts w:cstheme="minorHAnsi"/>
                <w:sz w:val="24"/>
                <w:szCs w:val="24"/>
              </w:rPr>
              <w:t>−0.77</w:t>
            </w:r>
          </w:p>
        </w:tc>
        <w:tc>
          <w:tcPr>
            <w:tcW w:w="0" w:type="auto"/>
            <w:hideMark/>
          </w:tcPr>
          <w:p w14:paraId="5CBCB8DC" w14:textId="77777777" w:rsidR="00133C64" w:rsidRPr="00133C64" w:rsidRDefault="00133C64" w:rsidP="009D34AD">
            <w:pPr>
              <w:spacing w:after="0"/>
              <w:rPr>
                <w:rFonts w:cstheme="minorHAnsi"/>
                <w:sz w:val="24"/>
                <w:szCs w:val="24"/>
              </w:rPr>
            </w:pPr>
            <w:r w:rsidRPr="00133C64">
              <w:rPr>
                <w:rFonts w:cstheme="minorHAnsi"/>
                <w:sz w:val="24"/>
                <w:szCs w:val="24"/>
              </w:rPr>
              <w:t>2.27</w:t>
            </w:r>
          </w:p>
        </w:tc>
        <w:tc>
          <w:tcPr>
            <w:tcW w:w="0" w:type="auto"/>
            <w:hideMark/>
          </w:tcPr>
          <w:p w14:paraId="4F0CB72C" w14:textId="77777777" w:rsidR="00133C64" w:rsidRPr="00133C64" w:rsidRDefault="00133C64" w:rsidP="009D34AD">
            <w:pPr>
              <w:spacing w:after="0"/>
              <w:rPr>
                <w:rFonts w:cstheme="minorHAnsi"/>
                <w:sz w:val="24"/>
                <w:szCs w:val="24"/>
              </w:rPr>
            </w:pPr>
            <w:r w:rsidRPr="00133C64">
              <w:rPr>
                <w:rFonts w:cstheme="minorHAnsi"/>
                <w:sz w:val="24"/>
                <w:szCs w:val="24"/>
              </w:rPr>
              <w:t>2.70</w:t>
            </w:r>
          </w:p>
        </w:tc>
        <w:tc>
          <w:tcPr>
            <w:tcW w:w="0" w:type="auto"/>
            <w:hideMark/>
          </w:tcPr>
          <w:p w14:paraId="35DBF85D" w14:textId="77777777" w:rsidR="00133C64" w:rsidRPr="00133C64" w:rsidRDefault="00133C64" w:rsidP="009D34AD">
            <w:pPr>
              <w:spacing w:after="0"/>
              <w:rPr>
                <w:rFonts w:cstheme="minorHAnsi"/>
                <w:sz w:val="24"/>
                <w:szCs w:val="24"/>
              </w:rPr>
            </w:pPr>
            <w:r w:rsidRPr="00133C64">
              <w:rPr>
                <w:rFonts w:cstheme="minorHAnsi"/>
                <w:sz w:val="24"/>
                <w:szCs w:val="24"/>
              </w:rPr>
              <w:t>0.67</w:t>
            </w:r>
          </w:p>
        </w:tc>
        <w:tc>
          <w:tcPr>
            <w:tcW w:w="0" w:type="auto"/>
            <w:hideMark/>
          </w:tcPr>
          <w:p w14:paraId="52D3D868" w14:textId="77777777" w:rsidR="00133C64" w:rsidRPr="00133C64" w:rsidRDefault="00133C64" w:rsidP="009D34AD">
            <w:pPr>
              <w:spacing w:after="0"/>
              <w:rPr>
                <w:rFonts w:cstheme="minorHAnsi"/>
                <w:sz w:val="24"/>
                <w:szCs w:val="24"/>
              </w:rPr>
            </w:pPr>
            <w:r w:rsidRPr="00133C64">
              <w:rPr>
                <w:rFonts w:cstheme="minorHAnsi"/>
                <w:sz w:val="24"/>
                <w:szCs w:val="24"/>
              </w:rPr>
              <w:t>3.97</w:t>
            </w:r>
          </w:p>
        </w:tc>
        <w:tc>
          <w:tcPr>
            <w:tcW w:w="0" w:type="auto"/>
            <w:hideMark/>
          </w:tcPr>
          <w:p w14:paraId="2421F8B5" w14:textId="77777777" w:rsidR="00133C64" w:rsidRPr="00133C64" w:rsidRDefault="00133C64" w:rsidP="009D34AD">
            <w:pPr>
              <w:spacing w:after="0"/>
              <w:rPr>
                <w:rFonts w:cstheme="minorHAnsi"/>
                <w:sz w:val="24"/>
                <w:szCs w:val="24"/>
              </w:rPr>
            </w:pPr>
            <w:r w:rsidRPr="00133C64">
              <w:rPr>
                <w:rFonts w:cstheme="minorHAnsi"/>
                <w:sz w:val="24"/>
                <w:szCs w:val="24"/>
              </w:rPr>
              <w:t>3.15</w:t>
            </w:r>
          </w:p>
        </w:tc>
        <w:tc>
          <w:tcPr>
            <w:tcW w:w="0" w:type="auto"/>
            <w:hideMark/>
          </w:tcPr>
          <w:p w14:paraId="464EF2F2" w14:textId="77777777" w:rsidR="00133C64" w:rsidRPr="00133C64" w:rsidRDefault="00133C64" w:rsidP="009D34AD">
            <w:pPr>
              <w:spacing w:after="0"/>
              <w:rPr>
                <w:rFonts w:cstheme="minorHAnsi"/>
                <w:sz w:val="24"/>
                <w:szCs w:val="24"/>
              </w:rPr>
            </w:pPr>
            <w:r w:rsidRPr="00133C64">
              <w:rPr>
                <w:rFonts w:cstheme="minorHAnsi"/>
                <w:sz w:val="24"/>
                <w:szCs w:val="24"/>
              </w:rPr>
              <w:t>0.90</w:t>
            </w:r>
          </w:p>
        </w:tc>
      </w:tr>
    </w:tbl>
    <w:p w14:paraId="53CF67EF" w14:textId="77777777" w:rsidR="00133C64" w:rsidRPr="00133C64" w:rsidRDefault="00133C64" w:rsidP="00133C64">
      <w:pPr>
        <w:rPr>
          <w:rFonts w:cstheme="minorHAnsi"/>
          <w:sz w:val="24"/>
          <w:szCs w:val="24"/>
        </w:rPr>
      </w:pPr>
      <w:r w:rsidRPr="00133C64">
        <w:rPr>
          <w:rFonts w:cstheme="minorHAnsi"/>
          <w:b/>
          <w:bCs/>
          <w:sz w:val="24"/>
          <w:szCs w:val="24"/>
        </w:rPr>
        <w:t>Notes:</w:t>
      </w:r>
      <w:r w:rsidRPr="00133C64">
        <w:rPr>
          <w:rFonts w:cstheme="minorHAnsi"/>
          <w:sz w:val="24"/>
          <w:szCs w:val="24"/>
        </w:rPr>
        <w:t xml:space="preserve"> This table presents the annual returns, annual standard </w:t>
      </w:r>
      <w:proofErr w:type="gramStart"/>
      <w:r w:rsidRPr="00133C64">
        <w:rPr>
          <w:rFonts w:cstheme="minorHAnsi"/>
          <w:sz w:val="24"/>
          <w:szCs w:val="24"/>
        </w:rPr>
        <w:t>deviations</w:t>
      </w:r>
      <w:proofErr w:type="gramEnd"/>
      <w:r w:rsidRPr="00133C64">
        <w:rPr>
          <w:rFonts w:cstheme="minorHAnsi"/>
          <w:sz w:val="24"/>
          <w:szCs w:val="24"/>
        </w:rPr>
        <w:t xml:space="preserve"> and Sharpe ratios of the AIM small-cap fund, AIM international equity fund and AIM fixed income fund. The returns were measured on June 30, 2018. The inception of the AIM small-cap fund was September 2005; the inception of the AIM international equity fund was September </w:t>
      </w:r>
      <w:proofErr w:type="gramStart"/>
      <w:r w:rsidRPr="00133C64">
        <w:rPr>
          <w:rFonts w:cstheme="minorHAnsi"/>
          <w:sz w:val="24"/>
          <w:szCs w:val="24"/>
        </w:rPr>
        <w:t>2008</w:t>
      </w:r>
      <w:proofErr w:type="gramEnd"/>
      <w:r w:rsidRPr="00133C64">
        <w:rPr>
          <w:rFonts w:cstheme="minorHAnsi"/>
          <w:sz w:val="24"/>
          <w:szCs w:val="24"/>
        </w:rPr>
        <w:t xml:space="preserve"> and the inception of the AIM fixed income fund was January 2006</w:t>
      </w:r>
    </w:p>
    <w:p w14:paraId="7EFDBDDE" w14:textId="2042D7E0" w:rsidR="00133C64" w:rsidRPr="00133C64" w:rsidRDefault="00133C64" w:rsidP="00133C64">
      <w:pPr>
        <w:rPr>
          <w:rFonts w:cstheme="minorHAnsi"/>
          <w:sz w:val="24"/>
          <w:szCs w:val="24"/>
        </w:rPr>
      </w:pPr>
      <w:r w:rsidRPr="00133C64">
        <w:rPr>
          <w:rFonts w:cstheme="minorHAnsi"/>
          <w:sz w:val="24"/>
          <w:szCs w:val="24"/>
        </w:rPr>
        <w:t>Table II</w:t>
      </w:r>
      <w:r w:rsidR="00761EDC">
        <w:rPr>
          <w:rFonts w:cstheme="minorHAnsi"/>
          <w:sz w:val="24"/>
          <w:szCs w:val="24"/>
        </w:rPr>
        <w:t xml:space="preserve"> </w:t>
      </w:r>
      <w:r w:rsidRPr="00133C64">
        <w:rPr>
          <w:rFonts w:cstheme="minorHAnsi"/>
          <w:sz w:val="24"/>
          <w:szCs w:val="24"/>
        </w:rPr>
        <w:t>First-year job compensation upon graduation</w:t>
      </w:r>
    </w:p>
    <w:tbl>
      <w:tblPr>
        <w:tblStyle w:val="TableGrid"/>
        <w:tblW w:w="0" w:type="auto"/>
        <w:tblLook w:val="04A0" w:firstRow="1" w:lastRow="0" w:firstColumn="1" w:lastColumn="0" w:noHBand="0" w:noVBand="1"/>
      </w:tblPr>
      <w:tblGrid>
        <w:gridCol w:w="2032"/>
        <w:gridCol w:w="1314"/>
        <w:gridCol w:w="982"/>
        <w:gridCol w:w="1554"/>
        <w:gridCol w:w="982"/>
        <w:gridCol w:w="1842"/>
        <w:gridCol w:w="1364"/>
      </w:tblGrid>
      <w:tr w:rsidR="00CE46C0" w:rsidRPr="00133C64" w14:paraId="409C6E0A" w14:textId="77777777" w:rsidTr="007A204E">
        <w:tc>
          <w:tcPr>
            <w:tcW w:w="0" w:type="auto"/>
            <w:hideMark/>
          </w:tcPr>
          <w:p w14:paraId="6769F9FD" w14:textId="77777777" w:rsidR="00CE46C0" w:rsidRPr="00133C64" w:rsidRDefault="00CE46C0" w:rsidP="00761EDC">
            <w:pPr>
              <w:spacing w:line="259" w:lineRule="auto"/>
              <w:rPr>
                <w:rFonts w:cstheme="minorHAnsi"/>
                <w:sz w:val="24"/>
                <w:szCs w:val="24"/>
              </w:rPr>
            </w:pPr>
          </w:p>
        </w:tc>
        <w:tc>
          <w:tcPr>
            <w:tcW w:w="0" w:type="auto"/>
            <w:hideMark/>
          </w:tcPr>
          <w:p w14:paraId="50741FC9" w14:textId="77777777" w:rsidR="00CE46C0" w:rsidRPr="00133C64" w:rsidRDefault="00CE46C0" w:rsidP="00761EDC">
            <w:pPr>
              <w:rPr>
                <w:rFonts w:cstheme="minorHAnsi"/>
                <w:b/>
                <w:bCs/>
                <w:sz w:val="24"/>
                <w:szCs w:val="24"/>
              </w:rPr>
            </w:pPr>
            <w:r w:rsidRPr="00133C64">
              <w:rPr>
                <w:rFonts w:cstheme="minorHAnsi"/>
                <w:b/>
                <w:bCs/>
                <w:sz w:val="24"/>
                <w:szCs w:val="24"/>
              </w:rPr>
              <w:t>AIM students</w:t>
            </w:r>
          </w:p>
        </w:tc>
        <w:tc>
          <w:tcPr>
            <w:tcW w:w="0" w:type="auto"/>
          </w:tcPr>
          <w:p w14:paraId="67A840FD" w14:textId="2BAE154E" w:rsidR="00CE46C0" w:rsidRPr="00133C64" w:rsidRDefault="00CE46C0" w:rsidP="00761EDC">
            <w:pPr>
              <w:spacing w:after="0"/>
              <w:rPr>
                <w:rFonts w:cstheme="minorHAnsi"/>
                <w:b/>
                <w:bCs/>
                <w:sz w:val="24"/>
                <w:szCs w:val="24"/>
              </w:rPr>
            </w:pPr>
          </w:p>
        </w:tc>
        <w:tc>
          <w:tcPr>
            <w:tcW w:w="0" w:type="auto"/>
            <w:hideMark/>
          </w:tcPr>
          <w:p w14:paraId="0A075254" w14:textId="77777777" w:rsidR="00CE46C0" w:rsidRPr="00133C64" w:rsidRDefault="00CE46C0" w:rsidP="00761EDC">
            <w:pPr>
              <w:rPr>
                <w:rFonts w:cstheme="minorHAnsi"/>
                <w:b/>
                <w:bCs/>
                <w:sz w:val="24"/>
                <w:szCs w:val="24"/>
              </w:rPr>
            </w:pPr>
            <w:r w:rsidRPr="00133C64">
              <w:rPr>
                <w:rFonts w:cstheme="minorHAnsi"/>
                <w:b/>
                <w:bCs/>
                <w:sz w:val="24"/>
                <w:szCs w:val="24"/>
              </w:rPr>
              <w:t>Non-AIM students</w:t>
            </w:r>
          </w:p>
        </w:tc>
        <w:tc>
          <w:tcPr>
            <w:tcW w:w="0" w:type="auto"/>
          </w:tcPr>
          <w:p w14:paraId="3CD22132" w14:textId="06FBEEDD" w:rsidR="00CE46C0" w:rsidRPr="00133C64" w:rsidRDefault="00CE46C0" w:rsidP="00761EDC">
            <w:pPr>
              <w:spacing w:line="259" w:lineRule="auto"/>
              <w:rPr>
                <w:rFonts w:cstheme="minorHAnsi"/>
                <w:b/>
                <w:bCs/>
                <w:sz w:val="24"/>
                <w:szCs w:val="24"/>
              </w:rPr>
            </w:pPr>
          </w:p>
        </w:tc>
        <w:tc>
          <w:tcPr>
            <w:tcW w:w="0" w:type="auto"/>
            <w:hideMark/>
          </w:tcPr>
          <w:p w14:paraId="64505B98" w14:textId="77777777" w:rsidR="00CE46C0" w:rsidRPr="00133C64" w:rsidRDefault="00CE46C0" w:rsidP="00761EDC">
            <w:pPr>
              <w:spacing w:line="259" w:lineRule="auto"/>
              <w:rPr>
                <w:rFonts w:cstheme="minorHAnsi"/>
                <w:b/>
                <w:bCs/>
                <w:sz w:val="24"/>
                <w:szCs w:val="24"/>
              </w:rPr>
            </w:pPr>
            <w:r w:rsidRPr="00133C64">
              <w:rPr>
                <w:rFonts w:cstheme="minorHAnsi"/>
                <w:b/>
                <w:bCs/>
                <w:i/>
                <w:iCs/>
                <w:sz w:val="24"/>
                <w:szCs w:val="24"/>
              </w:rPr>
              <w:t>t</w:t>
            </w:r>
            <w:r w:rsidRPr="00133C64">
              <w:rPr>
                <w:rFonts w:cstheme="minorHAnsi"/>
                <w:b/>
                <w:bCs/>
                <w:sz w:val="24"/>
                <w:szCs w:val="24"/>
              </w:rPr>
              <w:t>-test of the difference</w:t>
            </w:r>
          </w:p>
        </w:tc>
        <w:tc>
          <w:tcPr>
            <w:tcW w:w="0" w:type="auto"/>
            <w:hideMark/>
          </w:tcPr>
          <w:p w14:paraId="79D6CDA7" w14:textId="77777777" w:rsidR="00CE46C0" w:rsidRPr="00133C64" w:rsidRDefault="00CE46C0" w:rsidP="00761EDC">
            <w:pPr>
              <w:spacing w:line="259" w:lineRule="auto"/>
              <w:rPr>
                <w:rFonts w:cstheme="minorHAnsi"/>
                <w:b/>
                <w:bCs/>
                <w:sz w:val="24"/>
                <w:szCs w:val="24"/>
              </w:rPr>
            </w:pPr>
            <w:r w:rsidRPr="00133C64">
              <w:rPr>
                <w:rFonts w:cstheme="minorHAnsi"/>
                <w:b/>
                <w:bCs/>
                <w:sz w:val="24"/>
                <w:szCs w:val="24"/>
              </w:rPr>
              <w:t>Wilcoxon test</w:t>
            </w:r>
          </w:p>
        </w:tc>
      </w:tr>
      <w:tr w:rsidR="00CE46C0" w:rsidRPr="00133C64" w14:paraId="369460B6" w14:textId="77777777" w:rsidTr="00761EDC">
        <w:tc>
          <w:tcPr>
            <w:tcW w:w="0" w:type="auto"/>
            <w:hideMark/>
          </w:tcPr>
          <w:p w14:paraId="4C363E8A" w14:textId="77777777" w:rsidR="00133C64" w:rsidRPr="00133C64" w:rsidRDefault="00133C64" w:rsidP="00761EDC">
            <w:pPr>
              <w:spacing w:line="259" w:lineRule="auto"/>
              <w:rPr>
                <w:rFonts w:cstheme="minorHAnsi"/>
                <w:b/>
                <w:bCs/>
                <w:sz w:val="24"/>
                <w:szCs w:val="24"/>
              </w:rPr>
            </w:pPr>
          </w:p>
        </w:tc>
        <w:tc>
          <w:tcPr>
            <w:tcW w:w="0" w:type="auto"/>
            <w:hideMark/>
          </w:tcPr>
          <w:p w14:paraId="580A03DB" w14:textId="77777777" w:rsidR="00133C64" w:rsidRPr="00133C64" w:rsidRDefault="00133C64" w:rsidP="00761EDC">
            <w:pPr>
              <w:spacing w:after="0"/>
              <w:rPr>
                <w:rFonts w:cstheme="minorHAnsi"/>
                <w:b/>
                <w:bCs/>
                <w:sz w:val="24"/>
                <w:szCs w:val="24"/>
              </w:rPr>
            </w:pPr>
            <w:r w:rsidRPr="00133C64">
              <w:rPr>
                <w:rFonts w:cstheme="minorHAnsi"/>
                <w:b/>
                <w:bCs/>
                <w:sz w:val="24"/>
                <w:szCs w:val="24"/>
              </w:rPr>
              <w:t>Mean</w:t>
            </w:r>
          </w:p>
        </w:tc>
        <w:tc>
          <w:tcPr>
            <w:tcW w:w="0" w:type="auto"/>
            <w:hideMark/>
          </w:tcPr>
          <w:p w14:paraId="1342CC97" w14:textId="77777777" w:rsidR="00133C64" w:rsidRPr="00133C64" w:rsidRDefault="00133C64" w:rsidP="00761EDC">
            <w:pPr>
              <w:spacing w:line="259" w:lineRule="auto"/>
              <w:rPr>
                <w:rFonts w:cstheme="minorHAnsi"/>
                <w:b/>
                <w:bCs/>
                <w:sz w:val="24"/>
                <w:szCs w:val="24"/>
              </w:rPr>
            </w:pPr>
            <w:r w:rsidRPr="00133C64">
              <w:rPr>
                <w:rFonts w:cstheme="minorHAnsi"/>
                <w:b/>
                <w:bCs/>
                <w:sz w:val="24"/>
                <w:szCs w:val="24"/>
              </w:rPr>
              <w:t>Median</w:t>
            </w:r>
          </w:p>
        </w:tc>
        <w:tc>
          <w:tcPr>
            <w:tcW w:w="0" w:type="auto"/>
            <w:hideMark/>
          </w:tcPr>
          <w:p w14:paraId="04AF8324" w14:textId="77777777" w:rsidR="00133C64" w:rsidRPr="00133C64" w:rsidRDefault="00133C64" w:rsidP="00761EDC">
            <w:pPr>
              <w:spacing w:line="259" w:lineRule="auto"/>
              <w:rPr>
                <w:rFonts w:cstheme="minorHAnsi"/>
                <w:b/>
                <w:bCs/>
                <w:sz w:val="24"/>
                <w:szCs w:val="24"/>
              </w:rPr>
            </w:pPr>
            <w:r w:rsidRPr="00133C64">
              <w:rPr>
                <w:rFonts w:cstheme="minorHAnsi"/>
                <w:b/>
                <w:bCs/>
                <w:sz w:val="24"/>
                <w:szCs w:val="24"/>
              </w:rPr>
              <w:t>Mean</w:t>
            </w:r>
          </w:p>
        </w:tc>
        <w:tc>
          <w:tcPr>
            <w:tcW w:w="0" w:type="auto"/>
            <w:hideMark/>
          </w:tcPr>
          <w:p w14:paraId="5C46BE17" w14:textId="77777777" w:rsidR="00133C64" w:rsidRPr="00133C64" w:rsidRDefault="00133C64" w:rsidP="00761EDC">
            <w:pPr>
              <w:spacing w:line="259" w:lineRule="auto"/>
              <w:rPr>
                <w:rFonts w:cstheme="minorHAnsi"/>
                <w:b/>
                <w:bCs/>
                <w:sz w:val="24"/>
                <w:szCs w:val="24"/>
              </w:rPr>
            </w:pPr>
            <w:r w:rsidRPr="00133C64">
              <w:rPr>
                <w:rFonts w:cstheme="minorHAnsi"/>
                <w:b/>
                <w:bCs/>
                <w:sz w:val="24"/>
                <w:szCs w:val="24"/>
              </w:rPr>
              <w:t>Median</w:t>
            </w:r>
          </w:p>
        </w:tc>
        <w:tc>
          <w:tcPr>
            <w:tcW w:w="0" w:type="auto"/>
            <w:hideMark/>
          </w:tcPr>
          <w:p w14:paraId="20F7532C" w14:textId="77777777" w:rsidR="00133C64" w:rsidRPr="00133C64" w:rsidRDefault="00133C64" w:rsidP="00761EDC">
            <w:pPr>
              <w:spacing w:line="259" w:lineRule="auto"/>
              <w:rPr>
                <w:rFonts w:cstheme="minorHAnsi"/>
                <w:b/>
                <w:bCs/>
                <w:sz w:val="24"/>
                <w:szCs w:val="24"/>
              </w:rPr>
            </w:pPr>
            <w:r w:rsidRPr="00133C64">
              <w:rPr>
                <w:rFonts w:cstheme="minorHAnsi"/>
                <w:b/>
                <w:bCs/>
                <w:i/>
                <w:iCs/>
                <w:sz w:val="24"/>
                <w:szCs w:val="24"/>
              </w:rPr>
              <w:t>p</w:t>
            </w:r>
            <w:r w:rsidRPr="00133C64">
              <w:rPr>
                <w:rFonts w:cstheme="minorHAnsi"/>
                <w:b/>
                <w:bCs/>
                <w:sz w:val="24"/>
                <w:szCs w:val="24"/>
              </w:rPr>
              <w:t>-value</w:t>
            </w:r>
          </w:p>
        </w:tc>
        <w:tc>
          <w:tcPr>
            <w:tcW w:w="0" w:type="auto"/>
            <w:hideMark/>
          </w:tcPr>
          <w:p w14:paraId="4B3E7828" w14:textId="77777777" w:rsidR="00133C64" w:rsidRPr="00133C64" w:rsidRDefault="00133C64" w:rsidP="00761EDC">
            <w:pPr>
              <w:spacing w:line="259" w:lineRule="auto"/>
              <w:rPr>
                <w:rFonts w:cstheme="minorHAnsi"/>
                <w:b/>
                <w:bCs/>
                <w:sz w:val="24"/>
                <w:szCs w:val="24"/>
              </w:rPr>
            </w:pPr>
            <w:r w:rsidRPr="00133C64">
              <w:rPr>
                <w:rFonts w:cstheme="minorHAnsi"/>
                <w:b/>
                <w:bCs/>
                <w:i/>
                <w:iCs/>
                <w:sz w:val="24"/>
                <w:szCs w:val="24"/>
              </w:rPr>
              <w:t>p</w:t>
            </w:r>
            <w:r w:rsidRPr="00133C64">
              <w:rPr>
                <w:rFonts w:cstheme="minorHAnsi"/>
                <w:b/>
                <w:bCs/>
                <w:sz w:val="24"/>
                <w:szCs w:val="24"/>
              </w:rPr>
              <w:t>-value</w:t>
            </w:r>
          </w:p>
        </w:tc>
      </w:tr>
      <w:tr w:rsidR="00761EDC" w:rsidRPr="00133C64" w14:paraId="3505D3CB" w14:textId="77777777" w:rsidTr="00761EDC">
        <w:tc>
          <w:tcPr>
            <w:tcW w:w="0" w:type="auto"/>
            <w:hideMark/>
          </w:tcPr>
          <w:p w14:paraId="754EF936" w14:textId="77777777" w:rsidR="00133C64" w:rsidRPr="00133C64" w:rsidRDefault="00133C64" w:rsidP="00761EDC">
            <w:pPr>
              <w:spacing w:line="259" w:lineRule="auto"/>
              <w:rPr>
                <w:rFonts w:cstheme="minorHAnsi"/>
                <w:sz w:val="24"/>
                <w:szCs w:val="24"/>
              </w:rPr>
            </w:pPr>
            <w:r w:rsidRPr="00133C64">
              <w:rPr>
                <w:rFonts w:cstheme="minorHAnsi"/>
                <w:sz w:val="24"/>
                <w:szCs w:val="24"/>
              </w:rPr>
              <w:t>Salary ($)</w:t>
            </w:r>
          </w:p>
        </w:tc>
        <w:tc>
          <w:tcPr>
            <w:tcW w:w="0" w:type="auto"/>
            <w:hideMark/>
          </w:tcPr>
          <w:p w14:paraId="71BB7750" w14:textId="77777777" w:rsidR="00133C64" w:rsidRPr="00133C64" w:rsidRDefault="00133C64" w:rsidP="00761EDC">
            <w:pPr>
              <w:spacing w:after="0"/>
              <w:rPr>
                <w:rFonts w:cstheme="minorHAnsi"/>
                <w:sz w:val="24"/>
                <w:szCs w:val="24"/>
              </w:rPr>
            </w:pPr>
            <w:r w:rsidRPr="00133C64">
              <w:rPr>
                <w:rFonts w:cstheme="minorHAnsi"/>
                <w:sz w:val="24"/>
                <w:szCs w:val="24"/>
              </w:rPr>
              <w:t>65,278</w:t>
            </w:r>
          </w:p>
        </w:tc>
        <w:tc>
          <w:tcPr>
            <w:tcW w:w="0" w:type="auto"/>
            <w:hideMark/>
          </w:tcPr>
          <w:p w14:paraId="3FDD2B14" w14:textId="77777777" w:rsidR="00133C64" w:rsidRPr="00133C64" w:rsidRDefault="00133C64" w:rsidP="00761EDC">
            <w:pPr>
              <w:spacing w:after="0"/>
              <w:rPr>
                <w:rFonts w:cstheme="minorHAnsi"/>
                <w:sz w:val="24"/>
                <w:szCs w:val="24"/>
              </w:rPr>
            </w:pPr>
            <w:r w:rsidRPr="00133C64">
              <w:rPr>
                <w:rFonts w:cstheme="minorHAnsi"/>
                <w:sz w:val="24"/>
                <w:szCs w:val="24"/>
              </w:rPr>
              <w:t>60,000</w:t>
            </w:r>
          </w:p>
        </w:tc>
        <w:tc>
          <w:tcPr>
            <w:tcW w:w="0" w:type="auto"/>
            <w:hideMark/>
          </w:tcPr>
          <w:p w14:paraId="22CA7137" w14:textId="77777777" w:rsidR="00133C64" w:rsidRPr="00133C64" w:rsidRDefault="00133C64" w:rsidP="00761EDC">
            <w:pPr>
              <w:spacing w:after="0"/>
              <w:rPr>
                <w:rFonts w:cstheme="minorHAnsi"/>
                <w:sz w:val="24"/>
                <w:szCs w:val="24"/>
              </w:rPr>
            </w:pPr>
            <w:r w:rsidRPr="00133C64">
              <w:rPr>
                <w:rFonts w:cstheme="minorHAnsi"/>
                <w:sz w:val="24"/>
                <w:szCs w:val="24"/>
              </w:rPr>
              <w:t>53,355</w:t>
            </w:r>
          </w:p>
        </w:tc>
        <w:tc>
          <w:tcPr>
            <w:tcW w:w="0" w:type="auto"/>
            <w:hideMark/>
          </w:tcPr>
          <w:p w14:paraId="4B660161" w14:textId="77777777" w:rsidR="00133C64" w:rsidRPr="00133C64" w:rsidRDefault="00133C64" w:rsidP="00761EDC">
            <w:pPr>
              <w:spacing w:after="0"/>
              <w:rPr>
                <w:rFonts w:cstheme="minorHAnsi"/>
                <w:sz w:val="24"/>
                <w:szCs w:val="24"/>
              </w:rPr>
            </w:pPr>
            <w:r w:rsidRPr="00133C64">
              <w:rPr>
                <w:rFonts w:cstheme="minorHAnsi"/>
                <w:sz w:val="24"/>
                <w:szCs w:val="24"/>
              </w:rPr>
              <w:t>53,000</w:t>
            </w:r>
          </w:p>
        </w:tc>
        <w:tc>
          <w:tcPr>
            <w:tcW w:w="0" w:type="auto"/>
            <w:hideMark/>
          </w:tcPr>
          <w:p w14:paraId="234FBB22" w14:textId="77777777" w:rsidR="00133C64" w:rsidRPr="00133C64" w:rsidRDefault="00133C64" w:rsidP="00761EDC">
            <w:pPr>
              <w:spacing w:after="0"/>
              <w:rPr>
                <w:rFonts w:cstheme="minorHAnsi"/>
                <w:sz w:val="24"/>
                <w:szCs w:val="24"/>
              </w:rPr>
            </w:pPr>
            <w:r w:rsidRPr="00133C64">
              <w:rPr>
                <w:rFonts w:cstheme="minorHAnsi"/>
                <w:sz w:val="24"/>
                <w:szCs w:val="24"/>
              </w:rPr>
              <w:t>0.000***</w:t>
            </w:r>
          </w:p>
        </w:tc>
        <w:tc>
          <w:tcPr>
            <w:tcW w:w="0" w:type="auto"/>
            <w:hideMark/>
          </w:tcPr>
          <w:p w14:paraId="44CAD979" w14:textId="77777777" w:rsidR="00133C64" w:rsidRPr="00133C64" w:rsidRDefault="00133C64" w:rsidP="00761EDC">
            <w:pPr>
              <w:spacing w:after="0"/>
              <w:rPr>
                <w:rFonts w:cstheme="minorHAnsi"/>
                <w:sz w:val="24"/>
                <w:szCs w:val="24"/>
              </w:rPr>
            </w:pPr>
            <w:r w:rsidRPr="00133C64">
              <w:rPr>
                <w:rFonts w:cstheme="minorHAnsi"/>
                <w:sz w:val="24"/>
                <w:szCs w:val="24"/>
              </w:rPr>
              <w:t>0.000***</w:t>
            </w:r>
          </w:p>
        </w:tc>
      </w:tr>
      <w:tr w:rsidR="00CE46C0" w:rsidRPr="00133C64" w14:paraId="484F1CA2" w14:textId="77777777" w:rsidTr="00761EDC">
        <w:tc>
          <w:tcPr>
            <w:tcW w:w="0" w:type="auto"/>
            <w:hideMark/>
          </w:tcPr>
          <w:p w14:paraId="3B9AEE9C" w14:textId="77777777" w:rsidR="00133C64" w:rsidRPr="00133C64" w:rsidRDefault="00133C64" w:rsidP="00761EDC">
            <w:pPr>
              <w:spacing w:after="0"/>
              <w:rPr>
                <w:rFonts w:cstheme="minorHAnsi"/>
                <w:sz w:val="24"/>
                <w:szCs w:val="24"/>
              </w:rPr>
            </w:pPr>
            <w:r w:rsidRPr="00133C64">
              <w:rPr>
                <w:rFonts w:cstheme="minorHAnsi"/>
                <w:sz w:val="24"/>
                <w:szCs w:val="24"/>
              </w:rPr>
              <w:t>Bonus ($)</w:t>
            </w:r>
          </w:p>
        </w:tc>
        <w:tc>
          <w:tcPr>
            <w:tcW w:w="0" w:type="auto"/>
            <w:hideMark/>
          </w:tcPr>
          <w:p w14:paraId="41C0A4AC" w14:textId="77777777" w:rsidR="00133C64" w:rsidRPr="00133C64" w:rsidRDefault="00133C64" w:rsidP="00761EDC">
            <w:pPr>
              <w:spacing w:after="0"/>
              <w:rPr>
                <w:rFonts w:cstheme="minorHAnsi"/>
                <w:sz w:val="24"/>
                <w:szCs w:val="24"/>
              </w:rPr>
            </w:pPr>
            <w:r w:rsidRPr="00133C64">
              <w:rPr>
                <w:rFonts w:cstheme="minorHAnsi"/>
                <w:sz w:val="24"/>
                <w:szCs w:val="24"/>
              </w:rPr>
              <w:t>4,290</w:t>
            </w:r>
          </w:p>
        </w:tc>
        <w:tc>
          <w:tcPr>
            <w:tcW w:w="0" w:type="auto"/>
            <w:hideMark/>
          </w:tcPr>
          <w:p w14:paraId="167A37B3" w14:textId="77777777" w:rsidR="00133C64" w:rsidRPr="00133C64" w:rsidRDefault="00133C64" w:rsidP="00761EDC">
            <w:pPr>
              <w:spacing w:after="0"/>
              <w:rPr>
                <w:rFonts w:cstheme="minorHAnsi"/>
                <w:sz w:val="24"/>
                <w:szCs w:val="24"/>
              </w:rPr>
            </w:pPr>
            <w:r w:rsidRPr="00133C64">
              <w:rPr>
                <w:rFonts w:cstheme="minorHAnsi"/>
                <w:sz w:val="24"/>
                <w:szCs w:val="24"/>
              </w:rPr>
              <w:t>2,500</w:t>
            </w:r>
          </w:p>
        </w:tc>
        <w:tc>
          <w:tcPr>
            <w:tcW w:w="0" w:type="auto"/>
            <w:hideMark/>
          </w:tcPr>
          <w:p w14:paraId="69B78001" w14:textId="77777777" w:rsidR="00133C64" w:rsidRPr="00133C64" w:rsidRDefault="00133C64" w:rsidP="00761EDC">
            <w:pPr>
              <w:spacing w:after="0"/>
              <w:rPr>
                <w:rFonts w:cstheme="minorHAnsi"/>
                <w:sz w:val="24"/>
                <w:szCs w:val="24"/>
              </w:rPr>
            </w:pPr>
            <w:r w:rsidRPr="00133C64">
              <w:rPr>
                <w:rFonts w:cstheme="minorHAnsi"/>
                <w:sz w:val="24"/>
                <w:szCs w:val="24"/>
              </w:rPr>
              <w:t>1,577</w:t>
            </w:r>
          </w:p>
        </w:tc>
        <w:tc>
          <w:tcPr>
            <w:tcW w:w="0" w:type="auto"/>
            <w:hideMark/>
          </w:tcPr>
          <w:p w14:paraId="3FB6861F" w14:textId="77777777" w:rsidR="00133C64" w:rsidRPr="00133C64" w:rsidRDefault="00133C64" w:rsidP="00761EDC">
            <w:pPr>
              <w:spacing w:after="0"/>
              <w:rPr>
                <w:rFonts w:cstheme="minorHAnsi"/>
                <w:sz w:val="24"/>
                <w:szCs w:val="24"/>
              </w:rPr>
            </w:pPr>
            <w:r w:rsidRPr="00133C64">
              <w:rPr>
                <w:rFonts w:cstheme="minorHAnsi"/>
                <w:sz w:val="24"/>
                <w:szCs w:val="24"/>
              </w:rPr>
              <w:t>0</w:t>
            </w:r>
          </w:p>
        </w:tc>
        <w:tc>
          <w:tcPr>
            <w:tcW w:w="0" w:type="auto"/>
            <w:hideMark/>
          </w:tcPr>
          <w:p w14:paraId="58443258" w14:textId="77777777" w:rsidR="00133C64" w:rsidRPr="00133C64" w:rsidRDefault="00133C64" w:rsidP="00761EDC">
            <w:pPr>
              <w:spacing w:after="0"/>
              <w:rPr>
                <w:rFonts w:cstheme="minorHAnsi"/>
                <w:sz w:val="24"/>
                <w:szCs w:val="24"/>
              </w:rPr>
            </w:pPr>
            <w:r w:rsidRPr="00133C64">
              <w:rPr>
                <w:rFonts w:cstheme="minorHAnsi"/>
                <w:sz w:val="24"/>
                <w:szCs w:val="24"/>
              </w:rPr>
              <w:t>0.000***</w:t>
            </w:r>
          </w:p>
        </w:tc>
        <w:tc>
          <w:tcPr>
            <w:tcW w:w="0" w:type="auto"/>
            <w:hideMark/>
          </w:tcPr>
          <w:p w14:paraId="4B4C4710" w14:textId="77777777" w:rsidR="00133C64" w:rsidRPr="00133C64" w:rsidRDefault="00133C64" w:rsidP="00761EDC">
            <w:pPr>
              <w:spacing w:after="0"/>
              <w:rPr>
                <w:rFonts w:cstheme="minorHAnsi"/>
                <w:sz w:val="24"/>
                <w:szCs w:val="24"/>
              </w:rPr>
            </w:pPr>
            <w:r w:rsidRPr="00133C64">
              <w:rPr>
                <w:rFonts w:cstheme="minorHAnsi"/>
                <w:sz w:val="24"/>
                <w:szCs w:val="24"/>
              </w:rPr>
              <w:t>0.000***</w:t>
            </w:r>
          </w:p>
        </w:tc>
      </w:tr>
      <w:tr w:rsidR="00761EDC" w:rsidRPr="00133C64" w14:paraId="3970A2DD" w14:textId="77777777" w:rsidTr="00761EDC">
        <w:tc>
          <w:tcPr>
            <w:tcW w:w="0" w:type="auto"/>
            <w:hideMark/>
          </w:tcPr>
          <w:p w14:paraId="1E0A5B4E" w14:textId="77777777" w:rsidR="00133C64" w:rsidRPr="00133C64" w:rsidRDefault="00133C64" w:rsidP="00761EDC">
            <w:pPr>
              <w:spacing w:after="0"/>
              <w:rPr>
                <w:rFonts w:cstheme="minorHAnsi"/>
                <w:sz w:val="24"/>
                <w:szCs w:val="24"/>
              </w:rPr>
            </w:pPr>
            <w:r w:rsidRPr="00133C64">
              <w:rPr>
                <w:rFonts w:cstheme="minorHAnsi"/>
                <w:sz w:val="24"/>
                <w:szCs w:val="24"/>
              </w:rPr>
              <w:t>Total compensation ($)</w:t>
            </w:r>
          </w:p>
        </w:tc>
        <w:tc>
          <w:tcPr>
            <w:tcW w:w="0" w:type="auto"/>
            <w:hideMark/>
          </w:tcPr>
          <w:p w14:paraId="0E5D7AC2" w14:textId="77777777" w:rsidR="00133C64" w:rsidRPr="00133C64" w:rsidRDefault="00133C64" w:rsidP="00761EDC">
            <w:pPr>
              <w:spacing w:after="0"/>
              <w:rPr>
                <w:rFonts w:cstheme="minorHAnsi"/>
                <w:sz w:val="24"/>
                <w:szCs w:val="24"/>
              </w:rPr>
            </w:pPr>
            <w:r w:rsidRPr="00133C64">
              <w:rPr>
                <w:rFonts w:cstheme="minorHAnsi"/>
                <w:sz w:val="24"/>
                <w:szCs w:val="24"/>
              </w:rPr>
              <w:t>69,568</w:t>
            </w:r>
          </w:p>
        </w:tc>
        <w:tc>
          <w:tcPr>
            <w:tcW w:w="0" w:type="auto"/>
            <w:hideMark/>
          </w:tcPr>
          <w:p w14:paraId="333B1987" w14:textId="77777777" w:rsidR="00133C64" w:rsidRPr="00133C64" w:rsidRDefault="00133C64" w:rsidP="00761EDC">
            <w:pPr>
              <w:spacing w:after="0"/>
              <w:rPr>
                <w:rFonts w:cstheme="minorHAnsi"/>
                <w:sz w:val="24"/>
                <w:szCs w:val="24"/>
              </w:rPr>
            </w:pPr>
            <w:r w:rsidRPr="00133C64">
              <w:rPr>
                <w:rFonts w:cstheme="minorHAnsi"/>
                <w:sz w:val="24"/>
                <w:szCs w:val="24"/>
              </w:rPr>
              <w:t>65,000</w:t>
            </w:r>
          </w:p>
        </w:tc>
        <w:tc>
          <w:tcPr>
            <w:tcW w:w="0" w:type="auto"/>
            <w:hideMark/>
          </w:tcPr>
          <w:p w14:paraId="7D4F1A98" w14:textId="77777777" w:rsidR="00133C64" w:rsidRPr="00133C64" w:rsidRDefault="00133C64" w:rsidP="00761EDC">
            <w:pPr>
              <w:spacing w:after="0"/>
              <w:rPr>
                <w:rFonts w:cstheme="minorHAnsi"/>
                <w:sz w:val="24"/>
                <w:szCs w:val="24"/>
              </w:rPr>
            </w:pPr>
            <w:r w:rsidRPr="00133C64">
              <w:rPr>
                <w:rFonts w:cstheme="minorHAnsi"/>
                <w:sz w:val="24"/>
                <w:szCs w:val="24"/>
              </w:rPr>
              <w:t>54,931</w:t>
            </w:r>
          </w:p>
        </w:tc>
        <w:tc>
          <w:tcPr>
            <w:tcW w:w="0" w:type="auto"/>
            <w:hideMark/>
          </w:tcPr>
          <w:p w14:paraId="5EBC2F28" w14:textId="77777777" w:rsidR="00133C64" w:rsidRPr="00133C64" w:rsidRDefault="00133C64" w:rsidP="00761EDC">
            <w:pPr>
              <w:spacing w:after="0"/>
              <w:rPr>
                <w:rFonts w:cstheme="minorHAnsi"/>
                <w:sz w:val="24"/>
                <w:szCs w:val="24"/>
              </w:rPr>
            </w:pPr>
            <w:r w:rsidRPr="00133C64">
              <w:rPr>
                <w:rFonts w:cstheme="minorHAnsi"/>
                <w:sz w:val="24"/>
                <w:szCs w:val="24"/>
              </w:rPr>
              <w:t>55,000</w:t>
            </w:r>
          </w:p>
        </w:tc>
        <w:tc>
          <w:tcPr>
            <w:tcW w:w="0" w:type="auto"/>
            <w:hideMark/>
          </w:tcPr>
          <w:p w14:paraId="7469E7C5" w14:textId="77777777" w:rsidR="00133C64" w:rsidRPr="00133C64" w:rsidRDefault="00133C64" w:rsidP="00761EDC">
            <w:pPr>
              <w:spacing w:after="0"/>
              <w:rPr>
                <w:rFonts w:cstheme="minorHAnsi"/>
                <w:sz w:val="24"/>
                <w:szCs w:val="24"/>
              </w:rPr>
            </w:pPr>
            <w:r w:rsidRPr="00133C64">
              <w:rPr>
                <w:rFonts w:cstheme="minorHAnsi"/>
                <w:sz w:val="24"/>
                <w:szCs w:val="24"/>
              </w:rPr>
              <w:t>0.000***</w:t>
            </w:r>
          </w:p>
        </w:tc>
        <w:tc>
          <w:tcPr>
            <w:tcW w:w="0" w:type="auto"/>
            <w:hideMark/>
          </w:tcPr>
          <w:p w14:paraId="1DED7365" w14:textId="77777777" w:rsidR="00133C64" w:rsidRPr="00133C64" w:rsidRDefault="00133C64" w:rsidP="00761EDC">
            <w:pPr>
              <w:spacing w:after="0"/>
              <w:rPr>
                <w:rFonts w:cstheme="minorHAnsi"/>
                <w:sz w:val="24"/>
                <w:szCs w:val="24"/>
              </w:rPr>
            </w:pPr>
            <w:r w:rsidRPr="00133C64">
              <w:rPr>
                <w:rFonts w:cstheme="minorHAnsi"/>
                <w:sz w:val="24"/>
                <w:szCs w:val="24"/>
              </w:rPr>
              <w:t>0.000***</w:t>
            </w:r>
          </w:p>
        </w:tc>
      </w:tr>
    </w:tbl>
    <w:p w14:paraId="3124C277" w14:textId="77777777" w:rsidR="00133C64" w:rsidRPr="00133C64" w:rsidRDefault="00133C64" w:rsidP="00133C64">
      <w:pPr>
        <w:rPr>
          <w:rFonts w:cstheme="minorHAnsi"/>
          <w:sz w:val="24"/>
          <w:szCs w:val="24"/>
        </w:rPr>
      </w:pPr>
      <w:r w:rsidRPr="00133C64">
        <w:rPr>
          <w:rFonts w:cstheme="minorHAnsi"/>
          <w:b/>
          <w:bCs/>
          <w:sz w:val="24"/>
          <w:szCs w:val="24"/>
        </w:rPr>
        <w:t>Notes:</w:t>
      </w:r>
      <w:r w:rsidRPr="00133C64">
        <w:rPr>
          <w:rFonts w:cstheme="minorHAnsi"/>
          <w:sz w:val="24"/>
          <w:szCs w:val="24"/>
        </w:rPr>
        <w:t> This table presents the mean, median, and </w:t>
      </w:r>
      <w:r w:rsidRPr="00133C64">
        <w:rPr>
          <w:rFonts w:cstheme="minorHAnsi"/>
          <w:i/>
          <w:iCs/>
          <w:sz w:val="24"/>
          <w:szCs w:val="24"/>
        </w:rPr>
        <w:t>t</w:t>
      </w:r>
      <w:r w:rsidRPr="00133C64">
        <w:rPr>
          <w:rFonts w:cstheme="minorHAnsi"/>
          <w:sz w:val="24"/>
          <w:szCs w:val="24"/>
        </w:rPr>
        <w:t>-test and Wilcoxon </w:t>
      </w:r>
      <w:r w:rsidRPr="00133C64">
        <w:rPr>
          <w:rFonts w:cstheme="minorHAnsi"/>
          <w:i/>
          <w:iCs/>
          <w:sz w:val="24"/>
          <w:szCs w:val="24"/>
        </w:rPr>
        <w:t>p</w:t>
      </w:r>
      <w:r w:rsidRPr="00133C64">
        <w:rPr>
          <w:rFonts w:cstheme="minorHAnsi"/>
          <w:sz w:val="24"/>
          <w:szCs w:val="24"/>
        </w:rPr>
        <w:t>-values of the compensation received by Marquette University finance graduates in their first year of employment. The data are based on a voluntary exit survey. The sample period goes from 2015 to 2017. For students that did not report bonus compensation, the bonus amount is set to zero. ***Significant at the 1 percent level</w:t>
      </w:r>
    </w:p>
    <w:p w14:paraId="6A452253" w14:textId="77777777" w:rsidR="00133C64" w:rsidRPr="00133C64" w:rsidRDefault="00133C64" w:rsidP="00761EDC">
      <w:pPr>
        <w:pStyle w:val="Heading1"/>
      </w:pPr>
      <w:r w:rsidRPr="00133C64">
        <w:t>Note</w:t>
      </w:r>
    </w:p>
    <w:p w14:paraId="0F20DBDA" w14:textId="4B103B6D" w:rsidR="00133C64" w:rsidRPr="00133C64" w:rsidRDefault="00761EDC" w:rsidP="00133C64">
      <w:pPr>
        <w:rPr>
          <w:rFonts w:cstheme="minorHAnsi"/>
          <w:sz w:val="24"/>
          <w:szCs w:val="24"/>
        </w:rPr>
      </w:pPr>
      <w:r>
        <w:rPr>
          <w:rFonts w:cstheme="minorHAnsi"/>
          <w:sz w:val="24"/>
          <w:szCs w:val="24"/>
        </w:rPr>
        <w:t xml:space="preserve">1. </w:t>
      </w:r>
      <w:r w:rsidR="00133C64" w:rsidRPr="00133C64">
        <w:rPr>
          <w:rFonts w:cstheme="minorHAnsi"/>
          <w:sz w:val="24"/>
          <w:szCs w:val="24"/>
        </w:rPr>
        <w:t>The AIM investment policy statement is available upon request.</w:t>
      </w:r>
    </w:p>
    <w:p w14:paraId="7A9EE6C6" w14:textId="77777777" w:rsidR="00133C64" w:rsidRPr="00133C64" w:rsidRDefault="00133C64" w:rsidP="00761EDC">
      <w:pPr>
        <w:pStyle w:val="Heading1"/>
      </w:pPr>
      <w:r w:rsidRPr="00133C64">
        <w:t>References</w:t>
      </w:r>
    </w:p>
    <w:p w14:paraId="3D083D0E" w14:textId="77777777" w:rsidR="00133C64" w:rsidRPr="00761EDC" w:rsidRDefault="00133C64" w:rsidP="00761EDC">
      <w:pPr>
        <w:pStyle w:val="NoSpacing"/>
        <w:ind w:left="720" w:hanging="720"/>
        <w:rPr>
          <w:sz w:val="24"/>
          <w:szCs w:val="24"/>
        </w:rPr>
      </w:pPr>
      <w:r w:rsidRPr="00761EDC">
        <w:rPr>
          <w:sz w:val="24"/>
          <w:szCs w:val="24"/>
        </w:rPr>
        <w:t>Ammerman, P.A., Runyon, L.R. and </w:t>
      </w:r>
      <w:proofErr w:type="spellStart"/>
      <w:r w:rsidRPr="00761EDC">
        <w:rPr>
          <w:sz w:val="24"/>
          <w:szCs w:val="24"/>
        </w:rPr>
        <w:t>Conceicao</w:t>
      </w:r>
      <w:proofErr w:type="spellEnd"/>
      <w:r w:rsidRPr="00761EDC">
        <w:rPr>
          <w:sz w:val="24"/>
          <w:szCs w:val="24"/>
        </w:rPr>
        <w:t>, R. (2011), “</w:t>
      </w:r>
      <w:r w:rsidRPr="00761EDC">
        <w:rPr>
          <w:i/>
          <w:iCs/>
          <w:sz w:val="24"/>
          <w:szCs w:val="24"/>
        </w:rPr>
        <w:t>A new quantitative approach for the management of a student-managed investment fund</w:t>
      </w:r>
      <w:r w:rsidRPr="00761EDC">
        <w:rPr>
          <w:sz w:val="24"/>
          <w:szCs w:val="24"/>
        </w:rPr>
        <w:t>”, Managerial Finance, Vol. 37 No. 7, pp. 624-635.</w:t>
      </w:r>
    </w:p>
    <w:p w14:paraId="001B1722" w14:textId="77777777" w:rsidR="00133C64" w:rsidRPr="00761EDC" w:rsidRDefault="00133C64" w:rsidP="00761EDC">
      <w:pPr>
        <w:pStyle w:val="NoSpacing"/>
        <w:ind w:left="720" w:hanging="720"/>
        <w:rPr>
          <w:sz w:val="24"/>
          <w:szCs w:val="24"/>
        </w:rPr>
      </w:pPr>
      <w:r w:rsidRPr="00761EDC">
        <w:rPr>
          <w:sz w:val="24"/>
          <w:szCs w:val="24"/>
        </w:rPr>
        <w:t>Charlton, W.T. Jr, Earl, J. </w:t>
      </w:r>
      <w:proofErr w:type="gramStart"/>
      <w:r w:rsidRPr="00761EDC">
        <w:rPr>
          <w:sz w:val="24"/>
          <w:szCs w:val="24"/>
        </w:rPr>
        <w:t>II</w:t>
      </w:r>
      <w:proofErr w:type="gramEnd"/>
      <w:r w:rsidRPr="00761EDC">
        <w:rPr>
          <w:sz w:val="24"/>
          <w:szCs w:val="24"/>
        </w:rPr>
        <w:t> and Stevens, J.J. (2015), “</w:t>
      </w:r>
      <w:r w:rsidRPr="00761EDC">
        <w:rPr>
          <w:i/>
          <w:iCs/>
          <w:sz w:val="24"/>
          <w:szCs w:val="24"/>
        </w:rPr>
        <w:t>Expanding management in student managed investment funds</w:t>
      </w:r>
      <w:r w:rsidRPr="00761EDC">
        <w:rPr>
          <w:sz w:val="24"/>
          <w:szCs w:val="24"/>
        </w:rPr>
        <w:t>”, Journal of Financial Education, Vol. 41 No. 2, pp. 1-23.</w:t>
      </w:r>
    </w:p>
    <w:p w14:paraId="2A532D0C" w14:textId="77777777" w:rsidR="00133C64" w:rsidRPr="00761EDC" w:rsidRDefault="00133C64" w:rsidP="00761EDC">
      <w:pPr>
        <w:pStyle w:val="NoSpacing"/>
        <w:ind w:left="720" w:hanging="720"/>
        <w:rPr>
          <w:sz w:val="24"/>
          <w:szCs w:val="24"/>
        </w:rPr>
      </w:pPr>
      <w:r w:rsidRPr="00761EDC">
        <w:rPr>
          <w:sz w:val="24"/>
          <w:szCs w:val="24"/>
        </w:rPr>
        <w:t>Clark, J. and White, G.W. (2010), “</w:t>
      </w:r>
      <w:r w:rsidRPr="00761EDC">
        <w:rPr>
          <w:i/>
          <w:iCs/>
          <w:sz w:val="24"/>
          <w:szCs w:val="24"/>
        </w:rPr>
        <w:t>Experiential learning: a definitive edge in the job market</w:t>
      </w:r>
      <w:r w:rsidRPr="00761EDC">
        <w:rPr>
          <w:sz w:val="24"/>
          <w:szCs w:val="24"/>
        </w:rPr>
        <w:t>”, American Journal of Business Education, Vol. 3 No. 2, pp. 115-118.</w:t>
      </w:r>
    </w:p>
    <w:p w14:paraId="53F3F9F4" w14:textId="77777777" w:rsidR="00133C64" w:rsidRPr="00761EDC" w:rsidRDefault="00133C64" w:rsidP="00761EDC">
      <w:pPr>
        <w:pStyle w:val="NoSpacing"/>
        <w:ind w:left="720" w:hanging="720"/>
        <w:rPr>
          <w:sz w:val="24"/>
          <w:szCs w:val="24"/>
        </w:rPr>
      </w:pPr>
      <w:proofErr w:type="spellStart"/>
      <w:r w:rsidRPr="00761EDC">
        <w:rPr>
          <w:sz w:val="24"/>
          <w:szCs w:val="24"/>
        </w:rPr>
        <w:t>Clinebell</w:t>
      </w:r>
      <w:proofErr w:type="spellEnd"/>
      <w:r w:rsidRPr="00761EDC">
        <w:rPr>
          <w:sz w:val="24"/>
          <w:szCs w:val="24"/>
        </w:rPr>
        <w:t>, J. and Murphy, J. (2016), “</w:t>
      </w:r>
      <w:r w:rsidRPr="00761EDC">
        <w:rPr>
          <w:i/>
          <w:iCs/>
          <w:sz w:val="24"/>
          <w:szCs w:val="24"/>
        </w:rPr>
        <w:t>Student managed investment funds: the perspectives of alumni</w:t>
      </w:r>
      <w:r w:rsidRPr="00761EDC">
        <w:rPr>
          <w:sz w:val="24"/>
          <w:szCs w:val="24"/>
        </w:rPr>
        <w:t>”, Journal of Financial Education, Vol. 42 Nos 3-4, pp. 304-312.</w:t>
      </w:r>
    </w:p>
    <w:p w14:paraId="51C8F0A3" w14:textId="77777777" w:rsidR="00133C64" w:rsidRPr="00761EDC" w:rsidRDefault="00133C64" w:rsidP="00761EDC">
      <w:pPr>
        <w:pStyle w:val="NoSpacing"/>
        <w:ind w:left="720" w:hanging="720"/>
        <w:rPr>
          <w:sz w:val="24"/>
          <w:szCs w:val="24"/>
        </w:rPr>
      </w:pPr>
      <w:proofErr w:type="spellStart"/>
      <w:r w:rsidRPr="00761EDC">
        <w:rPr>
          <w:sz w:val="24"/>
          <w:szCs w:val="24"/>
        </w:rPr>
        <w:t>Dewally</w:t>
      </w:r>
      <w:proofErr w:type="spellEnd"/>
      <w:r w:rsidRPr="00761EDC">
        <w:rPr>
          <w:sz w:val="24"/>
          <w:szCs w:val="24"/>
        </w:rPr>
        <w:t>, M. and Krause, D.S. (2009), “</w:t>
      </w:r>
      <w:r w:rsidRPr="00761EDC">
        <w:rPr>
          <w:i/>
          <w:iCs/>
          <w:sz w:val="24"/>
          <w:szCs w:val="24"/>
        </w:rPr>
        <w:t>The establishment of a student managed investment club utilizing exchange traded funds</w:t>
      </w:r>
      <w:r w:rsidRPr="00761EDC">
        <w:rPr>
          <w:sz w:val="24"/>
          <w:szCs w:val="24"/>
        </w:rPr>
        <w:t>”, Journal of the Academy of Business Education, Vol. 10 No. 1, pp. 132-145.</w:t>
      </w:r>
    </w:p>
    <w:p w14:paraId="24C485BE" w14:textId="77777777" w:rsidR="00133C64" w:rsidRPr="00761EDC" w:rsidRDefault="00133C64" w:rsidP="00761EDC">
      <w:pPr>
        <w:pStyle w:val="NoSpacing"/>
        <w:ind w:left="720" w:hanging="720"/>
        <w:rPr>
          <w:sz w:val="24"/>
          <w:szCs w:val="24"/>
        </w:rPr>
      </w:pPr>
      <w:r w:rsidRPr="00761EDC">
        <w:rPr>
          <w:sz w:val="24"/>
          <w:szCs w:val="24"/>
        </w:rPr>
        <w:t>Dewey, J. (1938), Experience and Education, Collier Books, New York, NY.</w:t>
      </w:r>
    </w:p>
    <w:p w14:paraId="224B8C69" w14:textId="77777777" w:rsidR="00133C64" w:rsidRPr="00761EDC" w:rsidRDefault="00133C64" w:rsidP="00761EDC">
      <w:pPr>
        <w:pStyle w:val="NoSpacing"/>
        <w:ind w:left="720" w:hanging="720"/>
        <w:rPr>
          <w:sz w:val="24"/>
          <w:szCs w:val="24"/>
        </w:rPr>
      </w:pPr>
      <w:r w:rsidRPr="00761EDC">
        <w:rPr>
          <w:sz w:val="24"/>
          <w:szCs w:val="24"/>
        </w:rPr>
        <w:t>Dolan, R.C. and Stevens, J.L. (2010), “</w:t>
      </w:r>
      <w:r w:rsidRPr="00761EDC">
        <w:rPr>
          <w:i/>
          <w:iCs/>
          <w:sz w:val="24"/>
          <w:szCs w:val="24"/>
        </w:rPr>
        <w:t>Experiential learning for undergraduates in economics and finance: a true top-down investment fund</w:t>
      </w:r>
      <w:r w:rsidRPr="00761EDC">
        <w:rPr>
          <w:sz w:val="24"/>
          <w:szCs w:val="24"/>
        </w:rPr>
        <w:t>”, Journal of Financial Education, Vol. 3 Nos 1-2, pp. 120-136.</w:t>
      </w:r>
    </w:p>
    <w:p w14:paraId="47566F70" w14:textId="77777777" w:rsidR="00133C64" w:rsidRPr="00761EDC" w:rsidRDefault="00133C64" w:rsidP="00761EDC">
      <w:pPr>
        <w:pStyle w:val="NoSpacing"/>
        <w:ind w:left="720" w:hanging="720"/>
        <w:rPr>
          <w:sz w:val="24"/>
          <w:szCs w:val="24"/>
        </w:rPr>
      </w:pPr>
      <w:proofErr w:type="spellStart"/>
      <w:r w:rsidRPr="00761EDC">
        <w:rPr>
          <w:sz w:val="24"/>
          <w:szCs w:val="24"/>
        </w:rPr>
        <w:t>Knouse</w:t>
      </w:r>
      <w:proofErr w:type="spellEnd"/>
      <w:r w:rsidRPr="00761EDC">
        <w:rPr>
          <w:sz w:val="24"/>
          <w:szCs w:val="24"/>
        </w:rPr>
        <w:t>, S.B. and Fontenot, G. (2011), “</w:t>
      </w:r>
      <w:r w:rsidRPr="00761EDC">
        <w:rPr>
          <w:i/>
          <w:iCs/>
          <w:sz w:val="24"/>
          <w:szCs w:val="24"/>
        </w:rPr>
        <w:t>Benefits of the business college internship: a research review</w:t>
      </w:r>
      <w:r w:rsidRPr="00761EDC">
        <w:rPr>
          <w:sz w:val="24"/>
          <w:szCs w:val="24"/>
        </w:rPr>
        <w:t>”, Journal of Employment Counseling, Vol. 45 No. 2, pp. 61-66.</w:t>
      </w:r>
    </w:p>
    <w:p w14:paraId="59FDE69D" w14:textId="77777777" w:rsidR="00133C64" w:rsidRPr="00761EDC" w:rsidRDefault="00133C64" w:rsidP="00761EDC">
      <w:pPr>
        <w:pStyle w:val="NoSpacing"/>
        <w:ind w:left="720" w:hanging="720"/>
        <w:rPr>
          <w:sz w:val="24"/>
          <w:szCs w:val="24"/>
        </w:rPr>
      </w:pPr>
      <w:r w:rsidRPr="00761EDC">
        <w:rPr>
          <w:sz w:val="24"/>
          <w:szCs w:val="24"/>
        </w:rPr>
        <w:t>Lamb, R., </w:t>
      </w:r>
      <w:proofErr w:type="spellStart"/>
      <w:r w:rsidRPr="00761EDC">
        <w:rPr>
          <w:sz w:val="24"/>
          <w:szCs w:val="24"/>
        </w:rPr>
        <w:t>Schnusenberg</w:t>
      </w:r>
      <w:proofErr w:type="spellEnd"/>
      <w:r w:rsidRPr="00761EDC">
        <w:rPr>
          <w:sz w:val="24"/>
          <w:szCs w:val="24"/>
        </w:rPr>
        <w:t>, O. and Italia, S. (2015), “</w:t>
      </w:r>
      <w:r w:rsidRPr="00761EDC">
        <w:rPr>
          <w:i/>
          <w:iCs/>
          <w:sz w:val="24"/>
          <w:szCs w:val="24"/>
        </w:rPr>
        <w:t>Combining theory and application: rethinking finance education</w:t>
      </w:r>
      <w:r w:rsidRPr="00761EDC">
        <w:rPr>
          <w:sz w:val="24"/>
          <w:szCs w:val="24"/>
        </w:rPr>
        <w:t>”, Review of Contemporary Business Research, Vol. 4 No. 1, pp. 1-14.</w:t>
      </w:r>
    </w:p>
    <w:p w14:paraId="7C850773" w14:textId="77777777" w:rsidR="00133C64" w:rsidRPr="00761EDC" w:rsidRDefault="00133C64" w:rsidP="00761EDC">
      <w:pPr>
        <w:pStyle w:val="NoSpacing"/>
        <w:ind w:left="720" w:hanging="720"/>
        <w:rPr>
          <w:sz w:val="24"/>
          <w:szCs w:val="24"/>
        </w:rPr>
      </w:pPr>
      <w:r w:rsidRPr="00761EDC">
        <w:rPr>
          <w:sz w:val="24"/>
          <w:szCs w:val="24"/>
        </w:rPr>
        <w:t>Lawrence, E.C. (2008), “</w:t>
      </w:r>
      <w:r w:rsidRPr="00761EDC">
        <w:rPr>
          <w:i/>
          <w:iCs/>
          <w:sz w:val="24"/>
          <w:szCs w:val="24"/>
        </w:rPr>
        <w:t>Financial innovation: the case of student investment funds at United States universities</w:t>
      </w:r>
      <w:r w:rsidRPr="00761EDC">
        <w:rPr>
          <w:sz w:val="24"/>
          <w:szCs w:val="24"/>
        </w:rPr>
        <w:t>”, Financial Practice and Education, Vol. 4 No. 1, pp. 47-53.</w:t>
      </w:r>
    </w:p>
    <w:p w14:paraId="167BAEA1" w14:textId="77777777" w:rsidR="00133C64" w:rsidRPr="00761EDC" w:rsidRDefault="00133C64" w:rsidP="00761EDC">
      <w:pPr>
        <w:pStyle w:val="NoSpacing"/>
        <w:ind w:left="720" w:hanging="720"/>
        <w:rPr>
          <w:sz w:val="24"/>
          <w:szCs w:val="24"/>
        </w:rPr>
      </w:pPr>
      <w:r w:rsidRPr="00761EDC">
        <w:rPr>
          <w:sz w:val="24"/>
          <w:szCs w:val="24"/>
        </w:rPr>
        <w:t>McCarthy, M. (2010), “</w:t>
      </w:r>
      <w:r w:rsidRPr="00761EDC">
        <w:rPr>
          <w:i/>
          <w:iCs/>
          <w:sz w:val="24"/>
          <w:szCs w:val="24"/>
        </w:rPr>
        <w:t>Experiential learning theory: from theory to practice</w:t>
      </w:r>
      <w:r w:rsidRPr="00761EDC">
        <w:rPr>
          <w:sz w:val="24"/>
          <w:szCs w:val="24"/>
        </w:rPr>
        <w:t>”, Journal of Business and Economics Research, Vol. 14 No. 3, pp. 91-100.</w:t>
      </w:r>
    </w:p>
    <w:p w14:paraId="21E7270A" w14:textId="77777777" w:rsidR="00133C64" w:rsidRPr="00761EDC" w:rsidRDefault="00133C64" w:rsidP="00761EDC">
      <w:pPr>
        <w:pStyle w:val="NoSpacing"/>
        <w:ind w:left="720" w:hanging="720"/>
        <w:rPr>
          <w:sz w:val="24"/>
          <w:szCs w:val="24"/>
        </w:rPr>
      </w:pPr>
      <w:r w:rsidRPr="00761EDC">
        <w:rPr>
          <w:sz w:val="24"/>
          <w:szCs w:val="24"/>
        </w:rPr>
        <w:t>Neely, W. and Cooley, P. (2004), “</w:t>
      </w:r>
      <w:r w:rsidRPr="00761EDC">
        <w:rPr>
          <w:i/>
          <w:iCs/>
          <w:sz w:val="24"/>
          <w:szCs w:val="24"/>
        </w:rPr>
        <w:t>A survey of student managed funds</w:t>
      </w:r>
      <w:r w:rsidRPr="00761EDC">
        <w:rPr>
          <w:sz w:val="24"/>
          <w:szCs w:val="24"/>
        </w:rPr>
        <w:t>”, Advances in Financial Education, Vol. 2 No. 1, pp. 1-9.</w:t>
      </w:r>
    </w:p>
    <w:sectPr w:rsidR="00133C64" w:rsidRPr="00761EDC"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21D93"/>
    <w:multiLevelType w:val="multilevel"/>
    <w:tmpl w:val="73865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FC769D"/>
    <w:multiLevelType w:val="hybridMultilevel"/>
    <w:tmpl w:val="33B075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9C1FDD"/>
    <w:multiLevelType w:val="multilevel"/>
    <w:tmpl w:val="4D1E0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F231B35"/>
    <w:multiLevelType w:val="multilevel"/>
    <w:tmpl w:val="09069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6"/>
  </w:num>
  <w:num w:numId="3" w16cid:durableId="962153638">
    <w:abstractNumId w:val="4"/>
  </w:num>
  <w:num w:numId="4" w16cid:durableId="1501696311">
    <w:abstractNumId w:val="5"/>
  </w:num>
  <w:num w:numId="5" w16cid:durableId="813255963">
    <w:abstractNumId w:val="3"/>
  </w:num>
  <w:num w:numId="6" w16cid:durableId="1084456287">
    <w:abstractNumId w:val="0"/>
  </w:num>
  <w:num w:numId="7" w16cid:durableId="12370830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qegfD8pX7CQrhk6SUJUI37xPVgIrdBXplWpeitafGZ9BkeFWUud33KQTnTvEbX24EAr9j4fxdP0d097IoJgN1A==" w:salt="mq67DFIX/BLxcP64JoKtg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38E8"/>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3C64"/>
    <w:rsid w:val="00134CF7"/>
    <w:rsid w:val="0014182B"/>
    <w:rsid w:val="0014490B"/>
    <w:rsid w:val="00146A5C"/>
    <w:rsid w:val="00146E50"/>
    <w:rsid w:val="00150DB6"/>
    <w:rsid w:val="0015295B"/>
    <w:rsid w:val="001539AE"/>
    <w:rsid w:val="00154AF2"/>
    <w:rsid w:val="00154D34"/>
    <w:rsid w:val="00160E1F"/>
    <w:rsid w:val="00161372"/>
    <w:rsid w:val="001622DB"/>
    <w:rsid w:val="00163F71"/>
    <w:rsid w:val="00173556"/>
    <w:rsid w:val="001736E9"/>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1F8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04E"/>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4566"/>
    <w:rsid w:val="006A533C"/>
    <w:rsid w:val="006A5E52"/>
    <w:rsid w:val="006A712D"/>
    <w:rsid w:val="006A7B71"/>
    <w:rsid w:val="006B20FD"/>
    <w:rsid w:val="006B3B2B"/>
    <w:rsid w:val="006C024E"/>
    <w:rsid w:val="006C44DB"/>
    <w:rsid w:val="006C7ED1"/>
    <w:rsid w:val="006D2367"/>
    <w:rsid w:val="006D75E1"/>
    <w:rsid w:val="006D7670"/>
    <w:rsid w:val="006E10F4"/>
    <w:rsid w:val="006E10FD"/>
    <w:rsid w:val="006E2996"/>
    <w:rsid w:val="006E2EEC"/>
    <w:rsid w:val="006E471E"/>
    <w:rsid w:val="006E4859"/>
    <w:rsid w:val="006F24E3"/>
    <w:rsid w:val="006F392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1EDC"/>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4AD"/>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0794"/>
    <w:rsid w:val="00A915ED"/>
    <w:rsid w:val="00A91CF2"/>
    <w:rsid w:val="00A93BA4"/>
    <w:rsid w:val="00A9416E"/>
    <w:rsid w:val="00A9619A"/>
    <w:rsid w:val="00AA432C"/>
    <w:rsid w:val="00AA493D"/>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A76F6"/>
    <w:rsid w:val="00CB06D2"/>
    <w:rsid w:val="00CB10E9"/>
    <w:rsid w:val="00CB11D6"/>
    <w:rsid w:val="00CB5475"/>
    <w:rsid w:val="00CB665E"/>
    <w:rsid w:val="00CB6E09"/>
    <w:rsid w:val="00CC09A7"/>
    <w:rsid w:val="00CC0FD9"/>
    <w:rsid w:val="00CC1F8F"/>
    <w:rsid w:val="00CD139B"/>
    <w:rsid w:val="00CD5E59"/>
    <w:rsid w:val="00CD7831"/>
    <w:rsid w:val="00CE05D4"/>
    <w:rsid w:val="00CE46C0"/>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169"/>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314202">
      <w:bodyDiv w:val="1"/>
      <w:marLeft w:val="0"/>
      <w:marRight w:val="0"/>
      <w:marTop w:val="0"/>
      <w:marBottom w:val="0"/>
      <w:divBdr>
        <w:top w:val="none" w:sz="0" w:space="0" w:color="auto"/>
        <w:left w:val="none" w:sz="0" w:space="0" w:color="auto"/>
        <w:bottom w:val="none" w:sz="0" w:space="0" w:color="auto"/>
        <w:right w:val="none" w:sz="0" w:space="0" w:color="auto"/>
      </w:divBdr>
      <w:divsChild>
        <w:div w:id="2042704077">
          <w:marLeft w:val="-225"/>
          <w:marRight w:val="-225"/>
          <w:marTop w:val="0"/>
          <w:marBottom w:val="0"/>
          <w:divBdr>
            <w:top w:val="none" w:sz="0" w:space="0" w:color="auto"/>
            <w:left w:val="none" w:sz="0" w:space="0" w:color="auto"/>
            <w:bottom w:val="none" w:sz="0" w:space="0" w:color="auto"/>
            <w:right w:val="none" w:sz="0" w:space="0" w:color="auto"/>
          </w:divBdr>
          <w:divsChild>
            <w:div w:id="998652982">
              <w:marLeft w:val="0"/>
              <w:marRight w:val="0"/>
              <w:marTop w:val="0"/>
              <w:marBottom w:val="0"/>
              <w:divBdr>
                <w:top w:val="none" w:sz="0" w:space="0" w:color="auto"/>
                <w:left w:val="none" w:sz="0" w:space="0" w:color="auto"/>
                <w:bottom w:val="none" w:sz="0" w:space="0" w:color="auto"/>
                <w:right w:val="none" w:sz="0" w:space="0" w:color="auto"/>
              </w:divBdr>
              <w:divsChild>
                <w:div w:id="2025940232">
                  <w:marLeft w:val="-225"/>
                  <w:marRight w:val="-225"/>
                  <w:marTop w:val="0"/>
                  <w:marBottom w:val="0"/>
                  <w:divBdr>
                    <w:top w:val="none" w:sz="0" w:space="0" w:color="auto"/>
                    <w:left w:val="none" w:sz="0" w:space="0" w:color="auto"/>
                    <w:bottom w:val="none" w:sz="0" w:space="0" w:color="auto"/>
                    <w:right w:val="none" w:sz="0" w:space="0" w:color="auto"/>
                  </w:divBdr>
                  <w:divsChild>
                    <w:div w:id="1080296448">
                      <w:marLeft w:val="0"/>
                      <w:marRight w:val="0"/>
                      <w:marTop w:val="0"/>
                      <w:marBottom w:val="0"/>
                      <w:divBdr>
                        <w:top w:val="none" w:sz="0" w:space="0" w:color="auto"/>
                        <w:left w:val="none" w:sz="0" w:space="0" w:color="auto"/>
                        <w:bottom w:val="none" w:sz="0" w:space="0" w:color="auto"/>
                        <w:right w:val="none" w:sz="0" w:space="0" w:color="auto"/>
                      </w:divBdr>
                    </w:div>
                  </w:divsChild>
                </w:div>
                <w:div w:id="37828240">
                  <w:marLeft w:val="-225"/>
                  <w:marRight w:val="-225"/>
                  <w:marTop w:val="0"/>
                  <w:marBottom w:val="0"/>
                  <w:divBdr>
                    <w:top w:val="none" w:sz="0" w:space="0" w:color="auto"/>
                    <w:left w:val="none" w:sz="0" w:space="0" w:color="auto"/>
                    <w:bottom w:val="none" w:sz="0" w:space="0" w:color="auto"/>
                    <w:right w:val="none" w:sz="0" w:space="0" w:color="auto"/>
                  </w:divBdr>
                  <w:divsChild>
                    <w:div w:id="192116814">
                      <w:marLeft w:val="0"/>
                      <w:marRight w:val="0"/>
                      <w:marTop w:val="0"/>
                      <w:marBottom w:val="0"/>
                      <w:divBdr>
                        <w:top w:val="none" w:sz="0" w:space="0" w:color="auto"/>
                        <w:left w:val="none" w:sz="0" w:space="0" w:color="auto"/>
                        <w:bottom w:val="none" w:sz="0" w:space="0" w:color="auto"/>
                        <w:right w:val="none" w:sz="0" w:space="0" w:color="auto"/>
                      </w:divBdr>
                    </w:div>
                    <w:div w:id="1157039184">
                      <w:marLeft w:val="0"/>
                      <w:marRight w:val="0"/>
                      <w:marTop w:val="0"/>
                      <w:marBottom w:val="0"/>
                      <w:divBdr>
                        <w:top w:val="none" w:sz="0" w:space="0" w:color="auto"/>
                        <w:left w:val="none" w:sz="0" w:space="0" w:color="auto"/>
                        <w:bottom w:val="none" w:sz="0" w:space="0" w:color="auto"/>
                        <w:right w:val="none" w:sz="0" w:space="0" w:color="auto"/>
                      </w:divBdr>
                      <w:divsChild>
                        <w:div w:id="1849784096">
                          <w:marLeft w:val="0"/>
                          <w:marRight w:val="0"/>
                          <w:marTop w:val="0"/>
                          <w:marBottom w:val="0"/>
                          <w:divBdr>
                            <w:top w:val="none" w:sz="0" w:space="0" w:color="auto"/>
                            <w:left w:val="none" w:sz="0" w:space="0" w:color="auto"/>
                            <w:bottom w:val="none" w:sz="0" w:space="0" w:color="auto"/>
                            <w:right w:val="none" w:sz="0" w:space="0" w:color="auto"/>
                          </w:divBdr>
                          <w:divsChild>
                            <w:div w:id="5324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780414">
          <w:marLeft w:val="0"/>
          <w:marRight w:val="0"/>
          <w:marTop w:val="0"/>
          <w:marBottom w:val="0"/>
          <w:divBdr>
            <w:top w:val="single" w:sz="6" w:space="0" w:color="CECECE"/>
            <w:left w:val="none" w:sz="0" w:space="0" w:color="auto"/>
            <w:bottom w:val="single" w:sz="6" w:space="0" w:color="CECECE"/>
            <w:right w:val="none" w:sz="0" w:space="0" w:color="auto"/>
          </w:divBdr>
          <w:divsChild>
            <w:div w:id="160239665">
              <w:marLeft w:val="0"/>
              <w:marRight w:val="0"/>
              <w:marTop w:val="0"/>
              <w:marBottom w:val="0"/>
              <w:divBdr>
                <w:top w:val="none" w:sz="0" w:space="0" w:color="auto"/>
                <w:left w:val="none" w:sz="0" w:space="0" w:color="auto"/>
                <w:bottom w:val="none" w:sz="0" w:space="0" w:color="auto"/>
                <w:right w:val="none" w:sz="0" w:space="0" w:color="auto"/>
              </w:divBdr>
              <w:divsChild>
                <w:div w:id="1216283448">
                  <w:marLeft w:val="-225"/>
                  <w:marRight w:val="-225"/>
                  <w:marTop w:val="0"/>
                  <w:marBottom w:val="0"/>
                  <w:divBdr>
                    <w:top w:val="none" w:sz="0" w:space="0" w:color="auto"/>
                    <w:left w:val="none" w:sz="0" w:space="0" w:color="auto"/>
                    <w:bottom w:val="none" w:sz="0" w:space="0" w:color="auto"/>
                    <w:right w:val="none" w:sz="0" w:space="0" w:color="auto"/>
                  </w:divBdr>
                  <w:divsChild>
                    <w:div w:id="1323847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292450">
          <w:marLeft w:val="-225"/>
          <w:marRight w:val="-225"/>
          <w:marTop w:val="0"/>
          <w:marBottom w:val="0"/>
          <w:divBdr>
            <w:top w:val="none" w:sz="0" w:space="0" w:color="auto"/>
            <w:left w:val="none" w:sz="0" w:space="0" w:color="auto"/>
            <w:bottom w:val="none" w:sz="0" w:space="0" w:color="auto"/>
            <w:right w:val="none" w:sz="0" w:space="0" w:color="auto"/>
          </w:divBdr>
          <w:divsChild>
            <w:div w:id="126360826">
              <w:marLeft w:val="0"/>
              <w:marRight w:val="0"/>
              <w:marTop w:val="0"/>
              <w:marBottom w:val="0"/>
              <w:divBdr>
                <w:top w:val="none" w:sz="0" w:space="0" w:color="auto"/>
                <w:left w:val="none" w:sz="0" w:space="0" w:color="auto"/>
                <w:bottom w:val="none" w:sz="0" w:space="0" w:color="auto"/>
                <w:right w:val="none" w:sz="0" w:space="0" w:color="auto"/>
              </w:divBdr>
              <w:divsChild>
                <w:div w:id="2051548">
                  <w:marLeft w:val="0"/>
                  <w:marRight w:val="0"/>
                  <w:marTop w:val="0"/>
                  <w:marBottom w:val="0"/>
                  <w:divBdr>
                    <w:top w:val="none" w:sz="0" w:space="0" w:color="auto"/>
                    <w:left w:val="none" w:sz="0" w:space="0" w:color="auto"/>
                    <w:bottom w:val="none" w:sz="0" w:space="0" w:color="auto"/>
                    <w:right w:val="none" w:sz="0" w:space="0" w:color="auto"/>
                  </w:divBdr>
                  <w:divsChild>
                    <w:div w:id="1723023544">
                      <w:marLeft w:val="0"/>
                      <w:marRight w:val="0"/>
                      <w:marTop w:val="0"/>
                      <w:marBottom w:val="0"/>
                      <w:divBdr>
                        <w:top w:val="none" w:sz="0" w:space="0" w:color="auto"/>
                        <w:left w:val="none" w:sz="0" w:space="0" w:color="auto"/>
                        <w:bottom w:val="none" w:sz="0" w:space="0" w:color="auto"/>
                        <w:right w:val="none" w:sz="0" w:space="0" w:color="auto"/>
                      </w:divBdr>
                      <w:divsChild>
                        <w:div w:id="501358226">
                          <w:marLeft w:val="0"/>
                          <w:marRight w:val="0"/>
                          <w:marTop w:val="0"/>
                          <w:marBottom w:val="0"/>
                          <w:divBdr>
                            <w:top w:val="none" w:sz="0" w:space="0" w:color="auto"/>
                            <w:left w:val="none" w:sz="0" w:space="0" w:color="auto"/>
                            <w:bottom w:val="none" w:sz="0" w:space="0" w:color="auto"/>
                            <w:right w:val="none" w:sz="0" w:space="0" w:color="auto"/>
                          </w:divBdr>
                          <w:divsChild>
                            <w:div w:id="166758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759930">
              <w:marLeft w:val="0"/>
              <w:marRight w:val="0"/>
              <w:marTop w:val="0"/>
              <w:marBottom w:val="0"/>
              <w:divBdr>
                <w:top w:val="none" w:sz="0" w:space="0" w:color="auto"/>
                <w:left w:val="none" w:sz="0" w:space="0" w:color="auto"/>
                <w:bottom w:val="none" w:sz="0" w:space="0" w:color="auto"/>
                <w:right w:val="none" w:sz="0" w:space="0" w:color="auto"/>
              </w:divBdr>
              <w:divsChild>
                <w:div w:id="2095929683">
                  <w:marLeft w:val="0"/>
                  <w:marRight w:val="0"/>
                  <w:marTop w:val="0"/>
                  <w:marBottom w:val="0"/>
                  <w:divBdr>
                    <w:top w:val="none" w:sz="0" w:space="0" w:color="auto"/>
                    <w:left w:val="none" w:sz="0" w:space="0" w:color="auto"/>
                    <w:bottom w:val="none" w:sz="0" w:space="0" w:color="auto"/>
                    <w:right w:val="none" w:sz="0" w:space="0" w:color="auto"/>
                  </w:divBdr>
                  <w:divsChild>
                    <w:div w:id="57825616">
                      <w:marLeft w:val="0"/>
                      <w:marRight w:val="0"/>
                      <w:marTop w:val="0"/>
                      <w:marBottom w:val="0"/>
                      <w:divBdr>
                        <w:top w:val="none" w:sz="0" w:space="0" w:color="auto"/>
                        <w:left w:val="none" w:sz="0" w:space="0" w:color="auto"/>
                        <w:bottom w:val="none" w:sz="0" w:space="0" w:color="auto"/>
                        <w:right w:val="none" w:sz="0" w:space="0" w:color="auto"/>
                      </w:divBdr>
                      <w:divsChild>
                        <w:div w:id="576325757">
                          <w:marLeft w:val="0"/>
                          <w:marRight w:val="0"/>
                          <w:marTop w:val="0"/>
                          <w:marBottom w:val="0"/>
                          <w:divBdr>
                            <w:top w:val="none" w:sz="0" w:space="0" w:color="auto"/>
                            <w:left w:val="none" w:sz="0" w:space="0" w:color="auto"/>
                            <w:bottom w:val="none" w:sz="0" w:space="0" w:color="auto"/>
                            <w:right w:val="none" w:sz="0" w:space="0" w:color="auto"/>
                          </w:divBdr>
                        </w:div>
                        <w:div w:id="469859702">
                          <w:marLeft w:val="0"/>
                          <w:marRight w:val="0"/>
                          <w:marTop w:val="0"/>
                          <w:marBottom w:val="0"/>
                          <w:divBdr>
                            <w:top w:val="none" w:sz="0" w:space="0" w:color="auto"/>
                            <w:left w:val="none" w:sz="0" w:space="0" w:color="auto"/>
                            <w:bottom w:val="none" w:sz="0" w:space="0" w:color="auto"/>
                            <w:right w:val="none" w:sz="0" w:space="0" w:color="auto"/>
                          </w:divBdr>
                        </w:div>
                        <w:div w:id="1189220460">
                          <w:marLeft w:val="0"/>
                          <w:marRight w:val="0"/>
                          <w:marTop w:val="0"/>
                          <w:marBottom w:val="0"/>
                          <w:divBdr>
                            <w:top w:val="none" w:sz="0" w:space="0" w:color="auto"/>
                            <w:left w:val="none" w:sz="0" w:space="0" w:color="auto"/>
                            <w:bottom w:val="none" w:sz="0" w:space="0" w:color="auto"/>
                            <w:right w:val="none" w:sz="0" w:space="0" w:color="auto"/>
                          </w:divBdr>
                        </w:div>
                        <w:div w:id="163669922">
                          <w:marLeft w:val="0"/>
                          <w:marRight w:val="0"/>
                          <w:marTop w:val="0"/>
                          <w:marBottom w:val="0"/>
                          <w:divBdr>
                            <w:top w:val="none" w:sz="0" w:space="0" w:color="auto"/>
                            <w:left w:val="none" w:sz="0" w:space="0" w:color="auto"/>
                            <w:bottom w:val="none" w:sz="0" w:space="0" w:color="auto"/>
                            <w:right w:val="none" w:sz="0" w:space="0" w:color="auto"/>
                          </w:divBdr>
                        </w:div>
                        <w:div w:id="453135846">
                          <w:marLeft w:val="0"/>
                          <w:marRight w:val="0"/>
                          <w:marTop w:val="0"/>
                          <w:marBottom w:val="0"/>
                          <w:divBdr>
                            <w:top w:val="none" w:sz="0" w:space="0" w:color="auto"/>
                            <w:left w:val="none" w:sz="0" w:space="0" w:color="auto"/>
                            <w:bottom w:val="none" w:sz="0" w:space="0" w:color="auto"/>
                            <w:right w:val="none" w:sz="0" w:space="0" w:color="auto"/>
                          </w:divBdr>
                          <w:divsChild>
                            <w:div w:id="19471806">
                              <w:marLeft w:val="0"/>
                              <w:marRight w:val="0"/>
                              <w:marTop w:val="0"/>
                              <w:marBottom w:val="0"/>
                              <w:divBdr>
                                <w:top w:val="none" w:sz="0" w:space="0" w:color="auto"/>
                                <w:left w:val="none" w:sz="0" w:space="0" w:color="auto"/>
                                <w:bottom w:val="none" w:sz="0" w:space="0" w:color="auto"/>
                                <w:right w:val="none" w:sz="0" w:space="0" w:color="auto"/>
                              </w:divBdr>
                            </w:div>
                          </w:divsChild>
                        </w:div>
                        <w:div w:id="1946234136">
                          <w:marLeft w:val="0"/>
                          <w:marRight w:val="0"/>
                          <w:marTop w:val="0"/>
                          <w:marBottom w:val="0"/>
                          <w:divBdr>
                            <w:top w:val="none" w:sz="0" w:space="0" w:color="auto"/>
                            <w:left w:val="none" w:sz="0" w:space="0" w:color="auto"/>
                            <w:bottom w:val="none" w:sz="0" w:space="0" w:color="auto"/>
                            <w:right w:val="none" w:sz="0" w:space="0" w:color="auto"/>
                          </w:divBdr>
                        </w:div>
                        <w:div w:id="47187770">
                          <w:marLeft w:val="0"/>
                          <w:marRight w:val="0"/>
                          <w:marTop w:val="0"/>
                          <w:marBottom w:val="0"/>
                          <w:divBdr>
                            <w:top w:val="none" w:sz="0" w:space="0" w:color="auto"/>
                            <w:left w:val="none" w:sz="0" w:space="0" w:color="auto"/>
                            <w:bottom w:val="none" w:sz="0" w:space="0" w:color="auto"/>
                            <w:right w:val="none" w:sz="0" w:space="0" w:color="auto"/>
                          </w:divBdr>
                        </w:div>
                        <w:div w:id="1382710001">
                          <w:marLeft w:val="0"/>
                          <w:marRight w:val="0"/>
                          <w:marTop w:val="0"/>
                          <w:marBottom w:val="0"/>
                          <w:divBdr>
                            <w:top w:val="none" w:sz="0" w:space="0" w:color="auto"/>
                            <w:left w:val="none" w:sz="0" w:space="0" w:color="auto"/>
                            <w:bottom w:val="none" w:sz="0" w:space="0" w:color="auto"/>
                            <w:right w:val="none" w:sz="0" w:space="0" w:color="auto"/>
                          </w:divBdr>
                        </w:div>
                        <w:div w:id="155536644">
                          <w:marLeft w:val="0"/>
                          <w:marRight w:val="0"/>
                          <w:marTop w:val="0"/>
                          <w:marBottom w:val="0"/>
                          <w:divBdr>
                            <w:top w:val="none" w:sz="0" w:space="0" w:color="auto"/>
                            <w:left w:val="none" w:sz="0" w:space="0" w:color="auto"/>
                            <w:bottom w:val="none" w:sz="0" w:space="0" w:color="auto"/>
                            <w:right w:val="none" w:sz="0" w:space="0" w:color="auto"/>
                          </w:divBdr>
                        </w:div>
                        <w:div w:id="967783723">
                          <w:marLeft w:val="0"/>
                          <w:marRight w:val="0"/>
                          <w:marTop w:val="0"/>
                          <w:marBottom w:val="0"/>
                          <w:divBdr>
                            <w:top w:val="none" w:sz="0" w:space="0" w:color="auto"/>
                            <w:left w:val="none" w:sz="0" w:space="0" w:color="auto"/>
                            <w:bottom w:val="none" w:sz="0" w:space="0" w:color="auto"/>
                            <w:right w:val="none" w:sz="0" w:space="0" w:color="auto"/>
                          </w:divBdr>
                        </w:div>
                        <w:div w:id="1062026089">
                          <w:marLeft w:val="0"/>
                          <w:marRight w:val="0"/>
                          <w:marTop w:val="0"/>
                          <w:marBottom w:val="0"/>
                          <w:divBdr>
                            <w:top w:val="none" w:sz="0" w:space="0" w:color="auto"/>
                            <w:left w:val="none" w:sz="0" w:space="0" w:color="auto"/>
                            <w:bottom w:val="none" w:sz="0" w:space="0" w:color="auto"/>
                            <w:right w:val="none" w:sz="0" w:space="0" w:color="auto"/>
                          </w:divBdr>
                        </w:div>
                        <w:div w:id="928394152">
                          <w:marLeft w:val="0"/>
                          <w:marRight w:val="0"/>
                          <w:marTop w:val="0"/>
                          <w:marBottom w:val="0"/>
                          <w:divBdr>
                            <w:top w:val="none" w:sz="0" w:space="0" w:color="auto"/>
                            <w:left w:val="none" w:sz="0" w:space="0" w:color="auto"/>
                            <w:bottom w:val="none" w:sz="0" w:space="0" w:color="auto"/>
                            <w:right w:val="none" w:sz="0" w:space="0" w:color="auto"/>
                          </w:divBdr>
                        </w:div>
                        <w:div w:id="1831170714">
                          <w:marLeft w:val="0"/>
                          <w:marRight w:val="0"/>
                          <w:marTop w:val="0"/>
                          <w:marBottom w:val="0"/>
                          <w:divBdr>
                            <w:top w:val="none" w:sz="0" w:space="0" w:color="auto"/>
                            <w:left w:val="none" w:sz="0" w:space="0" w:color="auto"/>
                            <w:bottom w:val="none" w:sz="0" w:space="0" w:color="auto"/>
                            <w:right w:val="none" w:sz="0" w:space="0" w:color="auto"/>
                          </w:divBdr>
                        </w:div>
                        <w:div w:id="704869278">
                          <w:marLeft w:val="0"/>
                          <w:marRight w:val="0"/>
                          <w:marTop w:val="0"/>
                          <w:marBottom w:val="0"/>
                          <w:divBdr>
                            <w:top w:val="none" w:sz="0" w:space="0" w:color="auto"/>
                            <w:left w:val="none" w:sz="0" w:space="0" w:color="auto"/>
                            <w:bottom w:val="none" w:sz="0" w:space="0" w:color="auto"/>
                            <w:right w:val="none" w:sz="0" w:space="0" w:color="auto"/>
                          </w:divBdr>
                        </w:div>
                        <w:div w:id="311569356">
                          <w:marLeft w:val="0"/>
                          <w:marRight w:val="0"/>
                          <w:marTop w:val="0"/>
                          <w:marBottom w:val="0"/>
                          <w:divBdr>
                            <w:top w:val="none" w:sz="0" w:space="0" w:color="auto"/>
                            <w:left w:val="none" w:sz="0" w:space="0" w:color="auto"/>
                            <w:bottom w:val="none" w:sz="0" w:space="0" w:color="auto"/>
                            <w:right w:val="none" w:sz="0" w:space="0" w:color="auto"/>
                          </w:divBdr>
                        </w:div>
                        <w:div w:id="1209605770">
                          <w:marLeft w:val="0"/>
                          <w:marRight w:val="0"/>
                          <w:marTop w:val="0"/>
                          <w:marBottom w:val="0"/>
                          <w:divBdr>
                            <w:top w:val="none" w:sz="0" w:space="0" w:color="auto"/>
                            <w:left w:val="none" w:sz="0" w:space="0" w:color="auto"/>
                            <w:bottom w:val="none" w:sz="0" w:space="0" w:color="auto"/>
                            <w:right w:val="none" w:sz="0" w:space="0" w:color="auto"/>
                          </w:divBdr>
                          <w:divsChild>
                            <w:div w:id="827016896">
                              <w:marLeft w:val="0"/>
                              <w:marRight w:val="0"/>
                              <w:marTop w:val="0"/>
                              <w:marBottom w:val="0"/>
                              <w:divBdr>
                                <w:top w:val="none" w:sz="0" w:space="0" w:color="auto"/>
                                <w:left w:val="none" w:sz="0" w:space="0" w:color="auto"/>
                                <w:bottom w:val="none" w:sz="0" w:space="0" w:color="auto"/>
                                <w:right w:val="none" w:sz="0" w:space="0" w:color="auto"/>
                              </w:divBdr>
                            </w:div>
                          </w:divsChild>
                        </w:div>
                        <w:div w:id="1665670571">
                          <w:marLeft w:val="0"/>
                          <w:marRight w:val="0"/>
                          <w:marTop w:val="0"/>
                          <w:marBottom w:val="0"/>
                          <w:divBdr>
                            <w:top w:val="none" w:sz="0" w:space="0" w:color="auto"/>
                            <w:left w:val="none" w:sz="0" w:space="0" w:color="auto"/>
                            <w:bottom w:val="none" w:sz="0" w:space="0" w:color="auto"/>
                            <w:right w:val="none" w:sz="0" w:space="0" w:color="auto"/>
                          </w:divBdr>
                          <w:divsChild>
                            <w:div w:id="330912252">
                              <w:marLeft w:val="0"/>
                              <w:marRight w:val="0"/>
                              <w:marTop w:val="0"/>
                              <w:marBottom w:val="0"/>
                              <w:divBdr>
                                <w:top w:val="none" w:sz="0" w:space="0" w:color="auto"/>
                                <w:left w:val="none" w:sz="0" w:space="0" w:color="auto"/>
                                <w:bottom w:val="none" w:sz="0" w:space="0" w:color="auto"/>
                                <w:right w:val="none" w:sz="0" w:space="0" w:color="auto"/>
                              </w:divBdr>
                            </w:div>
                          </w:divsChild>
                        </w:div>
                        <w:div w:id="1610432147">
                          <w:marLeft w:val="0"/>
                          <w:marRight w:val="0"/>
                          <w:marTop w:val="0"/>
                          <w:marBottom w:val="0"/>
                          <w:divBdr>
                            <w:top w:val="none" w:sz="0" w:space="0" w:color="auto"/>
                            <w:left w:val="none" w:sz="0" w:space="0" w:color="auto"/>
                            <w:bottom w:val="none" w:sz="0" w:space="0" w:color="auto"/>
                            <w:right w:val="none" w:sz="0" w:space="0" w:color="auto"/>
                          </w:divBdr>
                          <w:divsChild>
                            <w:div w:id="1674723742">
                              <w:marLeft w:val="0"/>
                              <w:marRight w:val="0"/>
                              <w:marTop w:val="0"/>
                              <w:marBottom w:val="0"/>
                              <w:divBdr>
                                <w:top w:val="none" w:sz="0" w:space="0" w:color="auto"/>
                                <w:left w:val="none" w:sz="0" w:space="0" w:color="auto"/>
                                <w:bottom w:val="none" w:sz="0" w:space="0" w:color="auto"/>
                                <w:right w:val="none" w:sz="0" w:space="0" w:color="auto"/>
                              </w:divBdr>
                              <w:divsChild>
                                <w:div w:id="2124225310">
                                  <w:marLeft w:val="0"/>
                                  <w:marRight w:val="0"/>
                                  <w:marTop w:val="0"/>
                                  <w:marBottom w:val="0"/>
                                  <w:divBdr>
                                    <w:top w:val="none" w:sz="0" w:space="0" w:color="auto"/>
                                    <w:left w:val="none" w:sz="0" w:space="0" w:color="auto"/>
                                    <w:bottom w:val="none" w:sz="0" w:space="0" w:color="auto"/>
                                    <w:right w:val="none" w:sz="0" w:space="0" w:color="auto"/>
                                  </w:divBdr>
                                  <w:divsChild>
                                    <w:div w:id="875431034">
                                      <w:marLeft w:val="0"/>
                                      <w:marRight w:val="0"/>
                                      <w:marTop w:val="0"/>
                                      <w:marBottom w:val="0"/>
                                      <w:divBdr>
                                        <w:top w:val="none" w:sz="0" w:space="0" w:color="auto"/>
                                        <w:left w:val="none" w:sz="0" w:space="0" w:color="auto"/>
                                        <w:bottom w:val="none" w:sz="0" w:space="0" w:color="auto"/>
                                        <w:right w:val="none" w:sz="0" w:space="0" w:color="auto"/>
                                      </w:divBdr>
                                    </w:div>
                                    <w:div w:id="129899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35377">
                          <w:marLeft w:val="0"/>
                          <w:marRight w:val="0"/>
                          <w:marTop w:val="0"/>
                          <w:marBottom w:val="0"/>
                          <w:divBdr>
                            <w:top w:val="none" w:sz="0" w:space="0" w:color="auto"/>
                            <w:left w:val="none" w:sz="0" w:space="0" w:color="auto"/>
                            <w:bottom w:val="none" w:sz="0" w:space="0" w:color="auto"/>
                            <w:right w:val="none" w:sz="0" w:space="0" w:color="auto"/>
                          </w:divBdr>
                        </w:div>
                        <w:div w:id="334844450">
                          <w:marLeft w:val="0"/>
                          <w:marRight w:val="0"/>
                          <w:marTop w:val="0"/>
                          <w:marBottom w:val="0"/>
                          <w:divBdr>
                            <w:top w:val="none" w:sz="0" w:space="0" w:color="auto"/>
                            <w:left w:val="none" w:sz="0" w:space="0" w:color="auto"/>
                            <w:bottom w:val="none" w:sz="0" w:space="0" w:color="auto"/>
                            <w:right w:val="none" w:sz="0" w:space="0" w:color="auto"/>
                          </w:divBdr>
                        </w:div>
                        <w:div w:id="3069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5744006">
      <w:bodyDiv w:val="1"/>
      <w:marLeft w:val="0"/>
      <w:marRight w:val="0"/>
      <w:marTop w:val="0"/>
      <w:marBottom w:val="0"/>
      <w:divBdr>
        <w:top w:val="none" w:sz="0" w:space="0" w:color="auto"/>
        <w:left w:val="none" w:sz="0" w:space="0" w:color="auto"/>
        <w:bottom w:val="none" w:sz="0" w:space="0" w:color="auto"/>
        <w:right w:val="none" w:sz="0" w:space="0" w:color="auto"/>
      </w:divBdr>
      <w:divsChild>
        <w:div w:id="168452907">
          <w:marLeft w:val="-225"/>
          <w:marRight w:val="-225"/>
          <w:marTop w:val="0"/>
          <w:marBottom w:val="0"/>
          <w:divBdr>
            <w:top w:val="none" w:sz="0" w:space="0" w:color="auto"/>
            <w:left w:val="none" w:sz="0" w:space="0" w:color="auto"/>
            <w:bottom w:val="none" w:sz="0" w:space="0" w:color="auto"/>
            <w:right w:val="none" w:sz="0" w:space="0" w:color="auto"/>
          </w:divBdr>
          <w:divsChild>
            <w:div w:id="987436317">
              <w:marLeft w:val="0"/>
              <w:marRight w:val="0"/>
              <w:marTop w:val="0"/>
              <w:marBottom w:val="0"/>
              <w:divBdr>
                <w:top w:val="none" w:sz="0" w:space="0" w:color="auto"/>
                <w:left w:val="none" w:sz="0" w:space="0" w:color="auto"/>
                <w:bottom w:val="none" w:sz="0" w:space="0" w:color="auto"/>
                <w:right w:val="none" w:sz="0" w:space="0" w:color="auto"/>
              </w:divBdr>
              <w:divsChild>
                <w:div w:id="1991590575">
                  <w:marLeft w:val="-225"/>
                  <w:marRight w:val="-225"/>
                  <w:marTop w:val="0"/>
                  <w:marBottom w:val="0"/>
                  <w:divBdr>
                    <w:top w:val="none" w:sz="0" w:space="0" w:color="auto"/>
                    <w:left w:val="none" w:sz="0" w:space="0" w:color="auto"/>
                    <w:bottom w:val="none" w:sz="0" w:space="0" w:color="auto"/>
                    <w:right w:val="none" w:sz="0" w:space="0" w:color="auto"/>
                  </w:divBdr>
                  <w:divsChild>
                    <w:div w:id="491068067">
                      <w:marLeft w:val="0"/>
                      <w:marRight w:val="0"/>
                      <w:marTop w:val="0"/>
                      <w:marBottom w:val="0"/>
                      <w:divBdr>
                        <w:top w:val="none" w:sz="0" w:space="0" w:color="auto"/>
                        <w:left w:val="none" w:sz="0" w:space="0" w:color="auto"/>
                        <w:bottom w:val="none" w:sz="0" w:space="0" w:color="auto"/>
                        <w:right w:val="none" w:sz="0" w:space="0" w:color="auto"/>
                      </w:divBdr>
                    </w:div>
                  </w:divsChild>
                </w:div>
                <w:div w:id="633022605">
                  <w:marLeft w:val="-225"/>
                  <w:marRight w:val="-225"/>
                  <w:marTop w:val="0"/>
                  <w:marBottom w:val="0"/>
                  <w:divBdr>
                    <w:top w:val="none" w:sz="0" w:space="0" w:color="auto"/>
                    <w:left w:val="none" w:sz="0" w:space="0" w:color="auto"/>
                    <w:bottom w:val="none" w:sz="0" w:space="0" w:color="auto"/>
                    <w:right w:val="none" w:sz="0" w:space="0" w:color="auto"/>
                  </w:divBdr>
                  <w:divsChild>
                    <w:div w:id="1068382259">
                      <w:marLeft w:val="0"/>
                      <w:marRight w:val="0"/>
                      <w:marTop w:val="0"/>
                      <w:marBottom w:val="0"/>
                      <w:divBdr>
                        <w:top w:val="none" w:sz="0" w:space="0" w:color="auto"/>
                        <w:left w:val="none" w:sz="0" w:space="0" w:color="auto"/>
                        <w:bottom w:val="none" w:sz="0" w:space="0" w:color="auto"/>
                        <w:right w:val="none" w:sz="0" w:space="0" w:color="auto"/>
                      </w:divBdr>
                    </w:div>
                    <w:div w:id="719087457">
                      <w:marLeft w:val="0"/>
                      <w:marRight w:val="0"/>
                      <w:marTop w:val="0"/>
                      <w:marBottom w:val="0"/>
                      <w:divBdr>
                        <w:top w:val="none" w:sz="0" w:space="0" w:color="auto"/>
                        <w:left w:val="none" w:sz="0" w:space="0" w:color="auto"/>
                        <w:bottom w:val="none" w:sz="0" w:space="0" w:color="auto"/>
                        <w:right w:val="none" w:sz="0" w:space="0" w:color="auto"/>
                      </w:divBdr>
                      <w:divsChild>
                        <w:div w:id="1259680129">
                          <w:marLeft w:val="0"/>
                          <w:marRight w:val="0"/>
                          <w:marTop w:val="0"/>
                          <w:marBottom w:val="0"/>
                          <w:divBdr>
                            <w:top w:val="none" w:sz="0" w:space="0" w:color="auto"/>
                            <w:left w:val="none" w:sz="0" w:space="0" w:color="auto"/>
                            <w:bottom w:val="none" w:sz="0" w:space="0" w:color="auto"/>
                            <w:right w:val="none" w:sz="0" w:space="0" w:color="auto"/>
                          </w:divBdr>
                          <w:divsChild>
                            <w:div w:id="8611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6760588">
          <w:marLeft w:val="0"/>
          <w:marRight w:val="0"/>
          <w:marTop w:val="0"/>
          <w:marBottom w:val="0"/>
          <w:divBdr>
            <w:top w:val="single" w:sz="6" w:space="0" w:color="CECECE"/>
            <w:left w:val="none" w:sz="0" w:space="0" w:color="auto"/>
            <w:bottom w:val="single" w:sz="6" w:space="0" w:color="CECECE"/>
            <w:right w:val="none" w:sz="0" w:space="0" w:color="auto"/>
          </w:divBdr>
          <w:divsChild>
            <w:div w:id="982461660">
              <w:marLeft w:val="0"/>
              <w:marRight w:val="0"/>
              <w:marTop w:val="0"/>
              <w:marBottom w:val="0"/>
              <w:divBdr>
                <w:top w:val="none" w:sz="0" w:space="0" w:color="auto"/>
                <w:left w:val="none" w:sz="0" w:space="0" w:color="auto"/>
                <w:bottom w:val="none" w:sz="0" w:space="0" w:color="auto"/>
                <w:right w:val="none" w:sz="0" w:space="0" w:color="auto"/>
              </w:divBdr>
              <w:divsChild>
                <w:div w:id="1155489670">
                  <w:marLeft w:val="-225"/>
                  <w:marRight w:val="-225"/>
                  <w:marTop w:val="0"/>
                  <w:marBottom w:val="0"/>
                  <w:divBdr>
                    <w:top w:val="none" w:sz="0" w:space="0" w:color="auto"/>
                    <w:left w:val="none" w:sz="0" w:space="0" w:color="auto"/>
                    <w:bottom w:val="none" w:sz="0" w:space="0" w:color="auto"/>
                    <w:right w:val="none" w:sz="0" w:space="0" w:color="auto"/>
                  </w:divBdr>
                  <w:divsChild>
                    <w:div w:id="42765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648448">
          <w:marLeft w:val="-225"/>
          <w:marRight w:val="-225"/>
          <w:marTop w:val="0"/>
          <w:marBottom w:val="0"/>
          <w:divBdr>
            <w:top w:val="none" w:sz="0" w:space="0" w:color="auto"/>
            <w:left w:val="none" w:sz="0" w:space="0" w:color="auto"/>
            <w:bottom w:val="none" w:sz="0" w:space="0" w:color="auto"/>
            <w:right w:val="none" w:sz="0" w:space="0" w:color="auto"/>
          </w:divBdr>
          <w:divsChild>
            <w:div w:id="496772766">
              <w:marLeft w:val="0"/>
              <w:marRight w:val="0"/>
              <w:marTop w:val="0"/>
              <w:marBottom w:val="0"/>
              <w:divBdr>
                <w:top w:val="none" w:sz="0" w:space="0" w:color="auto"/>
                <w:left w:val="none" w:sz="0" w:space="0" w:color="auto"/>
                <w:bottom w:val="none" w:sz="0" w:space="0" w:color="auto"/>
                <w:right w:val="none" w:sz="0" w:space="0" w:color="auto"/>
              </w:divBdr>
              <w:divsChild>
                <w:div w:id="1320886405">
                  <w:marLeft w:val="0"/>
                  <w:marRight w:val="0"/>
                  <w:marTop w:val="0"/>
                  <w:marBottom w:val="0"/>
                  <w:divBdr>
                    <w:top w:val="none" w:sz="0" w:space="0" w:color="auto"/>
                    <w:left w:val="none" w:sz="0" w:space="0" w:color="auto"/>
                    <w:bottom w:val="none" w:sz="0" w:space="0" w:color="auto"/>
                    <w:right w:val="none" w:sz="0" w:space="0" w:color="auto"/>
                  </w:divBdr>
                  <w:divsChild>
                    <w:div w:id="508567509">
                      <w:marLeft w:val="0"/>
                      <w:marRight w:val="0"/>
                      <w:marTop w:val="0"/>
                      <w:marBottom w:val="0"/>
                      <w:divBdr>
                        <w:top w:val="none" w:sz="0" w:space="0" w:color="auto"/>
                        <w:left w:val="none" w:sz="0" w:space="0" w:color="auto"/>
                        <w:bottom w:val="none" w:sz="0" w:space="0" w:color="auto"/>
                        <w:right w:val="none" w:sz="0" w:space="0" w:color="auto"/>
                      </w:divBdr>
                      <w:divsChild>
                        <w:div w:id="1230968968">
                          <w:marLeft w:val="0"/>
                          <w:marRight w:val="0"/>
                          <w:marTop w:val="0"/>
                          <w:marBottom w:val="0"/>
                          <w:divBdr>
                            <w:top w:val="none" w:sz="0" w:space="0" w:color="auto"/>
                            <w:left w:val="none" w:sz="0" w:space="0" w:color="auto"/>
                            <w:bottom w:val="none" w:sz="0" w:space="0" w:color="auto"/>
                            <w:right w:val="none" w:sz="0" w:space="0" w:color="auto"/>
                          </w:divBdr>
                          <w:divsChild>
                            <w:div w:id="30389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665558">
              <w:marLeft w:val="0"/>
              <w:marRight w:val="0"/>
              <w:marTop w:val="0"/>
              <w:marBottom w:val="0"/>
              <w:divBdr>
                <w:top w:val="none" w:sz="0" w:space="0" w:color="auto"/>
                <w:left w:val="none" w:sz="0" w:space="0" w:color="auto"/>
                <w:bottom w:val="none" w:sz="0" w:space="0" w:color="auto"/>
                <w:right w:val="none" w:sz="0" w:space="0" w:color="auto"/>
              </w:divBdr>
              <w:divsChild>
                <w:div w:id="1322926241">
                  <w:marLeft w:val="0"/>
                  <w:marRight w:val="0"/>
                  <w:marTop w:val="0"/>
                  <w:marBottom w:val="0"/>
                  <w:divBdr>
                    <w:top w:val="none" w:sz="0" w:space="0" w:color="auto"/>
                    <w:left w:val="none" w:sz="0" w:space="0" w:color="auto"/>
                    <w:bottom w:val="none" w:sz="0" w:space="0" w:color="auto"/>
                    <w:right w:val="none" w:sz="0" w:space="0" w:color="auto"/>
                  </w:divBdr>
                  <w:divsChild>
                    <w:div w:id="632448513">
                      <w:marLeft w:val="0"/>
                      <w:marRight w:val="0"/>
                      <w:marTop w:val="0"/>
                      <w:marBottom w:val="0"/>
                      <w:divBdr>
                        <w:top w:val="none" w:sz="0" w:space="0" w:color="auto"/>
                        <w:left w:val="none" w:sz="0" w:space="0" w:color="auto"/>
                        <w:bottom w:val="none" w:sz="0" w:space="0" w:color="auto"/>
                        <w:right w:val="none" w:sz="0" w:space="0" w:color="auto"/>
                      </w:divBdr>
                      <w:divsChild>
                        <w:div w:id="510994408">
                          <w:marLeft w:val="0"/>
                          <w:marRight w:val="0"/>
                          <w:marTop w:val="0"/>
                          <w:marBottom w:val="0"/>
                          <w:divBdr>
                            <w:top w:val="none" w:sz="0" w:space="0" w:color="auto"/>
                            <w:left w:val="none" w:sz="0" w:space="0" w:color="auto"/>
                            <w:bottom w:val="none" w:sz="0" w:space="0" w:color="auto"/>
                            <w:right w:val="none" w:sz="0" w:space="0" w:color="auto"/>
                          </w:divBdr>
                        </w:div>
                        <w:div w:id="2051757190">
                          <w:marLeft w:val="0"/>
                          <w:marRight w:val="0"/>
                          <w:marTop w:val="0"/>
                          <w:marBottom w:val="0"/>
                          <w:divBdr>
                            <w:top w:val="none" w:sz="0" w:space="0" w:color="auto"/>
                            <w:left w:val="none" w:sz="0" w:space="0" w:color="auto"/>
                            <w:bottom w:val="none" w:sz="0" w:space="0" w:color="auto"/>
                            <w:right w:val="none" w:sz="0" w:space="0" w:color="auto"/>
                          </w:divBdr>
                        </w:div>
                        <w:div w:id="883833590">
                          <w:marLeft w:val="0"/>
                          <w:marRight w:val="0"/>
                          <w:marTop w:val="0"/>
                          <w:marBottom w:val="0"/>
                          <w:divBdr>
                            <w:top w:val="none" w:sz="0" w:space="0" w:color="auto"/>
                            <w:left w:val="none" w:sz="0" w:space="0" w:color="auto"/>
                            <w:bottom w:val="none" w:sz="0" w:space="0" w:color="auto"/>
                            <w:right w:val="none" w:sz="0" w:space="0" w:color="auto"/>
                          </w:divBdr>
                        </w:div>
                        <w:div w:id="409618257">
                          <w:marLeft w:val="0"/>
                          <w:marRight w:val="0"/>
                          <w:marTop w:val="0"/>
                          <w:marBottom w:val="0"/>
                          <w:divBdr>
                            <w:top w:val="none" w:sz="0" w:space="0" w:color="auto"/>
                            <w:left w:val="none" w:sz="0" w:space="0" w:color="auto"/>
                            <w:bottom w:val="none" w:sz="0" w:space="0" w:color="auto"/>
                            <w:right w:val="none" w:sz="0" w:space="0" w:color="auto"/>
                          </w:divBdr>
                        </w:div>
                        <w:div w:id="2052269976">
                          <w:marLeft w:val="0"/>
                          <w:marRight w:val="0"/>
                          <w:marTop w:val="0"/>
                          <w:marBottom w:val="0"/>
                          <w:divBdr>
                            <w:top w:val="none" w:sz="0" w:space="0" w:color="auto"/>
                            <w:left w:val="none" w:sz="0" w:space="0" w:color="auto"/>
                            <w:bottom w:val="none" w:sz="0" w:space="0" w:color="auto"/>
                            <w:right w:val="none" w:sz="0" w:space="0" w:color="auto"/>
                          </w:divBdr>
                          <w:divsChild>
                            <w:div w:id="1956911656">
                              <w:marLeft w:val="0"/>
                              <w:marRight w:val="0"/>
                              <w:marTop w:val="0"/>
                              <w:marBottom w:val="0"/>
                              <w:divBdr>
                                <w:top w:val="none" w:sz="0" w:space="0" w:color="auto"/>
                                <w:left w:val="none" w:sz="0" w:space="0" w:color="auto"/>
                                <w:bottom w:val="none" w:sz="0" w:space="0" w:color="auto"/>
                                <w:right w:val="none" w:sz="0" w:space="0" w:color="auto"/>
                              </w:divBdr>
                            </w:div>
                          </w:divsChild>
                        </w:div>
                        <w:div w:id="1479960534">
                          <w:marLeft w:val="0"/>
                          <w:marRight w:val="0"/>
                          <w:marTop w:val="0"/>
                          <w:marBottom w:val="0"/>
                          <w:divBdr>
                            <w:top w:val="none" w:sz="0" w:space="0" w:color="auto"/>
                            <w:left w:val="none" w:sz="0" w:space="0" w:color="auto"/>
                            <w:bottom w:val="none" w:sz="0" w:space="0" w:color="auto"/>
                            <w:right w:val="none" w:sz="0" w:space="0" w:color="auto"/>
                          </w:divBdr>
                        </w:div>
                        <w:div w:id="713314686">
                          <w:marLeft w:val="0"/>
                          <w:marRight w:val="0"/>
                          <w:marTop w:val="0"/>
                          <w:marBottom w:val="0"/>
                          <w:divBdr>
                            <w:top w:val="none" w:sz="0" w:space="0" w:color="auto"/>
                            <w:left w:val="none" w:sz="0" w:space="0" w:color="auto"/>
                            <w:bottom w:val="none" w:sz="0" w:space="0" w:color="auto"/>
                            <w:right w:val="none" w:sz="0" w:space="0" w:color="auto"/>
                          </w:divBdr>
                        </w:div>
                        <w:div w:id="1962491771">
                          <w:marLeft w:val="0"/>
                          <w:marRight w:val="0"/>
                          <w:marTop w:val="0"/>
                          <w:marBottom w:val="0"/>
                          <w:divBdr>
                            <w:top w:val="none" w:sz="0" w:space="0" w:color="auto"/>
                            <w:left w:val="none" w:sz="0" w:space="0" w:color="auto"/>
                            <w:bottom w:val="none" w:sz="0" w:space="0" w:color="auto"/>
                            <w:right w:val="none" w:sz="0" w:space="0" w:color="auto"/>
                          </w:divBdr>
                        </w:div>
                        <w:div w:id="1559634617">
                          <w:marLeft w:val="0"/>
                          <w:marRight w:val="0"/>
                          <w:marTop w:val="0"/>
                          <w:marBottom w:val="0"/>
                          <w:divBdr>
                            <w:top w:val="none" w:sz="0" w:space="0" w:color="auto"/>
                            <w:left w:val="none" w:sz="0" w:space="0" w:color="auto"/>
                            <w:bottom w:val="none" w:sz="0" w:space="0" w:color="auto"/>
                            <w:right w:val="none" w:sz="0" w:space="0" w:color="auto"/>
                          </w:divBdr>
                        </w:div>
                        <w:div w:id="858934261">
                          <w:marLeft w:val="0"/>
                          <w:marRight w:val="0"/>
                          <w:marTop w:val="0"/>
                          <w:marBottom w:val="0"/>
                          <w:divBdr>
                            <w:top w:val="none" w:sz="0" w:space="0" w:color="auto"/>
                            <w:left w:val="none" w:sz="0" w:space="0" w:color="auto"/>
                            <w:bottom w:val="none" w:sz="0" w:space="0" w:color="auto"/>
                            <w:right w:val="none" w:sz="0" w:space="0" w:color="auto"/>
                          </w:divBdr>
                        </w:div>
                        <w:div w:id="599341409">
                          <w:marLeft w:val="0"/>
                          <w:marRight w:val="0"/>
                          <w:marTop w:val="0"/>
                          <w:marBottom w:val="0"/>
                          <w:divBdr>
                            <w:top w:val="none" w:sz="0" w:space="0" w:color="auto"/>
                            <w:left w:val="none" w:sz="0" w:space="0" w:color="auto"/>
                            <w:bottom w:val="none" w:sz="0" w:space="0" w:color="auto"/>
                            <w:right w:val="none" w:sz="0" w:space="0" w:color="auto"/>
                          </w:divBdr>
                        </w:div>
                        <w:div w:id="1662851418">
                          <w:marLeft w:val="0"/>
                          <w:marRight w:val="0"/>
                          <w:marTop w:val="0"/>
                          <w:marBottom w:val="0"/>
                          <w:divBdr>
                            <w:top w:val="none" w:sz="0" w:space="0" w:color="auto"/>
                            <w:left w:val="none" w:sz="0" w:space="0" w:color="auto"/>
                            <w:bottom w:val="none" w:sz="0" w:space="0" w:color="auto"/>
                            <w:right w:val="none" w:sz="0" w:space="0" w:color="auto"/>
                          </w:divBdr>
                        </w:div>
                        <w:div w:id="513030340">
                          <w:marLeft w:val="0"/>
                          <w:marRight w:val="0"/>
                          <w:marTop w:val="0"/>
                          <w:marBottom w:val="0"/>
                          <w:divBdr>
                            <w:top w:val="none" w:sz="0" w:space="0" w:color="auto"/>
                            <w:left w:val="none" w:sz="0" w:space="0" w:color="auto"/>
                            <w:bottom w:val="none" w:sz="0" w:space="0" w:color="auto"/>
                            <w:right w:val="none" w:sz="0" w:space="0" w:color="auto"/>
                          </w:divBdr>
                        </w:div>
                        <w:div w:id="1444492076">
                          <w:marLeft w:val="0"/>
                          <w:marRight w:val="0"/>
                          <w:marTop w:val="0"/>
                          <w:marBottom w:val="0"/>
                          <w:divBdr>
                            <w:top w:val="none" w:sz="0" w:space="0" w:color="auto"/>
                            <w:left w:val="none" w:sz="0" w:space="0" w:color="auto"/>
                            <w:bottom w:val="none" w:sz="0" w:space="0" w:color="auto"/>
                            <w:right w:val="none" w:sz="0" w:space="0" w:color="auto"/>
                          </w:divBdr>
                        </w:div>
                        <w:div w:id="662784556">
                          <w:marLeft w:val="0"/>
                          <w:marRight w:val="0"/>
                          <w:marTop w:val="0"/>
                          <w:marBottom w:val="0"/>
                          <w:divBdr>
                            <w:top w:val="none" w:sz="0" w:space="0" w:color="auto"/>
                            <w:left w:val="none" w:sz="0" w:space="0" w:color="auto"/>
                            <w:bottom w:val="none" w:sz="0" w:space="0" w:color="auto"/>
                            <w:right w:val="none" w:sz="0" w:space="0" w:color="auto"/>
                          </w:divBdr>
                        </w:div>
                        <w:div w:id="718014798">
                          <w:marLeft w:val="0"/>
                          <w:marRight w:val="0"/>
                          <w:marTop w:val="0"/>
                          <w:marBottom w:val="0"/>
                          <w:divBdr>
                            <w:top w:val="none" w:sz="0" w:space="0" w:color="auto"/>
                            <w:left w:val="none" w:sz="0" w:space="0" w:color="auto"/>
                            <w:bottom w:val="none" w:sz="0" w:space="0" w:color="auto"/>
                            <w:right w:val="none" w:sz="0" w:space="0" w:color="auto"/>
                          </w:divBdr>
                          <w:divsChild>
                            <w:div w:id="1277785858">
                              <w:marLeft w:val="0"/>
                              <w:marRight w:val="0"/>
                              <w:marTop w:val="0"/>
                              <w:marBottom w:val="0"/>
                              <w:divBdr>
                                <w:top w:val="none" w:sz="0" w:space="0" w:color="auto"/>
                                <w:left w:val="none" w:sz="0" w:space="0" w:color="auto"/>
                                <w:bottom w:val="none" w:sz="0" w:space="0" w:color="auto"/>
                                <w:right w:val="none" w:sz="0" w:space="0" w:color="auto"/>
                              </w:divBdr>
                            </w:div>
                          </w:divsChild>
                        </w:div>
                        <w:div w:id="170725489">
                          <w:marLeft w:val="0"/>
                          <w:marRight w:val="0"/>
                          <w:marTop w:val="0"/>
                          <w:marBottom w:val="0"/>
                          <w:divBdr>
                            <w:top w:val="none" w:sz="0" w:space="0" w:color="auto"/>
                            <w:left w:val="none" w:sz="0" w:space="0" w:color="auto"/>
                            <w:bottom w:val="none" w:sz="0" w:space="0" w:color="auto"/>
                            <w:right w:val="none" w:sz="0" w:space="0" w:color="auto"/>
                          </w:divBdr>
                          <w:divsChild>
                            <w:div w:id="1228031158">
                              <w:marLeft w:val="0"/>
                              <w:marRight w:val="0"/>
                              <w:marTop w:val="0"/>
                              <w:marBottom w:val="0"/>
                              <w:divBdr>
                                <w:top w:val="none" w:sz="0" w:space="0" w:color="auto"/>
                                <w:left w:val="none" w:sz="0" w:space="0" w:color="auto"/>
                                <w:bottom w:val="none" w:sz="0" w:space="0" w:color="auto"/>
                                <w:right w:val="none" w:sz="0" w:space="0" w:color="auto"/>
                              </w:divBdr>
                            </w:div>
                          </w:divsChild>
                        </w:div>
                        <w:div w:id="405228465">
                          <w:marLeft w:val="0"/>
                          <w:marRight w:val="0"/>
                          <w:marTop w:val="0"/>
                          <w:marBottom w:val="0"/>
                          <w:divBdr>
                            <w:top w:val="none" w:sz="0" w:space="0" w:color="auto"/>
                            <w:left w:val="none" w:sz="0" w:space="0" w:color="auto"/>
                            <w:bottom w:val="none" w:sz="0" w:space="0" w:color="auto"/>
                            <w:right w:val="none" w:sz="0" w:space="0" w:color="auto"/>
                          </w:divBdr>
                          <w:divsChild>
                            <w:div w:id="1188983573">
                              <w:marLeft w:val="0"/>
                              <w:marRight w:val="0"/>
                              <w:marTop w:val="0"/>
                              <w:marBottom w:val="0"/>
                              <w:divBdr>
                                <w:top w:val="none" w:sz="0" w:space="0" w:color="auto"/>
                                <w:left w:val="none" w:sz="0" w:space="0" w:color="auto"/>
                                <w:bottom w:val="none" w:sz="0" w:space="0" w:color="auto"/>
                                <w:right w:val="none" w:sz="0" w:space="0" w:color="auto"/>
                              </w:divBdr>
                              <w:divsChild>
                                <w:div w:id="638806379">
                                  <w:marLeft w:val="0"/>
                                  <w:marRight w:val="0"/>
                                  <w:marTop w:val="0"/>
                                  <w:marBottom w:val="0"/>
                                  <w:divBdr>
                                    <w:top w:val="none" w:sz="0" w:space="0" w:color="auto"/>
                                    <w:left w:val="none" w:sz="0" w:space="0" w:color="auto"/>
                                    <w:bottom w:val="none" w:sz="0" w:space="0" w:color="auto"/>
                                    <w:right w:val="none" w:sz="0" w:space="0" w:color="auto"/>
                                  </w:divBdr>
                                  <w:divsChild>
                                    <w:div w:id="1426027427">
                                      <w:marLeft w:val="0"/>
                                      <w:marRight w:val="0"/>
                                      <w:marTop w:val="0"/>
                                      <w:marBottom w:val="0"/>
                                      <w:divBdr>
                                        <w:top w:val="none" w:sz="0" w:space="0" w:color="auto"/>
                                        <w:left w:val="none" w:sz="0" w:space="0" w:color="auto"/>
                                        <w:bottom w:val="none" w:sz="0" w:space="0" w:color="auto"/>
                                        <w:right w:val="none" w:sz="0" w:space="0" w:color="auto"/>
                                      </w:divBdr>
                                    </w:div>
                                    <w:div w:id="142078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82839">
                          <w:marLeft w:val="0"/>
                          <w:marRight w:val="0"/>
                          <w:marTop w:val="0"/>
                          <w:marBottom w:val="0"/>
                          <w:divBdr>
                            <w:top w:val="none" w:sz="0" w:space="0" w:color="auto"/>
                            <w:left w:val="none" w:sz="0" w:space="0" w:color="auto"/>
                            <w:bottom w:val="none" w:sz="0" w:space="0" w:color="auto"/>
                            <w:right w:val="none" w:sz="0" w:space="0" w:color="auto"/>
                          </w:divBdr>
                        </w:div>
                        <w:div w:id="1585723768">
                          <w:marLeft w:val="0"/>
                          <w:marRight w:val="0"/>
                          <w:marTop w:val="0"/>
                          <w:marBottom w:val="0"/>
                          <w:divBdr>
                            <w:top w:val="none" w:sz="0" w:space="0" w:color="auto"/>
                            <w:left w:val="none" w:sz="0" w:space="0" w:color="auto"/>
                            <w:bottom w:val="none" w:sz="0" w:space="0" w:color="auto"/>
                            <w:right w:val="none" w:sz="0" w:space="0" w:color="auto"/>
                          </w:divBdr>
                        </w:div>
                        <w:div w:id="144580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merald.com/insight/search?q=Investment+ethic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merald.com/insight/search?q=Student-managed+investment+funds+%28SMIF%29"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erald.com/insight/search?q=Financial+educatio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108/MF-08-2018-0404" TargetMode="External"/><Relationship Id="rId14" Type="http://schemas.openxmlformats.org/officeDocument/2006/relationships/hyperlink" Target="https://www.emerald.com/insight/search?q=Student-managed+investment+programs+%28SMIP%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5004</Words>
  <Characters>28526</Characters>
  <Application>Microsoft Office Word</Application>
  <DocSecurity>8</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cp:revision>
  <dcterms:created xsi:type="dcterms:W3CDTF">2023-05-05T17:31:00Z</dcterms:created>
  <dcterms:modified xsi:type="dcterms:W3CDTF">2023-05-05T17:40:00Z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