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E8190A" w:rsidRDefault="000A7622" w:rsidP="000A7622">
      <w:pPr>
        <w:pStyle w:val="Default"/>
        <w:rPr>
          <w:rFonts w:asciiTheme="minorHAnsi" w:hAnsiTheme="minorHAnsi" w:cstheme="minorHAnsi"/>
          <w:sz w:val="22"/>
          <w:szCs w:val="22"/>
        </w:rPr>
      </w:pPr>
      <w:bookmarkStart w:id="0" w:name="_Hlk21961029"/>
      <w:bookmarkStart w:id="1" w:name="_GoBack"/>
      <w:bookmarkEnd w:id="0"/>
      <w:bookmarkEnd w:id="1"/>
    </w:p>
    <w:p w14:paraId="2538F7F5" w14:textId="77777777" w:rsidR="000A7622" w:rsidRPr="00E8190A" w:rsidRDefault="000A7622" w:rsidP="00D14423">
      <w:pPr>
        <w:autoSpaceDE w:val="0"/>
        <w:autoSpaceDN w:val="0"/>
        <w:adjustRightInd w:val="0"/>
        <w:rPr>
          <w:rFonts w:cstheme="minorHAnsi"/>
          <w:b/>
          <w:bCs/>
          <w:color w:val="316192"/>
          <w:sz w:val="28"/>
          <w:szCs w:val="26"/>
        </w:rPr>
      </w:pPr>
      <w:bookmarkStart w:id="2" w:name="_Hlk505159787"/>
      <w:bookmarkStart w:id="3" w:name="_Hlk510431162"/>
      <w:r w:rsidRPr="00E8190A">
        <w:rPr>
          <w:rFonts w:cstheme="minorHAnsi"/>
          <w:b/>
          <w:bCs/>
          <w:color w:val="316192"/>
          <w:sz w:val="28"/>
          <w:szCs w:val="26"/>
        </w:rPr>
        <w:t>Marquette University</w:t>
      </w:r>
    </w:p>
    <w:p w14:paraId="158D4B9F" w14:textId="77777777" w:rsidR="000A7622" w:rsidRPr="00E8190A" w:rsidRDefault="000A7622" w:rsidP="00D14423">
      <w:pPr>
        <w:autoSpaceDE w:val="0"/>
        <w:autoSpaceDN w:val="0"/>
        <w:adjustRightInd w:val="0"/>
        <w:rPr>
          <w:rFonts w:cstheme="minorHAnsi"/>
          <w:b/>
          <w:bCs/>
          <w:color w:val="316192"/>
          <w:sz w:val="40"/>
          <w:szCs w:val="36"/>
        </w:rPr>
      </w:pPr>
      <w:proofErr w:type="spellStart"/>
      <w:r w:rsidRPr="00E8190A">
        <w:rPr>
          <w:rFonts w:cstheme="minorHAnsi"/>
          <w:b/>
          <w:bCs/>
          <w:color w:val="316192"/>
          <w:sz w:val="40"/>
          <w:szCs w:val="36"/>
        </w:rPr>
        <w:t>e-Publications@Marquette</w:t>
      </w:r>
      <w:proofErr w:type="spellEnd"/>
    </w:p>
    <w:p w14:paraId="689ACF87" w14:textId="77777777" w:rsidR="000A7622" w:rsidRPr="00E8190A" w:rsidRDefault="000A7622" w:rsidP="00D14423">
      <w:pPr>
        <w:autoSpaceDE w:val="0"/>
        <w:autoSpaceDN w:val="0"/>
        <w:adjustRightInd w:val="0"/>
        <w:rPr>
          <w:rFonts w:cstheme="minorHAnsi"/>
          <w:b/>
          <w:bCs/>
          <w:i/>
          <w:iCs/>
        </w:rPr>
      </w:pPr>
    </w:p>
    <w:p w14:paraId="161853CC" w14:textId="1EAAACEC" w:rsidR="000A7622" w:rsidRPr="00E8190A" w:rsidRDefault="004D0B64" w:rsidP="00D14423">
      <w:pPr>
        <w:autoSpaceDE w:val="0"/>
        <w:autoSpaceDN w:val="0"/>
        <w:adjustRightInd w:val="0"/>
        <w:rPr>
          <w:rFonts w:cstheme="minorHAnsi"/>
          <w:b/>
          <w:bCs/>
          <w:i/>
          <w:iCs/>
          <w:sz w:val="32"/>
          <w:szCs w:val="32"/>
        </w:rPr>
      </w:pPr>
      <w:r w:rsidRPr="00E8190A">
        <w:rPr>
          <w:rFonts w:cstheme="minorHAnsi"/>
          <w:b/>
          <w:bCs/>
          <w:i/>
          <w:iCs/>
          <w:sz w:val="32"/>
          <w:szCs w:val="32"/>
        </w:rPr>
        <w:t xml:space="preserve">Exercise Science </w:t>
      </w:r>
      <w:r w:rsidR="000A7622" w:rsidRPr="00E8190A">
        <w:rPr>
          <w:rFonts w:cstheme="minorHAnsi"/>
          <w:b/>
          <w:bCs/>
          <w:i/>
          <w:iCs/>
          <w:sz w:val="32"/>
          <w:szCs w:val="32"/>
        </w:rPr>
        <w:t>Faculty Research and Publications/</w:t>
      </w:r>
      <w:r w:rsidR="009732A9" w:rsidRPr="00E8190A">
        <w:rPr>
          <w:rFonts w:cstheme="minorHAnsi"/>
          <w:b/>
          <w:bCs/>
          <w:i/>
          <w:iCs/>
          <w:sz w:val="32"/>
          <w:szCs w:val="32"/>
        </w:rPr>
        <w:t xml:space="preserve">College of </w:t>
      </w:r>
      <w:r w:rsidRPr="00E8190A">
        <w:rPr>
          <w:rFonts w:cstheme="minorHAnsi"/>
          <w:b/>
          <w:bCs/>
          <w:i/>
          <w:iCs/>
          <w:sz w:val="32"/>
          <w:szCs w:val="32"/>
        </w:rPr>
        <w:t>Health Sciences</w:t>
      </w:r>
    </w:p>
    <w:bookmarkEnd w:id="2"/>
    <w:p w14:paraId="3E538636" w14:textId="77777777" w:rsidR="000A7622" w:rsidRPr="00E8190A" w:rsidRDefault="000A7622" w:rsidP="00D14423">
      <w:pPr>
        <w:jc w:val="center"/>
        <w:rPr>
          <w:rFonts w:cstheme="minorHAnsi"/>
          <w:b/>
          <w:bCs/>
          <w:i/>
          <w:iCs/>
        </w:rPr>
      </w:pPr>
    </w:p>
    <w:p w14:paraId="25509BF0" w14:textId="14B89B99" w:rsidR="000A7622" w:rsidRPr="00E8190A" w:rsidRDefault="000A7622" w:rsidP="00D14423">
      <w:pPr>
        <w:jc w:val="center"/>
        <w:rPr>
          <w:rFonts w:cstheme="minorHAnsi"/>
          <w:sz w:val="24"/>
          <w:szCs w:val="24"/>
        </w:rPr>
      </w:pPr>
      <w:r w:rsidRPr="00E8190A">
        <w:rPr>
          <w:rFonts w:cstheme="minorHAnsi"/>
          <w:b/>
          <w:bCs/>
          <w:i/>
          <w:iCs/>
          <w:sz w:val="24"/>
          <w:szCs w:val="24"/>
        </w:rPr>
        <w:t xml:space="preserve">This paper is NOT THE PUBLISHED VERSION; </w:t>
      </w:r>
      <w:r w:rsidRPr="00E8190A">
        <w:rPr>
          <w:rFonts w:cstheme="minorHAnsi"/>
          <w:b/>
          <w:bCs/>
          <w:sz w:val="24"/>
          <w:szCs w:val="24"/>
        </w:rPr>
        <w:t xml:space="preserve">but the author’s final, peer-reviewed manuscript. </w:t>
      </w:r>
      <w:r w:rsidRPr="00E8190A">
        <w:rPr>
          <w:rFonts w:cstheme="minorHAnsi"/>
          <w:sz w:val="24"/>
          <w:szCs w:val="24"/>
        </w:rPr>
        <w:t>The published version may be accessed by following the link in th</w:t>
      </w:r>
      <w:r w:rsidR="004D0B64" w:rsidRPr="00E8190A">
        <w:rPr>
          <w:rFonts w:cstheme="minorHAnsi"/>
          <w:sz w:val="24"/>
          <w:szCs w:val="24"/>
        </w:rPr>
        <w:t>e</w:t>
      </w:r>
      <w:r w:rsidRPr="00E8190A">
        <w:rPr>
          <w:rFonts w:cstheme="minorHAnsi"/>
          <w:sz w:val="24"/>
          <w:szCs w:val="24"/>
        </w:rPr>
        <w:t xml:space="preserve"> citation below.</w:t>
      </w:r>
    </w:p>
    <w:p w14:paraId="207B0342" w14:textId="77777777" w:rsidR="000A7622" w:rsidRPr="00E8190A" w:rsidRDefault="000A7622" w:rsidP="00D14423">
      <w:pPr>
        <w:jc w:val="center"/>
        <w:rPr>
          <w:rFonts w:cstheme="minorHAnsi"/>
          <w:sz w:val="24"/>
          <w:szCs w:val="24"/>
        </w:rPr>
      </w:pPr>
    </w:p>
    <w:p w14:paraId="2A38AFE1" w14:textId="7027A719" w:rsidR="000A7622" w:rsidRPr="00E8190A" w:rsidRDefault="005B0B7C" w:rsidP="00D14423">
      <w:pPr>
        <w:rPr>
          <w:rFonts w:cstheme="minorHAnsi"/>
          <w:sz w:val="24"/>
          <w:szCs w:val="24"/>
        </w:rPr>
      </w:pPr>
      <w:r w:rsidRPr="00E8190A">
        <w:rPr>
          <w:rFonts w:cstheme="minorHAnsi"/>
          <w:i/>
          <w:sz w:val="24"/>
          <w:szCs w:val="24"/>
          <w:lang w:val="fr-FR"/>
        </w:rPr>
        <w:t>Bone Reports</w:t>
      </w:r>
      <w:r w:rsidR="000A7622" w:rsidRPr="00E8190A">
        <w:rPr>
          <w:rFonts w:cstheme="minorHAnsi"/>
          <w:sz w:val="24"/>
          <w:szCs w:val="24"/>
          <w:lang w:val="fr-FR"/>
        </w:rPr>
        <w:t xml:space="preserve">, Vol. </w:t>
      </w:r>
      <w:r w:rsidR="00D419B7" w:rsidRPr="00E8190A">
        <w:rPr>
          <w:rFonts w:cstheme="minorHAnsi"/>
          <w:sz w:val="24"/>
          <w:szCs w:val="24"/>
          <w:lang w:val="fr-FR"/>
        </w:rPr>
        <w:t>10</w:t>
      </w:r>
      <w:r w:rsidR="000A7622" w:rsidRPr="00E8190A">
        <w:rPr>
          <w:rFonts w:cstheme="minorHAnsi"/>
          <w:sz w:val="24"/>
          <w:szCs w:val="24"/>
          <w:lang w:val="fr-FR"/>
        </w:rPr>
        <w:t xml:space="preserve">, No. </w:t>
      </w:r>
      <w:proofErr w:type="gramStart"/>
      <w:r w:rsidR="00D419B7" w:rsidRPr="00E8190A">
        <w:rPr>
          <w:rFonts w:cstheme="minorHAnsi"/>
          <w:sz w:val="24"/>
          <w:szCs w:val="24"/>
          <w:lang w:val="fr-FR"/>
        </w:rPr>
        <w:t>n</w:t>
      </w:r>
      <w:proofErr w:type="gramEnd"/>
      <w:r w:rsidR="00D419B7" w:rsidRPr="00E8190A">
        <w:rPr>
          <w:rFonts w:cstheme="minorHAnsi"/>
          <w:sz w:val="24"/>
          <w:szCs w:val="24"/>
          <w:lang w:val="fr-FR"/>
        </w:rPr>
        <w:t>/a</w:t>
      </w:r>
      <w:r w:rsidR="000A7622" w:rsidRPr="00E8190A">
        <w:rPr>
          <w:rFonts w:cstheme="minorHAnsi"/>
          <w:sz w:val="24"/>
          <w:szCs w:val="24"/>
          <w:lang w:val="fr-FR"/>
        </w:rPr>
        <w:t xml:space="preserve"> (</w:t>
      </w:r>
      <w:r w:rsidR="00D419B7" w:rsidRPr="00E8190A">
        <w:rPr>
          <w:rFonts w:cstheme="minorHAnsi"/>
          <w:sz w:val="24"/>
          <w:szCs w:val="24"/>
          <w:lang w:val="fr-FR"/>
        </w:rPr>
        <w:t>June 2019</w:t>
      </w:r>
      <w:r w:rsidR="000A7622" w:rsidRPr="00E8190A">
        <w:rPr>
          <w:rFonts w:cstheme="minorHAnsi"/>
          <w:sz w:val="24"/>
          <w:szCs w:val="24"/>
          <w:lang w:val="fr-FR"/>
        </w:rPr>
        <w:t xml:space="preserve">): XX-XX. </w:t>
      </w:r>
      <w:hyperlink r:id="rId8" w:history="1">
        <w:r w:rsidR="000A7622" w:rsidRPr="00E8190A">
          <w:rPr>
            <w:rFonts w:cstheme="minorHAnsi"/>
            <w:color w:val="0563C1" w:themeColor="hyperlink"/>
            <w:sz w:val="24"/>
            <w:szCs w:val="24"/>
            <w:u w:val="single"/>
            <w:lang w:val="fr-FR"/>
          </w:rPr>
          <w:t>DOI</w:t>
        </w:r>
      </w:hyperlink>
      <w:r w:rsidR="000A7622" w:rsidRPr="00E8190A">
        <w:rPr>
          <w:rFonts w:cstheme="minorHAnsi"/>
          <w:sz w:val="24"/>
          <w:szCs w:val="24"/>
          <w:lang w:val="fr-FR"/>
        </w:rPr>
        <w:t xml:space="preserve">. </w:t>
      </w:r>
      <w:r w:rsidR="000A7622" w:rsidRPr="00E8190A">
        <w:rPr>
          <w:rFonts w:cstheme="minorHAnsi"/>
          <w:sz w:val="24"/>
          <w:szCs w:val="24"/>
        </w:rPr>
        <w:t xml:space="preserve">This article is © </w:t>
      </w:r>
      <w:bookmarkStart w:id="4" w:name="_Hlk22027269"/>
      <w:r w:rsidR="001802DF" w:rsidRPr="00E8190A">
        <w:rPr>
          <w:rFonts w:cstheme="minorHAnsi"/>
          <w:sz w:val="24"/>
          <w:szCs w:val="24"/>
        </w:rPr>
        <w:t>Elsevier</w:t>
      </w:r>
      <w:bookmarkEnd w:id="4"/>
      <w:r w:rsidR="000A7622" w:rsidRPr="00E8190A">
        <w:rPr>
          <w:rFonts w:cstheme="minorHAnsi"/>
          <w:sz w:val="24"/>
          <w:szCs w:val="24"/>
        </w:rPr>
        <w:t xml:space="preserve"> and permission has been granted for this version to appear in </w:t>
      </w:r>
      <w:hyperlink r:id="rId9" w:history="1">
        <w:proofErr w:type="spellStart"/>
        <w:r w:rsidR="000A7622" w:rsidRPr="00E8190A">
          <w:rPr>
            <w:rFonts w:cstheme="minorHAnsi"/>
            <w:color w:val="0563C1" w:themeColor="hyperlink"/>
            <w:sz w:val="24"/>
            <w:szCs w:val="24"/>
            <w:u w:val="single"/>
          </w:rPr>
          <w:t>e-Publications@Marquette</w:t>
        </w:r>
        <w:proofErr w:type="spellEnd"/>
      </w:hyperlink>
      <w:r w:rsidR="000A7622" w:rsidRPr="00E8190A">
        <w:rPr>
          <w:rFonts w:cstheme="minorHAnsi"/>
          <w:sz w:val="24"/>
          <w:szCs w:val="24"/>
        </w:rPr>
        <w:t xml:space="preserve">. </w:t>
      </w:r>
      <w:r w:rsidR="001802DF" w:rsidRPr="00E8190A">
        <w:rPr>
          <w:rFonts w:cstheme="minorHAnsi"/>
          <w:sz w:val="24"/>
          <w:szCs w:val="24"/>
        </w:rPr>
        <w:t xml:space="preserve">Elsevier </w:t>
      </w:r>
      <w:r w:rsidR="000A7622" w:rsidRPr="00E8190A">
        <w:rPr>
          <w:rFonts w:cstheme="minorHAnsi"/>
          <w:sz w:val="24"/>
          <w:szCs w:val="24"/>
        </w:rPr>
        <w:t xml:space="preserve">does not grant permission for this article to be further copied/distributed or hosted elsewhere without the express permission from </w:t>
      </w:r>
      <w:r w:rsidR="001F0A66" w:rsidRPr="00E8190A">
        <w:rPr>
          <w:rFonts w:cstheme="minorHAnsi"/>
          <w:sz w:val="24"/>
          <w:szCs w:val="24"/>
        </w:rPr>
        <w:t>Elsevier</w:t>
      </w:r>
      <w:r w:rsidR="000A7622" w:rsidRPr="00E8190A">
        <w:rPr>
          <w:rFonts w:cstheme="minorHAnsi"/>
          <w:sz w:val="24"/>
          <w:szCs w:val="24"/>
        </w:rPr>
        <w:t xml:space="preserve">. </w:t>
      </w:r>
    </w:p>
    <w:p w14:paraId="5932D02C" w14:textId="2A42B68A" w:rsidR="00D71631" w:rsidRPr="00E8190A" w:rsidRDefault="00D71631" w:rsidP="00D71631">
      <w:pPr>
        <w:pStyle w:val="Title"/>
        <w:rPr>
          <w:rFonts w:asciiTheme="minorHAnsi" w:hAnsiTheme="minorHAnsi" w:cstheme="minorHAnsi"/>
        </w:rPr>
      </w:pPr>
      <w:r w:rsidRPr="00E8190A">
        <w:rPr>
          <w:rFonts w:asciiTheme="minorHAnsi" w:hAnsiTheme="minorHAnsi" w:cstheme="minorHAnsi"/>
        </w:rPr>
        <w:t xml:space="preserve">Impact of frequent apheresis blood donation on bone density: A </w:t>
      </w:r>
      <w:proofErr w:type="spellStart"/>
      <w:proofErr w:type="gramStart"/>
      <w:r w:rsidRPr="00E8190A">
        <w:rPr>
          <w:rFonts w:asciiTheme="minorHAnsi" w:hAnsiTheme="minorHAnsi" w:cstheme="minorHAnsi"/>
        </w:rPr>
        <w:t>prospective,longitudinal</w:t>
      </w:r>
      <w:proofErr w:type="spellEnd"/>
      <w:proofErr w:type="gramEnd"/>
      <w:r w:rsidRPr="00E8190A">
        <w:rPr>
          <w:rFonts w:asciiTheme="minorHAnsi" w:hAnsiTheme="minorHAnsi" w:cstheme="minorHAnsi"/>
        </w:rPr>
        <w:t>, randomized, controlled trial</w:t>
      </w:r>
    </w:p>
    <w:p w14:paraId="5C618C0C" w14:textId="254696E1" w:rsidR="00770291" w:rsidRPr="00E8190A" w:rsidRDefault="00770291" w:rsidP="00770291">
      <w:pPr>
        <w:rPr>
          <w:rFonts w:cstheme="minorHAnsi"/>
        </w:rPr>
      </w:pPr>
    </w:p>
    <w:p w14:paraId="20170C82" w14:textId="42BE0DD2" w:rsidR="00770291" w:rsidRPr="00E8190A" w:rsidRDefault="00770291" w:rsidP="006D5D62">
      <w:pPr>
        <w:pStyle w:val="ListParagraph"/>
        <w:numPr>
          <w:ilvl w:val="0"/>
          <w:numId w:val="6"/>
        </w:numPr>
        <w:rPr>
          <w:rFonts w:cstheme="minorHAnsi"/>
        </w:rPr>
      </w:pPr>
      <w:r w:rsidRPr="00E8190A">
        <w:rPr>
          <w:rFonts w:cstheme="minorHAnsi"/>
          <w:sz w:val="28"/>
          <w:szCs w:val="28"/>
        </w:rPr>
        <w:t xml:space="preserve">Walter </w:t>
      </w:r>
      <w:proofErr w:type="spellStart"/>
      <w:r w:rsidRPr="00E8190A">
        <w:rPr>
          <w:rFonts w:cstheme="minorHAnsi"/>
          <w:sz w:val="28"/>
          <w:szCs w:val="28"/>
        </w:rPr>
        <w:t>Bialkowski</w:t>
      </w:r>
      <w:proofErr w:type="spellEnd"/>
      <w:r w:rsidRPr="00E8190A">
        <w:rPr>
          <w:rFonts w:cstheme="minorHAnsi"/>
          <w:sz w:val="28"/>
          <w:szCs w:val="28"/>
        </w:rPr>
        <w:t xml:space="preserve">: </w:t>
      </w:r>
      <w:bookmarkStart w:id="5" w:name="_Hlk21959312"/>
      <w:r w:rsidR="005627C0" w:rsidRPr="00E8190A">
        <w:rPr>
          <w:rFonts w:cstheme="minorHAnsi"/>
        </w:rPr>
        <w:t xml:space="preserve">Blood Research and Medical Sciences Institutes, </w:t>
      </w:r>
      <w:proofErr w:type="spellStart"/>
      <w:r w:rsidR="005627C0" w:rsidRPr="00E8190A">
        <w:rPr>
          <w:rFonts w:cstheme="minorHAnsi"/>
        </w:rPr>
        <w:t>BloodCenter</w:t>
      </w:r>
      <w:proofErr w:type="spellEnd"/>
      <w:r w:rsidR="005627C0" w:rsidRPr="00E8190A">
        <w:rPr>
          <w:rFonts w:cstheme="minorHAnsi"/>
        </w:rPr>
        <w:t xml:space="preserve"> of Wisconsin, Milwaukee, WI</w:t>
      </w:r>
    </w:p>
    <w:bookmarkEnd w:id="5"/>
    <w:p w14:paraId="1024F9BF" w14:textId="4D2FA054" w:rsidR="007B7EBF" w:rsidRPr="00E8190A" w:rsidRDefault="007B7EBF" w:rsidP="006D5D62">
      <w:pPr>
        <w:pStyle w:val="ListParagraph"/>
        <w:rPr>
          <w:rFonts w:cstheme="minorHAnsi"/>
          <w:shd w:val="clear" w:color="auto" w:fill="FFFFFF"/>
        </w:rPr>
      </w:pPr>
      <w:r w:rsidRPr="00E8190A">
        <w:rPr>
          <w:rFonts w:cstheme="minorHAnsi"/>
          <w:shd w:val="clear" w:color="auto" w:fill="FFFFFF"/>
        </w:rPr>
        <w:t>Department of Exercise Science, Marquette University</w:t>
      </w:r>
      <w:r w:rsidR="00623655" w:rsidRPr="00E8190A">
        <w:rPr>
          <w:rFonts w:cstheme="minorHAnsi"/>
          <w:shd w:val="clear" w:color="auto" w:fill="FFFFFF"/>
        </w:rPr>
        <w:t>, Milwaukee, WI</w:t>
      </w:r>
    </w:p>
    <w:p w14:paraId="281AC49C" w14:textId="16B1E3BE" w:rsidR="00402129" w:rsidRPr="00E8190A" w:rsidRDefault="00402129" w:rsidP="006D5D62">
      <w:pPr>
        <w:pStyle w:val="ListParagraph"/>
        <w:numPr>
          <w:ilvl w:val="0"/>
          <w:numId w:val="6"/>
        </w:numPr>
        <w:rPr>
          <w:rFonts w:cstheme="minorHAnsi"/>
          <w:shd w:val="clear" w:color="auto" w:fill="FFFFFF"/>
        </w:rPr>
      </w:pPr>
      <w:r w:rsidRPr="00E8190A">
        <w:rPr>
          <w:rFonts w:cstheme="minorHAnsi"/>
          <w:sz w:val="28"/>
          <w:szCs w:val="28"/>
          <w:shd w:val="clear" w:color="auto" w:fill="FFFFFF"/>
        </w:rPr>
        <w:t xml:space="preserve">Robert D. Blank: </w:t>
      </w:r>
      <w:r w:rsidR="00983893" w:rsidRPr="00E8190A">
        <w:rPr>
          <w:rFonts w:cstheme="minorHAnsi"/>
          <w:shd w:val="clear" w:color="auto" w:fill="FFFFFF"/>
        </w:rPr>
        <w:t>Endocrinology, Metabolism, and Clinical Nutrition, Medical College of Wisconsin, Milwaukee, WI</w:t>
      </w:r>
    </w:p>
    <w:p w14:paraId="417A9CD5" w14:textId="36E89FFC" w:rsidR="00CE52EA" w:rsidRPr="00E8190A" w:rsidRDefault="00CE52EA" w:rsidP="006D5D62">
      <w:pPr>
        <w:pStyle w:val="ListParagraph"/>
        <w:rPr>
          <w:rFonts w:cstheme="minorHAnsi"/>
          <w:shd w:val="clear" w:color="auto" w:fill="FFFFFF"/>
        </w:rPr>
      </w:pPr>
      <w:r w:rsidRPr="00E8190A">
        <w:rPr>
          <w:rFonts w:cstheme="minorHAnsi"/>
          <w:shd w:val="clear" w:color="auto" w:fill="FFFFFF"/>
        </w:rPr>
        <w:t xml:space="preserve">Clement J. </w:t>
      </w:r>
      <w:proofErr w:type="spellStart"/>
      <w:r w:rsidRPr="00E8190A">
        <w:rPr>
          <w:rFonts w:cstheme="minorHAnsi"/>
          <w:shd w:val="clear" w:color="auto" w:fill="FFFFFF"/>
        </w:rPr>
        <w:t>Zablocki</w:t>
      </w:r>
      <w:proofErr w:type="spellEnd"/>
      <w:r w:rsidRPr="00E8190A">
        <w:rPr>
          <w:rFonts w:cstheme="minorHAnsi"/>
          <w:shd w:val="clear" w:color="auto" w:fill="FFFFFF"/>
        </w:rPr>
        <w:t xml:space="preserve"> VAMC, 5000 W National Ave, Milwaukee, WI</w:t>
      </w:r>
    </w:p>
    <w:p w14:paraId="154E6483" w14:textId="1CBCC6B5" w:rsidR="00CE52EA" w:rsidRPr="00E8190A" w:rsidRDefault="00CE52EA" w:rsidP="006D5D62">
      <w:pPr>
        <w:pStyle w:val="ListParagraph"/>
        <w:numPr>
          <w:ilvl w:val="0"/>
          <w:numId w:val="6"/>
        </w:numPr>
        <w:rPr>
          <w:rFonts w:cstheme="minorHAnsi"/>
          <w:shd w:val="clear" w:color="auto" w:fill="FFFFFF"/>
        </w:rPr>
      </w:pPr>
      <w:r w:rsidRPr="00E8190A">
        <w:rPr>
          <w:rFonts w:cstheme="minorHAnsi"/>
          <w:sz w:val="28"/>
          <w:szCs w:val="28"/>
          <w:shd w:val="clear" w:color="auto" w:fill="FFFFFF"/>
        </w:rPr>
        <w:t>Cheng Zheng</w:t>
      </w:r>
      <w:r w:rsidR="0029459B" w:rsidRPr="00E8190A">
        <w:rPr>
          <w:rFonts w:cstheme="minorHAnsi"/>
          <w:sz w:val="28"/>
          <w:szCs w:val="28"/>
          <w:shd w:val="clear" w:color="auto" w:fill="FFFFFF"/>
        </w:rPr>
        <w:t>:</w:t>
      </w:r>
      <w:r w:rsidR="0029459B" w:rsidRPr="00E8190A">
        <w:rPr>
          <w:rFonts w:cstheme="minorHAnsi"/>
          <w:shd w:val="clear" w:color="auto" w:fill="FFFFFF"/>
        </w:rPr>
        <w:t xml:space="preserve"> </w:t>
      </w:r>
      <w:proofErr w:type="spellStart"/>
      <w:r w:rsidR="0029459B" w:rsidRPr="00E8190A">
        <w:rPr>
          <w:rFonts w:cstheme="minorHAnsi"/>
          <w:shd w:val="clear" w:color="auto" w:fill="FFFFFF"/>
        </w:rPr>
        <w:t>Zilber</w:t>
      </w:r>
      <w:proofErr w:type="spellEnd"/>
      <w:r w:rsidR="0029459B" w:rsidRPr="00E8190A">
        <w:rPr>
          <w:rFonts w:cstheme="minorHAnsi"/>
          <w:shd w:val="clear" w:color="auto" w:fill="FFFFFF"/>
        </w:rPr>
        <w:t xml:space="preserve"> School of Public Health, University of Wisconsin, Milwaukee, WI</w:t>
      </w:r>
    </w:p>
    <w:p w14:paraId="3FF93460" w14:textId="77777777" w:rsidR="00B2793D" w:rsidRPr="00E8190A" w:rsidRDefault="006D5D62" w:rsidP="00B2793D">
      <w:pPr>
        <w:pStyle w:val="ListParagraph"/>
        <w:numPr>
          <w:ilvl w:val="0"/>
          <w:numId w:val="6"/>
        </w:numPr>
        <w:rPr>
          <w:rFonts w:cstheme="minorHAnsi"/>
          <w:shd w:val="clear" w:color="auto" w:fill="FFFFFF"/>
        </w:rPr>
      </w:pPr>
      <w:r w:rsidRPr="00E8190A">
        <w:rPr>
          <w:rFonts w:cstheme="minorHAnsi"/>
          <w:sz w:val="28"/>
          <w:szCs w:val="28"/>
          <w:shd w:val="clear" w:color="auto" w:fill="FFFFFF"/>
        </w:rPr>
        <w:t>Jerome L. Gottschal</w:t>
      </w:r>
      <w:r w:rsidR="00B2793D" w:rsidRPr="00E8190A">
        <w:rPr>
          <w:rFonts w:cstheme="minorHAnsi"/>
          <w:sz w:val="28"/>
          <w:szCs w:val="28"/>
          <w:shd w:val="clear" w:color="auto" w:fill="FFFFFF"/>
        </w:rPr>
        <w:t xml:space="preserve">l: </w:t>
      </w:r>
      <w:r w:rsidR="00B2793D" w:rsidRPr="00E8190A">
        <w:rPr>
          <w:rFonts w:cstheme="minorHAnsi"/>
          <w:shd w:val="clear" w:color="auto" w:fill="FFFFFF"/>
        </w:rPr>
        <w:t xml:space="preserve">Blood Research and Medical Sciences Institutes, </w:t>
      </w:r>
      <w:proofErr w:type="spellStart"/>
      <w:r w:rsidR="00B2793D" w:rsidRPr="00E8190A">
        <w:rPr>
          <w:rFonts w:cstheme="minorHAnsi"/>
          <w:shd w:val="clear" w:color="auto" w:fill="FFFFFF"/>
        </w:rPr>
        <w:t>BloodCenter</w:t>
      </w:r>
      <w:proofErr w:type="spellEnd"/>
      <w:r w:rsidR="00B2793D" w:rsidRPr="00E8190A">
        <w:rPr>
          <w:rFonts w:cstheme="minorHAnsi"/>
          <w:shd w:val="clear" w:color="auto" w:fill="FFFFFF"/>
        </w:rPr>
        <w:t xml:space="preserve"> of Wisconsin, Milwaukee, WI</w:t>
      </w:r>
    </w:p>
    <w:p w14:paraId="7EEA1D20" w14:textId="5DB43A03" w:rsidR="00623655" w:rsidRPr="00E8190A" w:rsidRDefault="00B2793D" w:rsidP="00623655">
      <w:pPr>
        <w:pStyle w:val="ListParagraph"/>
        <w:numPr>
          <w:ilvl w:val="0"/>
          <w:numId w:val="6"/>
        </w:numPr>
        <w:rPr>
          <w:rFonts w:cstheme="minorHAnsi"/>
          <w:shd w:val="clear" w:color="auto" w:fill="FFFFFF"/>
        </w:rPr>
      </w:pPr>
      <w:r w:rsidRPr="00E8190A">
        <w:rPr>
          <w:rFonts w:cstheme="minorHAnsi"/>
          <w:sz w:val="28"/>
          <w:szCs w:val="28"/>
          <w:shd w:val="clear" w:color="auto" w:fill="FFFFFF"/>
        </w:rPr>
        <w:t xml:space="preserve">Paula E. Papanek: </w:t>
      </w:r>
      <w:r w:rsidR="00623655" w:rsidRPr="00E8190A">
        <w:rPr>
          <w:rFonts w:cstheme="minorHAnsi"/>
          <w:shd w:val="clear" w:color="auto" w:fill="FFFFFF"/>
        </w:rPr>
        <w:t>Department of Exercise Science, Marquette University, Milwaukee, WI</w:t>
      </w:r>
    </w:p>
    <w:p w14:paraId="111FDF47" w14:textId="10EE9F84" w:rsidR="006D5D62" w:rsidRPr="00E8190A" w:rsidRDefault="006D5D62" w:rsidP="00623655">
      <w:pPr>
        <w:pStyle w:val="ListParagraph"/>
        <w:rPr>
          <w:rFonts w:cstheme="minorHAnsi"/>
          <w:shd w:val="clear" w:color="auto" w:fill="FFFFFF"/>
        </w:rPr>
      </w:pPr>
    </w:p>
    <w:p w14:paraId="3667D3B6" w14:textId="77777777" w:rsidR="00983893" w:rsidRPr="00E8190A" w:rsidRDefault="00983893" w:rsidP="00770291">
      <w:pPr>
        <w:rPr>
          <w:rFonts w:cstheme="minorHAnsi"/>
        </w:rPr>
      </w:pPr>
    </w:p>
    <w:bookmarkEnd w:id="3"/>
    <w:p w14:paraId="18CA2B21" w14:textId="77777777" w:rsidR="00E86E48" w:rsidRPr="00E8190A" w:rsidRDefault="00E86E48" w:rsidP="00623655">
      <w:pPr>
        <w:pStyle w:val="Heading1"/>
        <w:rPr>
          <w:rFonts w:asciiTheme="minorHAnsi" w:hAnsiTheme="minorHAnsi" w:cstheme="minorHAnsi"/>
          <w:lang w:val="en"/>
        </w:rPr>
      </w:pPr>
      <w:r w:rsidRPr="00E8190A">
        <w:rPr>
          <w:rFonts w:asciiTheme="minorHAnsi" w:hAnsiTheme="minorHAnsi" w:cstheme="minorHAnsi"/>
          <w:lang w:val="en"/>
        </w:rPr>
        <w:lastRenderedPageBreak/>
        <w:t>Abstract</w:t>
      </w:r>
    </w:p>
    <w:p w14:paraId="1EE55939" w14:textId="77777777" w:rsidR="00E86E48" w:rsidRPr="00E8190A" w:rsidRDefault="00E86E48" w:rsidP="00623655">
      <w:pPr>
        <w:pStyle w:val="Heading2"/>
        <w:rPr>
          <w:rFonts w:asciiTheme="minorHAnsi" w:hAnsiTheme="minorHAnsi" w:cstheme="minorHAnsi"/>
          <w:lang w:val="en"/>
        </w:rPr>
      </w:pPr>
      <w:r w:rsidRPr="00E8190A">
        <w:rPr>
          <w:rFonts w:asciiTheme="minorHAnsi" w:hAnsiTheme="minorHAnsi" w:cstheme="minorHAnsi"/>
          <w:lang w:val="en"/>
        </w:rPr>
        <w:t>Background</w:t>
      </w:r>
    </w:p>
    <w:p w14:paraId="5F9C9714" w14:textId="77777777" w:rsidR="00E86E48" w:rsidRPr="00E8190A" w:rsidRDefault="00E86E48" w:rsidP="00623655">
      <w:pPr>
        <w:rPr>
          <w:rFonts w:cstheme="minorHAnsi"/>
          <w:lang w:val="en"/>
        </w:rPr>
      </w:pPr>
      <w:r w:rsidRPr="00E8190A">
        <w:rPr>
          <w:rFonts w:cstheme="minorHAnsi"/>
          <w:lang w:val="en"/>
        </w:rPr>
        <w:t>Blood for transfusion is lifesaving and essential to many elements of modern medical practice. The global blood supply relies on volunteer </w:t>
      </w:r>
      <w:hyperlink r:id="rId10" w:tooltip="Learn more about Blood Donor from ScienceDirect's AI-generated Topic Pages" w:history="1">
        <w:r w:rsidRPr="00E8190A">
          <w:rPr>
            <w:rStyle w:val="Hyperlink"/>
            <w:rFonts w:eastAsiaTheme="majorEastAsia" w:cstheme="minorHAnsi"/>
            <w:color w:val="0C7DBB"/>
            <w:sz w:val="27"/>
            <w:szCs w:val="27"/>
            <w:lang w:val="en"/>
          </w:rPr>
          <w:t>blood donors</w:t>
        </w:r>
      </w:hyperlink>
      <w:r w:rsidRPr="00E8190A">
        <w:rPr>
          <w:rFonts w:cstheme="minorHAnsi"/>
          <w:lang w:val="en"/>
        </w:rPr>
        <w:t>. </w:t>
      </w:r>
      <w:hyperlink r:id="rId11" w:tooltip="Learn more about Apheresis from ScienceDirect's AI-generated Topic Pages" w:history="1">
        <w:r w:rsidRPr="00E8190A">
          <w:rPr>
            <w:rStyle w:val="Hyperlink"/>
            <w:rFonts w:eastAsiaTheme="majorEastAsia" w:cstheme="minorHAnsi"/>
            <w:color w:val="0C7DBB"/>
            <w:sz w:val="27"/>
            <w:szCs w:val="27"/>
            <w:lang w:val="en"/>
          </w:rPr>
          <w:t>Apheresis</w:t>
        </w:r>
      </w:hyperlink>
      <w:r w:rsidRPr="00E8190A">
        <w:rPr>
          <w:rFonts w:cstheme="minorHAnsi"/>
          <w:lang w:val="en"/>
        </w:rPr>
        <w:t> is increasingly used to collect blood and requires </w:t>
      </w:r>
      <w:hyperlink r:id="rId12" w:tooltip="Learn more about Antithrombotic from ScienceDirect's AI-generated Topic Pages" w:history="1">
        <w:r w:rsidRPr="00E8190A">
          <w:rPr>
            <w:rStyle w:val="Hyperlink"/>
            <w:rFonts w:eastAsiaTheme="majorEastAsia" w:cstheme="minorHAnsi"/>
            <w:color w:val="0C7DBB"/>
            <w:sz w:val="27"/>
            <w:szCs w:val="27"/>
            <w:lang w:val="en"/>
          </w:rPr>
          <w:t>anticoagulant</w:t>
        </w:r>
      </w:hyperlink>
      <w:r w:rsidRPr="00E8190A">
        <w:rPr>
          <w:rFonts w:cstheme="minorHAnsi"/>
          <w:lang w:val="en"/>
        </w:rPr>
        <w:t> to prevent </w:t>
      </w:r>
      <w:hyperlink r:id="rId13" w:tooltip="Learn more about Extracorporeal from ScienceDirect's AI-generated Topic Pages" w:history="1">
        <w:r w:rsidRPr="00E8190A">
          <w:rPr>
            <w:rStyle w:val="Hyperlink"/>
            <w:rFonts w:eastAsiaTheme="majorEastAsia" w:cstheme="minorHAnsi"/>
            <w:color w:val="0C7DBB"/>
            <w:sz w:val="27"/>
            <w:szCs w:val="27"/>
            <w:lang w:val="en"/>
          </w:rPr>
          <w:t>extracorporeal</w:t>
        </w:r>
      </w:hyperlink>
      <w:r w:rsidRPr="00E8190A">
        <w:rPr>
          <w:rFonts w:cstheme="minorHAnsi"/>
          <w:lang w:val="en"/>
        </w:rPr>
        <w:t> coagulation. </w:t>
      </w:r>
      <w:hyperlink r:id="rId14" w:tooltip="Learn more about Citrate from ScienceDirect's AI-generated Topic Pages" w:history="1">
        <w:r w:rsidRPr="00E8190A">
          <w:rPr>
            <w:rStyle w:val="Hyperlink"/>
            <w:rFonts w:eastAsiaTheme="majorEastAsia" w:cstheme="minorHAnsi"/>
            <w:color w:val="0C7DBB"/>
            <w:sz w:val="27"/>
            <w:szCs w:val="27"/>
            <w:lang w:val="en"/>
          </w:rPr>
          <w:t>Citrate</w:t>
        </w:r>
      </w:hyperlink>
      <w:r w:rsidRPr="00E8190A">
        <w:rPr>
          <w:rFonts w:cstheme="minorHAnsi"/>
          <w:lang w:val="en"/>
        </w:rPr>
        <w:t>, the standard apheresis anticoagulant, </w:t>
      </w:r>
      <w:hyperlink r:id="rId15" w:tooltip="Learn more about Chelate from ScienceDirect's AI-generated Topic Pages" w:history="1">
        <w:r w:rsidRPr="00E8190A">
          <w:rPr>
            <w:rStyle w:val="Hyperlink"/>
            <w:rFonts w:eastAsiaTheme="majorEastAsia" w:cstheme="minorHAnsi"/>
            <w:color w:val="0C7DBB"/>
            <w:sz w:val="27"/>
            <w:szCs w:val="27"/>
            <w:lang w:val="en"/>
          </w:rPr>
          <w:t>chelates</w:t>
        </w:r>
      </w:hyperlink>
      <w:r w:rsidRPr="00E8190A">
        <w:rPr>
          <w:rFonts w:cstheme="minorHAnsi"/>
          <w:lang w:val="en"/>
        </w:rPr>
        <w:t> </w:t>
      </w:r>
      <w:hyperlink r:id="rId16" w:tooltip="Learn more about Calcium Ion from ScienceDirect's AI-generated Topic Pages" w:history="1">
        <w:r w:rsidRPr="00E8190A">
          <w:rPr>
            <w:rStyle w:val="Hyperlink"/>
            <w:rFonts w:eastAsiaTheme="majorEastAsia" w:cstheme="minorHAnsi"/>
            <w:color w:val="0C7DBB"/>
            <w:sz w:val="27"/>
            <w:szCs w:val="27"/>
            <w:lang w:val="en"/>
          </w:rPr>
          <w:t>ionized calcium</w:t>
        </w:r>
      </w:hyperlink>
      <w:r w:rsidRPr="00E8190A">
        <w:rPr>
          <w:rFonts w:cstheme="minorHAnsi"/>
          <w:lang w:val="en"/>
        </w:rPr>
        <w:t> with consequent perturbations of serum </w:t>
      </w:r>
      <w:hyperlink r:id="rId17" w:tooltip="Learn more about Isotopes of Calcium from ScienceDirect's AI-generated Topic Pages" w:history="1">
        <w:r w:rsidRPr="00E8190A">
          <w:rPr>
            <w:rStyle w:val="Hyperlink"/>
            <w:rFonts w:eastAsiaTheme="majorEastAsia" w:cstheme="minorHAnsi"/>
            <w:color w:val="0C7DBB"/>
            <w:sz w:val="27"/>
            <w:szCs w:val="27"/>
            <w:lang w:val="en"/>
          </w:rPr>
          <w:t>calcium</w:t>
        </w:r>
      </w:hyperlink>
      <w:r w:rsidRPr="00E8190A">
        <w:rPr>
          <w:rFonts w:cstheme="minorHAnsi"/>
          <w:lang w:val="en"/>
        </w:rPr>
        <w:t>, </w:t>
      </w:r>
      <w:hyperlink r:id="rId18" w:tooltip="Learn more about Parathyroid Hormone from ScienceDirect's AI-generated Topic Pages" w:history="1">
        <w:r w:rsidRPr="00E8190A">
          <w:rPr>
            <w:rStyle w:val="Hyperlink"/>
            <w:rFonts w:eastAsiaTheme="majorEastAsia" w:cstheme="minorHAnsi"/>
            <w:color w:val="0C7DBB"/>
            <w:sz w:val="27"/>
            <w:szCs w:val="27"/>
            <w:lang w:val="en"/>
          </w:rPr>
          <w:t>parathyroid hormone</w:t>
        </w:r>
      </w:hyperlink>
      <w:r w:rsidRPr="00E8190A">
        <w:rPr>
          <w:rFonts w:cstheme="minorHAnsi"/>
          <w:lang w:val="en"/>
        </w:rPr>
        <w:t>, </w:t>
      </w:r>
      <w:hyperlink r:id="rId19" w:tooltip="Learn more about Vitamin D from ScienceDirect's AI-generated Topic Pages" w:history="1">
        <w:r w:rsidRPr="00E8190A">
          <w:rPr>
            <w:rStyle w:val="Hyperlink"/>
            <w:rFonts w:eastAsiaTheme="majorEastAsia" w:cstheme="minorHAnsi"/>
            <w:color w:val="0C7DBB"/>
            <w:sz w:val="27"/>
            <w:szCs w:val="27"/>
            <w:lang w:val="en"/>
          </w:rPr>
          <w:t>vitamin D</w:t>
        </w:r>
      </w:hyperlink>
      <w:r w:rsidRPr="00E8190A">
        <w:rPr>
          <w:rFonts w:cstheme="minorHAnsi"/>
          <w:lang w:val="en"/>
        </w:rPr>
        <w:t>, and markers of </w:t>
      </w:r>
      <w:hyperlink r:id="rId20" w:tooltip="Learn more about Osteoplasty from ScienceDirect's AI-generated Topic Pages" w:history="1">
        <w:r w:rsidRPr="00E8190A">
          <w:rPr>
            <w:rStyle w:val="Hyperlink"/>
            <w:rFonts w:eastAsiaTheme="majorEastAsia" w:cstheme="minorHAnsi"/>
            <w:color w:val="0C7DBB"/>
            <w:sz w:val="27"/>
            <w:szCs w:val="27"/>
            <w:lang w:val="en"/>
          </w:rPr>
          <w:t>bone remodeling</w:t>
        </w:r>
      </w:hyperlink>
      <w:r w:rsidRPr="00E8190A">
        <w:rPr>
          <w:rFonts w:cstheme="minorHAnsi"/>
          <w:lang w:val="en"/>
        </w:rPr>
        <w:t> in donors. Cross-sectional studies of </w:t>
      </w:r>
      <w:hyperlink r:id="rId21" w:tooltip="Learn more about Bone Density from ScienceDirect's AI-generated Topic Pages" w:history="1">
        <w:r w:rsidRPr="00E8190A">
          <w:rPr>
            <w:rStyle w:val="Hyperlink"/>
            <w:rFonts w:eastAsiaTheme="majorEastAsia" w:cstheme="minorHAnsi"/>
            <w:color w:val="0C7DBB"/>
            <w:sz w:val="27"/>
            <w:szCs w:val="27"/>
            <w:lang w:val="en"/>
          </w:rPr>
          <w:t>bone mineral density</w:t>
        </w:r>
      </w:hyperlink>
      <w:r w:rsidRPr="00E8190A">
        <w:rPr>
          <w:rFonts w:cstheme="minorHAnsi"/>
          <w:lang w:val="en"/>
        </w:rPr>
        <w:t> (BMD) among apheresis donors exhibit conflicting results.</w:t>
      </w:r>
    </w:p>
    <w:p w14:paraId="155CBD06" w14:textId="77777777" w:rsidR="00E86E48" w:rsidRPr="00E8190A" w:rsidRDefault="00E86E48" w:rsidP="00623655">
      <w:pPr>
        <w:pStyle w:val="Heading2"/>
        <w:rPr>
          <w:rFonts w:asciiTheme="minorHAnsi" w:hAnsiTheme="minorHAnsi" w:cstheme="minorHAnsi"/>
        </w:rPr>
      </w:pPr>
      <w:r w:rsidRPr="00E8190A">
        <w:rPr>
          <w:rFonts w:asciiTheme="minorHAnsi" w:hAnsiTheme="minorHAnsi" w:cstheme="minorHAnsi"/>
        </w:rPr>
        <w:t>Methods</w:t>
      </w:r>
    </w:p>
    <w:p w14:paraId="21CC5218" w14:textId="77777777" w:rsidR="00E86E48" w:rsidRPr="00E8190A" w:rsidRDefault="00E86E48" w:rsidP="004471DB">
      <w:pPr>
        <w:rPr>
          <w:rFonts w:cstheme="minorHAnsi"/>
          <w:lang w:val="en"/>
        </w:rPr>
      </w:pPr>
      <w:r w:rsidRPr="00E8190A">
        <w:rPr>
          <w:rFonts w:cstheme="minorHAnsi"/>
          <w:lang w:val="en"/>
        </w:rPr>
        <w:t>The longitudinal, randomized, controlled ALTRUYST trial (</w:t>
      </w:r>
      <w:hyperlink r:id="rId22" w:tgtFrame="_blank" w:history="1">
        <w:r w:rsidRPr="00E8190A">
          <w:rPr>
            <w:rStyle w:val="Hyperlink"/>
            <w:rFonts w:eastAsiaTheme="majorEastAsia" w:cstheme="minorHAnsi"/>
            <w:color w:val="0C7DBB"/>
            <w:sz w:val="27"/>
            <w:szCs w:val="27"/>
            <w:lang w:val="en"/>
          </w:rPr>
          <w:t>NCT02655055</w:t>
        </w:r>
      </w:hyperlink>
      <w:r w:rsidRPr="00E8190A">
        <w:rPr>
          <w:rFonts w:cstheme="minorHAnsi"/>
          <w:lang w:val="en"/>
        </w:rPr>
        <w:t>) was undertaken to determine whether BMD declined following high frequency apheresis blood donation over 1 year. The study was powered at 80% to detect the primary outcome of a 3% decline in BMD. Subjects new to apheresis agreed to make ≥20 apheresis donations in a one-year period and were randomized to treatment (high frequency apheresis) or control (no apheresis). Dual-energy x-ray absorptiometry was performed before and after participation. Two-sided </w:t>
      </w:r>
      <w:r w:rsidRPr="00E8190A">
        <w:rPr>
          <w:rStyle w:val="Emphasis"/>
          <w:rFonts w:eastAsiaTheme="majorEastAsia" w:cstheme="minorHAnsi"/>
          <w:color w:val="2E2E2E"/>
          <w:sz w:val="27"/>
          <w:szCs w:val="27"/>
          <w:lang w:val="en"/>
        </w:rPr>
        <w:t>t</w:t>
      </w:r>
      <w:r w:rsidRPr="00E8190A">
        <w:rPr>
          <w:rFonts w:cstheme="minorHAnsi"/>
          <w:lang w:val="en"/>
        </w:rPr>
        <w:t>-test and multivariable </w:t>
      </w:r>
      <w:hyperlink r:id="rId23" w:tooltip="Learn more about Logistic Regression Analysis from ScienceDirect's AI-generated Topic Pages" w:history="1">
        <w:r w:rsidRPr="00E8190A">
          <w:rPr>
            <w:rStyle w:val="Hyperlink"/>
            <w:rFonts w:eastAsiaTheme="majorEastAsia" w:cstheme="minorHAnsi"/>
            <w:color w:val="0C7DBB"/>
            <w:sz w:val="27"/>
            <w:szCs w:val="27"/>
            <w:lang w:val="en"/>
          </w:rPr>
          <w:t>logistic regression</w:t>
        </w:r>
      </w:hyperlink>
      <w:r w:rsidRPr="00E8190A">
        <w:rPr>
          <w:rFonts w:cstheme="minorHAnsi"/>
          <w:lang w:val="en"/>
        </w:rPr>
        <w:t> were used to assess outcomes.</w:t>
      </w:r>
    </w:p>
    <w:p w14:paraId="36761E10" w14:textId="77777777" w:rsidR="00E86E48" w:rsidRPr="00E8190A" w:rsidRDefault="00E86E48" w:rsidP="004471DB">
      <w:pPr>
        <w:pStyle w:val="Heading2"/>
        <w:rPr>
          <w:rFonts w:asciiTheme="minorHAnsi" w:hAnsiTheme="minorHAnsi" w:cstheme="minorHAnsi"/>
          <w:sz w:val="27"/>
          <w:szCs w:val="27"/>
          <w:lang w:val="en"/>
        </w:rPr>
      </w:pPr>
      <w:r w:rsidRPr="00E8190A">
        <w:rPr>
          <w:rFonts w:asciiTheme="minorHAnsi" w:hAnsiTheme="minorHAnsi" w:cstheme="minorHAnsi"/>
          <w:lang w:val="en"/>
        </w:rPr>
        <w:t>Findings</w:t>
      </w:r>
    </w:p>
    <w:p w14:paraId="6C6C2041" w14:textId="77777777" w:rsidR="00E86E48" w:rsidRPr="00E8190A" w:rsidRDefault="00E86E48" w:rsidP="004471DB">
      <w:pPr>
        <w:rPr>
          <w:rFonts w:cstheme="minorHAnsi"/>
          <w:color w:val="2E2E2E"/>
          <w:lang w:val="en"/>
        </w:rPr>
      </w:pPr>
      <w:r w:rsidRPr="00E8190A">
        <w:rPr>
          <w:rFonts w:cstheme="minorHAnsi"/>
          <w:color w:val="2E2E2E"/>
          <w:lang w:val="en"/>
        </w:rPr>
        <w:t>Mean </w:t>
      </w:r>
      <w:hyperlink r:id="rId24" w:tooltip="Learn more about Lumbar Spine from ScienceDirect's AI-generated Topic Pages" w:history="1">
        <w:r w:rsidRPr="00E8190A">
          <w:rPr>
            <w:rStyle w:val="Hyperlink"/>
            <w:rFonts w:eastAsiaTheme="majorEastAsia" w:cstheme="minorHAnsi"/>
            <w:color w:val="0C7DBB"/>
            <w:lang w:val="en"/>
          </w:rPr>
          <w:t>lumbar spine</w:t>
        </w:r>
      </w:hyperlink>
      <w:r w:rsidRPr="00E8190A">
        <w:rPr>
          <w:rFonts w:cstheme="minorHAnsi"/>
          <w:color w:val="2E2E2E"/>
          <w:lang w:val="en"/>
        </w:rPr>
        <w:t> BMD did not change during the study among control donors (−0.002 g/cm</w:t>
      </w:r>
      <w:r w:rsidRPr="00E8190A">
        <w:rPr>
          <w:rFonts w:cstheme="minorHAnsi"/>
          <w:color w:val="2E2E2E"/>
          <w:vertAlign w:val="superscript"/>
          <w:lang w:val="en"/>
        </w:rPr>
        <w:t>2</w:t>
      </w:r>
      <w:r w:rsidRPr="00E8190A">
        <w:rPr>
          <w:rFonts w:cstheme="minorHAnsi"/>
          <w:color w:val="2E2E2E"/>
          <w:lang w:val="en"/>
        </w:rPr>
        <w:t>, 95%CI [−0.020, 0.016], </w:t>
      </w:r>
      <w:r w:rsidRPr="00E8190A">
        <w:rPr>
          <w:rStyle w:val="Emphasis"/>
          <w:rFonts w:eastAsiaTheme="majorEastAsia" w:cstheme="minorHAnsi"/>
          <w:color w:val="2E2E2E"/>
          <w:lang w:val="en"/>
        </w:rPr>
        <w:t>p</w:t>
      </w:r>
      <w:r w:rsidRPr="00E8190A">
        <w:rPr>
          <w:rFonts w:cstheme="minorHAnsi"/>
          <w:color w:val="2E2E2E"/>
          <w:lang w:val="en"/>
        </w:rPr>
        <w:t> = 0.78), or among donors in the apheresis arm (mean change = 0.007 g/cm</w:t>
      </w:r>
      <w:r w:rsidRPr="00E8190A">
        <w:rPr>
          <w:rFonts w:cstheme="minorHAnsi"/>
          <w:color w:val="2E2E2E"/>
          <w:vertAlign w:val="superscript"/>
          <w:lang w:val="en"/>
        </w:rPr>
        <w:t>2</w:t>
      </w:r>
      <w:r w:rsidRPr="00E8190A">
        <w:rPr>
          <w:rFonts w:cstheme="minorHAnsi"/>
          <w:color w:val="2E2E2E"/>
          <w:lang w:val="en"/>
        </w:rPr>
        <w:t>, 95%CI [−0.005, 0.018], </w:t>
      </w:r>
      <w:r w:rsidRPr="00E8190A">
        <w:rPr>
          <w:rStyle w:val="Emphasis"/>
          <w:rFonts w:eastAsiaTheme="majorEastAsia" w:cstheme="minorHAnsi"/>
          <w:color w:val="2E2E2E"/>
          <w:lang w:val="en"/>
        </w:rPr>
        <w:t>p</w:t>
      </w:r>
      <w:r w:rsidRPr="00E8190A">
        <w:rPr>
          <w:rFonts w:cstheme="minorHAnsi"/>
          <w:color w:val="2E2E2E"/>
          <w:lang w:val="en"/>
        </w:rPr>
        <w:t> = 0.24). Mean total hip BMD did not change for control donors (mean change = 0.002 g/cm</w:t>
      </w:r>
      <w:r w:rsidRPr="00E8190A">
        <w:rPr>
          <w:rFonts w:cstheme="minorHAnsi"/>
          <w:color w:val="2E2E2E"/>
          <w:vertAlign w:val="superscript"/>
          <w:lang w:val="en"/>
        </w:rPr>
        <w:t>2</w:t>
      </w:r>
      <w:r w:rsidRPr="00E8190A">
        <w:rPr>
          <w:rFonts w:cstheme="minorHAnsi"/>
          <w:color w:val="2E2E2E"/>
          <w:lang w:val="en"/>
        </w:rPr>
        <w:t>, 95%CI [−0.006, 0.009], </w:t>
      </w:r>
      <w:r w:rsidRPr="00E8190A">
        <w:rPr>
          <w:rStyle w:val="Emphasis"/>
          <w:rFonts w:eastAsiaTheme="majorEastAsia" w:cstheme="minorHAnsi"/>
          <w:color w:val="2E2E2E"/>
          <w:lang w:val="en"/>
        </w:rPr>
        <w:t>p</w:t>
      </w:r>
      <w:r w:rsidRPr="00E8190A">
        <w:rPr>
          <w:rFonts w:cstheme="minorHAnsi"/>
          <w:color w:val="2E2E2E"/>
          <w:lang w:val="en"/>
        </w:rPr>
        <w:t> = 0.63) or apheresis donors (−0.004 g/cm</w:t>
      </w:r>
      <w:r w:rsidRPr="00E8190A">
        <w:rPr>
          <w:rFonts w:cstheme="minorHAnsi"/>
          <w:color w:val="2E2E2E"/>
          <w:vertAlign w:val="superscript"/>
          <w:lang w:val="en"/>
        </w:rPr>
        <w:t>2</w:t>
      </w:r>
      <w:r w:rsidRPr="00E8190A">
        <w:rPr>
          <w:rFonts w:cstheme="minorHAnsi"/>
          <w:color w:val="2E2E2E"/>
          <w:lang w:val="en"/>
        </w:rPr>
        <w:t>, 95%CI [−0.10, 0.002], </w:t>
      </w:r>
      <w:r w:rsidRPr="00E8190A">
        <w:rPr>
          <w:rStyle w:val="Emphasis"/>
          <w:rFonts w:eastAsiaTheme="majorEastAsia" w:cstheme="minorHAnsi"/>
          <w:color w:val="2E2E2E"/>
          <w:lang w:val="en"/>
        </w:rPr>
        <w:t>p</w:t>
      </w:r>
      <w:r w:rsidRPr="00E8190A">
        <w:rPr>
          <w:rFonts w:cstheme="minorHAnsi"/>
          <w:color w:val="2E2E2E"/>
          <w:lang w:val="en"/>
        </w:rPr>
        <w:t> = 0.16). Tests for differences in proportions of donors with change in BMD exceeding the least significant change at the lumbar spine in either a positive [8 apheresis (31%), 4 control (27%), </w:t>
      </w:r>
      <w:r w:rsidRPr="00E8190A">
        <w:rPr>
          <w:rStyle w:val="Emphasis"/>
          <w:rFonts w:eastAsiaTheme="majorEastAsia" w:cstheme="minorHAnsi"/>
          <w:color w:val="2E2E2E"/>
          <w:lang w:val="en"/>
        </w:rPr>
        <w:t>p</w:t>
      </w:r>
      <w:r w:rsidRPr="00E8190A">
        <w:rPr>
          <w:rFonts w:cstheme="minorHAnsi"/>
          <w:color w:val="2E2E2E"/>
          <w:lang w:val="en"/>
        </w:rPr>
        <w:t> = 0.78] or negative direction [4 apheresis (15%), 5 control (33%)] were statistically non-significant (</w:t>
      </w:r>
      <w:r w:rsidRPr="00E8190A">
        <w:rPr>
          <w:rStyle w:val="Emphasis"/>
          <w:rFonts w:eastAsiaTheme="majorEastAsia" w:cstheme="minorHAnsi"/>
          <w:color w:val="2E2E2E"/>
          <w:lang w:val="en"/>
        </w:rPr>
        <w:t>p</w:t>
      </w:r>
      <w:r w:rsidRPr="00E8190A">
        <w:rPr>
          <w:rFonts w:cstheme="minorHAnsi"/>
          <w:color w:val="2E2E2E"/>
          <w:lang w:val="en"/>
        </w:rPr>
        <w:t> = 0.18). Proportional increases [0 apheresis (0%), 1 control (7%), </w:t>
      </w:r>
      <w:r w:rsidRPr="00E8190A">
        <w:rPr>
          <w:rStyle w:val="Emphasis"/>
          <w:rFonts w:eastAsiaTheme="majorEastAsia" w:cstheme="minorHAnsi"/>
          <w:color w:val="2E2E2E"/>
          <w:lang w:val="en"/>
        </w:rPr>
        <w:t>p</w:t>
      </w:r>
      <w:r w:rsidRPr="00E8190A">
        <w:rPr>
          <w:rFonts w:cstheme="minorHAnsi"/>
          <w:color w:val="2E2E2E"/>
          <w:lang w:val="en"/>
        </w:rPr>
        <w:t> = 0.18] and decreases [3 apheresis (12%), 1 control (14%)] were also not significantly different at the total hip (</w:t>
      </w:r>
      <w:r w:rsidRPr="00E8190A">
        <w:rPr>
          <w:rStyle w:val="Emphasis"/>
          <w:rFonts w:eastAsiaTheme="majorEastAsia" w:cstheme="minorHAnsi"/>
          <w:color w:val="2E2E2E"/>
          <w:lang w:val="en"/>
        </w:rPr>
        <w:t>p</w:t>
      </w:r>
      <w:r w:rsidRPr="00E8190A">
        <w:rPr>
          <w:rFonts w:cstheme="minorHAnsi"/>
          <w:color w:val="2E2E2E"/>
          <w:lang w:val="en"/>
        </w:rPr>
        <w:t> = 0.61).</w:t>
      </w:r>
    </w:p>
    <w:p w14:paraId="0B1E52A8" w14:textId="77777777" w:rsidR="00E86E48" w:rsidRPr="00E8190A" w:rsidRDefault="00E86E48" w:rsidP="00DF5D02">
      <w:pPr>
        <w:pStyle w:val="Heading2"/>
        <w:rPr>
          <w:rFonts w:asciiTheme="minorHAnsi" w:hAnsiTheme="minorHAnsi" w:cstheme="minorHAnsi"/>
          <w:sz w:val="27"/>
          <w:szCs w:val="27"/>
          <w:lang w:val="en"/>
        </w:rPr>
      </w:pPr>
      <w:r w:rsidRPr="00E8190A">
        <w:rPr>
          <w:rFonts w:asciiTheme="minorHAnsi" w:hAnsiTheme="minorHAnsi" w:cstheme="minorHAnsi"/>
          <w:lang w:val="en"/>
        </w:rPr>
        <w:t>Interpretation</w:t>
      </w:r>
    </w:p>
    <w:p w14:paraId="2555A005" w14:textId="77777777" w:rsidR="00E86E48" w:rsidRPr="00E8190A" w:rsidRDefault="00E86E48" w:rsidP="00DF5D02">
      <w:pPr>
        <w:rPr>
          <w:rFonts w:cstheme="minorHAnsi"/>
          <w:color w:val="2E2E2E"/>
          <w:lang w:val="en"/>
        </w:rPr>
      </w:pPr>
      <w:r w:rsidRPr="00E8190A">
        <w:rPr>
          <w:rFonts w:cstheme="minorHAnsi"/>
          <w:color w:val="2E2E2E"/>
          <w:lang w:val="en"/>
        </w:rPr>
        <w:t>ALTRUYST is the first longitudinal trial to demonstrate that apheresis </w:t>
      </w:r>
      <w:hyperlink r:id="rId25" w:tooltip="Learn more about Blood Sampling from ScienceDirect's AI-generated Topic Pages" w:history="1">
        <w:r w:rsidRPr="00E8190A">
          <w:rPr>
            <w:rStyle w:val="Hyperlink"/>
            <w:rFonts w:eastAsiaTheme="majorEastAsia" w:cstheme="minorHAnsi"/>
            <w:color w:val="0C7DBB"/>
            <w:lang w:val="en"/>
          </w:rPr>
          <w:t>blood collection</w:t>
        </w:r>
      </w:hyperlink>
      <w:r w:rsidRPr="00E8190A">
        <w:rPr>
          <w:rFonts w:cstheme="minorHAnsi"/>
          <w:color w:val="2E2E2E"/>
          <w:lang w:val="en"/>
        </w:rPr>
        <w:t> guidelines in the United States adequately protect the skeletal health of male volunteer blood donors.</w:t>
      </w:r>
    </w:p>
    <w:p w14:paraId="60E8A101" w14:textId="77777777" w:rsidR="00E86E48" w:rsidRPr="00E8190A" w:rsidRDefault="00E86E48" w:rsidP="00DF5D02">
      <w:pPr>
        <w:pStyle w:val="Heading2"/>
        <w:rPr>
          <w:rFonts w:asciiTheme="minorHAnsi" w:hAnsiTheme="minorHAnsi" w:cstheme="minorHAnsi"/>
          <w:sz w:val="27"/>
          <w:szCs w:val="27"/>
          <w:lang w:val="en"/>
        </w:rPr>
      </w:pPr>
      <w:r w:rsidRPr="00E8190A">
        <w:rPr>
          <w:rFonts w:asciiTheme="minorHAnsi" w:hAnsiTheme="minorHAnsi" w:cstheme="minorHAnsi"/>
          <w:lang w:val="en"/>
        </w:rPr>
        <w:t>Funding</w:t>
      </w:r>
    </w:p>
    <w:p w14:paraId="57757E40" w14:textId="77777777" w:rsidR="00E86E48" w:rsidRPr="00E8190A" w:rsidRDefault="00E86E48" w:rsidP="00DF5D02">
      <w:pPr>
        <w:rPr>
          <w:rFonts w:cstheme="minorHAnsi"/>
          <w:lang w:val="en"/>
        </w:rPr>
      </w:pPr>
      <w:r w:rsidRPr="00E8190A">
        <w:rPr>
          <w:rFonts w:cstheme="minorHAnsi"/>
          <w:lang w:val="en"/>
        </w:rPr>
        <w:t xml:space="preserve">Marquette University and the </w:t>
      </w:r>
      <w:proofErr w:type="spellStart"/>
      <w:r w:rsidRPr="00E8190A">
        <w:rPr>
          <w:rFonts w:cstheme="minorHAnsi"/>
          <w:lang w:val="en"/>
        </w:rPr>
        <w:t>BloodCenter</w:t>
      </w:r>
      <w:proofErr w:type="spellEnd"/>
      <w:r w:rsidRPr="00E8190A">
        <w:rPr>
          <w:rFonts w:cstheme="minorHAnsi"/>
          <w:lang w:val="en"/>
        </w:rPr>
        <w:t xml:space="preserve"> Research Foundation.</w:t>
      </w:r>
    </w:p>
    <w:p w14:paraId="2551B075" w14:textId="77777777" w:rsidR="00E86E48" w:rsidRPr="00E8190A" w:rsidRDefault="00E86E48" w:rsidP="00830EED">
      <w:pPr>
        <w:pStyle w:val="Heading2"/>
        <w:rPr>
          <w:rFonts w:asciiTheme="minorHAnsi" w:hAnsiTheme="minorHAnsi" w:cstheme="minorHAnsi"/>
        </w:rPr>
      </w:pPr>
      <w:r w:rsidRPr="00E8190A">
        <w:rPr>
          <w:rFonts w:asciiTheme="minorHAnsi" w:hAnsiTheme="minorHAnsi" w:cstheme="minorHAnsi"/>
        </w:rPr>
        <w:t>Keywords</w:t>
      </w:r>
    </w:p>
    <w:p w14:paraId="49EB3951" w14:textId="77777777" w:rsidR="00E86E48" w:rsidRPr="00E8190A" w:rsidRDefault="00E86E48" w:rsidP="00E86E48">
      <w:pPr>
        <w:spacing w:line="420" w:lineRule="atLeast"/>
        <w:rPr>
          <w:rFonts w:cstheme="minorHAnsi"/>
          <w:color w:val="2E2E2E"/>
          <w:sz w:val="27"/>
          <w:szCs w:val="27"/>
        </w:rPr>
      </w:pPr>
      <w:r w:rsidRPr="00E8190A">
        <w:rPr>
          <w:rFonts w:cstheme="minorHAnsi"/>
          <w:color w:val="2E2E2E"/>
          <w:sz w:val="27"/>
          <w:szCs w:val="27"/>
        </w:rPr>
        <w:t>Apheresis</w:t>
      </w:r>
    </w:p>
    <w:p w14:paraId="6002B6D5" w14:textId="77777777" w:rsidR="00E86E48" w:rsidRPr="00E8190A" w:rsidRDefault="00E86E48" w:rsidP="00E86E48">
      <w:pPr>
        <w:spacing w:line="420" w:lineRule="atLeast"/>
        <w:rPr>
          <w:rFonts w:cstheme="minorHAnsi"/>
          <w:color w:val="2E2E2E"/>
          <w:sz w:val="27"/>
          <w:szCs w:val="27"/>
        </w:rPr>
      </w:pPr>
      <w:r w:rsidRPr="00E8190A">
        <w:rPr>
          <w:rFonts w:cstheme="minorHAnsi"/>
          <w:color w:val="2E2E2E"/>
          <w:sz w:val="27"/>
          <w:szCs w:val="27"/>
        </w:rPr>
        <w:t>Blood donor</w:t>
      </w:r>
    </w:p>
    <w:p w14:paraId="632D047C" w14:textId="77777777" w:rsidR="00E86E48" w:rsidRPr="00E8190A" w:rsidRDefault="00E86E48" w:rsidP="00E86E48">
      <w:pPr>
        <w:spacing w:line="420" w:lineRule="atLeast"/>
        <w:rPr>
          <w:rFonts w:cstheme="minorHAnsi"/>
          <w:color w:val="2E2E2E"/>
          <w:sz w:val="27"/>
          <w:szCs w:val="27"/>
        </w:rPr>
      </w:pPr>
      <w:r w:rsidRPr="00E8190A">
        <w:rPr>
          <w:rFonts w:cstheme="minorHAnsi"/>
          <w:color w:val="2E2E2E"/>
          <w:sz w:val="27"/>
          <w:szCs w:val="27"/>
        </w:rPr>
        <w:t>Citrate</w:t>
      </w:r>
    </w:p>
    <w:p w14:paraId="5111F398" w14:textId="77777777" w:rsidR="00E86E48" w:rsidRPr="00E8190A" w:rsidRDefault="00E86E48" w:rsidP="00E86E48">
      <w:pPr>
        <w:spacing w:line="420" w:lineRule="atLeast"/>
        <w:rPr>
          <w:rFonts w:cstheme="minorHAnsi"/>
          <w:color w:val="2E2E2E"/>
          <w:sz w:val="27"/>
          <w:szCs w:val="27"/>
        </w:rPr>
      </w:pPr>
      <w:r w:rsidRPr="00E8190A">
        <w:rPr>
          <w:rFonts w:cstheme="minorHAnsi"/>
          <w:color w:val="2E2E2E"/>
          <w:sz w:val="27"/>
          <w:szCs w:val="27"/>
        </w:rPr>
        <w:t>Citrate anticoagulant</w:t>
      </w:r>
    </w:p>
    <w:p w14:paraId="38BAF34C" w14:textId="77777777" w:rsidR="00E86E48" w:rsidRPr="00E8190A" w:rsidRDefault="00E86E48" w:rsidP="00830EED">
      <w:pPr>
        <w:pStyle w:val="Heading1"/>
        <w:rPr>
          <w:rFonts w:asciiTheme="minorHAnsi" w:hAnsiTheme="minorHAnsi" w:cstheme="minorHAnsi"/>
        </w:rPr>
      </w:pPr>
      <w:r w:rsidRPr="00E8190A">
        <w:rPr>
          <w:rFonts w:asciiTheme="minorHAnsi" w:hAnsiTheme="minorHAnsi" w:cstheme="minorHAnsi"/>
        </w:rPr>
        <w:lastRenderedPageBreak/>
        <w:t>Research in context</w:t>
      </w:r>
    </w:p>
    <w:p w14:paraId="771485B8" w14:textId="77777777" w:rsidR="00E86E48" w:rsidRPr="00E8190A" w:rsidRDefault="00E86E48" w:rsidP="00830EED">
      <w:pPr>
        <w:pStyle w:val="Heading2"/>
        <w:rPr>
          <w:rFonts w:asciiTheme="minorHAnsi" w:hAnsiTheme="minorHAnsi" w:cstheme="minorHAnsi"/>
          <w:b/>
          <w:bCs/>
          <w:sz w:val="27"/>
          <w:szCs w:val="27"/>
        </w:rPr>
      </w:pPr>
      <w:r w:rsidRPr="00E8190A">
        <w:rPr>
          <w:rFonts w:asciiTheme="minorHAnsi" w:hAnsiTheme="minorHAnsi" w:cstheme="minorHAnsi"/>
        </w:rPr>
        <w:t>Evidence before this study</w:t>
      </w:r>
    </w:p>
    <w:p w14:paraId="695ADF40" w14:textId="77777777" w:rsidR="00E86E48" w:rsidRPr="00E8190A" w:rsidRDefault="00E86E48" w:rsidP="00830EED">
      <w:pPr>
        <w:rPr>
          <w:rFonts w:cstheme="minorHAnsi"/>
        </w:rPr>
      </w:pPr>
      <w:r w:rsidRPr="00E8190A">
        <w:rPr>
          <w:rFonts w:cstheme="minorHAnsi"/>
        </w:rPr>
        <w:t>Central to the safety and availability of the global blood supply is the community of volunteer blood donors. Cross-sectional studies have reported that intermittent exposure to </w:t>
      </w:r>
      <w:proofErr w:type="spellStart"/>
      <w:r w:rsidR="00AE58B6">
        <w:fldChar w:fldCharType="begin"/>
      </w:r>
      <w:r w:rsidR="00AE58B6">
        <w:instrText xml:space="preserve"> HYPERLINK "https://www.sciencedirect.com/topics/medicine-and-dentistry/citrate" \o "Learn more a</w:instrText>
      </w:r>
      <w:r w:rsidR="00AE58B6">
        <w:instrText xml:space="preserve">bout Citrate from ScienceDirect's AI-generated Topic Pages" </w:instrText>
      </w:r>
      <w:r w:rsidR="00AE58B6">
        <w:fldChar w:fldCharType="separate"/>
      </w:r>
      <w:r w:rsidRPr="00E8190A">
        <w:rPr>
          <w:rStyle w:val="Hyperlink"/>
          <w:rFonts w:eastAsiaTheme="majorEastAsia" w:cstheme="minorHAnsi"/>
          <w:color w:val="0C7DBB"/>
          <w:sz w:val="27"/>
          <w:szCs w:val="27"/>
        </w:rPr>
        <w:t>citrate</w:t>
      </w:r>
      <w:r w:rsidR="00AE58B6">
        <w:rPr>
          <w:rStyle w:val="Hyperlink"/>
          <w:rFonts w:eastAsiaTheme="majorEastAsia" w:cstheme="minorHAnsi"/>
          <w:color w:val="0C7DBB"/>
          <w:sz w:val="27"/>
          <w:szCs w:val="27"/>
        </w:rPr>
        <w:fldChar w:fldCharType="end"/>
      </w:r>
      <w:r w:rsidRPr="00E8190A">
        <w:rPr>
          <w:rFonts w:cstheme="minorHAnsi"/>
        </w:rPr>
        <w:t>through</w:t>
      </w:r>
      <w:proofErr w:type="spellEnd"/>
      <w:r w:rsidRPr="00E8190A">
        <w:rPr>
          <w:rFonts w:cstheme="minorHAnsi"/>
        </w:rPr>
        <w:t> </w:t>
      </w:r>
      <w:hyperlink r:id="rId26" w:tooltip="Learn more about Apheresis from ScienceDirect's AI-generated Topic Pages" w:history="1">
        <w:r w:rsidRPr="00E8190A">
          <w:rPr>
            <w:rStyle w:val="Hyperlink"/>
            <w:rFonts w:eastAsiaTheme="majorEastAsia" w:cstheme="minorHAnsi"/>
            <w:color w:val="0C7DBB"/>
            <w:sz w:val="27"/>
            <w:szCs w:val="27"/>
          </w:rPr>
          <w:t>apheresis</w:t>
        </w:r>
      </w:hyperlink>
      <w:r w:rsidRPr="00E8190A">
        <w:rPr>
          <w:rFonts w:cstheme="minorHAnsi"/>
        </w:rPr>
        <w:t> </w:t>
      </w:r>
      <w:hyperlink r:id="rId27" w:tooltip="Learn more about Blood Donor from ScienceDirect's AI-generated Topic Pages" w:history="1">
        <w:r w:rsidRPr="00E8190A">
          <w:rPr>
            <w:rStyle w:val="Hyperlink"/>
            <w:rFonts w:eastAsiaTheme="majorEastAsia" w:cstheme="minorHAnsi"/>
            <w:color w:val="0C7DBB"/>
            <w:sz w:val="27"/>
            <w:szCs w:val="27"/>
          </w:rPr>
          <w:t>blood donation</w:t>
        </w:r>
      </w:hyperlink>
      <w:r w:rsidRPr="00E8190A">
        <w:rPr>
          <w:rFonts w:cstheme="minorHAnsi"/>
        </w:rPr>
        <w:t> is associated with significant declines in donor bone mineral density (BMD). In contrast, oral potassium citrate at a much lower dose has been used to treat low </w:t>
      </w:r>
      <w:hyperlink r:id="rId28" w:tooltip="Learn more about Bone Density from ScienceDirect's AI-generated Topic Pages" w:history="1">
        <w:r w:rsidRPr="00E8190A">
          <w:rPr>
            <w:rStyle w:val="Hyperlink"/>
            <w:rFonts w:eastAsiaTheme="majorEastAsia" w:cstheme="minorHAnsi"/>
            <w:color w:val="0C7DBB"/>
            <w:sz w:val="27"/>
            <w:szCs w:val="27"/>
          </w:rPr>
          <w:t>bone density</w:t>
        </w:r>
      </w:hyperlink>
      <w:r w:rsidRPr="00E8190A">
        <w:rPr>
          <w:rFonts w:cstheme="minorHAnsi"/>
        </w:rPr>
        <w:t> with well-documented efficacy. The impact of citrate exposure during apheresis, either positive or negative, is important given that BMD is a significant risk factor for low trauma fracture. It is ultimately unknown what effect repeated apheresis has on skeletal health.</w:t>
      </w:r>
    </w:p>
    <w:p w14:paraId="5E337A62" w14:textId="77777777" w:rsidR="00E86E48" w:rsidRPr="00E8190A" w:rsidRDefault="00E86E48" w:rsidP="00830EED">
      <w:pPr>
        <w:pStyle w:val="Heading2"/>
        <w:rPr>
          <w:rFonts w:asciiTheme="minorHAnsi" w:hAnsiTheme="minorHAnsi" w:cstheme="minorHAnsi"/>
          <w:sz w:val="27"/>
          <w:szCs w:val="27"/>
        </w:rPr>
      </w:pPr>
      <w:r w:rsidRPr="00E8190A">
        <w:rPr>
          <w:rFonts w:asciiTheme="minorHAnsi" w:hAnsiTheme="minorHAnsi" w:cstheme="minorHAnsi"/>
        </w:rPr>
        <w:t>Added value of this study</w:t>
      </w:r>
    </w:p>
    <w:p w14:paraId="77EADD29" w14:textId="77777777" w:rsidR="00E86E48" w:rsidRPr="00E8190A" w:rsidRDefault="00E86E48" w:rsidP="00830EED">
      <w:pPr>
        <w:rPr>
          <w:rFonts w:cstheme="minorHAnsi"/>
        </w:rPr>
      </w:pPr>
      <w:r w:rsidRPr="00E8190A">
        <w:rPr>
          <w:rFonts w:cstheme="minorHAnsi"/>
        </w:rPr>
        <w:t xml:space="preserve">We carried out a prospective, randomized, clinical trial testing the hypothesis that high frequency apheresis blood donation causes a decline in BMD. Forty-one donors completed the study and there was no change in bone mineral density among donors completing a median of 20 apheresis blood donations in the </w:t>
      </w:r>
      <w:proofErr w:type="gramStart"/>
      <w:r w:rsidRPr="00E8190A">
        <w:rPr>
          <w:rFonts w:cstheme="minorHAnsi"/>
        </w:rPr>
        <w:t>one year</w:t>
      </w:r>
      <w:proofErr w:type="gramEnd"/>
      <w:r w:rsidRPr="00E8190A">
        <w:rPr>
          <w:rFonts w:cstheme="minorHAnsi"/>
        </w:rPr>
        <w:t xml:space="preserve"> study period. Bone density did not change among members of the control group who did not undergo apheresis blood donation.</w:t>
      </w:r>
    </w:p>
    <w:p w14:paraId="08336CC0" w14:textId="77777777" w:rsidR="00E86E48" w:rsidRPr="00E8190A" w:rsidRDefault="00E86E48" w:rsidP="00830EED">
      <w:pPr>
        <w:pStyle w:val="Heading2"/>
        <w:rPr>
          <w:rFonts w:asciiTheme="minorHAnsi" w:hAnsiTheme="minorHAnsi" w:cstheme="minorHAnsi"/>
          <w:sz w:val="27"/>
          <w:szCs w:val="27"/>
        </w:rPr>
      </w:pPr>
      <w:r w:rsidRPr="00E8190A">
        <w:rPr>
          <w:rFonts w:asciiTheme="minorHAnsi" w:hAnsiTheme="minorHAnsi" w:cstheme="minorHAnsi"/>
        </w:rPr>
        <w:t>Implications of all the available evidence</w:t>
      </w:r>
    </w:p>
    <w:p w14:paraId="37DFC928" w14:textId="77777777" w:rsidR="00E86E48" w:rsidRPr="00E8190A" w:rsidRDefault="00E86E48" w:rsidP="00830EED">
      <w:pPr>
        <w:rPr>
          <w:rFonts w:cstheme="minorHAnsi"/>
          <w:color w:val="2E2E2E"/>
        </w:rPr>
      </w:pPr>
      <w:r w:rsidRPr="00E8190A">
        <w:rPr>
          <w:rFonts w:cstheme="minorHAnsi"/>
          <w:color w:val="2E2E2E"/>
        </w:rPr>
        <w:t>Despite significant, repeated challenges to </w:t>
      </w:r>
      <w:hyperlink r:id="rId29" w:tooltip="Learn more about Mineral Homeostasis from ScienceDirect's AI-generated Topic Pages" w:history="1">
        <w:r w:rsidRPr="00E8190A">
          <w:rPr>
            <w:rStyle w:val="Hyperlink"/>
            <w:rFonts w:eastAsiaTheme="majorEastAsia" w:cstheme="minorHAnsi"/>
            <w:color w:val="0C7DBB"/>
          </w:rPr>
          <w:t xml:space="preserve">mineral </w:t>
        </w:r>
        <w:proofErr w:type="spellStart"/>
        <w:r w:rsidRPr="00E8190A">
          <w:rPr>
            <w:rStyle w:val="Hyperlink"/>
            <w:rFonts w:eastAsiaTheme="majorEastAsia" w:cstheme="minorHAnsi"/>
            <w:color w:val="0C7DBB"/>
          </w:rPr>
          <w:t>homeostasis</w:t>
        </w:r>
      </w:hyperlink>
      <w:r w:rsidRPr="00E8190A">
        <w:rPr>
          <w:rFonts w:cstheme="minorHAnsi"/>
          <w:color w:val="2E2E2E"/>
        </w:rPr>
        <w:t>among</w:t>
      </w:r>
      <w:proofErr w:type="spellEnd"/>
      <w:r w:rsidRPr="00E8190A">
        <w:rPr>
          <w:rFonts w:cstheme="minorHAnsi"/>
          <w:color w:val="2E2E2E"/>
        </w:rPr>
        <w:t xml:space="preserve"> apheresis blood donors, we conclude that current collection guidelines adequately protect the skeletal health of adult male, high frequency apheresis blood donors.</w:t>
      </w:r>
    </w:p>
    <w:p w14:paraId="1F34E158" w14:textId="77777777" w:rsidR="00E86E48" w:rsidRPr="00E8190A" w:rsidRDefault="00E86E48" w:rsidP="00830EED">
      <w:pPr>
        <w:pStyle w:val="Heading1"/>
        <w:rPr>
          <w:rFonts w:asciiTheme="minorHAnsi" w:hAnsiTheme="minorHAnsi" w:cstheme="minorHAnsi"/>
          <w:sz w:val="36"/>
          <w:szCs w:val="36"/>
        </w:rPr>
      </w:pPr>
      <w:r w:rsidRPr="00E8190A">
        <w:rPr>
          <w:rFonts w:asciiTheme="minorHAnsi" w:hAnsiTheme="minorHAnsi" w:cstheme="minorHAnsi"/>
        </w:rPr>
        <w:t>1. Introduction</w:t>
      </w:r>
    </w:p>
    <w:p w14:paraId="4AB5B054" w14:textId="77777777" w:rsidR="00E86E48" w:rsidRPr="00E8190A" w:rsidRDefault="00AE58B6" w:rsidP="003B1A91">
      <w:pPr>
        <w:rPr>
          <w:rFonts w:cstheme="minorHAnsi"/>
          <w:color w:val="2E2E2E"/>
        </w:rPr>
      </w:pPr>
      <w:hyperlink r:id="rId30" w:tooltip="Learn more about Apheresis from ScienceDirect's AI-generated Topic Pages" w:history="1">
        <w:r w:rsidR="00E86E48" w:rsidRPr="00E8190A">
          <w:rPr>
            <w:rStyle w:val="Hyperlink"/>
            <w:rFonts w:eastAsiaTheme="majorEastAsia" w:cstheme="minorHAnsi"/>
            <w:color w:val="0C7DBB"/>
          </w:rPr>
          <w:t>Apheresis</w:t>
        </w:r>
      </w:hyperlink>
      <w:r w:rsidR="00E86E48" w:rsidRPr="00E8190A">
        <w:rPr>
          <w:rFonts w:cstheme="minorHAnsi"/>
          <w:color w:val="2E2E2E"/>
        </w:rPr>
        <w:t> </w:t>
      </w:r>
      <w:hyperlink r:id="rId31" w:tooltip="Learn more about Blood Sampling from ScienceDirect's AI-generated Topic Pages" w:history="1">
        <w:r w:rsidR="00E86E48" w:rsidRPr="00E8190A">
          <w:rPr>
            <w:rStyle w:val="Hyperlink"/>
            <w:rFonts w:eastAsiaTheme="majorEastAsia" w:cstheme="minorHAnsi"/>
            <w:color w:val="0C7DBB"/>
          </w:rPr>
          <w:t>blood collections</w:t>
        </w:r>
      </w:hyperlink>
      <w:r w:rsidR="00E86E48" w:rsidRPr="00E8190A">
        <w:rPr>
          <w:rFonts w:cstheme="minorHAnsi"/>
          <w:color w:val="2E2E2E"/>
        </w:rPr>
        <w:t> represent an increasing proportion of collected and transfused blood products in most parts of the world (</w:t>
      </w:r>
      <w:bookmarkStart w:id="6" w:name="bbb0015"/>
      <w:proofErr w:type="spellStart"/>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"bb0015"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Bialkowski</w:t>
      </w:r>
      <w:proofErr w:type="spellEnd"/>
      <w:r w:rsidR="00E86E48" w:rsidRPr="00E8190A">
        <w:rPr>
          <w:rStyle w:val="Hyperlink"/>
          <w:rFonts w:eastAsiaTheme="majorEastAsia" w:cstheme="minorHAnsi"/>
          <w:color w:val="0C7DBB"/>
        </w:rPr>
        <w:t xml:space="preserve"> et al., 2016</w:t>
      </w:r>
      <w:r w:rsidR="00E86E48" w:rsidRPr="00E8190A">
        <w:rPr>
          <w:rFonts w:cstheme="minorHAnsi"/>
          <w:color w:val="2E2E2E"/>
        </w:rPr>
        <w:fldChar w:fldCharType="end"/>
      </w:r>
      <w:r w:rsidR="00E86E48" w:rsidRPr="00E8190A">
        <w:rPr>
          <w:rFonts w:cstheme="minorHAnsi"/>
          <w:color w:val="2E2E2E"/>
        </w:rPr>
        <w:t>). Apheresis involves the collection of specific </w:t>
      </w:r>
      <w:hyperlink r:id="rId32" w:tooltip="Learn more about Blood Component from ScienceDirect's AI-generated Topic Pages" w:history="1">
        <w:r w:rsidR="00E86E48" w:rsidRPr="00E8190A">
          <w:rPr>
            <w:rStyle w:val="Hyperlink"/>
            <w:rFonts w:eastAsiaTheme="majorEastAsia" w:cstheme="minorHAnsi"/>
            <w:color w:val="0C7DBB"/>
          </w:rPr>
          <w:t>blood components</w:t>
        </w:r>
      </w:hyperlink>
      <w:r w:rsidR="00E86E48" w:rsidRPr="00E8190A">
        <w:rPr>
          <w:rFonts w:cstheme="minorHAnsi"/>
          <w:color w:val="2E2E2E"/>
        </w:rPr>
        <w:t> (e.g. platelets, red blood cells, plasma) by centrifuging whole blood in an </w:t>
      </w:r>
      <w:hyperlink r:id="rId33" w:tooltip="Learn more about Extracorporeal from ScienceDirect's AI-generated Topic Pages" w:history="1">
        <w:r w:rsidR="00E86E48" w:rsidRPr="00E8190A">
          <w:rPr>
            <w:rStyle w:val="Hyperlink"/>
            <w:rFonts w:eastAsiaTheme="majorEastAsia" w:cstheme="minorHAnsi"/>
            <w:color w:val="0C7DBB"/>
          </w:rPr>
          <w:t>extracorporeal</w:t>
        </w:r>
      </w:hyperlink>
      <w:r w:rsidR="00E86E48" w:rsidRPr="00E8190A">
        <w:rPr>
          <w:rFonts w:cstheme="minorHAnsi"/>
          <w:color w:val="2E2E2E"/>
        </w:rPr>
        <w:t> circuit (</w:t>
      </w:r>
      <w:bookmarkStart w:id="7" w:name="bbb0125"/>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"bb0125"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Okafor et al., 2010</w:t>
      </w:r>
      <w:r w:rsidR="00E86E48" w:rsidRPr="00E8190A">
        <w:rPr>
          <w:rFonts w:cstheme="minorHAnsi"/>
          <w:color w:val="2E2E2E"/>
        </w:rPr>
        <w:fldChar w:fldCharType="end"/>
      </w:r>
      <w:bookmarkEnd w:id="7"/>
      <w:r w:rsidR="00E86E48" w:rsidRPr="00E8190A">
        <w:rPr>
          <w:rFonts w:cstheme="minorHAnsi"/>
          <w:color w:val="2E2E2E"/>
        </w:rPr>
        <w:t>). </w:t>
      </w:r>
      <w:hyperlink r:id="rId34" w:tooltip="Learn more about Antithrombotic from ScienceDirect's AI-generated Topic Pages" w:history="1">
        <w:r w:rsidR="00E86E48" w:rsidRPr="00E8190A">
          <w:rPr>
            <w:rStyle w:val="Hyperlink"/>
            <w:rFonts w:eastAsiaTheme="majorEastAsia" w:cstheme="minorHAnsi"/>
            <w:color w:val="0C7DBB"/>
          </w:rPr>
          <w:t>Anticoagulant</w:t>
        </w:r>
      </w:hyperlink>
      <w:r w:rsidR="00E86E48" w:rsidRPr="00E8190A">
        <w:rPr>
          <w:rFonts w:cstheme="minorHAnsi"/>
          <w:color w:val="2E2E2E"/>
        </w:rPr>
        <w:t> is required to prevent coagulation in the circuit and is mixed with whole blood as it leaves the site of </w:t>
      </w:r>
      <w:hyperlink r:id="rId35" w:tooltip="Learn more about Vein Puncture from ScienceDirect's AI-generated Topic Pages" w:history="1">
        <w:r w:rsidR="00E86E48" w:rsidRPr="00E8190A">
          <w:rPr>
            <w:rStyle w:val="Hyperlink"/>
            <w:rFonts w:eastAsiaTheme="majorEastAsia" w:cstheme="minorHAnsi"/>
            <w:color w:val="0C7DBB"/>
          </w:rPr>
          <w:t>venipuncture</w:t>
        </w:r>
      </w:hyperlink>
      <w:r w:rsidR="00E86E48" w:rsidRPr="00E8190A">
        <w:rPr>
          <w:rFonts w:cstheme="minorHAnsi"/>
          <w:color w:val="2E2E2E"/>
        </w:rPr>
        <w:t>. </w:t>
      </w:r>
      <w:hyperlink r:id="rId36" w:tooltip="Learn more about Citrate from ScienceDirect's AI-generated Topic Pages" w:history="1">
        <w:r w:rsidR="00E86E48" w:rsidRPr="00E8190A">
          <w:rPr>
            <w:rStyle w:val="Hyperlink"/>
            <w:rFonts w:eastAsiaTheme="majorEastAsia" w:cstheme="minorHAnsi"/>
            <w:color w:val="0C7DBB"/>
          </w:rPr>
          <w:t>Citrate</w:t>
        </w:r>
      </w:hyperlink>
      <w:r w:rsidR="00E86E48" w:rsidRPr="00E8190A">
        <w:rPr>
          <w:rFonts w:cstheme="minorHAnsi"/>
          <w:color w:val="2E2E2E"/>
        </w:rPr>
        <w:t>, the standard anticoagulant used during apheresis donation procedures (</w:t>
      </w:r>
      <w:bookmarkStart w:id="8" w:name="bbb0075"/>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"bb0075"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Hester et al., 1983</w:t>
      </w:r>
      <w:r w:rsidR="00E86E48" w:rsidRPr="00E8190A">
        <w:rPr>
          <w:rFonts w:cstheme="minorHAnsi"/>
          <w:color w:val="2E2E2E"/>
        </w:rPr>
        <w:fldChar w:fldCharType="end"/>
      </w:r>
      <w:r w:rsidR="00E86E48" w:rsidRPr="00E8190A">
        <w:rPr>
          <w:rFonts w:cstheme="minorHAnsi"/>
          <w:color w:val="2E2E2E"/>
        </w:rPr>
        <w:t>; </w:t>
      </w:r>
      <w:bookmarkStart w:id="9" w:name="bbb0105"/>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"bb0105"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 xml:space="preserve">Lee and </w:t>
      </w:r>
      <w:proofErr w:type="spellStart"/>
      <w:r w:rsidR="00E86E48" w:rsidRPr="00E8190A">
        <w:rPr>
          <w:rStyle w:val="Hyperlink"/>
          <w:rFonts w:eastAsiaTheme="majorEastAsia" w:cstheme="minorHAnsi"/>
          <w:color w:val="0C7DBB"/>
        </w:rPr>
        <w:t>Arepally</w:t>
      </w:r>
      <w:proofErr w:type="spellEnd"/>
      <w:r w:rsidR="00E86E48" w:rsidRPr="00E8190A">
        <w:rPr>
          <w:rStyle w:val="Hyperlink"/>
          <w:rFonts w:eastAsiaTheme="majorEastAsia" w:cstheme="minorHAnsi"/>
          <w:color w:val="0C7DBB"/>
        </w:rPr>
        <w:t>, 2012</w:t>
      </w:r>
      <w:r w:rsidR="00E86E48" w:rsidRPr="00E8190A">
        <w:rPr>
          <w:rFonts w:cstheme="minorHAnsi"/>
          <w:color w:val="2E2E2E"/>
        </w:rPr>
        <w:fldChar w:fldCharType="end"/>
      </w:r>
      <w:bookmarkEnd w:id="9"/>
      <w:r w:rsidR="00E86E48" w:rsidRPr="00E8190A">
        <w:rPr>
          <w:rFonts w:cstheme="minorHAnsi"/>
          <w:color w:val="2E2E2E"/>
        </w:rPr>
        <w:t>), exerts its anticoagulant effect by chelating </w:t>
      </w:r>
      <w:hyperlink r:id="rId37" w:tooltip="Learn more about Calcium Ion from ScienceDirect's AI-generated Topic Pages" w:history="1">
        <w:r w:rsidR="00E86E48" w:rsidRPr="00E8190A">
          <w:rPr>
            <w:rStyle w:val="Hyperlink"/>
            <w:rFonts w:eastAsiaTheme="majorEastAsia" w:cstheme="minorHAnsi"/>
            <w:color w:val="0C7DBB"/>
          </w:rPr>
          <w:t>ionized calcium</w:t>
        </w:r>
      </w:hyperlink>
      <w:r w:rsidR="00E86E48" w:rsidRPr="00E8190A">
        <w:rPr>
          <w:rFonts w:cstheme="minorHAnsi"/>
          <w:color w:val="2E2E2E"/>
        </w:rPr>
        <w:t> (</w:t>
      </w:r>
      <w:proofErr w:type="spellStart"/>
      <w:r w:rsidR="00E86E48" w:rsidRPr="00E8190A">
        <w:rPr>
          <w:rFonts w:cstheme="minorHAnsi"/>
          <w:color w:val="2E2E2E"/>
        </w:rPr>
        <w:t>iCa</w:t>
      </w:r>
      <w:proofErr w:type="spellEnd"/>
      <w:r w:rsidR="00E86E48" w:rsidRPr="00E8190A">
        <w:rPr>
          <w:rFonts w:cstheme="minorHAnsi"/>
          <w:color w:val="2E2E2E"/>
        </w:rPr>
        <w:t>) in </w:t>
      </w:r>
      <w:hyperlink r:id="rId38" w:tooltip="Learn more about Blood Donor from ScienceDirect's AI-generated Topic Pages" w:history="1">
        <w:r w:rsidR="00E86E48" w:rsidRPr="00E8190A">
          <w:rPr>
            <w:rStyle w:val="Hyperlink"/>
            <w:rFonts w:eastAsiaTheme="majorEastAsia" w:cstheme="minorHAnsi"/>
            <w:color w:val="0C7DBB"/>
          </w:rPr>
          <w:t>donor plasma</w:t>
        </w:r>
      </w:hyperlink>
      <w:r w:rsidR="00E86E48" w:rsidRPr="00E8190A">
        <w:rPr>
          <w:rFonts w:cstheme="minorHAnsi"/>
          <w:color w:val="2E2E2E"/>
        </w:rPr>
        <w:t>. Citrate is returned to apheresis donors intravenously as a mixture with blood components that have not been harvested. This return occurs every few minutes and elicits significant declines in ionized calcium (</w:t>
      </w:r>
      <w:hyperlink r:id="rId39" w:anchor="bb0075" w:history="1">
        <w:r w:rsidR="00E86E48" w:rsidRPr="00E8190A">
          <w:rPr>
            <w:rStyle w:val="Hyperlink"/>
            <w:rFonts w:eastAsiaTheme="majorEastAsia" w:cstheme="minorHAnsi"/>
            <w:color w:val="0C7DBB"/>
          </w:rPr>
          <w:t>Hester et al., 1983</w:t>
        </w:r>
      </w:hyperlink>
      <w:bookmarkEnd w:id="8"/>
      <w:r w:rsidR="00E86E48" w:rsidRPr="00E8190A">
        <w:rPr>
          <w:rFonts w:cstheme="minorHAnsi"/>
          <w:color w:val="2E2E2E"/>
        </w:rPr>
        <w:t>; </w:t>
      </w:r>
      <w:bookmarkStart w:id="10" w:name="bbb0025"/>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"bb0025"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Bolan et al., 2001</w:t>
      </w:r>
      <w:r w:rsidR="00E86E48" w:rsidRPr="00E8190A">
        <w:rPr>
          <w:rFonts w:cstheme="minorHAnsi"/>
          <w:color w:val="2E2E2E"/>
        </w:rPr>
        <w:fldChar w:fldCharType="end"/>
      </w:r>
      <w:r w:rsidR="00E86E48" w:rsidRPr="00E8190A">
        <w:rPr>
          <w:rFonts w:cstheme="minorHAnsi"/>
          <w:color w:val="2E2E2E"/>
        </w:rPr>
        <w:t>; </w:t>
      </w:r>
      <w:bookmarkStart w:id="11" w:name="bbb0150"/>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"bb0150"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Szymanski, 1978</w:t>
      </w:r>
      <w:r w:rsidR="00E86E48" w:rsidRPr="00E8190A">
        <w:rPr>
          <w:rFonts w:cstheme="minorHAnsi"/>
          <w:color w:val="2E2E2E"/>
        </w:rPr>
        <w:fldChar w:fldCharType="end"/>
      </w:r>
      <w:bookmarkEnd w:id="11"/>
      <w:r w:rsidR="00E86E48" w:rsidRPr="00E8190A">
        <w:rPr>
          <w:rFonts w:cstheme="minorHAnsi"/>
          <w:color w:val="2E2E2E"/>
        </w:rPr>
        <w:t>; </w:t>
      </w:r>
      <w:bookmarkStart w:id="12" w:name="bbb0020"/>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"bb0020"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 xml:space="preserve">Bolan and </w:t>
      </w:r>
      <w:proofErr w:type="spellStart"/>
      <w:r w:rsidR="00E86E48" w:rsidRPr="00E8190A">
        <w:rPr>
          <w:rStyle w:val="Hyperlink"/>
          <w:rFonts w:eastAsiaTheme="majorEastAsia" w:cstheme="minorHAnsi"/>
          <w:color w:val="0C7DBB"/>
        </w:rPr>
        <w:t>Leitman</w:t>
      </w:r>
      <w:proofErr w:type="spellEnd"/>
      <w:r w:rsidR="00E86E48" w:rsidRPr="00E8190A">
        <w:rPr>
          <w:rStyle w:val="Hyperlink"/>
          <w:rFonts w:eastAsiaTheme="majorEastAsia" w:cstheme="minorHAnsi"/>
          <w:color w:val="0C7DBB"/>
        </w:rPr>
        <w:t>, 2002</w:t>
      </w:r>
      <w:r w:rsidR="00E86E48" w:rsidRPr="00E8190A">
        <w:rPr>
          <w:rFonts w:cstheme="minorHAnsi"/>
          <w:color w:val="2E2E2E"/>
        </w:rPr>
        <w:fldChar w:fldCharType="end"/>
      </w:r>
      <w:bookmarkEnd w:id="12"/>
      <w:r w:rsidR="00E86E48" w:rsidRPr="00E8190A">
        <w:rPr>
          <w:rFonts w:cstheme="minorHAnsi"/>
          <w:color w:val="2E2E2E"/>
        </w:rPr>
        <w:t>; </w:t>
      </w:r>
      <w:bookmarkStart w:id="13" w:name="bbb0050"/>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"bb0050"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Das et al., 2005</w:t>
      </w:r>
      <w:r w:rsidR="00E86E48" w:rsidRPr="00E8190A">
        <w:rPr>
          <w:rFonts w:cstheme="minorHAnsi"/>
          <w:color w:val="2E2E2E"/>
        </w:rPr>
        <w:fldChar w:fldCharType="end"/>
      </w:r>
      <w:bookmarkEnd w:id="13"/>
      <w:r w:rsidR="00E86E48" w:rsidRPr="00E8190A">
        <w:rPr>
          <w:rFonts w:cstheme="minorHAnsi"/>
          <w:color w:val="2E2E2E"/>
        </w:rPr>
        <w:t>). Apheresis donors subsequently experience alterations in circulating concentrations of </w:t>
      </w:r>
      <w:hyperlink r:id="rId40" w:tooltip="Learn more about Parathyroid Hormone from ScienceDirect's AI-generated Topic Pages" w:history="1">
        <w:r w:rsidR="00E86E48" w:rsidRPr="00E8190A">
          <w:rPr>
            <w:rStyle w:val="Hyperlink"/>
            <w:rFonts w:eastAsiaTheme="majorEastAsia" w:cstheme="minorHAnsi"/>
            <w:color w:val="0C7DBB"/>
          </w:rPr>
          <w:t>parathyroid hormone</w:t>
        </w:r>
      </w:hyperlink>
      <w:r w:rsidR="00E86E48" w:rsidRPr="00E8190A">
        <w:rPr>
          <w:rFonts w:cstheme="minorHAnsi"/>
          <w:color w:val="2E2E2E"/>
        </w:rPr>
        <w:t> (</w:t>
      </w:r>
      <w:hyperlink r:id="rId41" w:anchor="bb0025" w:history="1">
        <w:r w:rsidR="00E86E48" w:rsidRPr="00E8190A">
          <w:rPr>
            <w:rStyle w:val="Hyperlink"/>
            <w:rFonts w:eastAsiaTheme="majorEastAsia" w:cstheme="minorHAnsi"/>
            <w:color w:val="0C7DBB"/>
          </w:rPr>
          <w:t>Bolan et al., 2001</w:t>
        </w:r>
      </w:hyperlink>
      <w:bookmarkEnd w:id="10"/>
      <w:r w:rsidR="00E86E48" w:rsidRPr="00E8190A">
        <w:rPr>
          <w:rFonts w:cstheme="minorHAnsi"/>
          <w:color w:val="2E2E2E"/>
        </w:rPr>
        <w:t>; </w:t>
      </w:r>
      <w:bookmarkStart w:id="14" w:name="bbb0140"/>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"bb0140"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Silberstein et al., 1986</w:t>
      </w:r>
      <w:r w:rsidR="00E86E48" w:rsidRPr="00E8190A">
        <w:rPr>
          <w:rFonts w:cstheme="minorHAnsi"/>
          <w:color w:val="2E2E2E"/>
        </w:rPr>
        <w:fldChar w:fldCharType="end"/>
      </w:r>
      <w:bookmarkEnd w:id="14"/>
      <w:r w:rsidR="00E86E48" w:rsidRPr="00E8190A">
        <w:rPr>
          <w:rFonts w:cstheme="minorHAnsi"/>
          <w:color w:val="2E2E2E"/>
        </w:rPr>
        <w:t>; </w:t>
      </w:r>
      <w:bookmarkStart w:id="15" w:name="bbb0165"/>
      <w:proofErr w:type="spellStart"/>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"bb0165"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Toffaletti</w:t>
      </w:r>
      <w:proofErr w:type="spellEnd"/>
      <w:r w:rsidR="00E86E48" w:rsidRPr="00E8190A">
        <w:rPr>
          <w:rStyle w:val="Hyperlink"/>
          <w:rFonts w:eastAsiaTheme="majorEastAsia" w:cstheme="minorHAnsi"/>
          <w:color w:val="0C7DBB"/>
        </w:rPr>
        <w:t xml:space="preserve"> et al., 1985</w:t>
      </w:r>
      <w:r w:rsidR="00E86E48" w:rsidRPr="00E8190A">
        <w:rPr>
          <w:rFonts w:cstheme="minorHAnsi"/>
          <w:color w:val="2E2E2E"/>
        </w:rPr>
        <w:fldChar w:fldCharType="end"/>
      </w:r>
      <w:bookmarkEnd w:id="15"/>
      <w:r w:rsidR="00E86E48" w:rsidRPr="00E8190A">
        <w:rPr>
          <w:rFonts w:cstheme="minorHAnsi"/>
          <w:color w:val="2E2E2E"/>
        </w:rPr>
        <w:t>; </w:t>
      </w:r>
      <w:bookmarkStart w:id="16" w:name="bbb0120"/>
      <w:proofErr w:type="spellStart"/>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"bb0120"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Mercan</w:t>
      </w:r>
      <w:proofErr w:type="spellEnd"/>
      <w:r w:rsidR="00E86E48" w:rsidRPr="00E8190A">
        <w:rPr>
          <w:rStyle w:val="Hyperlink"/>
          <w:rFonts w:eastAsiaTheme="majorEastAsia" w:cstheme="minorHAnsi"/>
          <w:color w:val="0C7DBB"/>
        </w:rPr>
        <w:t xml:space="preserve"> et al., 1997</w:t>
      </w:r>
      <w:r w:rsidR="00E86E48" w:rsidRPr="00E8190A">
        <w:rPr>
          <w:rFonts w:cstheme="minorHAnsi"/>
          <w:color w:val="2E2E2E"/>
        </w:rPr>
        <w:fldChar w:fldCharType="end"/>
      </w:r>
      <w:bookmarkEnd w:id="16"/>
      <w:r w:rsidR="00E86E48" w:rsidRPr="00E8190A">
        <w:rPr>
          <w:rFonts w:cstheme="minorHAnsi"/>
          <w:color w:val="2E2E2E"/>
        </w:rPr>
        <w:t>; </w:t>
      </w:r>
      <w:bookmarkStart w:id="17" w:name="bbb0005"/>
      <w:proofErr w:type="spellStart"/>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"bb0005"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Amrein</w:t>
      </w:r>
      <w:proofErr w:type="spellEnd"/>
      <w:r w:rsidR="00E86E48" w:rsidRPr="00E8190A">
        <w:rPr>
          <w:rStyle w:val="Hyperlink"/>
          <w:rFonts w:eastAsiaTheme="majorEastAsia" w:cstheme="minorHAnsi"/>
          <w:color w:val="0C7DBB"/>
        </w:rPr>
        <w:t xml:space="preserve"> et al., 2010</w:t>
      </w:r>
      <w:r w:rsidR="00E86E48" w:rsidRPr="00E8190A">
        <w:rPr>
          <w:rFonts w:cstheme="minorHAnsi"/>
          <w:color w:val="2E2E2E"/>
        </w:rPr>
        <w:fldChar w:fldCharType="end"/>
      </w:r>
      <w:r w:rsidR="00E86E48" w:rsidRPr="00E8190A">
        <w:rPr>
          <w:rFonts w:cstheme="minorHAnsi"/>
          <w:color w:val="2E2E2E"/>
        </w:rPr>
        <w:t>; </w:t>
      </w:r>
      <w:bookmarkStart w:id="18" w:name="bbb0030"/>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"bb0030"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Bolan et al., 2003</w:t>
      </w:r>
      <w:r w:rsidR="00E86E48" w:rsidRPr="00E8190A">
        <w:rPr>
          <w:rFonts w:cstheme="minorHAnsi"/>
          <w:color w:val="2E2E2E"/>
        </w:rPr>
        <w:fldChar w:fldCharType="end"/>
      </w:r>
      <w:r w:rsidR="00E86E48" w:rsidRPr="00E8190A">
        <w:rPr>
          <w:rFonts w:cstheme="minorHAnsi"/>
          <w:color w:val="2E2E2E"/>
        </w:rPr>
        <w:t>) </w:t>
      </w:r>
      <w:hyperlink r:id="rId42" w:tooltip="Learn more about Vitamin D from ScienceDirect's AI-generated Topic Pages" w:history="1">
        <w:r w:rsidR="00E86E48" w:rsidRPr="00E8190A">
          <w:rPr>
            <w:rStyle w:val="Hyperlink"/>
            <w:rFonts w:eastAsiaTheme="majorEastAsia" w:cstheme="minorHAnsi"/>
            <w:color w:val="0C7DBB"/>
          </w:rPr>
          <w:t>vitamin D</w:t>
        </w:r>
      </w:hyperlink>
      <w:r w:rsidR="00E86E48" w:rsidRPr="00E8190A">
        <w:rPr>
          <w:rFonts w:cstheme="minorHAnsi"/>
          <w:color w:val="2E2E2E"/>
        </w:rPr>
        <w:t> (</w:t>
      </w:r>
      <w:bookmarkStart w:id="19" w:name="bbb0080"/>
      <w:proofErr w:type="spellStart"/>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"bb0080"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Hiemstra</w:t>
      </w:r>
      <w:proofErr w:type="spellEnd"/>
      <w:r w:rsidR="00E86E48" w:rsidRPr="00E8190A">
        <w:rPr>
          <w:rStyle w:val="Hyperlink"/>
          <w:rFonts w:eastAsiaTheme="majorEastAsia" w:cstheme="minorHAnsi"/>
          <w:color w:val="0C7DBB"/>
        </w:rPr>
        <w:t xml:space="preserve"> et al., 2014</w:t>
      </w:r>
      <w:r w:rsidR="00E86E48" w:rsidRPr="00E8190A">
        <w:rPr>
          <w:rFonts w:cstheme="minorHAnsi"/>
          <w:color w:val="2E2E2E"/>
        </w:rPr>
        <w:fldChar w:fldCharType="end"/>
      </w:r>
      <w:bookmarkEnd w:id="19"/>
      <w:r w:rsidR="00E86E48" w:rsidRPr="00E8190A">
        <w:rPr>
          <w:rFonts w:cstheme="minorHAnsi"/>
          <w:color w:val="2E2E2E"/>
        </w:rPr>
        <w:t>), and markers of </w:t>
      </w:r>
      <w:hyperlink r:id="rId43" w:tooltip="Learn more about Osteoplasty from ScienceDirect's AI-generated Topic Pages" w:history="1">
        <w:r w:rsidR="00E86E48" w:rsidRPr="00E8190A">
          <w:rPr>
            <w:rStyle w:val="Hyperlink"/>
            <w:rFonts w:eastAsiaTheme="majorEastAsia" w:cstheme="minorHAnsi"/>
            <w:color w:val="0C7DBB"/>
          </w:rPr>
          <w:t>bone remodeling</w:t>
        </w:r>
      </w:hyperlink>
      <w:r w:rsidR="00E86E48" w:rsidRPr="00E8190A">
        <w:rPr>
          <w:rFonts w:cstheme="minorHAnsi"/>
          <w:color w:val="2E2E2E"/>
        </w:rPr>
        <w:t> (</w:t>
      </w:r>
      <w:proofErr w:type="spellStart"/>
      <w:r>
        <w:fldChar w:fldCharType="begin"/>
      </w:r>
      <w:r>
        <w:instrText xml:space="preserve"> HYPER</w:instrText>
      </w:r>
      <w:r>
        <w:instrText xml:space="preserve">LINK "https://www.sciencedirect.com/science/article/pii/S2352187218300585?via%3Dihub" \l "bb0005" </w:instrText>
      </w:r>
      <w:r>
        <w:fldChar w:fldCharType="separate"/>
      </w:r>
      <w:r w:rsidR="00E86E48" w:rsidRPr="00E8190A">
        <w:rPr>
          <w:rStyle w:val="Hyperlink"/>
          <w:rFonts w:eastAsiaTheme="majorEastAsia" w:cstheme="minorHAnsi"/>
          <w:color w:val="0C7DBB"/>
        </w:rPr>
        <w:t>Amrein</w:t>
      </w:r>
      <w:proofErr w:type="spellEnd"/>
      <w:r w:rsidR="00E86E48" w:rsidRPr="00E8190A">
        <w:rPr>
          <w:rStyle w:val="Hyperlink"/>
          <w:rFonts w:eastAsiaTheme="majorEastAsia" w:cstheme="minorHAnsi"/>
          <w:color w:val="0C7DBB"/>
        </w:rPr>
        <w:t xml:space="preserve"> et al., 2010</w:t>
      </w:r>
      <w:r>
        <w:rPr>
          <w:rStyle w:val="Hyperlink"/>
          <w:rFonts w:eastAsiaTheme="majorEastAsia" w:cstheme="minorHAnsi"/>
          <w:color w:val="0C7DBB"/>
        </w:rPr>
        <w:fldChar w:fldCharType="end"/>
      </w:r>
      <w:r w:rsidR="00E86E48" w:rsidRPr="00E8190A">
        <w:rPr>
          <w:rFonts w:cstheme="minorHAnsi"/>
          <w:color w:val="2E2E2E"/>
        </w:rPr>
        <w:t>; </w:t>
      </w:r>
      <w:hyperlink r:id="rId44" w:anchor="bb0030" w:history="1">
        <w:r w:rsidR="00E86E48" w:rsidRPr="00E8190A">
          <w:rPr>
            <w:rStyle w:val="Hyperlink"/>
            <w:rFonts w:eastAsiaTheme="majorEastAsia" w:cstheme="minorHAnsi"/>
            <w:color w:val="0C7DBB"/>
          </w:rPr>
          <w:t>Bolan et al., 2003</w:t>
        </w:r>
      </w:hyperlink>
      <w:bookmarkEnd w:id="18"/>
      <w:r w:rsidR="00E86E48" w:rsidRPr="00E8190A">
        <w:rPr>
          <w:rFonts w:cstheme="minorHAnsi"/>
          <w:color w:val="2E2E2E"/>
        </w:rPr>
        <w:t>; </w:t>
      </w:r>
      <w:bookmarkStart w:id="20" w:name="bbb0045"/>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"bb0045"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Chen et al., 2009</w:t>
      </w:r>
      <w:r w:rsidR="00E86E48" w:rsidRPr="00E8190A">
        <w:rPr>
          <w:rFonts w:cstheme="minorHAnsi"/>
          <w:color w:val="2E2E2E"/>
        </w:rPr>
        <w:fldChar w:fldCharType="end"/>
      </w:r>
      <w:bookmarkEnd w:id="20"/>
      <w:r w:rsidR="00E86E48" w:rsidRPr="00E8190A">
        <w:rPr>
          <w:rFonts w:cstheme="minorHAnsi"/>
          <w:color w:val="2E2E2E"/>
        </w:rPr>
        <w:t>).</w:t>
      </w:r>
    </w:p>
    <w:p w14:paraId="373A6BAB" w14:textId="77777777" w:rsidR="00E86E48" w:rsidRPr="00E8190A" w:rsidRDefault="00E86E48" w:rsidP="003B1A91">
      <w:pPr>
        <w:rPr>
          <w:rFonts w:cstheme="minorHAnsi"/>
        </w:rPr>
      </w:pPr>
      <w:r w:rsidRPr="00E8190A">
        <w:rPr>
          <w:rFonts w:cstheme="minorHAnsi"/>
        </w:rPr>
        <w:t>Evaluation of BMD among apheresis blood donors has yielded conflicting results. The prevalence of low BMD, defined as </w:t>
      </w:r>
      <w:r w:rsidRPr="00E8190A">
        <w:rPr>
          <w:rStyle w:val="Emphasis"/>
          <w:rFonts w:eastAsiaTheme="majorEastAsia" w:cstheme="minorHAnsi"/>
          <w:color w:val="2E2E2E"/>
          <w:sz w:val="27"/>
          <w:szCs w:val="27"/>
        </w:rPr>
        <w:t>Z</w:t>
      </w:r>
      <w:r w:rsidRPr="00E8190A">
        <w:rPr>
          <w:rFonts w:cstheme="minorHAnsi"/>
        </w:rPr>
        <w:t>- and T-scores and adjusted for </w:t>
      </w:r>
      <w:hyperlink r:id="rId45" w:tooltip="Learn more about Body Mass Index from ScienceDirect's AI-generated Topic Pages" w:history="1">
        <w:r w:rsidRPr="00E8190A">
          <w:rPr>
            <w:rStyle w:val="Hyperlink"/>
            <w:rFonts w:eastAsiaTheme="majorEastAsia" w:cstheme="minorHAnsi"/>
            <w:color w:val="0C7DBB"/>
            <w:sz w:val="27"/>
            <w:szCs w:val="27"/>
          </w:rPr>
          <w:t>body mass index</w:t>
        </w:r>
      </w:hyperlink>
      <w:r w:rsidRPr="00E8190A">
        <w:rPr>
          <w:rFonts w:cstheme="minorHAnsi"/>
        </w:rPr>
        <w:t>, average physical activity, and daily </w:t>
      </w:r>
      <w:hyperlink r:id="rId46" w:tooltip="Learn more about Calcium Intake from ScienceDirect's AI-generated Topic Pages" w:history="1">
        <w:r w:rsidRPr="00E8190A">
          <w:rPr>
            <w:rStyle w:val="Hyperlink"/>
            <w:rFonts w:eastAsiaTheme="majorEastAsia" w:cstheme="minorHAnsi"/>
            <w:color w:val="0C7DBB"/>
            <w:sz w:val="27"/>
            <w:szCs w:val="27"/>
          </w:rPr>
          <w:t>calcium intake</w:t>
        </w:r>
      </w:hyperlink>
      <w:r w:rsidRPr="00E8190A">
        <w:rPr>
          <w:rFonts w:cstheme="minorHAnsi"/>
        </w:rPr>
        <w:t>, was higher for a group of apheresis donors (n = 102) as compared to a matched control group (</w:t>
      </w:r>
      <w:proofErr w:type="spellStart"/>
      <w:r w:rsidR="00AE58B6">
        <w:fldChar w:fldCharType="begin"/>
      </w:r>
      <w:r w:rsidR="00AE58B6">
        <w:instrText xml:space="preserve"> HYPERLINK "https://www.sciencedirect.com/science/article/pii/S2352187218300585?via%3Dihub" \l "bb0005" </w:instrText>
      </w:r>
      <w:r w:rsidR="00AE58B6">
        <w:fldChar w:fldCharType="separate"/>
      </w:r>
      <w:r w:rsidRPr="00E8190A">
        <w:rPr>
          <w:rStyle w:val="Hyperlink"/>
          <w:rFonts w:eastAsiaTheme="majorEastAsia" w:cstheme="minorHAnsi"/>
          <w:color w:val="0C7DBB"/>
          <w:sz w:val="27"/>
          <w:szCs w:val="27"/>
        </w:rPr>
        <w:t>Amrein</w:t>
      </w:r>
      <w:proofErr w:type="spellEnd"/>
      <w:r w:rsidRPr="00E8190A">
        <w:rPr>
          <w:rStyle w:val="Hyperlink"/>
          <w:rFonts w:eastAsiaTheme="majorEastAsia" w:cstheme="minorHAnsi"/>
          <w:color w:val="0C7DBB"/>
          <w:sz w:val="27"/>
          <w:szCs w:val="27"/>
        </w:rPr>
        <w:t xml:space="preserve"> et al., 2010</w:t>
      </w:r>
      <w:r w:rsidR="00AE58B6">
        <w:rPr>
          <w:rStyle w:val="Hyperlink"/>
          <w:rFonts w:eastAsiaTheme="majorEastAsia" w:cstheme="minorHAnsi"/>
          <w:color w:val="0C7DBB"/>
          <w:sz w:val="27"/>
          <w:szCs w:val="27"/>
        </w:rPr>
        <w:fldChar w:fldCharType="end"/>
      </w:r>
      <w:r w:rsidRPr="00E8190A">
        <w:rPr>
          <w:rFonts w:cstheme="minorHAnsi"/>
        </w:rPr>
        <w:t>). Another matched study of 20 apheresis and 20 whole blood donors, aged 55–70 and female, showed no difference in total hip or </w:t>
      </w:r>
      <w:hyperlink r:id="rId47" w:tooltip="Learn more about Lumbar Spine from ScienceDirect's AI-generated Topic Pages" w:history="1">
        <w:r w:rsidRPr="00E8190A">
          <w:rPr>
            <w:rStyle w:val="Hyperlink"/>
            <w:rFonts w:eastAsiaTheme="majorEastAsia" w:cstheme="minorHAnsi"/>
            <w:color w:val="0C7DBB"/>
            <w:sz w:val="27"/>
            <w:szCs w:val="27"/>
          </w:rPr>
          <w:t>lumbar spine</w:t>
        </w:r>
      </w:hyperlink>
      <w:r w:rsidRPr="00E8190A">
        <w:rPr>
          <w:rFonts w:cstheme="minorHAnsi"/>
        </w:rPr>
        <w:t> BMD (</w:t>
      </w:r>
      <w:bookmarkStart w:id="21" w:name="bbb0035"/>
      <w:r w:rsidRPr="00E8190A">
        <w:rPr>
          <w:rFonts w:cstheme="minorHAnsi"/>
        </w:rPr>
        <w:fldChar w:fldCharType="begin"/>
      </w:r>
      <w:r w:rsidRPr="00E8190A">
        <w:rPr>
          <w:rFonts w:cstheme="minorHAnsi"/>
        </w:rPr>
        <w:instrText xml:space="preserve"> HYPERLINK "https://www.sciencedirect.com/science/article/pii/S2352187218300585?via%3Dihub" \l "bb0035" </w:instrText>
      </w:r>
      <w:r w:rsidRPr="00E8190A">
        <w:rPr>
          <w:rFonts w:cstheme="minorHAnsi"/>
        </w:rPr>
        <w:fldChar w:fldCharType="separate"/>
      </w:r>
      <w:r w:rsidRPr="00E8190A">
        <w:rPr>
          <w:rStyle w:val="Hyperlink"/>
          <w:rFonts w:eastAsiaTheme="majorEastAsia" w:cstheme="minorHAnsi"/>
          <w:color w:val="0C7DBB"/>
          <w:sz w:val="27"/>
          <w:szCs w:val="27"/>
        </w:rPr>
        <w:t>Boot et al., 2015</w:t>
      </w:r>
      <w:r w:rsidRPr="00E8190A">
        <w:rPr>
          <w:rFonts w:cstheme="minorHAnsi"/>
        </w:rPr>
        <w:fldChar w:fldCharType="end"/>
      </w:r>
      <w:r w:rsidRPr="00E8190A">
        <w:rPr>
          <w:rFonts w:cstheme="minorHAnsi"/>
        </w:rPr>
        <w:t xml:space="preserve">). </w:t>
      </w:r>
      <w:proofErr w:type="gramStart"/>
      <w:r w:rsidRPr="00E8190A">
        <w:rPr>
          <w:rFonts w:cstheme="minorHAnsi"/>
        </w:rPr>
        <w:t>Both of these</w:t>
      </w:r>
      <w:proofErr w:type="gramEnd"/>
      <w:r w:rsidRPr="00E8190A">
        <w:rPr>
          <w:rFonts w:cstheme="minorHAnsi"/>
        </w:rPr>
        <w:t xml:space="preserve"> studies were cross-sectional and hence, purely correlative. Recent findings from a longitudinal Swedish study indicate that </w:t>
      </w:r>
      <w:r w:rsidRPr="00E8190A">
        <w:rPr>
          <w:rFonts w:cstheme="minorHAnsi"/>
        </w:rPr>
        <w:lastRenderedPageBreak/>
        <w:t>plasma apheresis does not increase the risk of fracture in blood donors (</w:t>
      </w:r>
      <w:bookmarkStart w:id="22" w:name="bbb0070"/>
      <w:r w:rsidRPr="00E8190A">
        <w:rPr>
          <w:rFonts w:cstheme="minorHAnsi"/>
        </w:rPr>
        <w:fldChar w:fldCharType="begin"/>
      </w:r>
      <w:r w:rsidRPr="00E8190A">
        <w:rPr>
          <w:rFonts w:cstheme="minorHAnsi"/>
        </w:rPr>
        <w:instrText xml:space="preserve"> HYPERLINK "https://www.sciencedirect.com/science/article/pii/S2352187218300585?via%3Dihub" \l "bb0070" </w:instrText>
      </w:r>
      <w:r w:rsidRPr="00E8190A">
        <w:rPr>
          <w:rFonts w:cstheme="minorHAnsi"/>
        </w:rPr>
        <w:fldChar w:fldCharType="separate"/>
      </w:r>
      <w:r w:rsidRPr="00E8190A">
        <w:rPr>
          <w:rStyle w:val="Hyperlink"/>
          <w:rFonts w:eastAsiaTheme="majorEastAsia" w:cstheme="minorHAnsi"/>
          <w:color w:val="0C7DBB"/>
          <w:sz w:val="27"/>
          <w:szCs w:val="27"/>
        </w:rPr>
        <w:t>Grau et al., 2017</w:t>
      </w:r>
      <w:r w:rsidRPr="00E8190A">
        <w:rPr>
          <w:rFonts w:cstheme="minorHAnsi"/>
        </w:rPr>
        <w:fldChar w:fldCharType="end"/>
      </w:r>
      <w:r w:rsidRPr="00E8190A">
        <w:rPr>
          <w:rFonts w:cstheme="minorHAnsi"/>
        </w:rPr>
        <w:t>); however, these findings apply to relatively </w:t>
      </w:r>
      <w:hyperlink r:id="rId48" w:tooltip="Learn more about Low Drug Dose from ScienceDirect's AI-generated Topic Pages" w:history="1">
        <w:r w:rsidRPr="00E8190A">
          <w:rPr>
            <w:rStyle w:val="Hyperlink"/>
            <w:rFonts w:eastAsiaTheme="majorEastAsia" w:cstheme="minorHAnsi"/>
            <w:color w:val="0C7DBB"/>
            <w:sz w:val="27"/>
            <w:szCs w:val="27"/>
          </w:rPr>
          <w:t>low dose</w:t>
        </w:r>
      </w:hyperlink>
      <w:r w:rsidRPr="00E8190A">
        <w:rPr>
          <w:rFonts w:cstheme="minorHAnsi"/>
        </w:rPr>
        <w:t> citrate AC exposure and relatively infrequent plasma apheresis donation.</w:t>
      </w:r>
    </w:p>
    <w:p w14:paraId="57416133" w14:textId="77777777" w:rsidR="00E86E48" w:rsidRPr="00E8190A" w:rsidRDefault="00E86E48" w:rsidP="003B1A91">
      <w:pPr>
        <w:rPr>
          <w:rFonts w:cstheme="minorHAnsi"/>
        </w:rPr>
      </w:pPr>
      <w:r w:rsidRPr="00E8190A">
        <w:rPr>
          <w:rFonts w:cstheme="minorHAnsi"/>
        </w:rPr>
        <w:t>The collection of platelets by apheresis is increasing in most parts of the world and confers citrate burden to the donor that is &gt;85% greater than for plasma apheresis (</w:t>
      </w:r>
      <w:bookmarkStart w:id="23" w:name="bbb0060"/>
      <w:r w:rsidRPr="00E8190A">
        <w:rPr>
          <w:rFonts w:cstheme="minorHAnsi"/>
        </w:rPr>
        <w:fldChar w:fldCharType="begin"/>
      </w:r>
      <w:r w:rsidRPr="00E8190A">
        <w:rPr>
          <w:rFonts w:cstheme="minorHAnsi"/>
        </w:rPr>
        <w:instrText xml:space="preserve"> HYPERLINK "https://www.sciencedirect.com/science/article/pii/S2352187218300585?via%3Dihub" \l "bb0060" </w:instrText>
      </w:r>
      <w:r w:rsidRPr="00E8190A">
        <w:rPr>
          <w:rFonts w:cstheme="minorHAnsi"/>
        </w:rPr>
        <w:fldChar w:fldCharType="separate"/>
      </w:r>
      <w:r w:rsidRPr="00E8190A">
        <w:rPr>
          <w:rStyle w:val="Hyperlink"/>
          <w:rFonts w:eastAsiaTheme="majorEastAsia" w:cstheme="minorHAnsi"/>
          <w:color w:val="0C7DBB"/>
          <w:sz w:val="27"/>
          <w:szCs w:val="27"/>
        </w:rPr>
        <w:t xml:space="preserve">Evers and </w:t>
      </w:r>
      <w:proofErr w:type="spellStart"/>
      <w:r w:rsidRPr="00E8190A">
        <w:rPr>
          <w:rStyle w:val="Hyperlink"/>
          <w:rFonts w:eastAsiaTheme="majorEastAsia" w:cstheme="minorHAnsi"/>
          <w:color w:val="0C7DBB"/>
          <w:sz w:val="27"/>
          <w:szCs w:val="27"/>
        </w:rPr>
        <w:t>Taborski</w:t>
      </w:r>
      <w:proofErr w:type="spellEnd"/>
      <w:r w:rsidRPr="00E8190A">
        <w:rPr>
          <w:rStyle w:val="Hyperlink"/>
          <w:rFonts w:eastAsiaTheme="majorEastAsia" w:cstheme="minorHAnsi"/>
          <w:color w:val="0C7DBB"/>
          <w:sz w:val="27"/>
          <w:szCs w:val="27"/>
        </w:rPr>
        <w:t>, 2016</w:t>
      </w:r>
      <w:r w:rsidRPr="00E8190A">
        <w:rPr>
          <w:rFonts w:cstheme="minorHAnsi"/>
        </w:rPr>
        <w:fldChar w:fldCharType="end"/>
      </w:r>
      <w:r w:rsidRPr="00E8190A">
        <w:rPr>
          <w:rFonts w:cstheme="minorHAnsi"/>
        </w:rPr>
        <w:t>). Resolving the potential impact of the highest apheresis donation frequency, paired with the associated upper limit of citrate AC burden, represents a critical knowledge gap in ensuring adequate protections are in place to preserve the health of volunteer blood donors as it is their </w:t>
      </w:r>
      <w:hyperlink r:id="rId49" w:tooltip="Learn more about Altruism from ScienceDirect's AI-generated Topic Pages" w:history="1">
        <w:r w:rsidRPr="00E8190A">
          <w:rPr>
            <w:rStyle w:val="Hyperlink"/>
            <w:rFonts w:eastAsiaTheme="majorEastAsia" w:cstheme="minorHAnsi"/>
            <w:color w:val="0C7DBB"/>
            <w:sz w:val="27"/>
            <w:szCs w:val="27"/>
          </w:rPr>
          <w:t>altruism</w:t>
        </w:r>
      </w:hyperlink>
      <w:r w:rsidRPr="00E8190A">
        <w:rPr>
          <w:rFonts w:cstheme="minorHAnsi"/>
        </w:rPr>
        <w:t> that ensures the availability of life-saving blood products to patients in need.</w:t>
      </w:r>
    </w:p>
    <w:p w14:paraId="023AD8D1" w14:textId="77777777" w:rsidR="00E86E48" w:rsidRPr="00E8190A" w:rsidRDefault="00E86E48" w:rsidP="003B1A91">
      <w:pPr>
        <w:pStyle w:val="Heading1"/>
        <w:rPr>
          <w:rFonts w:asciiTheme="minorHAnsi" w:hAnsiTheme="minorHAnsi" w:cstheme="minorHAnsi"/>
          <w:sz w:val="36"/>
          <w:szCs w:val="36"/>
        </w:rPr>
      </w:pPr>
      <w:r w:rsidRPr="00E8190A">
        <w:rPr>
          <w:rFonts w:asciiTheme="minorHAnsi" w:hAnsiTheme="minorHAnsi" w:cstheme="minorHAnsi"/>
        </w:rPr>
        <w:t>2. Methods</w:t>
      </w:r>
    </w:p>
    <w:p w14:paraId="269C83FF" w14:textId="77777777" w:rsidR="00E86E48" w:rsidRPr="00E8190A" w:rsidRDefault="00E86E48" w:rsidP="003B1A91">
      <w:pPr>
        <w:pStyle w:val="Heading2"/>
        <w:rPr>
          <w:rFonts w:asciiTheme="minorHAnsi" w:hAnsiTheme="minorHAnsi" w:cstheme="minorHAnsi"/>
        </w:rPr>
      </w:pPr>
      <w:r w:rsidRPr="00E8190A">
        <w:rPr>
          <w:rFonts w:asciiTheme="minorHAnsi" w:hAnsiTheme="minorHAnsi" w:cstheme="minorHAnsi"/>
        </w:rPr>
        <w:t>2.1. Trial design</w:t>
      </w:r>
    </w:p>
    <w:p w14:paraId="5D809EB6" w14:textId="77777777" w:rsidR="00E86E48" w:rsidRPr="00E8190A" w:rsidRDefault="00E86E48" w:rsidP="00556FDA">
      <w:pPr>
        <w:rPr>
          <w:rFonts w:cstheme="minorHAnsi"/>
        </w:rPr>
      </w:pPr>
      <w:r w:rsidRPr="00E8190A">
        <w:rPr>
          <w:rFonts w:cstheme="minorHAnsi"/>
        </w:rPr>
        <w:t>ALTRUYST (</w:t>
      </w:r>
      <w:hyperlink r:id="rId50" w:tgtFrame="_blank" w:history="1">
        <w:r w:rsidRPr="00E8190A">
          <w:rPr>
            <w:rFonts w:cstheme="minorHAnsi"/>
          </w:rPr>
          <w:t>NCT02655055</w:t>
        </w:r>
      </w:hyperlink>
      <w:r w:rsidRPr="00E8190A">
        <w:rPr>
          <w:rFonts w:cstheme="minorHAnsi"/>
        </w:rPr>
        <w:t>) was a randomized, longitudinal, controlled, single-center clinical trial designed to determine if repeated exposure to intravenous </w:t>
      </w:r>
      <w:hyperlink r:id="rId51" w:tooltip="Learn more about Citrate from ScienceDirect's AI-generated Topic Pages" w:history="1">
        <w:r w:rsidRPr="00E8190A">
          <w:rPr>
            <w:rFonts w:cstheme="minorHAnsi"/>
          </w:rPr>
          <w:t>citrate</w:t>
        </w:r>
      </w:hyperlink>
      <w:r w:rsidRPr="00E8190A">
        <w:rPr>
          <w:rFonts w:cstheme="minorHAnsi"/>
        </w:rPr>
        <w:t> through </w:t>
      </w:r>
      <w:hyperlink r:id="rId52" w:tooltip="Learn more about Apheresis from ScienceDirect's AI-generated Topic Pages" w:history="1">
        <w:r w:rsidRPr="00E8190A">
          <w:rPr>
            <w:rFonts w:cstheme="minorHAnsi"/>
          </w:rPr>
          <w:t>apheresis</w:t>
        </w:r>
      </w:hyperlink>
      <w:r w:rsidRPr="00E8190A">
        <w:rPr>
          <w:rFonts w:cstheme="minorHAnsi"/>
        </w:rPr>
        <w:t> </w:t>
      </w:r>
      <w:hyperlink r:id="rId53" w:tooltip="Learn more about Blood Donor from ScienceDirect's AI-generated Topic Pages" w:history="1">
        <w:r w:rsidRPr="00E8190A">
          <w:rPr>
            <w:rFonts w:cstheme="minorHAnsi"/>
          </w:rPr>
          <w:t>blood donation</w:t>
        </w:r>
      </w:hyperlink>
      <w:r w:rsidRPr="00E8190A">
        <w:rPr>
          <w:rFonts w:cstheme="minorHAnsi"/>
        </w:rPr>
        <w:t> reduces BMD. Due to the fact that the vast majority of apheresis blood donors, particularly high frequency apheresis blood donors at the participating blood center, are Caucasian males, 18–</w:t>
      </w:r>
      <w:proofErr w:type="gramStart"/>
      <w:r w:rsidRPr="00E8190A">
        <w:rPr>
          <w:rFonts w:cstheme="minorHAnsi"/>
        </w:rPr>
        <w:t>65 year old</w:t>
      </w:r>
      <w:proofErr w:type="gramEnd"/>
      <w:r w:rsidRPr="00E8190A">
        <w:rPr>
          <w:rFonts w:cstheme="minorHAnsi"/>
        </w:rPr>
        <w:t xml:space="preserve"> males were selected as the population of interest. The demographic and examination data sets from NHANES were downloaded in April 2015 and used to estimate mean (1.055 g/cm2) and standard deviation (0.135 g/cm2) of total </w:t>
      </w:r>
      <w:hyperlink r:id="rId54" w:tooltip="Learn more about Lumbar Spine from ScienceDirect's AI-generated Topic Pages" w:history="1">
        <w:r w:rsidRPr="00E8190A">
          <w:rPr>
            <w:rFonts w:cstheme="minorHAnsi"/>
          </w:rPr>
          <w:t>lumbar spine</w:t>
        </w:r>
      </w:hyperlink>
      <w:r w:rsidRPr="00E8190A">
        <w:rPr>
          <w:rFonts w:cstheme="minorHAnsi"/>
        </w:rPr>
        <w:t> BMD for Caucasian males 18–65 years of age in the United States. These estimates were used to derive distributions of BMD using a multivariate, normal variable random sampling simulation (n = 10,000) with covariance for treatment included and change in lumbar spine BMD over a one year period exceeding the least significant change (LSC) at α = 0.05 as the primary outcome. The LSC at the lumbar spine was used in final estimates of sample size which indicated that analysis of 20 apheresis and 15 control subjects was needed to achieve 80% power. Attrition between the two groups was expected to differ, with higher rates in the apheresis group anticipated. Therefore, a 2:1 block randomization scheme was employed with an overall target</w:t>
      </w:r>
      <w:r w:rsidRPr="00E8190A">
        <w:rPr>
          <w:rFonts w:cstheme="minorHAnsi"/>
          <w:color w:val="2E2E2E"/>
        </w:rPr>
        <w:t xml:space="preserve"> </w:t>
      </w:r>
      <w:r w:rsidRPr="00E8190A">
        <w:rPr>
          <w:rFonts w:cstheme="minorHAnsi"/>
        </w:rPr>
        <w:t>enrollment size of 45 (28 apheresis, 17 controls). The study was registered on </w:t>
      </w:r>
      <w:hyperlink r:id="rId55" w:tgtFrame="_blank" w:history="1">
        <w:r w:rsidRPr="00E8190A">
          <w:rPr>
            <w:rFonts w:cstheme="minorHAnsi"/>
          </w:rPr>
          <w:t>ClinicalTrials.gov</w:t>
        </w:r>
      </w:hyperlink>
      <w:r w:rsidRPr="00E8190A">
        <w:rPr>
          <w:rFonts w:cstheme="minorHAnsi"/>
        </w:rPr>
        <w:t> and approved by the Medical College of Wisconsin Institutional Review Board (IRB) with ceded review provided by the Marquette University IRB.</w:t>
      </w:r>
    </w:p>
    <w:p w14:paraId="2A558B21" w14:textId="77777777" w:rsidR="00E86E48" w:rsidRPr="00E8190A" w:rsidRDefault="00E86E48" w:rsidP="00556FDA">
      <w:pPr>
        <w:pStyle w:val="Heading2"/>
        <w:rPr>
          <w:rFonts w:asciiTheme="minorHAnsi" w:hAnsiTheme="minorHAnsi" w:cstheme="minorHAnsi"/>
          <w:sz w:val="27"/>
          <w:szCs w:val="27"/>
        </w:rPr>
      </w:pPr>
      <w:r w:rsidRPr="00E8190A">
        <w:rPr>
          <w:rFonts w:asciiTheme="minorHAnsi" w:hAnsiTheme="minorHAnsi" w:cstheme="minorHAnsi"/>
        </w:rPr>
        <w:t>2.2. Participants</w:t>
      </w:r>
    </w:p>
    <w:p w14:paraId="2EC730C1" w14:textId="77777777" w:rsidR="00E86E48" w:rsidRPr="00E8190A" w:rsidRDefault="00E86E48" w:rsidP="00E17682">
      <w:pPr>
        <w:rPr>
          <w:rFonts w:cstheme="minorHAnsi"/>
        </w:rPr>
      </w:pPr>
      <w:r w:rsidRPr="00E8190A">
        <w:rPr>
          <w:rFonts w:cstheme="minorHAnsi"/>
        </w:rPr>
        <w:t xml:space="preserve">Male volunteer blood donors 18–65 years of age at enrollment were recruited at </w:t>
      </w:r>
      <w:proofErr w:type="spellStart"/>
      <w:r w:rsidRPr="00E8190A">
        <w:rPr>
          <w:rFonts w:cstheme="minorHAnsi"/>
        </w:rPr>
        <w:t>BloodCenter</w:t>
      </w:r>
      <w:proofErr w:type="spellEnd"/>
      <w:r w:rsidRPr="00E8190A">
        <w:rPr>
          <w:rFonts w:cstheme="minorHAnsi"/>
        </w:rPr>
        <w:t xml:space="preserve"> of Wisconsin using standard methods. Subjects with more than five lifetime apheresis blood donations were deliberately excluded to avoid any potential physiologic adaptation to citrate exposure. Subjects were also excluded if they had a metal prosthesis or previous fracture that could interfere with BMD measurement. Those weighing in excess of 300 </w:t>
      </w:r>
      <w:proofErr w:type="spellStart"/>
      <w:r w:rsidRPr="00E8190A">
        <w:rPr>
          <w:rFonts w:cstheme="minorHAnsi"/>
        </w:rPr>
        <w:t>lbs</w:t>
      </w:r>
      <w:proofErr w:type="spellEnd"/>
      <w:r w:rsidRPr="00E8190A">
        <w:rPr>
          <w:rFonts w:cstheme="minorHAnsi"/>
        </w:rPr>
        <w:t>, with a previous </w:t>
      </w:r>
      <w:hyperlink r:id="rId56" w:tooltip="Learn more about Fragility Fracture from ScienceDirect's AI-generated Topic Pages" w:history="1">
        <w:r w:rsidRPr="00E8190A">
          <w:rPr>
            <w:rStyle w:val="Hyperlink"/>
            <w:rFonts w:eastAsiaTheme="majorEastAsia" w:cstheme="minorHAnsi"/>
            <w:color w:val="0C7DBB"/>
            <w:sz w:val="27"/>
            <w:szCs w:val="27"/>
          </w:rPr>
          <w:t>fragility fracture</w:t>
        </w:r>
      </w:hyperlink>
      <w:r w:rsidRPr="00E8190A">
        <w:rPr>
          <w:rFonts w:cstheme="minorHAnsi"/>
        </w:rPr>
        <w:t>, a previous lumbar spine fusion, </w:t>
      </w:r>
      <w:hyperlink r:id="rId57" w:tooltip="Learn more about Cystic Fibrosis from ScienceDirect's AI-generated Topic Pages" w:history="1">
        <w:r w:rsidRPr="00E8190A">
          <w:rPr>
            <w:rFonts w:cstheme="minorHAnsi"/>
          </w:rPr>
          <w:t>cystic fibrosis</w:t>
        </w:r>
      </w:hyperlink>
      <w:r w:rsidRPr="00E8190A">
        <w:rPr>
          <w:rFonts w:cstheme="minorHAnsi"/>
        </w:rPr>
        <w:t>, </w:t>
      </w:r>
      <w:hyperlink r:id="rId58" w:tooltip="Learn more about Emphysema from ScienceDirect's AI-generated Topic Pages" w:history="1">
        <w:r w:rsidRPr="00E8190A">
          <w:rPr>
            <w:rFonts w:cstheme="minorHAnsi"/>
          </w:rPr>
          <w:t>emphysema</w:t>
        </w:r>
      </w:hyperlink>
      <w:r w:rsidRPr="00E8190A">
        <w:rPr>
          <w:rFonts w:cstheme="minorHAnsi"/>
        </w:rPr>
        <w:t>, celiac disease, </w:t>
      </w:r>
      <w:hyperlink r:id="rId59" w:tooltip="Learn more about Crohn's Disease from ScienceDirect's AI-generated Topic Pages" w:history="1">
        <w:r w:rsidRPr="00E8190A">
          <w:rPr>
            <w:rFonts w:cstheme="minorHAnsi"/>
          </w:rPr>
          <w:t>Crohn's disease</w:t>
        </w:r>
      </w:hyperlink>
      <w:r w:rsidRPr="00E8190A">
        <w:rPr>
          <w:rFonts w:cstheme="minorHAnsi"/>
        </w:rPr>
        <w:t>, current or past (&gt;1 month duration) use of corticosteroids or </w:t>
      </w:r>
      <w:hyperlink r:id="rId60" w:tooltip="Learn more about Osteoporosis from ScienceDirect's AI-generated Topic Pages" w:history="1">
        <w:r w:rsidRPr="00E8190A">
          <w:rPr>
            <w:rFonts w:cstheme="minorHAnsi"/>
          </w:rPr>
          <w:t>osteoporosis</w:t>
        </w:r>
      </w:hyperlink>
      <w:r w:rsidRPr="00E8190A">
        <w:rPr>
          <w:rFonts w:cstheme="minorHAnsi"/>
        </w:rPr>
        <w:t> medications were also excluded. All subjects provided written informed consent prior to any study procedures.</w:t>
      </w:r>
    </w:p>
    <w:p w14:paraId="2AA625B2" w14:textId="77777777" w:rsidR="00E86E48" w:rsidRPr="00E8190A" w:rsidRDefault="00E86E48" w:rsidP="00E17682">
      <w:pPr>
        <w:pStyle w:val="Heading2"/>
        <w:rPr>
          <w:rFonts w:asciiTheme="minorHAnsi" w:hAnsiTheme="minorHAnsi" w:cstheme="minorHAnsi"/>
          <w:sz w:val="27"/>
          <w:szCs w:val="27"/>
        </w:rPr>
      </w:pPr>
      <w:r w:rsidRPr="00E8190A">
        <w:rPr>
          <w:rFonts w:asciiTheme="minorHAnsi" w:hAnsiTheme="minorHAnsi" w:cstheme="minorHAnsi"/>
        </w:rPr>
        <w:t>2.3. Outcomes measurement</w:t>
      </w:r>
    </w:p>
    <w:p w14:paraId="4300DF60" w14:textId="77777777" w:rsidR="00E86E48" w:rsidRPr="00E8190A" w:rsidRDefault="00AE58B6" w:rsidP="00E0468C">
      <w:pPr>
        <w:rPr>
          <w:rFonts w:cstheme="minorHAnsi"/>
          <w:color w:val="2E2E2E"/>
        </w:rPr>
      </w:pPr>
      <w:hyperlink r:id="rId61" w:tooltip="Learn more about Dual-Energy X-Ray Absorptiometry from ScienceDirect's AI-generated Topic Pages" w:history="1">
        <w:r w:rsidR="00E86E48" w:rsidRPr="00E8190A">
          <w:rPr>
            <w:rStyle w:val="Hyperlink"/>
            <w:rFonts w:eastAsiaTheme="majorEastAsia" w:cstheme="minorHAnsi"/>
            <w:color w:val="0C7DBB"/>
          </w:rPr>
          <w:t>Dual energy X-ray absorptiometry</w:t>
        </w:r>
      </w:hyperlink>
      <w:r w:rsidR="00E86E48" w:rsidRPr="00E8190A">
        <w:rPr>
          <w:rFonts w:cstheme="minorHAnsi"/>
          <w:color w:val="2E2E2E"/>
        </w:rPr>
        <w:t xml:space="preserve"> (DXA) was performed at the lumbar spine, total hip, and total body using the GE </w:t>
      </w:r>
      <w:proofErr w:type="spellStart"/>
      <w:r w:rsidR="00E86E48" w:rsidRPr="00E8190A">
        <w:rPr>
          <w:rFonts w:cstheme="minorHAnsi"/>
          <w:color w:val="2E2E2E"/>
        </w:rPr>
        <w:t>iDXA</w:t>
      </w:r>
      <w:proofErr w:type="spellEnd"/>
      <w:r w:rsidR="00E86E48" w:rsidRPr="00E8190A">
        <w:rPr>
          <w:rFonts w:cstheme="minorHAnsi"/>
          <w:color w:val="2E2E2E"/>
        </w:rPr>
        <w:t>™ with Encore version 11.40.004 software, </w:t>
      </w:r>
      <w:hyperlink r:id="rId62" w:tooltip="Learn more about Trabecular Bone from ScienceDirect's AI-generated Topic Pages" w:history="1">
        <w:r w:rsidR="00E86E48" w:rsidRPr="00E8190A">
          <w:rPr>
            <w:rStyle w:val="Hyperlink"/>
            <w:rFonts w:eastAsiaTheme="majorEastAsia" w:cstheme="minorHAnsi"/>
            <w:color w:val="0C7DBB"/>
          </w:rPr>
          <w:t>trabecular bone</w:t>
        </w:r>
      </w:hyperlink>
      <w:r w:rsidR="00E86E48" w:rsidRPr="00E8190A">
        <w:rPr>
          <w:rFonts w:cstheme="minorHAnsi"/>
          <w:color w:val="2E2E2E"/>
        </w:rPr>
        <w:t> score version 14.2, located at Marquette University. Two in vivo precision assessments of the individual technologist performing all BMD scans were performed in August 2015 per ISCD guidelines (</w:t>
      </w:r>
      <w:bookmarkStart w:id="24" w:name="bbb0160"/>
      <w:r w:rsidR="00E86E48" w:rsidRPr="00E8190A">
        <w:rPr>
          <w:rFonts w:cstheme="minorHAnsi"/>
          <w:color w:val="2E2E2E"/>
        </w:rPr>
        <w:fldChar w:fldCharType="begin"/>
      </w:r>
      <w:r w:rsidR="00E86E48" w:rsidRPr="00E8190A">
        <w:rPr>
          <w:rFonts w:cstheme="minorHAnsi"/>
          <w:color w:val="2E2E2E"/>
        </w:rPr>
        <w:instrText xml:space="preserve"> HYPERLINK "https://www.sciencedirect.com/science/article/pii/S2352187218300585?via%3Dihub" \l "bb0160" </w:instrText>
      </w:r>
      <w:r w:rsidR="00E86E48" w:rsidRPr="00E8190A">
        <w:rPr>
          <w:rFonts w:cstheme="minorHAnsi"/>
          <w:color w:val="2E2E2E"/>
        </w:rPr>
        <w:fldChar w:fldCharType="separate"/>
      </w:r>
      <w:r w:rsidR="00E86E48" w:rsidRPr="00E8190A">
        <w:rPr>
          <w:rStyle w:val="Hyperlink"/>
          <w:rFonts w:eastAsiaTheme="majorEastAsia" w:cstheme="minorHAnsi"/>
          <w:color w:val="0C7DBB"/>
        </w:rPr>
        <w:t xml:space="preserve">Densitometry </w:t>
      </w:r>
      <w:proofErr w:type="spellStart"/>
      <w:r w:rsidR="00E86E48" w:rsidRPr="00E8190A">
        <w:rPr>
          <w:rStyle w:val="Hyperlink"/>
          <w:rFonts w:eastAsiaTheme="majorEastAsia" w:cstheme="minorHAnsi"/>
          <w:color w:val="0C7DBB"/>
        </w:rPr>
        <w:t>TISfC</w:t>
      </w:r>
      <w:proofErr w:type="spellEnd"/>
      <w:r w:rsidR="00E86E48" w:rsidRPr="00E8190A">
        <w:rPr>
          <w:rStyle w:val="Hyperlink"/>
          <w:rFonts w:eastAsiaTheme="majorEastAsia" w:cstheme="minorHAnsi"/>
          <w:color w:val="0C7DBB"/>
        </w:rPr>
        <w:t>, 2007</w:t>
      </w:r>
      <w:r w:rsidR="00E86E48" w:rsidRPr="00E8190A">
        <w:rPr>
          <w:rFonts w:cstheme="minorHAnsi"/>
          <w:color w:val="2E2E2E"/>
        </w:rPr>
        <w:fldChar w:fldCharType="end"/>
      </w:r>
      <w:r w:rsidR="00E86E48" w:rsidRPr="00E8190A">
        <w:rPr>
          <w:rFonts w:cstheme="minorHAnsi"/>
          <w:color w:val="2E2E2E"/>
        </w:rPr>
        <w:t>). In summary, 15 participants were scanned thrice, with repositioning in between scans. Participants in the precision assessment were male, between 18 and 65 years of age, generally healthy, and otherwise eligible for the research study. The technologist's LSC was 0.021 g/cm</w:t>
      </w:r>
      <w:r w:rsidR="00E86E48" w:rsidRPr="00E8190A">
        <w:rPr>
          <w:rFonts w:cstheme="minorHAnsi"/>
          <w:color w:val="2E2E2E"/>
          <w:vertAlign w:val="superscript"/>
        </w:rPr>
        <w:t>2</w:t>
      </w:r>
      <w:r w:rsidR="00E86E48" w:rsidRPr="00E8190A">
        <w:rPr>
          <w:rFonts w:cstheme="minorHAnsi"/>
          <w:color w:val="2E2E2E"/>
        </w:rPr>
        <w:t> at the lumbar spine and 0.021 g/cm</w:t>
      </w:r>
      <w:r w:rsidR="00E86E48" w:rsidRPr="00E8190A">
        <w:rPr>
          <w:rFonts w:cstheme="minorHAnsi"/>
          <w:color w:val="2E2E2E"/>
          <w:vertAlign w:val="superscript"/>
        </w:rPr>
        <w:t>2</w:t>
      </w:r>
      <w:r w:rsidR="00E86E48" w:rsidRPr="00E8190A">
        <w:rPr>
          <w:rFonts w:cstheme="minorHAnsi"/>
          <w:color w:val="2E2E2E"/>
        </w:rPr>
        <w:t> at the total hip.</w:t>
      </w:r>
    </w:p>
    <w:p w14:paraId="13864B2E" w14:textId="77777777" w:rsidR="00E86E48" w:rsidRPr="00E8190A" w:rsidRDefault="00E86E48" w:rsidP="00E0468C">
      <w:pPr>
        <w:pStyle w:val="Heading2"/>
        <w:rPr>
          <w:rFonts w:asciiTheme="minorHAnsi" w:hAnsiTheme="minorHAnsi" w:cstheme="minorHAnsi"/>
          <w:sz w:val="27"/>
          <w:szCs w:val="27"/>
        </w:rPr>
      </w:pPr>
      <w:r w:rsidRPr="00E8190A">
        <w:rPr>
          <w:rFonts w:asciiTheme="minorHAnsi" w:hAnsiTheme="minorHAnsi" w:cstheme="minorHAnsi"/>
        </w:rPr>
        <w:lastRenderedPageBreak/>
        <w:t>2.4. Randomization and masking</w:t>
      </w:r>
    </w:p>
    <w:p w14:paraId="21FEED5E" w14:textId="77777777" w:rsidR="00E86E48" w:rsidRPr="00E8190A" w:rsidRDefault="00E86E48" w:rsidP="00E0468C">
      <w:pPr>
        <w:rPr>
          <w:rFonts w:cstheme="minorHAnsi"/>
        </w:rPr>
      </w:pPr>
      <w:r w:rsidRPr="00E8190A">
        <w:rPr>
          <w:rFonts w:cstheme="minorHAnsi"/>
        </w:rPr>
        <w:t>A simple block randomization (block size of six) was used to allocate subjects to treatment or control groups. Research subjects and the research technologist were not blinded to treatment allocation. Paired sets of </w:t>
      </w:r>
      <w:hyperlink r:id="rId63" w:tooltip="Learn more about Bone Density from ScienceDirect's AI-generated Topic Pages" w:history="1">
        <w:r w:rsidRPr="00E8190A">
          <w:rPr>
            <w:rStyle w:val="Hyperlink"/>
            <w:rFonts w:eastAsiaTheme="majorEastAsia" w:cstheme="minorHAnsi"/>
            <w:color w:val="0C7DBB"/>
            <w:sz w:val="27"/>
            <w:szCs w:val="27"/>
          </w:rPr>
          <w:t>bone density</w:t>
        </w:r>
      </w:hyperlink>
      <w:r w:rsidRPr="00E8190A">
        <w:rPr>
          <w:rFonts w:cstheme="minorHAnsi"/>
        </w:rPr>
        <w:t> scans were anonymized and blinded to both treatment status (apheresis or control) and time point (enrollment versus follow-up) before blinded clinician review (Dr. Joseph Shaker, Medical College of Wisconsin) using ISCD criteria (</w:t>
      </w:r>
      <w:hyperlink r:id="rId64" w:anchor="bb0160" w:history="1">
        <w:r w:rsidRPr="00E8190A">
          <w:rPr>
            <w:rStyle w:val="Hyperlink"/>
            <w:rFonts w:eastAsiaTheme="majorEastAsia" w:cstheme="minorHAnsi"/>
            <w:color w:val="0C7DBB"/>
            <w:sz w:val="27"/>
            <w:szCs w:val="27"/>
          </w:rPr>
          <w:t xml:space="preserve">Densitometry </w:t>
        </w:r>
        <w:proofErr w:type="spellStart"/>
        <w:r w:rsidRPr="00E8190A">
          <w:rPr>
            <w:rStyle w:val="Hyperlink"/>
            <w:rFonts w:eastAsiaTheme="majorEastAsia" w:cstheme="minorHAnsi"/>
            <w:color w:val="0C7DBB"/>
            <w:sz w:val="27"/>
            <w:szCs w:val="27"/>
          </w:rPr>
          <w:t>TISfC</w:t>
        </w:r>
        <w:proofErr w:type="spellEnd"/>
        <w:r w:rsidRPr="00E8190A">
          <w:rPr>
            <w:rStyle w:val="Hyperlink"/>
            <w:rFonts w:eastAsiaTheme="majorEastAsia" w:cstheme="minorHAnsi"/>
            <w:color w:val="0C7DBB"/>
            <w:sz w:val="27"/>
            <w:szCs w:val="27"/>
          </w:rPr>
          <w:t>, 2007</w:t>
        </w:r>
      </w:hyperlink>
      <w:bookmarkEnd w:id="24"/>
      <w:r w:rsidRPr="00E8190A">
        <w:rPr>
          <w:rFonts w:cstheme="minorHAnsi"/>
        </w:rPr>
        <w:t>).</w:t>
      </w:r>
    </w:p>
    <w:p w14:paraId="4BE4F7D4" w14:textId="77777777" w:rsidR="00E86E48" w:rsidRPr="00E8190A" w:rsidRDefault="00E86E48" w:rsidP="00E0468C">
      <w:pPr>
        <w:pStyle w:val="Heading2"/>
        <w:rPr>
          <w:rFonts w:asciiTheme="minorHAnsi" w:hAnsiTheme="minorHAnsi" w:cstheme="minorHAnsi"/>
          <w:sz w:val="27"/>
          <w:szCs w:val="27"/>
        </w:rPr>
      </w:pPr>
      <w:r w:rsidRPr="00E8190A">
        <w:rPr>
          <w:rFonts w:asciiTheme="minorHAnsi" w:hAnsiTheme="minorHAnsi" w:cstheme="minorHAnsi"/>
        </w:rPr>
        <w:t>2.5. Study procedures</w:t>
      </w:r>
    </w:p>
    <w:p w14:paraId="2A046133" w14:textId="77777777" w:rsidR="00E86E48" w:rsidRPr="00E8190A" w:rsidRDefault="00E86E48" w:rsidP="00E0468C">
      <w:pPr>
        <w:rPr>
          <w:rFonts w:cstheme="minorHAnsi"/>
        </w:rPr>
      </w:pPr>
      <w:r w:rsidRPr="00E8190A">
        <w:rPr>
          <w:rFonts w:cstheme="minorHAnsi"/>
        </w:rPr>
        <w:t>An interviewer collected questionnaire data at enrollment to confirm eligibility and document race, ethnicity, family history of osteopenia/osteoporosis, family history of fracture, personal history of fracture, daily </w:t>
      </w:r>
      <w:hyperlink r:id="rId65" w:tooltip="Learn more about Calcium Intake from ScienceDirect's AI-generated Topic Pages" w:history="1">
        <w:r w:rsidRPr="00E8190A">
          <w:rPr>
            <w:rStyle w:val="Hyperlink"/>
            <w:rFonts w:eastAsiaTheme="majorEastAsia" w:cstheme="minorHAnsi"/>
            <w:color w:val="0C7DBB"/>
            <w:sz w:val="27"/>
            <w:szCs w:val="27"/>
          </w:rPr>
          <w:t>calcium intake</w:t>
        </w:r>
      </w:hyperlink>
      <w:r w:rsidRPr="00E8190A">
        <w:rPr>
          <w:rFonts w:cstheme="minorHAnsi"/>
        </w:rPr>
        <w:t>, activity level, medication use, and other parameters that could alter baseline BMD (see Protocol, </w:t>
      </w:r>
      <w:hyperlink r:id="rId66" w:tgtFrame="_blank" w:history="1">
        <w:r w:rsidRPr="00E8190A">
          <w:rPr>
            <w:rStyle w:val="Hyperlink"/>
            <w:rFonts w:eastAsiaTheme="majorEastAsia" w:cstheme="minorHAnsi"/>
            <w:color w:val="0C7DBB"/>
            <w:sz w:val="27"/>
            <w:szCs w:val="27"/>
          </w:rPr>
          <w:t>clinicaltrials.gov</w:t>
        </w:r>
      </w:hyperlink>
      <w:r w:rsidRPr="00E8190A">
        <w:rPr>
          <w:rFonts w:cstheme="minorHAnsi"/>
        </w:rPr>
        <w:t>). Baseline DXA was performed prior to the first on-study blood donation. All subjects with a </w:t>
      </w:r>
      <w:r w:rsidRPr="00E8190A">
        <w:rPr>
          <w:rStyle w:val="Emphasis"/>
          <w:rFonts w:eastAsiaTheme="majorEastAsia" w:cstheme="minorHAnsi"/>
          <w:color w:val="2E2E2E"/>
          <w:sz w:val="27"/>
          <w:szCs w:val="27"/>
        </w:rPr>
        <w:t>Z</w:t>
      </w:r>
      <w:r w:rsidRPr="00E8190A">
        <w:rPr>
          <w:rFonts w:cstheme="minorHAnsi"/>
        </w:rPr>
        <w:t>-score &lt; −2.0 or &gt;2.0 at any measurement site were notified by letter and excluded from further participation. All participants received $50 for the completing the enrollment visit.</w:t>
      </w:r>
    </w:p>
    <w:p w14:paraId="0511AB8F" w14:textId="77777777" w:rsidR="00E86E48" w:rsidRPr="00E8190A" w:rsidRDefault="00E86E48" w:rsidP="00E0468C">
      <w:pPr>
        <w:rPr>
          <w:rFonts w:cstheme="minorHAnsi"/>
        </w:rPr>
      </w:pPr>
      <w:r w:rsidRPr="00E8190A">
        <w:rPr>
          <w:rFonts w:cstheme="minorHAnsi"/>
        </w:rPr>
        <w:t>A peripheral </w:t>
      </w:r>
      <w:hyperlink r:id="rId67" w:tooltip="Learn more about Blood Sampling from ScienceDirect's AI-generated Topic Pages" w:history="1">
        <w:r w:rsidRPr="00E8190A">
          <w:rPr>
            <w:rStyle w:val="Hyperlink"/>
            <w:rFonts w:eastAsiaTheme="majorEastAsia" w:cstheme="minorHAnsi"/>
            <w:color w:val="0C7DBB"/>
            <w:sz w:val="27"/>
            <w:szCs w:val="27"/>
          </w:rPr>
          <w:t>blood sample</w:t>
        </w:r>
      </w:hyperlink>
      <w:r w:rsidRPr="00E8190A">
        <w:rPr>
          <w:rFonts w:cstheme="minorHAnsi"/>
        </w:rPr>
        <w:t xml:space="preserve"> was collected in a serum separator tube at the first on-study blood donation and processed within 30 min. Samples were subsequently frozen at −80 °C and tested (comprehensive metabolic panel and testosterone) within one year at ARUP Laboratories (Salt Lake City, UT). The duration of apheresis donation and volume of AC infused into the donor during the first of each procedure type was extracted from </w:t>
      </w:r>
      <w:proofErr w:type="spellStart"/>
      <w:r w:rsidRPr="00E8190A">
        <w:rPr>
          <w:rFonts w:cstheme="minorHAnsi"/>
        </w:rPr>
        <w:t>InfoVu</w:t>
      </w:r>
      <w:proofErr w:type="spellEnd"/>
      <w:r w:rsidRPr="00E8190A">
        <w:rPr>
          <w:rFonts w:cstheme="minorHAnsi"/>
        </w:rPr>
        <w:t xml:space="preserve">, the online apheresis data logging software from </w:t>
      </w:r>
      <w:proofErr w:type="spellStart"/>
      <w:r w:rsidRPr="00E8190A">
        <w:rPr>
          <w:rFonts w:cstheme="minorHAnsi"/>
        </w:rPr>
        <w:t>TerumoBCT</w:t>
      </w:r>
      <w:proofErr w:type="spellEnd"/>
      <w:r w:rsidRPr="00E8190A">
        <w:rPr>
          <w:rFonts w:cstheme="minorHAnsi"/>
        </w:rPr>
        <w:t>, and used to estimate total donation duration and volume. ALTRUYST investigators verified that component blood products derived during the study could be labeled as “voluntary units” (21 CFR 606.121(c)(8)(v)) per the FDA's Center for Biologics Evaluation and Research Office in February 2016. Hence, all </w:t>
      </w:r>
      <w:hyperlink r:id="rId68" w:tooltip="Learn more about Blood Component from ScienceDirect's AI-generated Topic Pages" w:history="1">
        <w:r w:rsidRPr="00E8190A">
          <w:rPr>
            <w:rStyle w:val="Hyperlink"/>
            <w:rFonts w:eastAsiaTheme="majorEastAsia" w:cstheme="minorHAnsi"/>
            <w:color w:val="0C7DBB"/>
            <w:sz w:val="27"/>
            <w:szCs w:val="27"/>
          </w:rPr>
          <w:t>blood components</w:t>
        </w:r>
      </w:hyperlink>
      <w:r w:rsidRPr="00E8190A">
        <w:rPr>
          <w:rFonts w:cstheme="minorHAnsi"/>
        </w:rPr>
        <w:t> derived during ALTRUYST were available for transfusion.</w:t>
      </w:r>
    </w:p>
    <w:p w14:paraId="11EF521C" w14:textId="77777777" w:rsidR="00E86E48" w:rsidRPr="00E8190A" w:rsidRDefault="00E86E48" w:rsidP="009C1F3E">
      <w:pPr>
        <w:rPr>
          <w:rFonts w:cstheme="minorHAnsi"/>
        </w:rPr>
      </w:pPr>
      <w:r w:rsidRPr="00E8190A">
        <w:rPr>
          <w:rFonts w:cstheme="minorHAnsi"/>
        </w:rPr>
        <w:t xml:space="preserve">Donors randomized to the apheresis arm were asked to make between 20 and 26 apheresis blood donations during the subsequent </w:t>
      </w:r>
      <w:proofErr w:type="gramStart"/>
      <w:r w:rsidRPr="00E8190A">
        <w:rPr>
          <w:rFonts w:cstheme="minorHAnsi"/>
        </w:rPr>
        <w:t>one year</w:t>
      </w:r>
      <w:proofErr w:type="gramEnd"/>
      <w:r w:rsidRPr="00E8190A">
        <w:rPr>
          <w:rFonts w:cstheme="minorHAnsi"/>
        </w:rPr>
        <w:t xml:space="preserve"> period and received $250 for doing so. Apheresis procedures were performed using the </w:t>
      </w:r>
      <w:proofErr w:type="spellStart"/>
      <w:r w:rsidRPr="00E8190A">
        <w:rPr>
          <w:rFonts w:cstheme="minorHAnsi"/>
        </w:rPr>
        <w:t>Trima</w:t>
      </w:r>
      <w:proofErr w:type="spellEnd"/>
      <w:r w:rsidRPr="00E8190A">
        <w:rPr>
          <w:rFonts w:cstheme="minorHAnsi"/>
        </w:rPr>
        <w:t xml:space="preserve"> Accel multi-component apheresis system (</w:t>
      </w:r>
      <w:bookmarkStart w:id="25" w:name="bbb0040"/>
      <w:proofErr w:type="spellStart"/>
      <w:r w:rsidRPr="00E8190A">
        <w:rPr>
          <w:rFonts w:cstheme="minorHAnsi"/>
        </w:rPr>
        <w:fldChar w:fldCharType="begin"/>
      </w:r>
      <w:r w:rsidRPr="00E8190A">
        <w:rPr>
          <w:rFonts w:cstheme="minorHAnsi"/>
        </w:rPr>
        <w:instrText xml:space="preserve"> HYPERLINK "https://www.sciencedirect.com/science/article/pii/S2352187218300585?via%3Dihub" \l "bb0040" </w:instrText>
      </w:r>
      <w:r w:rsidRPr="00E8190A">
        <w:rPr>
          <w:rFonts w:cstheme="minorHAnsi"/>
        </w:rPr>
        <w:fldChar w:fldCharType="separate"/>
      </w:r>
      <w:r w:rsidRPr="00E8190A">
        <w:rPr>
          <w:rStyle w:val="Hyperlink"/>
          <w:rFonts w:eastAsiaTheme="majorEastAsia" w:cstheme="minorHAnsi"/>
          <w:color w:val="0C7DBB"/>
          <w:sz w:val="27"/>
          <w:szCs w:val="27"/>
        </w:rPr>
        <w:t>Burgstaler</w:t>
      </w:r>
      <w:proofErr w:type="spellEnd"/>
      <w:r w:rsidRPr="00E8190A">
        <w:rPr>
          <w:rStyle w:val="Hyperlink"/>
          <w:rFonts w:eastAsiaTheme="majorEastAsia" w:cstheme="minorHAnsi"/>
          <w:color w:val="0C7DBB"/>
          <w:sz w:val="27"/>
          <w:szCs w:val="27"/>
        </w:rPr>
        <w:t>, 2006</w:t>
      </w:r>
      <w:r w:rsidRPr="00E8190A">
        <w:rPr>
          <w:rFonts w:cstheme="minorHAnsi"/>
        </w:rPr>
        <w:fldChar w:fldCharType="end"/>
      </w:r>
      <w:bookmarkEnd w:id="25"/>
      <w:r w:rsidRPr="00E8190A">
        <w:rPr>
          <w:rFonts w:cstheme="minorHAnsi"/>
        </w:rPr>
        <w:t xml:space="preserve">). Donors randomized to the control arm were asked to make zero or whole-blood-only donations during the subsequent </w:t>
      </w:r>
      <w:proofErr w:type="gramStart"/>
      <w:r w:rsidRPr="00E8190A">
        <w:rPr>
          <w:rFonts w:cstheme="minorHAnsi"/>
        </w:rPr>
        <w:t>one year</w:t>
      </w:r>
      <w:proofErr w:type="gramEnd"/>
      <w:r w:rsidRPr="00E8190A">
        <w:rPr>
          <w:rFonts w:cstheme="minorHAnsi"/>
        </w:rPr>
        <w:t xml:space="preserve"> period and received $100 for doing so. Participants were contacted one year hence (</w:t>
      </w:r>
      <w:bookmarkStart w:id="26" w:name="bbb0065"/>
      <w:proofErr w:type="spellStart"/>
      <w:r w:rsidRPr="00E8190A">
        <w:rPr>
          <w:rFonts w:cstheme="minorHAnsi"/>
        </w:rPr>
        <w:fldChar w:fldCharType="begin"/>
      </w:r>
      <w:r w:rsidRPr="00E8190A">
        <w:rPr>
          <w:rFonts w:cstheme="minorHAnsi"/>
        </w:rPr>
        <w:instrText xml:space="preserve"> HYPERLINK "https://www.sciencedirect.com/science/article/pii/S2352187218300585?via%3Dihub" \l "bb0065" </w:instrText>
      </w:r>
      <w:r w:rsidRPr="00E8190A">
        <w:rPr>
          <w:rFonts w:cstheme="minorHAnsi"/>
        </w:rPr>
        <w:fldChar w:fldCharType="separate"/>
      </w:r>
      <w:r w:rsidRPr="00E8190A">
        <w:rPr>
          <w:rStyle w:val="Hyperlink"/>
          <w:rFonts w:eastAsiaTheme="majorEastAsia" w:cstheme="minorHAnsi"/>
          <w:color w:val="0C7DBB"/>
          <w:sz w:val="27"/>
          <w:szCs w:val="27"/>
        </w:rPr>
        <w:t>Gourlay</w:t>
      </w:r>
      <w:proofErr w:type="spellEnd"/>
      <w:r w:rsidRPr="00E8190A">
        <w:rPr>
          <w:rStyle w:val="Hyperlink"/>
          <w:rFonts w:eastAsiaTheme="majorEastAsia" w:cstheme="minorHAnsi"/>
          <w:color w:val="0C7DBB"/>
          <w:sz w:val="27"/>
          <w:szCs w:val="27"/>
        </w:rPr>
        <w:t xml:space="preserve"> et al., 2012</w:t>
      </w:r>
      <w:r w:rsidRPr="00E8190A">
        <w:rPr>
          <w:rFonts w:cstheme="minorHAnsi"/>
        </w:rPr>
        <w:fldChar w:fldCharType="end"/>
      </w:r>
      <w:bookmarkEnd w:id="26"/>
      <w:r w:rsidRPr="00E8190A">
        <w:rPr>
          <w:rFonts w:cstheme="minorHAnsi"/>
        </w:rPr>
        <w:t>) and returned to Marquette University for repeat questionnaire and BMD data acquisition as at enrollment. Subjects with a change in bone density that exceeded the technologist's LSC, or with </w:t>
      </w:r>
      <w:r w:rsidRPr="00E8190A">
        <w:rPr>
          <w:rStyle w:val="Emphasis"/>
          <w:rFonts w:eastAsiaTheme="majorEastAsia" w:cstheme="minorHAnsi"/>
          <w:color w:val="2E2E2E"/>
          <w:sz w:val="27"/>
          <w:szCs w:val="27"/>
        </w:rPr>
        <w:t>Z</w:t>
      </w:r>
      <w:r w:rsidRPr="00E8190A">
        <w:rPr>
          <w:rFonts w:cstheme="minorHAnsi"/>
        </w:rPr>
        <w:t>-score &lt; −2.0 or &gt;2.0 were reviewed by the medical monitor and notified by letter. Participants received $50 for completing the follow-up visit.</w:t>
      </w:r>
    </w:p>
    <w:p w14:paraId="252DC8C0" w14:textId="77777777" w:rsidR="00E86E48" w:rsidRPr="00E8190A" w:rsidRDefault="00E86E48" w:rsidP="009C1F3E">
      <w:pPr>
        <w:pStyle w:val="Heading2"/>
        <w:rPr>
          <w:rFonts w:asciiTheme="minorHAnsi" w:hAnsiTheme="minorHAnsi" w:cstheme="minorHAnsi"/>
          <w:sz w:val="27"/>
          <w:szCs w:val="27"/>
        </w:rPr>
      </w:pPr>
      <w:r w:rsidRPr="00E8190A">
        <w:rPr>
          <w:rFonts w:asciiTheme="minorHAnsi" w:hAnsiTheme="minorHAnsi" w:cstheme="minorHAnsi"/>
        </w:rPr>
        <w:t>2.6. Statistical analysis</w:t>
      </w:r>
    </w:p>
    <w:p w14:paraId="687B39A6" w14:textId="77777777" w:rsidR="00E86E48" w:rsidRPr="00E8190A" w:rsidRDefault="00E86E48" w:rsidP="009C1F3E">
      <w:pPr>
        <w:rPr>
          <w:rFonts w:cstheme="minorHAnsi"/>
          <w:color w:val="2E2E2E"/>
        </w:rPr>
      </w:pPr>
      <w:r w:rsidRPr="00E8190A">
        <w:rPr>
          <w:rFonts w:cstheme="minorHAnsi"/>
          <w:color w:val="2E2E2E"/>
        </w:rPr>
        <w:t>The distributions of continuous and ordinal variables at baseline were compared using the </w:t>
      </w:r>
      <w:r w:rsidRPr="00E8190A">
        <w:rPr>
          <w:rStyle w:val="Emphasis"/>
          <w:rFonts w:eastAsiaTheme="majorEastAsia" w:cstheme="minorHAnsi"/>
          <w:color w:val="2E2E2E"/>
        </w:rPr>
        <w:t>t</w:t>
      </w:r>
      <w:r w:rsidRPr="00E8190A">
        <w:rPr>
          <w:rFonts w:cstheme="minorHAnsi"/>
          <w:color w:val="2E2E2E"/>
        </w:rPr>
        <w:t>-test statistic and </w:t>
      </w:r>
      <w:hyperlink r:id="rId69" w:tooltip="Learn more about Fisher Exact Test from ScienceDirect's AI-generated Topic Pages" w:history="1">
        <w:r w:rsidRPr="00E8190A">
          <w:rPr>
            <w:rStyle w:val="Hyperlink"/>
            <w:rFonts w:eastAsiaTheme="majorEastAsia" w:cstheme="minorHAnsi"/>
            <w:color w:val="0C7DBB"/>
          </w:rPr>
          <w:t>Fisher's exact test</w:t>
        </w:r>
      </w:hyperlink>
      <w:r w:rsidRPr="00E8190A">
        <w:rPr>
          <w:rFonts w:cstheme="minorHAnsi"/>
          <w:color w:val="2E2E2E"/>
        </w:rPr>
        <w:t>, respectively. The primary outcome was defined a priori as a decline in lumbar spine BMD that exceeded the technologist's LSC and secondary outcomes were change in total hip BMD and change in trabecular bone score. The intention to treat analysis included all subjects who completed follow-up. A per protocol analysis was also performed that included only those subjects who complied with the criteria of their randomization. Multivariable </w:t>
      </w:r>
      <w:hyperlink r:id="rId70" w:tooltip="Learn more about Logistic Regression Analysis from ScienceDirect's AI-generated Topic Pages" w:history="1">
        <w:r w:rsidRPr="00E8190A">
          <w:rPr>
            <w:rStyle w:val="Hyperlink"/>
            <w:rFonts w:eastAsiaTheme="majorEastAsia" w:cstheme="minorHAnsi"/>
            <w:color w:val="0C7DBB"/>
          </w:rPr>
          <w:t>logistic regression</w:t>
        </w:r>
      </w:hyperlink>
      <w:r w:rsidRPr="00E8190A">
        <w:rPr>
          <w:rFonts w:cstheme="minorHAnsi"/>
          <w:color w:val="2E2E2E"/>
        </w:rPr>
        <w:t> was performed using the questionnaire, laboratory, baseline BMD data, and, treatment arm as predictors of change in bone density exceeding the LSC. </w:t>
      </w:r>
      <w:hyperlink r:id="rId71" w:tooltip="Learn more about Bilirubin from ScienceDirect's AI-generated Topic Pages" w:history="1">
        <w:r w:rsidRPr="00E8190A">
          <w:rPr>
            <w:rStyle w:val="Hyperlink"/>
            <w:rFonts w:eastAsiaTheme="majorEastAsia" w:cstheme="minorHAnsi"/>
            <w:color w:val="0C7DBB"/>
          </w:rPr>
          <w:t>Bilirubin</w:t>
        </w:r>
      </w:hyperlink>
      <w:r w:rsidRPr="00E8190A">
        <w:rPr>
          <w:rFonts w:cstheme="minorHAnsi"/>
          <w:color w:val="2E2E2E"/>
        </w:rPr>
        <w:t>, </w:t>
      </w:r>
      <w:hyperlink r:id="rId72" w:tooltip="Learn more about Alkaline Phosphatase from ScienceDirect's AI-generated Topic Pages" w:history="1">
        <w:r w:rsidRPr="00E8190A">
          <w:rPr>
            <w:rStyle w:val="Hyperlink"/>
            <w:rFonts w:eastAsiaTheme="majorEastAsia" w:cstheme="minorHAnsi"/>
            <w:color w:val="0C7DBB"/>
          </w:rPr>
          <w:t>alkaline phosphatase</w:t>
        </w:r>
      </w:hyperlink>
      <w:r w:rsidRPr="00E8190A">
        <w:rPr>
          <w:rFonts w:cstheme="minorHAnsi"/>
          <w:color w:val="2E2E2E"/>
        </w:rPr>
        <w:t>, and </w:t>
      </w:r>
      <w:hyperlink r:id="rId73" w:tooltip="Learn more about Anion Gap from ScienceDirect's AI-generated Topic Pages" w:history="1">
        <w:r w:rsidRPr="00E8190A">
          <w:rPr>
            <w:rStyle w:val="Hyperlink"/>
            <w:rFonts w:eastAsiaTheme="majorEastAsia" w:cstheme="minorHAnsi"/>
            <w:color w:val="0C7DBB"/>
          </w:rPr>
          <w:t>anion gap</w:t>
        </w:r>
      </w:hyperlink>
      <w:r w:rsidRPr="00E8190A">
        <w:rPr>
          <w:rFonts w:cstheme="minorHAnsi"/>
          <w:color w:val="2E2E2E"/>
        </w:rPr>
        <w:t xml:space="preserve"> were log transformed to achieve normal distributions. Automated stepwise backwards elimination was subsequently performed to identify significant predictors of both positive and negative response. All programming was developed and executed in R: a language and environment for </w:t>
      </w:r>
      <w:r w:rsidRPr="00E8190A">
        <w:rPr>
          <w:rFonts w:cstheme="minorHAnsi"/>
          <w:color w:val="2E2E2E"/>
        </w:rPr>
        <w:lastRenderedPageBreak/>
        <w:t>statistical computing (</w:t>
      </w:r>
      <w:bookmarkStart w:id="27" w:name="bbb0155"/>
      <w:r w:rsidRPr="00E8190A">
        <w:rPr>
          <w:rFonts w:cstheme="minorHAnsi"/>
          <w:color w:val="2E2E2E"/>
        </w:rPr>
        <w:fldChar w:fldCharType="begin"/>
      </w:r>
      <w:r w:rsidRPr="00E8190A">
        <w:rPr>
          <w:rFonts w:cstheme="minorHAnsi"/>
          <w:color w:val="2E2E2E"/>
        </w:rPr>
        <w:instrText xml:space="preserve"> HYPERLINK "https://www.sciencedirect.com/science/article/pii/S2352187218300585?via%3Dihub" \l "bb0155" </w:instrText>
      </w:r>
      <w:r w:rsidRPr="00E8190A">
        <w:rPr>
          <w:rFonts w:cstheme="minorHAnsi"/>
          <w:color w:val="2E2E2E"/>
        </w:rPr>
        <w:fldChar w:fldCharType="separate"/>
      </w:r>
      <w:r w:rsidRPr="00E8190A">
        <w:rPr>
          <w:rStyle w:val="Hyperlink"/>
          <w:rFonts w:eastAsiaTheme="majorEastAsia" w:cstheme="minorHAnsi"/>
          <w:color w:val="0C7DBB"/>
        </w:rPr>
        <w:t>Team RC, 2015</w:t>
      </w:r>
      <w:r w:rsidRPr="00E8190A">
        <w:rPr>
          <w:rFonts w:cstheme="minorHAnsi"/>
          <w:color w:val="2E2E2E"/>
        </w:rPr>
        <w:fldChar w:fldCharType="end"/>
      </w:r>
      <w:bookmarkEnd w:id="27"/>
      <w:r w:rsidRPr="00E8190A">
        <w:rPr>
          <w:rFonts w:cstheme="minorHAnsi"/>
          <w:color w:val="2E2E2E"/>
        </w:rPr>
        <w:t>). WB had full access to all study data and accepts final responsibility for the decision to submit for publication.</w:t>
      </w:r>
    </w:p>
    <w:p w14:paraId="5A5F9595" w14:textId="77777777" w:rsidR="00E86E48" w:rsidRPr="00E8190A" w:rsidRDefault="00E86E48" w:rsidP="009C1F3E">
      <w:pPr>
        <w:pStyle w:val="Heading2"/>
        <w:rPr>
          <w:rFonts w:asciiTheme="minorHAnsi" w:hAnsiTheme="minorHAnsi" w:cstheme="minorHAnsi"/>
          <w:sz w:val="27"/>
          <w:szCs w:val="27"/>
        </w:rPr>
      </w:pPr>
      <w:r w:rsidRPr="00E8190A">
        <w:rPr>
          <w:rFonts w:asciiTheme="minorHAnsi" w:hAnsiTheme="minorHAnsi" w:cstheme="minorHAnsi"/>
        </w:rPr>
        <w:t>2.7. Role of the funding source</w:t>
      </w:r>
    </w:p>
    <w:p w14:paraId="1FFA4DC5" w14:textId="77777777" w:rsidR="00E86E48" w:rsidRPr="00E8190A" w:rsidRDefault="00E86E48" w:rsidP="009C1F3E">
      <w:pPr>
        <w:rPr>
          <w:rFonts w:cstheme="minorHAnsi"/>
        </w:rPr>
      </w:pPr>
      <w:r w:rsidRPr="00E8190A">
        <w:rPr>
          <w:rFonts w:cstheme="minorHAnsi"/>
        </w:rPr>
        <w:t xml:space="preserve">This work was supported by Marquette University and the </w:t>
      </w:r>
      <w:proofErr w:type="spellStart"/>
      <w:r w:rsidRPr="00E8190A">
        <w:rPr>
          <w:rFonts w:cstheme="minorHAnsi"/>
        </w:rPr>
        <w:t>BloodCenter</w:t>
      </w:r>
      <w:proofErr w:type="spellEnd"/>
      <w:r w:rsidRPr="00E8190A">
        <w:rPr>
          <w:rFonts w:cstheme="minorHAnsi"/>
        </w:rPr>
        <w:t xml:space="preserve"> Research Foundation. Neither entity had a role in study design; the collection, analysis, or interpretation of data; in the writing of the report; or in the decision to submit the paper for publication.</w:t>
      </w:r>
    </w:p>
    <w:p w14:paraId="608653D5" w14:textId="77777777" w:rsidR="00E86E48" w:rsidRPr="00E8190A" w:rsidRDefault="00E86E48" w:rsidP="009C1F3E">
      <w:pPr>
        <w:pStyle w:val="Heading1"/>
        <w:rPr>
          <w:rFonts w:asciiTheme="minorHAnsi" w:hAnsiTheme="minorHAnsi" w:cstheme="minorHAnsi"/>
          <w:sz w:val="36"/>
          <w:szCs w:val="36"/>
        </w:rPr>
      </w:pPr>
      <w:r w:rsidRPr="00E8190A">
        <w:rPr>
          <w:rFonts w:asciiTheme="minorHAnsi" w:hAnsiTheme="minorHAnsi" w:cstheme="minorHAnsi"/>
        </w:rPr>
        <w:t>3. Results</w:t>
      </w:r>
    </w:p>
    <w:p w14:paraId="1C4B0758" w14:textId="77777777" w:rsidR="00E86E48" w:rsidRPr="00E8190A" w:rsidRDefault="00E86E48" w:rsidP="00A704D4">
      <w:pPr>
        <w:pStyle w:val="Heading2"/>
        <w:rPr>
          <w:rFonts w:asciiTheme="minorHAnsi" w:hAnsiTheme="minorHAnsi" w:cstheme="minorHAnsi"/>
        </w:rPr>
      </w:pPr>
      <w:r w:rsidRPr="00E8190A">
        <w:rPr>
          <w:rFonts w:asciiTheme="minorHAnsi" w:hAnsiTheme="minorHAnsi" w:cstheme="minorHAnsi"/>
        </w:rPr>
        <w:t>3.1. Enrollment</w:t>
      </w:r>
    </w:p>
    <w:p w14:paraId="05658334" w14:textId="39E93DB0" w:rsidR="00E86E48" w:rsidRPr="00E8190A" w:rsidRDefault="00E86E48" w:rsidP="009C1F3E">
      <w:pPr>
        <w:rPr>
          <w:rFonts w:cstheme="minorHAnsi"/>
          <w:color w:val="2E2E2E"/>
        </w:rPr>
      </w:pPr>
      <w:r w:rsidRPr="00E8190A">
        <w:rPr>
          <w:rFonts w:cstheme="minorHAnsi"/>
          <w:color w:val="2E2E2E"/>
        </w:rPr>
        <w:t>Among 120 volunteer </w:t>
      </w:r>
      <w:hyperlink r:id="rId74" w:tooltip="Learn more about Blood Donor from ScienceDirect's AI-generated Topic Pages" w:history="1">
        <w:r w:rsidRPr="00E8190A">
          <w:rPr>
            <w:rStyle w:val="Hyperlink"/>
            <w:rFonts w:eastAsiaTheme="majorEastAsia" w:cstheme="minorHAnsi"/>
            <w:color w:val="0C7DBB"/>
          </w:rPr>
          <w:t>blood donors</w:t>
        </w:r>
      </w:hyperlink>
      <w:r w:rsidRPr="00E8190A">
        <w:rPr>
          <w:rFonts w:cstheme="minorHAnsi"/>
          <w:color w:val="2E2E2E"/>
        </w:rPr>
        <w:t> assessed for eligibility, 58 enrolled in the study (</w:t>
      </w:r>
      <w:bookmarkStart w:id="28" w:name="bf0005"/>
      <w:r w:rsidRPr="00E8190A">
        <w:rPr>
          <w:rFonts w:cstheme="minorHAnsi"/>
          <w:color w:val="2E2E2E"/>
        </w:rPr>
        <w:fldChar w:fldCharType="begin"/>
      </w:r>
      <w:r w:rsidRPr="00E8190A">
        <w:rPr>
          <w:rFonts w:cstheme="minorHAnsi"/>
          <w:color w:val="2E2E2E"/>
        </w:rPr>
        <w:instrText xml:space="preserve"> HYPERLINK "https://www.sciencedirect.com/science/article/pii/S2352187218300585?via%3Dihub" \l "f0005" </w:instrText>
      </w:r>
      <w:r w:rsidRPr="00E8190A">
        <w:rPr>
          <w:rFonts w:cstheme="minorHAnsi"/>
          <w:color w:val="2E2E2E"/>
        </w:rPr>
        <w:fldChar w:fldCharType="separate"/>
      </w:r>
      <w:r w:rsidRPr="00E8190A">
        <w:rPr>
          <w:rStyle w:val="Hyperlink"/>
          <w:rFonts w:eastAsiaTheme="majorEastAsia" w:cstheme="minorHAnsi"/>
          <w:color w:val="0C7DBB"/>
        </w:rPr>
        <w:t>Fig. 1</w:t>
      </w:r>
      <w:r w:rsidRPr="00E8190A">
        <w:rPr>
          <w:rFonts w:cstheme="minorHAnsi"/>
          <w:color w:val="2E2E2E"/>
        </w:rPr>
        <w:fldChar w:fldCharType="end"/>
      </w:r>
      <w:r w:rsidRPr="00E8190A">
        <w:rPr>
          <w:rFonts w:cstheme="minorHAnsi"/>
          <w:color w:val="2E2E2E"/>
        </w:rPr>
        <w:t>). Seven enrollees were subsequently excluded for having a </w:t>
      </w:r>
      <w:hyperlink r:id="rId75" w:tooltip="Learn more about Bone Density from ScienceDirect's AI-generated Topic Pages" w:history="1">
        <w:r w:rsidRPr="00E8190A">
          <w:rPr>
            <w:rStyle w:val="Hyperlink"/>
            <w:rFonts w:eastAsiaTheme="majorEastAsia" w:cstheme="minorHAnsi"/>
            <w:color w:val="0C7DBB"/>
          </w:rPr>
          <w:t>bone density</w:t>
        </w:r>
      </w:hyperlink>
      <w:r w:rsidRPr="00E8190A">
        <w:rPr>
          <w:rFonts w:cstheme="minorHAnsi"/>
          <w:color w:val="2E2E2E"/>
        </w:rPr>
        <w:t> </w:t>
      </w:r>
      <w:r w:rsidRPr="00E8190A">
        <w:rPr>
          <w:rStyle w:val="Emphasis"/>
          <w:rFonts w:eastAsiaTheme="majorEastAsia" w:cstheme="minorHAnsi"/>
          <w:color w:val="2E2E2E"/>
        </w:rPr>
        <w:t>Z</w:t>
      </w:r>
      <w:r w:rsidRPr="00E8190A">
        <w:rPr>
          <w:rFonts w:cstheme="minorHAnsi"/>
          <w:color w:val="2E2E2E"/>
        </w:rPr>
        <w:t>-score &lt; −2.0 or &gt;2.0 at enrollment. Three additional subjects were excluded for having previously undergone </w:t>
      </w:r>
      <w:hyperlink r:id="rId76" w:tooltip="Learn more about Apheresis from ScienceDirect's AI-generated Topic Pages" w:history="1">
        <w:r w:rsidRPr="00E8190A">
          <w:rPr>
            <w:rStyle w:val="Hyperlink"/>
            <w:rFonts w:eastAsiaTheme="majorEastAsia" w:cstheme="minorHAnsi"/>
            <w:color w:val="0C7DBB"/>
          </w:rPr>
          <w:t>apheresis</w:t>
        </w:r>
      </w:hyperlink>
      <w:r w:rsidRPr="00E8190A">
        <w:rPr>
          <w:rFonts w:cstheme="minorHAnsi"/>
          <w:color w:val="2E2E2E"/>
        </w:rPr>
        <w:t> more than five times and one subject was excluded for weighing &gt;300 lbs. Ultimately, 32 subjects</w:t>
      </w:r>
      <w:r w:rsidR="00481470" w:rsidRPr="00E8190A">
        <w:rPr>
          <w:rFonts w:cstheme="minorHAnsi"/>
          <w:color w:val="2E2E2E"/>
        </w:rPr>
        <w:t xml:space="preserve"> </w:t>
      </w:r>
      <w:r w:rsidRPr="00E8190A">
        <w:rPr>
          <w:rFonts w:cstheme="minorHAnsi"/>
          <w:color w:val="2E2E2E"/>
        </w:rPr>
        <w:t xml:space="preserve"> </w:t>
      </w:r>
      <w:bookmarkStart w:id="29" w:name="_Hlk21961021"/>
      <w:r w:rsidRPr="00E8190A">
        <w:rPr>
          <w:rFonts w:cstheme="minorHAnsi"/>
          <w:color w:val="2E2E2E"/>
        </w:rPr>
        <w:t>were randomized to the apheresis arm and 15 to the control arm.</w:t>
      </w:r>
      <w:bookmarkEnd w:id="29"/>
    </w:p>
    <w:p w14:paraId="22671944" w14:textId="2A423982" w:rsidR="00E86E48" w:rsidRPr="00E8190A" w:rsidRDefault="00E86E48" w:rsidP="00E86E48">
      <w:pPr>
        <w:spacing w:line="390" w:lineRule="atLeast"/>
        <w:rPr>
          <w:rFonts w:cstheme="minorHAnsi"/>
          <w:color w:val="2E2E2E"/>
          <w:sz w:val="27"/>
          <w:szCs w:val="27"/>
        </w:rPr>
      </w:pPr>
    </w:p>
    <w:p w14:paraId="1326B834" w14:textId="4979BAC3" w:rsidR="00B64A7D" w:rsidRPr="00E8190A" w:rsidRDefault="00481470" w:rsidP="00B64A7D">
      <w:pPr>
        <w:rPr>
          <w:rFonts w:cstheme="minorHAnsi"/>
        </w:rPr>
      </w:pPr>
      <w:r w:rsidRPr="00E8190A">
        <w:rPr>
          <w:rFonts w:cstheme="minorHAnsi"/>
          <w:noProof/>
          <w:color w:val="2E2E2E"/>
          <w:sz w:val="27"/>
          <w:szCs w:val="27"/>
        </w:rPr>
        <w:drawing>
          <wp:inline distT="0" distB="0" distL="0" distR="0" wp14:anchorId="5DFE9F82" wp14:editId="0C3A21CF">
            <wp:extent cx="5133975" cy="5295900"/>
            <wp:effectExtent l="0" t="0" r="9525" b="0"/>
            <wp:docPr id="4" name="Picture 4" descr="Fig. 1. Enrollment schematic showing recruitment, enrollment, ineligibility, and losses to follow-up for the ALTRUYST trial. ITT = intention to tre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133975" cy="5295900"/>
                    </a:xfrm>
                    <a:prstGeom prst="rect">
                      <a:avLst/>
                    </a:prstGeom>
                    <a:noFill/>
                    <a:ln>
                      <a:noFill/>
                    </a:ln>
                  </pic:spPr>
                </pic:pic>
              </a:graphicData>
            </a:graphic>
          </wp:inline>
        </w:drawing>
      </w:r>
    </w:p>
    <w:p w14:paraId="1DB6F317" w14:textId="77777777" w:rsidR="00481470" w:rsidRPr="00E8190A" w:rsidRDefault="00481470" w:rsidP="00481470">
      <w:pPr>
        <w:pStyle w:val="NoSpacing"/>
        <w:rPr>
          <w:rFonts w:cstheme="minorHAnsi"/>
          <w:color w:val="323232"/>
        </w:rPr>
      </w:pPr>
      <w:r w:rsidRPr="00E8190A">
        <w:rPr>
          <w:rStyle w:val="label"/>
          <w:rFonts w:cstheme="minorHAnsi"/>
          <w:color w:val="323232"/>
        </w:rPr>
        <w:lastRenderedPageBreak/>
        <w:t>Fig. 1</w:t>
      </w:r>
      <w:r w:rsidRPr="00E8190A">
        <w:rPr>
          <w:rFonts w:cstheme="minorHAnsi"/>
          <w:color w:val="323232"/>
        </w:rPr>
        <w:t>. Enrollment schematic showing recruitment, enrollment, ineligibility, and losses to follow-up for the ALTRUYST trial. ITT = intention to treat.</w:t>
      </w:r>
    </w:p>
    <w:p w14:paraId="6EF7F0D5" w14:textId="77777777" w:rsidR="00481470" w:rsidRPr="00E8190A" w:rsidRDefault="00481470" w:rsidP="00B64A7D">
      <w:pPr>
        <w:rPr>
          <w:rFonts w:cstheme="minorHAnsi"/>
        </w:rPr>
      </w:pPr>
    </w:p>
    <w:p w14:paraId="338151A1" w14:textId="279735CE" w:rsidR="00E86E48" w:rsidRPr="00E8190A" w:rsidRDefault="00E86E48" w:rsidP="00B64A7D">
      <w:pPr>
        <w:rPr>
          <w:rFonts w:cstheme="minorHAnsi"/>
          <w:color w:val="2E2E2E"/>
          <w:sz w:val="27"/>
          <w:szCs w:val="27"/>
        </w:rPr>
      </w:pPr>
      <w:r w:rsidRPr="00E8190A">
        <w:rPr>
          <w:rFonts w:cstheme="minorHAnsi"/>
        </w:rPr>
        <w:t>Mean age at enrollment was 43.8 years (SD = 13.5) with one donor (2%) reporting African American race and another (2%) reporting Hispanic ethnicity (</w:t>
      </w:r>
      <w:bookmarkStart w:id="30" w:name="bt0005"/>
      <w:r w:rsidRPr="00E8190A">
        <w:rPr>
          <w:rFonts w:cstheme="minorHAnsi"/>
        </w:rPr>
        <w:fldChar w:fldCharType="begin"/>
      </w:r>
      <w:r w:rsidRPr="00E8190A">
        <w:rPr>
          <w:rFonts w:cstheme="minorHAnsi"/>
        </w:rPr>
        <w:instrText xml:space="preserve"> HYPERLINK "https://www.sciencedirect.com/science/article/pii/S2352187218300585?via%3Dihub" \l "t0005" </w:instrText>
      </w:r>
      <w:r w:rsidRPr="00E8190A">
        <w:rPr>
          <w:rFonts w:cstheme="minorHAnsi"/>
        </w:rPr>
        <w:fldChar w:fldCharType="separate"/>
      </w:r>
      <w:r w:rsidRPr="00E8190A">
        <w:rPr>
          <w:rFonts w:cstheme="minorHAnsi"/>
        </w:rPr>
        <w:t>Table 1</w:t>
      </w:r>
      <w:r w:rsidRPr="00E8190A">
        <w:rPr>
          <w:rFonts w:cstheme="minorHAnsi"/>
        </w:rPr>
        <w:fldChar w:fldCharType="end"/>
      </w:r>
      <w:r w:rsidRPr="00E8190A">
        <w:rPr>
          <w:rFonts w:cstheme="minorHAnsi"/>
        </w:rPr>
        <w:t>). Mean height (p = 0.89), weight (p = 0.25), and </w:t>
      </w:r>
      <w:hyperlink r:id="rId78" w:tooltip="Learn more about Body Mass Index from ScienceDirect's AI-generated Topic Pages" w:history="1">
        <w:r w:rsidRPr="00E8190A">
          <w:rPr>
            <w:rFonts w:cstheme="minorHAnsi"/>
          </w:rPr>
          <w:t>body mass index</w:t>
        </w:r>
      </w:hyperlink>
      <w:r w:rsidRPr="00E8190A">
        <w:rPr>
          <w:rFonts w:cstheme="minorHAnsi"/>
        </w:rPr>
        <w:t> (BMI) (p = 0.38) were no different between study arms. Baseline laboratory parameters were similar between groups (p = 0.14–0.97), as were the number of previous whole blood (median = 5, p = 0.73) and apheresis (median = 3, p = 0.49) donations. Though </w:t>
      </w:r>
      <w:hyperlink r:id="rId79" w:tooltip="Learn more about Lumbar Spine from ScienceDirect's AI-generated Topic Pages" w:history="1">
        <w:r w:rsidRPr="00E8190A">
          <w:rPr>
            <w:rFonts w:cstheme="minorHAnsi"/>
          </w:rPr>
          <w:t>lumbar spine</w:t>
        </w:r>
      </w:hyperlink>
      <w:r w:rsidRPr="00E8190A">
        <w:rPr>
          <w:rFonts w:cstheme="minorHAnsi"/>
        </w:rPr>
        <w:t> bone density was no different between study arms (p = 0.26), bone density at the total hip was, on average, 0.107 g/cm2 higher among those donors randomized to the apheresis arm (p = 0.03) (</w:t>
      </w:r>
      <w:hyperlink r:id="rId80" w:anchor="t0005" w:history="1">
        <w:r w:rsidRPr="00E8190A">
          <w:rPr>
            <w:rFonts w:cstheme="minorHAnsi"/>
          </w:rPr>
          <w:t>Table 1</w:t>
        </w:r>
      </w:hyperlink>
      <w:bookmarkEnd w:id="30"/>
      <w:r w:rsidRPr="00E8190A">
        <w:rPr>
          <w:rFonts w:cstheme="minorHAnsi"/>
          <w:color w:val="2E2E2E"/>
          <w:sz w:val="27"/>
          <w:szCs w:val="27"/>
        </w:rPr>
        <w:t>).</w:t>
      </w:r>
    </w:p>
    <w:p w14:paraId="03255C2B" w14:textId="77777777" w:rsidR="00E86E48" w:rsidRPr="00E8190A" w:rsidRDefault="00E86E48" w:rsidP="00E86E48">
      <w:pPr>
        <w:pStyle w:val="NormalWeb"/>
        <w:spacing w:before="0" w:beforeAutospacing="0" w:after="0" w:afterAutospacing="0" w:line="330" w:lineRule="atLeast"/>
        <w:rPr>
          <w:rFonts w:asciiTheme="minorHAnsi" w:hAnsiTheme="minorHAnsi" w:cstheme="minorHAnsi"/>
          <w:color w:val="323232"/>
        </w:rPr>
      </w:pPr>
      <w:r w:rsidRPr="00E8190A">
        <w:rPr>
          <w:rStyle w:val="label"/>
          <w:rFonts w:asciiTheme="minorHAnsi" w:hAnsiTheme="minorHAnsi" w:cstheme="minorHAnsi"/>
          <w:color w:val="323232"/>
          <w:sz w:val="21"/>
          <w:szCs w:val="21"/>
        </w:rPr>
        <w:t>Table 1</w:t>
      </w:r>
      <w:r w:rsidRPr="00E8190A">
        <w:rPr>
          <w:rFonts w:asciiTheme="minorHAnsi" w:hAnsiTheme="minorHAnsi" w:cstheme="minorHAnsi"/>
          <w:color w:val="323232"/>
        </w:rPr>
        <w:t>. Descriptive characteristics of ALTRUYST </w:t>
      </w:r>
      <w:hyperlink r:id="rId81" w:tooltip="Learn more about Blood Donor from ScienceDirect's AI-generated Topic Pages" w:history="1">
        <w:r w:rsidRPr="00E8190A">
          <w:rPr>
            <w:rStyle w:val="Hyperlink"/>
            <w:rFonts w:asciiTheme="minorHAnsi" w:eastAsiaTheme="majorEastAsia" w:hAnsiTheme="minorHAnsi" w:cstheme="minorHAnsi"/>
            <w:color w:val="0C7DBB"/>
          </w:rPr>
          <w:t>blood donors</w:t>
        </w:r>
      </w:hyperlink>
      <w:r w:rsidRPr="00E8190A">
        <w:rPr>
          <w:rFonts w:asciiTheme="minorHAnsi" w:hAnsiTheme="minorHAnsi" w:cstheme="minorHAnsi"/>
          <w:color w:val="323232"/>
        </w:rPr>
        <w:t> at enrollment.</w:t>
      </w:r>
    </w:p>
    <w:tbl>
      <w:tblPr>
        <w:tblStyle w:val="TableGrid"/>
        <w:tblW w:w="5000" w:type="pct"/>
        <w:tblLook w:val="04A0" w:firstRow="1" w:lastRow="0" w:firstColumn="1" w:lastColumn="0" w:noHBand="0" w:noVBand="1"/>
      </w:tblPr>
      <w:tblGrid>
        <w:gridCol w:w="4275"/>
        <w:gridCol w:w="1297"/>
        <w:gridCol w:w="1271"/>
        <w:gridCol w:w="1978"/>
        <w:gridCol w:w="1249"/>
      </w:tblGrid>
      <w:tr w:rsidR="00746F94" w:rsidRPr="00E8190A" w14:paraId="2B0F8A78" w14:textId="77777777" w:rsidTr="00866D07">
        <w:tc>
          <w:tcPr>
            <w:tcW w:w="2122" w:type="pct"/>
            <w:hideMark/>
          </w:tcPr>
          <w:p w14:paraId="4B4D8675" w14:textId="77777777" w:rsidR="00E86E48" w:rsidRPr="00E8190A" w:rsidRDefault="00E86E48" w:rsidP="00E8190A">
            <w:pPr>
              <w:pStyle w:val="NoSpacing"/>
              <w:rPr>
                <w:rFonts w:cstheme="minorHAnsi"/>
              </w:rPr>
            </w:pPr>
          </w:p>
        </w:tc>
        <w:tc>
          <w:tcPr>
            <w:tcW w:w="644" w:type="pct"/>
            <w:hideMark/>
          </w:tcPr>
          <w:p w14:paraId="782C101E"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Apheresis</w:t>
            </w:r>
          </w:p>
        </w:tc>
        <w:tc>
          <w:tcPr>
            <w:tcW w:w="631" w:type="pct"/>
            <w:hideMark/>
          </w:tcPr>
          <w:p w14:paraId="4D734908"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No apheresis</w:t>
            </w:r>
          </w:p>
        </w:tc>
        <w:tc>
          <w:tcPr>
            <w:tcW w:w="982" w:type="pct"/>
            <w:hideMark/>
          </w:tcPr>
          <w:p w14:paraId="5AC594BE"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Total</w:t>
            </w:r>
          </w:p>
        </w:tc>
        <w:tc>
          <w:tcPr>
            <w:tcW w:w="620" w:type="pct"/>
            <w:hideMark/>
          </w:tcPr>
          <w:p w14:paraId="68E818E2" w14:textId="77777777" w:rsidR="00E86E48" w:rsidRPr="00E8190A" w:rsidRDefault="00E86E48" w:rsidP="00E8190A">
            <w:pPr>
              <w:pStyle w:val="NoSpacing"/>
              <w:rPr>
                <w:rFonts w:cstheme="minorHAnsi"/>
                <w:b/>
                <w:bCs/>
                <w:sz w:val="21"/>
                <w:szCs w:val="21"/>
              </w:rPr>
            </w:pPr>
            <w:r w:rsidRPr="00E8190A">
              <w:rPr>
                <w:rStyle w:val="Emphasis"/>
                <w:rFonts w:cstheme="minorHAnsi"/>
                <w:b/>
                <w:bCs/>
                <w:sz w:val="21"/>
                <w:szCs w:val="21"/>
              </w:rPr>
              <w:t>p</w:t>
            </w:r>
          </w:p>
        </w:tc>
      </w:tr>
      <w:tr w:rsidR="00746F94" w:rsidRPr="00E8190A" w14:paraId="522F7D75" w14:textId="77777777" w:rsidTr="00866D07">
        <w:tc>
          <w:tcPr>
            <w:tcW w:w="2122" w:type="pct"/>
            <w:hideMark/>
          </w:tcPr>
          <w:p w14:paraId="0E3FD472"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n</w:t>
            </w:r>
          </w:p>
        </w:tc>
        <w:tc>
          <w:tcPr>
            <w:tcW w:w="644" w:type="pct"/>
            <w:hideMark/>
          </w:tcPr>
          <w:p w14:paraId="41C5CB64" w14:textId="77777777" w:rsidR="00E86E48" w:rsidRPr="00E8190A" w:rsidRDefault="00E86E48" w:rsidP="00E8190A">
            <w:pPr>
              <w:pStyle w:val="NoSpacing"/>
              <w:rPr>
                <w:rFonts w:cstheme="minorHAnsi"/>
                <w:sz w:val="21"/>
                <w:szCs w:val="21"/>
              </w:rPr>
            </w:pPr>
            <w:r w:rsidRPr="00E8190A">
              <w:rPr>
                <w:rFonts w:cstheme="minorHAnsi"/>
                <w:sz w:val="21"/>
                <w:szCs w:val="21"/>
              </w:rPr>
              <w:t>26</w:t>
            </w:r>
          </w:p>
        </w:tc>
        <w:tc>
          <w:tcPr>
            <w:tcW w:w="631" w:type="pct"/>
            <w:hideMark/>
          </w:tcPr>
          <w:p w14:paraId="5C189B16" w14:textId="77777777" w:rsidR="00E86E48" w:rsidRPr="00E8190A" w:rsidRDefault="00E86E48" w:rsidP="00E8190A">
            <w:pPr>
              <w:pStyle w:val="NoSpacing"/>
              <w:rPr>
                <w:rFonts w:cstheme="minorHAnsi"/>
                <w:sz w:val="21"/>
                <w:szCs w:val="21"/>
              </w:rPr>
            </w:pPr>
            <w:r w:rsidRPr="00E8190A">
              <w:rPr>
                <w:rFonts w:cstheme="minorHAnsi"/>
                <w:sz w:val="21"/>
                <w:szCs w:val="21"/>
              </w:rPr>
              <w:t>15</w:t>
            </w:r>
          </w:p>
        </w:tc>
        <w:tc>
          <w:tcPr>
            <w:tcW w:w="982" w:type="pct"/>
            <w:hideMark/>
          </w:tcPr>
          <w:p w14:paraId="37027A14" w14:textId="77777777" w:rsidR="00E86E48" w:rsidRPr="00E8190A" w:rsidRDefault="00E86E48" w:rsidP="00E8190A">
            <w:pPr>
              <w:pStyle w:val="NoSpacing"/>
              <w:rPr>
                <w:rFonts w:cstheme="minorHAnsi"/>
                <w:sz w:val="21"/>
                <w:szCs w:val="21"/>
              </w:rPr>
            </w:pPr>
            <w:r w:rsidRPr="00E8190A">
              <w:rPr>
                <w:rFonts w:cstheme="minorHAnsi"/>
                <w:sz w:val="21"/>
                <w:szCs w:val="21"/>
              </w:rPr>
              <w:t>41</w:t>
            </w:r>
          </w:p>
        </w:tc>
        <w:tc>
          <w:tcPr>
            <w:tcW w:w="620" w:type="pct"/>
            <w:hideMark/>
          </w:tcPr>
          <w:p w14:paraId="751217FF" w14:textId="77777777" w:rsidR="00E86E48" w:rsidRPr="00E8190A" w:rsidRDefault="00E86E48" w:rsidP="00E8190A">
            <w:pPr>
              <w:pStyle w:val="NoSpacing"/>
              <w:rPr>
                <w:rFonts w:cstheme="minorHAnsi"/>
                <w:sz w:val="21"/>
                <w:szCs w:val="21"/>
              </w:rPr>
            </w:pPr>
            <w:r w:rsidRPr="00E8190A">
              <w:rPr>
                <w:rFonts w:cstheme="minorHAnsi"/>
                <w:sz w:val="21"/>
                <w:szCs w:val="21"/>
              </w:rPr>
              <w:t>–</w:t>
            </w:r>
          </w:p>
        </w:tc>
      </w:tr>
      <w:tr w:rsidR="00B05A65" w:rsidRPr="00E8190A" w14:paraId="239F7311" w14:textId="77777777" w:rsidTr="00866D07">
        <w:tc>
          <w:tcPr>
            <w:tcW w:w="2122" w:type="pct"/>
            <w:hideMark/>
          </w:tcPr>
          <w:p w14:paraId="20F4D8CC" w14:textId="77777777" w:rsidR="000F7B03" w:rsidRPr="00E8190A" w:rsidRDefault="000F7B03" w:rsidP="00E8190A">
            <w:pPr>
              <w:pStyle w:val="NoSpacing"/>
              <w:rPr>
                <w:rFonts w:cstheme="minorHAnsi"/>
                <w:sz w:val="21"/>
                <w:szCs w:val="21"/>
              </w:rPr>
            </w:pPr>
            <w:r w:rsidRPr="00E8190A">
              <w:rPr>
                <w:rFonts w:cstheme="minorHAnsi"/>
                <w:sz w:val="21"/>
                <w:szCs w:val="21"/>
              </w:rPr>
              <w:t>Demographics</w:t>
            </w:r>
          </w:p>
        </w:tc>
        <w:tc>
          <w:tcPr>
            <w:tcW w:w="644" w:type="pct"/>
          </w:tcPr>
          <w:p w14:paraId="6C2DE0F3" w14:textId="77777777" w:rsidR="000F7B03" w:rsidRPr="00E8190A" w:rsidRDefault="000F7B03" w:rsidP="00E8190A">
            <w:pPr>
              <w:pStyle w:val="NoSpacing"/>
              <w:rPr>
                <w:rFonts w:cstheme="minorHAnsi"/>
                <w:sz w:val="21"/>
                <w:szCs w:val="21"/>
              </w:rPr>
            </w:pPr>
          </w:p>
        </w:tc>
        <w:tc>
          <w:tcPr>
            <w:tcW w:w="631" w:type="pct"/>
          </w:tcPr>
          <w:p w14:paraId="371BB820" w14:textId="77777777" w:rsidR="000F7B03" w:rsidRPr="00E8190A" w:rsidRDefault="000F7B03" w:rsidP="00E8190A">
            <w:pPr>
              <w:pStyle w:val="NoSpacing"/>
              <w:rPr>
                <w:rFonts w:cstheme="minorHAnsi"/>
                <w:sz w:val="21"/>
                <w:szCs w:val="21"/>
              </w:rPr>
            </w:pPr>
          </w:p>
        </w:tc>
        <w:tc>
          <w:tcPr>
            <w:tcW w:w="982" w:type="pct"/>
          </w:tcPr>
          <w:p w14:paraId="3D736231" w14:textId="77777777" w:rsidR="000F7B03" w:rsidRPr="00E8190A" w:rsidRDefault="000F7B03" w:rsidP="00E8190A">
            <w:pPr>
              <w:pStyle w:val="NoSpacing"/>
              <w:rPr>
                <w:rFonts w:cstheme="minorHAnsi"/>
                <w:sz w:val="21"/>
                <w:szCs w:val="21"/>
              </w:rPr>
            </w:pPr>
          </w:p>
        </w:tc>
        <w:tc>
          <w:tcPr>
            <w:tcW w:w="620" w:type="pct"/>
          </w:tcPr>
          <w:p w14:paraId="50713F8A" w14:textId="6CC371E2" w:rsidR="000F7B03" w:rsidRPr="00E8190A" w:rsidRDefault="000F7B03" w:rsidP="00E8190A">
            <w:pPr>
              <w:pStyle w:val="NoSpacing"/>
              <w:rPr>
                <w:rFonts w:cstheme="minorHAnsi"/>
                <w:sz w:val="21"/>
                <w:szCs w:val="21"/>
              </w:rPr>
            </w:pPr>
          </w:p>
        </w:tc>
      </w:tr>
      <w:tr w:rsidR="00746F94" w:rsidRPr="00E8190A" w14:paraId="196CDB3F" w14:textId="77777777" w:rsidTr="00866D07">
        <w:tc>
          <w:tcPr>
            <w:tcW w:w="2122" w:type="pct"/>
            <w:hideMark/>
          </w:tcPr>
          <w:p w14:paraId="370E162A"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Age (mean, SD)</w:t>
            </w:r>
          </w:p>
        </w:tc>
        <w:tc>
          <w:tcPr>
            <w:tcW w:w="644" w:type="pct"/>
            <w:hideMark/>
          </w:tcPr>
          <w:p w14:paraId="32750B92" w14:textId="77777777" w:rsidR="00E86E48" w:rsidRPr="00E8190A" w:rsidRDefault="00E86E48" w:rsidP="00E8190A">
            <w:pPr>
              <w:pStyle w:val="NoSpacing"/>
              <w:rPr>
                <w:rFonts w:cstheme="minorHAnsi"/>
                <w:sz w:val="21"/>
                <w:szCs w:val="21"/>
              </w:rPr>
            </w:pPr>
            <w:r w:rsidRPr="00E8190A">
              <w:rPr>
                <w:rFonts w:cstheme="minorHAnsi"/>
                <w:sz w:val="21"/>
                <w:szCs w:val="21"/>
              </w:rPr>
              <w:t>42.6 (13.1)</w:t>
            </w:r>
          </w:p>
        </w:tc>
        <w:tc>
          <w:tcPr>
            <w:tcW w:w="631" w:type="pct"/>
            <w:hideMark/>
          </w:tcPr>
          <w:p w14:paraId="4F49B05D" w14:textId="77777777" w:rsidR="00E86E48" w:rsidRPr="00E8190A" w:rsidRDefault="00E86E48" w:rsidP="00E8190A">
            <w:pPr>
              <w:pStyle w:val="NoSpacing"/>
              <w:rPr>
                <w:rFonts w:cstheme="minorHAnsi"/>
                <w:sz w:val="21"/>
                <w:szCs w:val="21"/>
              </w:rPr>
            </w:pPr>
            <w:r w:rsidRPr="00E8190A">
              <w:rPr>
                <w:rFonts w:cstheme="minorHAnsi"/>
                <w:sz w:val="21"/>
                <w:szCs w:val="21"/>
              </w:rPr>
              <w:t>45.9 (14.3)</w:t>
            </w:r>
          </w:p>
        </w:tc>
        <w:tc>
          <w:tcPr>
            <w:tcW w:w="982" w:type="pct"/>
            <w:hideMark/>
          </w:tcPr>
          <w:p w14:paraId="58FFAED5" w14:textId="77777777" w:rsidR="00E86E48" w:rsidRPr="00E8190A" w:rsidRDefault="00E86E48" w:rsidP="00E8190A">
            <w:pPr>
              <w:pStyle w:val="NoSpacing"/>
              <w:rPr>
                <w:rFonts w:cstheme="minorHAnsi"/>
                <w:sz w:val="21"/>
                <w:szCs w:val="21"/>
              </w:rPr>
            </w:pPr>
            <w:r w:rsidRPr="00E8190A">
              <w:rPr>
                <w:rFonts w:cstheme="minorHAnsi"/>
                <w:sz w:val="21"/>
                <w:szCs w:val="21"/>
              </w:rPr>
              <w:t>43.8 (13.5)</w:t>
            </w:r>
          </w:p>
        </w:tc>
        <w:tc>
          <w:tcPr>
            <w:tcW w:w="620" w:type="pct"/>
            <w:hideMark/>
          </w:tcPr>
          <w:p w14:paraId="63E3136B" w14:textId="77777777" w:rsidR="00E86E48" w:rsidRPr="00E8190A" w:rsidRDefault="00E86E48" w:rsidP="00E8190A">
            <w:pPr>
              <w:pStyle w:val="NoSpacing"/>
              <w:rPr>
                <w:rFonts w:cstheme="minorHAnsi"/>
                <w:sz w:val="21"/>
                <w:szCs w:val="21"/>
              </w:rPr>
            </w:pPr>
            <w:r w:rsidRPr="00E8190A">
              <w:rPr>
                <w:rFonts w:cstheme="minorHAnsi"/>
                <w:sz w:val="21"/>
                <w:szCs w:val="21"/>
              </w:rPr>
              <w:t>0.46</w:t>
            </w:r>
          </w:p>
        </w:tc>
      </w:tr>
      <w:tr w:rsidR="00746F94" w:rsidRPr="00E8190A" w14:paraId="14ABAA2C" w14:textId="77777777" w:rsidTr="00866D07">
        <w:tc>
          <w:tcPr>
            <w:tcW w:w="2122" w:type="pct"/>
            <w:hideMark/>
          </w:tcPr>
          <w:p w14:paraId="0023BE88"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Caucasian (n, %)</w:t>
            </w:r>
          </w:p>
        </w:tc>
        <w:tc>
          <w:tcPr>
            <w:tcW w:w="644" w:type="pct"/>
            <w:hideMark/>
          </w:tcPr>
          <w:p w14:paraId="7651152F" w14:textId="77777777" w:rsidR="00E86E48" w:rsidRPr="00E8190A" w:rsidRDefault="00E86E48" w:rsidP="00E8190A">
            <w:pPr>
              <w:pStyle w:val="NoSpacing"/>
              <w:rPr>
                <w:rFonts w:cstheme="minorHAnsi"/>
                <w:sz w:val="21"/>
                <w:szCs w:val="21"/>
              </w:rPr>
            </w:pPr>
            <w:r w:rsidRPr="00E8190A">
              <w:rPr>
                <w:rFonts w:cstheme="minorHAnsi"/>
                <w:sz w:val="21"/>
                <w:szCs w:val="21"/>
              </w:rPr>
              <w:t>25 (96%)</w:t>
            </w:r>
          </w:p>
        </w:tc>
        <w:tc>
          <w:tcPr>
            <w:tcW w:w="631" w:type="pct"/>
            <w:hideMark/>
          </w:tcPr>
          <w:p w14:paraId="1FA6AB9B" w14:textId="77777777" w:rsidR="00E86E48" w:rsidRPr="00E8190A" w:rsidRDefault="00E86E48" w:rsidP="00E8190A">
            <w:pPr>
              <w:pStyle w:val="NoSpacing"/>
              <w:rPr>
                <w:rFonts w:cstheme="minorHAnsi"/>
                <w:sz w:val="21"/>
                <w:szCs w:val="21"/>
              </w:rPr>
            </w:pPr>
            <w:r w:rsidRPr="00E8190A">
              <w:rPr>
                <w:rFonts w:cstheme="minorHAnsi"/>
                <w:sz w:val="21"/>
                <w:szCs w:val="21"/>
              </w:rPr>
              <w:t>15 (100%)</w:t>
            </w:r>
          </w:p>
        </w:tc>
        <w:tc>
          <w:tcPr>
            <w:tcW w:w="982" w:type="pct"/>
            <w:hideMark/>
          </w:tcPr>
          <w:p w14:paraId="58122104" w14:textId="77777777" w:rsidR="00E86E48" w:rsidRPr="00E8190A" w:rsidRDefault="00E86E48" w:rsidP="00E8190A">
            <w:pPr>
              <w:pStyle w:val="NoSpacing"/>
              <w:rPr>
                <w:rFonts w:cstheme="minorHAnsi"/>
                <w:sz w:val="21"/>
                <w:szCs w:val="21"/>
              </w:rPr>
            </w:pPr>
            <w:r w:rsidRPr="00E8190A">
              <w:rPr>
                <w:rFonts w:cstheme="minorHAnsi"/>
                <w:sz w:val="21"/>
                <w:szCs w:val="21"/>
              </w:rPr>
              <w:t>44 (98%)</w:t>
            </w:r>
          </w:p>
        </w:tc>
        <w:tc>
          <w:tcPr>
            <w:tcW w:w="620" w:type="pct"/>
            <w:hideMark/>
          </w:tcPr>
          <w:p w14:paraId="4A8969C6" w14:textId="77777777" w:rsidR="00E86E48" w:rsidRPr="00E8190A" w:rsidRDefault="00E86E48" w:rsidP="00E8190A">
            <w:pPr>
              <w:pStyle w:val="NoSpacing"/>
              <w:rPr>
                <w:rFonts w:cstheme="minorHAnsi"/>
                <w:sz w:val="21"/>
                <w:szCs w:val="21"/>
              </w:rPr>
            </w:pPr>
            <w:r w:rsidRPr="00E8190A">
              <w:rPr>
                <w:rFonts w:cstheme="minorHAnsi"/>
                <w:sz w:val="21"/>
                <w:szCs w:val="21"/>
              </w:rPr>
              <w:t>–</w:t>
            </w:r>
          </w:p>
        </w:tc>
      </w:tr>
      <w:tr w:rsidR="00746F94" w:rsidRPr="00E8190A" w14:paraId="0709C441" w14:textId="77777777" w:rsidTr="00866D07">
        <w:tc>
          <w:tcPr>
            <w:tcW w:w="2122" w:type="pct"/>
            <w:hideMark/>
          </w:tcPr>
          <w:p w14:paraId="18AC1A47"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Latino/Hispanic (n, %)</w:t>
            </w:r>
          </w:p>
        </w:tc>
        <w:tc>
          <w:tcPr>
            <w:tcW w:w="644" w:type="pct"/>
            <w:hideMark/>
          </w:tcPr>
          <w:p w14:paraId="1D78C36D" w14:textId="77777777" w:rsidR="00E86E48" w:rsidRPr="00E8190A" w:rsidRDefault="00E86E48" w:rsidP="00E8190A">
            <w:pPr>
              <w:pStyle w:val="NoSpacing"/>
              <w:rPr>
                <w:rFonts w:cstheme="minorHAnsi"/>
                <w:sz w:val="21"/>
                <w:szCs w:val="21"/>
              </w:rPr>
            </w:pPr>
            <w:r w:rsidRPr="00E8190A">
              <w:rPr>
                <w:rFonts w:cstheme="minorHAnsi"/>
                <w:sz w:val="21"/>
                <w:szCs w:val="21"/>
              </w:rPr>
              <w:t>1 (4%)</w:t>
            </w:r>
          </w:p>
        </w:tc>
        <w:tc>
          <w:tcPr>
            <w:tcW w:w="631" w:type="pct"/>
            <w:hideMark/>
          </w:tcPr>
          <w:p w14:paraId="3CEDF7D4" w14:textId="77777777" w:rsidR="00E86E48" w:rsidRPr="00E8190A" w:rsidRDefault="00E86E48" w:rsidP="00E8190A">
            <w:pPr>
              <w:pStyle w:val="NoSpacing"/>
              <w:rPr>
                <w:rFonts w:cstheme="minorHAnsi"/>
                <w:sz w:val="21"/>
                <w:szCs w:val="21"/>
              </w:rPr>
            </w:pPr>
            <w:r w:rsidRPr="00E8190A">
              <w:rPr>
                <w:rFonts w:cstheme="minorHAnsi"/>
                <w:sz w:val="21"/>
                <w:szCs w:val="21"/>
              </w:rPr>
              <w:t>0 (0%)</w:t>
            </w:r>
          </w:p>
        </w:tc>
        <w:tc>
          <w:tcPr>
            <w:tcW w:w="982" w:type="pct"/>
            <w:hideMark/>
          </w:tcPr>
          <w:p w14:paraId="10494195" w14:textId="77777777" w:rsidR="00E86E48" w:rsidRPr="00E8190A" w:rsidRDefault="00E86E48" w:rsidP="00E8190A">
            <w:pPr>
              <w:pStyle w:val="NoSpacing"/>
              <w:rPr>
                <w:rFonts w:cstheme="minorHAnsi"/>
                <w:sz w:val="21"/>
                <w:szCs w:val="21"/>
              </w:rPr>
            </w:pPr>
            <w:r w:rsidRPr="00E8190A">
              <w:rPr>
                <w:rFonts w:cstheme="minorHAnsi"/>
                <w:sz w:val="21"/>
                <w:szCs w:val="21"/>
              </w:rPr>
              <w:t>1 (2%)</w:t>
            </w:r>
          </w:p>
        </w:tc>
        <w:tc>
          <w:tcPr>
            <w:tcW w:w="620" w:type="pct"/>
            <w:hideMark/>
          </w:tcPr>
          <w:p w14:paraId="6565A221" w14:textId="77777777" w:rsidR="00E86E48" w:rsidRPr="00E8190A" w:rsidRDefault="00E86E48" w:rsidP="00E8190A">
            <w:pPr>
              <w:pStyle w:val="NoSpacing"/>
              <w:rPr>
                <w:rFonts w:cstheme="minorHAnsi"/>
                <w:sz w:val="21"/>
                <w:szCs w:val="21"/>
              </w:rPr>
            </w:pPr>
            <w:r w:rsidRPr="00E8190A">
              <w:rPr>
                <w:rFonts w:cstheme="minorHAnsi"/>
                <w:sz w:val="21"/>
                <w:szCs w:val="21"/>
              </w:rPr>
              <w:t>–</w:t>
            </w:r>
          </w:p>
        </w:tc>
      </w:tr>
      <w:tr w:rsidR="00746F94" w:rsidRPr="00E8190A" w14:paraId="48828C97" w14:textId="77777777" w:rsidTr="00866D07">
        <w:tc>
          <w:tcPr>
            <w:tcW w:w="2122" w:type="pct"/>
            <w:hideMark/>
          </w:tcPr>
          <w:p w14:paraId="093FF55B" w14:textId="77777777" w:rsidR="000F0078" w:rsidRPr="00E8190A" w:rsidRDefault="000F0078" w:rsidP="00E8190A">
            <w:pPr>
              <w:pStyle w:val="NoSpacing"/>
              <w:rPr>
                <w:rFonts w:cstheme="minorHAnsi"/>
                <w:sz w:val="21"/>
                <w:szCs w:val="21"/>
              </w:rPr>
            </w:pPr>
            <w:bookmarkStart w:id="31" w:name="btf0005"/>
            <w:proofErr w:type="spellStart"/>
            <w:r w:rsidRPr="00E8190A">
              <w:rPr>
                <w:rFonts w:cstheme="minorHAnsi"/>
                <w:sz w:val="21"/>
                <w:szCs w:val="21"/>
              </w:rPr>
              <w:t>Anthropometrics</w:t>
            </w:r>
            <w:hyperlink r:id="rId82" w:anchor="tf0005" w:history="1">
              <w:r w:rsidRPr="00E8190A">
                <w:rPr>
                  <w:rStyle w:val="Hyperlink"/>
                  <w:rFonts w:cstheme="minorHAnsi"/>
                  <w:color w:val="0C7DBB"/>
                  <w:sz w:val="16"/>
                  <w:szCs w:val="16"/>
                  <w:vertAlign w:val="superscript"/>
                </w:rPr>
                <w:t>a</w:t>
              </w:r>
              <w:proofErr w:type="spellEnd"/>
            </w:hyperlink>
          </w:p>
        </w:tc>
        <w:tc>
          <w:tcPr>
            <w:tcW w:w="644" w:type="pct"/>
          </w:tcPr>
          <w:p w14:paraId="75B4512A" w14:textId="77777777" w:rsidR="000F0078" w:rsidRPr="00E8190A" w:rsidRDefault="000F0078" w:rsidP="00E8190A">
            <w:pPr>
              <w:pStyle w:val="NoSpacing"/>
              <w:rPr>
                <w:rFonts w:cstheme="minorHAnsi"/>
                <w:sz w:val="21"/>
                <w:szCs w:val="21"/>
              </w:rPr>
            </w:pPr>
          </w:p>
        </w:tc>
        <w:tc>
          <w:tcPr>
            <w:tcW w:w="631" w:type="pct"/>
          </w:tcPr>
          <w:p w14:paraId="219A9F70" w14:textId="77777777" w:rsidR="000F0078" w:rsidRPr="00E8190A" w:rsidRDefault="000F0078" w:rsidP="00E8190A">
            <w:pPr>
              <w:pStyle w:val="NoSpacing"/>
              <w:rPr>
                <w:rFonts w:cstheme="minorHAnsi"/>
                <w:sz w:val="21"/>
                <w:szCs w:val="21"/>
              </w:rPr>
            </w:pPr>
          </w:p>
        </w:tc>
        <w:tc>
          <w:tcPr>
            <w:tcW w:w="982" w:type="pct"/>
          </w:tcPr>
          <w:p w14:paraId="43E343CF" w14:textId="77777777" w:rsidR="000F0078" w:rsidRPr="00E8190A" w:rsidRDefault="000F0078" w:rsidP="00E8190A">
            <w:pPr>
              <w:pStyle w:val="NoSpacing"/>
              <w:rPr>
                <w:rFonts w:cstheme="minorHAnsi"/>
                <w:sz w:val="21"/>
                <w:szCs w:val="21"/>
              </w:rPr>
            </w:pPr>
          </w:p>
        </w:tc>
        <w:tc>
          <w:tcPr>
            <w:tcW w:w="620" w:type="pct"/>
          </w:tcPr>
          <w:p w14:paraId="5BAE4B10" w14:textId="08BB01C7" w:rsidR="000F0078" w:rsidRPr="00E8190A" w:rsidRDefault="000F0078" w:rsidP="00E8190A">
            <w:pPr>
              <w:pStyle w:val="NoSpacing"/>
              <w:rPr>
                <w:rFonts w:cstheme="minorHAnsi"/>
                <w:sz w:val="21"/>
                <w:szCs w:val="21"/>
              </w:rPr>
            </w:pPr>
          </w:p>
        </w:tc>
      </w:tr>
      <w:tr w:rsidR="00746F94" w:rsidRPr="00E8190A" w14:paraId="71DC8736" w14:textId="77777777" w:rsidTr="00866D07">
        <w:tc>
          <w:tcPr>
            <w:tcW w:w="2122" w:type="pct"/>
            <w:hideMark/>
          </w:tcPr>
          <w:p w14:paraId="53584649"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Height (in.)</w:t>
            </w:r>
          </w:p>
        </w:tc>
        <w:tc>
          <w:tcPr>
            <w:tcW w:w="644" w:type="pct"/>
            <w:hideMark/>
          </w:tcPr>
          <w:p w14:paraId="7C8D38A8" w14:textId="77777777" w:rsidR="00E86E48" w:rsidRPr="00E8190A" w:rsidRDefault="00E86E48" w:rsidP="00E8190A">
            <w:pPr>
              <w:pStyle w:val="NoSpacing"/>
              <w:rPr>
                <w:rFonts w:cstheme="minorHAnsi"/>
                <w:sz w:val="21"/>
                <w:szCs w:val="21"/>
              </w:rPr>
            </w:pPr>
            <w:r w:rsidRPr="00E8190A">
              <w:rPr>
                <w:rFonts w:cstheme="minorHAnsi"/>
                <w:sz w:val="21"/>
                <w:szCs w:val="21"/>
              </w:rPr>
              <w:t>70.4 (2.4)</w:t>
            </w:r>
          </w:p>
        </w:tc>
        <w:tc>
          <w:tcPr>
            <w:tcW w:w="631" w:type="pct"/>
            <w:hideMark/>
          </w:tcPr>
          <w:p w14:paraId="50C37293" w14:textId="77777777" w:rsidR="00E86E48" w:rsidRPr="00E8190A" w:rsidRDefault="00E86E48" w:rsidP="00E8190A">
            <w:pPr>
              <w:pStyle w:val="NoSpacing"/>
              <w:rPr>
                <w:rFonts w:cstheme="minorHAnsi"/>
                <w:sz w:val="21"/>
                <w:szCs w:val="21"/>
              </w:rPr>
            </w:pPr>
            <w:r w:rsidRPr="00E8190A">
              <w:rPr>
                <w:rFonts w:cstheme="minorHAnsi"/>
                <w:sz w:val="21"/>
                <w:szCs w:val="21"/>
              </w:rPr>
              <w:t>70.2 (3.2)</w:t>
            </w:r>
          </w:p>
        </w:tc>
        <w:tc>
          <w:tcPr>
            <w:tcW w:w="982" w:type="pct"/>
            <w:hideMark/>
          </w:tcPr>
          <w:p w14:paraId="750F60D1" w14:textId="77777777" w:rsidR="00E86E48" w:rsidRPr="00E8190A" w:rsidRDefault="00E86E48" w:rsidP="00E8190A">
            <w:pPr>
              <w:pStyle w:val="NoSpacing"/>
              <w:rPr>
                <w:rFonts w:cstheme="minorHAnsi"/>
                <w:sz w:val="21"/>
                <w:szCs w:val="21"/>
              </w:rPr>
            </w:pPr>
            <w:r w:rsidRPr="00E8190A">
              <w:rPr>
                <w:rFonts w:cstheme="minorHAnsi"/>
                <w:sz w:val="21"/>
                <w:szCs w:val="21"/>
              </w:rPr>
              <w:t>70.3 (2.7)</w:t>
            </w:r>
          </w:p>
        </w:tc>
        <w:tc>
          <w:tcPr>
            <w:tcW w:w="620" w:type="pct"/>
            <w:hideMark/>
          </w:tcPr>
          <w:p w14:paraId="6A0235F2" w14:textId="77777777" w:rsidR="00E86E48" w:rsidRPr="00E8190A" w:rsidRDefault="00E86E48" w:rsidP="00E8190A">
            <w:pPr>
              <w:pStyle w:val="NoSpacing"/>
              <w:rPr>
                <w:rFonts w:cstheme="minorHAnsi"/>
                <w:sz w:val="21"/>
                <w:szCs w:val="21"/>
              </w:rPr>
            </w:pPr>
            <w:r w:rsidRPr="00E8190A">
              <w:rPr>
                <w:rFonts w:cstheme="minorHAnsi"/>
                <w:sz w:val="21"/>
                <w:szCs w:val="21"/>
              </w:rPr>
              <w:t>0.89</w:t>
            </w:r>
          </w:p>
        </w:tc>
      </w:tr>
      <w:tr w:rsidR="00746F94" w:rsidRPr="00E8190A" w14:paraId="0C58E774" w14:textId="77777777" w:rsidTr="00866D07">
        <w:tc>
          <w:tcPr>
            <w:tcW w:w="2122" w:type="pct"/>
            <w:hideMark/>
          </w:tcPr>
          <w:p w14:paraId="343C1DF3"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Weight (</w:t>
            </w:r>
            <w:proofErr w:type="spellStart"/>
            <w:r w:rsidRPr="00E8190A">
              <w:rPr>
                <w:rFonts w:cstheme="minorHAnsi"/>
                <w:b/>
                <w:bCs/>
                <w:sz w:val="21"/>
                <w:szCs w:val="21"/>
              </w:rPr>
              <w:t>lbs</w:t>
            </w:r>
            <w:proofErr w:type="spellEnd"/>
            <w:r w:rsidRPr="00E8190A">
              <w:rPr>
                <w:rFonts w:cstheme="minorHAnsi"/>
                <w:b/>
                <w:bCs/>
                <w:sz w:val="21"/>
                <w:szCs w:val="21"/>
              </w:rPr>
              <w:t>)</w:t>
            </w:r>
          </w:p>
        </w:tc>
        <w:tc>
          <w:tcPr>
            <w:tcW w:w="644" w:type="pct"/>
            <w:hideMark/>
          </w:tcPr>
          <w:p w14:paraId="0155CC85" w14:textId="77777777" w:rsidR="00E86E48" w:rsidRPr="00E8190A" w:rsidRDefault="00E86E48" w:rsidP="00E8190A">
            <w:pPr>
              <w:pStyle w:val="NoSpacing"/>
              <w:rPr>
                <w:rFonts w:cstheme="minorHAnsi"/>
                <w:sz w:val="21"/>
                <w:szCs w:val="21"/>
              </w:rPr>
            </w:pPr>
            <w:r w:rsidRPr="00E8190A">
              <w:rPr>
                <w:rFonts w:cstheme="minorHAnsi"/>
                <w:sz w:val="21"/>
                <w:szCs w:val="21"/>
              </w:rPr>
              <w:t>203.2 (32.2)</w:t>
            </w:r>
          </w:p>
        </w:tc>
        <w:tc>
          <w:tcPr>
            <w:tcW w:w="631" w:type="pct"/>
            <w:hideMark/>
          </w:tcPr>
          <w:p w14:paraId="5393CA9B" w14:textId="77777777" w:rsidR="00E86E48" w:rsidRPr="00E8190A" w:rsidRDefault="00E86E48" w:rsidP="00E8190A">
            <w:pPr>
              <w:pStyle w:val="NoSpacing"/>
              <w:rPr>
                <w:rFonts w:cstheme="minorHAnsi"/>
                <w:sz w:val="21"/>
                <w:szCs w:val="21"/>
              </w:rPr>
            </w:pPr>
            <w:r w:rsidRPr="00E8190A">
              <w:rPr>
                <w:rFonts w:cstheme="minorHAnsi"/>
                <w:sz w:val="21"/>
                <w:szCs w:val="21"/>
              </w:rPr>
              <w:t>191.7 (29.0)</w:t>
            </w:r>
          </w:p>
        </w:tc>
        <w:tc>
          <w:tcPr>
            <w:tcW w:w="982" w:type="pct"/>
            <w:hideMark/>
          </w:tcPr>
          <w:p w14:paraId="67D0704D" w14:textId="77777777" w:rsidR="00E86E48" w:rsidRPr="00E8190A" w:rsidRDefault="00E86E48" w:rsidP="00E8190A">
            <w:pPr>
              <w:pStyle w:val="NoSpacing"/>
              <w:rPr>
                <w:rFonts w:cstheme="minorHAnsi"/>
                <w:sz w:val="21"/>
                <w:szCs w:val="21"/>
              </w:rPr>
            </w:pPr>
            <w:r w:rsidRPr="00E8190A">
              <w:rPr>
                <w:rFonts w:cstheme="minorHAnsi"/>
                <w:sz w:val="21"/>
                <w:szCs w:val="21"/>
              </w:rPr>
              <w:t>199.0 (31.2)</w:t>
            </w:r>
          </w:p>
        </w:tc>
        <w:tc>
          <w:tcPr>
            <w:tcW w:w="620" w:type="pct"/>
            <w:hideMark/>
          </w:tcPr>
          <w:p w14:paraId="42713707" w14:textId="77777777" w:rsidR="00E86E48" w:rsidRPr="00E8190A" w:rsidRDefault="00E86E48" w:rsidP="00E8190A">
            <w:pPr>
              <w:pStyle w:val="NoSpacing"/>
              <w:rPr>
                <w:rFonts w:cstheme="minorHAnsi"/>
                <w:sz w:val="21"/>
                <w:szCs w:val="21"/>
              </w:rPr>
            </w:pPr>
            <w:r w:rsidRPr="00E8190A">
              <w:rPr>
                <w:rFonts w:cstheme="minorHAnsi"/>
                <w:sz w:val="21"/>
                <w:szCs w:val="21"/>
              </w:rPr>
              <w:t>0.25</w:t>
            </w:r>
          </w:p>
        </w:tc>
      </w:tr>
      <w:tr w:rsidR="00746F94" w:rsidRPr="00E8190A" w14:paraId="391B7754" w14:textId="77777777" w:rsidTr="00866D07">
        <w:tc>
          <w:tcPr>
            <w:tcW w:w="2122" w:type="pct"/>
            <w:hideMark/>
          </w:tcPr>
          <w:p w14:paraId="49B413CC"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Body composition</w:t>
            </w:r>
          </w:p>
        </w:tc>
        <w:tc>
          <w:tcPr>
            <w:tcW w:w="644" w:type="pct"/>
            <w:hideMark/>
          </w:tcPr>
          <w:p w14:paraId="1C685DF7" w14:textId="77777777" w:rsidR="00E86E48" w:rsidRPr="00E8190A" w:rsidRDefault="00E86E48" w:rsidP="00E8190A">
            <w:pPr>
              <w:pStyle w:val="NoSpacing"/>
              <w:rPr>
                <w:rFonts w:cstheme="minorHAnsi"/>
                <w:sz w:val="21"/>
                <w:szCs w:val="21"/>
              </w:rPr>
            </w:pPr>
            <w:r w:rsidRPr="00E8190A">
              <w:rPr>
                <w:rFonts w:cstheme="minorHAnsi"/>
                <w:sz w:val="21"/>
                <w:szCs w:val="21"/>
              </w:rPr>
              <w:t>28.9 (4.7)</w:t>
            </w:r>
          </w:p>
        </w:tc>
        <w:tc>
          <w:tcPr>
            <w:tcW w:w="631" w:type="pct"/>
            <w:hideMark/>
          </w:tcPr>
          <w:p w14:paraId="6AE992F0" w14:textId="77777777" w:rsidR="00E86E48" w:rsidRPr="00E8190A" w:rsidRDefault="00E86E48" w:rsidP="00E8190A">
            <w:pPr>
              <w:pStyle w:val="NoSpacing"/>
              <w:rPr>
                <w:rFonts w:cstheme="minorHAnsi"/>
                <w:sz w:val="21"/>
                <w:szCs w:val="21"/>
              </w:rPr>
            </w:pPr>
            <w:r w:rsidRPr="00E8190A">
              <w:rPr>
                <w:rFonts w:cstheme="minorHAnsi"/>
                <w:sz w:val="21"/>
                <w:szCs w:val="21"/>
              </w:rPr>
              <w:t>27.5 (5.0)</w:t>
            </w:r>
          </w:p>
        </w:tc>
        <w:tc>
          <w:tcPr>
            <w:tcW w:w="982" w:type="pct"/>
            <w:hideMark/>
          </w:tcPr>
          <w:p w14:paraId="1DB6E299" w14:textId="77777777" w:rsidR="00E86E48" w:rsidRPr="00E8190A" w:rsidRDefault="00E86E48" w:rsidP="00E8190A">
            <w:pPr>
              <w:pStyle w:val="NoSpacing"/>
              <w:rPr>
                <w:rFonts w:cstheme="minorHAnsi"/>
                <w:sz w:val="21"/>
                <w:szCs w:val="21"/>
              </w:rPr>
            </w:pPr>
            <w:r w:rsidRPr="00E8190A">
              <w:rPr>
                <w:rFonts w:cstheme="minorHAnsi"/>
                <w:sz w:val="21"/>
                <w:szCs w:val="21"/>
              </w:rPr>
              <w:t>28.4 (4.8)</w:t>
            </w:r>
          </w:p>
        </w:tc>
        <w:tc>
          <w:tcPr>
            <w:tcW w:w="620" w:type="pct"/>
            <w:hideMark/>
          </w:tcPr>
          <w:p w14:paraId="0C1FC028" w14:textId="77777777" w:rsidR="00E86E48" w:rsidRPr="00E8190A" w:rsidRDefault="00E86E48" w:rsidP="00E8190A">
            <w:pPr>
              <w:pStyle w:val="NoSpacing"/>
              <w:rPr>
                <w:rFonts w:cstheme="minorHAnsi"/>
                <w:sz w:val="21"/>
                <w:szCs w:val="21"/>
              </w:rPr>
            </w:pPr>
            <w:r w:rsidRPr="00E8190A">
              <w:rPr>
                <w:rFonts w:cstheme="minorHAnsi"/>
                <w:sz w:val="21"/>
                <w:szCs w:val="21"/>
              </w:rPr>
              <w:t>0.38</w:t>
            </w:r>
          </w:p>
        </w:tc>
      </w:tr>
      <w:tr w:rsidR="00B05A65" w:rsidRPr="00E8190A" w14:paraId="1276EB88" w14:textId="77777777" w:rsidTr="00866D07">
        <w:tc>
          <w:tcPr>
            <w:tcW w:w="2122" w:type="pct"/>
            <w:hideMark/>
          </w:tcPr>
          <w:p w14:paraId="1071028B" w14:textId="77777777" w:rsidR="000F0078" w:rsidRPr="00E8190A" w:rsidRDefault="000F0078" w:rsidP="00E8190A">
            <w:pPr>
              <w:pStyle w:val="NoSpacing"/>
              <w:rPr>
                <w:rFonts w:cstheme="minorHAnsi"/>
                <w:sz w:val="21"/>
                <w:szCs w:val="21"/>
              </w:rPr>
            </w:pPr>
            <w:r w:rsidRPr="00E8190A">
              <w:rPr>
                <w:rFonts w:cstheme="minorHAnsi"/>
                <w:sz w:val="21"/>
                <w:szCs w:val="21"/>
              </w:rPr>
              <w:t xml:space="preserve">Laboratory </w:t>
            </w:r>
            <w:proofErr w:type="spellStart"/>
            <w:r w:rsidRPr="00E8190A">
              <w:rPr>
                <w:rFonts w:cstheme="minorHAnsi"/>
                <w:sz w:val="21"/>
                <w:szCs w:val="21"/>
              </w:rPr>
              <w:t>data</w:t>
            </w:r>
            <w:hyperlink r:id="rId83" w:anchor="tf0005" w:history="1">
              <w:r w:rsidRPr="00E8190A">
                <w:rPr>
                  <w:rStyle w:val="Hyperlink"/>
                  <w:rFonts w:cstheme="minorHAnsi"/>
                  <w:color w:val="0C7DBB"/>
                  <w:sz w:val="16"/>
                  <w:szCs w:val="16"/>
                  <w:vertAlign w:val="superscript"/>
                </w:rPr>
                <w:t>a</w:t>
              </w:r>
              <w:proofErr w:type="spellEnd"/>
            </w:hyperlink>
          </w:p>
        </w:tc>
        <w:tc>
          <w:tcPr>
            <w:tcW w:w="644" w:type="pct"/>
          </w:tcPr>
          <w:p w14:paraId="5A7B4F15" w14:textId="77777777" w:rsidR="000F0078" w:rsidRPr="00E8190A" w:rsidRDefault="000F0078" w:rsidP="00E8190A">
            <w:pPr>
              <w:pStyle w:val="NoSpacing"/>
              <w:rPr>
                <w:rFonts w:cstheme="minorHAnsi"/>
                <w:sz w:val="21"/>
                <w:szCs w:val="21"/>
              </w:rPr>
            </w:pPr>
          </w:p>
        </w:tc>
        <w:tc>
          <w:tcPr>
            <w:tcW w:w="631" w:type="pct"/>
          </w:tcPr>
          <w:p w14:paraId="4795C87F" w14:textId="77777777" w:rsidR="000F0078" w:rsidRPr="00E8190A" w:rsidRDefault="000F0078" w:rsidP="00E8190A">
            <w:pPr>
              <w:pStyle w:val="NoSpacing"/>
              <w:rPr>
                <w:rFonts w:cstheme="minorHAnsi"/>
                <w:sz w:val="21"/>
                <w:szCs w:val="21"/>
              </w:rPr>
            </w:pPr>
          </w:p>
        </w:tc>
        <w:tc>
          <w:tcPr>
            <w:tcW w:w="982" w:type="pct"/>
          </w:tcPr>
          <w:p w14:paraId="5839913E" w14:textId="77777777" w:rsidR="000F0078" w:rsidRPr="00E8190A" w:rsidRDefault="000F0078" w:rsidP="00E8190A">
            <w:pPr>
              <w:pStyle w:val="NoSpacing"/>
              <w:rPr>
                <w:rFonts w:cstheme="minorHAnsi"/>
                <w:sz w:val="21"/>
                <w:szCs w:val="21"/>
              </w:rPr>
            </w:pPr>
          </w:p>
        </w:tc>
        <w:tc>
          <w:tcPr>
            <w:tcW w:w="620" w:type="pct"/>
          </w:tcPr>
          <w:p w14:paraId="5E984409" w14:textId="20D7C36D" w:rsidR="000F0078" w:rsidRPr="00E8190A" w:rsidRDefault="000F0078" w:rsidP="00E8190A">
            <w:pPr>
              <w:pStyle w:val="NoSpacing"/>
              <w:rPr>
                <w:rFonts w:cstheme="minorHAnsi"/>
                <w:sz w:val="21"/>
                <w:szCs w:val="21"/>
              </w:rPr>
            </w:pPr>
          </w:p>
        </w:tc>
      </w:tr>
      <w:tr w:rsidR="00746F94" w:rsidRPr="00E8190A" w14:paraId="57FD1B64" w14:textId="77777777" w:rsidTr="00866D07">
        <w:tc>
          <w:tcPr>
            <w:tcW w:w="2122" w:type="pct"/>
            <w:hideMark/>
          </w:tcPr>
          <w:p w14:paraId="77368736"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Serum sodium (mmol/L)</w:t>
            </w:r>
          </w:p>
        </w:tc>
        <w:tc>
          <w:tcPr>
            <w:tcW w:w="644" w:type="pct"/>
            <w:hideMark/>
          </w:tcPr>
          <w:p w14:paraId="01EE1569" w14:textId="77777777" w:rsidR="00E86E48" w:rsidRPr="00E8190A" w:rsidRDefault="00E86E48" w:rsidP="00E8190A">
            <w:pPr>
              <w:pStyle w:val="NoSpacing"/>
              <w:rPr>
                <w:rFonts w:cstheme="minorHAnsi"/>
                <w:sz w:val="21"/>
                <w:szCs w:val="21"/>
              </w:rPr>
            </w:pPr>
            <w:r w:rsidRPr="00E8190A">
              <w:rPr>
                <w:rFonts w:cstheme="minorHAnsi"/>
                <w:sz w:val="21"/>
                <w:szCs w:val="21"/>
              </w:rPr>
              <w:t>143 (2.3)</w:t>
            </w:r>
          </w:p>
        </w:tc>
        <w:tc>
          <w:tcPr>
            <w:tcW w:w="631" w:type="pct"/>
            <w:hideMark/>
          </w:tcPr>
          <w:p w14:paraId="25B81B1D" w14:textId="77777777" w:rsidR="00E86E48" w:rsidRPr="00E8190A" w:rsidRDefault="00E86E48" w:rsidP="00E8190A">
            <w:pPr>
              <w:pStyle w:val="NoSpacing"/>
              <w:rPr>
                <w:rFonts w:cstheme="minorHAnsi"/>
                <w:sz w:val="21"/>
                <w:szCs w:val="21"/>
              </w:rPr>
            </w:pPr>
            <w:r w:rsidRPr="00E8190A">
              <w:rPr>
                <w:rFonts w:cstheme="minorHAnsi"/>
                <w:sz w:val="21"/>
                <w:szCs w:val="21"/>
              </w:rPr>
              <w:t>142 (2.1)</w:t>
            </w:r>
          </w:p>
        </w:tc>
        <w:tc>
          <w:tcPr>
            <w:tcW w:w="982" w:type="pct"/>
            <w:hideMark/>
          </w:tcPr>
          <w:p w14:paraId="22F4E355" w14:textId="77777777" w:rsidR="00E86E48" w:rsidRPr="00E8190A" w:rsidRDefault="00E86E48" w:rsidP="00E8190A">
            <w:pPr>
              <w:pStyle w:val="NoSpacing"/>
              <w:rPr>
                <w:rFonts w:cstheme="minorHAnsi"/>
                <w:sz w:val="21"/>
                <w:szCs w:val="21"/>
              </w:rPr>
            </w:pPr>
            <w:r w:rsidRPr="00E8190A">
              <w:rPr>
                <w:rFonts w:cstheme="minorHAnsi"/>
                <w:sz w:val="21"/>
                <w:szCs w:val="21"/>
              </w:rPr>
              <w:t>143 (2.3)</w:t>
            </w:r>
          </w:p>
        </w:tc>
        <w:tc>
          <w:tcPr>
            <w:tcW w:w="620" w:type="pct"/>
            <w:hideMark/>
          </w:tcPr>
          <w:p w14:paraId="27C1FC69" w14:textId="77777777" w:rsidR="00E86E48" w:rsidRPr="00E8190A" w:rsidRDefault="00E86E48" w:rsidP="00E8190A">
            <w:pPr>
              <w:pStyle w:val="NoSpacing"/>
              <w:rPr>
                <w:rFonts w:cstheme="minorHAnsi"/>
                <w:sz w:val="21"/>
                <w:szCs w:val="21"/>
              </w:rPr>
            </w:pPr>
            <w:r w:rsidRPr="00E8190A">
              <w:rPr>
                <w:rFonts w:cstheme="minorHAnsi"/>
                <w:sz w:val="21"/>
                <w:szCs w:val="21"/>
              </w:rPr>
              <w:t>0.24</w:t>
            </w:r>
          </w:p>
        </w:tc>
      </w:tr>
      <w:tr w:rsidR="00746F94" w:rsidRPr="00E8190A" w14:paraId="17F217BB" w14:textId="77777777" w:rsidTr="00866D07">
        <w:tc>
          <w:tcPr>
            <w:tcW w:w="2122" w:type="pct"/>
            <w:hideMark/>
          </w:tcPr>
          <w:p w14:paraId="24109D9A"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Serum potassium (mmol/L)</w:t>
            </w:r>
          </w:p>
        </w:tc>
        <w:tc>
          <w:tcPr>
            <w:tcW w:w="644" w:type="pct"/>
            <w:hideMark/>
          </w:tcPr>
          <w:p w14:paraId="2C7AE15B" w14:textId="77777777" w:rsidR="00E86E48" w:rsidRPr="00E8190A" w:rsidRDefault="00E86E48" w:rsidP="00E8190A">
            <w:pPr>
              <w:pStyle w:val="NoSpacing"/>
              <w:rPr>
                <w:rFonts w:cstheme="minorHAnsi"/>
                <w:sz w:val="21"/>
                <w:szCs w:val="21"/>
              </w:rPr>
            </w:pPr>
            <w:r w:rsidRPr="00E8190A">
              <w:rPr>
                <w:rFonts w:cstheme="minorHAnsi"/>
                <w:sz w:val="21"/>
                <w:szCs w:val="21"/>
              </w:rPr>
              <w:t>4.5 (0.3)</w:t>
            </w:r>
          </w:p>
        </w:tc>
        <w:tc>
          <w:tcPr>
            <w:tcW w:w="631" w:type="pct"/>
            <w:hideMark/>
          </w:tcPr>
          <w:p w14:paraId="012433AF" w14:textId="77777777" w:rsidR="00E86E48" w:rsidRPr="00E8190A" w:rsidRDefault="00E86E48" w:rsidP="00E8190A">
            <w:pPr>
              <w:pStyle w:val="NoSpacing"/>
              <w:rPr>
                <w:rFonts w:cstheme="minorHAnsi"/>
                <w:sz w:val="21"/>
                <w:szCs w:val="21"/>
              </w:rPr>
            </w:pPr>
            <w:r w:rsidRPr="00E8190A">
              <w:rPr>
                <w:rFonts w:cstheme="minorHAnsi"/>
                <w:sz w:val="21"/>
                <w:szCs w:val="21"/>
              </w:rPr>
              <w:t>4.7 (0.3)</w:t>
            </w:r>
          </w:p>
        </w:tc>
        <w:tc>
          <w:tcPr>
            <w:tcW w:w="982" w:type="pct"/>
            <w:hideMark/>
          </w:tcPr>
          <w:p w14:paraId="64DF68F5" w14:textId="77777777" w:rsidR="00E86E48" w:rsidRPr="00E8190A" w:rsidRDefault="00E86E48" w:rsidP="00E8190A">
            <w:pPr>
              <w:pStyle w:val="NoSpacing"/>
              <w:rPr>
                <w:rFonts w:cstheme="minorHAnsi"/>
                <w:sz w:val="21"/>
                <w:szCs w:val="21"/>
              </w:rPr>
            </w:pPr>
            <w:r w:rsidRPr="00E8190A">
              <w:rPr>
                <w:rFonts w:cstheme="minorHAnsi"/>
                <w:sz w:val="21"/>
                <w:szCs w:val="21"/>
              </w:rPr>
              <w:t>4.6 (0.3)</w:t>
            </w:r>
          </w:p>
        </w:tc>
        <w:tc>
          <w:tcPr>
            <w:tcW w:w="620" w:type="pct"/>
            <w:hideMark/>
          </w:tcPr>
          <w:p w14:paraId="69CA7B89" w14:textId="77777777" w:rsidR="00E86E48" w:rsidRPr="00E8190A" w:rsidRDefault="00E86E48" w:rsidP="00E8190A">
            <w:pPr>
              <w:pStyle w:val="NoSpacing"/>
              <w:rPr>
                <w:rFonts w:cstheme="minorHAnsi"/>
                <w:sz w:val="21"/>
                <w:szCs w:val="21"/>
              </w:rPr>
            </w:pPr>
            <w:r w:rsidRPr="00E8190A">
              <w:rPr>
                <w:rFonts w:cstheme="minorHAnsi"/>
                <w:sz w:val="21"/>
                <w:szCs w:val="21"/>
              </w:rPr>
              <w:t>0.38</w:t>
            </w:r>
          </w:p>
        </w:tc>
      </w:tr>
      <w:tr w:rsidR="00746F94" w:rsidRPr="00E8190A" w14:paraId="4DB4B627" w14:textId="77777777" w:rsidTr="00866D07">
        <w:tc>
          <w:tcPr>
            <w:tcW w:w="2122" w:type="pct"/>
            <w:hideMark/>
          </w:tcPr>
          <w:p w14:paraId="3D85160F"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Serum chloride (mmol/L)</w:t>
            </w:r>
          </w:p>
        </w:tc>
        <w:tc>
          <w:tcPr>
            <w:tcW w:w="644" w:type="pct"/>
            <w:hideMark/>
          </w:tcPr>
          <w:p w14:paraId="35AC0EF9" w14:textId="77777777" w:rsidR="00E86E48" w:rsidRPr="00E8190A" w:rsidRDefault="00E86E48" w:rsidP="00E8190A">
            <w:pPr>
              <w:pStyle w:val="NoSpacing"/>
              <w:rPr>
                <w:rFonts w:cstheme="minorHAnsi"/>
                <w:sz w:val="21"/>
                <w:szCs w:val="21"/>
              </w:rPr>
            </w:pPr>
            <w:r w:rsidRPr="00E8190A">
              <w:rPr>
                <w:rFonts w:cstheme="minorHAnsi"/>
                <w:sz w:val="21"/>
                <w:szCs w:val="21"/>
              </w:rPr>
              <w:t>101 (1.9)</w:t>
            </w:r>
          </w:p>
        </w:tc>
        <w:tc>
          <w:tcPr>
            <w:tcW w:w="631" w:type="pct"/>
            <w:hideMark/>
          </w:tcPr>
          <w:p w14:paraId="24C731E9" w14:textId="77777777" w:rsidR="00E86E48" w:rsidRPr="00E8190A" w:rsidRDefault="00E86E48" w:rsidP="00E8190A">
            <w:pPr>
              <w:pStyle w:val="NoSpacing"/>
              <w:rPr>
                <w:rFonts w:cstheme="minorHAnsi"/>
                <w:sz w:val="21"/>
                <w:szCs w:val="21"/>
              </w:rPr>
            </w:pPr>
            <w:r w:rsidRPr="00E8190A">
              <w:rPr>
                <w:rFonts w:cstheme="minorHAnsi"/>
                <w:sz w:val="21"/>
                <w:szCs w:val="21"/>
              </w:rPr>
              <w:t>100 (3.0)</w:t>
            </w:r>
          </w:p>
        </w:tc>
        <w:tc>
          <w:tcPr>
            <w:tcW w:w="982" w:type="pct"/>
            <w:hideMark/>
          </w:tcPr>
          <w:p w14:paraId="08D28E1E" w14:textId="77777777" w:rsidR="00E86E48" w:rsidRPr="00E8190A" w:rsidRDefault="00E86E48" w:rsidP="00E8190A">
            <w:pPr>
              <w:pStyle w:val="NoSpacing"/>
              <w:rPr>
                <w:rFonts w:cstheme="minorHAnsi"/>
                <w:sz w:val="21"/>
                <w:szCs w:val="21"/>
              </w:rPr>
            </w:pPr>
            <w:r w:rsidRPr="00E8190A">
              <w:rPr>
                <w:rFonts w:cstheme="minorHAnsi"/>
                <w:sz w:val="21"/>
                <w:szCs w:val="21"/>
              </w:rPr>
              <w:t>101 (2.3)</w:t>
            </w:r>
          </w:p>
        </w:tc>
        <w:tc>
          <w:tcPr>
            <w:tcW w:w="620" w:type="pct"/>
            <w:hideMark/>
          </w:tcPr>
          <w:p w14:paraId="10A2B98B" w14:textId="77777777" w:rsidR="00E86E48" w:rsidRPr="00E8190A" w:rsidRDefault="00E86E48" w:rsidP="00E8190A">
            <w:pPr>
              <w:pStyle w:val="NoSpacing"/>
              <w:rPr>
                <w:rFonts w:cstheme="minorHAnsi"/>
                <w:sz w:val="21"/>
                <w:szCs w:val="21"/>
              </w:rPr>
            </w:pPr>
            <w:r w:rsidRPr="00E8190A">
              <w:rPr>
                <w:rFonts w:cstheme="minorHAnsi"/>
                <w:sz w:val="21"/>
                <w:szCs w:val="21"/>
              </w:rPr>
              <w:t>0.37</w:t>
            </w:r>
          </w:p>
        </w:tc>
      </w:tr>
      <w:tr w:rsidR="00746F94" w:rsidRPr="00E8190A" w14:paraId="6346E865" w14:textId="77777777" w:rsidTr="00866D07">
        <w:tc>
          <w:tcPr>
            <w:tcW w:w="2122" w:type="pct"/>
            <w:hideMark/>
          </w:tcPr>
          <w:p w14:paraId="28BCD9E6"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Serum carbon dioxide (mmol/L)</w:t>
            </w:r>
          </w:p>
        </w:tc>
        <w:tc>
          <w:tcPr>
            <w:tcW w:w="644" w:type="pct"/>
            <w:hideMark/>
          </w:tcPr>
          <w:p w14:paraId="70001D53" w14:textId="77777777" w:rsidR="00E86E48" w:rsidRPr="00E8190A" w:rsidRDefault="00E86E48" w:rsidP="00E8190A">
            <w:pPr>
              <w:pStyle w:val="NoSpacing"/>
              <w:rPr>
                <w:rFonts w:cstheme="minorHAnsi"/>
                <w:sz w:val="21"/>
                <w:szCs w:val="21"/>
              </w:rPr>
            </w:pPr>
            <w:r w:rsidRPr="00E8190A">
              <w:rPr>
                <w:rFonts w:cstheme="minorHAnsi"/>
                <w:sz w:val="21"/>
                <w:szCs w:val="21"/>
              </w:rPr>
              <w:t>22 (1.5)</w:t>
            </w:r>
          </w:p>
        </w:tc>
        <w:tc>
          <w:tcPr>
            <w:tcW w:w="631" w:type="pct"/>
            <w:hideMark/>
          </w:tcPr>
          <w:p w14:paraId="4F71F203" w14:textId="77777777" w:rsidR="00E86E48" w:rsidRPr="00E8190A" w:rsidRDefault="00E86E48" w:rsidP="00E8190A">
            <w:pPr>
              <w:pStyle w:val="NoSpacing"/>
              <w:rPr>
                <w:rFonts w:cstheme="minorHAnsi"/>
                <w:sz w:val="21"/>
                <w:szCs w:val="21"/>
              </w:rPr>
            </w:pPr>
            <w:r w:rsidRPr="00E8190A">
              <w:rPr>
                <w:rFonts w:cstheme="minorHAnsi"/>
                <w:sz w:val="21"/>
                <w:szCs w:val="21"/>
              </w:rPr>
              <w:t>21 (1.5)</w:t>
            </w:r>
          </w:p>
        </w:tc>
        <w:tc>
          <w:tcPr>
            <w:tcW w:w="982" w:type="pct"/>
            <w:hideMark/>
          </w:tcPr>
          <w:p w14:paraId="615E367A" w14:textId="77777777" w:rsidR="00E86E48" w:rsidRPr="00E8190A" w:rsidRDefault="00E86E48" w:rsidP="00E8190A">
            <w:pPr>
              <w:pStyle w:val="NoSpacing"/>
              <w:rPr>
                <w:rFonts w:cstheme="minorHAnsi"/>
                <w:sz w:val="21"/>
                <w:szCs w:val="21"/>
              </w:rPr>
            </w:pPr>
            <w:r w:rsidRPr="00E8190A">
              <w:rPr>
                <w:rFonts w:cstheme="minorHAnsi"/>
                <w:sz w:val="21"/>
                <w:szCs w:val="21"/>
              </w:rPr>
              <w:t>22 (1.5)</w:t>
            </w:r>
          </w:p>
        </w:tc>
        <w:tc>
          <w:tcPr>
            <w:tcW w:w="620" w:type="pct"/>
            <w:hideMark/>
          </w:tcPr>
          <w:p w14:paraId="765CDAE8" w14:textId="77777777" w:rsidR="00E86E48" w:rsidRPr="00E8190A" w:rsidRDefault="00E86E48" w:rsidP="00E8190A">
            <w:pPr>
              <w:pStyle w:val="NoSpacing"/>
              <w:rPr>
                <w:rFonts w:cstheme="minorHAnsi"/>
                <w:sz w:val="21"/>
                <w:szCs w:val="21"/>
              </w:rPr>
            </w:pPr>
            <w:r w:rsidRPr="00E8190A">
              <w:rPr>
                <w:rFonts w:cstheme="minorHAnsi"/>
                <w:sz w:val="21"/>
                <w:szCs w:val="21"/>
              </w:rPr>
              <w:t>0.19</w:t>
            </w:r>
          </w:p>
        </w:tc>
      </w:tr>
      <w:tr w:rsidR="00746F94" w:rsidRPr="00E8190A" w14:paraId="499B0039" w14:textId="77777777" w:rsidTr="00866D07">
        <w:tc>
          <w:tcPr>
            <w:tcW w:w="2122" w:type="pct"/>
            <w:hideMark/>
          </w:tcPr>
          <w:p w14:paraId="324E5D1C"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Anion gap (mmol/L)</w:t>
            </w:r>
          </w:p>
        </w:tc>
        <w:tc>
          <w:tcPr>
            <w:tcW w:w="644" w:type="pct"/>
            <w:hideMark/>
          </w:tcPr>
          <w:p w14:paraId="0356BCAA" w14:textId="77777777" w:rsidR="00E86E48" w:rsidRPr="00E8190A" w:rsidRDefault="00E86E48" w:rsidP="00E8190A">
            <w:pPr>
              <w:pStyle w:val="NoSpacing"/>
              <w:rPr>
                <w:rFonts w:cstheme="minorHAnsi"/>
                <w:sz w:val="21"/>
                <w:szCs w:val="21"/>
              </w:rPr>
            </w:pPr>
            <w:r w:rsidRPr="00E8190A">
              <w:rPr>
                <w:rFonts w:cstheme="minorHAnsi"/>
                <w:sz w:val="21"/>
                <w:szCs w:val="21"/>
              </w:rPr>
              <w:t>20 (2.2)</w:t>
            </w:r>
          </w:p>
        </w:tc>
        <w:tc>
          <w:tcPr>
            <w:tcW w:w="631" w:type="pct"/>
            <w:hideMark/>
          </w:tcPr>
          <w:p w14:paraId="31906FCB" w14:textId="77777777" w:rsidR="00E86E48" w:rsidRPr="00E8190A" w:rsidRDefault="00E86E48" w:rsidP="00E8190A">
            <w:pPr>
              <w:pStyle w:val="NoSpacing"/>
              <w:rPr>
                <w:rFonts w:cstheme="minorHAnsi"/>
                <w:sz w:val="21"/>
                <w:szCs w:val="21"/>
              </w:rPr>
            </w:pPr>
            <w:r w:rsidRPr="00E8190A">
              <w:rPr>
                <w:rFonts w:cstheme="minorHAnsi"/>
                <w:sz w:val="21"/>
                <w:szCs w:val="21"/>
              </w:rPr>
              <w:t>20 (1.8)</w:t>
            </w:r>
          </w:p>
        </w:tc>
        <w:tc>
          <w:tcPr>
            <w:tcW w:w="982" w:type="pct"/>
            <w:hideMark/>
          </w:tcPr>
          <w:p w14:paraId="0D1D94C4" w14:textId="77777777" w:rsidR="00E86E48" w:rsidRPr="00E8190A" w:rsidRDefault="00E86E48" w:rsidP="00E8190A">
            <w:pPr>
              <w:pStyle w:val="NoSpacing"/>
              <w:rPr>
                <w:rFonts w:cstheme="minorHAnsi"/>
                <w:sz w:val="21"/>
                <w:szCs w:val="21"/>
              </w:rPr>
            </w:pPr>
            <w:r w:rsidRPr="00E8190A">
              <w:rPr>
                <w:rFonts w:cstheme="minorHAnsi"/>
                <w:sz w:val="21"/>
                <w:szCs w:val="21"/>
              </w:rPr>
              <w:t>20 (2.0)</w:t>
            </w:r>
          </w:p>
        </w:tc>
        <w:tc>
          <w:tcPr>
            <w:tcW w:w="620" w:type="pct"/>
            <w:hideMark/>
          </w:tcPr>
          <w:p w14:paraId="42E0EAC3" w14:textId="77777777" w:rsidR="00E86E48" w:rsidRPr="00E8190A" w:rsidRDefault="00E86E48" w:rsidP="00E8190A">
            <w:pPr>
              <w:pStyle w:val="NoSpacing"/>
              <w:rPr>
                <w:rFonts w:cstheme="minorHAnsi"/>
                <w:sz w:val="21"/>
                <w:szCs w:val="21"/>
              </w:rPr>
            </w:pPr>
            <w:r w:rsidRPr="00E8190A">
              <w:rPr>
                <w:rFonts w:cstheme="minorHAnsi"/>
                <w:sz w:val="21"/>
                <w:szCs w:val="21"/>
              </w:rPr>
              <w:t>0.34</w:t>
            </w:r>
          </w:p>
        </w:tc>
      </w:tr>
      <w:tr w:rsidR="00746F94" w:rsidRPr="00E8190A" w14:paraId="020A8313" w14:textId="77777777" w:rsidTr="00866D07">
        <w:tc>
          <w:tcPr>
            <w:tcW w:w="2122" w:type="pct"/>
            <w:hideMark/>
          </w:tcPr>
          <w:p w14:paraId="5A646C30"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Serum urea nitrogen (mg/dL)</w:t>
            </w:r>
          </w:p>
        </w:tc>
        <w:tc>
          <w:tcPr>
            <w:tcW w:w="644" w:type="pct"/>
            <w:hideMark/>
          </w:tcPr>
          <w:p w14:paraId="59975357" w14:textId="77777777" w:rsidR="00E86E48" w:rsidRPr="00E8190A" w:rsidRDefault="00E86E48" w:rsidP="00E8190A">
            <w:pPr>
              <w:pStyle w:val="NoSpacing"/>
              <w:rPr>
                <w:rFonts w:cstheme="minorHAnsi"/>
                <w:sz w:val="21"/>
                <w:szCs w:val="21"/>
              </w:rPr>
            </w:pPr>
            <w:r w:rsidRPr="00E8190A">
              <w:rPr>
                <w:rFonts w:cstheme="minorHAnsi"/>
                <w:sz w:val="21"/>
                <w:szCs w:val="21"/>
              </w:rPr>
              <w:t>16 (3.7)</w:t>
            </w:r>
          </w:p>
        </w:tc>
        <w:tc>
          <w:tcPr>
            <w:tcW w:w="631" w:type="pct"/>
            <w:hideMark/>
          </w:tcPr>
          <w:p w14:paraId="1D650BA5" w14:textId="77777777" w:rsidR="00E86E48" w:rsidRPr="00E8190A" w:rsidRDefault="00E86E48" w:rsidP="00E8190A">
            <w:pPr>
              <w:pStyle w:val="NoSpacing"/>
              <w:rPr>
                <w:rFonts w:cstheme="minorHAnsi"/>
                <w:sz w:val="21"/>
                <w:szCs w:val="21"/>
              </w:rPr>
            </w:pPr>
            <w:r w:rsidRPr="00E8190A">
              <w:rPr>
                <w:rFonts w:cstheme="minorHAnsi"/>
                <w:sz w:val="21"/>
                <w:szCs w:val="21"/>
              </w:rPr>
              <w:t>15 (5.3)</w:t>
            </w:r>
          </w:p>
        </w:tc>
        <w:tc>
          <w:tcPr>
            <w:tcW w:w="982" w:type="pct"/>
            <w:hideMark/>
          </w:tcPr>
          <w:p w14:paraId="487C8704" w14:textId="77777777" w:rsidR="00E86E48" w:rsidRPr="00E8190A" w:rsidRDefault="00E86E48" w:rsidP="00E8190A">
            <w:pPr>
              <w:pStyle w:val="NoSpacing"/>
              <w:rPr>
                <w:rFonts w:cstheme="minorHAnsi"/>
                <w:sz w:val="21"/>
                <w:szCs w:val="21"/>
              </w:rPr>
            </w:pPr>
            <w:r w:rsidRPr="00E8190A">
              <w:rPr>
                <w:rFonts w:cstheme="minorHAnsi"/>
                <w:sz w:val="21"/>
                <w:szCs w:val="21"/>
              </w:rPr>
              <w:t>15 (4.2)</w:t>
            </w:r>
          </w:p>
        </w:tc>
        <w:tc>
          <w:tcPr>
            <w:tcW w:w="620" w:type="pct"/>
            <w:hideMark/>
          </w:tcPr>
          <w:p w14:paraId="6C5488A1" w14:textId="77777777" w:rsidR="00E86E48" w:rsidRPr="00E8190A" w:rsidRDefault="00E86E48" w:rsidP="00E8190A">
            <w:pPr>
              <w:pStyle w:val="NoSpacing"/>
              <w:rPr>
                <w:rFonts w:cstheme="minorHAnsi"/>
                <w:sz w:val="21"/>
                <w:szCs w:val="21"/>
              </w:rPr>
            </w:pPr>
            <w:r w:rsidRPr="00E8190A">
              <w:rPr>
                <w:rFonts w:cstheme="minorHAnsi"/>
                <w:sz w:val="21"/>
                <w:szCs w:val="21"/>
              </w:rPr>
              <w:t>0.80</w:t>
            </w:r>
          </w:p>
        </w:tc>
      </w:tr>
      <w:tr w:rsidR="00746F94" w:rsidRPr="00E8190A" w14:paraId="634F1432" w14:textId="77777777" w:rsidTr="00866D07">
        <w:tc>
          <w:tcPr>
            <w:tcW w:w="2122" w:type="pct"/>
            <w:hideMark/>
          </w:tcPr>
          <w:p w14:paraId="685329AC"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Serum creatinine (mg/dL)</w:t>
            </w:r>
          </w:p>
        </w:tc>
        <w:tc>
          <w:tcPr>
            <w:tcW w:w="644" w:type="pct"/>
            <w:hideMark/>
          </w:tcPr>
          <w:p w14:paraId="5972870C" w14:textId="77777777" w:rsidR="00E86E48" w:rsidRPr="00E8190A" w:rsidRDefault="00E86E48" w:rsidP="00E8190A">
            <w:pPr>
              <w:pStyle w:val="NoSpacing"/>
              <w:rPr>
                <w:rFonts w:cstheme="minorHAnsi"/>
                <w:sz w:val="21"/>
                <w:szCs w:val="21"/>
              </w:rPr>
            </w:pPr>
            <w:r w:rsidRPr="00E8190A">
              <w:rPr>
                <w:rFonts w:cstheme="minorHAnsi"/>
                <w:sz w:val="21"/>
                <w:szCs w:val="21"/>
              </w:rPr>
              <w:t>1.00 (0.14)</w:t>
            </w:r>
          </w:p>
        </w:tc>
        <w:tc>
          <w:tcPr>
            <w:tcW w:w="631" w:type="pct"/>
            <w:hideMark/>
          </w:tcPr>
          <w:p w14:paraId="19B3C6DB" w14:textId="77777777" w:rsidR="00E86E48" w:rsidRPr="00E8190A" w:rsidRDefault="00E86E48" w:rsidP="00E8190A">
            <w:pPr>
              <w:pStyle w:val="NoSpacing"/>
              <w:rPr>
                <w:rFonts w:cstheme="minorHAnsi"/>
                <w:sz w:val="21"/>
                <w:szCs w:val="21"/>
              </w:rPr>
            </w:pPr>
            <w:r w:rsidRPr="00E8190A">
              <w:rPr>
                <w:rFonts w:cstheme="minorHAnsi"/>
                <w:sz w:val="21"/>
                <w:szCs w:val="21"/>
              </w:rPr>
              <w:t>0.99 (0.15)</w:t>
            </w:r>
          </w:p>
        </w:tc>
        <w:tc>
          <w:tcPr>
            <w:tcW w:w="982" w:type="pct"/>
            <w:hideMark/>
          </w:tcPr>
          <w:p w14:paraId="20E07DD4" w14:textId="77777777" w:rsidR="00E86E48" w:rsidRPr="00E8190A" w:rsidRDefault="00E86E48" w:rsidP="00E8190A">
            <w:pPr>
              <w:pStyle w:val="NoSpacing"/>
              <w:rPr>
                <w:rFonts w:cstheme="minorHAnsi"/>
                <w:sz w:val="21"/>
                <w:szCs w:val="21"/>
              </w:rPr>
            </w:pPr>
            <w:r w:rsidRPr="00E8190A">
              <w:rPr>
                <w:rFonts w:cstheme="minorHAnsi"/>
                <w:sz w:val="21"/>
                <w:szCs w:val="21"/>
              </w:rPr>
              <w:t>1.00 (0.14)</w:t>
            </w:r>
          </w:p>
        </w:tc>
        <w:tc>
          <w:tcPr>
            <w:tcW w:w="620" w:type="pct"/>
            <w:hideMark/>
          </w:tcPr>
          <w:p w14:paraId="5F47DF51" w14:textId="77777777" w:rsidR="00E86E48" w:rsidRPr="00E8190A" w:rsidRDefault="00E86E48" w:rsidP="00E8190A">
            <w:pPr>
              <w:pStyle w:val="NoSpacing"/>
              <w:rPr>
                <w:rFonts w:cstheme="minorHAnsi"/>
                <w:sz w:val="21"/>
                <w:szCs w:val="21"/>
              </w:rPr>
            </w:pPr>
            <w:r w:rsidRPr="00E8190A">
              <w:rPr>
                <w:rFonts w:cstheme="minorHAnsi"/>
                <w:sz w:val="21"/>
                <w:szCs w:val="21"/>
              </w:rPr>
              <w:t>0.83</w:t>
            </w:r>
          </w:p>
        </w:tc>
      </w:tr>
      <w:tr w:rsidR="00746F94" w:rsidRPr="00E8190A" w14:paraId="48F1482D" w14:textId="77777777" w:rsidTr="00866D07">
        <w:tc>
          <w:tcPr>
            <w:tcW w:w="2122" w:type="pct"/>
            <w:hideMark/>
          </w:tcPr>
          <w:p w14:paraId="6BC69FF9"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Serum glucose (mg/dL)</w:t>
            </w:r>
          </w:p>
        </w:tc>
        <w:tc>
          <w:tcPr>
            <w:tcW w:w="644" w:type="pct"/>
            <w:hideMark/>
          </w:tcPr>
          <w:p w14:paraId="3DF3FD2E" w14:textId="77777777" w:rsidR="00E86E48" w:rsidRPr="00E8190A" w:rsidRDefault="00E86E48" w:rsidP="00E8190A">
            <w:pPr>
              <w:pStyle w:val="NoSpacing"/>
              <w:rPr>
                <w:rFonts w:cstheme="minorHAnsi"/>
                <w:sz w:val="21"/>
                <w:szCs w:val="21"/>
              </w:rPr>
            </w:pPr>
            <w:r w:rsidRPr="00E8190A">
              <w:rPr>
                <w:rFonts w:cstheme="minorHAnsi"/>
                <w:sz w:val="21"/>
                <w:szCs w:val="21"/>
              </w:rPr>
              <w:t>97 (16)</w:t>
            </w:r>
          </w:p>
        </w:tc>
        <w:tc>
          <w:tcPr>
            <w:tcW w:w="631" w:type="pct"/>
            <w:hideMark/>
          </w:tcPr>
          <w:p w14:paraId="5444B2F0" w14:textId="77777777" w:rsidR="00E86E48" w:rsidRPr="00E8190A" w:rsidRDefault="00E86E48" w:rsidP="00E8190A">
            <w:pPr>
              <w:pStyle w:val="NoSpacing"/>
              <w:rPr>
                <w:rFonts w:cstheme="minorHAnsi"/>
                <w:sz w:val="21"/>
                <w:szCs w:val="21"/>
              </w:rPr>
            </w:pPr>
            <w:r w:rsidRPr="00E8190A">
              <w:rPr>
                <w:rFonts w:cstheme="minorHAnsi"/>
                <w:sz w:val="21"/>
                <w:szCs w:val="21"/>
              </w:rPr>
              <w:t>101 (25)</w:t>
            </w:r>
          </w:p>
        </w:tc>
        <w:tc>
          <w:tcPr>
            <w:tcW w:w="982" w:type="pct"/>
            <w:hideMark/>
          </w:tcPr>
          <w:p w14:paraId="6A918A3C" w14:textId="77777777" w:rsidR="00E86E48" w:rsidRPr="00E8190A" w:rsidRDefault="00E86E48" w:rsidP="00E8190A">
            <w:pPr>
              <w:pStyle w:val="NoSpacing"/>
              <w:rPr>
                <w:rFonts w:cstheme="minorHAnsi"/>
                <w:sz w:val="21"/>
                <w:szCs w:val="21"/>
              </w:rPr>
            </w:pPr>
            <w:r w:rsidRPr="00E8190A">
              <w:rPr>
                <w:rFonts w:cstheme="minorHAnsi"/>
                <w:sz w:val="21"/>
                <w:szCs w:val="21"/>
              </w:rPr>
              <w:t>98 (19)</w:t>
            </w:r>
          </w:p>
        </w:tc>
        <w:tc>
          <w:tcPr>
            <w:tcW w:w="620" w:type="pct"/>
            <w:hideMark/>
          </w:tcPr>
          <w:p w14:paraId="6C7112F6" w14:textId="77777777" w:rsidR="00E86E48" w:rsidRPr="00E8190A" w:rsidRDefault="00E86E48" w:rsidP="00E8190A">
            <w:pPr>
              <w:pStyle w:val="NoSpacing"/>
              <w:rPr>
                <w:rFonts w:cstheme="minorHAnsi"/>
                <w:sz w:val="21"/>
                <w:szCs w:val="21"/>
              </w:rPr>
            </w:pPr>
            <w:r w:rsidRPr="00E8190A">
              <w:rPr>
                <w:rFonts w:cstheme="minorHAnsi"/>
                <w:sz w:val="21"/>
                <w:szCs w:val="21"/>
              </w:rPr>
              <w:t>0.66</w:t>
            </w:r>
          </w:p>
        </w:tc>
      </w:tr>
      <w:tr w:rsidR="00746F94" w:rsidRPr="00E8190A" w14:paraId="184F4F16" w14:textId="77777777" w:rsidTr="00866D07">
        <w:tc>
          <w:tcPr>
            <w:tcW w:w="2122" w:type="pct"/>
            <w:hideMark/>
          </w:tcPr>
          <w:p w14:paraId="6B6AB3E5"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Alkaline phosphatase (U/L)</w:t>
            </w:r>
          </w:p>
        </w:tc>
        <w:tc>
          <w:tcPr>
            <w:tcW w:w="644" w:type="pct"/>
            <w:hideMark/>
          </w:tcPr>
          <w:p w14:paraId="77845851" w14:textId="77777777" w:rsidR="00E86E48" w:rsidRPr="00E8190A" w:rsidRDefault="00E86E48" w:rsidP="00E8190A">
            <w:pPr>
              <w:pStyle w:val="NoSpacing"/>
              <w:rPr>
                <w:rFonts w:cstheme="minorHAnsi"/>
                <w:sz w:val="21"/>
                <w:szCs w:val="21"/>
              </w:rPr>
            </w:pPr>
            <w:r w:rsidRPr="00E8190A">
              <w:rPr>
                <w:rFonts w:cstheme="minorHAnsi"/>
                <w:sz w:val="21"/>
                <w:szCs w:val="21"/>
              </w:rPr>
              <w:t>67 (15)</w:t>
            </w:r>
          </w:p>
        </w:tc>
        <w:tc>
          <w:tcPr>
            <w:tcW w:w="631" w:type="pct"/>
            <w:hideMark/>
          </w:tcPr>
          <w:p w14:paraId="2B3D0CA5" w14:textId="77777777" w:rsidR="00E86E48" w:rsidRPr="00E8190A" w:rsidRDefault="00E86E48" w:rsidP="00E8190A">
            <w:pPr>
              <w:pStyle w:val="NoSpacing"/>
              <w:rPr>
                <w:rFonts w:cstheme="minorHAnsi"/>
                <w:sz w:val="21"/>
                <w:szCs w:val="21"/>
              </w:rPr>
            </w:pPr>
            <w:r w:rsidRPr="00E8190A">
              <w:rPr>
                <w:rFonts w:cstheme="minorHAnsi"/>
                <w:sz w:val="21"/>
                <w:szCs w:val="21"/>
              </w:rPr>
              <w:t>75 (22)</w:t>
            </w:r>
          </w:p>
        </w:tc>
        <w:tc>
          <w:tcPr>
            <w:tcW w:w="982" w:type="pct"/>
            <w:hideMark/>
          </w:tcPr>
          <w:p w14:paraId="601ADB19" w14:textId="77777777" w:rsidR="00E86E48" w:rsidRPr="00E8190A" w:rsidRDefault="00E86E48" w:rsidP="00E8190A">
            <w:pPr>
              <w:pStyle w:val="NoSpacing"/>
              <w:rPr>
                <w:rFonts w:cstheme="minorHAnsi"/>
                <w:sz w:val="21"/>
                <w:szCs w:val="21"/>
              </w:rPr>
            </w:pPr>
            <w:r w:rsidRPr="00E8190A">
              <w:rPr>
                <w:rFonts w:cstheme="minorHAnsi"/>
                <w:sz w:val="21"/>
                <w:szCs w:val="21"/>
              </w:rPr>
              <w:t>70 (18)</w:t>
            </w:r>
          </w:p>
        </w:tc>
        <w:tc>
          <w:tcPr>
            <w:tcW w:w="620" w:type="pct"/>
            <w:hideMark/>
          </w:tcPr>
          <w:p w14:paraId="01544107" w14:textId="77777777" w:rsidR="00E86E48" w:rsidRPr="00E8190A" w:rsidRDefault="00E86E48" w:rsidP="00E8190A">
            <w:pPr>
              <w:pStyle w:val="NoSpacing"/>
              <w:rPr>
                <w:rFonts w:cstheme="minorHAnsi"/>
                <w:sz w:val="21"/>
                <w:szCs w:val="21"/>
              </w:rPr>
            </w:pPr>
            <w:r w:rsidRPr="00E8190A">
              <w:rPr>
                <w:rFonts w:cstheme="minorHAnsi"/>
                <w:sz w:val="21"/>
                <w:szCs w:val="21"/>
              </w:rPr>
              <w:t>0.33</w:t>
            </w:r>
          </w:p>
        </w:tc>
      </w:tr>
      <w:tr w:rsidR="00746F94" w:rsidRPr="00E8190A" w14:paraId="24C3DC40" w14:textId="77777777" w:rsidTr="00866D07">
        <w:tc>
          <w:tcPr>
            <w:tcW w:w="2122" w:type="pct"/>
            <w:hideMark/>
          </w:tcPr>
          <w:p w14:paraId="3599B28C"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Aspartate aminotransferase (U/L)</w:t>
            </w:r>
          </w:p>
        </w:tc>
        <w:tc>
          <w:tcPr>
            <w:tcW w:w="644" w:type="pct"/>
            <w:hideMark/>
          </w:tcPr>
          <w:p w14:paraId="646362A3" w14:textId="77777777" w:rsidR="00E86E48" w:rsidRPr="00E8190A" w:rsidRDefault="00E86E48" w:rsidP="00E8190A">
            <w:pPr>
              <w:pStyle w:val="NoSpacing"/>
              <w:rPr>
                <w:rFonts w:cstheme="minorHAnsi"/>
                <w:sz w:val="21"/>
                <w:szCs w:val="21"/>
              </w:rPr>
            </w:pPr>
            <w:r w:rsidRPr="00E8190A">
              <w:rPr>
                <w:rFonts w:cstheme="minorHAnsi"/>
                <w:sz w:val="21"/>
                <w:szCs w:val="21"/>
              </w:rPr>
              <w:t>26 (8)</w:t>
            </w:r>
          </w:p>
        </w:tc>
        <w:tc>
          <w:tcPr>
            <w:tcW w:w="631" w:type="pct"/>
            <w:hideMark/>
          </w:tcPr>
          <w:p w14:paraId="53CBEB2B" w14:textId="77777777" w:rsidR="00E86E48" w:rsidRPr="00E8190A" w:rsidRDefault="00E86E48" w:rsidP="00E8190A">
            <w:pPr>
              <w:pStyle w:val="NoSpacing"/>
              <w:rPr>
                <w:rFonts w:cstheme="minorHAnsi"/>
                <w:sz w:val="21"/>
                <w:szCs w:val="21"/>
              </w:rPr>
            </w:pPr>
            <w:r w:rsidRPr="00E8190A">
              <w:rPr>
                <w:rFonts w:cstheme="minorHAnsi"/>
                <w:sz w:val="21"/>
                <w:szCs w:val="21"/>
              </w:rPr>
              <w:t>27 (4)</w:t>
            </w:r>
          </w:p>
        </w:tc>
        <w:tc>
          <w:tcPr>
            <w:tcW w:w="982" w:type="pct"/>
            <w:hideMark/>
          </w:tcPr>
          <w:p w14:paraId="5109B64C" w14:textId="77777777" w:rsidR="00E86E48" w:rsidRPr="00E8190A" w:rsidRDefault="00E86E48" w:rsidP="00E8190A">
            <w:pPr>
              <w:pStyle w:val="NoSpacing"/>
              <w:rPr>
                <w:rFonts w:cstheme="minorHAnsi"/>
                <w:sz w:val="21"/>
                <w:szCs w:val="21"/>
              </w:rPr>
            </w:pPr>
            <w:r w:rsidRPr="00E8190A">
              <w:rPr>
                <w:rFonts w:cstheme="minorHAnsi"/>
                <w:sz w:val="21"/>
                <w:szCs w:val="21"/>
              </w:rPr>
              <w:t>26 (7)</w:t>
            </w:r>
          </w:p>
        </w:tc>
        <w:tc>
          <w:tcPr>
            <w:tcW w:w="620" w:type="pct"/>
            <w:hideMark/>
          </w:tcPr>
          <w:p w14:paraId="7CA36E1A" w14:textId="77777777" w:rsidR="00E86E48" w:rsidRPr="00E8190A" w:rsidRDefault="00E86E48" w:rsidP="00E8190A">
            <w:pPr>
              <w:pStyle w:val="NoSpacing"/>
              <w:rPr>
                <w:rFonts w:cstheme="minorHAnsi"/>
                <w:sz w:val="21"/>
                <w:szCs w:val="21"/>
              </w:rPr>
            </w:pPr>
            <w:r w:rsidRPr="00E8190A">
              <w:rPr>
                <w:rFonts w:cstheme="minorHAnsi"/>
                <w:sz w:val="21"/>
                <w:szCs w:val="21"/>
              </w:rPr>
              <w:t>0.53</w:t>
            </w:r>
          </w:p>
        </w:tc>
      </w:tr>
      <w:tr w:rsidR="00746F94" w:rsidRPr="00E8190A" w14:paraId="6BB49F99" w14:textId="77777777" w:rsidTr="00866D07">
        <w:tc>
          <w:tcPr>
            <w:tcW w:w="2122" w:type="pct"/>
            <w:hideMark/>
          </w:tcPr>
          <w:p w14:paraId="08E54005"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Alanine aminotransferase (U/L)</w:t>
            </w:r>
          </w:p>
        </w:tc>
        <w:tc>
          <w:tcPr>
            <w:tcW w:w="644" w:type="pct"/>
            <w:hideMark/>
          </w:tcPr>
          <w:p w14:paraId="5DD5BF34" w14:textId="77777777" w:rsidR="00E86E48" w:rsidRPr="00E8190A" w:rsidRDefault="00E86E48" w:rsidP="00E8190A">
            <w:pPr>
              <w:pStyle w:val="NoSpacing"/>
              <w:rPr>
                <w:rFonts w:cstheme="minorHAnsi"/>
                <w:sz w:val="21"/>
                <w:szCs w:val="21"/>
              </w:rPr>
            </w:pPr>
            <w:r w:rsidRPr="00E8190A">
              <w:rPr>
                <w:rFonts w:cstheme="minorHAnsi"/>
                <w:sz w:val="21"/>
                <w:szCs w:val="21"/>
              </w:rPr>
              <w:t>25 (12)</w:t>
            </w:r>
          </w:p>
        </w:tc>
        <w:tc>
          <w:tcPr>
            <w:tcW w:w="631" w:type="pct"/>
            <w:hideMark/>
          </w:tcPr>
          <w:p w14:paraId="6C15215A" w14:textId="77777777" w:rsidR="00E86E48" w:rsidRPr="00E8190A" w:rsidRDefault="00E86E48" w:rsidP="00E8190A">
            <w:pPr>
              <w:pStyle w:val="NoSpacing"/>
              <w:rPr>
                <w:rFonts w:cstheme="minorHAnsi"/>
                <w:sz w:val="21"/>
                <w:szCs w:val="21"/>
              </w:rPr>
            </w:pPr>
            <w:r w:rsidRPr="00E8190A">
              <w:rPr>
                <w:rFonts w:cstheme="minorHAnsi"/>
                <w:sz w:val="21"/>
                <w:szCs w:val="21"/>
              </w:rPr>
              <w:t>25 (7)</w:t>
            </w:r>
          </w:p>
        </w:tc>
        <w:tc>
          <w:tcPr>
            <w:tcW w:w="982" w:type="pct"/>
            <w:hideMark/>
          </w:tcPr>
          <w:p w14:paraId="01AD7661" w14:textId="77777777" w:rsidR="00E86E48" w:rsidRPr="00E8190A" w:rsidRDefault="00E86E48" w:rsidP="00E8190A">
            <w:pPr>
              <w:pStyle w:val="NoSpacing"/>
              <w:rPr>
                <w:rFonts w:cstheme="minorHAnsi"/>
                <w:sz w:val="21"/>
                <w:szCs w:val="21"/>
              </w:rPr>
            </w:pPr>
            <w:r w:rsidRPr="00E8190A">
              <w:rPr>
                <w:rFonts w:cstheme="minorHAnsi"/>
                <w:sz w:val="21"/>
                <w:szCs w:val="21"/>
              </w:rPr>
              <w:t>25 (10)</w:t>
            </w:r>
          </w:p>
        </w:tc>
        <w:tc>
          <w:tcPr>
            <w:tcW w:w="620" w:type="pct"/>
            <w:hideMark/>
          </w:tcPr>
          <w:p w14:paraId="76A3244D" w14:textId="77777777" w:rsidR="00E86E48" w:rsidRPr="00E8190A" w:rsidRDefault="00E86E48" w:rsidP="00E8190A">
            <w:pPr>
              <w:pStyle w:val="NoSpacing"/>
              <w:rPr>
                <w:rFonts w:cstheme="minorHAnsi"/>
                <w:sz w:val="21"/>
                <w:szCs w:val="21"/>
              </w:rPr>
            </w:pPr>
            <w:r w:rsidRPr="00E8190A">
              <w:rPr>
                <w:rFonts w:cstheme="minorHAnsi"/>
                <w:sz w:val="21"/>
                <w:szCs w:val="21"/>
              </w:rPr>
              <w:t>0.97</w:t>
            </w:r>
          </w:p>
        </w:tc>
      </w:tr>
      <w:tr w:rsidR="00746F94" w:rsidRPr="00E8190A" w14:paraId="3E928400" w14:textId="77777777" w:rsidTr="00866D07">
        <w:tc>
          <w:tcPr>
            <w:tcW w:w="2122" w:type="pct"/>
            <w:hideMark/>
          </w:tcPr>
          <w:p w14:paraId="0B5BAAA5"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Serum calcium (mg/dL)</w:t>
            </w:r>
          </w:p>
        </w:tc>
        <w:tc>
          <w:tcPr>
            <w:tcW w:w="644" w:type="pct"/>
            <w:hideMark/>
          </w:tcPr>
          <w:p w14:paraId="56AE2B5F" w14:textId="77777777" w:rsidR="00E86E48" w:rsidRPr="00E8190A" w:rsidRDefault="00E86E48" w:rsidP="00E8190A">
            <w:pPr>
              <w:pStyle w:val="NoSpacing"/>
              <w:rPr>
                <w:rFonts w:cstheme="minorHAnsi"/>
                <w:sz w:val="21"/>
                <w:szCs w:val="21"/>
              </w:rPr>
            </w:pPr>
            <w:r w:rsidRPr="00E8190A">
              <w:rPr>
                <w:rFonts w:cstheme="minorHAnsi"/>
                <w:sz w:val="21"/>
                <w:szCs w:val="21"/>
              </w:rPr>
              <w:t>9.7 (0.4)</w:t>
            </w:r>
          </w:p>
        </w:tc>
        <w:tc>
          <w:tcPr>
            <w:tcW w:w="631" w:type="pct"/>
            <w:hideMark/>
          </w:tcPr>
          <w:p w14:paraId="72C2B486" w14:textId="77777777" w:rsidR="00E86E48" w:rsidRPr="00E8190A" w:rsidRDefault="00E86E48" w:rsidP="00E8190A">
            <w:pPr>
              <w:pStyle w:val="NoSpacing"/>
              <w:rPr>
                <w:rFonts w:cstheme="minorHAnsi"/>
                <w:sz w:val="21"/>
                <w:szCs w:val="21"/>
              </w:rPr>
            </w:pPr>
            <w:r w:rsidRPr="00E8190A">
              <w:rPr>
                <w:rFonts w:cstheme="minorHAnsi"/>
                <w:sz w:val="21"/>
                <w:szCs w:val="21"/>
              </w:rPr>
              <w:t>9.7 (0.5)</w:t>
            </w:r>
          </w:p>
        </w:tc>
        <w:tc>
          <w:tcPr>
            <w:tcW w:w="982" w:type="pct"/>
            <w:hideMark/>
          </w:tcPr>
          <w:p w14:paraId="329470CA" w14:textId="77777777" w:rsidR="00E86E48" w:rsidRPr="00E8190A" w:rsidRDefault="00E86E48" w:rsidP="00E8190A">
            <w:pPr>
              <w:pStyle w:val="NoSpacing"/>
              <w:rPr>
                <w:rFonts w:cstheme="minorHAnsi"/>
                <w:sz w:val="21"/>
                <w:szCs w:val="21"/>
              </w:rPr>
            </w:pPr>
            <w:r w:rsidRPr="00E8190A">
              <w:rPr>
                <w:rFonts w:cstheme="minorHAnsi"/>
                <w:sz w:val="21"/>
                <w:szCs w:val="21"/>
              </w:rPr>
              <w:t>9.7 (0.4)</w:t>
            </w:r>
          </w:p>
        </w:tc>
        <w:tc>
          <w:tcPr>
            <w:tcW w:w="620" w:type="pct"/>
            <w:hideMark/>
          </w:tcPr>
          <w:p w14:paraId="03B7D5D2" w14:textId="77777777" w:rsidR="00E86E48" w:rsidRPr="00E8190A" w:rsidRDefault="00E86E48" w:rsidP="00E8190A">
            <w:pPr>
              <w:pStyle w:val="NoSpacing"/>
              <w:rPr>
                <w:rFonts w:cstheme="minorHAnsi"/>
                <w:sz w:val="21"/>
                <w:szCs w:val="21"/>
              </w:rPr>
            </w:pPr>
            <w:r w:rsidRPr="00E8190A">
              <w:rPr>
                <w:rFonts w:cstheme="minorHAnsi"/>
                <w:sz w:val="21"/>
                <w:szCs w:val="21"/>
              </w:rPr>
              <w:t>0.93</w:t>
            </w:r>
          </w:p>
        </w:tc>
      </w:tr>
      <w:tr w:rsidR="00746F94" w:rsidRPr="00E8190A" w14:paraId="6BDA3563" w14:textId="77777777" w:rsidTr="00866D07">
        <w:tc>
          <w:tcPr>
            <w:tcW w:w="2122" w:type="pct"/>
            <w:hideMark/>
          </w:tcPr>
          <w:p w14:paraId="15DEBC02"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Serum inorganic phosphorous (mg/dL)</w:t>
            </w:r>
          </w:p>
        </w:tc>
        <w:tc>
          <w:tcPr>
            <w:tcW w:w="644" w:type="pct"/>
            <w:hideMark/>
          </w:tcPr>
          <w:p w14:paraId="1CDF618F" w14:textId="77777777" w:rsidR="00E86E48" w:rsidRPr="00E8190A" w:rsidRDefault="00E86E48" w:rsidP="00E8190A">
            <w:pPr>
              <w:pStyle w:val="NoSpacing"/>
              <w:rPr>
                <w:rFonts w:cstheme="minorHAnsi"/>
                <w:sz w:val="21"/>
                <w:szCs w:val="21"/>
              </w:rPr>
            </w:pPr>
            <w:r w:rsidRPr="00E8190A">
              <w:rPr>
                <w:rFonts w:cstheme="minorHAnsi"/>
                <w:sz w:val="21"/>
                <w:szCs w:val="21"/>
              </w:rPr>
              <w:t>3.3 (0.5)</w:t>
            </w:r>
          </w:p>
        </w:tc>
        <w:tc>
          <w:tcPr>
            <w:tcW w:w="631" w:type="pct"/>
            <w:hideMark/>
          </w:tcPr>
          <w:p w14:paraId="40AE73B4" w14:textId="77777777" w:rsidR="00E86E48" w:rsidRPr="00E8190A" w:rsidRDefault="00E86E48" w:rsidP="00E8190A">
            <w:pPr>
              <w:pStyle w:val="NoSpacing"/>
              <w:rPr>
                <w:rFonts w:cstheme="minorHAnsi"/>
                <w:sz w:val="21"/>
                <w:szCs w:val="21"/>
              </w:rPr>
            </w:pPr>
            <w:r w:rsidRPr="00E8190A">
              <w:rPr>
                <w:rFonts w:cstheme="minorHAnsi"/>
                <w:sz w:val="21"/>
                <w:szCs w:val="21"/>
              </w:rPr>
              <w:t>3.5 (0.4)</w:t>
            </w:r>
          </w:p>
        </w:tc>
        <w:tc>
          <w:tcPr>
            <w:tcW w:w="982" w:type="pct"/>
            <w:hideMark/>
          </w:tcPr>
          <w:p w14:paraId="7F99A88A" w14:textId="77777777" w:rsidR="00E86E48" w:rsidRPr="00E8190A" w:rsidRDefault="00E86E48" w:rsidP="00E8190A">
            <w:pPr>
              <w:pStyle w:val="NoSpacing"/>
              <w:rPr>
                <w:rFonts w:cstheme="minorHAnsi"/>
                <w:sz w:val="21"/>
                <w:szCs w:val="21"/>
              </w:rPr>
            </w:pPr>
            <w:r w:rsidRPr="00E8190A">
              <w:rPr>
                <w:rFonts w:cstheme="minorHAnsi"/>
                <w:sz w:val="21"/>
                <w:szCs w:val="21"/>
              </w:rPr>
              <w:t>3.4 (0.5)</w:t>
            </w:r>
          </w:p>
        </w:tc>
        <w:tc>
          <w:tcPr>
            <w:tcW w:w="620" w:type="pct"/>
            <w:hideMark/>
          </w:tcPr>
          <w:p w14:paraId="44E3A267" w14:textId="77777777" w:rsidR="00E86E48" w:rsidRPr="00E8190A" w:rsidRDefault="00E86E48" w:rsidP="00E8190A">
            <w:pPr>
              <w:pStyle w:val="NoSpacing"/>
              <w:rPr>
                <w:rFonts w:cstheme="minorHAnsi"/>
                <w:sz w:val="21"/>
                <w:szCs w:val="21"/>
              </w:rPr>
            </w:pPr>
            <w:r w:rsidRPr="00E8190A">
              <w:rPr>
                <w:rFonts w:cstheme="minorHAnsi"/>
                <w:sz w:val="21"/>
                <w:szCs w:val="21"/>
              </w:rPr>
              <w:t>0.14</w:t>
            </w:r>
          </w:p>
        </w:tc>
      </w:tr>
      <w:tr w:rsidR="00746F94" w:rsidRPr="00E8190A" w14:paraId="33ADBF12" w14:textId="77777777" w:rsidTr="00866D07">
        <w:tc>
          <w:tcPr>
            <w:tcW w:w="2122" w:type="pct"/>
            <w:hideMark/>
          </w:tcPr>
          <w:p w14:paraId="2D3F0D5A"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Serum total protein (g/dL)</w:t>
            </w:r>
          </w:p>
        </w:tc>
        <w:tc>
          <w:tcPr>
            <w:tcW w:w="644" w:type="pct"/>
            <w:hideMark/>
          </w:tcPr>
          <w:p w14:paraId="66F00F3C" w14:textId="77777777" w:rsidR="00E86E48" w:rsidRPr="00E8190A" w:rsidRDefault="00E86E48" w:rsidP="00E8190A">
            <w:pPr>
              <w:pStyle w:val="NoSpacing"/>
              <w:rPr>
                <w:rFonts w:cstheme="minorHAnsi"/>
                <w:sz w:val="21"/>
                <w:szCs w:val="21"/>
              </w:rPr>
            </w:pPr>
            <w:r w:rsidRPr="00E8190A">
              <w:rPr>
                <w:rFonts w:cstheme="minorHAnsi"/>
                <w:sz w:val="21"/>
                <w:szCs w:val="21"/>
              </w:rPr>
              <w:t>7.2 (0.4)</w:t>
            </w:r>
          </w:p>
        </w:tc>
        <w:tc>
          <w:tcPr>
            <w:tcW w:w="631" w:type="pct"/>
            <w:hideMark/>
          </w:tcPr>
          <w:p w14:paraId="22854CF6" w14:textId="77777777" w:rsidR="00E86E48" w:rsidRPr="00E8190A" w:rsidRDefault="00E86E48" w:rsidP="00E8190A">
            <w:pPr>
              <w:pStyle w:val="NoSpacing"/>
              <w:rPr>
                <w:rFonts w:cstheme="minorHAnsi"/>
                <w:sz w:val="21"/>
                <w:szCs w:val="21"/>
              </w:rPr>
            </w:pPr>
            <w:r w:rsidRPr="00E8190A">
              <w:rPr>
                <w:rFonts w:cstheme="minorHAnsi"/>
                <w:sz w:val="21"/>
                <w:szCs w:val="21"/>
              </w:rPr>
              <w:t>7.4 (0.5)</w:t>
            </w:r>
          </w:p>
        </w:tc>
        <w:tc>
          <w:tcPr>
            <w:tcW w:w="982" w:type="pct"/>
            <w:hideMark/>
          </w:tcPr>
          <w:p w14:paraId="6EE63CE0" w14:textId="77777777" w:rsidR="00E86E48" w:rsidRPr="00E8190A" w:rsidRDefault="00E86E48" w:rsidP="00E8190A">
            <w:pPr>
              <w:pStyle w:val="NoSpacing"/>
              <w:rPr>
                <w:rFonts w:cstheme="minorHAnsi"/>
                <w:sz w:val="21"/>
                <w:szCs w:val="21"/>
              </w:rPr>
            </w:pPr>
            <w:r w:rsidRPr="00E8190A">
              <w:rPr>
                <w:rFonts w:cstheme="minorHAnsi"/>
                <w:sz w:val="21"/>
                <w:szCs w:val="21"/>
              </w:rPr>
              <w:t>7.3 (0.5)</w:t>
            </w:r>
          </w:p>
        </w:tc>
        <w:tc>
          <w:tcPr>
            <w:tcW w:w="620" w:type="pct"/>
            <w:hideMark/>
          </w:tcPr>
          <w:p w14:paraId="11BA5078" w14:textId="77777777" w:rsidR="00E86E48" w:rsidRPr="00E8190A" w:rsidRDefault="00E86E48" w:rsidP="00E8190A">
            <w:pPr>
              <w:pStyle w:val="NoSpacing"/>
              <w:rPr>
                <w:rFonts w:cstheme="minorHAnsi"/>
                <w:sz w:val="21"/>
                <w:szCs w:val="21"/>
              </w:rPr>
            </w:pPr>
            <w:r w:rsidRPr="00E8190A">
              <w:rPr>
                <w:rFonts w:cstheme="minorHAnsi"/>
                <w:sz w:val="21"/>
                <w:szCs w:val="21"/>
              </w:rPr>
              <w:t>0.39</w:t>
            </w:r>
          </w:p>
        </w:tc>
      </w:tr>
      <w:tr w:rsidR="00746F94" w:rsidRPr="00E8190A" w14:paraId="7F635100" w14:textId="77777777" w:rsidTr="00866D07">
        <w:tc>
          <w:tcPr>
            <w:tcW w:w="2122" w:type="pct"/>
            <w:hideMark/>
          </w:tcPr>
          <w:p w14:paraId="2B87E736"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Serum albumin (g/dL)</w:t>
            </w:r>
          </w:p>
        </w:tc>
        <w:tc>
          <w:tcPr>
            <w:tcW w:w="644" w:type="pct"/>
            <w:hideMark/>
          </w:tcPr>
          <w:p w14:paraId="17BDDC02" w14:textId="77777777" w:rsidR="00E86E48" w:rsidRPr="00E8190A" w:rsidRDefault="00E86E48" w:rsidP="00E8190A">
            <w:pPr>
              <w:pStyle w:val="NoSpacing"/>
              <w:rPr>
                <w:rFonts w:cstheme="minorHAnsi"/>
                <w:sz w:val="21"/>
                <w:szCs w:val="21"/>
              </w:rPr>
            </w:pPr>
            <w:r w:rsidRPr="00E8190A">
              <w:rPr>
                <w:rFonts w:cstheme="minorHAnsi"/>
                <w:sz w:val="21"/>
                <w:szCs w:val="21"/>
              </w:rPr>
              <w:t>4.6 (0.3)</w:t>
            </w:r>
          </w:p>
        </w:tc>
        <w:tc>
          <w:tcPr>
            <w:tcW w:w="631" w:type="pct"/>
            <w:hideMark/>
          </w:tcPr>
          <w:p w14:paraId="69AE06F3" w14:textId="77777777" w:rsidR="00E86E48" w:rsidRPr="00E8190A" w:rsidRDefault="00E86E48" w:rsidP="00E8190A">
            <w:pPr>
              <w:pStyle w:val="NoSpacing"/>
              <w:rPr>
                <w:rFonts w:cstheme="minorHAnsi"/>
                <w:sz w:val="21"/>
                <w:szCs w:val="21"/>
              </w:rPr>
            </w:pPr>
            <w:r w:rsidRPr="00E8190A">
              <w:rPr>
                <w:rFonts w:cstheme="minorHAnsi"/>
                <w:sz w:val="21"/>
                <w:szCs w:val="21"/>
              </w:rPr>
              <w:t>4.7 (0.3)</w:t>
            </w:r>
          </w:p>
        </w:tc>
        <w:tc>
          <w:tcPr>
            <w:tcW w:w="982" w:type="pct"/>
            <w:hideMark/>
          </w:tcPr>
          <w:p w14:paraId="544D8A64" w14:textId="77777777" w:rsidR="00E86E48" w:rsidRPr="00E8190A" w:rsidRDefault="00E86E48" w:rsidP="00E8190A">
            <w:pPr>
              <w:pStyle w:val="NoSpacing"/>
              <w:rPr>
                <w:rFonts w:cstheme="minorHAnsi"/>
                <w:sz w:val="21"/>
                <w:szCs w:val="21"/>
              </w:rPr>
            </w:pPr>
            <w:r w:rsidRPr="00E8190A">
              <w:rPr>
                <w:rFonts w:cstheme="minorHAnsi"/>
                <w:sz w:val="21"/>
                <w:szCs w:val="21"/>
              </w:rPr>
              <w:t>4.6 (0.3)</w:t>
            </w:r>
          </w:p>
        </w:tc>
        <w:tc>
          <w:tcPr>
            <w:tcW w:w="620" w:type="pct"/>
            <w:hideMark/>
          </w:tcPr>
          <w:p w14:paraId="3DC310AB" w14:textId="77777777" w:rsidR="00E86E48" w:rsidRPr="00E8190A" w:rsidRDefault="00E86E48" w:rsidP="00E8190A">
            <w:pPr>
              <w:pStyle w:val="NoSpacing"/>
              <w:rPr>
                <w:rFonts w:cstheme="minorHAnsi"/>
                <w:sz w:val="21"/>
                <w:szCs w:val="21"/>
              </w:rPr>
            </w:pPr>
            <w:r w:rsidRPr="00E8190A">
              <w:rPr>
                <w:rFonts w:cstheme="minorHAnsi"/>
                <w:sz w:val="21"/>
                <w:szCs w:val="21"/>
              </w:rPr>
              <w:t>0.49</w:t>
            </w:r>
          </w:p>
        </w:tc>
      </w:tr>
      <w:tr w:rsidR="00746F94" w:rsidRPr="00E8190A" w14:paraId="6F09AFC9" w14:textId="77777777" w:rsidTr="00866D07">
        <w:tc>
          <w:tcPr>
            <w:tcW w:w="2122" w:type="pct"/>
            <w:hideMark/>
          </w:tcPr>
          <w:p w14:paraId="202767E2"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Serum total bilirubin (mg/dL)</w:t>
            </w:r>
          </w:p>
        </w:tc>
        <w:tc>
          <w:tcPr>
            <w:tcW w:w="644" w:type="pct"/>
            <w:hideMark/>
          </w:tcPr>
          <w:p w14:paraId="22C91EBF" w14:textId="77777777" w:rsidR="00E86E48" w:rsidRPr="00E8190A" w:rsidRDefault="00E86E48" w:rsidP="00E8190A">
            <w:pPr>
              <w:pStyle w:val="NoSpacing"/>
              <w:rPr>
                <w:rFonts w:cstheme="minorHAnsi"/>
                <w:sz w:val="21"/>
                <w:szCs w:val="21"/>
              </w:rPr>
            </w:pPr>
            <w:r w:rsidRPr="00E8190A">
              <w:rPr>
                <w:rFonts w:cstheme="minorHAnsi"/>
                <w:sz w:val="21"/>
                <w:szCs w:val="21"/>
              </w:rPr>
              <w:t>0.6 (0.4)</w:t>
            </w:r>
          </w:p>
        </w:tc>
        <w:tc>
          <w:tcPr>
            <w:tcW w:w="631" w:type="pct"/>
            <w:hideMark/>
          </w:tcPr>
          <w:p w14:paraId="18AD5078" w14:textId="77777777" w:rsidR="00E86E48" w:rsidRPr="00E8190A" w:rsidRDefault="00E86E48" w:rsidP="00E8190A">
            <w:pPr>
              <w:pStyle w:val="NoSpacing"/>
              <w:rPr>
                <w:rFonts w:cstheme="minorHAnsi"/>
                <w:sz w:val="21"/>
                <w:szCs w:val="21"/>
              </w:rPr>
            </w:pPr>
            <w:r w:rsidRPr="00E8190A">
              <w:rPr>
                <w:rFonts w:cstheme="minorHAnsi"/>
                <w:sz w:val="21"/>
                <w:szCs w:val="21"/>
              </w:rPr>
              <w:t>0.6 (0.3)</w:t>
            </w:r>
          </w:p>
        </w:tc>
        <w:tc>
          <w:tcPr>
            <w:tcW w:w="982" w:type="pct"/>
            <w:hideMark/>
          </w:tcPr>
          <w:p w14:paraId="4BF4BF38" w14:textId="77777777" w:rsidR="00E86E48" w:rsidRPr="00E8190A" w:rsidRDefault="00E86E48" w:rsidP="00E8190A">
            <w:pPr>
              <w:pStyle w:val="NoSpacing"/>
              <w:rPr>
                <w:rFonts w:cstheme="minorHAnsi"/>
                <w:sz w:val="21"/>
                <w:szCs w:val="21"/>
              </w:rPr>
            </w:pPr>
            <w:r w:rsidRPr="00E8190A">
              <w:rPr>
                <w:rFonts w:cstheme="minorHAnsi"/>
                <w:sz w:val="21"/>
                <w:szCs w:val="21"/>
              </w:rPr>
              <w:t>0.6 (0.3)</w:t>
            </w:r>
          </w:p>
        </w:tc>
        <w:tc>
          <w:tcPr>
            <w:tcW w:w="620" w:type="pct"/>
            <w:hideMark/>
          </w:tcPr>
          <w:p w14:paraId="0758A6F5" w14:textId="77777777" w:rsidR="00E86E48" w:rsidRPr="00E8190A" w:rsidRDefault="00E86E48" w:rsidP="00E8190A">
            <w:pPr>
              <w:pStyle w:val="NoSpacing"/>
              <w:rPr>
                <w:rFonts w:cstheme="minorHAnsi"/>
                <w:sz w:val="21"/>
                <w:szCs w:val="21"/>
              </w:rPr>
            </w:pPr>
            <w:r w:rsidRPr="00E8190A">
              <w:rPr>
                <w:rFonts w:cstheme="minorHAnsi"/>
                <w:sz w:val="21"/>
                <w:szCs w:val="21"/>
              </w:rPr>
              <w:t>0.95</w:t>
            </w:r>
          </w:p>
        </w:tc>
      </w:tr>
      <w:tr w:rsidR="00746F94" w:rsidRPr="00E8190A" w14:paraId="0D6E78F4" w14:textId="77777777" w:rsidTr="00866D07">
        <w:tc>
          <w:tcPr>
            <w:tcW w:w="2122" w:type="pct"/>
            <w:hideMark/>
          </w:tcPr>
          <w:p w14:paraId="61A9A75B"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Adult male testosterone (ng/dL)</w:t>
            </w:r>
          </w:p>
        </w:tc>
        <w:tc>
          <w:tcPr>
            <w:tcW w:w="644" w:type="pct"/>
            <w:hideMark/>
          </w:tcPr>
          <w:p w14:paraId="44863948" w14:textId="77777777" w:rsidR="00E86E48" w:rsidRPr="00E8190A" w:rsidRDefault="00E86E48" w:rsidP="00E8190A">
            <w:pPr>
              <w:pStyle w:val="NoSpacing"/>
              <w:rPr>
                <w:rFonts w:cstheme="minorHAnsi"/>
                <w:sz w:val="21"/>
                <w:szCs w:val="21"/>
              </w:rPr>
            </w:pPr>
            <w:r w:rsidRPr="00E8190A">
              <w:rPr>
                <w:rFonts w:cstheme="minorHAnsi"/>
                <w:sz w:val="21"/>
                <w:szCs w:val="21"/>
              </w:rPr>
              <w:t>520 (198)</w:t>
            </w:r>
          </w:p>
        </w:tc>
        <w:tc>
          <w:tcPr>
            <w:tcW w:w="631" w:type="pct"/>
            <w:hideMark/>
          </w:tcPr>
          <w:p w14:paraId="6C505638" w14:textId="77777777" w:rsidR="00E86E48" w:rsidRPr="00E8190A" w:rsidRDefault="00E86E48" w:rsidP="00E8190A">
            <w:pPr>
              <w:pStyle w:val="NoSpacing"/>
              <w:rPr>
                <w:rFonts w:cstheme="minorHAnsi"/>
                <w:sz w:val="21"/>
                <w:szCs w:val="21"/>
              </w:rPr>
            </w:pPr>
            <w:r w:rsidRPr="00E8190A">
              <w:rPr>
                <w:rFonts w:cstheme="minorHAnsi"/>
                <w:sz w:val="21"/>
                <w:szCs w:val="21"/>
              </w:rPr>
              <w:t>515 (202)</w:t>
            </w:r>
          </w:p>
        </w:tc>
        <w:tc>
          <w:tcPr>
            <w:tcW w:w="982" w:type="pct"/>
            <w:hideMark/>
          </w:tcPr>
          <w:p w14:paraId="6108A518" w14:textId="77777777" w:rsidR="00E86E48" w:rsidRPr="00E8190A" w:rsidRDefault="00E86E48" w:rsidP="00E8190A">
            <w:pPr>
              <w:pStyle w:val="NoSpacing"/>
              <w:rPr>
                <w:rFonts w:cstheme="minorHAnsi"/>
                <w:sz w:val="21"/>
                <w:szCs w:val="21"/>
              </w:rPr>
            </w:pPr>
            <w:r w:rsidRPr="00E8190A">
              <w:rPr>
                <w:rFonts w:cstheme="minorHAnsi"/>
                <w:sz w:val="21"/>
                <w:szCs w:val="21"/>
              </w:rPr>
              <w:t>518 (196)</w:t>
            </w:r>
          </w:p>
        </w:tc>
        <w:tc>
          <w:tcPr>
            <w:tcW w:w="620" w:type="pct"/>
            <w:hideMark/>
          </w:tcPr>
          <w:p w14:paraId="23B26236" w14:textId="77777777" w:rsidR="00E86E48" w:rsidRPr="00E8190A" w:rsidRDefault="00E86E48" w:rsidP="00E8190A">
            <w:pPr>
              <w:pStyle w:val="NoSpacing"/>
              <w:rPr>
                <w:rFonts w:cstheme="minorHAnsi"/>
                <w:sz w:val="21"/>
                <w:szCs w:val="21"/>
              </w:rPr>
            </w:pPr>
            <w:r w:rsidRPr="00E8190A">
              <w:rPr>
                <w:rFonts w:cstheme="minorHAnsi"/>
                <w:sz w:val="21"/>
                <w:szCs w:val="21"/>
              </w:rPr>
              <w:t>0.94</w:t>
            </w:r>
          </w:p>
        </w:tc>
      </w:tr>
      <w:tr w:rsidR="00746F94" w:rsidRPr="00E8190A" w14:paraId="4DA07026" w14:textId="77777777" w:rsidTr="00866D07">
        <w:tc>
          <w:tcPr>
            <w:tcW w:w="2122" w:type="pct"/>
            <w:hideMark/>
          </w:tcPr>
          <w:p w14:paraId="719A43AF" w14:textId="77777777" w:rsidR="00746F94" w:rsidRPr="00E8190A" w:rsidRDefault="00746F94" w:rsidP="00E8190A">
            <w:pPr>
              <w:pStyle w:val="NoSpacing"/>
              <w:rPr>
                <w:rFonts w:cstheme="minorHAnsi"/>
                <w:sz w:val="21"/>
                <w:szCs w:val="21"/>
              </w:rPr>
            </w:pPr>
            <w:r w:rsidRPr="00E8190A">
              <w:rPr>
                <w:rFonts w:cstheme="minorHAnsi"/>
                <w:sz w:val="21"/>
                <w:szCs w:val="21"/>
              </w:rPr>
              <w:t xml:space="preserve">Previous blood </w:t>
            </w:r>
            <w:proofErr w:type="spellStart"/>
            <w:r w:rsidRPr="00E8190A">
              <w:rPr>
                <w:rFonts w:cstheme="minorHAnsi"/>
                <w:sz w:val="21"/>
                <w:szCs w:val="21"/>
              </w:rPr>
              <w:t>donations</w:t>
            </w:r>
            <w:bookmarkStart w:id="32" w:name="btf0010"/>
            <w:r w:rsidRPr="00E8190A">
              <w:rPr>
                <w:rFonts w:cstheme="minorHAnsi"/>
                <w:sz w:val="21"/>
                <w:szCs w:val="21"/>
              </w:rPr>
              <w:fldChar w:fldCharType="begin"/>
            </w:r>
            <w:r w:rsidRPr="00E8190A">
              <w:rPr>
                <w:rFonts w:cstheme="minorHAnsi"/>
                <w:sz w:val="21"/>
                <w:szCs w:val="21"/>
              </w:rPr>
              <w:instrText xml:space="preserve"> HYPERLINK "https://www.sciencedirect.com/science/article/pii/S2352187218300585?via%3Dihub" \l "tf0010" </w:instrText>
            </w:r>
            <w:r w:rsidRPr="00E8190A">
              <w:rPr>
                <w:rFonts w:cstheme="minorHAnsi"/>
                <w:sz w:val="21"/>
                <w:szCs w:val="21"/>
              </w:rPr>
              <w:fldChar w:fldCharType="separate"/>
            </w:r>
            <w:r w:rsidRPr="00E8190A">
              <w:rPr>
                <w:rStyle w:val="Hyperlink"/>
                <w:rFonts w:cstheme="minorHAnsi"/>
                <w:color w:val="0C7DBB"/>
                <w:sz w:val="16"/>
                <w:szCs w:val="16"/>
                <w:vertAlign w:val="superscript"/>
              </w:rPr>
              <w:t>b</w:t>
            </w:r>
            <w:proofErr w:type="spellEnd"/>
            <w:r w:rsidRPr="00E8190A">
              <w:rPr>
                <w:rFonts w:cstheme="minorHAnsi"/>
                <w:sz w:val="21"/>
                <w:szCs w:val="21"/>
              </w:rPr>
              <w:fldChar w:fldCharType="end"/>
            </w:r>
          </w:p>
        </w:tc>
        <w:tc>
          <w:tcPr>
            <w:tcW w:w="644" w:type="pct"/>
          </w:tcPr>
          <w:p w14:paraId="46237F78" w14:textId="77777777" w:rsidR="00746F94" w:rsidRPr="00E8190A" w:rsidRDefault="00746F94" w:rsidP="00E8190A">
            <w:pPr>
              <w:pStyle w:val="NoSpacing"/>
              <w:rPr>
                <w:rFonts w:cstheme="minorHAnsi"/>
                <w:sz w:val="21"/>
                <w:szCs w:val="21"/>
              </w:rPr>
            </w:pPr>
          </w:p>
        </w:tc>
        <w:tc>
          <w:tcPr>
            <w:tcW w:w="631" w:type="pct"/>
          </w:tcPr>
          <w:p w14:paraId="5ADDF1D6" w14:textId="77777777" w:rsidR="00746F94" w:rsidRPr="00E8190A" w:rsidRDefault="00746F94" w:rsidP="00E8190A">
            <w:pPr>
              <w:pStyle w:val="NoSpacing"/>
              <w:rPr>
                <w:rFonts w:cstheme="minorHAnsi"/>
                <w:sz w:val="21"/>
                <w:szCs w:val="21"/>
              </w:rPr>
            </w:pPr>
          </w:p>
        </w:tc>
        <w:tc>
          <w:tcPr>
            <w:tcW w:w="982" w:type="pct"/>
          </w:tcPr>
          <w:p w14:paraId="0F939761" w14:textId="77777777" w:rsidR="00746F94" w:rsidRPr="00E8190A" w:rsidRDefault="00746F94" w:rsidP="00E8190A">
            <w:pPr>
              <w:pStyle w:val="NoSpacing"/>
              <w:rPr>
                <w:rFonts w:cstheme="minorHAnsi"/>
                <w:sz w:val="21"/>
                <w:szCs w:val="21"/>
              </w:rPr>
            </w:pPr>
          </w:p>
        </w:tc>
        <w:bookmarkEnd w:id="32"/>
        <w:tc>
          <w:tcPr>
            <w:tcW w:w="620" w:type="pct"/>
          </w:tcPr>
          <w:p w14:paraId="3516FACE" w14:textId="0A72CFCB" w:rsidR="00746F94" w:rsidRPr="00E8190A" w:rsidRDefault="00746F94" w:rsidP="00E8190A">
            <w:pPr>
              <w:pStyle w:val="NoSpacing"/>
              <w:rPr>
                <w:rFonts w:cstheme="minorHAnsi"/>
                <w:sz w:val="21"/>
                <w:szCs w:val="21"/>
              </w:rPr>
            </w:pPr>
          </w:p>
        </w:tc>
      </w:tr>
      <w:tr w:rsidR="00746F94" w:rsidRPr="00E8190A" w14:paraId="665C6C76" w14:textId="77777777" w:rsidTr="00866D07">
        <w:tc>
          <w:tcPr>
            <w:tcW w:w="2122" w:type="pct"/>
            <w:hideMark/>
          </w:tcPr>
          <w:p w14:paraId="1EFB4E4E"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Whole blood (n)</w:t>
            </w:r>
          </w:p>
        </w:tc>
        <w:tc>
          <w:tcPr>
            <w:tcW w:w="644" w:type="pct"/>
            <w:hideMark/>
          </w:tcPr>
          <w:p w14:paraId="29F7BA6A" w14:textId="77777777" w:rsidR="00E86E48" w:rsidRPr="00E8190A" w:rsidRDefault="00E86E48" w:rsidP="00E8190A">
            <w:pPr>
              <w:pStyle w:val="NoSpacing"/>
              <w:rPr>
                <w:rFonts w:cstheme="minorHAnsi"/>
                <w:sz w:val="21"/>
                <w:szCs w:val="21"/>
              </w:rPr>
            </w:pPr>
            <w:r w:rsidRPr="00E8190A">
              <w:rPr>
                <w:rFonts w:cstheme="minorHAnsi"/>
                <w:sz w:val="21"/>
                <w:szCs w:val="21"/>
              </w:rPr>
              <w:t>6</w:t>
            </w:r>
          </w:p>
        </w:tc>
        <w:tc>
          <w:tcPr>
            <w:tcW w:w="631" w:type="pct"/>
            <w:hideMark/>
          </w:tcPr>
          <w:p w14:paraId="1FB73134" w14:textId="77777777" w:rsidR="00E86E48" w:rsidRPr="00E8190A" w:rsidRDefault="00E86E48" w:rsidP="00E8190A">
            <w:pPr>
              <w:pStyle w:val="NoSpacing"/>
              <w:rPr>
                <w:rFonts w:cstheme="minorHAnsi"/>
                <w:sz w:val="21"/>
                <w:szCs w:val="21"/>
              </w:rPr>
            </w:pPr>
            <w:r w:rsidRPr="00E8190A">
              <w:rPr>
                <w:rFonts w:cstheme="minorHAnsi"/>
                <w:sz w:val="21"/>
                <w:szCs w:val="21"/>
              </w:rPr>
              <w:t>4</w:t>
            </w:r>
          </w:p>
        </w:tc>
        <w:tc>
          <w:tcPr>
            <w:tcW w:w="982" w:type="pct"/>
            <w:hideMark/>
          </w:tcPr>
          <w:p w14:paraId="51E75050" w14:textId="77777777" w:rsidR="00E86E48" w:rsidRPr="00E8190A" w:rsidRDefault="00E86E48" w:rsidP="00E8190A">
            <w:pPr>
              <w:pStyle w:val="NoSpacing"/>
              <w:rPr>
                <w:rFonts w:cstheme="minorHAnsi"/>
                <w:sz w:val="21"/>
                <w:szCs w:val="21"/>
              </w:rPr>
            </w:pPr>
            <w:r w:rsidRPr="00E8190A">
              <w:rPr>
                <w:rFonts w:cstheme="minorHAnsi"/>
                <w:sz w:val="21"/>
                <w:szCs w:val="21"/>
              </w:rPr>
              <w:t>5</w:t>
            </w:r>
          </w:p>
        </w:tc>
        <w:tc>
          <w:tcPr>
            <w:tcW w:w="620" w:type="pct"/>
            <w:hideMark/>
          </w:tcPr>
          <w:p w14:paraId="3200DE49" w14:textId="77777777" w:rsidR="00E86E48" w:rsidRPr="00E8190A" w:rsidRDefault="00E86E48" w:rsidP="00E8190A">
            <w:pPr>
              <w:pStyle w:val="NoSpacing"/>
              <w:rPr>
                <w:rFonts w:cstheme="minorHAnsi"/>
                <w:sz w:val="21"/>
                <w:szCs w:val="21"/>
              </w:rPr>
            </w:pPr>
            <w:r w:rsidRPr="00E8190A">
              <w:rPr>
                <w:rFonts w:cstheme="minorHAnsi"/>
                <w:sz w:val="21"/>
                <w:szCs w:val="21"/>
              </w:rPr>
              <w:t>0.73</w:t>
            </w:r>
          </w:p>
        </w:tc>
      </w:tr>
      <w:tr w:rsidR="00746F94" w:rsidRPr="00E8190A" w14:paraId="342AB5A2" w14:textId="77777777" w:rsidTr="00866D07">
        <w:tc>
          <w:tcPr>
            <w:tcW w:w="2122" w:type="pct"/>
            <w:hideMark/>
          </w:tcPr>
          <w:p w14:paraId="02B9D1D3"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Apheresis (n)</w:t>
            </w:r>
          </w:p>
        </w:tc>
        <w:tc>
          <w:tcPr>
            <w:tcW w:w="644" w:type="pct"/>
            <w:hideMark/>
          </w:tcPr>
          <w:p w14:paraId="2DB32ECC" w14:textId="77777777" w:rsidR="00E86E48" w:rsidRPr="00E8190A" w:rsidRDefault="00E86E48" w:rsidP="00E8190A">
            <w:pPr>
              <w:pStyle w:val="NoSpacing"/>
              <w:rPr>
                <w:rFonts w:cstheme="minorHAnsi"/>
                <w:sz w:val="21"/>
                <w:szCs w:val="21"/>
              </w:rPr>
            </w:pPr>
            <w:r w:rsidRPr="00E8190A">
              <w:rPr>
                <w:rFonts w:cstheme="minorHAnsi"/>
                <w:sz w:val="21"/>
                <w:szCs w:val="21"/>
              </w:rPr>
              <w:t>3</w:t>
            </w:r>
          </w:p>
        </w:tc>
        <w:tc>
          <w:tcPr>
            <w:tcW w:w="631" w:type="pct"/>
            <w:hideMark/>
          </w:tcPr>
          <w:p w14:paraId="4E1702DB" w14:textId="77777777" w:rsidR="00E86E48" w:rsidRPr="00E8190A" w:rsidRDefault="00E86E48" w:rsidP="00E8190A">
            <w:pPr>
              <w:pStyle w:val="NoSpacing"/>
              <w:rPr>
                <w:rFonts w:cstheme="minorHAnsi"/>
                <w:sz w:val="21"/>
                <w:szCs w:val="21"/>
              </w:rPr>
            </w:pPr>
            <w:r w:rsidRPr="00E8190A">
              <w:rPr>
                <w:rFonts w:cstheme="minorHAnsi"/>
                <w:sz w:val="21"/>
                <w:szCs w:val="21"/>
              </w:rPr>
              <w:t>3</w:t>
            </w:r>
          </w:p>
        </w:tc>
        <w:tc>
          <w:tcPr>
            <w:tcW w:w="982" w:type="pct"/>
            <w:hideMark/>
          </w:tcPr>
          <w:p w14:paraId="63D5659F" w14:textId="77777777" w:rsidR="00E86E48" w:rsidRPr="00E8190A" w:rsidRDefault="00E86E48" w:rsidP="00E8190A">
            <w:pPr>
              <w:pStyle w:val="NoSpacing"/>
              <w:rPr>
                <w:rFonts w:cstheme="minorHAnsi"/>
                <w:sz w:val="21"/>
                <w:szCs w:val="21"/>
              </w:rPr>
            </w:pPr>
            <w:r w:rsidRPr="00E8190A">
              <w:rPr>
                <w:rFonts w:cstheme="minorHAnsi"/>
                <w:sz w:val="21"/>
                <w:szCs w:val="21"/>
              </w:rPr>
              <w:t>3</w:t>
            </w:r>
          </w:p>
        </w:tc>
        <w:tc>
          <w:tcPr>
            <w:tcW w:w="620" w:type="pct"/>
            <w:hideMark/>
          </w:tcPr>
          <w:p w14:paraId="0CA86B58" w14:textId="77777777" w:rsidR="00E86E48" w:rsidRPr="00E8190A" w:rsidRDefault="00E86E48" w:rsidP="00E8190A">
            <w:pPr>
              <w:pStyle w:val="NoSpacing"/>
              <w:rPr>
                <w:rFonts w:cstheme="minorHAnsi"/>
                <w:sz w:val="21"/>
                <w:szCs w:val="21"/>
              </w:rPr>
            </w:pPr>
            <w:r w:rsidRPr="00E8190A">
              <w:rPr>
                <w:rFonts w:cstheme="minorHAnsi"/>
                <w:sz w:val="21"/>
                <w:szCs w:val="21"/>
              </w:rPr>
              <w:t>0.49</w:t>
            </w:r>
          </w:p>
        </w:tc>
      </w:tr>
      <w:tr w:rsidR="00B05A65" w:rsidRPr="00E8190A" w14:paraId="35490FAC" w14:textId="77777777" w:rsidTr="00866D07">
        <w:tc>
          <w:tcPr>
            <w:tcW w:w="2122" w:type="pct"/>
            <w:hideMark/>
          </w:tcPr>
          <w:p w14:paraId="016624AE" w14:textId="77777777" w:rsidR="00B05A65" w:rsidRPr="00E8190A" w:rsidRDefault="00B05A65" w:rsidP="00E8190A">
            <w:pPr>
              <w:pStyle w:val="NoSpacing"/>
              <w:rPr>
                <w:rFonts w:cstheme="minorHAnsi"/>
                <w:sz w:val="21"/>
                <w:szCs w:val="21"/>
              </w:rPr>
            </w:pPr>
            <w:r w:rsidRPr="00E8190A">
              <w:rPr>
                <w:rFonts w:cstheme="minorHAnsi"/>
                <w:sz w:val="21"/>
                <w:szCs w:val="21"/>
              </w:rPr>
              <w:t xml:space="preserve">Bone </w:t>
            </w:r>
            <w:proofErr w:type="spellStart"/>
            <w:r w:rsidRPr="00E8190A">
              <w:rPr>
                <w:rFonts w:cstheme="minorHAnsi"/>
                <w:sz w:val="21"/>
                <w:szCs w:val="21"/>
              </w:rPr>
              <w:t>density</w:t>
            </w:r>
            <w:hyperlink r:id="rId84" w:anchor="tf0005" w:history="1">
              <w:r w:rsidRPr="00E8190A">
                <w:rPr>
                  <w:rStyle w:val="Hyperlink"/>
                  <w:rFonts w:cstheme="minorHAnsi"/>
                  <w:color w:val="0C7DBB"/>
                  <w:sz w:val="16"/>
                  <w:szCs w:val="16"/>
                  <w:vertAlign w:val="superscript"/>
                </w:rPr>
                <w:t>a</w:t>
              </w:r>
              <w:proofErr w:type="spellEnd"/>
            </w:hyperlink>
          </w:p>
        </w:tc>
        <w:tc>
          <w:tcPr>
            <w:tcW w:w="644" w:type="pct"/>
          </w:tcPr>
          <w:p w14:paraId="4699E3FA" w14:textId="77777777" w:rsidR="00B05A65" w:rsidRPr="00E8190A" w:rsidRDefault="00B05A65" w:rsidP="00E8190A">
            <w:pPr>
              <w:pStyle w:val="NoSpacing"/>
              <w:rPr>
                <w:rFonts w:cstheme="minorHAnsi"/>
                <w:sz w:val="21"/>
                <w:szCs w:val="21"/>
              </w:rPr>
            </w:pPr>
          </w:p>
        </w:tc>
        <w:tc>
          <w:tcPr>
            <w:tcW w:w="631" w:type="pct"/>
          </w:tcPr>
          <w:p w14:paraId="470C8134" w14:textId="3251A650" w:rsidR="00B05A65" w:rsidRPr="00E8190A" w:rsidRDefault="00B05A65" w:rsidP="00E8190A">
            <w:pPr>
              <w:pStyle w:val="NoSpacing"/>
              <w:rPr>
                <w:rFonts w:cstheme="minorHAnsi"/>
                <w:sz w:val="21"/>
                <w:szCs w:val="21"/>
              </w:rPr>
            </w:pPr>
          </w:p>
        </w:tc>
        <w:tc>
          <w:tcPr>
            <w:tcW w:w="982" w:type="pct"/>
          </w:tcPr>
          <w:p w14:paraId="45C57597" w14:textId="77777777" w:rsidR="00B05A65" w:rsidRPr="00E8190A" w:rsidRDefault="00B05A65" w:rsidP="00E8190A">
            <w:pPr>
              <w:pStyle w:val="NoSpacing"/>
              <w:rPr>
                <w:rFonts w:cstheme="minorHAnsi"/>
                <w:sz w:val="21"/>
                <w:szCs w:val="21"/>
              </w:rPr>
            </w:pPr>
          </w:p>
        </w:tc>
        <w:tc>
          <w:tcPr>
            <w:tcW w:w="620" w:type="pct"/>
          </w:tcPr>
          <w:p w14:paraId="2AE88528" w14:textId="7F340A60" w:rsidR="00B05A65" w:rsidRPr="00E8190A" w:rsidRDefault="00B05A65" w:rsidP="00E8190A">
            <w:pPr>
              <w:pStyle w:val="NoSpacing"/>
              <w:rPr>
                <w:rFonts w:cstheme="minorHAnsi"/>
                <w:sz w:val="21"/>
                <w:szCs w:val="21"/>
              </w:rPr>
            </w:pPr>
          </w:p>
        </w:tc>
      </w:tr>
      <w:bookmarkEnd w:id="31"/>
      <w:tr w:rsidR="00746F94" w:rsidRPr="00E8190A" w14:paraId="42CDC395" w14:textId="77777777" w:rsidTr="00866D07">
        <w:tc>
          <w:tcPr>
            <w:tcW w:w="2122" w:type="pct"/>
            <w:hideMark/>
          </w:tcPr>
          <w:p w14:paraId="4EEB0B0B"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Lumbar spine (g/cm</w:t>
            </w:r>
            <w:r w:rsidRPr="00E8190A">
              <w:rPr>
                <w:rFonts w:cstheme="minorHAnsi"/>
                <w:b/>
                <w:bCs/>
                <w:sz w:val="16"/>
                <w:szCs w:val="16"/>
                <w:vertAlign w:val="superscript"/>
              </w:rPr>
              <w:t>2</w:t>
            </w:r>
            <w:r w:rsidRPr="00E8190A">
              <w:rPr>
                <w:rFonts w:cstheme="minorHAnsi"/>
                <w:b/>
                <w:bCs/>
                <w:sz w:val="21"/>
                <w:szCs w:val="21"/>
              </w:rPr>
              <w:t>)</w:t>
            </w:r>
          </w:p>
        </w:tc>
        <w:tc>
          <w:tcPr>
            <w:tcW w:w="644" w:type="pct"/>
            <w:hideMark/>
          </w:tcPr>
          <w:p w14:paraId="2A13871E" w14:textId="77777777" w:rsidR="00E86E48" w:rsidRPr="00E8190A" w:rsidRDefault="00E86E48" w:rsidP="00E8190A">
            <w:pPr>
              <w:pStyle w:val="NoSpacing"/>
              <w:rPr>
                <w:rFonts w:cstheme="minorHAnsi"/>
                <w:sz w:val="21"/>
                <w:szCs w:val="21"/>
              </w:rPr>
            </w:pPr>
            <w:r w:rsidRPr="00E8190A">
              <w:rPr>
                <w:rFonts w:cstheme="minorHAnsi"/>
                <w:sz w:val="21"/>
                <w:szCs w:val="21"/>
              </w:rPr>
              <w:t>1.214 (0.130)</w:t>
            </w:r>
          </w:p>
        </w:tc>
        <w:tc>
          <w:tcPr>
            <w:tcW w:w="631" w:type="pct"/>
            <w:hideMark/>
          </w:tcPr>
          <w:p w14:paraId="4A334B16" w14:textId="77777777" w:rsidR="00E86E48" w:rsidRPr="00E8190A" w:rsidRDefault="00E86E48" w:rsidP="00E8190A">
            <w:pPr>
              <w:pStyle w:val="NoSpacing"/>
              <w:rPr>
                <w:rFonts w:cstheme="minorHAnsi"/>
                <w:sz w:val="21"/>
                <w:szCs w:val="21"/>
              </w:rPr>
            </w:pPr>
            <w:r w:rsidRPr="00E8190A">
              <w:rPr>
                <w:rFonts w:cstheme="minorHAnsi"/>
                <w:sz w:val="21"/>
                <w:szCs w:val="21"/>
              </w:rPr>
              <w:t>1.168 (0.120)</w:t>
            </w:r>
          </w:p>
        </w:tc>
        <w:tc>
          <w:tcPr>
            <w:tcW w:w="982" w:type="pct"/>
            <w:hideMark/>
          </w:tcPr>
          <w:p w14:paraId="2CD465E2" w14:textId="77777777" w:rsidR="00E86E48" w:rsidRPr="00E8190A" w:rsidRDefault="00E86E48" w:rsidP="00E8190A">
            <w:pPr>
              <w:pStyle w:val="NoSpacing"/>
              <w:rPr>
                <w:rFonts w:cstheme="minorHAnsi"/>
                <w:sz w:val="21"/>
                <w:szCs w:val="21"/>
              </w:rPr>
            </w:pPr>
            <w:r w:rsidRPr="00E8190A">
              <w:rPr>
                <w:rFonts w:cstheme="minorHAnsi"/>
                <w:sz w:val="21"/>
                <w:szCs w:val="21"/>
              </w:rPr>
              <w:t>1.197 (0.127)</w:t>
            </w:r>
          </w:p>
        </w:tc>
        <w:tc>
          <w:tcPr>
            <w:tcW w:w="620" w:type="pct"/>
            <w:hideMark/>
          </w:tcPr>
          <w:p w14:paraId="6B554F3D" w14:textId="77777777" w:rsidR="00E86E48" w:rsidRPr="00E8190A" w:rsidRDefault="00E86E48" w:rsidP="00E8190A">
            <w:pPr>
              <w:pStyle w:val="NoSpacing"/>
              <w:rPr>
                <w:rFonts w:cstheme="minorHAnsi"/>
                <w:sz w:val="21"/>
                <w:szCs w:val="21"/>
              </w:rPr>
            </w:pPr>
            <w:r w:rsidRPr="00E8190A">
              <w:rPr>
                <w:rFonts w:cstheme="minorHAnsi"/>
                <w:sz w:val="21"/>
                <w:szCs w:val="21"/>
              </w:rPr>
              <w:t>0.26</w:t>
            </w:r>
          </w:p>
        </w:tc>
      </w:tr>
      <w:tr w:rsidR="00746F94" w:rsidRPr="00E8190A" w14:paraId="51D25AF0" w14:textId="77777777" w:rsidTr="00866D07">
        <w:tc>
          <w:tcPr>
            <w:tcW w:w="2122" w:type="pct"/>
            <w:hideMark/>
          </w:tcPr>
          <w:p w14:paraId="6AD4FEAC" w14:textId="77777777" w:rsidR="00E86E48" w:rsidRPr="00E8190A" w:rsidRDefault="00E86E48" w:rsidP="00E8190A">
            <w:pPr>
              <w:pStyle w:val="NoSpacing"/>
              <w:rPr>
                <w:rFonts w:cstheme="minorHAnsi"/>
                <w:b/>
                <w:bCs/>
                <w:sz w:val="21"/>
                <w:szCs w:val="21"/>
              </w:rPr>
            </w:pPr>
            <w:r w:rsidRPr="00E8190A">
              <w:rPr>
                <w:rFonts w:cstheme="minorHAnsi"/>
                <w:b/>
                <w:bCs/>
                <w:sz w:val="21"/>
                <w:szCs w:val="21"/>
              </w:rPr>
              <w:t>Total hip (g/cm</w:t>
            </w:r>
            <w:r w:rsidRPr="00E8190A">
              <w:rPr>
                <w:rFonts w:cstheme="minorHAnsi"/>
                <w:b/>
                <w:bCs/>
                <w:sz w:val="16"/>
                <w:szCs w:val="16"/>
                <w:vertAlign w:val="superscript"/>
              </w:rPr>
              <w:t>2</w:t>
            </w:r>
            <w:r w:rsidRPr="00E8190A">
              <w:rPr>
                <w:rFonts w:cstheme="minorHAnsi"/>
                <w:b/>
                <w:bCs/>
                <w:sz w:val="21"/>
                <w:szCs w:val="21"/>
              </w:rPr>
              <w:t>)</w:t>
            </w:r>
          </w:p>
        </w:tc>
        <w:tc>
          <w:tcPr>
            <w:tcW w:w="644" w:type="pct"/>
            <w:hideMark/>
          </w:tcPr>
          <w:p w14:paraId="083AFAA2" w14:textId="77777777" w:rsidR="00E86E48" w:rsidRPr="00E8190A" w:rsidRDefault="00E86E48" w:rsidP="00E8190A">
            <w:pPr>
              <w:pStyle w:val="NoSpacing"/>
              <w:rPr>
                <w:rFonts w:cstheme="minorHAnsi"/>
                <w:sz w:val="21"/>
                <w:szCs w:val="21"/>
              </w:rPr>
            </w:pPr>
            <w:r w:rsidRPr="00E8190A">
              <w:rPr>
                <w:rFonts w:cstheme="minorHAnsi"/>
                <w:sz w:val="21"/>
                <w:szCs w:val="21"/>
              </w:rPr>
              <w:t>1.133 (0.149)</w:t>
            </w:r>
          </w:p>
        </w:tc>
        <w:tc>
          <w:tcPr>
            <w:tcW w:w="631" w:type="pct"/>
            <w:hideMark/>
          </w:tcPr>
          <w:p w14:paraId="59ADCCED" w14:textId="77777777" w:rsidR="00E86E48" w:rsidRPr="00E8190A" w:rsidRDefault="00E86E48" w:rsidP="00E8190A">
            <w:pPr>
              <w:pStyle w:val="NoSpacing"/>
              <w:rPr>
                <w:rFonts w:cstheme="minorHAnsi"/>
                <w:sz w:val="21"/>
                <w:szCs w:val="21"/>
              </w:rPr>
            </w:pPr>
            <w:r w:rsidRPr="00E8190A">
              <w:rPr>
                <w:rFonts w:cstheme="minorHAnsi"/>
                <w:sz w:val="21"/>
                <w:szCs w:val="21"/>
              </w:rPr>
              <w:t>1.026 (0.140)</w:t>
            </w:r>
          </w:p>
        </w:tc>
        <w:tc>
          <w:tcPr>
            <w:tcW w:w="982" w:type="pct"/>
            <w:hideMark/>
          </w:tcPr>
          <w:p w14:paraId="7B9B8326" w14:textId="77777777" w:rsidR="00E86E48" w:rsidRPr="00E8190A" w:rsidRDefault="00E86E48" w:rsidP="00E8190A">
            <w:pPr>
              <w:pStyle w:val="NoSpacing"/>
              <w:rPr>
                <w:rFonts w:cstheme="minorHAnsi"/>
                <w:sz w:val="21"/>
                <w:szCs w:val="21"/>
              </w:rPr>
            </w:pPr>
            <w:r w:rsidRPr="00E8190A">
              <w:rPr>
                <w:rFonts w:cstheme="minorHAnsi"/>
                <w:sz w:val="21"/>
                <w:szCs w:val="21"/>
              </w:rPr>
              <w:t>1.094 (0.153)</w:t>
            </w:r>
          </w:p>
        </w:tc>
        <w:tc>
          <w:tcPr>
            <w:tcW w:w="620" w:type="pct"/>
            <w:hideMark/>
          </w:tcPr>
          <w:p w14:paraId="18034DF4" w14:textId="77777777" w:rsidR="00E86E48" w:rsidRPr="00E8190A" w:rsidRDefault="00E86E48" w:rsidP="00E8190A">
            <w:pPr>
              <w:pStyle w:val="NoSpacing"/>
              <w:rPr>
                <w:rFonts w:cstheme="minorHAnsi"/>
                <w:sz w:val="21"/>
                <w:szCs w:val="21"/>
              </w:rPr>
            </w:pPr>
            <w:r w:rsidRPr="00E8190A">
              <w:rPr>
                <w:rFonts w:cstheme="minorHAnsi"/>
                <w:sz w:val="21"/>
                <w:szCs w:val="21"/>
              </w:rPr>
              <w:t>0.03</w:t>
            </w:r>
          </w:p>
        </w:tc>
      </w:tr>
    </w:tbl>
    <w:p w14:paraId="6BE04FE9" w14:textId="1449874B" w:rsidR="00E86E48" w:rsidRPr="00E8190A" w:rsidRDefault="00E86E48" w:rsidP="00A704D4">
      <w:pPr>
        <w:pStyle w:val="NoSpacing"/>
        <w:rPr>
          <w:rFonts w:cstheme="minorHAnsi"/>
        </w:rPr>
      </w:pPr>
      <w:proofErr w:type="spellStart"/>
      <w:r w:rsidRPr="00E8190A">
        <w:rPr>
          <w:rFonts w:cstheme="minorHAnsi"/>
        </w:rPr>
        <w:t>aMean</w:t>
      </w:r>
      <w:proofErr w:type="spellEnd"/>
      <w:r w:rsidRPr="00E8190A">
        <w:rPr>
          <w:rFonts w:cstheme="minorHAnsi"/>
        </w:rPr>
        <w:t xml:space="preserve"> (SD).</w:t>
      </w:r>
    </w:p>
    <w:p w14:paraId="545E1B33" w14:textId="63D7FD5E" w:rsidR="00E86E48" w:rsidRPr="00E8190A" w:rsidRDefault="00E86E48" w:rsidP="00A704D4">
      <w:pPr>
        <w:pStyle w:val="NoSpacing"/>
        <w:rPr>
          <w:rFonts w:cstheme="minorHAnsi"/>
        </w:rPr>
      </w:pPr>
      <w:proofErr w:type="spellStart"/>
      <w:r w:rsidRPr="00E8190A">
        <w:rPr>
          <w:rFonts w:cstheme="minorHAnsi"/>
        </w:rPr>
        <w:lastRenderedPageBreak/>
        <w:t>bMedian</w:t>
      </w:r>
      <w:proofErr w:type="spellEnd"/>
      <w:r w:rsidRPr="00E8190A">
        <w:rPr>
          <w:rFonts w:cstheme="minorHAnsi"/>
        </w:rPr>
        <w:t>.</w:t>
      </w:r>
    </w:p>
    <w:p w14:paraId="701FF708" w14:textId="77777777" w:rsidR="00E8190A" w:rsidRPr="00E8190A" w:rsidRDefault="00E8190A" w:rsidP="00A704D4">
      <w:pPr>
        <w:pStyle w:val="NoSpacing"/>
        <w:rPr>
          <w:rFonts w:cstheme="minorHAnsi"/>
        </w:rPr>
      </w:pPr>
    </w:p>
    <w:p w14:paraId="39465649" w14:textId="77777777" w:rsidR="00E86E48" w:rsidRPr="00E8190A" w:rsidRDefault="00E86E48" w:rsidP="00A704D4">
      <w:pPr>
        <w:pStyle w:val="Heading2"/>
        <w:rPr>
          <w:rFonts w:asciiTheme="minorHAnsi" w:hAnsiTheme="minorHAnsi" w:cstheme="minorHAnsi"/>
          <w:sz w:val="27"/>
          <w:szCs w:val="27"/>
        </w:rPr>
      </w:pPr>
      <w:r w:rsidRPr="00E8190A">
        <w:rPr>
          <w:rFonts w:asciiTheme="minorHAnsi" w:hAnsiTheme="minorHAnsi" w:cstheme="minorHAnsi"/>
        </w:rPr>
        <w:t>3.2. Follow-up</w:t>
      </w:r>
    </w:p>
    <w:p w14:paraId="5A68F16E" w14:textId="77777777" w:rsidR="00E86E48" w:rsidRPr="00E8190A" w:rsidRDefault="00E86E48" w:rsidP="00A704D4">
      <w:pPr>
        <w:rPr>
          <w:rFonts w:cstheme="minorHAnsi"/>
        </w:rPr>
      </w:pPr>
      <w:r w:rsidRPr="00E8190A">
        <w:rPr>
          <w:rFonts w:cstheme="minorHAnsi"/>
        </w:rPr>
        <w:t>ALTRUYST donors made a total of 534 combined blood donations during the one year study period (</w:t>
      </w:r>
      <w:bookmarkStart w:id="33" w:name="bf0010"/>
      <w:r w:rsidRPr="00E8190A">
        <w:rPr>
          <w:rFonts w:cstheme="minorHAnsi"/>
        </w:rPr>
        <w:fldChar w:fldCharType="begin"/>
      </w:r>
      <w:r w:rsidRPr="00E8190A">
        <w:rPr>
          <w:rFonts w:cstheme="minorHAnsi"/>
        </w:rPr>
        <w:instrText xml:space="preserve"> HYPERLINK "https://www.sciencedirect.com/science/article/pii/S2352187218300585?via%3Dihub" \l "f0010" </w:instrText>
      </w:r>
      <w:r w:rsidRPr="00E8190A">
        <w:rPr>
          <w:rFonts w:cstheme="minorHAnsi"/>
        </w:rPr>
        <w:fldChar w:fldCharType="separate"/>
      </w:r>
      <w:r w:rsidRPr="00E8190A">
        <w:rPr>
          <w:rStyle w:val="Hyperlink"/>
          <w:rFonts w:eastAsiaTheme="majorEastAsia" w:cstheme="minorHAnsi"/>
          <w:color w:val="0C7DBB"/>
          <w:sz w:val="27"/>
          <w:szCs w:val="27"/>
        </w:rPr>
        <w:t>Fig. 2</w:t>
      </w:r>
      <w:r w:rsidRPr="00E8190A">
        <w:rPr>
          <w:rFonts w:cstheme="minorHAnsi"/>
        </w:rPr>
        <w:fldChar w:fldCharType="end"/>
      </w:r>
      <w:r w:rsidRPr="00E8190A">
        <w:rPr>
          <w:rFonts w:cstheme="minorHAnsi"/>
        </w:rPr>
        <w:t>). Approximately 20% of subjects from the apheresis arm were not available at follow-up: two subjects voluntarily withdrew from the study (6%) and four subjects were lost to follow-up (11%). All 15 (100%) donors randomized to the control arm complied with the protocol (three made zero whole blood donations, </w:t>
      </w:r>
      <w:hyperlink r:id="rId85" w:anchor="f0010" w:history="1">
        <w:r w:rsidRPr="00E8190A">
          <w:rPr>
            <w:rStyle w:val="Hyperlink"/>
            <w:rFonts w:eastAsiaTheme="majorEastAsia" w:cstheme="minorHAnsi"/>
            <w:color w:val="0C7DBB"/>
            <w:sz w:val="27"/>
            <w:szCs w:val="27"/>
          </w:rPr>
          <w:t>Fig. 2</w:t>
        </w:r>
      </w:hyperlink>
      <w:bookmarkEnd w:id="33"/>
      <w:r w:rsidRPr="00E8190A">
        <w:rPr>
          <w:rFonts w:cstheme="minorHAnsi"/>
        </w:rPr>
        <w:t>), whereas five (19%) apheresis donors did not achieve a minimum of 20 apheresis donations (</w:t>
      </w:r>
      <w:hyperlink r:id="rId86" w:anchor="f0005" w:history="1">
        <w:r w:rsidRPr="00E8190A">
          <w:rPr>
            <w:rStyle w:val="Hyperlink"/>
            <w:rFonts w:eastAsiaTheme="majorEastAsia" w:cstheme="minorHAnsi"/>
            <w:color w:val="0C7DBB"/>
            <w:sz w:val="27"/>
            <w:szCs w:val="27"/>
          </w:rPr>
          <w:t>Fig. 1</w:t>
        </w:r>
      </w:hyperlink>
      <w:bookmarkEnd w:id="28"/>
      <w:r w:rsidRPr="00E8190A">
        <w:rPr>
          <w:rFonts w:cstheme="minorHAnsi"/>
        </w:rPr>
        <w:t>, “Did not Comply”). The most common apheresis donation type was a double platelet donation with mean interval between donations of 17.8 days (</w:t>
      </w:r>
      <w:bookmarkStart w:id="34" w:name="bt0010"/>
      <w:r w:rsidRPr="00E8190A">
        <w:rPr>
          <w:rFonts w:cstheme="minorHAnsi"/>
        </w:rPr>
        <w:fldChar w:fldCharType="begin"/>
      </w:r>
      <w:r w:rsidRPr="00E8190A">
        <w:rPr>
          <w:rFonts w:cstheme="minorHAnsi"/>
        </w:rPr>
        <w:instrText xml:space="preserve"> HYPERLINK "https://www.sciencedirect.com/science/article/pii/S2352187218300585?via%3Dihub" \l "t0010" </w:instrText>
      </w:r>
      <w:r w:rsidRPr="00E8190A">
        <w:rPr>
          <w:rFonts w:cstheme="minorHAnsi"/>
        </w:rPr>
        <w:fldChar w:fldCharType="separate"/>
      </w:r>
      <w:r w:rsidRPr="00E8190A">
        <w:rPr>
          <w:rStyle w:val="Hyperlink"/>
          <w:rFonts w:eastAsiaTheme="majorEastAsia" w:cstheme="minorHAnsi"/>
          <w:color w:val="0C7DBB"/>
          <w:sz w:val="27"/>
          <w:szCs w:val="27"/>
        </w:rPr>
        <w:t>Table 2</w:t>
      </w:r>
      <w:r w:rsidRPr="00E8190A">
        <w:rPr>
          <w:rFonts w:cstheme="minorHAnsi"/>
        </w:rPr>
        <w:fldChar w:fldCharType="end"/>
      </w:r>
      <w:r w:rsidRPr="00E8190A">
        <w:rPr>
          <w:rFonts w:cstheme="minorHAnsi"/>
        </w:rPr>
        <w:t>). Donors in the apheresis arm experienced a median of 20 apheresis blood donations during the one year study period with the amount of </w:t>
      </w:r>
      <w:hyperlink r:id="rId87" w:tooltip="Learn more about Citrate from ScienceDirect's AI-generated Topic Pages" w:history="1">
        <w:r w:rsidRPr="00E8190A">
          <w:rPr>
            <w:rStyle w:val="Hyperlink"/>
            <w:rFonts w:eastAsiaTheme="majorEastAsia" w:cstheme="minorHAnsi"/>
            <w:color w:val="0C7DBB"/>
            <w:sz w:val="27"/>
            <w:szCs w:val="27"/>
          </w:rPr>
          <w:t>citrate</w:t>
        </w:r>
      </w:hyperlink>
      <w:r w:rsidRPr="00E8190A">
        <w:rPr>
          <w:rFonts w:cstheme="minorHAnsi"/>
        </w:rPr>
        <w:t> exposure by donation type ranging from 164 mL to 657 mL (</w:t>
      </w:r>
      <w:hyperlink r:id="rId88" w:anchor="t0010" w:history="1">
        <w:r w:rsidRPr="00E8190A">
          <w:rPr>
            <w:rStyle w:val="Hyperlink"/>
            <w:rFonts w:eastAsiaTheme="majorEastAsia" w:cstheme="minorHAnsi"/>
            <w:color w:val="0C7DBB"/>
            <w:sz w:val="27"/>
            <w:szCs w:val="27"/>
          </w:rPr>
          <w:t>Table 2</w:t>
        </w:r>
      </w:hyperlink>
      <w:bookmarkEnd w:id="34"/>
      <w:r w:rsidRPr="00E8190A">
        <w:rPr>
          <w:rFonts w:cstheme="minorHAnsi"/>
        </w:rPr>
        <w:t>). The duration of each donation ranged from just under 30 min to more than two hours in length.</w:t>
      </w:r>
    </w:p>
    <w:p w14:paraId="0702EAAC" w14:textId="17953183" w:rsidR="00E86E48" w:rsidRPr="00E8190A" w:rsidRDefault="00E86E48" w:rsidP="00E86E48">
      <w:pPr>
        <w:spacing w:line="390" w:lineRule="atLeast"/>
        <w:rPr>
          <w:rFonts w:cstheme="minorHAnsi"/>
          <w:color w:val="2E2E2E"/>
          <w:sz w:val="27"/>
          <w:szCs w:val="27"/>
        </w:rPr>
      </w:pPr>
      <w:r w:rsidRPr="00E8190A">
        <w:rPr>
          <w:rFonts w:cstheme="minorHAnsi"/>
          <w:noProof/>
          <w:color w:val="2E2E2E"/>
          <w:sz w:val="27"/>
          <w:szCs w:val="27"/>
        </w:rPr>
        <w:drawing>
          <wp:inline distT="0" distB="0" distL="0" distR="0" wp14:anchorId="359E218A" wp14:editId="4765A1B9">
            <wp:extent cx="3657600" cy="4398264"/>
            <wp:effectExtent l="0" t="0" r="0" b="2540"/>
            <wp:docPr id="3" name="Picture 3"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3657600" cy="4398264"/>
                    </a:xfrm>
                    <a:prstGeom prst="rect">
                      <a:avLst/>
                    </a:prstGeom>
                    <a:noFill/>
                    <a:ln>
                      <a:noFill/>
                    </a:ln>
                  </pic:spPr>
                </pic:pic>
              </a:graphicData>
            </a:graphic>
          </wp:inline>
        </w:drawing>
      </w:r>
    </w:p>
    <w:p w14:paraId="1FAFB6E6" w14:textId="4B9E8829" w:rsidR="00E86E48" w:rsidRPr="00E8190A" w:rsidRDefault="00E86E48" w:rsidP="00A704D4">
      <w:pPr>
        <w:pStyle w:val="NoSpacing"/>
        <w:rPr>
          <w:rFonts w:cstheme="minorHAnsi"/>
        </w:rPr>
      </w:pPr>
      <w:r w:rsidRPr="00E8190A">
        <w:rPr>
          <w:rStyle w:val="label"/>
          <w:rFonts w:cstheme="minorHAnsi"/>
          <w:color w:val="323232"/>
        </w:rPr>
        <w:t>Fig. 2</w:t>
      </w:r>
      <w:r w:rsidRPr="00E8190A">
        <w:rPr>
          <w:rFonts w:cstheme="minorHAnsi"/>
        </w:rPr>
        <w:t>. Cleveland dot plot of donations (solid dots, n = 543) and deferrals (open dots, n = 38) from donors during the ALTRUYST study. The top panel shows donors randomized to </w:t>
      </w:r>
      <w:hyperlink r:id="rId90" w:tooltip="Learn more about Apheresis from ScienceDirect's AI-generated Topic Pages" w:history="1">
        <w:r w:rsidRPr="00E8190A">
          <w:rPr>
            <w:rStyle w:val="Hyperlink"/>
            <w:rFonts w:eastAsiaTheme="majorEastAsia" w:cstheme="minorHAnsi"/>
            <w:color w:val="0C7DBB"/>
          </w:rPr>
          <w:t>apheresis</w:t>
        </w:r>
      </w:hyperlink>
      <w:r w:rsidRPr="00E8190A">
        <w:rPr>
          <w:rFonts w:cstheme="minorHAnsi"/>
        </w:rPr>
        <w:t> and the bottom panel shows donors randomized to no apheresis (i.e. whole blood only). Each donor is represented as a row with the number of successful donations made during the study shown to the left.</w:t>
      </w:r>
    </w:p>
    <w:p w14:paraId="1BDA677C" w14:textId="77777777" w:rsidR="00A704D4" w:rsidRPr="00E8190A" w:rsidRDefault="00A704D4" w:rsidP="00E86E48">
      <w:pPr>
        <w:pStyle w:val="NormalWeb"/>
        <w:spacing w:before="0" w:beforeAutospacing="0" w:after="0" w:afterAutospacing="0" w:line="330" w:lineRule="atLeast"/>
        <w:rPr>
          <w:rFonts w:asciiTheme="minorHAnsi" w:hAnsiTheme="minorHAnsi" w:cstheme="minorHAnsi"/>
          <w:color w:val="323232"/>
        </w:rPr>
      </w:pPr>
    </w:p>
    <w:p w14:paraId="330848E2" w14:textId="77777777" w:rsidR="00E86E48" w:rsidRPr="00E8190A" w:rsidRDefault="00E86E48" w:rsidP="00E86E48">
      <w:pPr>
        <w:pStyle w:val="NormalWeb"/>
        <w:spacing w:before="0" w:beforeAutospacing="0" w:after="0" w:afterAutospacing="0" w:line="330" w:lineRule="atLeast"/>
        <w:rPr>
          <w:rFonts w:asciiTheme="minorHAnsi" w:hAnsiTheme="minorHAnsi" w:cstheme="minorHAnsi"/>
          <w:color w:val="323232"/>
        </w:rPr>
      </w:pPr>
      <w:r w:rsidRPr="00E8190A">
        <w:rPr>
          <w:rStyle w:val="label"/>
          <w:rFonts w:asciiTheme="minorHAnsi" w:hAnsiTheme="minorHAnsi" w:cstheme="minorHAnsi"/>
          <w:color w:val="323232"/>
          <w:sz w:val="21"/>
          <w:szCs w:val="21"/>
        </w:rPr>
        <w:t>Table 2</w:t>
      </w:r>
      <w:r w:rsidRPr="00E8190A">
        <w:rPr>
          <w:rFonts w:asciiTheme="minorHAnsi" w:hAnsiTheme="minorHAnsi" w:cstheme="minorHAnsi"/>
          <w:color w:val="323232"/>
        </w:rPr>
        <w:t>. </w:t>
      </w:r>
      <w:hyperlink r:id="rId91" w:tooltip="Learn more about Apheresis from ScienceDirect's AI-generated Topic Pages" w:history="1">
        <w:r w:rsidRPr="00E8190A">
          <w:rPr>
            <w:rStyle w:val="Hyperlink"/>
            <w:rFonts w:asciiTheme="minorHAnsi" w:eastAsiaTheme="majorEastAsia" w:hAnsiTheme="minorHAnsi" w:cstheme="minorHAnsi"/>
            <w:color w:val="0C7DBB"/>
          </w:rPr>
          <w:t>Apheresis</w:t>
        </w:r>
      </w:hyperlink>
      <w:r w:rsidRPr="00E8190A">
        <w:rPr>
          <w:rFonts w:asciiTheme="minorHAnsi" w:hAnsiTheme="minorHAnsi" w:cstheme="minorHAnsi"/>
          <w:color w:val="323232"/>
        </w:rPr>
        <w:t> collection and </w:t>
      </w:r>
      <w:hyperlink r:id="rId92" w:tooltip="Learn more about Antithrombotic from ScienceDirect's AI-generated Topic Pages" w:history="1">
        <w:r w:rsidRPr="00E8190A">
          <w:rPr>
            <w:rStyle w:val="Hyperlink"/>
            <w:rFonts w:asciiTheme="minorHAnsi" w:eastAsiaTheme="majorEastAsia" w:hAnsiTheme="minorHAnsi" w:cstheme="minorHAnsi"/>
            <w:color w:val="0C7DBB"/>
          </w:rPr>
          <w:t>anticoagulant</w:t>
        </w:r>
      </w:hyperlink>
      <w:r w:rsidRPr="00E8190A">
        <w:rPr>
          <w:rFonts w:asciiTheme="minorHAnsi" w:hAnsiTheme="minorHAnsi" w:cstheme="minorHAnsi"/>
          <w:color w:val="323232"/>
        </w:rPr>
        <w:t> exposure characteristics for donors randomized to the treatment arm (high frequency apheresis) during the ALTRUYST trial.</w:t>
      </w:r>
    </w:p>
    <w:tbl>
      <w:tblPr>
        <w:tblStyle w:val="TableGrid"/>
        <w:tblW w:w="5000" w:type="pct"/>
        <w:tblLook w:val="04A0" w:firstRow="1" w:lastRow="0" w:firstColumn="1" w:lastColumn="0" w:noHBand="0" w:noVBand="1"/>
      </w:tblPr>
      <w:tblGrid>
        <w:gridCol w:w="2381"/>
        <w:gridCol w:w="4086"/>
        <w:gridCol w:w="1190"/>
        <w:gridCol w:w="1231"/>
        <w:gridCol w:w="1182"/>
      </w:tblGrid>
      <w:tr w:rsidR="00A704D4" w:rsidRPr="00E8190A" w14:paraId="4C4CEB99" w14:textId="77777777" w:rsidTr="00E8190A">
        <w:tc>
          <w:tcPr>
            <w:tcW w:w="1182" w:type="pct"/>
            <w:hideMark/>
          </w:tcPr>
          <w:p w14:paraId="2F0AA211" w14:textId="77777777" w:rsidR="00A704D4" w:rsidRPr="00E8190A" w:rsidRDefault="00A704D4" w:rsidP="00E8190A">
            <w:pPr>
              <w:pStyle w:val="NoSpacing"/>
            </w:pPr>
          </w:p>
        </w:tc>
        <w:tc>
          <w:tcPr>
            <w:tcW w:w="2029" w:type="pct"/>
          </w:tcPr>
          <w:p w14:paraId="5FE0C9D6" w14:textId="6FCD38D8" w:rsidR="00A704D4" w:rsidRPr="00E8190A" w:rsidRDefault="00A704D4" w:rsidP="00E8190A">
            <w:pPr>
              <w:pStyle w:val="NoSpacing"/>
            </w:pPr>
          </w:p>
        </w:tc>
        <w:tc>
          <w:tcPr>
            <w:tcW w:w="591" w:type="pct"/>
            <w:hideMark/>
          </w:tcPr>
          <w:p w14:paraId="4DABF860" w14:textId="77777777" w:rsidR="00A704D4" w:rsidRPr="00E8190A" w:rsidRDefault="00A704D4" w:rsidP="00E8190A">
            <w:pPr>
              <w:pStyle w:val="NoSpacing"/>
              <w:rPr>
                <w:b/>
                <w:bCs/>
                <w:sz w:val="21"/>
                <w:szCs w:val="21"/>
              </w:rPr>
            </w:pPr>
            <w:r w:rsidRPr="00E8190A">
              <w:rPr>
                <w:b/>
                <w:bCs/>
                <w:sz w:val="21"/>
                <w:szCs w:val="21"/>
              </w:rPr>
              <w:t>Single</w:t>
            </w:r>
          </w:p>
        </w:tc>
        <w:tc>
          <w:tcPr>
            <w:tcW w:w="611" w:type="pct"/>
            <w:hideMark/>
          </w:tcPr>
          <w:p w14:paraId="5964485A" w14:textId="77777777" w:rsidR="00A704D4" w:rsidRPr="00E8190A" w:rsidRDefault="00A704D4" w:rsidP="00E8190A">
            <w:pPr>
              <w:pStyle w:val="NoSpacing"/>
              <w:rPr>
                <w:b/>
                <w:bCs/>
                <w:sz w:val="21"/>
                <w:szCs w:val="21"/>
              </w:rPr>
            </w:pPr>
            <w:r w:rsidRPr="00E8190A">
              <w:rPr>
                <w:b/>
                <w:bCs/>
                <w:sz w:val="21"/>
                <w:szCs w:val="21"/>
              </w:rPr>
              <w:t>Double</w:t>
            </w:r>
          </w:p>
        </w:tc>
        <w:tc>
          <w:tcPr>
            <w:tcW w:w="587" w:type="pct"/>
            <w:hideMark/>
          </w:tcPr>
          <w:p w14:paraId="7738777D" w14:textId="77777777" w:rsidR="00A704D4" w:rsidRPr="00E8190A" w:rsidRDefault="00A704D4" w:rsidP="00E8190A">
            <w:pPr>
              <w:pStyle w:val="NoSpacing"/>
              <w:rPr>
                <w:b/>
                <w:bCs/>
                <w:sz w:val="21"/>
                <w:szCs w:val="21"/>
              </w:rPr>
            </w:pPr>
            <w:r w:rsidRPr="00E8190A">
              <w:rPr>
                <w:b/>
                <w:bCs/>
                <w:sz w:val="21"/>
                <w:szCs w:val="21"/>
              </w:rPr>
              <w:t>Triple</w:t>
            </w:r>
          </w:p>
        </w:tc>
      </w:tr>
      <w:tr w:rsidR="00E86E48" w:rsidRPr="00E8190A" w14:paraId="365D56F3" w14:textId="77777777" w:rsidTr="00E8190A">
        <w:tc>
          <w:tcPr>
            <w:tcW w:w="1182" w:type="pct"/>
            <w:hideMark/>
          </w:tcPr>
          <w:p w14:paraId="3DF729B8" w14:textId="77777777" w:rsidR="00E86E48" w:rsidRPr="00E8190A" w:rsidRDefault="00E86E48" w:rsidP="00E8190A">
            <w:pPr>
              <w:pStyle w:val="NoSpacing"/>
              <w:rPr>
                <w:b/>
                <w:bCs/>
                <w:sz w:val="21"/>
                <w:szCs w:val="21"/>
              </w:rPr>
            </w:pPr>
            <w:r w:rsidRPr="00E8190A">
              <w:rPr>
                <w:b/>
                <w:bCs/>
                <w:sz w:val="21"/>
                <w:szCs w:val="21"/>
              </w:rPr>
              <w:t>Collection information</w:t>
            </w:r>
          </w:p>
        </w:tc>
        <w:tc>
          <w:tcPr>
            <w:tcW w:w="2029" w:type="pct"/>
            <w:hideMark/>
          </w:tcPr>
          <w:p w14:paraId="4E084937" w14:textId="77777777" w:rsidR="00E86E48" w:rsidRPr="00E8190A" w:rsidRDefault="00E86E48" w:rsidP="00E8190A">
            <w:pPr>
              <w:pStyle w:val="NoSpacing"/>
              <w:rPr>
                <w:sz w:val="21"/>
                <w:szCs w:val="21"/>
              </w:rPr>
            </w:pPr>
            <w:r w:rsidRPr="00E8190A">
              <w:rPr>
                <w:sz w:val="21"/>
                <w:szCs w:val="21"/>
              </w:rPr>
              <w:t>Number of platelet apheresis donations</w:t>
            </w:r>
          </w:p>
        </w:tc>
        <w:tc>
          <w:tcPr>
            <w:tcW w:w="591" w:type="pct"/>
            <w:hideMark/>
          </w:tcPr>
          <w:p w14:paraId="2EEDA6DC" w14:textId="77777777" w:rsidR="00E86E48" w:rsidRPr="00E8190A" w:rsidRDefault="00E86E48" w:rsidP="00E8190A">
            <w:pPr>
              <w:pStyle w:val="NoSpacing"/>
              <w:rPr>
                <w:sz w:val="21"/>
                <w:szCs w:val="21"/>
              </w:rPr>
            </w:pPr>
            <w:r w:rsidRPr="00E8190A">
              <w:rPr>
                <w:sz w:val="21"/>
                <w:szCs w:val="21"/>
              </w:rPr>
              <w:t>110</w:t>
            </w:r>
          </w:p>
        </w:tc>
        <w:tc>
          <w:tcPr>
            <w:tcW w:w="611" w:type="pct"/>
            <w:hideMark/>
          </w:tcPr>
          <w:p w14:paraId="6E2724A1" w14:textId="77777777" w:rsidR="00E86E48" w:rsidRPr="00E8190A" w:rsidRDefault="00E86E48" w:rsidP="00E8190A">
            <w:pPr>
              <w:pStyle w:val="NoSpacing"/>
              <w:rPr>
                <w:sz w:val="21"/>
                <w:szCs w:val="21"/>
              </w:rPr>
            </w:pPr>
            <w:r w:rsidRPr="00E8190A">
              <w:rPr>
                <w:sz w:val="21"/>
                <w:szCs w:val="21"/>
              </w:rPr>
              <w:t>320</w:t>
            </w:r>
          </w:p>
        </w:tc>
        <w:tc>
          <w:tcPr>
            <w:tcW w:w="587" w:type="pct"/>
            <w:hideMark/>
          </w:tcPr>
          <w:p w14:paraId="6EB5251A" w14:textId="77777777" w:rsidR="00E86E48" w:rsidRPr="00E8190A" w:rsidRDefault="00E86E48" w:rsidP="00E8190A">
            <w:pPr>
              <w:pStyle w:val="NoSpacing"/>
              <w:rPr>
                <w:sz w:val="21"/>
                <w:szCs w:val="21"/>
              </w:rPr>
            </w:pPr>
            <w:r w:rsidRPr="00E8190A">
              <w:rPr>
                <w:sz w:val="21"/>
                <w:szCs w:val="21"/>
              </w:rPr>
              <w:t>62</w:t>
            </w:r>
          </w:p>
        </w:tc>
      </w:tr>
      <w:tr w:rsidR="00E86E48" w:rsidRPr="00E8190A" w14:paraId="524EA1FB" w14:textId="77777777" w:rsidTr="00E8190A">
        <w:tc>
          <w:tcPr>
            <w:tcW w:w="1182" w:type="pct"/>
            <w:hideMark/>
          </w:tcPr>
          <w:p w14:paraId="35DD6F89" w14:textId="77777777" w:rsidR="00E86E48" w:rsidRPr="00E8190A" w:rsidRDefault="00E86E48" w:rsidP="00E8190A">
            <w:pPr>
              <w:pStyle w:val="NoSpacing"/>
              <w:rPr>
                <w:b/>
                <w:bCs/>
                <w:sz w:val="21"/>
                <w:szCs w:val="21"/>
              </w:rPr>
            </w:pPr>
          </w:p>
        </w:tc>
        <w:tc>
          <w:tcPr>
            <w:tcW w:w="2029" w:type="pct"/>
            <w:hideMark/>
          </w:tcPr>
          <w:p w14:paraId="0B0CAAA6" w14:textId="77777777" w:rsidR="00E86E48" w:rsidRPr="00E8190A" w:rsidRDefault="00E86E48" w:rsidP="00E8190A">
            <w:pPr>
              <w:pStyle w:val="NoSpacing"/>
              <w:rPr>
                <w:sz w:val="21"/>
                <w:szCs w:val="21"/>
              </w:rPr>
            </w:pPr>
            <w:r w:rsidRPr="00E8190A">
              <w:rPr>
                <w:sz w:val="21"/>
                <w:szCs w:val="21"/>
              </w:rPr>
              <w:t>Concurrent PLASMA COLLECTION n (%)</w:t>
            </w:r>
          </w:p>
        </w:tc>
        <w:tc>
          <w:tcPr>
            <w:tcW w:w="591" w:type="pct"/>
            <w:hideMark/>
          </w:tcPr>
          <w:p w14:paraId="7FFB478A" w14:textId="77777777" w:rsidR="00E86E48" w:rsidRPr="00E8190A" w:rsidRDefault="00E86E48" w:rsidP="00E8190A">
            <w:pPr>
              <w:pStyle w:val="NoSpacing"/>
              <w:rPr>
                <w:sz w:val="21"/>
                <w:szCs w:val="21"/>
              </w:rPr>
            </w:pPr>
            <w:r w:rsidRPr="00E8190A">
              <w:rPr>
                <w:sz w:val="21"/>
                <w:szCs w:val="21"/>
              </w:rPr>
              <w:t>0 (0%)</w:t>
            </w:r>
          </w:p>
        </w:tc>
        <w:tc>
          <w:tcPr>
            <w:tcW w:w="611" w:type="pct"/>
            <w:hideMark/>
          </w:tcPr>
          <w:p w14:paraId="65F483E6" w14:textId="77777777" w:rsidR="00E86E48" w:rsidRPr="00E8190A" w:rsidRDefault="00E86E48" w:rsidP="00E8190A">
            <w:pPr>
              <w:pStyle w:val="NoSpacing"/>
              <w:rPr>
                <w:sz w:val="21"/>
                <w:szCs w:val="21"/>
              </w:rPr>
            </w:pPr>
            <w:r w:rsidRPr="00E8190A">
              <w:rPr>
                <w:sz w:val="21"/>
                <w:szCs w:val="21"/>
              </w:rPr>
              <w:t>4 (1%)</w:t>
            </w:r>
          </w:p>
        </w:tc>
        <w:tc>
          <w:tcPr>
            <w:tcW w:w="587" w:type="pct"/>
            <w:hideMark/>
          </w:tcPr>
          <w:p w14:paraId="7074F7AD" w14:textId="77777777" w:rsidR="00E86E48" w:rsidRPr="00E8190A" w:rsidRDefault="00E86E48" w:rsidP="00E8190A">
            <w:pPr>
              <w:pStyle w:val="NoSpacing"/>
              <w:rPr>
                <w:sz w:val="21"/>
                <w:szCs w:val="21"/>
              </w:rPr>
            </w:pPr>
            <w:r w:rsidRPr="00E8190A">
              <w:rPr>
                <w:sz w:val="21"/>
                <w:szCs w:val="21"/>
              </w:rPr>
              <w:t>0 (0%)</w:t>
            </w:r>
          </w:p>
        </w:tc>
      </w:tr>
      <w:tr w:rsidR="00E86E48" w:rsidRPr="00E8190A" w14:paraId="6808BAD1" w14:textId="77777777" w:rsidTr="00E8190A">
        <w:tc>
          <w:tcPr>
            <w:tcW w:w="1182" w:type="pct"/>
            <w:hideMark/>
          </w:tcPr>
          <w:p w14:paraId="2DA8F705" w14:textId="77777777" w:rsidR="00E86E48" w:rsidRPr="00E8190A" w:rsidRDefault="00E86E48" w:rsidP="00E8190A">
            <w:pPr>
              <w:pStyle w:val="NoSpacing"/>
              <w:rPr>
                <w:b/>
                <w:bCs/>
                <w:sz w:val="21"/>
                <w:szCs w:val="21"/>
              </w:rPr>
            </w:pPr>
          </w:p>
        </w:tc>
        <w:tc>
          <w:tcPr>
            <w:tcW w:w="2029" w:type="pct"/>
            <w:hideMark/>
          </w:tcPr>
          <w:p w14:paraId="461956AE" w14:textId="77777777" w:rsidR="00E86E48" w:rsidRPr="00E8190A" w:rsidRDefault="00E86E48" w:rsidP="00E8190A">
            <w:pPr>
              <w:pStyle w:val="NoSpacing"/>
              <w:rPr>
                <w:sz w:val="21"/>
                <w:szCs w:val="21"/>
              </w:rPr>
            </w:pPr>
            <w:r w:rsidRPr="00E8190A">
              <w:rPr>
                <w:sz w:val="21"/>
                <w:szCs w:val="21"/>
              </w:rPr>
              <w:t>Mean (SD) collection time (min)</w:t>
            </w:r>
          </w:p>
        </w:tc>
        <w:tc>
          <w:tcPr>
            <w:tcW w:w="591" w:type="pct"/>
            <w:hideMark/>
          </w:tcPr>
          <w:p w14:paraId="551F1F36" w14:textId="77777777" w:rsidR="00E86E48" w:rsidRPr="00E8190A" w:rsidRDefault="00E86E48" w:rsidP="00E8190A">
            <w:pPr>
              <w:pStyle w:val="NoSpacing"/>
              <w:rPr>
                <w:sz w:val="21"/>
                <w:szCs w:val="21"/>
              </w:rPr>
            </w:pPr>
            <w:r w:rsidRPr="00E8190A">
              <w:rPr>
                <w:sz w:val="21"/>
                <w:szCs w:val="21"/>
              </w:rPr>
              <w:t>57.6 (21.8)</w:t>
            </w:r>
          </w:p>
        </w:tc>
        <w:tc>
          <w:tcPr>
            <w:tcW w:w="611" w:type="pct"/>
            <w:hideMark/>
          </w:tcPr>
          <w:p w14:paraId="25FD37D4" w14:textId="77777777" w:rsidR="00E86E48" w:rsidRPr="00E8190A" w:rsidRDefault="00E86E48" w:rsidP="00E8190A">
            <w:pPr>
              <w:pStyle w:val="NoSpacing"/>
              <w:rPr>
                <w:sz w:val="21"/>
                <w:szCs w:val="21"/>
              </w:rPr>
            </w:pPr>
            <w:r w:rsidRPr="00E8190A">
              <w:rPr>
                <w:sz w:val="21"/>
                <w:szCs w:val="21"/>
              </w:rPr>
              <w:t>89.4 (23.3)</w:t>
            </w:r>
          </w:p>
        </w:tc>
        <w:tc>
          <w:tcPr>
            <w:tcW w:w="587" w:type="pct"/>
            <w:hideMark/>
          </w:tcPr>
          <w:p w14:paraId="7E53985A" w14:textId="77777777" w:rsidR="00E86E48" w:rsidRPr="00E8190A" w:rsidRDefault="00E86E48" w:rsidP="00E8190A">
            <w:pPr>
              <w:pStyle w:val="NoSpacing"/>
              <w:rPr>
                <w:sz w:val="21"/>
                <w:szCs w:val="21"/>
              </w:rPr>
            </w:pPr>
            <w:r w:rsidRPr="00E8190A">
              <w:rPr>
                <w:sz w:val="21"/>
                <w:szCs w:val="21"/>
              </w:rPr>
              <w:t>97.1 (24.9)</w:t>
            </w:r>
          </w:p>
        </w:tc>
      </w:tr>
      <w:tr w:rsidR="00A704D4" w:rsidRPr="00E8190A" w14:paraId="42339F1A" w14:textId="77777777" w:rsidTr="00E8190A">
        <w:tc>
          <w:tcPr>
            <w:tcW w:w="1182" w:type="pct"/>
            <w:hideMark/>
          </w:tcPr>
          <w:p w14:paraId="31F3C329" w14:textId="77777777" w:rsidR="00A704D4" w:rsidRPr="00E8190A" w:rsidRDefault="00A704D4" w:rsidP="00E8190A">
            <w:pPr>
              <w:pStyle w:val="NoSpacing"/>
              <w:rPr>
                <w:b/>
                <w:bCs/>
                <w:sz w:val="21"/>
                <w:szCs w:val="21"/>
              </w:rPr>
            </w:pPr>
          </w:p>
        </w:tc>
        <w:tc>
          <w:tcPr>
            <w:tcW w:w="2029" w:type="pct"/>
            <w:hideMark/>
          </w:tcPr>
          <w:p w14:paraId="6F92D090" w14:textId="77777777" w:rsidR="00A704D4" w:rsidRPr="00E8190A" w:rsidRDefault="00A704D4" w:rsidP="00E8190A">
            <w:pPr>
              <w:pStyle w:val="NoSpacing"/>
              <w:rPr>
                <w:sz w:val="21"/>
                <w:szCs w:val="21"/>
              </w:rPr>
            </w:pPr>
            <w:r w:rsidRPr="00E8190A">
              <w:rPr>
                <w:sz w:val="21"/>
                <w:szCs w:val="21"/>
              </w:rPr>
              <w:t>Mean (SD) inter-donation interval (days)</w:t>
            </w:r>
          </w:p>
        </w:tc>
        <w:tc>
          <w:tcPr>
            <w:tcW w:w="591" w:type="pct"/>
            <w:hideMark/>
          </w:tcPr>
          <w:p w14:paraId="37E9EC32" w14:textId="77777777" w:rsidR="00A704D4" w:rsidRPr="00E8190A" w:rsidRDefault="00A704D4" w:rsidP="00E8190A">
            <w:pPr>
              <w:pStyle w:val="NoSpacing"/>
              <w:rPr>
                <w:sz w:val="21"/>
                <w:szCs w:val="21"/>
              </w:rPr>
            </w:pPr>
            <w:r w:rsidRPr="00E8190A">
              <w:rPr>
                <w:sz w:val="21"/>
                <w:szCs w:val="21"/>
              </w:rPr>
              <w:t>17.8 (14.7)</w:t>
            </w:r>
          </w:p>
        </w:tc>
        <w:tc>
          <w:tcPr>
            <w:tcW w:w="611" w:type="pct"/>
          </w:tcPr>
          <w:p w14:paraId="2416FFED" w14:textId="77777777" w:rsidR="00A704D4" w:rsidRPr="00E8190A" w:rsidRDefault="00A704D4" w:rsidP="00E8190A">
            <w:pPr>
              <w:pStyle w:val="NoSpacing"/>
              <w:rPr>
                <w:sz w:val="21"/>
                <w:szCs w:val="21"/>
              </w:rPr>
            </w:pPr>
          </w:p>
        </w:tc>
        <w:tc>
          <w:tcPr>
            <w:tcW w:w="587" w:type="pct"/>
          </w:tcPr>
          <w:p w14:paraId="6E5807E4" w14:textId="44597BA9" w:rsidR="00A704D4" w:rsidRPr="00E8190A" w:rsidRDefault="00A704D4" w:rsidP="00E8190A">
            <w:pPr>
              <w:pStyle w:val="NoSpacing"/>
              <w:rPr>
                <w:sz w:val="21"/>
                <w:szCs w:val="21"/>
              </w:rPr>
            </w:pPr>
          </w:p>
        </w:tc>
      </w:tr>
      <w:tr w:rsidR="00A704D4" w:rsidRPr="00E8190A" w14:paraId="16D40486" w14:textId="77777777" w:rsidTr="00E8190A">
        <w:tc>
          <w:tcPr>
            <w:tcW w:w="1182" w:type="pct"/>
            <w:hideMark/>
          </w:tcPr>
          <w:p w14:paraId="516B8A3A" w14:textId="77777777" w:rsidR="00A704D4" w:rsidRPr="00E8190A" w:rsidRDefault="00A704D4" w:rsidP="00E8190A">
            <w:pPr>
              <w:pStyle w:val="NoSpacing"/>
              <w:rPr>
                <w:b/>
                <w:bCs/>
                <w:sz w:val="21"/>
                <w:szCs w:val="21"/>
              </w:rPr>
            </w:pPr>
            <w:r w:rsidRPr="00E8190A">
              <w:rPr>
                <w:b/>
                <w:bCs/>
                <w:sz w:val="21"/>
                <w:szCs w:val="21"/>
              </w:rPr>
              <w:t>Anticoagulant exposure</w:t>
            </w:r>
          </w:p>
        </w:tc>
        <w:tc>
          <w:tcPr>
            <w:tcW w:w="2029" w:type="pct"/>
            <w:hideMark/>
          </w:tcPr>
          <w:p w14:paraId="25A2AE7C" w14:textId="77777777" w:rsidR="00A704D4" w:rsidRPr="00E8190A" w:rsidRDefault="00A704D4" w:rsidP="00E8190A">
            <w:pPr>
              <w:pStyle w:val="NoSpacing"/>
              <w:rPr>
                <w:sz w:val="21"/>
                <w:szCs w:val="21"/>
              </w:rPr>
            </w:pPr>
            <w:r w:rsidRPr="00E8190A">
              <w:rPr>
                <w:sz w:val="21"/>
                <w:szCs w:val="21"/>
              </w:rPr>
              <w:t>Type of Anticoagulant</w:t>
            </w:r>
          </w:p>
        </w:tc>
        <w:tc>
          <w:tcPr>
            <w:tcW w:w="591" w:type="pct"/>
            <w:hideMark/>
          </w:tcPr>
          <w:p w14:paraId="2B879F3D" w14:textId="77777777" w:rsidR="00A704D4" w:rsidRPr="00E8190A" w:rsidRDefault="00A704D4" w:rsidP="00E8190A">
            <w:pPr>
              <w:pStyle w:val="NoSpacing"/>
              <w:rPr>
                <w:sz w:val="21"/>
                <w:szCs w:val="21"/>
              </w:rPr>
            </w:pPr>
            <w:r w:rsidRPr="00E8190A">
              <w:rPr>
                <w:sz w:val="21"/>
                <w:szCs w:val="21"/>
              </w:rPr>
              <w:t>ACD-A</w:t>
            </w:r>
            <w:bookmarkStart w:id="35" w:name="btf0015"/>
            <w:r w:rsidRPr="00E8190A">
              <w:rPr>
                <w:sz w:val="21"/>
                <w:szCs w:val="21"/>
              </w:rPr>
              <w:fldChar w:fldCharType="begin"/>
            </w:r>
            <w:r w:rsidRPr="00E8190A">
              <w:rPr>
                <w:sz w:val="21"/>
                <w:szCs w:val="21"/>
              </w:rPr>
              <w:instrText xml:space="preserve"> HYPERLINK "https://www.sciencedirect.com/science/article/pii/S2352187218300585?via%3Dihub" \l "tf0015" </w:instrText>
            </w:r>
            <w:r w:rsidRPr="00E8190A">
              <w:rPr>
                <w:sz w:val="21"/>
                <w:szCs w:val="21"/>
              </w:rPr>
              <w:fldChar w:fldCharType="separate"/>
            </w:r>
            <w:r w:rsidRPr="00E8190A">
              <w:rPr>
                <w:rStyle w:val="Hyperlink"/>
                <w:rFonts w:cstheme="minorHAnsi"/>
                <w:color w:val="0C7DBB"/>
                <w:sz w:val="16"/>
                <w:szCs w:val="16"/>
                <w:vertAlign w:val="superscript"/>
              </w:rPr>
              <w:t>a</w:t>
            </w:r>
            <w:r w:rsidRPr="00E8190A">
              <w:rPr>
                <w:sz w:val="21"/>
                <w:szCs w:val="21"/>
              </w:rPr>
              <w:fldChar w:fldCharType="end"/>
            </w:r>
          </w:p>
        </w:tc>
        <w:tc>
          <w:tcPr>
            <w:tcW w:w="611" w:type="pct"/>
          </w:tcPr>
          <w:p w14:paraId="0CF4A1C2" w14:textId="77777777" w:rsidR="00A704D4" w:rsidRPr="00E8190A" w:rsidRDefault="00A704D4" w:rsidP="00E8190A">
            <w:pPr>
              <w:pStyle w:val="NoSpacing"/>
              <w:rPr>
                <w:sz w:val="21"/>
                <w:szCs w:val="21"/>
              </w:rPr>
            </w:pPr>
          </w:p>
        </w:tc>
        <w:bookmarkEnd w:id="35"/>
        <w:tc>
          <w:tcPr>
            <w:tcW w:w="587" w:type="pct"/>
          </w:tcPr>
          <w:p w14:paraId="6D0C9599" w14:textId="0418191A" w:rsidR="00A704D4" w:rsidRPr="00E8190A" w:rsidRDefault="00A704D4" w:rsidP="00E8190A">
            <w:pPr>
              <w:pStyle w:val="NoSpacing"/>
              <w:rPr>
                <w:sz w:val="21"/>
                <w:szCs w:val="21"/>
              </w:rPr>
            </w:pPr>
          </w:p>
        </w:tc>
      </w:tr>
      <w:tr w:rsidR="00E86E48" w:rsidRPr="00E8190A" w14:paraId="3FAA7A87" w14:textId="77777777" w:rsidTr="00E8190A">
        <w:tc>
          <w:tcPr>
            <w:tcW w:w="1182" w:type="pct"/>
            <w:hideMark/>
          </w:tcPr>
          <w:p w14:paraId="5EBE388F" w14:textId="77777777" w:rsidR="00E86E48" w:rsidRPr="00E8190A" w:rsidRDefault="00E86E48" w:rsidP="00E8190A">
            <w:pPr>
              <w:pStyle w:val="NoSpacing"/>
              <w:rPr>
                <w:b/>
                <w:bCs/>
                <w:sz w:val="21"/>
                <w:szCs w:val="21"/>
              </w:rPr>
            </w:pPr>
          </w:p>
        </w:tc>
        <w:tc>
          <w:tcPr>
            <w:tcW w:w="2029" w:type="pct"/>
            <w:hideMark/>
          </w:tcPr>
          <w:p w14:paraId="428CA269" w14:textId="77777777" w:rsidR="00E86E48" w:rsidRPr="00E8190A" w:rsidRDefault="00E86E48" w:rsidP="00E8190A">
            <w:pPr>
              <w:pStyle w:val="NoSpacing"/>
              <w:rPr>
                <w:sz w:val="21"/>
                <w:szCs w:val="21"/>
              </w:rPr>
            </w:pPr>
            <w:r w:rsidRPr="00E8190A">
              <w:rPr>
                <w:sz w:val="21"/>
                <w:szCs w:val="21"/>
              </w:rPr>
              <w:t>Mean (SD) volume (mL) AC infused per procedure</w:t>
            </w:r>
          </w:p>
        </w:tc>
        <w:tc>
          <w:tcPr>
            <w:tcW w:w="591" w:type="pct"/>
            <w:hideMark/>
          </w:tcPr>
          <w:p w14:paraId="283F7588" w14:textId="77777777" w:rsidR="00E86E48" w:rsidRPr="00E8190A" w:rsidRDefault="00E86E48" w:rsidP="00E8190A">
            <w:pPr>
              <w:pStyle w:val="NoSpacing"/>
              <w:rPr>
                <w:sz w:val="21"/>
                <w:szCs w:val="21"/>
              </w:rPr>
            </w:pPr>
            <w:r w:rsidRPr="00E8190A">
              <w:rPr>
                <w:sz w:val="21"/>
                <w:szCs w:val="21"/>
              </w:rPr>
              <w:t>299 (104)</w:t>
            </w:r>
          </w:p>
        </w:tc>
        <w:tc>
          <w:tcPr>
            <w:tcW w:w="611" w:type="pct"/>
            <w:hideMark/>
          </w:tcPr>
          <w:p w14:paraId="258C9EA7" w14:textId="77777777" w:rsidR="00E86E48" w:rsidRPr="00E8190A" w:rsidRDefault="00E86E48" w:rsidP="00E8190A">
            <w:pPr>
              <w:pStyle w:val="NoSpacing"/>
              <w:rPr>
                <w:sz w:val="21"/>
                <w:szCs w:val="21"/>
              </w:rPr>
            </w:pPr>
            <w:r w:rsidRPr="00E8190A">
              <w:rPr>
                <w:sz w:val="21"/>
                <w:szCs w:val="21"/>
              </w:rPr>
              <w:t>469 (111)</w:t>
            </w:r>
          </w:p>
        </w:tc>
        <w:tc>
          <w:tcPr>
            <w:tcW w:w="587" w:type="pct"/>
            <w:hideMark/>
          </w:tcPr>
          <w:p w14:paraId="1EAF21A5" w14:textId="77777777" w:rsidR="00E86E48" w:rsidRPr="00E8190A" w:rsidRDefault="00E86E48" w:rsidP="00E8190A">
            <w:pPr>
              <w:pStyle w:val="NoSpacing"/>
              <w:rPr>
                <w:sz w:val="21"/>
                <w:szCs w:val="21"/>
              </w:rPr>
            </w:pPr>
            <w:r w:rsidRPr="00E8190A">
              <w:rPr>
                <w:sz w:val="21"/>
                <w:szCs w:val="21"/>
              </w:rPr>
              <w:t>498 (117)</w:t>
            </w:r>
          </w:p>
        </w:tc>
      </w:tr>
    </w:tbl>
    <w:p w14:paraId="3D2B0861" w14:textId="7295ED76" w:rsidR="00E86E48" w:rsidRDefault="00E86E48" w:rsidP="00A704D4">
      <w:pPr>
        <w:pStyle w:val="NoSpacing"/>
        <w:rPr>
          <w:rFonts w:cstheme="minorHAnsi"/>
        </w:rPr>
      </w:pPr>
      <w:proofErr w:type="spellStart"/>
      <w:r w:rsidRPr="00E8190A">
        <w:rPr>
          <w:rFonts w:cstheme="minorHAnsi"/>
        </w:rPr>
        <w:t>aACD</w:t>
      </w:r>
      <w:proofErr w:type="spellEnd"/>
      <w:r w:rsidRPr="00E8190A">
        <w:rPr>
          <w:rFonts w:cstheme="minorHAnsi"/>
        </w:rPr>
        <w:t>-A = anticoagulant citrate dextrose solution, solution A (2.13% free citrate ion).</w:t>
      </w:r>
    </w:p>
    <w:p w14:paraId="7CC3B915" w14:textId="77777777" w:rsidR="00E8190A" w:rsidRPr="00E8190A" w:rsidRDefault="00E8190A" w:rsidP="00A704D4">
      <w:pPr>
        <w:pStyle w:val="NoSpacing"/>
        <w:rPr>
          <w:rFonts w:cstheme="minorHAnsi"/>
        </w:rPr>
      </w:pPr>
    </w:p>
    <w:p w14:paraId="36ED4349" w14:textId="77777777" w:rsidR="00E86E48" w:rsidRPr="00E8190A" w:rsidRDefault="00E86E48" w:rsidP="00A704D4">
      <w:pPr>
        <w:pStyle w:val="Heading2"/>
        <w:rPr>
          <w:rFonts w:asciiTheme="minorHAnsi" w:hAnsiTheme="minorHAnsi" w:cstheme="minorHAnsi"/>
          <w:sz w:val="27"/>
          <w:szCs w:val="27"/>
        </w:rPr>
      </w:pPr>
      <w:r w:rsidRPr="00E8190A">
        <w:rPr>
          <w:rFonts w:asciiTheme="minorHAnsi" w:hAnsiTheme="minorHAnsi" w:cstheme="minorHAnsi"/>
        </w:rPr>
        <w:t>3.3. High frequency apheresis for one year did not alter bone mineral density</w:t>
      </w:r>
    </w:p>
    <w:p w14:paraId="473B1D63" w14:textId="77777777" w:rsidR="00E86E48" w:rsidRPr="00E8190A" w:rsidRDefault="00E86E48" w:rsidP="00A704D4">
      <w:pPr>
        <w:rPr>
          <w:rFonts w:cstheme="minorHAnsi"/>
        </w:rPr>
      </w:pPr>
      <w:r w:rsidRPr="00E8190A">
        <w:rPr>
          <w:rFonts w:cstheme="minorHAnsi"/>
        </w:rPr>
        <w:t>Lumbar spine bone mineral density did not change among donors in the control arm after one year of participation (1.168 g/cm</w:t>
      </w:r>
      <w:r w:rsidRPr="00E8190A">
        <w:rPr>
          <w:rFonts w:cstheme="minorHAnsi"/>
          <w:sz w:val="20"/>
          <w:szCs w:val="20"/>
          <w:vertAlign w:val="superscript"/>
        </w:rPr>
        <w:t>2</w:t>
      </w:r>
      <w:r w:rsidRPr="00E8190A">
        <w:rPr>
          <w:rFonts w:cstheme="minorHAnsi"/>
        </w:rPr>
        <w:t> at enrollment, mean change = −0.002 g/cm</w:t>
      </w:r>
      <w:r w:rsidRPr="00E8190A">
        <w:rPr>
          <w:rFonts w:cstheme="minorHAnsi"/>
          <w:sz w:val="20"/>
          <w:szCs w:val="20"/>
          <w:vertAlign w:val="superscript"/>
        </w:rPr>
        <w:t>2</w:t>
      </w:r>
      <w:r w:rsidRPr="00E8190A">
        <w:rPr>
          <w:rFonts w:cstheme="minorHAnsi"/>
        </w:rPr>
        <w:t>, 95%CI [−0.020, 0.016], </w:t>
      </w:r>
      <w:r w:rsidRPr="00E8190A">
        <w:rPr>
          <w:rStyle w:val="Emphasis"/>
          <w:rFonts w:eastAsiaTheme="majorEastAsia" w:cstheme="minorHAnsi"/>
          <w:color w:val="2E2E2E"/>
          <w:sz w:val="27"/>
          <w:szCs w:val="27"/>
        </w:rPr>
        <w:t>p</w:t>
      </w:r>
      <w:r w:rsidRPr="00E8190A">
        <w:rPr>
          <w:rFonts w:cstheme="minorHAnsi"/>
        </w:rPr>
        <w:t> = 0.16), nor did it change among donors in the apheresis arm (1.214 g/cm</w:t>
      </w:r>
      <w:r w:rsidRPr="00E8190A">
        <w:rPr>
          <w:rFonts w:cstheme="minorHAnsi"/>
          <w:sz w:val="20"/>
          <w:szCs w:val="20"/>
          <w:vertAlign w:val="superscript"/>
        </w:rPr>
        <w:t>2</w:t>
      </w:r>
      <w:r w:rsidRPr="00E8190A">
        <w:rPr>
          <w:rFonts w:cstheme="minorHAnsi"/>
        </w:rPr>
        <w:t> at enrollment, mean change = 0.007 g/cm</w:t>
      </w:r>
      <w:r w:rsidRPr="00E8190A">
        <w:rPr>
          <w:rFonts w:cstheme="minorHAnsi"/>
          <w:sz w:val="20"/>
          <w:szCs w:val="20"/>
          <w:vertAlign w:val="superscript"/>
        </w:rPr>
        <w:t>2</w:t>
      </w:r>
      <w:r w:rsidRPr="00E8190A">
        <w:rPr>
          <w:rFonts w:cstheme="minorHAnsi"/>
        </w:rPr>
        <w:t>, 95%CI [−0.005, 0.018], </w:t>
      </w:r>
      <w:r w:rsidRPr="00E8190A">
        <w:rPr>
          <w:rStyle w:val="Emphasis"/>
          <w:rFonts w:eastAsiaTheme="majorEastAsia" w:cstheme="minorHAnsi"/>
          <w:color w:val="2E2E2E"/>
          <w:sz w:val="27"/>
          <w:szCs w:val="27"/>
        </w:rPr>
        <w:t>p</w:t>
      </w:r>
      <w:r w:rsidRPr="00E8190A">
        <w:rPr>
          <w:rFonts w:cstheme="minorHAnsi"/>
        </w:rPr>
        <w:t> = 0.24) (</w:t>
      </w:r>
      <w:bookmarkStart w:id="36" w:name="bf0015"/>
      <w:r w:rsidRPr="00E8190A">
        <w:rPr>
          <w:rFonts w:cstheme="minorHAnsi"/>
        </w:rPr>
        <w:fldChar w:fldCharType="begin"/>
      </w:r>
      <w:r w:rsidRPr="00E8190A">
        <w:rPr>
          <w:rFonts w:cstheme="minorHAnsi"/>
        </w:rPr>
        <w:instrText xml:space="preserve"> HYPERLINK "https://www.sciencedirect.com/science/article/pii/S2352187218300585?via%3Dihub" \l "f0015" </w:instrText>
      </w:r>
      <w:r w:rsidRPr="00E8190A">
        <w:rPr>
          <w:rFonts w:cstheme="minorHAnsi"/>
        </w:rPr>
        <w:fldChar w:fldCharType="separate"/>
      </w:r>
      <w:r w:rsidRPr="00E8190A">
        <w:rPr>
          <w:rStyle w:val="Hyperlink"/>
          <w:rFonts w:eastAsiaTheme="majorEastAsia" w:cstheme="minorHAnsi"/>
          <w:color w:val="0C7DBB"/>
          <w:sz w:val="27"/>
          <w:szCs w:val="27"/>
        </w:rPr>
        <w:t>Fig. 3</w:t>
      </w:r>
      <w:r w:rsidRPr="00E8190A">
        <w:rPr>
          <w:rFonts w:cstheme="minorHAnsi"/>
        </w:rPr>
        <w:fldChar w:fldCharType="end"/>
      </w:r>
      <w:r w:rsidRPr="00E8190A">
        <w:rPr>
          <w:rFonts w:cstheme="minorHAnsi"/>
        </w:rPr>
        <w:t>). Tests for differences in proportions of donors with change in BMD exceeding the least significant change (LSC) at the lumbar spine between the apheresis and control arms in either a positive [apheresis 8 (31%), control 4 (27%), </w:t>
      </w:r>
      <w:r w:rsidRPr="00E8190A">
        <w:rPr>
          <w:rStyle w:val="Emphasis"/>
          <w:rFonts w:eastAsiaTheme="majorEastAsia" w:cstheme="minorHAnsi"/>
          <w:color w:val="2E2E2E"/>
          <w:sz w:val="27"/>
          <w:szCs w:val="27"/>
        </w:rPr>
        <w:t>p</w:t>
      </w:r>
      <w:r w:rsidRPr="00E8190A">
        <w:rPr>
          <w:rFonts w:cstheme="minorHAnsi"/>
        </w:rPr>
        <w:t> = 0.78] or negative direction [apheresis 4 (15%), control 5 (33%)] were statistically non-significant (</w:t>
      </w:r>
      <w:r w:rsidRPr="00E8190A">
        <w:rPr>
          <w:rStyle w:val="Emphasis"/>
          <w:rFonts w:eastAsiaTheme="majorEastAsia" w:cstheme="minorHAnsi"/>
          <w:color w:val="2E2E2E"/>
          <w:sz w:val="27"/>
          <w:szCs w:val="27"/>
        </w:rPr>
        <w:t>p</w:t>
      </w:r>
      <w:r w:rsidRPr="00E8190A">
        <w:rPr>
          <w:rFonts w:cstheme="minorHAnsi"/>
        </w:rPr>
        <w:t> = 0.18) (</w:t>
      </w:r>
      <w:bookmarkStart w:id="37" w:name="bf0020"/>
      <w:r w:rsidRPr="00E8190A">
        <w:rPr>
          <w:rFonts w:cstheme="minorHAnsi"/>
        </w:rPr>
        <w:fldChar w:fldCharType="begin"/>
      </w:r>
      <w:r w:rsidRPr="00E8190A">
        <w:rPr>
          <w:rFonts w:cstheme="minorHAnsi"/>
        </w:rPr>
        <w:instrText xml:space="preserve"> HYPERLINK "https://www.sciencedirect.com/science/article/pii/S2352187218300585?via%3Dihub" \l "f0020" </w:instrText>
      </w:r>
      <w:r w:rsidRPr="00E8190A">
        <w:rPr>
          <w:rFonts w:cstheme="minorHAnsi"/>
        </w:rPr>
        <w:fldChar w:fldCharType="separate"/>
      </w:r>
      <w:r w:rsidRPr="00E8190A">
        <w:rPr>
          <w:rStyle w:val="Hyperlink"/>
          <w:rFonts w:eastAsiaTheme="majorEastAsia" w:cstheme="minorHAnsi"/>
          <w:color w:val="0C7DBB"/>
          <w:sz w:val="27"/>
          <w:szCs w:val="27"/>
        </w:rPr>
        <w:t>Fig. 4</w:t>
      </w:r>
      <w:r w:rsidRPr="00E8190A">
        <w:rPr>
          <w:rFonts w:cstheme="minorHAnsi"/>
        </w:rPr>
        <w:fldChar w:fldCharType="end"/>
      </w:r>
      <w:r w:rsidRPr="00E8190A">
        <w:rPr>
          <w:rFonts w:cstheme="minorHAnsi"/>
        </w:rPr>
        <w:t>). Performing the per protocol analysis (i.e. apheresis donors making ≥20 apheresis donations) did not meaningfully alter these results.</w:t>
      </w:r>
    </w:p>
    <w:p w14:paraId="41E33EF3" w14:textId="651C1F9C" w:rsidR="00E86E48" w:rsidRPr="00E8190A" w:rsidRDefault="00E86E48" w:rsidP="00E86E48">
      <w:pPr>
        <w:spacing w:line="390" w:lineRule="atLeast"/>
        <w:rPr>
          <w:rFonts w:cstheme="minorHAnsi"/>
          <w:color w:val="2E2E2E"/>
          <w:sz w:val="27"/>
          <w:szCs w:val="27"/>
        </w:rPr>
      </w:pPr>
      <w:r w:rsidRPr="00E8190A">
        <w:rPr>
          <w:rFonts w:cstheme="minorHAnsi"/>
          <w:noProof/>
          <w:color w:val="2E2E2E"/>
          <w:sz w:val="27"/>
          <w:szCs w:val="27"/>
        </w:rPr>
        <w:drawing>
          <wp:inline distT="0" distB="0" distL="0" distR="0" wp14:anchorId="0E7983C7" wp14:editId="1C14B1D8">
            <wp:extent cx="3657600" cy="2157984"/>
            <wp:effectExtent l="0" t="0" r="0" b="0"/>
            <wp:docPr id="2" name="Picture 2"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3657600" cy="2157984"/>
                    </a:xfrm>
                    <a:prstGeom prst="rect">
                      <a:avLst/>
                    </a:prstGeom>
                    <a:noFill/>
                    <a:ln>
                      <a:noFill/>
                    </a:ln>
                  </pic:spPr>
                </pic:pic>
              </a:graphicData>
            </a:graphic>
          </wp:inline>
        </w:drawing>
      </w:r>
    </w:p>
    <w:p w14:paraId="2C39F841" w14:textId="77777777" w:rsidR="00E86E48" w:rsidRPr="00E8190A" w:rsidRDefault="00E86E48" w:rsidP="00CE4563">
      <w:pPr>
        <w:pStyle w:val="NoSpacing"/>
        <w:rPr>
          <w:rFonts w:cstheme="minorHAnsi"/>
          <w:color w:val="323232"/>
        </w:rPr>
      </w:pPr>
      <w:r w:rsidRPr="00E8190A">
        <w:rPr>
          <w:rStyle w:val="label"/>
          <w:rFonts w:cstheme="minorHAnsi"/>
          <w:color w:val="323232"/>
        </w:rPr>
        <w:t>Fig. 3</w:t>
      </w:r>
      <w:r w:rsidRPr="00E8190A">
        <w:rPr>
          <w:rFonts w:cstheme="minorHAnsi"/>
          <w:color w:val="323232"/>
        </w:rPr>
        <w:t>. Boxplots showing change in </w:t>
      </w:r>
      <w:hyperlink r:id="rId94" w:tooltip="Learn more about Bone Density from ScienceDirect's AI-generated Topic Pages" w:history="1">
        <w:r w:rsidRPr="00E8190A">
          <w:rPr>
            <w:rStyle w:val="Hyperlink"/>
            <w:rFonts w:eastAsiaTheme="majorEastAsia" w:cstheme="minorHAnsi"/>
            <w:color w:val="0C7DBB"/>
          </w:rPr>
          <w:t>bone mineral density</w:t>
        </w:r>
      </w:hyperlink>
      <w:r w:rsidRPr="00E8190A">
        <w:rPr>
          <w:rFonts w:cstheme="minorHAnsi"/>
          <w:color w:val="323232"/>
        </w:rPr>
        <w:t> at the </w:t>
      </w:r>
      <w:hyperlink r:id="rId95" w:tooltip="Learn more about Lumbar Spine from ScienceDirect's AI-generated Topic Pages" w:history="1">
        <w:r w:rsidRPr="00E8190A">
          <w:rPr>
            <w:rStyle w:val="Hyperlink"/>
            <w:rFonts w:eastAsiaTheme="majorEastAsia" w:cstheme="minorHAnsi"/>
            <w:color w:val="0C7DBB"/>
          </w:rPr>
          <w:t>lumbar spine</w:t>
        </w:r>
      </w:hyperlink>
      <w:r w:rsidRPr="00E8190A">
        <w:rPr>
          <w:rFonts w:cstheme="minorHAnsi"/>
          <w:color w:val="323232"/>
        </w:rPr>
        <w:t> (left) and total hip (right) for control and </w:t>
      </w:r>
      <w:hyperlink r:id="rId96" w:tooltip="Learn more about Apheresis from ScienceDirect's AI-generated Topic Pages" w:history="1">
        <w:r w:rsidRPr="00E8190A">
          <w:rPr>
            <w:rStyle w:val="Hyperlink"/>
            <w:rFonts w:eastAsiaTheme="majorEastAsia" w:cstheme="minorHAnsi"/>
            <w:color w:val="0C7DBB"/>
          </w:rPr>
          <w:t>apheresis</w:t>
        </w:r>
      </w:hyperlink>
      <w:r w:rsidRPr="00E8190A">
        <w:rPr>
          <w:rFonts w:cstheme="minorHAnsi"/>
          <w:color w:val="323232"/>
        </w:rPr>
        <w:t> donors in the ALTRUYST trial. Diamonds indicate mean values; median change is represented as the central horizontal bar within the interquartile range box.</w:t>
      </w:r>
    </w:p>
    <w:p w14:paraId="46F58D23" w14:textId="7EA976D3" w:rsidR="00E86E48" w:rsidRPr="00E8190A" w:rsidRDefault="00E86E48" w:rsidP="00E86E48">
      <w:pPr>
        <w:spacing w:line="390" w:lineRule="atLeast"/>
        <w:rPr>
          <w:rFonts w:cstheme="minorHAnsi"/>
          <w:color w:val="2E2E2E"/>
          <w:sz w:val="27"/>
          <w:szCs w:val="27"/>
        </w:rPr>
      </w:pPr>
      <w:r w:rsidRPr="00E8190A">
        <w:rPr>
          <w:rFonts w:cstheme="minorHAnsi"/>
          <w:noProof/>
          <w:color w:val="2E2E2E"/>
          <w:sz w:val="27"/>
          <w:szCs w:val="27"/>
        </w:rPr>
        <w:lastRenderedPageBreak/>
        <w:drawing>
          <wp:inline distT="0" distB="0" distL="0" distR="0" wp14:anchorId="66C11832" wp14:editId="6FB4462F">
            <wp:extent cx="2743200" cy="4837176"/>
            <wp:effectExtent l="0" t="0" r="0" b="1905"/>
            <wp:docPr id="1" name="Picture 1"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743200" cy="4837176"/>
                    </a:xfrm>
                    <a:prstGeom prst="rect">
                      <a:avLst/>
                    </a:prstGeom>
                    <a:noFill/>
                    <a:ln>
                      <a:noFill/>
                    </a:ln>
                  </pic:spPr>
                </pic:pic>
              </a:graphicData>
            </a:graphic>
          </wp:inline>
        </w:drawing>
      </w:r>
    </w:p>
    <w:p w14:paraId="5020CC00" w14:textId="77777777" w:rsidR="00E86E48" w:rsidRPr="00E8190A" w:rsidRDefault="00E86E48" w:rsidP="00CE4563">
      <w:pPr>
        <w:pStyle w:val="NoSpacing"/>
        <w:rPr>
          <w:rFonts w:cstheme="minorHAnsi"/>
          <w:color w:val="323232"/>
        </w:rPr>
      </w:pPr>
      <w:r w:rsidRPr="00E8190A">
        <w:rPr>
          <w:rStyle w:val="label"/>
          <w:rFonts w:cstheme="minorHAnsi"/>
          <w:color w:val="323232"/>
        </w:rPr>
        <w:t>Fig. 4</w:t>
      </w:r>
      <w:r w:rsidRPr="00E8190A">
        <w:rPr>
          <w:rFonts w:cstheme="minorHAnsi"/>
          <w:color w:val="323232"/>
        </w:rPr>
        <w:t>. Histograms showing mean change in </w:t>
      </w:r>
      <w:hyperlink r:id="rId98" w:tooltip="Learn more about Lumbar Spine from ScienceDirect's AI-generated Topic Pages" w:history="1">
        <w:r w:rsidRPr="00E8190A">
          <w:rPr>
            <w:rStyle w:val="Hyperlink"/>
            <w:rFonts w:eastAsiaTheme="majorEastAsia" w:cstheme="minorHAnsi"/>
            <w:color w:val="0C7DBB"/>
          </w:rPr>
          <w:t>lumbar spine</w:t>
        </w:r>
      </w:hyperlink>
      <w:r w:rsidRPr="00E8190A">
        <w:rPr>
          <w:rFonts w:cstheme="minorHAnsi"/>
          <w:color w:val="323232"/>
        </w:rPr>
        <w:t> BMD (top) and total hip BMD (bottom) in the per protocol analysis with control subjects (light blue) and </w:t>
      </w:r>
      <w:hyperlink r:id="rId99" w:tooltip="Learn more about Apheresis from ScienceDirect's AI-generated Topic Pages" w:history="1">
        <w:r w:rsidRPr="00E8190A">
          <w:rPr>
            <w:rStyle w:val="Hyperlink"/>
            <w:rFonts w:eastAsiaTheme="majorEastAsia" w:cstheme="minorHAnsi"/>
            <w:color w:val="0C7DBB"/>
          </w:rPr>
          <w:t>apheresis</w:t>
        </w:r>
      </w:hyperlink>
      <w:r w:rsidRPr="00E8190A">
        <w:rPr>
          <w:rFonts w:cstheme="minorHAnsi"/>
          <w:color w:val="323232"/>
        </w:rPr>
        <w:t> donors (dark blue). </w:t>
      </w:r>
      <w:r w:rsidRPr="00E8190A">
        <w:rPr>
          <w:rStyle w:val="Emphasis"/>
          <w:rFonts w:eastAsiaTheme="majorEastAsia" w:cstheme="minorHAnsi"/>
          <w:color w:val="323232"/>
        </w:rPr>
        <w:t>p</w:t>
      </w:r>
      <w:r w:rsidRPr="00E8190A">
        <w:rPr>
          <w:rFonts w:cstheme="minorHAnsi"/>
          <w:color w:val="323232"/>
        </w:rPr>
        <w:t> values represent test for proportions, both decrease and increase exceeding the least significant change, control versus treatment at the lumbar spine (LS) and total hip (TH). (For interpretation of the references to color in this figure legend, the reader is referred to the web version of this article.)</w:t>
      </w:r>
    </w:p>
    <w:p w14:paraId="1B33629E" w14:textId="77777777" w:rsidR="00CE4563" w:rsidRPr="00E8190A" w:rsidRDefault="00CE4563" w:rsidP="00CE4563">
      <w:pPr>
        <w:rPr>
          <w:rFonts w:cstheme="minorHAnsi"/>
        </w:rPr>
      </w:pPr>
    </w:p>
    <w:p w14:paraId="153EE967" w14:textId="3637F15E" w:rsidR="00E86E48" w:rsidRPr="00E8190A" w:rsidRDefault="00E86E48" w:rsidP="00CE4563">
      <w:pPr>
        <w:rPr>
          <w:rFonts w:cstheme="minorHAnsi"/>
        </w:rPr>
      </w:pPr>
      <w:r w:rsidRPr="00E8190A">
        <w:rPr>
          <w:rFonts w:cstheme="minorHAnsi"/>
        </w:rPr>
        <w:t>Change in mean BMD at the total hip was not statistically significant for control donors (1.026 g/cm</w:t>
      </w:r>
      <w:r w:rsidRPr="00E8190A">
        <w:rPr>
          <w:rFonts w:cstheme="minorHAnsi"/>
          <w:sz w:val="20"/>
          <w:szCs w:val="20"/>
          <w:vertAlign w:val="superscript"/>
        </w:rPr>
        <w:t>2</w:t>
      </w:r>
      <w:r w:rsidRPr="00E8190A">
        <w:rPr>
          <w:rFonts w:cstheme="minorHAnsi"/>
        </w:rPr>
        <w:t> at enrollment, mean change = 0.002 g/cm</w:t>
      </w:r>
      <w:r w:rsidRPr="00E8190A">
        <w:rPr>
          <w:rFonts w:cstheme="minorHAnsi"/>
          <w:sz w:val="20"/>
          <w:szCs w:val="20"/>
          <w:vertAlign w:val="superscript"/>
        </w:rPr>
        <w:t>2</w:t>
      </w:r>
      <w:r w:rsidRPr="00E8190A">
        <w:rPr>
          <w:rFonts w:cstheme="minorHAnsi"/>
        </w:rPr>
        <w:t>, CI [−0.006, 0.009], </w:t>
      </w:r>
      <w:r w:rsidRPr="00E8190A">
        <w:rPr>
          <w:rStyle w:val="Emphasis"/>
          <w:rFonts w:eastAsiaTheme="majorEastAsia" w:cstheme="minorHAnsi"/>
          <w:color w:val="2E2E2E"/>
          <w:sz w:val="27"/>
          <w:szCs w:val="27"/>
        </w:rPr>
        <w:t>p</w:t>
      </w:r>
      <w:r w:rsidRPr="00E8190A">
        <w:rPr>
          <w:rFonts w:cstheme="minorHAnsi"/>
        </w:rPr>
        <w:t> = 0.63) or apheresis donors (1.133 g/cm</w:t>
      </w:r>
      <w:r w:rsidRPr="00E8190A">
        <w:rPr>
          <w:rFonts w:cstheme="minorHAnsi"/>
          <w:sz w:val="20"/>
          <w:szCs w:val="20"/>
          <w:vertAlign w:val="superscript"/>
        </w:rPr>
        <w:t>2</w:t>
      </w:r>
      <w:r w:rsidRPr="00E8190A">
        <w:rPr>
          <w:rFonts w:cstheme="minorHAnsi"/>
        </w:rPr>
        <w:t> at enrollment, 1.129 g/cm</w:t>
      </w:r>
      <w:r w:rsidRPr="00E8190A">
        <w:rPr>
          <w:rFonts w:cstheme="minorHAnsi"/>
          <w:sz w:val="20"/>
          <w:szCs w:val="20"/>
          <w:vertAlign w:val="superscript"/>
        </w:rPr>
        <w:t>2</w:t>
      </w:r>
      <w:r w:rsidRPr="00E8190A">
        <w:rPr>
          <w:rFonts w:cstheme="minorHAnsi"/>
        </w:rPr>
        <w:t> at follow-up, mean change = −0.004 g/cm</w:t>
      </w:r>
      <w:r w:rsidRPr="00E8190A">
        <w:rPr>
          <w:rFonts w:cstheme="minorHAnsi"/>
          <w:sz w:val="20"/>
          <w:szCs w:val="20"/>
          <w:vertAlign w:val="superscript"/>
        </w:rPr>
        <w:t>2</w:t>
      </w:r>
      <w:r w:rsidRPr="00E8190A">
        <w:rPr>
          <w:rFonts w:cstheme="minorHAnsi"/>
        </w:rPr>
        <w:t>, CI [−0.10, 0.002], </w:t>
      </w:r>
      <w:r w:rsidRPr="00E8190A">
        <w:rPr>
          <w:rStyle w:val="Emphasis"/>
          <w:rFonts w:eastAsiaTheme="majorEastAsia" w:cstheme="minorHAnsi"/>
          <w:color w:val="2E2E2E"/>
          <w:sz w:val="27"/>
          <w:szCs w:val="27"/>
        </w:rPr>
        <w:t>p</w:t>
      </w:r>
      <w:r w:rsidRPr="00E8190A">
        <w:rPr>
          <w:rFonts w:cstheme="minorHAnsi"/>
        </w:rPr>
        <w:t> = 0.16) (</w:t>
      </w:r>
      <w:hyperlink r:id="rId100" w:anchor="f0015" w:history="1">
        <w:r w:rsidRPr="00E8190A">
          <w:rPr>
            <w:rStyle w:val="Hyperlink"/>
            <w:rFonts w:eastAsiaTheme="majorEastAsia" w:cstheme="minorHAnsi"/>
            <w:color w:val="0C7DBB"/>
            <w:sz w:val="27"/>
            <w:szCs w:val="27"/>
          </w:rPr>
          <w:t>Fig. 3</w:t>
        </w:r>
      </w:hyperlink>
      <w:bookmarkEnd w:id="36"/>
      <w:r w:rsidRPr="00E8190A">
        <w:rPr>
          <w:rFonts w:cstheme="minorHAnsi"/>
        </w:rPr>
        <w:t>). Proportional increases [apheresis 0 (0%), control 1 (7%), </w:t>
      </w:r>
      <w:r w:rsidRPr="00E8190A">
        <w:rPr>
          <w:rStyle w:val="Emphasis"/>
          <w:rFonts w:eastAsiaTheme="majorEastAsia" w:cstheme="minorHAnsi"/>
          <w:color w:val="2E2E2E"/>
          <w:sz w:val="27"/>
          <w:szCs w:val="27"/>
        </w:rPr>
        <w:t>p</w:t>
      </w:r>
      <w:r w:rsidRPr="00E8190A">
        <w:rPr>
          <w:rFonts w:cstheme="minorHAnsi"/>
        </w:rPr>
        <w:t> = 0.18] and decreases [apheresis 3 (12%), control 1 (14%)] were also not significantly different (</w:t>
      </w:r>
      <w:r w:rsidRPr="00E8190A">
        <w:rPr>
          <w:rStyle w:val="Emphasis"/>
          <w:rFonts w:eastAsiaTheme="majorEastAsia" w:cstheme="minorHAnsi"/>
          <w:color w:val="2E2E2E"/>
          <w:sz w:val="27"/>
          <w:szCs w:val="27"/>
        </w:rPr>
        <w:t>p</w:t>
      </w:r>
      <w:r w:rsidRPr="00E8190A">
        <w:rPr>
          <w:rFonts w:cstheme="minorHAnsi"/>
        </w:rPr>
        <w:t> = 0.61) at the total hip (</w:t>
      </w:r>
      <w:hyperlink r:id="rId101" w:anchor="f0020" w:history="1">
        <w:r w:rsidRPr="00E8190A">
          <w:rPr>
            <w:rStyle w:val="Hyperlink"/>
            <w:rFonts w:eastAsiaTheme="majorEastAsia" w:cstheme="minorHAnsi"/>
            <w:color w:val="0C7DBB"/>
            <w:sz w:val="27"/>
            <w:szCs w:val="27"/>
          </w:rPr>
          <w:t>Fig. 4</w:t>
        </w:r>
      </w:hyperlink>
      <w:bookmarkEnd w:id="37"/>
      <w:r w:rsidRPr="00E8190A">
        <w:rPr>
          <w:rFonts w:cstheme="minorHAnsi"/>
        </w:rPr>
        <w:t>). Performing the per protocol analysis did not meaningfully alter these results. Multivariable </w:t>
      </w:r>
      <w:hyperlink r:id="rId102" w:tooltip="Learn more about Logistic Regression Analysis from ScienceDirect's AI-generated Topic Pages" w:history="1">
        <w:r w:rsidRPr="00E8190A">
          <w:rPr>
            <w:rStyle w:val="Hyperlink"/>
            <w:rFonts w:eastAsiaTheme="majorEastAsia" w:cstheme="minorHAnsi"/>
            <w:color w:val="0C7DBB"/>
            <w:sz w:val="27"/>
            <w:szCs w:val="27"/>
          </w:rPr>
          <w:t>logistic regression</w:t>
        </w:r>
      </w:hyperlink>
      <w:r w:rsidRPr="00E8190A">
        <w:rPr>
          <w:rFonts w:cstheme="minorHAnsi"/>
        </w:rPr>
        <w:t> with change exceeding the LSC in both positive (gain in BMD) and negative (loss of BMD) directions using automated stepwise backwards elimination did not identify baseline covariates that were significantly associated with either outcome (</w:t>
      </w:r>
      <w:bookmarkStart w:id="38" w:name="bt0015"/>
      <w:r w:rsidRPr="00E8190A">
        <w:rPr>
          <w:rFonts w:cstheme="minorHAnsi"/>
        </w:rPr>
        <w:fldChar w:fldCharType="begin"/>
      </w:r>
      <w:r w:rsidRPr="00E8190A">
        <w:rPr>
          <w:rFonts w:cstheme="minorHAnsi"/>
        </w:rPr>
        <w:instrText xml:space="preserve"> HYPERLINK "https://www.sciencedirect.com/science/article/pii/S2352187218300585?via%3Dihub" \l "t0015" </w:instrText>
      </w:r>
      <w:r w:rsidRPr="00E8190A">
        <w:rPr>
          <w:rFonts w:cstheme="minorHAnsi"/>
        </w:rPr>
        <w:fldChar w:fldCharType="separate"/>
      </w:r>
      <w:r w:rsidRPr="00E8190A">
        <w:rPr>
          <w:rStyle w:val="Hyperlink"/>
          <w:rFonts w:eastAsiaTheme="majorEastAsia" w:cstheme="minorHAnsi"/>
          <w:color w:val="0C7DBB"/>
          <w:sz w:val="27"/>
          <w:szCs w:val="27"/>
        </w:rPr>
        <w:t>Table 3</w:t>
      </w:r>
      <w:r w:rsidRPr="00E8190A">
        <w:rPr>
          <w:rFonts w:cstheme="minorHAnsi"/>
        </w:rPr>
        <w:fldChar w:fldCharType="end"/>
      </w:r>
      <w:bookmarkEnd w:id="38"/>
      <w:r w:rsidRPr="00E8190A">
        <w:rPr>
          <w:rFonts w:cstheme="minorHAnsi"/>
        </w:rPr>
        <w:t>).</w:t>
      </w:r>
    </w:p>
    <w:p w14:paraId="298CE03F" w14:textId="77777777" w:rsidR="00E86E48" w:rsidRPr="00E8190A" w:rsidRDefault="00E86E48" w:rsidP="00E86E48">
      <w:pPr>
        <w:pStyle w:val="NormalWeb"/>
        <w:spacing w:before="0" w:beforeAutospacing="0" w:after="0" w:afterAutospacing="0" w:line="330" w:lineRule="atLeast"/>
        <w:rPr>
          <w:rFonts w:asciiTheme="minorHAnsi" w:hAnsiTheme="minorHAnsi" w:cstheme="minorHAnsi"/>
          <w:color w:val="323232"/>
        </w:rPr>
      </w:pPr>
      <w:r w:rsidRPr="00E8190A">
        <w:rPr>
          <w:rStyle w:val="label"/>
          <w:rFonts w:asciiTheme="minorHAnsi" w:hAnsiTheme="minorHAnsi" w:cstheme="minorHAnsi"/>
          <w:color w:val="323232"/>
          <w:sz w:val="21"/>
          <w:szCs w:val="21"/>
        </w:rPr>
        <w:t>Table 3</w:t>
      </w:r>
      <w:r w:rsidRPr="00E8190A">
        <w:rPr>
          <w:rFonts w:asciiTheme="minorHAnsi" w:hAnsiTheme="minorHAnsi" w:cstheme="minorHAnsi"/>
          <w:color w:val="323232"/>
        </w:rPr>
        <w:t>. Results of exploratory multivariable </w:t>
      </w:r>
      <w:hyperlink r:id="rId103" w:tooltip="Learn more about Logistic Regression Analysis from ScienceDirect's AI-generated Topic Pages" w:history="1">
        <w:r w:rsidRPr="00E8190A">
          <w:rPr>
            <w:rStyle w:val="Hyperlink"/>
            <w:rFonts w:asciiTheme="minorHAnsi" w:eastAsiaTheme="majorEastAsia" w:hAnsiTheme="minorHAnsi" w:cstheme="minorHAnsi"/>
            <w:color w:val="0C7DBB"/>
          </w:rPr>
          <w:t xml:space="preserve">logistic regression </w:t>
        </w:r>
        <w:proofErr w:type="spellStart"/>
        <w:r w:rsidRPr="00E8190A">
          <w:rPr>
            <w:rStyle w:val="Hyperlink"/>
            <w:rFonts w:asciiTheme="minorHAnsi" w:eastAsiaTheme="majorEastAsia" w:hAnsiTheme="minorHAnsi" w:cstheme="minorHAnsi"/>
            <w:color w:val="0C7DBB"/>
          </w:rPr>
          <w:t>analysis</w:t>
        </w:r>
      </w:hyperlink>
      <w:r w:rsidRPr="00E8190A">
        <w:rPr>
          <w:rFonts w:asciiTheme="minorHAnsi" w:hAnsiTheme="minorHAnsi" w:cstheme="minorHAnsi"/>
          <w:color w:val="323232"/>
        </w:rPr>
        <w:t>with</w:t>
      </w:r>
      <w:proofErr w:type="spellEnd"/>
      <w:r w:rsidRPr="00E8190A">
        <w:rPr>
          <w:rFonts w:asciiTheme="minorHAnsi" w:hAnsiTheme="minorHAnsi" w:cstheme="minorHAnsi"/>
          <w:color w:val="323232"/>
        </w:rPr>
        <w:t xml:space="preserve"> change in </w:t>
      </w:r>
      <w:hyperlink r:id="rId104" w:tooltip="Learn more about Bone Density from ScienceDirect's AI-generated Topic Pages" w:history="1">
        <w:r w:rsidRPr="00E8190A">
          <w:rPr>
            <w:rStyle w:val="Hyperlink"/>
            <w:rFonts w:asciiTheme="minorHAnsi" w:eastAsiaTheme="majorEastAsia" w:hAnsiTheme="minorHAnsi" w:cstheme="minorHAnsi"/>
            <w:color w:val="0C7DBB"/>
          </w:rPr>
          <w:t>bone mineral density</w:t>
        </w:r>
      </w:hyperlink>
      <w:r w:rsidRPr="00E8190A">
        <w:rPr>
          <w:rFonts w:asciiTheme="minorHAnsi" w:hAnsiTheme="minorHAnsi" w:cstheme="minorHAnsi"/>
          <w:color w:val="323232"/>
        </w:rPr>
        <w:t> as the outcome [coefficient (</w:t>
      </w:r>
      <w:r w:rsidRPr="00E8190A">
        <w:rPr>
          <w:rStyle w:val="Emphasis"/>
          <w:rFonts w:asciiTheme="minorHAnsi" w:eastAsiaTheme="majorEastAsia" w:hAnsiTheme="minorHAnsi" w:cstheme="minorHAnsi"/>
          <w:color w:val="323232"/>
        </w:rPr>
        <w:t>p</w:t>
      </w:r>
      <w:r w:rsidRPr="00E8190A">
        <w:rPr>
          <w:rFonts w:asciiTheme="minorHAnsi" w:hAnsiTheme="minorHAnsi" w:cstheme="minorHAnsi"/>
          <w:color w:val="323232"/>
        </w:rPr>
        <w:t> value)].</w:t>
      </w:r>
    </w:p>
    <w:tbl>
      <w:tblPr>
        <w:tblStyle w:val="TableGrid"/>
        <w:tblW w:w="5000" w:type="pct"/>
        <w:tblLook w:val="04A0" w:firstRow="1" w:lastRow="0" w:firstColumn="1" w:lastColumn="0" w:noHBand="0" w:noVBand="1"/>
      </w:tblPr>
      <w:tblGrid>
        <w:gridCol w:w="3339"/>
        <w:gridCol w:w="1958"/>
        <w:gridCol w:w="1460"/>
        <w:gridCol w:w="1855"/>
        <w:gridCol w:w="1458"/>
      </w:tblGrid>
      <w:tr w:rsidR="005D747F" w:rsidRPr="00E8190A" w14:paraId="02020E95" w14:textId="77777777" w:rsidTr="00335B90">
        <w:tc>
          <w:tcPr>
            <w:tcW w:w="1658" w:type="pct"/>
            <w:hideMark/>
          </w:tcPr>
          <w:p w14:paraId="1C83A3D6" w14:textId="77777777" w:rsidR="005D747F" w:rsidRPr="00E8190A" w:rsidRDefault="005D747F" w:rsidP="00335B90">
            <w:pPr>
              <w:pStyle w:val="NoSpacing"/>
            </w:pPr>
          </w:p>
        </w:tc>
        <w:tc>
          <w:tcPr>
            <w:tcW w:w="972" w:type="pct"/>
            <w:hideMark/>
          </w:tcPr>
          <w:p w14:paraId="5BCE7194" w14:textId="77777777" w:rsidR="005D747F" w:rsidRPr="00E8190A" w:rsidRDefault="005D747F" w:rsidP="00335B90">
            <w:pPr>
              <w:pStyle w:val="NoSpacing"/>
              <w:rPr>
                <w:b/>
                <w:bCs/>
                <w:sz w:val="21"/>
                <w:szCs w:val="21"/>
              </w:rPr>
            </w:pPr>
            <w:r w:rsidRPr="00E8190A">
              <w:rPr>
                <w:b/>
                <w:bCs/>
                <w:sz w:val="21"/>
                <w:szCs w:val="21"/>
              </w:rPr>
              <w:t>Negative change</w:t>
            </w:r>
          </w:p>
        </w:tc>
        <w:tc>
          <w:tcPr>
            <w:tcW w:w="725" w:type="pct"/>
          </w:tcPr>
          <w:p w14:paraId="0130FF25" w14:textId="6BA95FD5" w:rsidR="005D747F" w:rsidRPr="00E8190A" w:rsidRDefault="005D747F" w:rsidP="00335B90">
            <w:pPr>
              <w:pStyle w:val="NoSpacing"/>
              <w:rPr>
                <w:b/>
                <w:bCs/>
                <w:sz w:val="21"/>
                <w:szCs w:val="21"/>
              </w:rPr>
            </w:pPr>
          </w:p>
        </w:tc>
        <w:tc>
          <w:tcPr>
            <w:tcW w:w="921" w:type="pct"/>
            <w:hideMark/>
          </w:tcPr>
          <w:p w14:paraId="7879C49C" w14:textId="77777777" w:rsidR="005D747F" w:rsidRPr="00E8190A" w:rsidRDefault="005D747F" w:rsidP="00335B90">
            <w:pPr>
              <w:pStyle w:val="NoSpacing"/>
              <w:rPr>
                <w:b/>
                <w:bCs/>
                <w:sz w:val="21"/>
                <w:szCs w:val="21"/>
              </w:rPr>
            </w:pPr>
            <w:r w:rsidRPr="00E8190A">
              <w:rPr>
                <w:b/>
                <w:bCs/>
                <w:sz w:val="21"/>
                <w:szCs w:val="21"/>
              </w:rPr>
              <w:t>Positive change</w:t>
            </w:r>
          </w:p>
        </w:tc>
        <w:tc>
          <w:tcPr>
            <w:tcW w:w="725" w:type="pct"/>
          </w:tcPr>
          <w:p w14:paraId="4FB8DCF9" w14:textId="6499B9CC" w:rsidR="005D747F" w:rsidRPr="00E8190A" w:rsidRDefault="005D747F" w:rsidP="00335B90">
            <w:pPr>
              <w:pStyle w:val="NoSpacing"/>
              <w:rPr>
                <w:b/>
                <w:bCs/>
                <w:sz w:val="21"/>
                <w:szCs w:val="21"/>
              </w:rPr>
            </w:pPr>
          </w:p>
        </w:tc>
      </w:tr>
      <w:tr w:rsidR="002A7852" w:rsidRPr="00E8190A" w14:paraId="69E9D0C4" w14:textId="77777777" w:rsidTr="00335B90">
        <w:tc>
          <w:tcPr>
            <w:tcW w:w="1658" w:type="pct"/>
            <w:hideMark/>
          </w:tcPr>
          <w:p w14:paraId="23F62C11" w14:textId="77777777" w:rsidR="002A7852" w:rsidRPr="00E8190A" w:rsidRDefault="002A7852" w:rsidP="00335B90">
            <w:pPr>
              <w:pStyle w:val="NoSpacing"/>
              <w:rPr>
                <w:sz w:val="24"/>
                <w:szCs w:val="24"/>
              </w:rPr>
            </w:pPr>
          </w:p>
        </w:tc>
        <w:tc>
          <w:tcPr>
            <w:tcW w:w="972" w:type="pct"/>
            <w:hideMark/>
          </w:tcPr>
          <w:p w14:paraId="36055C06" w14:textId="77777777" w:rsidR="002A7852" w:rsidRPr="00E8190A" w:rsidRDefault="002A7852" w:rsidP="00335B90">
            <w:pPr>
              <w:pStyle w:val="NoSpacing"/>
              <w:rPr>
                <w:b/>
                <w:bCs/>
                <w:sz w:val="21"/>
                <w:szCs w:val="21"/>
              </w:rPr>
            </w:pPr>
            <w:r w:rsidRPr="00E8190A">
              <w:rPr>
                <w:b/>
                <w:bCs/>
                <w:sz w:val="21"/>
                <w:szCs w:val="21"/>
              </w:rPr>
              <w:t>Lumbar spine</w:t>
            </w:r>
          </w:p>
        </w:tc>
        <w:tc>
          <w:tcPr>
            <w:tcW w:w="725" w:type="pct"/>
            <w:hideMark/>
          </w:tcPr>
          <w:p w14:paraId="06A8267A" w14:textId="77777777" w:rsidR="002A7852" w:rsidRPr="00E8190A" w:rsidRDefault="002A7852" w:rsidP="00335B90">
            <w:pPr>
              <w:pStyle w:val="NoSpacing"/>
              <w:rPr>
                <w:b/>
                <w:bCs/>
                <w:sz w:val="21"/>
                <w:szCs w:val="21"/>
              </w:rPr>
            </w:pPr>
            <w:r w:rsidRPr="00E8190A">
              <w:rPr>
                <w:b/>
                <w:bCs/>
                <w:sz w:val="21"/>
                <w:szCs w:val="21"/>
              </w:rPr>
              <w:t>Total hip</w:t>
            </w:r>
          </w:p>
        </w:tc>
        <w:tc>
          <w:tcPr>
            <w:tcW w:w="921" w:type="pct"/>
            <w:hideMark/>
          </w:tcPr>
          <w:p w14:paraId="7BD8D70E" w14:textId="77777777" w:rsidR="002A7852" w:rsidRPr="00E8190A" w:rsidRDefault="002A7852" w:rsidP="00335B90">
            <w:pPr>
              <w:pStyle w:val="NoSpacing"/>
              <w:rPr>
                <w:b/>
                <w:bCs/>
                <w:sz w:val="21"/>
                <w:szCs w:val="21"/>
              </w:rPr>
            </w:pPr>
            <w:r w:rsidRPr="00E8190A">
              <w:rPr>
                <w:b/>
                <w:bCs/>
                <w:sz w:val="21"/>
                <w:szCs w:val="21"/>
              </w:rPr>
              <w:t>Lumbar spine</w:t>
            </w:r>
          </w:p>
        </w:tc>
        <w:tc>
          <w:tcPr>
            <w:tcW w:w="725" w:type="pct"/>
            <w:hideMark/>
          </w:tcPr>
          <w:p w14:paraId="48BF31E4" w14:textId="77777777" w:rsidR="002A7852" w:rsidRPr="00E8190A" w:rsidRDefault="002A7852" w:rsidP="00335B90">
            <w:pPr>
              <w:pStyle w:val="NoSpacing"/>
              <w:rPr>
                <w:b/>
                <w:bCs/>
                <w:sz w:val="21"/>
                <w:szCs w:val="21"/>
              </w:rPr>
            </w:pPr>
            <w:r w:rsidRPr="00E8190A">
              <w:rPr>
                <w:b/>
                <w:bCs/>
                <w:sz w:val="21"/>
                <w:szCs w:val="21"/>
              </w:rPr>
              <w:t>Total hip</w:t>
            </w:r>
          </w:p>
        </w:tc>
      </w:tr>
      <w:tr w:rsidR="00E86E48" w:rsidRPr="00E8190A" w14:paraId="6AE1703D" w14:textId="77777777" w:rsidTr="00335B90">
        <w:tc>
          <w:tcPr>
            <w:tcW w:w="1658" w:type="pct"/>
            <w:hideMark/>
          </w:tcPr>
          <w:p w14:paraId="49FAE058" w14:textId="77777777" w:rsidR="00E86E48" w:rsidRPr="00E8190A" w:rsidRDefault="00E86E48" w:rsidP="00335B90">
            <w:pPr>
              <w:pStyle w:val="NoSpacing"/>
              <w:rPr>
                <w:b/>
                <w:bCs/>
                <w:sz w:val="21"/>
                <w:szCs w:val="21"/>
              </w:rPr>
            </w:pPr>
            <w:r w:rsidRPr="00E8190A">
              <w:rPr>
                <w:b/>
                <w:bCs/>
                <w:sz w:val="21"/>
                <w:szCs w:val="21"/>
              </w:rPr>
              <w:t>Apheresis versus no apheresis</w:t>
            </w:r>
          </w:p>
        </w:tc>
        <w:tc>
          <w:tcPr>
            <w:tcW w:w="972" w:type="pct"/>
            <w:hideMark/>
          </w:tcPr>
          <w:p w14:paraId="387D7473" w14:textId="77777777" w:rsidR="00E86E48" w:rsidRPr="00E8190A" w:rsidRDefault="00E86E48" w:rsidP="00335B90">
            <w:pPr>
              <w:pStyle w:val="NoSpacing"/>
              <w:rPr>
                <w:sz w:val="21"/>
                <w:szCs w:val="21"/>
              </w:rPr>
            </w:pPr>
            <w:r w:rsidRPr="00E8190A">
              <w:rPr>
                <w:sz w:val="21"/>
                <w:szCs w:val="21"/>
              </w:rPr>
              <w:t>0.31 (0.08)</w:t>
            </w:r>
          </w:p>
        </w:tc>
        <w:tc>
          <w:tcPr>
            <w:tcW w:w="725" w:type="pct"/>
            <w:hideMark/>
          </w:tcPr>
          <w:p w14:paraId="3FE92982" w14:textId="77777777" w:rsidR="00E86E48" w:rsidRPr="00E8190A" w:rsidRDefault="00E86E48" w:rsidP="00335B90">
            <w:pPr>
              <w:pStyle w:val="NoSpacing"/>
              <w:rPr>
                <w:sz w:val="21"/>
                <w:szCs w:val="21"/>
              </w:rPr>
            </w:pPr>
            <w:r w:rsidRPr="00E8190A">
              <w:rPr>
                <w:sz w:val="21"/>
                <w:szCs w:val="21"/>
              </w:rPr>
              <w:t>0.56 (0.74)</w:t>
            </w:r>
          </w:p>
        </w:tc>
        <w:tc>
          <w:tcPr>
            <w:tcW w:w="921" w:type="pct"/>
            <w:hideMark/>
          </w:tcPr>
          <w:p w14:paraId="6EEA2FDF" w14:textId="77777777" w:rsidR="00E86E48" w:rsidRPr="00E8190A" w:rsidRDefault="00E86E48" w:rsidP="00335B90">
            <w:pPr>
              <w:pStyle w:val="NoSpacing"/>
              <w:rPr>
                <w:sz w:val="21"/>
                <w:szCs w:val="21"/>
              </w:rPr>
            </w:pPr>
            <w:r w:rsidRPr="00E8190A">
              <w:rPr>
                <w:sz w:val="21"/>
                <w:szCs w:val="21"/>
              </w:rPr>
              <w:t>0.00 (0.99)</w:t>
            </w:r>
          </w:p>
        </w:tc>
        <w:tc>
          <w:tcPr>
            <w:tcW w:w="725" w:type="pct"/>
            <w:hideMark/>
          </w:tcPr>
          <w:p w14:paraId="293B8170" w14:textId="77777777" w:rsidR="00E86E48" w:rsidRPr="00E8190A" w:rsidRDefault="00E86E48" w:rsidP="00335B90">
            <w:pPr>
              <w:pStyle w:val="NoSpacing"/>
              <w:rPr>
                <w:sz w:val="21"/>
                <w:szCs w:val="21"/>
              </w:rPr>
            </w:pPr>
            <w:r w:rsidRPr="00E8190A">
              <w:rPr>
                <w:sz w:val="21"/>
                <w:szCs w:val="21"/>
              </w:rPr>
              <w:t>0.56 (0.74)</w:t>
            </w:r>
          </w:p>
        </w:tc>
      </w:tr>
      <w:tr w:rsidR="00E86E48" w:rsidRPr="00E8190A" w14:paraId="2151BBA9" w14:textId="77777777" w:rsidTr="00335B90">
        <w:tc>
          <w:tcPr>
            <w:tcW w:w="1658" w:type="pct"/>
            <w:hideMark/>
          </w:tcPr>
          <w:p w14:paraId="659BCA18" w14:textId="77777777" w:rsidR="00E86E48" w:rsidRPr="00E8190A" w:rsidRDefault="00E86E48" w:rsidP="00335B90">
            <w:pPr>
              <w:pStyle w:val="NoSpacing"/>
              <w:rPr>
                <w:b/>
                <w:bCs/>
                <w:sz w:val="21"/>
                <w:szCs w:val="21"/>
              </w:rPr>
            </w:pPr>
            <w:r w:rsidRPr="00E8190A">
              <w:rPr>
                <w:b/>
                <w:bCs/>
                <w:sz w:val="21"/>
                <w:szCs w:val="21"/>
              </w:rPr>
              <w:t>Age</w:t>
            </w:r>
          </w:p>
        </w:tc>
        <w:tc>
          <w:tcPr>
            <w:tcW w:w="972" w:type="pct"/>
            <w:hideMark/>
          </w:tcPr>
          <w:p w14:paraId="24A4F754" w14:textId="77777777" w:rsidR="00E86E48" w:rsidRPr="00E8190A" w:rsidRDefault="00E86E48" w:rsidP="00335B90">
            <w:pPr>
              <w:pStyle w:val="NoSpacing"/>
              <w:rPr>
                <w:sz w:val="21"/>
                <w:szCs w:val="21"/>
              </w:rPr>
            </w:pPr>
            <w:r w:rsidRPr="00E8190A">
              <w:rPr>
                <w:sz w:val="21"/>
                <w:szCs w:val="21"/>
              </w:rPr>
              <w:t>−0.02 (0.07)</w:t>
            </w:r>
          </w:p>
        </w:tc>
        <w:tc>
          <w:tcPr>
            <w:tcW w:w="725" w:type="pct"/>
            <w:hideMark/>
          </w:tcPr>
          <w:p w14:paraId="67B1079D" w14:textId="77777777" w:rsidR="00E86E48" w:rsidRPr="00E8190A" w:rsidRDefault="00E86E48" w:rsidP="00335B90">
            <w:pPr>
              <w:pStyle w:val="NoSpacing"/>
              <w:rPr>
                <w:sz w:val="21"/>
                <w:szCs w:val="21"/>
              </w:rPr>
            </w:pPr>
            <w:r w:rsidRPr="00E8190A">
              <w:rPr>
                <w:sz w:val="21"/>
                <w:szCs w:val="21"/>
              </w:rPr>
              <w:t>0.00 (0.94)</w:t>
            </w:r>
          </w:p>
        </w:tc>
        <w:tc>
          <w:tcPr>
            <w:tcW w:w="921" w:type="pct"/>
            <w:hideMark/>
          </w:tcPr>
          <w:p w14:paraId="0D7DF16C" w14:textId="77777777" w:rsidR="00E86E48" w:rsidRPr="00E8190A" w:rsidRDefault="00E86E48" w:rsidP="00335B90">
            <w:pPr>
              <w:pStyle w:val="NoSpacing"/>
              <w:rPr>
                <w:sz w:val="21"/>
                <w:szCs w:val="21"/>
              </w:rPr>
            </w:pPr>
            <w:r w:rsidRPr="00E8190A">
              <w:rPr>
                <w:sz w:val="21"/>
                <w:szCs w:val="21"/>
              </w:rPr>
              <w:t>0.01 (0.45)</w:t>
            </w:r>
          </w:p>
        </w:tc>
        <w:tc>
          <w:tcPr>
            <w:tcW w:w="725" w:type="pct"/>
            <w:hideMark/>
          </w:tcPr>
          <w:p w14:paraId="33A3787A" w14:textId="77777777" w:rsidR="00E86E48" w:rsidRPr="00E8190A" w:rsidRDefault="00E86E48" w:rsidP="00335B90">
            <w:pPr>
              <w:pStyle w:val="NoSpacing"/>
              <w:rPr>
                <w:sz w:val="21"/>
                <w:szCs w:val="21"/>
              </w:rPr>
            </w:pPr>
            <w:r w:rsidRPr="00E8190A">
              <w:rPr>
                <w:sz w:val="21"/>
                <w:szCs w:val="21"/>
              </w:rPr>
              <w:t>0.00 (0.94)</w:t>
            </w:r>
          </w:p>
        </w:tc>
      </w:tr>
      <w:tr w:rsidR="00E86E48" w:rsidRPr="00E8190A" w14:paraId="54FE6949" w14:textId="77777777" w:rsidTr="00335B90">
        <w:tc>
          <w:tcPr>
            <w:tcW w:w="1658" w:type="pct"/>
            <w:hideMark/>
          </w:tcPr>
          <w:p w14:paraId="579905FB" w14:textId="77777777" w:rsidR="00E86E48" w:rsidRPr="00E8190A" w:rsidRDefault="00E86E48" w:rsidP="00335B90">
            <w:pPr>
              <w:pStyle w:val="NoSpacing"/>
              <w:rPr>
                <w:b/>
                <w:bCs/>
                <w:sz w:val="21"/>
                <w:szCs w:val="21"/>
              </w:rPr>
            </w:pPr>
            <w:r w:rsidRPr="00E8190A">
              <w:rPr>
                <w:b/>
                <w:bCs/>
                <w:sz w:val="21"/>
                <w:szCs w:val="21"/>
              </w:rPr>
              <w:t>Risk factors = 1</w:t>
            </w:r>
          </w:p>
        </w:tc>
        <w:tc>
          <w:tcPr>
            <w:tcW w:w="972" w:type="pct"/>
            <w:hideMark/>
          </w:tcPr>
          <w:p w14:paraId="248741E1" w14:textId="77777777" w:rsidR="00E86E48" w:rsidRPr="00E8190A" w:rsidRDefault="00E86E48" w:rsidP="00335B90">
            <w:pPr>
              <w:pStyle w:val="NoSpacing"/>
              <w:rPr>
                <w:sz w:val="21"/>
                <w:szCs w:val="21"/>
              </w:rPr>
            </w:pPr>
            <w:r w:rsidRPr="00E8190A">
              <w:rPr>
                <w:sz w:val="21"/>
                <w:szCs w:val="21"/>
              </w:rPr>
              <w:t>−0.28 (0.11)</w:t>
            </w:r>
          </w:p>
        </w:tc>
        <w:tc>
          <w:tcPr>
            <w:tcW w:w="725" w:type="pct"/>
            <w:hideMark/>
          </w:tcPr>
          <w:p w14:paraId="73F72A74" w14:textId="77777777" w:rsidR="00E86E48" w:rsidRPr="00E8190A" w:rsidRDefault="00E86E48" w:rsidP="00335B90">
            <w:pPr>
              <w:pStyle w:val="NoSpacing"/>
              <w:rPr>
                <w:sz w:val="21"/>
                <w:szCs w:val="21"/>
              </w:rPr>
            </w:pPr>
            <w:r w:rsidRPr="00E8190A">
              <w:rPr>
                <w:sz w:val="21"/>
                <w:szCs w:val="21"/>
              </w:rPr>
              <w:t>0.11 (0.92)</w:t>
            </w:r>
          </w:p>
        </w:tc>
        <w:tc>
          <w:tcPr>
            <w:tcW w:w="921" w:type="pct"/>
            <w:hideMark/>
          </w:tcPr>
          <w:p w14:paraId="6C249C8C" w14:textId="77777777" w:rsidR="00E86E48" w:rsidRPr="00E8190A" w:rsidRDefault="00E86E48" w:rsidP="00335B90">
            <w:pPr>
              <w:pStyle w:val="NoSpacing"/>
              <w:rPr>
                <w:sz w:val="21"/>
                <w:szCs w:val="21"/>
              </w:rPr>
            </w:pPr>
            <w:r w:rsidRPr="00E8190A">
              <w:rPr>
                <w:sz w:val="21"/>
                <w:szCs w:val="21"/>
              </w:rPr>
              <w:t>0.15 (0.54)</w:t>
            </w:r>
          </w:p>
        </w:tc>
        <w:tc>
          <w:tcPr>
            <w:tcW w:w="725" w:type="pct"/>
            <w:hideMark/>
          </w:tcPr>
          <w:p w14:paraId="5396A32A" w14:textId="77777777" w:rsidR="00E86E48" w:rsidRPr="00E8190A" w:rsidRDefault="00E86E48" w:rsidP="00335B90">
            <w:pPr>
              <w:pStyle w:val="NoSpacing"/>
              <w:rPr>
                <w:sz w:val="21"/>
                <w:szCs w:val="21"/>
              </w:rPr>
            </w:pPr>
            <w:r w:rsidRPr="00E8190A">
              <w:rPr>
                <w:sz w:val="21"/>
                <w:szCs w:val="21"/>
              </w:rPr>
              <w:t>0.11 (0.92)</w:t>
            </w:r>
          </w:p>
        </w:tc>
      </w:tr>
      <w:tr w:rsidR="00E86E48" w:rsidRPr="00E8190A" w14:paraId="06BF71E0" w14:textId="77777777" w:rsidTr="00335B90">
        <w:tc>
          <w:tcPr>
            <w:tcW w:w="1658" w:type="pct"/>
            <w:hideMark/>
          </w:tcPr>
          <w:p w14:paraId="3F19E5FE" w14:textId="77777777" w:rsidR="00E86E48" w:rsidRPr="00E8190A" w:rsidRDefault="00E86E48" w:rsidP="00335B90">
            <w:pPr>
              <w:pStyle w:val="NoSpacing"/>
              <w:rPr>
                <w:b/>
                <w:bCs/>
                <w:sz w:val="21"/>
                <w:szCs w:val="21"/>
              </w:rPr>
            </w:pPr>
            <w:r w:rsidRPr="00E8190A">
              <w:rPr>
                <w:b/>
                <w:bCs/>
                <w:sz w:val="21"/>
                <w:szCs w:val="21"/>
              </w:rPr>
              <w:t>Risk factors = 2</w:t>
            </w:r>
          </w:p>
        </w:tc>
        <w:tc>
          <w:tcPr>
            <w:tcW w:w="972" w:type="pct"/>
            <w:hideMark/>
          </w:tcPr>
          <w:p w14:paraId="5F991E42" w14:textId="77777777" w:rsidR="00E86E48" w:rsidRPr="00E8190A" w:rsidRDefault="00E86E48" w:rsidP="00335B90">
            <w:pPr>
              <w:pStyle w:val="NoSpacing"/>
              <w:rPr>
                <w:sz w:val="21"/>
                <w:szCs w:val="21"/>
              </w:rPr>
            </w:pPr>
            <w:r w:rsidRPr="00E8190A">
              <w:rPr>
                <w:sz w:val="21"/>
                <w:szCs w:val="21"/>
              </w:rPr>
              <w:t>−0.45 (0.07)</w:t>
            </w:r>
          </w:p>
        </w:tc>
        <w:tc>
          <w:tcPr>
            <w:tcW w:w="725" w:type="pct"/>
            <w:hideMark/>
          </w:tcPr>
          <w:p w14:paraId="102AB3C7" w14:textId="77777777" w:rsidR="00E86E48" w:rsidRPr="00E8190A" w:rsidRDefault="00E86E48" w:rsidP="00335B90">
            <w:pPr>
              <w:pStyle w:val="NoSpacing"/>
              <w:rPr>
                <w:sz w:val="21"/>
                <w:szCs w:val="21"/>
              </w:rPr>
            </w:pPr>
            <w:r w:rsidRPr="00E8190A">
              <w:rPr>
                <w:sz w:val="21"/>
                <w:szCs w:val="21"/>
              </w:rPr>
              <w:t>0.72 (0.76)</w:t>
            </w:r>
          </w:p>
        </w:tc>
        <w:tc>
          <w:tcPr>
            <w:tcW w:w="921" w:type="pct"/>
            <w:hideMark/>
          </w:tcPr>
          <w:p w14:paraId="513F9F0D" w14:textId="77777777" w:rsidR="00E86E48" w:rsidRPr="00E8190A" w:rsidRDefault="00E86E48" w:rsidP="00335B90">
            <w:pPr>
              <w:pStyle w:val="NoSpacing"/>
              <w:rPr>
                <w:sz w:val="21"/>
                <w:szCs w:val="21"/>
              </w:rPr>
            </w:pPr>
            <w:r w:rsidRPr="00E8190A">
              <w:rPr>
                <w:sz w:val="21"/>
                <w:szCs w:val="21"/>
              </w:rPr>
              <w:t>0.11 (0.67)</w:t>
            </w:r>
          </w:p>
        </w:tc>
        <w:tc>
          <w:tcPr>
            <w:tcW w:w="725" w:type="pct"/>
            <w:hideMark/>
          </w:tcPr>
          <w:p w14:paraId="10C593B0" w14:textId="77777777" w:rsidR="00E86E48" w:rsidRPr="00E8190A" w:rsidRDefault="00E86E48" w:rsidP="00335B90">
            <w:pPr>
              <w:pStyle w:val="NoSpacing"/>
              <w:rPr>
                <w:sz w:val="21"/>
                <w:szCs w:val="21"/>
              </w:rPr>
            </w:pPr>
            <w:r w:rsidRPr="00E8190A">
              <w:rPr>
                <w:sz w:val="21"/>
                <w:szCs w:val="21"/>
              </w:rPr>
              <w:t>0.72 (0.76)</w:t>
            </w:r>
          </w:p>
        </w:tc>
      </w:tr>
      <w:tr w:rsidR="00E86E48" w:rsidRPr="00E8190A" w14:paraId="2D229AEF" w14:textId="77777777" w:rsidTr="00335B90">
        <w:tc>
          <w:tcPr>
            <w:tcW w:w="1658" w:type="pct"/>
            <w:hideMark/>
          </w:tcPr>
          <w:p w14:paraId="798054EB" w14:textId="77777777" w:rsidR="00E86E48" w:rsidRPr="00E8190A" w:rsidRDefault="00E86E48" w:rsidP="00335B90">
            <w:pPr>
              <w:pStyle w:val="NoSpacing"/>
              <w:rPr>
                <w:b/>
                <w:bCs/>
                <w:sz w:val="21"/>
                <w:szCs w:val="21"/>
              </w:rPr>
            </w:pPr>
            <w:r w:rsidRPr="00E8190A">
              <w:rPr>
                <w:b/>
                <w:bCs/>
                <w:sz w:val="21"/>
                <w:szCs w:val="21"/>
              </w:rPr>
              <w:t>Risk factors = 3</w:t>
            </w:r>
          </w:p>
        </w:tc>
        <w:tc>
          <w:tcPr>
            <w:tcW w:w="972" w:type="pct"/>
            <w:hideMark/>
          </w:tcPr>
          <w:p w14:paraId="4B46C490" w14:textId="77777777" w:rsidR="00E86E48" w:rsidRPr="00E8190A" w:rsidRDefault="00E86E48" w:rsidP="00335B90">
            <w:pPr>
              <w:pStyle w:val="NoSpacing"/>
              <w:rPr>
                <w:sz w:val="21"/>
                <w:szCs w:val="21"/>
              </w:rPr>
            </w:pPr>
            <w:r w:rsidRPr="00E8190A">
              <w:rPr>
                <w:sz w:val="21"/>
                <w:szCs w:val="21"/>
              </w:rPr>
              <w:t>−0.40 (0.14)</w:t>
            </w:r>
          </w:p>
        </w:tc>
        <w:tc>
          <w:tcPr>
            <w:tcW w:w="725" w:type="pct"/>
            <w:hideMark/>
          </w:tcPr>
          <w:p w14:paraId="74EFB8A1" w14:textId="77777777" w:rsidR="00E86E48" w:rsidRPr="00E8190A" w:rsidRDefault="00E86E48" w:rsidP="00335B90">
            <w:pPr>
              <w:pStyle w:val="NoSpacing"/>
              <w:rPr>
                <w:sz w:val="21"/>
                <w:szCs w:val="21"/>
              </w:rPr>
            </w:pPr>
            <w:r w:rsidRPr="00E8190A">
              <w:rPr>
                <w:sz w:val="21"/>
                <w:szCs w:val="21"/>
              </w:rPr>
              <w:t>0.98 (0.71)</w:t>
            </w:r>
          </w:p>
        </w:tc>
        <w:tc>
          <w:tcPr>
            <w:tcW w:w="921" w:type="pct"/>
            <w:hideMark/>
          </w:tcPr>
          <w:p w14:paraId="2B8ADD0B" w14:textId="77777777" w:rsidR="00E86E48" w:rsidRPr="00E8190A" w:rsidRDefault="00E86E48" w:rsidP="00335B90">
            <w:pPr>
              <w:pStyle w:val="NoSpacing"/>
              <w:rPr>
                <w:sz w:val="21"/>
                <w:szCs w:val="21"/>
              </w:rPr>
            </w:pPr>
            <w:r w:rsidRPr="00E8190A">
              <w:rPr>
                <w:sz w:val="21"/>
                <w:szCs w:val="21"/>
              </w:rPr>
              <w:t>−0.46 (0.41)</w:t>
            </w:r>
          </w:p>
        </w:tc>
        <w:tc>
          <w:tcPr>
            <w:tcW w:w="725" w:type="pct"/>
            <w:hideMark/>
          </w:tcPr>
          <w:p w14:paraId="094EBFD9" w14:textId="77777777" w:rsidR="00E86E48" w:rsidRPr="00E8190A" w:rsidRDefault="00E86E48" w:rsidP="00335B90">
            <w:pPr>
              <w:pStyle w:val="NoSpacing"/>
              <w:rPr>
                <w:sz w:val="21"/>
                <w:szCs w:val="21"/>
              </w:rPr>
            </w:pPr>
            <w:r w:rsidRPr="00E8190A">
              <w:rPr>
                <w:sz w:val="21"/>
                <w:szCs w:val="21"/>
              </w:rPr>
              <w:t>0.98 (0.71)</w:t>
            </w:r>
          </w:p>
        </w:tc>
      </w:tr>
      <w:tr w:rsidR="00E86E48" w:rsidRPr="00E8190A" w14:paraId="6F07A230" w14:textId="77777777" w:rsidTr="00335B90">
        <w:tc>
          <w:tcPr>
            <w:tcW w:w="1658" w:type="pct"/>
            <w:hideMark/>
          </w:tcPr>
          <w:p w14:paraId="239E9805" w14:textId="77777777" w:rsidR="00E86E48" w:rsidRPr="00E8190A" w:rsidRDefault="00E86E48" w:rsidP="00335B90">
            <w:pPr>
              <w:pStyle w:val="NoSpacing"/>
              <w:rPr>
                <w:b/>
                <w:bCs/>
                <w:sz w:val="21"/>
                <w:szCs w:val="21"/>
              </w:rPr>
            </w:pPr>
            <w:r w:rsidRPr="00E8190A">
              <w:rPr>
                <w:b/>
                <w:bCs/>
                <w:sz w:val="21"/>
                <w:szCs w:val="21"/>
              </w:rPr>
              <w:t>Risk factors = 4</w:t>
            </w:r>
          </w:p>
        </w:tc>
        <w:tc>
          <w:tcPr>
            <w:tcW w:w="972" w:type="pct"/>
            <w:hideMark/>
          </w:tcPr>
          <w:p w14:paraId="163ABF73" w14:textId="77777777" w:rsidR="00E86E48" w:rsidRPr="00E8190A" w:rsidRDefault="00E86E48" w:rsidP="00335B90">
            <w:pPr>
              <w:pStyle w:val="NoSpacing"/>
              <w:rPr>
                <w:sz w:val="21"/>
                <w:szCs w:val="21"/>
              </w:rPr>
            </w:pPr>
            <w:r w:rsidRPr="00E8190A">
              <w:rPr>
                <w:sz w:val="21"/>
                <w:szCs w:val="21"/>
              </w:rPr>
              <w:t>−3.62 (0.02)</w:t>
            </w:r>
          </w:p>
        </w:tc>
        <w:tc>
          <w:tcPr>
            <w:tcW w:w="725" w:type="pct"/>
            <w:hideMark/>
          </w:tcPr>
          <w:p w14:paraId="66CF6B21" w14:textId="77777777" w:rsidR="00E86E48" w:rsidRPr="00E8190A" w:rsidRDefault="00E86E48" w:rsidP="00335B90">
            <w:pPr>
              <w:pStyle w:val="NoSpacing"/>
              <w:rPr>
                <w:sz w:val="21"/>
                <w:szCs w:val="21"/>
              </w:rPr>
            </w:pPr>
            <w:r w:rsidRPr="00E8190A">
              <w:rPr>
                <w:sz w:val="21"/>
                <w:szCs w:val="21"/>
              </w:rPr>
              <w:t>0.74 (0.88)</w:t>
            </w:r>
          </w:p>
        </w:tc>
        <w:tc>
          <w:tcPr>
            <w:tcW w:w="921" w:type="pct"/>
            <w:hideMark/>
          </w:tcPr>
          <w:p w14:paraId="3E4DAE59" w14:textId="77777777" w:rsidR="00E86E48" w:rsidRPr="00E8190A" w:rsidRDefault="00E86E48" w:rsidP="00335B90">
            <w:pPr>
              <w:pStyle w:val="NoSpacing"/>
              <w:rPr>
                <w:sz w:val="21"/>
                <w:szCs w:val="21"/>
              </w:rPr>
            </w:pPr>
            <w:r w:rsidRPr="00E8190A">
              <w:rPr>
                <w:sz w:val="21"/>
                <w:szCs w:val="21"/>
              </w:rPr>
              <w:t>2.51 (0.12)</w:t>
            </w:r>
          </w:p>
        </w:tc>
        <w:tc>
          <w:tcPr>
            <w:tcW w:w="725" w:type="pct"/>
            <w:hideMark/>
          </w:tcPr>
          <w:p w14:paraId="4526729C" w14:textId="77777777" w:rsidR="00E86E48" w:rsidRPr="00E8190A" w:rsidRDefault="00E86E48" w:rsidP="00335B90">
            <w:pPr>
              <w:pStyle w:val="NoSpacing"/>
              <w:rPr>
                <w:sz w:val="21"/>
                <w:szCs w:val="21"/>
              </w:rPr>
            </w:pPr>
            <w:r w:rsidRPr="00E8190A">
              <w:rPr>
                <w:sz w:val="21"/>
                <w:szCs w:val="21"/>
              </w:rPr>
              <w:t>0.74 (0.88)</w:t>
            </w:r>
          </w:p>
        </w:tc>
      </w:tr>
      <w:tr w:rsidR="00E86E48" w:rsidRPr="00E8190A" w14:paraId="34691B9F" w14:textId="77777777" w:rsidTr="00335B90">
        <w:tc>
          <w:tcPr>
            <w:tcW w:w="1658" w:type="pct"/>
            <w:hideMark/>
          </w:tcPr>
          <w:p w14:paraId="12E5EB46" w14:textId="77777777" w:rsidR="00E86E48" w:rsidRPr="00E8190A" w:rsidRDefault="00E86E48" w:rsidP="00335B90">
            <w:pPr>
              <w:pStyle w:val="NoSpacing"/>
              <w:rPr>
                <w:b/>
                <w:bCs/>
                <w:sz w:val="21"/>
                <w:szCs w:val="21"/>
              </w:rPr>
            </w:pPr>
            <w:r w:rsidRPr="00E8190A">
              <w:rPr>
                <w:b/>
                <w:bCs/>
                <w:sz w:val="21"/>
                <w:szCs w:val="21"/>
              </w:rPr>
              <w:t>Family risk factors = 1</w:t>
            </w:r>
          </w:p>
        </w:tc>
        <w:tc>
          <w:tcPr>
            <w:tcW w:w="972" w:type="pct"/>
            <w:hideMark/>
          </w:tcPr>
          <w:p w14:paraId="197F9C32" w14:textId="77777777" w:rsidR="00E86E48" w:rsidRPr="00E8190A" w:rsidRDefault="00E86E48" w:rsidP="00335B90">
            <w:pPr>
              <w:pStyle w:val="NoSpacing"/>
              <w:rPr>
                <w:sz w:val="21"/>
                <w:szCs w:val="21"/>
              </w:rPr>
            </w:pPr>
            <w:r w:rsidRPr="00E8190A">
              <w:rPr>
                <w:sz w:val="21"/>
                <w:szCs w:val="21"/>
              </w:rPr>
              <w:t>0.15 (0.29)</w:t>
            </w:r>
          </w:p>
        </w:tc>
        <w:tc>
          <w:tcPr>
            <w:tcW w:w="725" w:type="pct"/>
            <w:hideMark/>
          </w:tcPr>
          <w:p w14:paraId="4F97F3BE" w14:textId="77777777" w:rsidR="00E86E48" w:rsidRPr="00E8190A" w:rsidRDefault="00E86E48" w:rsidP="00335B90">
            <w:pPr>
              <w:pStyle w:val="NoSpacing"/>
              <w:rPr>
                <w:sz w:val="21"/>
                <w:szCs w:val="21"/>
              </w:rPr>
            </w:pPr>
            <w:r w:rsidRPr="00E8190A">
              <w:rPr>
                <w:sz w:val="21"/>
                <w:szCs w:val="21"/>
              </w:rPr>
              <w:t>−0.15 (0.94)</w:t>
            </w:r>
          </w:p>
        </w:tc>
        <w:tc>
          <w:tcPr>
            <w:tcW w:w="921" w:type="pct"/>
            <w:hideMark/>
          </w:tcPr>
          <w:p w14:paraId="136EA81A" w14:textId="77777777" w:rsidR="00E86E48" w:rsidRPr="00E8190A" w:rsidRDefault="00E86E48" w:rsidP="00335B90">
            <w:pPr>
              <w:pStyle w:val="NoSpacing"/>
              <w:rPr>
                <w:sz w:val="21"/>
                <w:szCs w:val="21"/>
              </w:rPr>
            </w:pPr>
            <w:r w:rsidRPr="00E8190A">
              <w:rPr>
                <w:sz w:val="21"/>
                <w:szCs w:val="21"/>
              </w:rPr>
              <w:t>−0.11 (0.75)</w:t>
            </w:r>
          </w:p>
        </w:tc>
        <w:tc>
          <w:tcPr>
            <w:tcW w:w="725" w:type="pct"/>
            <w:hideMark/>
          </w:tcPr>
          <w:p w14:paraId="1733AC63" w14:textId="77777777" w:rsidR="00E86E48" w:rsidRPr="00E8190A" w:rsidRDefault="00E86E48" w:rsidP="00335B90">
            <w:pPr>
              <w:pStyle w:val="NoSpacing"/>
              <w:rPr>
                <w:sz w:val="21"/>
                <w:szCs w:val="21"/>
              </w:rPr>
            </w:pPr>
            <w:r w:rsidRPr="00E8190A">
              <w:rPr>
                <w:sz w:val="21"/>
                <w:szCs w:val="21"/>
              </w:rPr>
              <w:t>−0.15 (0.94)</w:t>
            </w:r>
          </w:p>
        </w:tc>
      </w:tr>
      <w:tr w:rsidR="00E86E48" w:rsidRPr="00E8190A" w14:paraId="4E339977" w14:textId="77777777" w:rsidTr="00335B90">
        <w:tc>
          <w:tcPr>
            <w:tcW w:w="1658" w:type="pct"/>
            <w:hideMark/>
          </w:tcPr>
          <w:p w14:paraId="3F556B71" w14:textId="77777777" w:rsidR="00E86E48" w:rsidRPr="00E8190A" w:rsidRDefault="00E86E48" w:rsidP="00335B90">
            <w:pPr>
              <w:pStyle w:val="NoSpacing"/>
              <w:rPr>
                <w:b/>
                <w:bCs/>
                <w:sz w:val="21"/>
                <w:szCs w:val="21"/>
              </w:rPr>
            </w:pPr>
            <w:r w:rsidRPr="00E8190A">
              <w:rPr>
                <w:b/>
                <w:bCs/>
                <w:sz w:val="21"/>
                <w:szCs w:val="21"/>
              </w:rPr>
              <w:t>Family risk factors = 2</w:t>
            </w:r>
          </w:p>
        </w:tc>
        <w:tc>
          <w:tcPr>
            <w:tcW w:w="972" w:type="pct"/>
            <w:hideMark/>
          </w:tcPr>
          <w:p w14:paraId="4B07AF3C" w14:textId="77777777" w:rsidR="00E86E48" w:rsidRPr="00E8190A" w:rsidRDefault="00E86E48" w:rsidP="00335B90">
            <w:pPr>
              <w:pStyle w:val="NoSpacing"/>
              <w:rPr>
                <w:sz w:val="21"/>
                <w:szCs w:val="21"/>
              </w:rPr>
            </w:pPr>
            <w:r w:rsidRPr="00E8190A">
              <w:rPr>
                <w:sz w:val="21"/>
                <w:szCs w:val="21"/>
              </w:rPr>
              <w:t>−0.13 (0.27)</w:t>
            </w:r>
          </w:p>
        </w:tc>
        <w:tc>
          <w:tcPr>
            <w:tcW w:w="725" w:type="pct"/>
            <w:hideMark/>
          </w:tcPr>
          <w:p w14:paraId="00DA5AD5" w14:textId="77777777" w:rsidR="00E86E48" w:rsidRPr="00E8190A" w:rsidRDefault="00E86E48" w:rsidP="00335B90">
            <w:pPr>
              <w:pStyle w:val="NoSpacing"/>
              <w:rPr>
                <w:sz w:val="21"/>
                <w:szCs w:val="21"/>
              </w:rPr>
            </w:pPr>
            <w:r w:rsidRPr="00E8190A">
              <w:rPr>
                <w:sz w:val="21"/>
                <w:szCs w:val="21"/>
              </w:rPr>
              <w:t>−0.19 (0.91)</w:t>
            </w:r>
          </w:p>
        </w:tc>
        <w:tc>
          <w:tcPr>
            <w:tcW w:w="921" w:type="pct"/>
            <w:hideMark/>
          </w:tcPr>
          <w:p w14:paraId="53DB3C2C" w14:textId="77777777" w:rsidR="00E86E48" w:rsidRPr="00E8190A" w:rsidRDefault="00E86E48" w:rsidP="00335B90">
            <w:pPr>
              <w:pStyle w:val="NoSpacing"/>
              <w:rPr>
                <w:sz w:val="21"/>
                <w:szCs w:val="21"/>
              </w:rPr>
            </w:pPr>
            <w:r w:rsidRPr="00E8190A">
              <w:rPr>
                <w:sz w:val="21"/>
                <w:szCs w:val="21"/>
              </w:rPr>
              <w:t>0.31 (0.41)</w:t>
            </w:r>
          </w:p>
        </w:tc>
        <w:tc>
          <w:tcPr>
            <w:tcW w:w="725" w:type="pct"/>
            <w:hideMark/>
          </w:tcPr>
          <w:p w14:paraId="1CA056EE" w14:textId="77777777" w:rsidR="00E86E48" w:rsidRPr="00E8190A" w:rsidRDefault="00E86E48" w:rsidP="00335B90">
            <w:pPr>
              <w:pStyle w:val="NoSpacing"/>
              <w:rPr>
                <w:sz w:val="21"/>
                <w:szCs w:val="21"/>
              </w:rPr>
            </w:pPr>
            <w:r w:rsidRPr="00E8190A">
              <w:rPr>
                <w:sz w:val="21"/>
                <w:szCs w:val="21"/>
              </w:rPr>
              <w:t>−0.19 (0.91)</w:t>
            </w:r>
          </w:p>
        </w:tc>
      </w:tr>
      <w:tr w:rsidR="00E86E48" w:rsidRPr="00E8190A" w14:paraId="23937D97" w14:textId="77777777" w:rsidTr="00335B90">
        <w:tc>
          <w:tcPr>
            <w:tcW w:w="1658" w:type="pct"/>
            <w:hideMark/>
          </w:tcPr>
          <w:p w14:paraId="2C933C21" w14:textId="77777777" w:rsidR="00E86E48" w:rsidRPr="00E8190A" w:rsidRDefault="00E86E48" w:rsidP="00335B90">
            <w:pPr>
              <w:pStyle w:val="NoSpacing"/>
              <w:rPr>
                <w:b/>
                <w:bCs/>
                <w:sz w:val="21"/>
                <w:szCs w:val="21"/>
              </w:rPr>
            </w:pPr>
            <w:r w:rsidRPr="00E8190A">
              <w:rPr>
                <w:b/>
                <w:bCs/>
                <w:sz w:val="21"/>
                <w:szCs w:val="21"/>
              </w:rPr>
              <w:t>Family risk factors = 3</w:t>
            </w:r>
          </w:p>
        </w:tc>
        <w:tc>
          <w:tcPr>
            <w:tcW w:w="972" w:type="pct"/>
            <w:hideMark/>
          </w:tcPr>
          <w:p w14:paraId="277685EC" w14:textId="77777777" w:rsidR="00E86E48" w:rsidRPr="00E8190A" w:rsidRDefault="00E86E48" w:rsidP="00335B90">
            <w:pPr>
              <w:pStyle w:val="NoSpacing"/>
              <w:rPr>
                <w:sz w:val="21"/>
                <w:szCs w:val="21"/>
              </w:rPr>
            </w:pPr>
            <w:r w:rsidRPr="00E8190A">
              <w:rPr>
                <w:sz w:val="21"/>
                <w:szCs w:val="21"/>
              </w:rPr>
              <w:t>−1.80 (0.04)</w:t>
            </w:r>
          </w:p>
        </w:tc>
        <w:tc>
          <w:tcPr>
            <w:tcW w:w="725" w:type="pct"/>
            <w:hideMark/>
          </w:tcPr>
          <w:p w14:paraId="08FC709A" w14:textId="77777777" w:rsidR="00E86E48" w:rsidRPr="00E8190A" w:rsidRDefault="00E86E48" w:rsidP="00335B90">
            <w:pPr>
              <w:pStyle w:val="NoSpacing"/>
              <w:rPr>
                <w:sz w:val="21"/>
                <w:szCs w:val="21"/>
              </w:rPr>
            </w:pPr>
            <w:r w:rsidRPr="00E8190A">
              <w:rPr>
                <w:sz w:val="21"/>
                <w:szCs w:val="21"/>
              </w:rPr>
              <w:t>−0.46 (0.91)</w:t>
            </w:r>
          </w:p>
        </w:tc>
        <w:tc>
          <w:tcPr>
            <w:tcW w:w="921" w:type="pct"/>
            <w:hideMark/>
          </w:tcPr>
          <w:p w14:paraId="57786A75" w14:textId="77777777" w:rsidR="00E86E48" w:rsidRPr="00E8190A" w:rsidRDefault="00E86E48" w:rsidP="00335B90">
            <w:pPr>
              <w:pStyle w:val="NoSpacing"/>
              <w:rPr>
                <w:sz w:val="21"/>
                <w:szCs w:val="21"/>
              </w:rPr>
            </w:pPr>
            <w:r w:rsidRPr="00E8190A">
              <w:rPr>
                <w:sz w:val="21"/>
                <w:szCs w:val="21"/>
              </w:rPr>
              <w:t>0.76 (0.35)</w:t>
            </w:r>
          </w:p>
        </w:tc>
        <w:tc>
          <w:tcPr>
            <w:tcW w:w="725" w:type="pct"/>
            <w:hideMark/>
          </w:tcPr>
          <w:p w14:paraId="4198F248" w14:textId="77777777" w:rsidR="00E86E48" w:rsidRPr="00E8190A" w:rsidRDefault="00E86E48" w:rsidP="00335B90">
            <w:pPr>
              <w:pStyle w:val="NoSpacing"/>
              <w:rPr>
                <w:sz w:val="21"/>
                <w:szCs w:val="21"/>
              </w:rPr>
            </w:pPr>
            <w:r w:rsidRPr="00E8190A">
              <w:rPr>
                <w:sz w:val="21"/>
                <w:szCs w:val="21"/>
              </w:rPr>
              <w:t>−0.46 (0.91)</w:t>
            </w:r>
          </w:p>
        </w:tc>
      </w:tr>
      <w:tr w:rsidR="00E86E48" w:rsidRPr="00E8190A" w14:paraId="3DF41478" w14:textId="77777777" w:rsidTr="00335B90">
        <w:tc>
          <w:tcPr>
            <w:tcW w:w="1658" w:type="pct"/>
            <w:hideMark/>
          </w:tcPr>
          <w:p w14:paraId="6C45BDA1" w14:textId="77777777" w:rsidR="00E86E48" w:rsidRPr="00E8190A" w:rsidRDefault="00E86E48" w:rsidP="00335B90">
            <w:pPr>
              <w:pStyle w:val="NoSpacing"/>
              <w:rPr>
                <w:b/>
                <w:bCs/>
                <w:sz w:val="21"/>
                <w:szCs w:val="21"/>
              </w:rPr>
            </w:pPr>
            <w:r w:rsidRPr="00E8190A">
              <w:rPr>
                <w:b/>
                <w:bCs/>
                <w:sz w:val="21"/>
                <w:szCs w:val="21"/>
              </w:rPr>
              <w:t>Health conditions = 1</w:t>
            </w:r>
          </w:p>
        </w:tc>
        <w:tc>
          <w:tcPr>
            <w:tcW w:w="972" w:type="pct"/>
            <w:hideMark/>
          </w:tcPr>
          <w:p w14:paraId="4A88B708" w14:textId="77777777" w:rsidR="00E86E48" w:rsidRPr="00E8190A" w:rsidRDefault="00E86E48" w:rsidP="00335B90">
            <w:pPr>
              <w:pStyle w:val="NoSpacing"/>
              <w:rPr>
                <w:sz w:val="21"/>
                <w:szCs w:val="21"/>
              </w:rPr>
            </w:pPr>
            <w:r w:rsidRPr="00E8190A">
              <w:rPr>
                <w:sz w:val="21"/>
                <w:szCs w:val="21"/>
              </w:rPr>
              <w:t>0.71 (0.05)</w:t>
            </w:r>
          </w:p>
        </w:tc>
        <w:tc>
          <w:tcPr>
            <w:tcW w:w="725" w:type="pct"/>
            <w:hideMark/>
          </w:tcPr>
          <w:p w14:paraId="79E29D52" w14:textId="77777777" w:rsidR="00E86E48" w:rsidRPr="00E8190A" w:rsidRDefault="00E86E48" w:rsidP="00335B90">
            <w:pPr>
              <w:pStyle w:val="NoSpacing"/>
              <w:rPr>
                <w:sz w:val="21"/>
                <w:szCs w:val="21"/>
              </w:rPr>
            </w:pPr>
            <w:r w:rsidRPr="00E8190A">
              <w:rPr>
                <w:sz w:val="21"/>
                <w:szCs w:val="21"/>
              </w:rPr>
              <w:t>0.59 (0.75)</w:t>
            </w:r>
          </w:p>
        </w:tc>
        <w:tc>
          <w:tcPr>
            <w:tcW w:w="921" w:type="pct"/>
            <w:hideMark/>
          </w:tcPr>
          <w:p w14:paraId="05BA56D1" w14:textId="77777777" w:rsidR="00E86E48" w:rsidRPr="00E8190A" w:rsidRDefault="00E86E48" w:rsidP="00335B90">
            <w:pPr>
              <w:pStyle w:val="NoSpacing"/>
              <w:rPr>
                <w:sz w:val="21"/>
                <w:szCs w:val="21"/>
              </w:rPr>
            </w:pPr>
            <w:r w:rsidRPr="00E8190A">
              <w:rPr>
                <w:sz w:val="21"/>
                <w:szCs w:val="21"/>
              </w:rPr>
              <w:t>−0.27 (0.44)</w:t>
            </w:r>
          </w:p>
        </w:tc>
        <w:tc>
          <w:tcPr>
            <w:tcW w:w="725" w:type="pct"/>
            <w:hideMark/>
          </w:tcPr>
          <w:p w14:paraId="58A14580" w14:textId="77777777" w:rsidR="00E86E48" w:rsidRPr="00E8190A" w:rsidRDefault="00E86E48" w:rsidP="00335B90">
            <w:pPr>
              <w:pStyle w:val="NoSpacing"/>
              <w:rPr>
                <w:sz w:val="21"/>
                <w:szCs w:val="21"/>
              </w:rPr>
            </w:pPr>
            <w:r w:rsidRPr="00E8190A">
              <w:rPr>
                <w:sz w:val="21"/>
                <w:szCs w:val="21"/>
              </w:rPr>
              <w:t>0.59 (0.75)</w:t>
            </w:r>
          </w:p>
        </w:tc>
      </w:tr>
      <w:tr w:rsidR="00E86E48" w:rsidRPr="00E8190A" w14:paraId="4B2E67B4" w14:textId="77777777" w:rsidTr="00335B90">
        <w:tc>
          <w:tcPr>
            <w:tcW w:w="1658" w:type="pct"/>
            <w:hideMark/>
          </w:tcPr>
          <w:p w14:paraId="57C218AF" w14:textId="77777777" w:rsidR="00E86E48" w:rsidRPr="00E8190A" w:rsidRDefault="00E86E48" w:rsidP="00335B90">
            <w:pPr>
              <w:pStyle w:val="NoSpacing"/>
              <w:rPr>
                <w:b/>
                <w:bCs/>
                <w:sz w:val="21"/>
                <w:szCs w:val="21"/>
              </w:rPr>
            </w:pPr>
            <w:r w:rsidRPr="00E8190A">
              <w:rPr>
                <w:b/>
                <w:bCs/>
                <w:sz w:val="21"/>
                <w:szCs w:val="21"/>
              </w:rPr>
              <w:t>Health conditions = 2</w:t>
            </w:r>
          </w:p>
        </w:tc>
        <w:tc>
          <w:tcPr>
            <w:tcW w:w="972" w:type="pct"/>
            <w:hideMark/>
          </w:tcPr>
          <w:p w14:paraId="4C39CA4A" w14:textId="77777777" w:rsidR="00E86E48" w:rsidRPr="00E8190A" w:rsidRDefault="00E86E48" w:rsidP="00335B90">
            <w:pPr>
              <w:pStyle w:val="NoSpacing"/>
              <w:rPr>
                <w:sz w:val="21"/>
                <w:szCs w:val="21"/>
              </w:rPr>
            </w:pPr>
            <w:r w:rsidRPr="00E8190A">
              <w:rPr>
                <w:sz w:val="21"/>
                <w:szCs w:val="21"/>
              </w:rPr>
              <w:t>2.60 (0.05)</w:t>
            </w:r>
          </w:p>
        </w:tc>
        <w:tc>
          <w:tcPr>
            <w:tcW w:w="725" w:type="pct"/>
            <w:hideMark/>
          </w:tcPr>
          <w:p w14:paraId="6012551E" w14:textId="77777777" w:rsidR="00E86E48" w:rsidRPr="00E8190A" w:rsidRDefault="00E86E48" w:rsidP="00335B90">
            <w:pPr>
              <w:pStyle w:val="NoSpacing"/>
              <w:rPr>
                <w:sz w:val="21"/>
                <w:szCs w:val="21"/>
              </w:rPr>
            </w:pPr>
            <w:r w:rsidRPr="00E8190A">
              <w:rPr>
                <w:sz w:val="21"/>
                <w:szCs w:val="21"/>
              </w:rPr>
              <w:t>0.75 (0.91)</w:t>
            </w:r>
          </w:p>
        </w:tc>
        <w:tc>
          <w:tcPr>
            <w:tcW w:w="921" w:type="pct"/>
            <w:hideMark/>
          </w:tcPr>
          <w:p w14:paraId="3A5850BE" w14:textId="77777777" w:rsidR="00E86E48" w:rsidRPr="00E8190A" w:rsidRDefault="00E86E48" w:rsidP="00335B90">
            <w:pPr>
              <w:pStyle w:val="NoSpacing"/>
              <w:rPr>
                <w:sz w:val="21"/>
                <w:szCs w:val="21"/>
              </w:rPr>
            </w:pPr>
            <w:r w:rsidRPr="00E8190A">
              <w:rPr>
                <w:sz w:val="21"/>
                <w:szCs w:val="21"/>
              </w:rPr>
              <w:t>−1.06 (0.41)</w:t>
            </w:r>
          </w:p>
        </w:tc>
        <w:tc>
          <w:tcPr>
            <w:tcW w:w="725" w:type="pct"/>
            <w:hideMark/>
          </w:tcPr>
          <w:p w14:paraId="691E51A0" w14:textId="77777777" w:rsidR="00E86E48" w:rsidRPr="00E8190A" w:rsidRDefault="00E86E48" w:rsidP="00335B90">
            <w:pPr>
              <w:pStyle w:val="NoSpacing"/>
              <w:rPr>
                <w:sz w:val="21"/>
                <w:szCs w:val="21"/>
              </w:rPr>
            </w:pPr>
            <w:r w:rsidRPr="00E8190A">
              <w:rPr>
                <w:sz w:val="21"/>
                <w:szCs w:val="21"/>
              </w:rPr>
              <w:t>0.75 (0.91)</w:t>
            </w:r>
          </w:p>
        </w:tc>
      </w:tr>
      <w:tr w:rsidR="00E86E48" w:rsidRPr="00E8190A" w14:paraId="40CD9885" w14:textId="77777777" w:rsidTr="00335B90">
        <w:tc>
          <w:tcPr>
            <w:tcW w:w="1658" w:type="pct"/>
            <w:hideMark/>
          </w:tcPr>
          <w:p w14:paraId="4E4D328A" w14:textId="77777777" w:rsidR="00E86E48" w:rsidRPr="00E8190A" w:rsidRDefault="00E86E48" w:rsidP="00335B90">
            <w:pPr>
              <w:pStyle w:val="NoSpacing"/>
              <w:rPr>
                <w:b/>
                <w:bCs/>
                <w:sz w:val="21"/>
                <w:szCs w:val="21"/>
              </w:rPr>
            </w:pPr>
            <w:r w:rsidRPr="00E8190A">
              <w:rPr>
                <w:b/>
                <w:bCs/>
                <w:sz w:val="21"/>
                <w:szCs w:val="21"/>
              </w:rPr>
              <w:t>Medication use = 1</w:t>
            </w:r>
          </w:p>
        </w:tc>
        <w:tc>
          <w:tcPr>
            <w:tcW w:w="972" w:type="pct"/>
            <w:hideMark/>
          </w:tcPr>
          <w:p w14:paraId="0298C349" w14:textId="77777777" w:rsidR="00E86E48" w:rsidRPr="00E8190A" w:rsidRDefault="00E86E48" w:rsidP="00335B90">
            <w:pPr>
              <w:pStyle w:val="NoSpacing"/>
              <w:rPr>
                <w:sz w:val="21"/>
                <w:szCs w:val="21"/>
              </w:rPr>
            </w:pPr>
            <w:r w:rsidRPr="00E8190A">
              <w:rPr>
                <w:sz w:val="21"/>
                <w:szCs w:val="21"/>
              </w:rPr>
              <w:t>−1.13 (0.04)</w:t>
            </w:r>
          </w:p>
        </w:tc>
        <w:tc>
          <w:tcPr>
            <w:tcW w:w="725" w:type="pct"/>
            <w:hideMark/>
          </w:tcPr>
          <w:p w14:paraId="39887141" w14:textId="77777777" w:rsidR="00E86E48" w:rsidRPr="00E8190A" w:rsidRDefault="00E86E48" w:rsidP="00335B90">
            <w:pPr>
              <w:pStyle w:val="NoSpacing"/>
              <w:rPr>
                <w:sz w:val="21"/>
                <w:szCs w:val="21"/>
              </w:rPr>
            </w:pPr>
            <w:r w:rsidRPr="00E8190A">
              <w:rPr>
                <w:sz w:val="21"/>
                <w:szCs w:val="21"/>
              </w:rPr>
              <w:t>−0.24 (0.90)</w:t>
            </w:r>
          </w:p>
        </w:tc>
        <w:tc>
          <w:tcPr>
            <w:tcW w:w="921" w:type="pct"/>
            <w:hideMark/>
          </w:tcPr>
          <w:p w14:paraId="426DAB20" w14:textId="77777777" w:rsidR="00E86E48" w:rsidRPr="00E8190A" w:rsidRDefault="00E86E48" w:rsidP="00335B90">
            <w:pPr>
              <w:pStyle w:val="NoSpacing"/>
              <w:rPr>
                <w:sz w:val="21"/>
                <w:szCs w:val="21"/>
              </w:rPr>
            </w:pPr>
            <w:r w:rsidRPr="00E8190A">
              <w:rPr>
                <w:sz w:val="21"/>
                <w:szCs w:val="21"/>
              </w:rPr>
              <w:t>−0.96 (0.17)</w:t>
            </w:r>
          </w:p>
        </w:tc>
        <w:tc>
          <w:tcPr>
            <w:tcW w:w="725" w:type="pct"/>
            <w:hideMark/>
          </w:tcPr>
          <w:p w14:paraId="044AB34F" w14:textId="77777777" w:rsidR="00E86E48" w:rsidRPr="00E8190A" w:rsidRDefault="00E86E48" w:rsidP="00335B90">
            <w:pPr>
              <w:pStyle w:val="NoSpacing"/>
              <w:rPr>
                <w:sz w:val="21"/>
                <w:szCs w:val="21"/>
              </w:rPr>
            </w:pPr>
            <w:r w:rsidRPr="00E8190A">
              <w:rPr>
                <w:sz w:val="21"/>
                <w:szCs w:val="21"/>
              </w:rPr>
              <w:t>−0.24 (0.90)</w:t>
            </w:r>
          </w:p>
        </w:tc>
      </w:tr>
      <w:tr w:rsidR="00E86E48" w:rsidRPr="00E8190A" w14:paraId="6C2D54C6" w14:textId="77777777" w:rsidTr="00335B90">
        <w:tc>
          <w:tcPr>
            <w:tcW w:w="1658" w:type="pct"/>
            <w:hideMark/>
          </w:tcPr>
          <w:p w14:paraId="2A60F059" w14:textId="77777777" w:rsidR="00E86E48" w:rsidRPr="00E8190A" w:rsidRDefault="00E86E48" w:rsidP="00335B90">
            <w:pPr>
              <w:pStyle w:val="NoSpacing"/>
              <w:rPr>
                <w:b/>
                <w:bCs/>
                <w:sz w:val="21"/>
                <w:szCs w:val="21"/>
              </w:rPr>
            </w:pPr>
            <w:r w:rsidRPr="00E8190A">
              <w:rPr>
                <w:b/>
                <w:bCs/>
                <w:sz w:val="21"/>
                <w:szCs w:val="21"/>
              </w:rPr>
              <w:t>Diet = 3</w:t>
            </w:r>
          </w:p>
        </w:tc>
        <w:tc>
          <w:tcPr>
            <w:tcW w:w="972" w:type="pct"/>
            <w:hideMark/>
          </w:tcPr>
          <w:p w14:paraId="63F14B7D" w14:textId="77777777" w:rsidR="00E86E48" w:rsidRPr="00E8190A" w:rsidRDefault="00E86E48" w:rsidP="00335B90">
            <w:pPr>
              <w:pStyle w:val="NoSpacing"/>
              <w:rPr>
                <w:sz w:val="21"/>
                <w:szCs w:val="21"/>
              </w:rPr>
            </w:pPr>
            <w:r w:rsidRPr="00E8190A">
              <w:rPr>
                <w:sz w:val="21"/>
                <w:szCs w:val="21"/>
              </w:rPr>
              <w:t>0.21 (0.16)</w:t>
            </w:r>
          </w:p>
        </w:tc>
        <w:tc>
          <w:tcPr>
            <w:tcW w:w="725" w:type="pct"/>
            <w:hideMark/>
          </w:tcPr>
          <w:p w14:paraId="3AE9ED5A" w14:textId="77777777" w:rsidR="00E86E48" w:rsidRPr="00E8190A" w:rsidRDefault="00E86E48" w:rsidP="00335B90">
            <w:pPr>
              <w:pStyle w:val="NoSpacing"/>
              <w:rPr>
                <w:sz w:val="21"/>
                <w:szCs w:val="21"/>
              </w:rPr>
            </w:pPr>
            <w:r w:rsidRPr="00E8190A">
              <w:rPr>
                <w:sz w:val="21"/>
                <w:szCs w:val="21"/>
              </w:rPr>
              <w:t>0.65 (0.73)</w:t>
            </w:r>
          </w:p>
        </w:tc>
        <w:tc>
          <w:tcPr>
            <w:tcW w:w="921" w:type="pct"/>
            <w:hideMark/>
          </w:tcPr>
          <w:p w14:paraId="3B436199" w14:textId="77777777" w:rsidR="00E86E48" w:rsidRPr="00E8190A" w:rsidRDefault="00E86E48" w:rsidP="00335B90">
            <w:pPr>
              <w:pStyle w:val="NoSpacing"/>
              <w:rPr>
                <w:sz w:val="21"/>
                <w:szCs w:val="21"/>
              </w:rPr>
            </w:pPr>
            <w:r w:rsidRPr="00E8190A">
              <w:rPr>
                <w:sz w:val="21"/>
                <w:szCs w:val="21"/>
              </w:rPr>
              <w:t>−0.05 (0.22)</w:t>
            </w:r>
          </w:p>
        </w:tc>
        <w:tc>
          <w:tcPr>
            <w:tcW w:w="725" w:type="pct"/>
            <w:hideMark/>
          </w:tcPr>
          <w:p w14:paraId="23040480" w14:textId="77777777" w:rsidR="00E86E48" w:rsidRPr="00E8190A" w:rsidRDefault="00E86E48" w:rsidP="00335B90">
            <w:pPr>
              <w:pStyle w:val="NoSpacing"/>
              <w:rPr>
                <w:sz w:val="21"/>
                <w:szCs w:val="21"/>
              </w:rPr>
            </w:pPr>
            <w:r w:rsidRPr="00E8190A">
              <w:rPr>
                <w:sz w:val="21"/>
                <w:szCs w:val="21"/>
              </w:rPr>
              <w:t>0.65 (0.73)</w:t>
            </w:r>
          </w:p>
        </w:tc>
      </w:tr>
      <w:tr w:rsidR="00E86E48" w:rsidRPr="00E8190A" w14:paraId="50F339ED" w14:textId="77777777" w:rsidTr="00335B90">
        <w:tc>
          <w:tcPr>
            <w:tcW w:w="1658" w:type="pct"/>
            <w:hideMark/>
          </w:tcPr>
          <w:p w14:paraId="221A2B90" w14:textId="77777777" w:rsidR="00E86E48" w:rsidRPr="00E8190A" w:rsidRDefault="00E86E48" w:rsidP="00335B90">
            <w:pPr>
              <w:pStyle w:val="NoSpacing"/>
              <w:rPr>
                <w:b/>
                <w:bCs/>
                <w:sz w:val="21"/>
                <w:szCs w:val="21"/>
              </w:rPr>
            </w:pPr>
            <w:r w:rsidRPr="00E8190A">
              <w:rPr>
                <w:b/>
                <w:bCs/>
                <w:sz w:val="21"/>
                <w:szCs w:val="21"/>
              </w:rPr>
              <w:t>Diet = 4</w:t>
            </w:r>
          </w:p>
        </w:tc>
        <w:tc>
          <w:tcPr>
            <w:tcW w:w="972" w:type="pct"/>
            <w:hideMark/>
          </w:tcPr>
          <w:p w14:paraId="6106020F" w14:textId="77777777" w:rsidR="00E86E48" w:rsidRPr="00E8190A" w:rsidRDefault="00E86E48" w:rsidP="00335B90">
            <w:pPr>
              <w:pStyle w:val="NoSpacing"/>
              <w:rPr>
                <w:sz w:val="21"/>
                <w:szCs w:val="21"/>
              </w:rPr>
            </w:pPr>
            <w:r w:rsidRPr="00E8190A">
              <w:rPr>
                <w:sz w:val="21"/>
                <w:szCs w:val="21"/>
              </w:rPr>
              <w:t>0.30 (0.14)</w:t>
            </w:r>
          </w:p>
        </w:tc>
        <w:tc>
          <w:tcPr>
            <w:tcW w:w="725" w:type="pct"/>
            <w:hideMark/>
          </w:tcPr>
          <w:p w14:paraId="3E89F5FB" w14:textId="77777777" w:rsidR="00E86E48" w:rsidRPr="00E8190A" w:rsidRDefault="00E86E48" w:rsidP="00335B90">
            <w:pPr>
              <w:pStyle w:val="NoSpacing"/>
              <w:rPr>
                <w:sz w:val="21"/>
                <w:szCs w:val="21"/>
              </w:rPr>
            </w:pPr>
            <w:r w:rsidRPr="00E8190A">
              <w:rPr>
                <w:sz w:val="21"/>
                <w:szCs w:val="21"/>
              </w:rPr>
              <w:t>0.61 (0.79)</w:t>
            </w:r>
          </w:p>
        </w:tc>
        <w:tc>
          <w:tcPr>
            <w:tcW w:w="921" w:type="pct"/>
            <w:hideMark/>
          </w:tcPr>
          <w:p w14:paraId="4DAE73AD" w14:textId="77777777" w:rsidR="00E86E48" w:rsidRPr="00E8190A" w:rsidRDefault="00E86E48" w:rsidP="00335B90">
            <w:pPr>
              <w:pStyle w:val="NoSpacing"/>
              <w:rPr>
                <w:sz w:val="21"/>
                <w:szCs w:val="21"/>
              </w:rPr>
            </w:pPr>
            <w:r w:rsidRPr="00E8190A">
              <w:rPr>
                <w:sz w:val="21"/>
                <w:szCs w:val="21"/>
              </w:rPr>
              <w:t>−0.36 (0.39)</w:t>
            </w:r>
          </w:p>
        </w:tc>
        <w:tc>
          <w:tcPr>
            <w:tcW w:w="725" w:type="pct"/>
            <w:hideMark/>
          </w:tcPr>
          <w:p w14:paraId="3898975A" w14:textId="77777777" w:rsidR="00E86E48" w:rsidRPr="00E8190A" w:rsidRDefault="00E86E48" w:rsidP="00335B90">
            <w:pPr>
              <w:pStyle w:val="NoSpacing"/>
              <w:rPr>
                <w:sz w:val="21"/>
                <w:szCs w:val="21"/>
              </w:rPr>
            </w:pPr>
            <w:r w:rsidRPr="00E8190A">
              <w:rPr>
                <w:sz w:val="21"/>
                <w:szCs w:val="21"/>
              </w:rPr>
              <w:t>0.61 (0.79)</w:t>
            </w:r>
          </w:p>
        </w:tc>
      </w:tr>
      <w:tr w:rsidR="00E86E48" w:rsidRPr="00E8190A" w14:paraId="6D133FEC" w14:textId="77777777" w:rsidTr="00335B90">
        <w:tc>
          <w:tcPr>
            <w:tcW w:w="1658" w:type="pct"/>
            <w:hideMark/>
          </w:tcPr>
          <w:p w14:paraId="1E0217F6" w14:textId="77777777" w:rsidR="00E86E48" w:rsidRPr="00E8190A" w:rsidRDefault="00E86E48" w:rsidP="00335B90">
            <w:pPr>
              <w:pStyle w:val="NoSpacing"/>
              <w:rPr>
                <w:b/>
                <w:bCs/>
                <w:sz w:val="21"/>
                <w:szCs w:val="21"/>
              </w:rPr>
            </w:pPr>
            <w:r w:rsidRPr="00E8190A">
              <w:rPr>
                <w:b/>
                <w:bCs/>
                <w:sz w:val="21"/>
                <w:szCs w:val="21"/>
              </w:rPr>
              <w:t>Diet = 5</w:t>
            </w:r>
          </w:p>
        </w:tc>
        <w:tc>
          <w:tcPr>
            <w:tcW w:w="972" w:type="pct"/>
            <w:hideMark/>
          </w:tcPr>
          <w:p w14:paraId="515DEA32" w14:textId="77777777" w:rsidR="00E86E48" w:rsidRPr="00E8190A" w:rsidRDefault="00E86E48" w:rsidP="00335B90">
            <w:pPr>
              <w:pStyle w:val="NoSpacing"/>
              <w:rPr>
                <w:sz w:val="21"/>
                <w:szCs w:val="21"/>
              </w:rPr>
            </w:pPr>
            <w:r w:rsidRPr="00E8190A">
              <w:rPr>
                <w:sz w:val="21"/>
                <w:szCs w:val="21"/>
              </w:rPr>
              <w:t>0.91 (0.04)</w:t>
            </w:r>
          </w:p>
        </w:tc>
        <w:tc>
          <w:tcPr>
            <w:tcW w:w="725" w:type="pct"/>
            <w:hideMark/>
          </w:tcPr>
          <w:p w14:paraId="1AEE51FD" w14:textId="77777777" w:rsidR="00E86E48" w:rsidRPr="00E8190A" w:rsidRDefault="00E86E48" w:rsidP="00335B90">
            <w:pPr>
              <w:pStyle w:val="NoSpacing"/>
              <w:rPr>
                <w:sz w:val="21"/>
                <w:szCs w:val="21"/>
              </w:rPr>
            </w:pPr>
            <w:r w:rsidRPr="00E8190A">
              <w:rPr>
                <w:sz w:val="21"/>
                <w:szCs w:val="21"/>
              </w:rPr>
              <w:t>−0.19 (0.90)</w:t>
            </w:r>
          </w:p>
        </w:tc>
        <w:tc>
          <w:tcPr>
            <w:tcW w:w="921" w:type="pct"/>
            <w:hideMark/>
          </w:tcPr>
          <w:p w14:paraId="43CC17E0" w14:textId="77777777" w:rsidR="00E86E48" w:rsidRPr="00E8190A" w:rsidRDefault="00E86E48" w:rsidP="00335B90">
            <w:pPr>
              <w:pStyle w:val="NoSpacing"/>
              <w:rPr>
                <w:sz w:val="21"/>
                <w:szCs w:val="21"/>
              </w:rPr>
            </w:pPr>
            <w:r w:rsidRPr="00E8190A">
              <w:rPr>
                <w:sz w:val="21"/>
                <w:szCs w:val="21"/>
              </w:rPr>
              <w:t>−1.56 (0.09)</w:t>
            </w:r>
          </w:p>
        </w:tc>
        <w:tc>
          <w:tcPr>
            <w:tcW w:w="725" w:type="pct"/>
            <w:hideMark/>
          </w:tcPr>
          <w:p w14:paraId="07BCB25D" w14:textId="77777777" w:rsidR="00E86E48" w:rsidRPr="00E8190A" w:rsidRDefault="00E86E48" w:rsidP="00335B90">
            <w:pPr>
              <w:pStyle w:val="NoSpacing"/>
              <w:rPr>
                <w:sz w:val="21"/>
                <w:szCs w:val="21"/>
              </w:rPr>
            </w:pPr>
            <w:r w:rsidRPr="00E8190A">
              <w:rPr>
                <w:sz w:val="21"/>
                <w:szCs w:val="21"/>
              </w:rPr>
              <w:t>−0.19 (0.90)</w:t>
            </w:r>
          </w:p>
        </w:tc>
      </w:tr>
      <w:tr w:rsidR="00E86E48" w:rsidRPr="00E8190A" w14:paraId="7696A467" w14:textId="77777777" w:rsidTr="00335B90">
        <w:tc>
          <w:tcPr>
            <w:tcW w:w="1658" w:type="pct"/>
            <w:hideMark/>
          </w:tcPr>
          <w:p w14:paraId="16882C09" w14:textId="77777777" w:rsidR="00E86E48" w:rsidRPr="00E8190A" w:rsidRDefault="00E86E48" w:rsidP="00335B90">
            <w:pPr>
              <w:pStyle w:val="NoSpacing"/>
              <w:rPr>
                <w:b/>
                <w:bCs/>
                <w:sz w:val="21"/>
                <w:szCs w:val="21"/>
              </w:rPr>
            </w:pPr>
            <w:r w:rsidRPr="00E8190A">
              <w:rPr>
                <w:b/>
                <w:bCs/>
                <w:sz w:val="21"/>
                <w:szCs w:val="21"/>
              </w:rPr>
              <w:t>Diet = 6</w:t>
            </w:r>
          </w:p>
        </w:tc>
        <w:tc>
          <w:tcPr>
            <w:tcW w:w="972" w:type="pct"/>
            <w:hideMark/>
          </w:tcPr>
          <w:p w14:paraId="010E0CF2" w14:textId="77777777" w:rsidR="00E86E48" w:rsidRPr="00E8190A" w:rsidRDefault="00E86E48" w:rsidP="00335B90">
            <w:pPr>
              <w:pStyle w:val="NoSpacing"/>
              <w:rPr>
                <w:sz w:val="21"/>
                <w:szCs w:val="21"/>
              </w:rPr>
            </w:pPr>
            <w:r w:rsidRPr="00E8190A">
              <w:rPr>
                <w:sz w:val="21"/>
                <w:szCs w:val="21"/>
              </w:rPr>
              <w:t>1.52 (0.02)</w:t>
            </w:r>
          </w:p>
        </w:tc>
        <w:tc>
          <w:tcPr>
            <w:tcW w:w="725" w:type="pct"/>
            <w:hideMark/>
          </w:tcPr>
          <w:p w14:paraId="131351D2" w14:textId="77777777" w:rsidR="00E86E48" w:rsidRPr="00E8190A" w:rsidRDefault="00E86E48" w:rsidP="00335B90">
            <w:pPr>
              <w:pStyle w:val="NoSpacing"/>
              <w:rPr>
                <w:sz w:val="21"/>
                <w:szCs w:val="21"/>
              </w:rPr>
            </w:pPr>
            <w:r w:rsidRPr="00E8190A">
              <w:rPr>
                <w:sz w:val="21"/>
                <w:szCs w:val="21"/>
              </w:rPr>
              <w:t>0.55 (0.77)</w:t>
            </w:r>
          </w:p>
        </w:tc>
        <w:tc>
          <w:tcPr>
            <w:tcW w:w="921" w:type="pct"/>
            <w:hideMark/>
          </w:tcPr>
          <w:p w14:paraId="673697B7" w14:textId="77777777" w:rsidR="00E86E48" w:rsidRPr="00E8190A" w:rsidRDefault="00E86E48" w:rsidP="00335B90">
            <w:pPr>
              <w:pStyle w:val="NoSpacing"/>
              <w:rPr>
                <w:sz w:val="21"/>
                <w:szCs w:val="21"/>
              </w:rPr>
            </w:pPr>
            <w:r w:rsidRPr="00E8190A">
              <w:rPr>
                <w:sz w:val="21"/>
                <w:szCs w:val="21"/>
              </w:rPr>
              <w:t>−1.70 (0.10)</w:t>
            </w:r>
          </w:p>
        </w:tc>
        <w:tc>
          <w:tcPr>
            <w:tcW w:w="725" w:type="pct"/>
            <w:hideMark/>
          </w:tcPr>
          <w:p w14:paraId="34673630" w14:textId="77777777" w:rsidR="00E86E48" w:rsidRPr="00E8190A" w:rsidRDefault="00E86E48" w:rsidP="00335B90">
            <w:pPr>
              <w:pStyle w:val="NoSpacing"/>
              <w:rPr>
                <w:sz w:val="21"/>
                <w:szCs w:val="21"/>
              </w:rPr>
            </w:pPr>
            <w:r w:rsidRPr="00E8190A">
              <w:rPr>
                <w:sz w:val="21"/>
                <w:szCs w:val="21"/>
              </w:rPr>
              <w:t>0.55 (0.77)</w:t>
            </w:r>
          </w:p>
        </w:tc>
      </w:tr>
      <w:tr w:rsidR="00E86E48" w:rsidRPr="00E8190A" w14:paraId="76524D81" w14:textId="77777777" w:rsidTr="00335B90">
        <w:tc>
          <w:tcPr>
            <w:tcW w:w="1658" w:type="pct"/>
            <w:hideMark/>
          </w:tcPr>
          <w:p w14:paraId="0C2E02E0" w14:textId="77777777" w:rsidR="00E86E48" w:rsidRPr="00E8190A" w:rsidRDefault="00E86E48" w:rsidP="00335B90">
            <w:pPr>
              <w:pStyle w:val="NoSpacing"/>
              <w:rPr>
                <w:b/>
                <w:bCs/>
                <w:sz w:val="21"/>
                <w:szCs w:val="21"/>
              </w:rPr>
            </w:pPr>
            <w:r w:rsidRPr="00E8190A">
              <w:rPr>
                <w:b/>
                <w:bCs/>
                <w:sz w:val="21"/>
                <w:szCs w:val="21"/>
              </w:rPr>
              <w:t>Diet = 7</w:t>
            </w:r>
          </w:p>
        </w:tc>
        <w:tc>
          <w:tcPr>
            <w:tcW w:w="972" w:type="pct"/>
            <w:hideMark/>
          </w:tcPr>
          <w:p w14:paraId="5C30FDCD" w14:textId="77777777" w:rsidR="00E86E48" w:rsidRPr="00E8190A" w:rsidRDefault="00E86E48" w:rsidP="00335B90">
            <w:pPr>
              <w:pStyle w:val="NoSpacing"/>
              <w:rPr>
                <w:sz w:val="21"/>
                <w:szCs w:val="21"/>
              </w:rPr>
            </w:pPr>
            <w:r w:rsidRPr="00E8190A">
              <w:rPr>
                <w:sz w:val="21"/>
                <w:szCs w:val="21"/>
              </w:rPr>
              <w:t>4.18 (0.02)</w:t>
            </w:r>
          </w:p>
        </w:tc>
        <w:tc>
          <w:tcPr>
            <w:tcW w:w="725" w:type="pct"/>
            <w:hideMark/>
          </w:tcPr>
          <w:p w14:paraId="5E8584AD" w14:textId="77777777" w:rsidR="00E86E48" w:rsidRPr="00E8190A" w:rsidRDefault="00E86E48" w:rsidP="00335B90">
            <w:pPr>
              <w:pStyle w:val="NoSpacing"/>
              <w:rPr>
                <w:sz w:val="21"/>
                <w:szCs w:val="21"/>
              </w:rPr>
            </w:pPr>
            <w:r w:rsidRPr="00E8190A">
              <w:rPr>
                <w:sz w:val="21"/>
                <w:szCs w:val="21"/>
              </w:rPr>
              <w:t>1.33 (0.75)</w:t>
            </w:r>
          </w:p>
        </w:tc>
        <w:tc>
          <w:tcPr>
            <w:tcW w:w="921" w:type="pct"/>
            <w:hideMark/>
          </w:tcPr>
          <w:p w14:paraId="433FCD92" w14:textId="77777777" w:rsidR="00E86E48" w:rsidRPr="00E8190A" w:rsidRDefault="00E86E48" w:rsidP="00335B90">
            <w:pPr>
              <w:pStyle w:val="NoSpacing"/>
              <w:rPr>
                <w:sz w:val="21"/>
                <w:szCs w:val="21"/>
              </w:rPr>
            </w:pPr>
            <w:r w:rsidRPr="00E8190A">
              <w:rPr>
                <w:sz w:val="21"/>
                <w:szCs w:val="21"/>
              </w:rPr>
              <w:t>−1.33 (0.26)</w:t>
            </w:r>
          </w:p>
        </w:tc>
        <w:tc>
          <w:tcPr>
            <w:tcW w:w="725" w:type="pct"/>
            <w:hideMark/>
          </w:tcPr>
          <w:p w14:paraId="01BE2306" w14:textId="77777777" w:rsidR="00E86E48" w:rsidRPr="00E8190A" w:rsidRDefault="00E86E48" w:rsidP="00335B90">
            <w:pPr>
              <w:pStyle w:val="NoSpacing"/>
              <w:rPr>
                <w:sz w:val="21"/>
                <w:szCs w:val="21"/>
              </w:rPr>
            </w:pPr>
            <w:r w:rsidRPr="00E8190A">
              <w:rPr>
                <w:sz w:val="21"/>
                <w:szCs w:val="21"/>
              </w:rPr>
              <w:t>1.33 (0.75)</w:t>
            </w:r>
          </w:p>
        </w:tc>
      </w:tr>
      <w:tr w:rsidR="00E86E48" w:rsidRPr="00E8190A" w14:paraId="2AC8FFD1" w14:textId="77777777" w:rsidTr="00335B90">
        <w:tc>
          <w:tcPr>
            <w:tcW w:w="1658" w:type="pct"/>
            <w:hideMark/>
          </w:tcPr>
          <w:p w14:paraId="4E745423" w14:textId="77777777" w:rsidR="00E86E48" w:rsidRPr="00E8190A" w:rsidRDefault="00E86E48" w:rsidP="00335B90">
            <w:pPr>
              <w:pStyle w:val="NoSpacing"/>
              <w:rPr>
                <w:b/>
                <w:bCs/>
                <w:sz w:val="21"/>
                <w:szCs w:val="21"/>
              </w:rPr>
            </w:pPr>
            <w:r w:rsidRPr="00E8190A">
              <w:rPr>
                <w:b/>
                <w:bCs/>
                <w:sz w:val="21"/>
                <w:szCs w:val="21"/>
              </w:rPr>
              <w:t>Body mass index</w:t>
            </w:r>
          </w:p>
        </w:tc>
        <w:tc>
          <w:tcPr>
            <w:tcW w:w="972" w:type="pct"/>
            <w:hideMark/>
          </w:tcPr>
          <w:p w14:paraId="5FCCA073" w14:textId="77777777" w:rsidR="00E86E48" w:rsidRPr="00E8190A" w:rsidRDefault="00E86E48" w:rsidP="00335B90">
            <w:pPr>
              <w:pStyle w:val="NoSpacing"/>
              <w:rPr>
                <w:sz w:val="21"/>
                <w:szCs w:val="21"/>
              </w:rPr>
            </w:pPr>
            <w:r w:rsidRPr="00E8190A">
              <w:rPr>
                <w:sz w:val="21"/>
                <w:szCs w:val="21"/>
              </w:rPr>
              <w:t>0.05 (0.05)</w:t>
            </w:r>
          </w:p>
        </w:tc>
        <w:tc>
          <w:tcPr>
            <w:tcW w:w="725" w:type="pct"/>
            <w:hideMark/>
          </w:tcPr>
          <w:p w14:paraId="48343E88" w14:textId="77777777" w:rsidR="00E86E48" w:rsidRPr="00E8190A" w:rsidRDefault="00E86E48" w:rsidP="00335B90">
            <w:pPr>
              <w:pStyle w:val="NoSpacing"/>
              <w:rPr>
                <w:sz w:val="21"/>
                <w:szCs w:val="21"/>
              </w:rPr>
            </w:pPr>
            <w:r w:rsidRPr="00E8190A">
              <w:rPr>
                <w:sz w:val="21"/>
                <w:szCs w:val="21"/>
              </w:rPr>
              <w:t>0.00 (0.98)</w:t>
            </w:r>
          </w:p>
        </w:tc>
        <w:tc>
          <w:tcPr>
            <w:tcW w:w="921" w:type="pct"/>
            <w:hideMark/>
          </w:tcPr>
          <w:p w14:paraId="174FD0AF" w14:textId="77777777" w:rsidR="00E86E48" w:rsidRPr="00E8190A" w:rsidRDefault="00E86E48" w:rsidP="00335B90">
            <w:pPr>
              <w:pStyle w:val="NoSpacing"/>
              <w:rPr>
                <w:sz w:val="21"/>
                <w:szCs w:val="21"/>
              </w:rPr>
            </w:pPr>
            <w:r w:rsidRPr="00E8190A">
              <w:rPr>
                <w:sz w:val="21"/>
                <w:szCs w:val="21"/>
              </w:rPr>
              <w:t>0.06 (0.17)</w:t>
            </w:r>
          </w:p>
        </w:tc>
        <w:tc>
          <w:tcPr>
            <w:tcW w:w="725" w:type="pct"/>
            <w:hideMark/>
          </w:tcPr>
          <w:p w14:paraId="6C0584EA" w14:textId="77777777" w:rsidR="00E86E48" w:rsidRPr="00E8190A" w:rsidRDefault="00E86E48" w:rsidP="00335B90">
            <w:pPr>
              <w:pStyle w:val="NoSpacing"/>
              <w:rPr>
                <w:sz w:val="21"/>
                <w:szCs w:val="21"/>
              </w:rPr>
            </w:pPr>
            <w:r w:rsidRPr="00E8190A">
              <w:rPr>
                <w:sz w:val="21"/>
                <w:szCs w:val="21"/>
              </w:rPr>
              <w:t>0.00 (0.98)</w:t>
            </w:r>
          </w:p>
        </w:tc>
      </w:tr>
      <w:tr w:rsidR="00E86E48" w:rsidRPr="00E8190A" w14:paraId="1BE742B6" w14:textId="77777777" w:rsidTr="00335B90">
        <w:tc>
          <w:tcPr>
            <w:tcW w:w="1658" w:type="pct"/>
            <w:hideMark/>
          </w:tcPr>
          <w:p w14:paraId="7C0AC3AC" w14:textId="77777777" w:rsidR="00E86E48" w:rsidRPr="00E8190A" w:rsidRDefault="00E86E48" w:rsidP="00335B90">
            <w:pPr>
              <w:pStyle w:val="NoSpacing"/>
              <w:rPr>
                <w:b/>
                <w:bCs/>
                <w:sz w:val="21"/>
                <w:szCs w:val="21"/>
              </w:rPr>
            </w:pPr>
            <w:r w:rsidRPr="00E8190A">
              <w:rPr>
                <w:b/>
                <w:bCs/>
                <w:sz w:val="21"/>
                <w:szCs w:val="21"/>
              </w:rPr>
              <w:t>Baseline BMD</w:t>
            </w:r>
          </w:p>
        </w:tc>
        <w:tc>
          <w:tcPr>
            <w:tcW w:w="972" w:type="pct"/>
            <w:hideMark/>
          </w:tcPr>
          <w:p w14:paraId="44019A04" w14:textId="77777777" w:rsidR="00E86E48" w:rsidRPr="00E8190A" w:rsidRDefault="00E86E48" w:rsidP="00335B90">
            <w:pPr>
              <w:pStyle w:val="NoSpacing"/>
              <w:rPr>
                <w:sz w:val="21"/>
                <w:szCs w:val="21"/>
              </w:rPr>
            </w:pPr>
            <w:r w:rsidRPr="00E8190A">
              <w:rPr>
                <w:sz w:val="21"/>
                <w:szCs w:val="21"/>
              </w:rPr>
              <w:t>5.13 (0.02)</w:t>
            </w:r>
          </w:p>
        </w:tc>
        <w:tc>
          <w:tcPr>
            <w:tcW w:w="725" w:type="pct"/>
            <w:hideMark/>
          </w:tcPr>
          <w:p w14:paraId="0C7E611A" w14:textId="77777777" w:rsidR="00E86E48" w:rsidRPr="00E8190A" w:rsidRDefault="00E86E48" w:rsidP="00335B90">
            <w:pPr>
              <w:pStyle w:val="NoSpacing"/>
              <w:rPr>
                <w:sz w:val="21"/>
                <w:szCs w:val="21"/>
              </w:rPr>
            </w:pPr>
            <w:r w:rsidRPr="00E8190A">
              <w:rPr>
                <w:sz w:val="21"/>
                <w:szCs w:val="21"/>
              </w:rPr>
              <w:t>−1.59 (0.83)</w:t>
            </w:r>
          </w:p>
        </w:tc>
        <w:tc>
          <w:tcPr>
            <w:tcW w:w="921" w:type="pct"/>
            <w:hideMark/>
          </w:tcPr>
          <w:p w14:paraId="675FC728" w14:textId="77777777" w:rsidR="00E86E48" w:rsidRPr="00E8190A" w:rsidRDefault="00E86E48" w:rsidP="00335B90">
            <w:pPr>
              <w:pStyle w:val="NoSpacing"/>
              <w:rPr>
                <w:sz w:val="21"/>
                <w:szCs w:val="21"/>
              </w:rPr>
            </w:pPr>
            <w:r w:rsidRPr="00E8190A">
              <w:rPr>
                <w:sz w:val="21"/>
                <w:szCs w:val="21"/>
              </w:rPr>
              <w:t>−4.86 (0.10)</w:t>
            </w:r>
          </w:p>
        </w:tc>
        <w:tc>
          <w:tcPr>
            <w:tcW w:w="725" w:type="pct"/>
            <w:hideMark/>
          </w:tcPr>
          <w:p w14:paraId="606849E2" w14:textId="77777777" w:rsidR="00E86E48" w:rsidRPr="00E8190A" w:rsidRDefault="00E86E48" w:rsidP="00335B90">
            <w:pPr>
              <w:pStyle w:val="NoSpacing"/>
              <w:rPr>
                <w:sz w:val="21"/>
                <w:szCs w:val="21"/>
              </w:rPr>
            </w:pPr>
            <w:r w:rsidRPr="00E8190A">
              <w:rPr>
                <w:sz w:val="21"/>
                <w:szCs w:val="21"/>
              </w:rPr>
              <w:t>−1.59 (0.83)</w:t>
            </w:r>
          </w:p>
        </w:tc>
      </w:tr>
      <w:tr w:rsidR="00E86E48" w:rsidRPr="00E8190A" w14:paraId="015E97AE" w14:textId="77777777" w:rsidTr="00335B90">
        <w:tc>
          <w:tcPr>
            <w:tcW w:w="1658" w:type="pct"/>
            <w:hideMark/>
          </w:tcPr>
          <w:p w14:paraId="11F71145" w14:textId="77777777" w:rsidR="00E86E48" w:rsidRPr="00E8190A" w:rsidRDefault="00E86E48" w:rsidP="00335B90">
            <w:pPr>
              <w:pStyle w:val="NoSpacing"/>
              <w:rPr>
                <w:b/>
                <w:bCs/>
                <w:sz w:val="21"/>
                <w:szCs w:val="21"/>
              </w:rPr>
            </w:pPr>
            <w:r w:rsidRPr="00E8190A">
              <w:rPr>
                <w:b/>
                <w:bCs/>
                <w:sz w:val="21"/>
                <w:szCs w:val="21"/>
              </w:rPr>
              <w:t>Serum sodium</w:t>
            </w:r>
          </w:p>
        </w:tc>
        <w:tc>
          <w:tcPr>
            <w:tcW w:w="972" w:type="pct"/>
            <w:hideMark/>
          </w:tcPr>
          <w:p w14:paraId="4E5E2CAD" w14:textId="77777777" w:rsidR="00E86E48" w:rsidRPr="00E8190A" w:rsidRDefault="00E86E48" w:rsidP="00335B90">
            <w:pPr>
              <w:pStyle w:val="NoSpacing"/>
              <w:rPr>
                <w:sz w:val="21"/>
                <w:szCs w:val="21"/>
              </w:rPr>
            </w:pPr>
            <w:r w:rsidRPr="00E8190A">
              <w:rPr>
                <w:sz w:val="21"/>
                <w:szCs w:val="21"/>
              </w:rPr>
              <w:t>0.09 (0.14)</w:t>
            </w:r>
          </w:p>
        </w:tc>
        <w:tc>
          <w:tcPr>
            <w:tcW w:w="725" w:type="pct"/>
            <w:hideMark/>
          </w:tcPr>
          <w:p w14:paraId="0DE4D3EC" w14:textId="77777777" w:rsidR="00E86E48" w:rsidRPr="00E8190A" w:rsidRDefault="00E86E48" w:rsidP="00335B90">
            <w:pPr>
              <w:pStyle w:val="NoSpacing"/>
              <w:rPr>
                <w:sz w:val="21"/>
                <w:szCs w:val="21"/>
              </w:rPr>
            </w:pPr>
            <w:r w:rsidRPr="00E8190A">
              <w:rPr>
                <w:sz w:val="21"/>
                <w:szCs w:val="21"/>
              </w:rPr>
              <w:t>−0.27 (0.73)</w:t>
            </w:r>
          </w:p>
        </w:tc>
        <w:tc>
          <w:tcPr>
            <w:tcW w:w="921" w:type="pct"/>
            <w:hideMark/>
          </w:tcPr>
          <w:p w14:paraId="1EA2CDDE" w14:textId="77777777" w:rsidR="00E86E48" w:rsidRPr="00E8190A" w:rsidRDefault="00E86E48" w:rsidP="00335B90">
            <w:pPr>
              <w:pStyle w:val="NoSpacing"/>
              <w:rPr>
                <w:sz w:val="21"/>
                <w:szCs w:val="21"/>
              </w:rPr>
            </w:pPr>
            <w:r w:rsidRPr="00E8190A">
              <w:rPr>
                <w:sz w:val="21"/>
                <w:szCs w:val="21"/>
              </w:rPr>
              <w:t>−0.24 (0.18)</w:t>
            </w:r>
          </w:p>
        </w:tc>
        <w:tc>
          <w:tcPr>
            <w:tcW w:w="725" w:type="pct"/>
            <w:hideMark/>
          </w:tcPr>
          <w:p w14:paraId="66C07BE9" w14:textId="77777777" w:rsidR="00E86E48" w:rsidRPr="00E8190A" w:rsidRDefault="00E86E48" w:rsidP="00335B90">
            <w:pPr>
              <w:pStyle w:val="NoSpacing"/>
              <w:rPr>
                <w:sz w:val="21"/>
                <w:szCs w:val="21"/>
              </w:rPr>
            </w:pPr>
            <w:r w:rsidRPr="00E8190A">
              <w:rPr>
                <w:sz w:val="21"/>
                <w:szCs w:val="21"/>
              </w:rPr>
              <w:t>−0.27 (0.73)</w:t>
            </w:r>
          </w:p>
        </w:tc>
      </w:tr>
      <w:tr w:rsidR="00E86E48" w:rsidRPr="00E8190A" w14:paraId="04D8E608" w14:textId="77777777" w:rsidTr="00335B90">
        <w:tc>
          <w:tcPr>
            <w:tcW w:w="1658" w:type="pct"/>
            <w:hideMark/>
          </w:tcPr>
          <w:p w14:paraId="24ED8F42" w14:textId="77777777" w:rsidR="00E86E48" w:rsidRPr="00E8190A" w:rsidRDefault="00E86E48" w:rsidP="00335B90">
            <w:pPr>
              <w:pStyle w:val="NoSpacing"/>
              <w:rPr>
                <w:b/>
                <w:bCs/>
                <w:sz w:val="21"/>
                <w:szCs w:val="21"/>
              </w:rPr>
            </w:pPr>
            <w:r w:rsidRPr="00E8190A">
              <w:rPr>
                <w:b/>
                <w:bCs/>
                <w:sz w:val="21"/>
                <w:szCs w:val="21"/>
              </w:rPr>
              <w:t>Serum potassium</w:t>
            </w:r>
          </w:p>
        </w:tc>
        <w:tc>
          <w:tcPr>
            <w:tcW w:w="972" w:type="pct"/>
            <w:hideMark/>
          </w:tcPr>
          <w:p w14:paraId="489D8E6D" w14:textId="77777777" w:rsidR="00E86E48" w:rsidRPr="00E8190A" w:rsidRDefault="00E86E48" w:rsidP="00335B90">
            <w:pPr>
              <w:pStyle w:val="NoSpacing"/>
              <w:rPr>
                <w:sz w:val="21"/>
                <w:szCs w:val="21"/>
              </w:rPr>
            </w:pPr>
            <w:r w:rsidRPr="00E8190A">
              <w:rPr>
                <w:sz w:val="21"/>
                <w:szCs w:val="21"/>
              </w:rPr>
              <w:t>0.47 (0.10)</w:t>
            </w:r>
          </w:p>
        </w:tc>
        <w:tc>
          <w:tcPr>
            <w:tcW w:w="725" w:type="pct"/>
            <w:hideMark/>
          </w:tcPr>
          <w:p w14:paraId="5F6DBA75" w14:textId="77777777" w:rsidR="00E86E48" w:rsidRPr="00E8190A" w:rsidRDefault="00E86E48" w:rsidP="00335B90">
            <w:pPr>
              <w:pStyle w:val="NoSpacing"/>
              <w:rPr>
                <w:sz w:val="21"/>
                <w:szCs w:val="21"/>
              </w:rPr>
            </w:pPr>
            <w:r w:rsidRPr="00E8190A">
              <w:rPr>
                <w:sz w:val="21"/>
                <w:szCs w:val="21"/>
              </w:rPr>
              <w:t>−0.73 (0.75)</w:t>
            </w:r>
          </w:p>
        </w:tc>
        <w:tc>
          <w:tcPr>
            <w:tcW w:w="921" w:type="pct"/>
            <w:hideMark/>
          </w:tcPr>
          <w:p w14:paraId="0F970E59" w14:textId="77777777" w:rsidR="00E86E48" w:rsidRPr="00E8190A" w:rsidRDefault="00E86E48" w:rsidP="00335B90">
            <w:pPr>
              <w:pStyle w:val="NoSpacing"/>
              <w:rPr>
                <w:sz w:val="21"/>
                <w:szCs w:val="21"/>
              </w:rPr>
            </w:pPr>
            <w:r w:rsidRPr="00E8190A">
              <w:rPr>
                <w:sz w:val="21"/>
                <w:szCs w:val="21"/>
              </w:rPr>
              <w:t>−1.94 (0.09)</w:t>
            </w:r>
          </w:p>
        </w:tc>
        <w:tc>
          <w:tcPr>
            <w:tcW w:w="725" w:type="pct"/>
            <w:hideMark/>
          </w:tcPr>
          <w:p w14:paraId="310E18C4" w14:textId="77777777" w:rsidR="00E86E48" w:rsidRPr="00E8190A" w:rsidRDefault="00E86E48" w:rsidP="00335B90">
            <w:pPr>
              <w:pStyle w:val="NoSpacing"/>
              <w:rPr>
                <w:sz w:val="21"/>
                <w:szCs w:val="21"/>
              </w:rPr>
            </w:pPr>
            <w:r w:rsidRPr="00E8190A">
              <w:rPr>
                <w:sz w:val="21"/>
                <w:szCs w:val="21"/>
              </w:rPr>
              <w:t>−0.73 (0.75)</w:t>
            </w:r>
          </w:p>
        </w:tc>
      </w:tr>
      <w:tr w:rsidR="00E86E48" w:rsidRPr="00E8190A" w14:paraId="3AA82B9E" w14:textId="77777777" w:rsidTr="00335B90">
        <w:tc>
          <w:tcPr>
            <w:tcW w:w="1658" w:type="pct"/>
            <w:hideMark/>
          </w:tcPr>
          <w:p w14:paraId="0FFD77AF" w14:textId="77777777" w:rsidR="00E86E48" w:rsidRPr="00E8190A" w:rsidRDefault="00E86E48" w:rsidP="00335B90">
            <w:pPr>
              <w:pStyle w:val="NoSpacing"/>
              <w:rPr>
                <w:b/>
                <w:bCs/>
                <w:sz w:val="21"/>
                <w:szCs w:val="21"/>
              </w:rPr>
            </w:pPr>
            <w:r w:rsidRPr="00E8190A">
              <w:rPr>
                <w:b/>
                <w:bCs/>
                <w:sz w:val="21"/>
                <w:szCs w:val="21"/>
              </w:rPr>
              <w:t>Serum chloride</w:t>
            </w:r>
          </w:p>
        </w:tc>
        <w:tc>
          <w:tcPr>
            <w:tcW w:w="972" w:type="pct"/>
            <w:hideMark/>
          </w:tcPr>
          <w:p w14:paraId="09E51F96" w14:textId="77777777" w:rsidR="00E86E48" w:rsidRPr="00E8190A" w:rsidRDefault="00E86E48" w:rsidP="00335B90">
            <w:pPr>
              <w:pStyle w:val="NoSpacing"/>
              <w:rPr>
                <w:sz w:val="21"/>
                <w:szCs w:val="21"/>
              </w:rPr>
            </w:pPr>
            <w:r w:rsidRPr="00E8190A">
              <w:rPr>
                <w:sz w:val="21"/>
                <w:szCs w:val="21"/>
              </w:rPr>
              <w:t>−0.18 (0.08)</w:t>
            </w:r>
          </w:p>
        </w:tc>
        <w:tc>
          <w:tcPr>
            <w:tcW w:w="725" w:type="pct"/>
            <w:hideMark/>
          </w:tcPr>
          <w:p w14:paraId="35F97B02" w14:textId="77777777" w:rsidR="00E86E48" w:rsidRPr="00E8190A" w:rsidRDefault="00E86E48" w:rsidP="00335B90">
            <w:pPr>
              <w:pStyle w:val="NoSpacing"/>
              <w:rPr>
                <w:sz w:val="21"/>
                <w:szCs w:val="21"/>
              </w:rPr>
            </w:pPr>
            <w:r w:rsidRPr="00E8190A">
              <w:rPr>
                <w:sz w:val="21"/>
                <w:szCs w:val="21"/>
              </w:rPr>
              <w:t>0.14 (0.86)</w:t>
            </w:r>
          </w:p>
        </w:tc>
        <w:tc>
          <w:tcPr>
            <w:tcW w:w="921" w:type="pct"/>
            <w:hideMark/>
          </w:tcPr>
          <w:p w14:paraId="3EF0DA70" w14:textId="77777777" w:rsidR="00E86E48" w:rsidRPr="00E8190A" w:rsidRDefault="00E86E48" w:rsidP="00335B90">
            <w:pPr>
              <w:pStyle w:val="NoSpacing"/>
              <w:rPr>
                <w:sz w:val="21"/>
                <w:szCs w:val="21"/>
              </w:rPr>
            </w:pPr>
            <w:r w:rsidRPr="00E8190A">
              <w:rPr>
                <w:sz w:val="21"/>
                <w:szCs w:val="21"/>
              </w:rPr>
              <w:t>0.11 (0.42)</w:t>
            </w:r>
          </w:p>
        </w:tc>
        <w:tc>
          <w:tcPr>
            <w:tcW w:w="725" w:type="pct"/>
            <w:hideMark/>
          </w:tcPr>
          <w:p w14:paraId="38F8C4F1" w14:textId="77777777" w:rsidR="00E86E48" w:rsidRPr="00E8190A" w:rsidRDefault="00E86E48" w:rsidP="00335B90">
            <w:pPr>
              <w:pStyle w:val="NoSpacing"/>
              <w:rPr>
                <w:sz w:val="21"/>
                <w:szCs w:val="21"/>
              </w:rPr>
            </w:pPr>
            <w:r w:rsidRPr="00E8190A">
              <w:rPr>
                <w:sz w:val="21"/>
                <w:szCs w:val="21"/>
              </w:rPr>
              <w:t>0.14 (0.86)</w:t>
            </w:r>
          </w:p>
        </w:tc>
      </w:tr>
      <w:tr w:rsidR="00E86E48" w:rsidRPr="00E8190A" w14:paraId="35B2C57A" w14:textId="77777777" w:rsidTr="00335B90">
        <w:tc>
          <w:tcPr>
            <w:tcW w:w="1658" w:type="pct"/>
            <w:hideMark/>
          </w:tcPr>
          <w:p w14:paraId="609E0C9C" w14:textId="77777777" w:rsidR="00E86E48" w:rsidRPr="00E8190A" w:rsidRDefault="00E86E48" w:rsidP="00335B90">
            <w:pPr>
              <w:pStyle w:val="NoSpacing"/>
              <w:rPr>
                <w:b/>
                <w:bCs/>
                <w:sz w:val="21"/>
                <w:szCs w:val="21"/>
              </w:rPr>
            </w:pPr>
            <w:r w:rsidRPr="00E8190A">
              <w:rPr>
                <w:b/>
                <w:bCs/>
                <w:sz w:val="21"/>
                <w:szCs w:val="21"/>
              </w:rPr>
              <w:t>Serum carbon dioxide</w:t>
            </w:r>
          </w:p>
        </w:tc>
        <w:tc>
          <w:tcPr>
            <w:tcW w:w="972" w:type="pct"/>
            <w:hideMark/>
          </w:tcPr>
          <w:p w14:paraId="2A56B010" w14:textId="77777777" w:rsidR="00E86E48" w:rsidRPr="00E8190A" w:rsidRDefault="00E86E48" w:rsidP="00335B90">
            <w:pPr>
              <w:pStyle w:val="NoSpacing"/>
              <w:rPr>
                <w:sz w:val="21"/>
                <w:szCs w:val="21"/>
              </w:rPr>
            </w:pPr>
            <w:r w:rsidRPr="00E8190A">
              <w:rPr>
                <w:sz w:val="21"/>
                <w:szCs w:val="21"/>
              </w:rPr>
              <w:t>−0.28 (0.03)</w:t>
            </w:r>
          </w:p>
        </w:tc>
        <w:tc>
          <w:tcPr>
            <w:tcW w:w="725" w:type="pct"/>
            <w:hideMark/>
          </w:tcPr>
          <w:p w14:paraId="5AAD2529" w14:textId="77777777" w:rsidR="00E86E48" w:rsidRPr="00E8190A" w:rsidRDefault="00E86E48" w:rsidP="00335B90">
            <w:pPr>
              <w:pStyle w:val="NoSpacing"/>
              <w:rPr>
                <w:sz w:val="21"/>
                <w:szCs w:val="21"/>
              </w:rPr>
            </w:pPr>
            <w:r w:rsidRPr="00E8190A">
              <w:rPr>
                <w:sz w:val="21"/>
                <w:szCs w:val="21"/>
              </w:rPr>
              <w:t>0.17 (0.74)</w:t>
            </w:r>
          </w:p>
        </w:tc>
        <w:tc>
          <w:tcPr>
            <w:tcW w:w="921" w:type="pct"/>
            <w:hideMark/>
          </w:tcPr>
          <w:p w14:paraId="3F777D72" w14:textId="77777777" w:rsidR="00E86E48" w:rsidRPr="00E8190A" w:rsidRDefault="00E86E48" w:rsidP="00335B90">
            <w:pPr>
              <w:pStyle w:val="NoSpacing"/>
              <w:rPr>
                <w:sz w:val="21"/>
                <w:szCs w:val="21"/>
              </w:rPr>
            </w:pPr>
            <w:r w:rsidRPr="00E8190A">
              <w:rPr>
                <w:sz w:val="21"/>
                <w:szCs w:val="21"/>
              </w:rPr>
              <w:t>0.21 (0.16)</w:t>
            </w:r>
          </w:p>
        </w:tc>
        <w:tc>
          <w:tcPr>
            <w:tcW w:w="725" w:type="pct"/>
            <w:hideMark/>
          </w:tcPr>
          <w:p w14:paraId="6614594D" w14:textId="77777777" w:rsidR="00E86E48" w:rsidRPr="00E8190A" w:rsidRDefault="00E86E48" w:rsidP="00335B90">
            <w:pPr>
              <w:pStyle w:val="NoSpacing"/>
              <w:rPr>
                <w:sz w:val="21"/>
                <w:szCs w:val="21"/>
              </w:rPr>
            </w:pPr>
            <w:r w:rsidRPr="00E8190A">
              <w:rPr>
                <w:sz w:val="21"/>
                <w:szCs w:val="21"/>
              </w:rPr>
              <w:t>0.17 (0.74)</w:t>
            </w:r>
          </w:p>
        </w:tc>
      </w:tr>
      <w:tr w:rsidR="00E86E48" w:rsidRPr="00E8190A" w14:paraId="2532EEAA" w14:textId="77777777" w:rsidTr="00335B90">
        <w:tc>
          <w:tcPr>
            <w:tcW w:w="1658" w:type="pct"/>
            <w:hideMark/>
          </w:tcPr>
          <w:p w14:paraId="264E9F61" w14:textId="77777777" w:rsidR="00E86E48" w:rsidRPr="00E8190A" w:rsidRDefault="00E86E48" w:rsidP="00335B90">
            <w:pPr>
              <w:pStyle w:val="NoSpacing"/>
              <w:rPr>
                <w:b/>
                <w:bCs/>
                <w:sz w:val="21"/>
                <w:szCs w:val="21"/>
              </w:rPr>
            </w:pPr>
            <w:r w:rsidRPr="00E8190A">
              <w:rPr>
                <w:b/>
                <w:bCs/>
                <w:sz w:val="21"/>
                <w:szCs w:val="21"/>
              </w:rPr>
              <w:t>Serum urea nitrogen</w:t>
            </w:r>
          </w:p>
        </w:tc>
        <w:tc>
          <w:tcPr>
            <w:tcW w:w="972" w:type="pct"/>
            <w:hideMark/>
          </w:tcPr>
          <w:p w14:paraId="31451FB6" w14:textId="77777777" w:rsidR="00E86E48" w:rsidRPr="00E8190A" w:rsidRDefault="00E86E48" w:rsidP="00335B90">
            <w:pPr>
              <w:pStyle w:val="NoSpacing"/>
              <w:rPr>
                <w:sz w:val="21"/>
                <w:szCs w:val="21"/>
              </w:rPr>
            </w:pPr>
            <w:r w:rsidRPr="00E8190A">
              <w:rPr>
                <w:sz w:val="21"/>
                <w:szCs w:val="21"/>
              </w:rPr>
              <w:t>0.09 (0.03)</w:t>
            </w:r>
          </w:p>
        </w:tc>
        <w:tc>
          <w:tcPr>
            <w:tcW w:w="725" w:type="pct"/>
            <w:hideMark/>
          </w:tcPr>
          <w:p w14:paraId="43DE49EE" w14:textId="77777777" w:rsidR="00E86E48" w:rsidRPr="00E8190A" w:rsidRDefault="00E86E48" w:rsidP="00335B90">
            <w:pPr>
              <w:pStyle w:val="NoSpacing"/>
              <w:rPr>
                <w:sz w:val="21"/>
                <w:szCs w:val="21"/>
              </w:rPr>
            </w:pPr>
            <w:r w:rsidRPr="00E8190A">
              <w:rPr>
                <w:sz w:val="21"/>
                <w:szCs w:val="21"/>
              </w:rPr>
              <w:t>0.04 (0.77)</w:t>
            </w:r>
          </w:p>
        </w:tc>
        <w:tc>
          <w:tcPr>
            <w:tcW w:w="921" w:type="pct"/>
            <w:hideMark/>
          </w:tcPr>
          <w:p w14:paraId="41C70DDF" w14:textId="77777777" w:rsidR="00E86E48" w:rsidRPr="00E8190A" w:rsidRDefault="00E86E48" w:rsidP="00335B90">
            <w:pPr>
              <w:pStyle w:val="NoSpacing"/>
              <w:rPr>
                <w:sz w:val="21"/>
                <w:szCs w:val="21"/>
              </w:rPr>
            </w:pPr>
            <w:r w:rsidRPr="00E8190A">
              <w:rPr>
                <w:sz w:val="21"/>
                <w:szCs w:val="21"/>
              </w:rPr>
              <w:t>−0.10 (0.11)</w:t>
            </w:r>
          </w:p>
        </w:tc>
        <w:tc>
          <w:tcPr>
            <w:tcW w:w="725" w:type="pct"/>
            <w:hideMark/>
          </w:tcPr>
          <w:p w14:paraId="0C6BF8C2" w14:textId="77777777" w:rsidR="00E86E48" w:rsidRPr="00E8190A" w:rsidRDefault="00E86E48" w:rsidP="00335B90">
            <w:pPr>
              <w:pStyle w:val="NoSpacing"/>
              <w:rPr>
                <w:sz w:val="21"/>
                <w:szCs w:val="21"/>
              </w:rPr>
            </w:pPr>
            <w:r w:rsidRPr="00E8190A">
              <w:rPr>
                <w:sz w:val="21"/>
                <w:szCs w:val="21"/>
              </w:rPr>
              <w:t>0.04 (0.77)</w:t>
            </w:r>
          </w:p>
        </w:tc>
      </w:tr>
      <w:tr w:rsidR="00E86E48" w:rsidRPr="00E8190A" w14:paraId="18F85785" w14:textId="77777777" w:rsidTr="00335B90">
        <w:tc>
          <w:tcPr>
            <w:tcW w:w="1658" w:type="pct"/>
            <w:hideMark/>
          </w:tcPr>
          <w:p w14:paraId="2DFAAE79" w14:textId="77777777" w:rsidR="00E86E48" w:rsidRPr="00E8190A" w:rsidRDefault="00E86E48" w:rsidP="00335B90">
            <w:pPr>
              <w:pStyle w:val="NoSpacing"/>
              <w:rPr>
                <w:b/>
                <w:bCs/>
                <w:sz w:val="21"/>
                <w:szCs w:val="21"/>
              </w:rPr>
            </w:pPr>
            <w:r w:rsidRPr="00E8190A">
              <w:rPr>
                <w:b/>
                <w:bCs/>
                <w:sz w:val="21"/>
                <w:szCs w:val="21"/>
              </w:rPr>
              <w:t>Serum creatinine</w:t>
            </w:r>
          </w:p>
        </w:tc>
        <w:tc>
          <w:tcPr>
            <w:tcW w:w="972" w:type="pct"/>
            <w:hideMark/>
          </w:tcPr>
          <w:p w14:paraId="05043313" w14:textId="77777777" w:rsidR="00E86E48" w:rsidRPr="00E8190A" w:rsidRDefault="00E86E48" w:rsidP="00335B90">
            <w:pPr>
              <w:pStyle w:val="NoSpacing"/>
              <w:rPr>
                <w:sz w:val="21"/>
                <w:szCs w:val="21"/>
              </w:rPr>
            </w:pPr>
            <w:r w:rsidRPr="00E8190A">
              <w:rPr>
                <w:sz w:val="21"/>
                <w:szCs w:val="21"/>
              </w:rPr>
              <w:t>−2.80 (0.04)</w:t>
            </w:r>
          </w:p>
        </w:tc>
        <w:tc>
          <w:tcPr>
            <w:tcW w:w="725" w:type="pct"/>
            <w:hideMark/>
          </w:tcPr>
          <w:p w14:paraId="0D280E96" w14:textId="77777777" w:rsidR="00E86E48" w:rsidRPr="00E8190A" w:rsidRDefault="00E86E48" w:rsidP="00335B90">
            <w:pPr>
              <w:pStyle w:val="NoSpacing"/>
              <w:rPr>
                <w:sz w:val="21"/>
                <w:szCs w:val="21"/>
              </w:rPr>
            </w:pPr>
            <w:r w:rsidRPr="00E8190A">
              <w:rPr>
                <w:sz w:val="21"/>
                <w:szCs w:val="21"/>
              </w:rPr>
              <w:t>2.05 (0.83)</w:t>
            </w:r>
          </w:p>
        </w:tc>
        <w:tc>
          <w:tcPr>
            <w:tcW w:w="921" w:type="pct"/>
            <w:hideMark/>
          </w:tcPr>
          <w:p w14:paraId="54C44A30" w14:textId="77777777" w:rsidR="00E86E48" w:rsidRPr="00E8190A" w:rsidRDefault="00E86E48" w:rsidP="00335B90">
            <w:pPr>
              <w:pStyle w:val="NoSpacing"/>
              <w:rPr>
                <w:sz w:val="21"/>
                <w:szCs w:val="21"/>
              </w:rPr>
            </w:pPr>
            <w:r w:rsidRPr="00E8190A">
              <w:rPr>
                <w:sz w:val="21"/>
                <w:szCs w:val="21"/>
              </w:rPr>
              <w:t>3.97 (0.11)</w:t>
            </w:r>
          </w:p>
        </w:tc>
        <w:tc>
          <w:tcPr>
            <w:tcW w:w="725" w:type="pct"/>
            <w:hideMark/>
          </w:tcPr>
          <w:p w14:paraId="095EE809" w14:textId="77777777" w:rsidR="00E86E48" w:rsidRPr="00E8190A" w:rsidRDefault="00E86E48" w:rsidP="00335B90">
            <w:pPr>
              <w:pStyle w:val="NoSpacing"/>
              <w:rPr>
                <w:sz w:val="21"/>
                <w:szCs w:val="21"/>
              </w:rPr>
            </w:pPr>
            <w:r w:rsidRPr="00E8190A">
              <w:rPr>
                <w:sz w:val="21"/>
                <w:szCs w:val="21"/>
              </w:rPr>
              <w:t>2.05 (0.83)</w:t>
            </w:r>
          </w:p>
        </w:tc>
      </w:tr>
      <w:tr w:rsidR="00E86E48" w:rsidRPr="00E8190A" w14:paraId="6629449C" w14:textId="77777777" w:rsidTr="00335B90">
        <w:tc>
          <w:tcPr>
            <w:tcW w:w="1658" w:type="pct"/>
            <w:hideMark/>
          </w:tcPr>
          <w:p w14:paraId="0A425047" w14:textId="77777777" w:rsidR="00E86E48" w:rsidRPr="00E8190A" w:rsidRDefault="00E86E48" w:rsidP="00335B90">
            <w:pPr>
              <w:pStyle w:val="NoSpacing"/>
              <w:rPr>
                <w:b/>
                <w:bCs/>
                <w:sz w:val="21"/>
                <w:szCs w:val="21"/>
              </w:rPr>
            </w:pPr>
            <w:r w:rsidRPr="00E8190A">
              <w:rPr>
                <w:b/>
                <w:bCs/>
                <w:sz w:val="21"/>
                <w:szCs w:val="21"/>
              </w:rPr>
              <w:t>Serum glucose</w:t>
            </w:r>
          </w:p>
        </w:tc>
        <w:tc>
          <w:tcPr>
            <w:tcW w:w="972" w:type="pct"/>
            <w:hideMark/>
          </w:tcPr>
          <w:p w14:paraId="2D0E67CB" w14:textId="77777777" w:rsidR="00E86E48" w:rsidRPr="00E8190A" w:rsidRDefault="00E86E48" w:rsidP="00335B90">
            <w:pPr>
              <w:pStyle w:val="NoSpacing"/>
              <w:rPr>
                <w:sz w:val="21"/>
                <w:szCs w:val="21"/>
              </w:rPr>
            </w:pPr>
            <w:r w:rsidRPr="00E8190A">
              <w:rPr>
                <w:sz w:val="21"/>
                <w:szCs w:val="21"/>
              </w:rPr>
              <w:t>−0.02 (0.04)</w:t>
            </w:r>
          </w:p>
        </w:tc>
        <w:tc>
          <w:tcPr>
            <w:tcW w:w="725" w:type="pct"/>
            <w:hideMark/>
          </w:tcPr>
          <w:p w14:paraId="1CB0B2D6" w14:textId="77777777" w:rsidR="00E86E48" w:rsidRPr="00E8190A" w:rsidRDefault="00E86E48" w:rsidP="00335B90">
            <w:pPr>
              <w:pStyle w:val="NoSpacing"/>
              <w:rPr>
                <w:sz w:val="21"/>
                <w:szCs w:val="21"/>
              </w:rPr>
            </w:pPr>
            <w:r w:rsidRPr="00E8190A">
              <w:rPr>
                <w:sz w:val="21"/>
                <w:szCs w:val="21"/>
              </w:rPr>
              <w:t>−0.01 (0.82)</w:t>
            </w:r>
          </w:p>
        </w:tc>
        <w:tc>
          <w:tcPr>
            <w:tcW w:w="921" w:type="pct"/>
            <w:hideMark/>
          </w:tcPr>
          <w:p w14:paraId="41C97849" w14:textId="77777777" w:rsidR="00E86E48" w:rsidRPr="00E8190A" w:rsidRDefault="00E86E48" w:rsidP="00335B90">
            <w:pPr>
              <w:pStyle w:val="NoSpacing"/>
              <w:rPr>
                <w:sz w:val="21"/>
                <w:szCs w:val="21"/>
              </w:rPr>
            </w:pPr>
            <w:r w:rsidRPr="00E8190A">
              <w:rPr>
                <w:sz w:val="21"/>
                <w:szCs w:val="21"/>
              </w:rPr>
              <w:t>−0.02 (0.17)</w:t>
            </w:r>
          </w:p>
        </w:tc>
        <w:tc>
          <w:tcPr>
            <w:tcW w:w="725" w:type="pct"/>
            <w:hideMark/>
          </w:tcPr>
          <w:p w14:paraId="6918595D" w14:textId="77777777" w:rsidR="00E86E48" w:rsidRPr="00E8190A" w:rsidRDefault="00E86E48" w:rsidP="00335B90">
            <w:pPr>
              <w:pStyle w:val="NoSpacing"/>
              <w:rPr>
                <w:sz w:val="21"/>
                <w:szCs w:val="21"/>
              </w:rPr>
            </w:pPr>
            <w:r w:rsidRPr="00E8190A">
              <w:rPr>
                <w:sz w:val="21"/>
                <w:szCs w:val="21"/>
              </w:rPr>
              <w:t>−0.01 (0.82)</w:t>
            </w:r>
          </w:p>
        </w:tc>
      </w:tr>
      <w:tr w:rsidR="00E86E48" w:rsidRPr="00E8190A" w14:paraId="39F1942E" w14:textId="77777777" w:rsidTr="00335B90">
        <w:tc>
          <w:tcPr>
            <w:tcW w:w="1658" w:type="pct"/>
            <w:hideMark/>
          </w:tcPr>
          <w:p w14:paraId="583A103A" w14:textId="77777777" w:rsidR="00E86E48" w:rsidRPr="00E8190A" w:rsidRDefault="00E86E48" w:rsidP="00335B90">
            <w:pPr>
              <w:pStyle w:val="NoSpacing"/>
              <w:rPr>
                <w:b/>
                <w:bCs/>
                <w:sz w:val="21"/>
                <w:szCs w:val="21"/>
              </w:rPr>
            </w:pPr>
            <w:r w:rsidRPr="00E8190A">
              <w:rPr>
                <w:b/>
                <w:bCs/>
                <w:sz w:val="21"/>
                <w:szCs w:val="21"/>
              </w:rPr>
              <w:t>Alkaline phosphatase</w:t>
            </w:r>
          </w:p>
        </w:tc>
        <w:tc>
          <w:tcPr>
            <w:tcW w:w="972" w:type="pct"/>
            <w:hideMark/>
          </w:tcPr>
          <w:p w14:paraId="468D6F11" w14:textId="77777777" w:rsidR="00E86E48" w:rsidRPr="00E8190A" w:rsidRDefault="00E86E48" w:rsidP="00335B90">
            <w:pPr>
              <w:pStyle w:val="NoSpacing"/>
              <w:rPr>
                <w:sz w:val="21"/>
                <w:szCs w:val="21"/>
              </w:rPr>
            </w:pPr>
            <w:r w:rsidRPr="00E8190A">
              <w:rPr>
                <w:sz w:val="21"/>
                <w:szCs w:val="21"/>
              </w:rPr>
              <w:t>−0.01 (0.10)</w:t>
            </w:r>
          </w:p>
        </w:tc>
        <w:tc>
          <w:tcPr>
            <w:tcW w:w="725" w:type="pct"/>
            <w:hideMark/>
          </w:tcPr>
          <w:p w14:paraId="3AEAAB87" w14:textId="77777777" w:rsidR="00E86E48" w:rsidRPr="00E8190A" w:rsidRDefault="00E86E48" w:rsidP="00335B90">
            <w:pPr>
              <w:pStyle w:val="NoSpacing"/>
              <w:rPr>
                <w:sz w:val="21"/>
                <w:szCs w:val="21"/>
              </w:rPr>
            </w:pPr>
            <w:r w:rsidRPr="00E8190A">
              <w:rPr>
                <w:sz w:val="21"/>
                <w:szCs w:val="21"/>
              </w:rPr>
              <w:t>0.01 (0.87)</w:t>
            </w:r>
          </w:p>
        </w:tc>
        <w:tc>
          <w:tcPr>
            <w:tcW w:w="921" w:type="pct"/>
            <w:hideMark/>
          </w:tcPr>
          <w:p w14:paraId="57C33767" w14:textId="77777777" w:rsidR="00E86E48" w:rsidRPr="00E8190A" w:rsidRDefault="00E86E48" w:rsidP="00335B90">
            <w:pPr>
              <w:pStyle w:val="NoSpacing"/>
              <w:rPr>
                <w:sz w:val="21"/>
                <w:szCs w:val="21"/>
              </w:rPr>
            </w:pPr>
            <w:r w:rsidRPr="00E8190A">
              <w:rPr>
                <w:sz w:val="21"/>
                <w:szCs w:val="21"/>
              </w:rPr>
              <w:t>0.00 (0.86)</w:t>
            </w:r>
          </w:p>
        </w:tc>
        <w:tc>
          <w:tcPr>
            <w:tcW w:w="725" w:type="pct"/>
            <w:hideMark/>
          </w:tcPr>
          <w:p w14:paraId="773150B1" w14:textId="77777777" w:rsidR="00E86E48" w:rsidRPr="00E8190A" w:rsidRDefault="00E86E48" w:rsidP="00335B90">
            <w:pPr>
              <w:pStyle w:val="NoSpacing"/>
              <w:rPr>
                <w:sz w:val="21"/>
                <w:szCs w:val="21"/>
              </w:rPr>
            </w:pPr>
            <w:r w:rsidRPr="00E8190A">
              <w:rPr>
                <w:sz w:val="21"/>
                <w:szCs w:val="21"/>
              </w:rPr>
              <w:t>0.01 (0.87)</w:t>
            </w:r>
          </w:p>
        </w:tc>
      </w:tr>
      <w:tr w:rsidR="00E86E48" w:rsidRPr="00E8190A" w14:paraId="34354622" w14:textId="77777777" w:rsidTr="00335B90">
        <w:tc>
          <w:tcPr>
            <w:tcW w:w="1658" w:type="pct"/>
            <w:hideMark/>
          </w:tcPr>
          <w:p w14:paraId="03CE888C" w14:textId="77777777" w:rsidR="00E86E48" w:rsidRPr="00E8190A" w:rsidRDefault="00E86E48" w:rsidP="00335B90">
            <w:pPr>
              <w:pStyle w:val="NoSpacing"/>
              <w:rPr>
                <w:b/>
                <w:bCs/>
                <w:sz w:val="21"/>
                <w:szCs w:val="21"/>
              </w:rPr>
            </w:pPr>
            <w:r w:rsidRPr="00E8190A">
              <w:rPr>
                <w:b/>
                <w:bCs/>
                <w:sz w:val="21"/>
                <w:szCs w:val="21"/>
              </w:rPr>
              <w:t>Aspartate aminotransferase</w:t>
            </w:r>
          </w:p>
        </w:tc>
        <w:tc>
          <w:tcPr>
            <w:tcW w:w="972" w:type="pct"/>
            <w:hideMark/>
          </w:tcPr>
          <w:p w14:paraId="2559228D" w14:textId="77777777" w:rsidR="00E86E48" w:rsidRPr="00E8190A" w:rsidRDefault="00E86E48" w:rsidP="00335B90">
            <w:pPr>
              <w:pStyle w:val="NoSpacing"/>
              <w:rPr>
                <w:sz w:val="21"/>
                <w:szCs w:val="21"/>
              </w:rPr>
            </w:pPr>
            <w:r w:rsidRPr="00E8190A">
              <w:rPr>
                <w:sz w:val="21"/>
                <w:szCs w:val="21"/>
              </w:rPr>
              <w:t>0.00 (0.52)</w:t>
            </w:r>
          </w:p>
        </w:tc>
        <w:tc>
          <w:tcPr>
            <w:tcW w:w="725" w:type="pct"/>
            <w:hideMark/>
          </w:tcPr>
          <w:p w14:paraId="678F3DD5" w14:textId="77777777" w:rsidR="00E86E48" w:rsidRPr="00E8190A" w:rsidRDefault="00E86E48" w:rsidP="00335B90">
            <w:pPr>
              <w:pStyle w:val="NoSpacing"/>
              <w:rPr>
                <w:sz w:val="21"/>
                <w:szCs w:val="21"/>
              </w:rPr>
            </w:pPr>
            <w:r w:rsidRPr="00E8190A">
              <w:rPr>
                <w:sz w:val="21"/>
                <w:szCs w:val="21"/>
              </w:rPr>
              <w:t>0.04 (0.77)</w:t>
            </w:r>
          </w:p>
        </w:tc>
        <w:tc>
          <w:tcPr>
            <w:tcW w:w="921" w:type="pct"/>
            <w:hideMark/>
          </w:tcPr>
          <w:p w14:paraId="7D440092" w14:textId="77777777" w:rsidR="00E86E48" w:rsidRPr="00E8190A" w:rsidRDefault="00E86E48" w:rsidP="00335B90">
            <w:pPr>
              <w:pStyle w:val="NoSpacing"/>
              <w:rPr>
                <w:sz w:val="21"/>
                <w:szCs w:val="21"/>
              </w:rPr>
            </w:pPr>
            <w:r w:rsidRPr="00E8190A">
              <w:rPr>
                <w:sz w:val="21"/>
                <w:szCs w:val="21"/>
              </w:rPr>
              <w:t>0.00 (0.69)</w:t>
            </w:r>
          </w:p>
        </w:tc>
        <w:tc>
          <w:tcPr>
            <w:tcW w:w="725" w:type="pct"/>
            <w:hideMark/>
          </w:tcPr>
          <w:p w14:paraId="34D6EC55" w14:textId="77777777" w:rsidR="00E86E48" w:rsidRPr="00E8190A" w:rsidRDefault="00E86E48" w:rsidP="00335B90">
            <w:pPr>
              <w:pStyle w:val="NoSpacing"/>
              <w:rPr>
                <w:sz w:val="21"/>
                <w:szCs w:val="21"/>
              </w:rPr>
            </w:pPr>
            <w:r w:rsidRPr="00E8190A">
              <w:rPr>
                <w:sz w:val="21"/>
                <w:szCs w:val="21"/>
              </w:rPr>
              <w:t>0.04 (0.77)</w:t>
            </w:r>
          </w:p>
        </w:tc>
      </w:tr>
      <w:tr w:rsidR="00E86E48" w:rsidRPr="00E8190A" w14:paraId="6F83D277" w14:textId="77777777" w:rsidTr="00335B90">
        <w:tc>
          <w:tcPr>
            <w:tcW w:w="1658" w:type="pct"/>
            <w:hideMark/>
          </w:tcPr>
          <w:p w14:paraId="7AD0443D" w14:textId="77777777" w:rsidR="00E86E48" w:rsidRPr="00E8190A" w:rsidRDefault="00E86E48" w:rsidP="00335B90">
            <w:pPr>
              <w:pStyle w:val="NoSpacing"/>
              <w:rPr>
                <w:b/>
                <w:bCs/>
                <w:sz w:val="21"/>
                <w:szCs w:val="21"/>
              </w:rPr>
            </w:pPr>
            <w:r w:rsidRPr="00E8190A">
              <w:rPr>
                <w:b/>
                <w:bCs/>
                <w:sz w:val="21"/>
                <w:szCs w:val="21"/>
              </w:rPr>
              <w:t>Alanine aminotransferase</w:t>
            </w:r>
          </w:p>
        </w:tc>
        <w:tc>
          <w:tcPr>
            <w:tcW w:w="972" w:type="pct"/>
            <w:hideMark/>
          </w:tcPr>
          <w:p w14:paraId="22D6D9B7" w14:textId="77777777" w:rsidR="00E86E48" w:rsidRPr="00E8190A" w:rsidRDefault="00E86E48" w:rsidP="00335B90">
            <w:pPr>
              <w:pStyle w:val="NoSpacing"/>
              <w:rPr>
                <w:sz w:val="21"/>
                <w:szCs w:val="21"/>
              </w:rPr>
            </w:pPr>
            <w:r w:rsidRPr="00E8190A">
              <w:rPr>
                <w:sz w:val="21"/>
                <w:szCs w:val="21"/>
              </w:rPr>
              <w:t>−0.08 (0.03)</w:t>
            </w:r>
          </w:p>
        </w:tc>
        <w:tc>
          <w:tcPr>
            <w:tcW w:w="725" w:type="pct"/>
            <w:hideMark/>
          </w:tcPr>
          <w:p w14:paraId="276AF735" w14:textId="77777777" w:rsidR="00E86E48" w:rsidRPr="00E8190A" w:rsidRDefault="00E86E48" w:rsidP="00335B90">
            <w:pPr>
              <w:pStyle w:val="NoSpacing"/>
              <w:rPr>
                <w:sz w:val="21"/>
                <w:szCs w:val="21"/>
              </w:rPr>
            </w:pPr>
            <w:r w:rsidRPr="00E8190A">
              <w:rPr>
                <w:sz w:val="21"/>
                <w:szCs w:val="21"/>
              </w:rPr>
              <w:t>0.01 (0.94)</w:t>
            </w:r>
          </w:p>
        </w:tc>
        <w:tc>
          <w:tcPr>
            <w:tcW w:w="921" w:type="pct"/>
            <w:hideMark/>
          </w:tcPr>
          <w:p w14:paraId="4D9A68CC" w14:textId="77777777" w:rsidR="00E86E48" w:rsidRPr="00E8190A" w:rsidRDefault="00E86E48" w:rsidP="00335B90">
            <w:pPr>
              <w:pStyle w:val="NoSpacing"/>
              <w:rPr>
                <w:sz w:val="21"/>
                <w:szCs w:val="21"/>
              </w:rPr>
            </w:pPr>
            <w:r w:rsidRPr="00E8190A">
              <w:rPr>
                <w:sz w:val="21"/>
                <w:szCs w:val="21"/>
              </w:rPr>
              <w:t>0.07 (0.11)</w:t>
            </w:r>
          </w:p>
        </w:tc>
        <w:tc>
          <w:tcPr>
            <w:tcW w:w="725" w:type="pct"/>
            <w:hideMark/>
          </w:tcPr>
          <w:p w14:paraId="37B32AF5" w14:textId="77777777" w:rsidR="00E86E48" w:rsidRPr="00E8190A" w:rsidRDefault="00E86E48" w:rsidP="00335B90">
            <w:pPr>
              <w:pStyle w:val="NoSpacing"/>
              <w:rPr>
                <w:sz w:val="21"/>
                <w:szCs w:val="21"/>
              </w:rPr>
            </w:pPr>
            <w:r w:rsidRPr="00E8190A">
              <w:rPr>
                <w:sz w:val="21"/>
                <w:szCs w:val="21"/>
              </w:rPr>
              <w:t>0.01 (0.94)</w:t>
            </w:r>
          </w:p>
        </w:tc>
      </w:tr>
      <w:tr w:rsidR="00E86E48" w:rsidRPr="00E8190A" w14:paraId="747335EF" w14:textId="77777777" w:rsidTr="00335B90">
        <w:tc>
          <w:tcPr>
            <w:tcW w:w="1658" w:type="pct"/>
            <w:hideMark/>
          </w:tcPr>
          <w:p w14:paraId="2F2E1ACA" w14:textId="77777777" w:rsidR="00E86E48" w:rsidRPr="00E8190A" w:rsidRDefault="00E86E48" w:rsidP="00335B90">
            <w:pPr>
              <w:pStyle w:val="NoSpacing"/>
              <w:rPr>
                <w:b/>
                <w:bCs/>
                <w:sz w:val="21"/>
                <w:szCs w:val="21"/>
              </w:rPr>
            </w:pPr>
            <w:r w:rsidRPr="00E8190A">
              <w:rPr>
                <w:b/>
                <w:bCs/>
                <w:sz w:val="21"/>
                <w:szCs w:val="21"/>
              </w:rPr>
              <w:t>Serum calcium</w:t>
            </w:r>
          </w:p>
        </w:tc>
        <w:tc>
          <w:tcPr>
            <w:tcW w:w="972" w:type="pct"/>
            <w:hideMark/>
          </w:tcPr>
          <w:p w14:paraId="16C67F18" w14:textId="77777777" w:rsidR="00E86E48" w:rsidRPr="00E8190A" w:rsidRDefault="00E86E48" w:rsidP="00335B90">
            <w:pPr>
              <w:pStyle w:val="NoSpacing"/>
              <w:rPr>
                <w:sz w:val="21"/>
                <w:szCs w:val="21"/>
              </w:rPr>
            </w:pPr>
            <w:r w:rsidRPr="00E8190A">
              <w:rPr>
                <w:sz w:val="21"/>
                <w:szCs w:val="21"/>
              </w:rPr>
              <w:t>−0.93 (0.05)</w:t>
            </w:r>
          </w:p>
        </w:tc>
        <w:tc>
          <w:tcPr>
            <w:tcW w:w="725" w:type="pct"/>
            <w:hideMark/>
          </w:tcPr>
          <w:p w14:paraId="580668AD" w14:textId="77777777" w:rsidR="00E86E48" w:rsidRPr="00E8190A" w:rsidRDefault="00E86E48" w:rsidP="00335B90">
            <w:pPr>
              <w:pStyle w:val="NoSpacing"/>
              <w:rPr>
                <w:sz w:val="21"/>
                <w:szCs w:val="21"/>
              </w:rPr>
            </w:pPr>
            <w:r w:rsidRPr="00E8190A">
              <w:rPr>
                <w:sz w:val="21"/>
                <w:szCs w:val="21"/>
              </w:rPr>
              <w:t>0.13 (0.97)</w:t>
            </w:r>
          </w:p>
        </w:tc>
        <w:tc>
          <w:tcPr>
            <w:tcW w:w="921" w:type="pct"/>
            <w:hideMark/>
          </w:tcPr>
          <w:p w14:paraId="08EA8E17" w14:textId="77777777" w:rsidR="00E86E48" w:rsidRPr="00E8190A" w:rsidRDefault="00E86E48" w:rsidP="00335B90">
            <w:pPr>
              <w:pStyle w:val="NoSpacing"/>
              <w:rPr>
                <w:sz w:val="21"/>
                <w:szCs w:val="21"/>
              </w:rPr>
            </w:pPr>
            <w:r w:rsidRPr="00E8190A">
              <w:rPr>
                <w:sz w:val="21"/>
                <w:szCs w:val="21"/>
              </w:rPr>
              <w:t>1.28 (0.14)</w:t>
            </w:r>
          </w:p>
        </w:tc>
        <w:tc>
          <w:tcPr>
            <w:tcW w:w="725" w:type="pct"/>
            <w:hideMark/>
          </w:tcPr>
          <w:p w14:paraId="2959C8A5" w14:textId="77777777" w:rsidR="00E86E48" w:rsidRPr="00E8190A" w:rsidRDefault="00E86E48" w:rsidP="00335B90">
            <w:pPr>
              <w:pStyle w:val="NoSpacing"/>
              <w:rPr>
                <w:sz w:val="21"/>
                <w:szCs w:val="21"/>
              </w:rPr>
            </w:pPr>
            <w:r w:rsidRPr="00E8190A">
              <w:rPr>
                <w:sz w:val="21"/>
                <w:szCs w:val="21"/>
              </w:rPr>
              <w:t>0.13 (0.97)</w:t>
            </w:r>
          </w:p>
        </w:tc>
      </w:tr>
      <w:tr w:rsidR="00E86E48" w:rsidRPr="00E8190A" w14:paraId="58ACCF29" w14:textId="77777777" w:rsidTr="00335B90">
        <w:tc>
          <w:tcPr>
            <w:tcW w:w="1658" w:type="pct"/>
            <w:hideMark/>
          </w:tcPr>
          <w:p w14:paraId="02E9036B" w14:textId="77777777" w:rsidR="00E86E48" w:rsidRPr="00E8190A" w:rsidRDefault="00E86E48" w:rsidP="00335B90">
            <w:pPr>
              <w:pStyle w:val="NoSpacing"/>
              <w:rPr>
                <w:b/>
                <w:bCs/>
                <w:sz w:val="21"/>
                <w:szCs w:val="21"/>
              </w:rPr>
            </w:pPr>
            <w:r w:rsidRPr="00E8190A">
              <w:rPr>
                <w:b/>
                <w:bCs/>
                <w:sz w:val="21"/>
                <w:szCs w:val="21"/>
              </w:rPr>
              <w:t>Serum inorganic phosphorous</w:t>
            </w:r>
          </w:p>
        </w:tc>
        <w:tc>
          <w:tcPr>
            <w:tcW w:w="972" w:type="pct"/>
            <w:hideMark/>
          </w:tcPr>
          <w:p w14:paraId="4034E16F" w14:textId="77777777" w:rsidR="00E86E48" w:rsidRPr="00E8190A" w:rsidRDefault="00E86E48" w:rsidP="00335B90">
            <w:pPr>
              <w:pStyle w:val="NoSpacing"/>
              <w:rPr>
                <w:sz w:val="21"/>
                <w:szCs w:val="21"/>
              </w:rPr>
            </w:pPr>
            <w:r w:rsidRPr="00E8190A">
              <w:rPr>
                <w:sz w:val="21"/>
                <w:szCs w:val="21"/>
              </w:rPr>
              <w:t>−0.36 (0.06)</w:t>
            </w:r>
          </w:p>
        </w:tc>
        <w:tc>
          <w:tcPr>
            <w:tcW w:w="725" w:type="pct"/>
            <w:hideMark/>
          </w:tcPr>
          <w:p w14:paraId="47B936B1" w14:textId="77777777" w:rsidR="00E86E48" w:rsidRPr="00E8190A" w:rsidRDefault="00E86E48" w:rsidP="00335B90">
            <w:pPr>
              <w:pStyle w:val="NoSpacing"/>
              <w:rPr>
                <w:sz w:val="21"/>
                <w:szCs w:val="21"/>
              </w:rPr>
            </w:pPr>
            <w:r w:rsidRPr="00E8190A">
              <w:rPr>
                <w:sz w:val="21"/>
                <w:szCs w:val="21"/>
              </w:rPr>
              <w:t>0.12 (0.93)</w:t>
            </w:r>
          </w:p>
        </w:tc>
        <w:tc>
          <w:tcPr>
            <w:tcW w:w="921" w:type="pct"/>
            <w:hideMark/>
          </w:tcPr>
          <w:p w14:paraId="27740D34" w14:textId="77777777" w:rsidR="00E86E48" w:rsidRPr="00E8190A" w:rsidRDefault="00E86E48" w:rsidP="00335B90">
            <w:pPr>
              <w:pStyle w:val="NoSpacing"/>
              <w:rPr>
                <w:sz w:val="21"/>
                <w:szCs w:val="21"/>
              </w:rPr>
            </w:pPr>
            <w:r w:rsidRPr="00E8190A">
              <w:rPr>
                <w:sz w:val="21"/>
                <w:szCs w:val="21"/>
              </w:rPr>
              <w:t>−0.23 (0.33)</w:t>
            </w:r>
          </w:p>
        </w:tc>
        <w:tc>
          <w:tcPr>
            <w:tcW w:w="725" w:type="pct"/>
            <w:hideMark/>
          </w:tcPr>
          <w:p w14:paraId="2A2B42C2" w14:textId="77777777" w:rsidR="00E86E48" w:rsidRPr="00E8190A" w:rsidRDefault="00E86E48" w:rsidP="00335B90">
            <w:pPr>
              <w:pStyle w:val="NoSpacing"/>
              <w:rPr>
                <w:sz w:val="21"/>
                <w:szCs w:val="21"/>
              </w:rPr>
            </w:pPr>
            <w:r w:rsidRPr="00E8190A">
              <w:rPr>
                <w:sz w:val="21"/>
                <w:szCs w:val="21"/>
              </w:rPr>
              <w:t>0.12 (0.93)</w:t>
            </w:r>
          </w:p>
        </w:tc>
      </w:tr>
      <w:tr w:rsidR="00E86E48" w:rsidRPr="00E8190A" w14:paraId="6226D051" w14:textId="77777777" w:rsidTr="00335B90">
        <w:tc>
          <w:tcPr>
            <w:tcW w:w="1658" w:type="pct"/>
            <w:hideMark/>
          </w:tcPr>
          <w:p w14:paraId="78944B0E" w14:textId="77777777" w:rsidR="00E86E48" w:rsidRPr="00E8190A" w:rsidRDefault="00E86E48" w:rsidP="00335B90">
            <w:pPr>
              <w:pStyle w:val="NoSpacing"/>
              <w:rPr>
                <w:b/>
                <w:bCs/>
                <w:sz w:val="21"/>
                <w:szCs w:val="21"/>
              </w:rPr>
            </w:pPr>
            <w:r w:rsidRPr="00E8190A">
              <w:rPr>
                <w:b/>
                <w:bCs/>
                <w:sz w:val="21"/>
                <w:szCs w:val="21"/>
              </w:rPr>
              <w:t>Serum total protein</w:t>
            </w:r>
          </w:p>
        </w:tc>
        <w:tc>
          <w:tcPr>
            <w:tcW w:w="972" w:type="pct"/>
            <w:hideMark/>
          </w:tcPr>
          <w:p w14:paraId="6C105F41" w14:textId="77777777" w:rsidR="00E86E48" w:rsidRPr="00E8190A" w:rsidRDefault="00E86E48" w:rsidP="00335B90">
            <w:pPr>
              <w:pStyle w:val="NoSpacing"/>
              <w:rPr>
                <w:sz w:val="21"/>
                <w:szCs w:val="21"/>
              </w:rPr>
            </w:pPr>
            <w:r w:rsidRPr="00E8190A">
              <w:rPr>
                <w:sz w:val="21"/>
                <w:szCs w:val="21"/>
              </w:rPr>
              <w:t>1.21 (0.06)</w:t>
            </w:r>
          </w:p>
        </w:tc>
        <w:tc>
          <w:tcPr>
            <w:tcW w:w="725" w:type="pct"/>
            <w:hideMark/>
          </w:tcPr>
          <w:p w14:paraId="4B233487" w14:textId="77777777" w:rsidR="00E86E48" w:rsidRPr="00E8190A" w:rsidRDefault="00E86E48" w:rsidP="00335B90">
            <w:pPr>
              <w:pStyle w:val="NoSpacing"/>
              <w:rPr>
                <w:sz w:val="21"/>
                <w:szCs w:val="21"/>
              </w:rPr>
            </w:pPr>
            <w:r w:rsidRPr="00E8190A">
              <w:rPr>
                <w:sz w:val="21"/>
                <w:szCs w:val="21"/>
              </w:rPr>
              <w:t>0.12 (0.96)</w:t>
            </w:r>
          </w:p>
        </w:tc>
        <w:tc>
          <w:tcPr>
            <w:tcW w:w="921" w:type="pct"/>
            <w:hideMark/>
          </w:tcPr>
          <w:p w14:paraId="20A2F8E2" w14:textId="77777777" w:rsidR="00E86E48" w:rsidRPr="00E8190A" w:rsidRDefault="00E86E48" w:rsidP="00335B90">
            <w:pPr>
              <w:pStyle w:val="NoSpacing"/>
              <w:rPr>
                <w:sz w:val="21"/>
                <w:szCs w:val="21"/>
              </w:rPr>
            </w:pPr>
            <w:r w:rsidRPr="00E8190A">
              <w:rPr>
                <w:sz w:val="21"/>
                <w:szCs w:val="21"/>
              </w:rPr>
              <w:t>−1.23 (0.20)</w:t>
            </w:r>
          </w:p>
        </w:tc>
        <w:tc>
          <w:tcPr>
            <w:tcW w:w="725" w:type="pct"/>
            <w:hideMark/>
          </w:tcPr>
          <w:p w14:paraId="2732C7C6" w14:textId="77777777" w:rsidR="00E86E48" w:rsidRPr="00E8190A" w:rsidRDefault="00E86E48" w:rsidP="00335B90">
            <w:pPr>
              <w:pStyle w:val="NoSpacing"/>
              <w:rPr>
                <w:sz w:val="21"/>
                <w:szCs w:val="21"/>
              </w:rPr>
            </w:pPr>
            <w:r w:rsidRPr="00E8190A">
              <w:rPr>
                <w:sz w:val="21"/>
                <w:szCs w:val="21"/>
              </w:rPr>
              <w:t>0.12 (0.96)</w:t>
            </w:r>
          </w:p>
        </w:tc>
      </w:tr>
      <w:tr w:rsidR="00E86E48" w:rsidRPr="00E8190A" w14:paraId="5B19FA8E" w14:textId="77777777" w:rsidTr="00335B90">
        <w:tc>
          <w:tcPr>
            <w:tcW w:w="1658" w:type="pct"/>
            <w:hideMark/>
          </w:tcPr>
          <w:p w14:paraId="0612A805" w14:textId="77777777" w:rsidR="00E86E48" w:rsidRPr="00E8190A" w:rsidRDefault="00E86E48" w:rsidP="00335B90">
            <w:pPr>
              <w:pStyle w:val="NoSpacing"/>
              <w:rPr>
                <w:b/>
                <w:bCs/>
                <w:sz w:val="21"/>
                <w:szCs w:val="21"/>
              </w:rPr>
            </w:pPr>
            <w:r w:rsidRPr="00E8190A">
              <w:rPr>
                <w:b/>
                <w:bCs/>
                <w:sz w:val="21"/>
                <w:szCs w:val="21"/>
              </w:rPr>
              <w:t>Serum albumin</w:t>
            </w:r>
          </w:p>
        </w:tc>
        <w:tc>
          <w:tcPr>
            <w:tcW w:w="972" w:type="pct"/>
            <w:hideMark/>
          </w:tcPr>
          <w:p w14:paraId="14C46D35" w14:textId="77777777" w:rsidR="00E86E48" w:rsidRPr="00E8190A" w:rsidRDefault="00E86E48" w:rsidP="00335B90">
            <w:pPr>
              <w:pStyle w:val="NoSpacing"/>
              <w:rPr>
                <w:sz w:val="21"/>
                <w:szCs w:val="21"/>
              </w:rPr>
            </w:pPr>
            <w:r w:rsidRPr="00E8190A">
              <w:rPr>
                <w:sz w:val="21"/>
                <w:szCs w:val="21"/>
              </w:rPr>
              <w:t>−0.83 (0.11)</w:t>
            </w:r>
          </w:p>
        </w:tc>
        <w:tc>
          <w:tcPr>
            <w:tcW w:w="725" w:type="pct"/>
            <w:hideMark/>
          </w:tcPr>
          <w:p w14:paraId="4E9E563B" w14:textId="77777777" w:rsidR="00E86E48" w:rsidRPr="00E8190A" w:rsidRDefault="00E86E48" w:rsidP="00335B90">
            <w:pPr>
              <w:pStyle w:val="NoSpacing"/>
              <w:rPr>
                <w:sz w:val="21"/>
                <w:szCs w:val="21"/>
              </w:rPr>
            </w:pPr>
            <w:r w:rsidRPr="00E8190A">
              <w:rPr>
                <w:sz w:val="21"/>
                <w:szCs w:val="21"/>
              </w:rPr>
              <w:t>−0.19 (0.96)</w:t>
            </w:r>
          </w:p>
        </w:tc>
        <w:tc>
          <w:tcPr>
            <w:tcW w:w="921" w:type="pct"/>
            <w:hideMark/>
          </w:tcPr>
          <w:p w14:paraId="2B5EF651" w14:textId="77777777" w:rsidR="00E86E48" w:rsidRPr="00E8190A" w:rsidRDefault="00E86E48" w:rsidP="00335B90">
            <w:pPr>
              <w:pStyle w:val="NoSpacing"/>
              <w:rPr>
                <w:sz w:val="21"/>
                <w:szCs w:val="21"/>
              </w:rPr>
            </w:pPr>
            <w:r w:rsidRPr="00E8190A">
              <w:rPr>
                <w:sz w:val="21"/>
                <w:szCs w:val="21"/>
              </w:rPr>
              <w:t>2.25 (0.15)</w:t>
            </w:r>
          </w:p>
        </w:tc>
        <w:tc>
          <w:tcPr>
            <w:tcW w:w="725" w:type="pct"/>
            <w:hideMark/>
          </w:tcPr>
          <w:p w14:paraId="751C55F1" w14:textId="77777777" w:rsidR="00E86E48" w:rsidRPr="00E8190A" w:rsidRDefault="00E86E48" w:rsidP="00335B90">
            <w:pPr>
              <w:pStyle w:val="NoSpacing"/>
              <w:rPr>
                <w:sz w:val="21"/>
                <w:szCs w:val="21"/>
              </w:rPr>
            </w:pPr>
            <w:r w:rsidRPr="00E8190A">
              <w:rPr>
                <w:sz w:val="21"/>
                <w:szCs w:val="21"/>
              </w:rPr>
              <w:t>−0.19 (0.96)</w:t>
            </w:r>
          </w:p>
        </w:tc>
      </w:tr>
      <w:tr w:rsidR="00E86E48" w:rsidRPr="00E8190A" w14:paraId="327AF35A" w14:textId="77777777" w:rsidTr="00335B90">
        <w:tc>
          <w:tcPr>
            <w:tcW w:w="1658" w:type="pct"/>
            <w:hideMark/>
          </w:tcPr>
          <w:p w14:paraId="0EAE0B1B" w14:textId="77777777" w:rsidR="00E86E48" w:rsidRPr="00E8190A" w:rsidRDefault="00E86E48" w:rsidP="00335B90">
            <w:pPr>
              <w:pStyle w:val="NoSpacing"/>
              <w:rPr>
                <w:b/>
                <w:bCs/>
                <w:sz w:val="21"/>
                <w:szCs w:val="21"/>
              </w:rPr>
            </w:pPr>
            <w:r w:rsidRPr="00E8190A">
              <w:rPr>
                <w:b/>
                <w:bCs/>
                <w:sz w:val="21"/>
                <w:szCs w:val="21"/>
              </w:rPr>
              <w:t>Serum total bilirubin</w:t>
            </w:r>
          </w:p>
        </w:tc>
        <w:tc>
          <w:tcPr>
            <w:tcW w:w="972" w:type="pct"/>
            <w:hideMark/>
          </w:tcPr>
          <w:p w14:paraId="45ECC567" w14:textId="77777777" w:rsidR="00E86E48" w:rsidRPr="00E8190A" w:rsidRDefault="00E86E48" w:rsidP="00335B90">
            <w:pPr>
              <w:pStyle w:val="NoSpacing"/>
              <w:rPr>
                <w:sz w:val="21"/>
                <w:szCs w:val="21"/>
              </w:rPr>
            </w:pPr>
            <w:r w:rsidRPr="00E8190A">
              <w:rPr>
                <w:sz w:val="21"/>
                <w:szCs w:val="21"/>
              </w:rPr>
              <w:t>−0.30 (0.11)</w:t>
            </w:r>
          </w:p>
        </w:tc>
        <w:tc>
          <w:tcPr>
            <w:tcW w:w="725" w:type="pct"/>
            <w:hideMark/>
          </w:tcPr>
          <w:p w14:paraId="275DDBE8" w14:textId="77777777" w:rsidR="00E86E48" w:rsidRPr="00E8190A" w:rsidRDefault="00E86E48" w:rsidP="00335B90">
            <w:pPr>
              <w:pStyle w:val="NoSpacing"/>
              <w:rPr>
                <w:sz w:val="21"/>
                <w:szCs w:val="21"/>
              </w:rPr>
            </w:pPr>
            <w:r w:rsidRPr="00E8190A">
              <w:rPr>
                <w:sz w:val="21"/>
                <w:szCs w:val="21"/>
              </w:rPr>
              <w:t>0.19 (0.94)</w:t>
            </w:r>
          </w:p>
        </w:tc>
        <w:tc>
          <w:tcPr>
            <w:tcW w:w="921" w:type="pct"/>
            <w:hideMark/>
          </w:tcPr>
          <w:p w14:paraId="56CA24CD" w14:textId="77777777" w:rsidR="00E86E48" w:rsidRPr="00E8190A" w:rsidRDefault="00E86E48" w:rsidP="00335B90">
            <w:pPr>
              <w:pStyle w:val="NoSpacing"/>
              <w:rPr>
                <w:sz w:val="21"/>
                <w:szCs w:val="21"/>
              </w:rPr>
            </w:pPr>
            <w:r w:rsidRPr="00E8190A">
              <w:rPr>
                <w:sz w:val="21"/>
                <w:szCs w:val="21"/>
              </w:rPr>
              <w:t>−1.74 (0.07)</w:t>
            </w:r>
          </w:p>
        </w:tc>
        <w:tc>
          <w:tcPr>
            <w:tcW w:w="725" w:type="pct"/>
            <w:hideMark/>
          </w:tcPr>
          <w:p w14:paraId="23F2BE4A" w14:textId="77777777" w:rsidR="00E86E48" w:rsidRPr="00E8190A" w:rsidRDefault="00E86E48" w:rsidP="00335B90">
            <w:pPr>
              <w:pStyle w:val="NoSpacing"/>
              <w:rPr>
                <w:sz w:val="21"/>
                <w:szCs w:val="21"/>
              </w:rPr>
            </w:pPr>
            <w:r w:rsidRPr="00E8190A">
              <w:rPr>
                <w:sz w:val="21"/>
                <w:szCs w:val="21"/>
              </w:rPr>
              <w:t>0.19 (0.94)</w:t>
            </w:r>
          </w:p>
        </w:tc>
      </w:tr>
      <w:tr w:rsidR="00E86E48" w:rsidRPr="00E8190A" w14:paraId="79C2A95C" w14:textId="77777777" w:rsidTr="00335B90">
        <w:tc>
          <w:tcPr>
            <w:tcW w:w="1658" w:type="pct"/>
            <w:hideMark/>
          </w:tcPr>
          <w:p w14:paraId="31D68EB3" w14:textId="77777777" w:rsidR="00E86E48" w:rsidRPr="00E8190A" w:rsidRDefault="00E86E48" w:rsidP="00335B90">
            <w:pPr>
              <w:pStyle w:val="NoSpacing"/>
              <w:rPr>
                <w:b/>
                <w:bCs/>
                <w:sz w:val="21"/>
                <w:szCs w:val="21"/>
              </w:rPr>
            </w:pPr>
            <w:r w:rsidRPr="00E8190A">
              <w:rPr>
                <w:b/>
                <w:bCs/>
                <w:sz w:val="21"/>
                <w:szCs w:val="21"/>
              </w:rPr>
              <w:t>Adult male testosterone</w:t>
            </w:r>
          </w:p>
        </w:tc>
        <w:tc>
          <w:tcPr>
            <w:tcW w:w="972" w:type="pct"/>
            <w:hideMark/>
          </w:tcPr>
          <w:p w14:paraId="0F2D3C0D" w14:textId="77777777" w:rsidR="00E86E48" w:rsidRPr="00E8190A" w:rsidRDefault="00E86E48" w:rsidP="00335B90">
            <w:pPr>
              <w:pStyle w:val="NoSpacing"/>
              <w:rPr>
                <w:sz w:val="21"/>
                <w:szCs w:val="21"/>
              </w:rPr>
            </w:pPr>
            <w:r w:rsidRPr="00E8190A">
              <w:rPr>
                <w:sz w:val="21"/>
                <w:szCs w:val="21"/>
              </w:rPr>
              <w:t>0.00 (0.05)</w:t>
            </w:r>
          </w:p>
        </w:tc>
        <w:tc>
          <w:tcPr>
            <w:tcW w:w="725" w:type="pct"/>
            <w:hideMark/>
          </w:tcPr>
          <w:p w14:paraId="55657C17" w14:textId="77777777" w:rsidR="00E86E48" w:rsidRPr="00E8190A" w:rsidRDefault="00E86E48" w:rsidP="00335B90">
            <w:pPr>
              <w:pStyle w:val="NoSpacing"/>
              <w:rPr>
                <w:sz w:val="21"/>
                <w:szCs w:val="21"/>
              </w:rPr>
            </w:pPr>
            <w:r w:rsidRPr="00E8190A">
              <w:rPr>
                <w:sz w:val="21"/>
                <w:szCs w:val="21"/>
              </w:rPr>
              <w:t>0.00 (0.64)</w:t>
            </w:r>
          </w:p>
        </w:tc>
        <w:tc>
          <w:tcPr>
            <w:tcW w:w="921" w:type="pct"/>
            <w:hideMark/>
          </w:tcPr>
          <w:p w14:paraId="31564F21" w14:textId="77777777" w:rsidR="00E86E48" w:rsidRPr="00E8190A" w:rsidRDefault="00E86E48" w:rsidP="00335B90">
            <w:pPr>
              <w:pStyle w:val="NoSpacing"/>
              <w:rPr>
                <w:sz w:val="21"/>
                <w:szCs w:val="21"/>
              </w:rPr>
            </w:pPr>
            <w:r w:rsidRPr="00E8190A">
              <w:rPr>
                <w:sz w:val="21"/>
                <w:szCs w:val="21"/>
              </w:rPr>
              <w:t>0.00 (0.30)</w:t>
            </w:r>
          </w:p>
        </w:tc>
        <w:tc>
          <w:tcPr>
            <w:tcW w:w="725" w:type="pct"/>
            <w:hideMark/>
          </w:tcPr>
          <w:p w14:paraId="5726777C" w14:textId="77777777" w:rsidR="00E86E48" w:rsidRPr="00E8190A" w:rsidRDefault="00E86E48" w:rsidP="00335B90">
            <w:pPr>
              <w:pStyle w:val="NoSpacing"/>
              <w:rPr>
                <w:sz w:val="21"/>
                <w:szCs w:val="21"/>
              </w:rPr>
            </w:pPr>
            <w:r w:rsidRPr="00E8190A">
              <w:rPr>
                <w:sz w:val="21"/>
                <w:szCs w:val="21"/>
              </w:rPr>
              <w:t>0.00 (0.64)</w:t>
            </w:r>
          </w:p>
        </w:tc>
      </w:tr>
    </w:tbl>
    <w:p w14:paraId="3BE81C0B" w14:textId="51AB22CA" w:rsidR="00E86E48" w:rsidRPr="00E8190A" w:rsidRDefault="00E86E48" w:rsidP="00556FDA">
      <w:pPr>
        <w:rPr>
          <w:rFonts w:cstheme="minorHAnsi"/>
          <w:color w:val="2E2E2E"/>
        </w:rPr>
      </w:pPr>
      <w:r w:rsidRPr="00E8190A">
        <w:rPr>
          <w:rFonts w:cstheme="minorHAnsi"/>
          <w:color w:val="2E2E2E"/>
        </w:rPr>
        <w:t>Mean </w:t>
      </w:r>
      <w:hyperlink r:id="rId105" w:tooltip="Learn more about Trabecular Bone from ScienceDirect's AI-generated Topic Pages" w:history="1">
        <w:r w:rsidRPr="00E8190A">
          <w:rPr>
            <w:rStyle w:val="Hyperlink"/>
            <w:rFonts w:eastAsiaTheme="majorEastAsia" w:cstheme="minorHAnsi"/>
            <w:color w:val="0C7DBB"/>
          </w:rPr>
          <w:t>trabecular bone</w:t>
        </w:r>
      </w:hyperlink>
      <w:r w:rsidRPr="00E8190A">
        <w:rPr>
          <w:rFonts w:cstheme="minorHAnsi"/>
          <w:color w:val="2E2E2E"/>
        </w:rPr>
        <w:t> score was 1.388 (SD = 0.098) in the control group at enrollment and did not significantly change over the one year study period (1.406 (SD = 0.112) at follow-up, mean change = −0.003, 95%CI [−0.024–0.019], </w:t>
      </w:r>
      <w:r w:rsidRPr="00E8190A">
        <w:rPr>
          <w:rStyle w:val="Emphasis"/>
          <w:rFonts w:eastAsiaTheme="majorEastAsia" w:cstheme="minorHAnsi"/>
          <w:color w:val="2E2E2E"/>
        </w:rPr>
        <w:t>p</w:t>
      </w:r>
      <w:r w:rsidRPr="00E8190A">
        <w:rPr>
          <w:rFonts w:cstheme="minorHAnsi"/>
          <w:color w:val="2E2E2E"/>
        </w:rPr>
        <w:t> = 0.79). Donors in the apheresis arm had a mean trabecular bone score at enrollment of 1.474 (SD = 0.105) and it did not change over the one year study period (1.475 (SD = 0.133) at follow-up, mean change = 0.001, 95%CI [−0.022, 0.024], </w:t>
      </w:r>
      <w:r w:rsidRPr="00E8190A">
        <w:rPr>
          <w:rStyle w:val="Emphasis"/>
          <w:rFonts w:eastAsiaTheme="majorEastAsia" w:cstheme="minorHAnsi"/>
          <w:color w:val="2E2E2E"/>
        </w:rPr>
        <w:t>p</w:t>
      </w:r>
      <w:r w:rsidRPr="00E8190A">
        <w:rPr>
          <w:rFonts w:cstheme="minorHAnsi"/>
          <w:color w:val="2E2E2E"/>
        </w:rPr>
        <w:t> = 0.92).</w:t>
      </w:r>
    </w:p>
    <w:p w14:paraId="5288A1F2" w14:textId="77777777" w:rsidR="00E86E48" w:rsidRPr="00E8190A" w:rsidRDefault="00E86E48" w:rsidP="00556FDA">
      <w:pPr>
        <w:pStyle w:val="Heading1"/>
        <w:rPr>
          <w:rFonts w:asciiTheme="minorHAnsi" w:hAnsiTheme="minorHAnsi" w:cstheme="minorHAnsi"/>
          <w:sz w:val="36"/>
          <w:szCs w:val="36"/>
        </w:rPr>
      </w:pPr>
      <w:r w:rsidRPr="00E8190A">
        <w:rPr>
          <w:rFonts w:asciiTheme="minorHAnsi" w:hAnsiTheme="minorHAnsi" w:cstheme="minorHAnsi"/>
        </w:rPr>
        <w:t>4. Discussion</w:t>
      </w:r>
    </w:p>
    <w:p w14:paraId="5EB9937C" w14:textId="77777777" w:rsidR="00E86E48" w:rsidRPr="00E8190A" w:rsidRDefault="00E86E48" w:rsidP="002F0A82">
      <w:pPr>
        <w:rPr>
          <w:rFonts w:cstheme="minorHAnsi"/>
          <w:color w:val="2E2E2E"/>
        </w:rPr>
      </w:pPr>
      <w:r w:rsidRPr="00E8190A">
        <w:rPr>
          <w:rFonts w:cstheme="minorHAnsi"/>
          <w:color w:val="2E2E2E"/>
        </w:rPr>
        <w:t>ALTRUYST was a prospective, longitudinal, randomized controlled trial evaluating the role of high frequency platelet </w:t>
      </w:r>
      <w:hyperlink r:id="rId106" w:tooltip="Learn more about Apheresis from ScienceDirect's AI-generated Topic Pages" w:history="1">
        <w:r w:rsidRPr="00E8190A">
          <w:rPr>
            <w:rStyle w:val="Hyperlink"/>
            <w:rFonts w:eastAsiaTheme="majorEastAsia" w:cstheme="minorHAnsi"/>
            <w:color w:val="0C7DBB"/>
          </w:rPr>
          <w:t>apheresis</w:t>
        </w:r>
      </w:hyperlink>
      <w:r w:rsidRPr="00E8190A">
        <w:rPr>
          <w:rFonts w:cstheme="minorHAnsi"/>
          <w:color w:val="2E2E2E"/>
        </w:rPr>
        <w:t> </w:t>
      </w:r>
      <w:hyperlink r:id="rId107" w:tooltip="Learn more about Blood Donor from ScienceDirect's AI-generated Topic Pages" w:history="1">
        <w:r w:rsidRPr="00E8190A">
          <w:rPr>
            <w:rStyle w:val="Hyperlink"/>
            <w:rFonts w:eastAsiaTheme="majorEastAsia" w:cstheme="minorHAnsi"/>
            <w:color w:val="0C7DBB"/>
          </w:rPr>
          <w:t xml:space="preserve">blood </w:t>
        </w:r>
        <w:proofErr w:type="spellStart"/>
        <w:r w:rsidRPr="00E8190A">
          <w:rPr>
            <w:rStyle w:val="Hyperlink"/>
            <w:rFonts w:eastAsiaTheme="majorEastAsia" w:cstheme="minorHAnsi"/>
            <w:color w:val="0C7DBB"/>
          </w:rPr>
          <w:t>donation</w:t>
        </w:r>
      </w:hyperlink>
      <w:r w:rsidRPr="00E8190A">
        <w:rPr>
          <w:rFonts w:cstheme="minorHAnsi"/>
          <w:color w:val="2E2E2E"/>
        </w:rPr>
        <w:t>on</w:t>
      </w:r>
      <w:proofErr w:type="spellEnd"/>
      <w:r w:rsidRPr="00E8190A">
        <w:rPr>
          <w:rFonts w:cstheme="minorHAnsi"/>
          <w:color w:val="2E2E2E"/>
        </w:rPr>
        <w:t xml:space="preserve"> change in BMD and found no significant alterations to BMD at the </w:t>
      </w:r>
      <w:hyperlink r:id="rId108" w:tooltip="Learn more about Lumbar Spine from ScienceDirect's AI-generated Topic Pages" w:history="1">
        <w:r w:rsidRPr="00E8190A">
          <w:rPr>
            <w:rStyle w:val="Hyperlink"/>
            <w:rFonts w:eastAsiaTheme="majorEastAsia" w:cstheme="minorHAnsi"/>
            <w:color w:val="0C7DBB"/>
          </w:rPr>
          <w:t>lumbar spine</w:t>
        </w:r>
      </w:hyperlink>
      <w:r w:rsidRPr="00E8190A">
        <w:rPr>
          <w:rFonts w:cstheme="minorHAnsi"/>
          <w:color w:val="2E2E2E"/>
        </w:rPr>
        <w:t>, total hip, or significant change in </w:t>
      </w:r>
      <w:hyperlink r:id="rId109" w:tooltip="Learn more about Trabecular Bone from ScienceDirect's AI-generated Topic Pages" w:history="1">
        <w:r w:rsidRPr="00E8190A">
          <w:rPr>
            <w:rStyle w:val="Hyperlink"/>
            <w:rFonts w:eastAsiaTheme="majorEastAsia" w:cstheme="minorHAnsi"/>
            <w:color w:val="0C7DBB"/>
          </w:rPr>
          <w:t>trabecular bone</w:t>
        </w:r>
      </w:hyperlink>
      <w:r w:rsidRPr="00E8190A">
        <w:rPr>
          <w:rFonts w:cstheme="minorHAnsi"/>
          <w:color w:val="2E2E2E"/>
        </w:rPr>
        <w:t> score. Using individual blood donors as their own controls and performing longitudinal assessment of BMD represent differences from previous research studies that also tested the hypothesis that apheresis blood donation impacts </w:t>
      </w:r>
      <w:hyperlink r:id="rId110" w:tooltip="Learn more about Bone Density from ScienceDirect's AI-generated Topic Pages" w:history="1">
        <w:r w:rsidRPr="00E8190A">
          <w:rPr>
            <w:rStyle w:val="Hyperlink"/>
            <w:rFonts w:eastAsiaTheme="majorEastAsia" w:cstheme="minorHAnsi"/>
            <w:color w:val="0C7DBB"/>
          </w:rPr>
          <w:t>bone density</w:t>
        </w:r>
      </w:hyperlink>
      <w:r w:rsidRPr="00E8190A">
        <w:rPr>
          <w:rFonts w:cstheme="minorHAnsi"/>
          <w:color w:val="2E2E2E"/>
        </w:rPr>
        <w:t xml:space="preserve">. Donors in the ALTRUYST </w:t>
      </w:r>
      <w:r w:rsidRPr="00E8190A">
        <w:rPr>
          <w:rFonts w:cstheme="minorHAnsi"/>
          <w:color w:val="2E2E2E"/>
        </w:rPr>
        <w:lastRenderedPageBreak/>
        <w:t>trial almost exclusively donated platelets by apheresis (&lt;1% of donations involved concurrent plasma collections) and received an average of between 300 mL (single platelet apheresis) and 500 mL (triple collections) of AC per procedure with an average of 17 days between exposures. Though we are not able to directly compute dose in milliequivalents due to differences in apheresis machine settings, exposure in this study represents the upper limit of </w:t>
      </w:r>
      <w:hyperlink r:id="rId111" w:tooltip="Learn more about Citrate from ScienceDirect's AI-generated Topic Pages" w:history="1">
        <w:r w:rsidRPr="00E8190A">
          <w:rPr>
            <w:rStyle w:val="Hyperlink"/>
            <w:rFonts w:eastAsiaTheme="majorEastAsia" w:cstheme="minorHAnsi"/>
            <w:color w:val="0C7DBB"/>
          </w:rPr>
          <w:t>citrate</w:t>
        </w:r>
      </w:hyperlink>
      <w:r w:rsidRPr="00E8190A">
        <w:rPr>
          <w:rFonts w:cstheme="minorHAnsi"/>
          <w:color w:val="2E2E2E"/>
        </w:rPr>
        <w:t xml:space="preserve"> AC exposure to volunteer platelet apheresis donor in the United States. We conclude that frequent platelet apheresis, and the associated exposure to citrate AC, does not induce changes in BMD exceeding 3% in a </w:t>
      </w:r>
      <w:proofErr w:type="gramStart"/>
      <w:r w:rsidRPr="00E8190A">
        <w:rPr>
          <w:rFonts w:cstheme="minorHAnsi"/>
          <w:color w:val="2E2E2E"/>
        </w:rPr>
        <w:t>one year</w:t>
      </w:r>
      <w:proofErr w:type="gramEnd"/>
      <w:r w:rsidRPr="00E8190A">
        <w:rPr>
          <w:rFonts w:cstheme="minorHAnsi"/>
          <w:color w:val="2E2E2E"/>
        </w:rPr>
        <w:t xml:space="preserve"> period. Furthermore, BMD of a control group randomly assigned to no apheresis remained unchanged during the study period, consistent with large studies of the male US population 18–65 years of age (</w:t>
      </w:r>
      <w:bookmarkStart w:id="39" w:name="bbb0115"/>
      <w:r w:rsidRPr="00E8190A">
        <w:rPr>
          <w:rFonts w:cstheme="minorHAnsi"/>
          <w:color w:val="2E2E2E"/>
        </w:rPr>
        <w:fldChar w:fldCharType="begin"/>
      </w:r>
      <w:r w:rsidRPr="00E8190A">
        <w:rPr>
          <w:rFonts w:cstheme="minorHAnsi"/>
          <w:color w:val="2E2E2E"/>
        </w:rPr>
        <w:instrText xml:space="preserve"> HYPERLINK "https://www.sciencedirect.com/science/article/pii/S2352187218300585?via%3Dihub" \l "bb0115" </w:instrText>
      </w:r>
      <w:r w:rsidRPr="00E8190A">
        <w:rPr>
          <w:rFonts w:cstheme="minorHAnsi"/>
          <w:color w:val="2E2E2E"/>
        </w:rPr>
        <w:fldChar w:fldCharType="separate"/>
      </w:r>
      <w:r w:rsidRPr="00E8190A">
        <w:rPr>
          <w:rStyle w:val="Hyperlink"/>
          <w:rFonts w:eastAsiaTheme="majorEastAsia" w:cstheme="minorHAnsi"/>
          <w:color w:val="0C7DBB"/>
        </w:rPr>
        <w:t>Looker et al., 2010</w:t>
      </w:r>
      <w:r w:rsidRPr="00E8190A">
        <w:rPr>
          <w:rFonts w:cstheme="minorHAnsi"/>
          <w:color w:val="2E2E2E"/>
        </w:rPr>
        <w:fldChar w:fldCharType="end"/>
      </w:r>
      <w:bookmarkEnd w:id="39"/>
      <w:r w:rsidRPr="00E8190A">
        <w:rPr>
          <w:rFonts w:cstheme="minorHAnsi"/>
          <w:color w:val="2E2E2E"/>
        </w:rPr>
        <w:t>).</w:t>
      </w:r>
    </w:p>
    <w:p w14:paraId="105BDC55" w14:textId="77777777" w:rsidR="00E86E48" w:rsidRPr="00E8190A" w:rsidRDefault="00E86E48" w:rsidP="00556FDA">
      <w:pPr>
        <w:rPr>
          <w:rFonts w:cstheme="minorHAnsi"/>
        </w:rPr>
      </w:pPr>
      <w:r w:rsidRPr="00E8190A">
        <w:rPr>
          <w:rFonts w:cstheme="minorHAnsi"/>
        </w:rPr>
        <w:t>Previous studies demonstrated a higher prevalence of low BMD among apheresis donors when compared to non-blood donors (</w:t>
      </w:r>
      <w:proofErr w:type="spellStart"/>
      <w:r w:rsidR="00AE58B6">
        <w:fldChar w:fldCharType="begin"/>
      </w:r>
      <w:r w:rsidR="00AE58B6">
        <w:instrText xml:space="preserve"> HYPERLINK "https://www.sciencedirect.com/science/article/pii/S2352187218300585?via%3Dihub" \l "bb0005" </w:instrText>
      </w:r>
      <w:r w:rsidR="00AE58B6">
        <w:fldChar w:fldCharType="separate"/>
      </w:r>
      <w:r w:rsidRPr="00E8190A">
        <w:rPr>
          <w:rStyle w:val="Hyperlink"/>
          <w:rFonts w:eastAsiaTheme="majorEastAsia" w:cstheme="minorHAnsi"/>
          <w:color w:val="0C7DBB"/>
          <w:sz w:val="27"/>
          <w:szCs w:val="27"/>
        </w:rPr>
        <w:t>Amrein</w:t>
      </w:r>
      <w:proofErr w:type="spellEnd"/>
      <w:r w:rsidRPr="00E8190A">
        <w:rPr>
          <w:rStyle w:val="Hyperlink"/>
          <w:rFonts w:eastAsiaTheme="majorEastAsia" w:cstheme="minorHAnsi"/>
          <w:color w:val="0C7DBB"/>
          <w:sz w:val="27"/>
          <w:szCs w:val="27"/>
        </w:rPr>
        <w:t xml:space="preserve"> et al., 2010</w:t>
      </w:r>
      <w:r w:rsidR="00AE58B6">
        <w:rPr>
          <w:rStyle w:val="Hyperlink"/>
          <w:rFonts w:eastAsiaTheme="majorEastAsia" w:cstheme="minorHAnsi"/>
          <w:color w:val="0C7DBB"/>
          <w:sz w:val="27"/>
          <w:szCs w:val="27"/>
        </w:rPr>
        <w:fldChar w:fldCharType="end"/>
      </w:r>
      <w:bookmarkEnd w:id="17"/>
      <w:r w:rsidRPr="00E8190A">
        <w:rPr>
          <w:rFonts w:cstheme="minorHAnsi"/>
        </w:rPr>
        <w:t>) or whole blood donor controls (</w:t>
      </w:r>
      <w:bookmarkStart w:id="40" w:name="bbb0055"/>
      <w:proofErr w:type="spellStart"/>
      <w:r w:rsidRPr="00E8190A">
        <w:rPr>
          <w:rFonts w:cstheme="minorHAnsi"/>
        </w:rPr>
        <w:fldChar w:fldCharType="begin"/>
      </w:r>
      <w:r w:rsidRPr="00E8190A">
        <w:rPr>
          <w:rFonts w:cstheme="minorHAnsi"/>
        </w:rPr>
        <w:instrText xml:space="preserve"> HYPERLINK "https://www.sciencedirect.com/science/article/pii/S2352187218300585?via%3Dihub" \l "bb0055" </w:instrText>
      </w:r>
      <w:r w:rsidRPr="00E8190A">
        <w:rPr>
          <w:rFonts w:cstheme="minorHAnsi"/>
        </w:rPr>
        <w:fldChar w:fldCharType="separate"/>
      </w:r>
      <w:r w:rsidRPr="00E8190A">
        <w:rPr>
          <w:rStyle w:val="Hyperlink"/>
          <w:rFonts w:eastAsiaTheme="majorEastAsia" w:cstheme="minorHAnsi"/>
          <w:color w:val="0C7DBB"/>
          <w:sz w:val="27"/>
          <w:szCs w:val="27"/>
        </w:rPr>
        <w:t>Dettke</w:t>
      </w:r>
      <w:proofErr w:type="spellEnd"/>
      <w:r w:rsidRPr="00E8190A">
        <w:rPr>
          <w:rStyle w:val="Hyperlink"/>
          <w:rFonts w:eastAsiaTheme="majorEastAsia" w:cstheme="minorHAnsi"/>
          <w:color w:val="0C7DBB"/>
          <w:sz w:val="27"/>
          <w:szCs w:val="27"/>
        </w:rPr>
        <w:t xml:space="preserve"> et al., 2003</w:t>
      </w:r>
      <w:r w:rsidRPr="00E8190A">
        <w:rPr>
          <w:rFonts w:cstheme="minorHAnsi"/>
        </w:rPr>
        <w:fldChar w:fldCharType="end"/>
      </w:r>
      <w:bookmarkEnd w:id="40"/>
      <w:r w:rsidRPr="00E8190A">
        <w:rPr>
          <w:rFonts w:cstheme="minorHAnsi"/>
        </w:rPr>
        <w:t>), independent of donor gender or age. One study reported no difference among apheresis and whole blood donors (</w:t>
      </w:r>
      <w:hyperlink r:id="rId112" w:anchor="bb0035" w:history="1">
        <w:r w:rsidRPr="00E8190A">
          <w:rPr>
            <w:rStyle w:val="Hyperlink"/>
            <w:rFonts w:eastAsiaTheme="majorEastAsia" w:cstheme="minorHAnsi"/>
            <w:color w:val="0C7DBB"/>
            <w:sz w:val="27"/>
            <w:szCs w:val="27"/>
          </w:rPr>
          <w:t>Boot et al., 2015</w:t>
        </w:r>
      </w:hyperlink>
      <w:bookmarkEnd w:id="21"/>
      <w:r w:rsidRPr="00E8190A">
        <w:rPr>
          <w:rFonts w:cstheme="minorHAnsi"/>
        </w:rPr>
        <w:t>). These conflicting results likely stem from the cross-sectional designs employed in these previous investigations. Analysis of &gt;140,000 Swedish blood donors over a 23 year period demonstrated no association between the risk of fracture and, mostly (94–98%), plasma apheresis (</w:t>
      </w:r>
      <w:hyperlink r:id="rId113" w:anchor="bb0070" w:history="1">
        <w:r w:rsidRPr="00E8190A">
          <w:rPr>
            <w:rStyle w:val="Hyperlink"/>
            <w:rFonts w:eastAsiaTheme="majorEastAsia" w:cstheme="minorHAnsi"/>
            <w:color w:val="0C7DBB"/>
            <w:sz w:val="27"/>
            <w:szCs w:val="27"/>
          </w:rPr>
          <w:t>Grau et al., 2017</w:t>
        </w:r>
      </w:hyperlink>
      <w:bookmarkEnd w:id="22"/>
      <w:r w:rsidRPr="00E8190A">
        <w:rPr>
          <w:rFonts w:cstheme="minorHAnsi"/>
        </w:rPr>
        <w:t>). Plasma apheresis collections expose donors to a fraction of the AC that platelet apheresis donors receive (</w:t>
      </w:r>
      <w:hyperlink r:id="rId114" w:anchor="bb0060" w:history="1">
        <w:r w:rsidRPr="00E8190A">
          <w:rPr>
            <w:rStyle w:val="Hyperlink"/>
            <w:rFonts w:eastAsiaTheme="majorEastAsia" w:cstheme="minorHAnsi"/>
            <w:color w:val="0C7DBB"/>
            <w:sz w:val="27"/>
            <w:szCs w:val="27"/>
          </w:rPr>
          <w:t xml:space="preserve">Evers and </w:t>
        </w:r>
        <w:proofErr w:type="spellStart"/>
        <w:r w:rsidRPr="00E8190A">
          <w:rPr>
            <w:rStyle w:val="Hyperlink"/>
            <w:rFonts w:eastAsiaTheme="majorEastAsia" w:cstheme="minorHAnsi"/>
            <w:color w:val="0C7DBB"/>
            <w:sz w:val="27"/>
            <w:szCs w:val="27"/>
          </w:rPr>
          <w:t>Taborski</w:t>
        </w:r>
        <w:proofErr w:type="spellEnd"/>
        <w:r w:rsidRPr="00E8190A">
          <w:rPr>
            <w:rStyle w:val="Hyperlink"/>
            <w:rFonts w:eastAsiaTheme="majorEastAsia" w:cstheme="minorHAnsi"/>
            <w:color w:val="0C7DBB"/>
            <w:sz w:val="27"/>
            <w:szCs w:val="27"/>
          </w:rPr>
          <w:t>, 2016</w:t>
        </w:r>
      </w:hyperlink>
      <w:bookmarkEnd w:id="23"/>
      <w:r w:rsidRPr="00E8190A">
        <w:rPr>
          <w:rFonts w:cstheme="minorHAnsi"/>
        </w:rPr>
        <w:t>) and high frequency platelet apheresis donors were not present in the SCANDAT2 analysis and thus, the potential implications of high frequency platelet apheresis on bone density and fracture risk were not assessed.</w:t>
      </w:r>
    </w:p>
    <w:p w14:paraId="2F206C04" w14:textId="77777777" w:rsidR="00E86E48" w:rsidRPr="00E8190A" w:rsidRDefault="00E86E48" w:rsidP="002F0A82">
      <w:pPr>
        <w:rPr>
          <w:rFonts w:cstheme="minorHAnsi"/>
        </w:rPr>
      </w:pPr>
      <w:r w:rsidRPr="00E8190A">
        <w:rPr>
          <w:rFonts w:cstheme="minorHAnsi"/>
        </w:rPr>
        <w:t xml:space="preserve">Most ALTRUYST donors in the apheresis arm (21/26, 81%) achieved 20 or more apheresis donations during the </w:t>
      </w:r>
      <w:proofErr w:type="gramStart"/>
      <w:r w:rsidRPr="00E8190A">
        <w:rPr>
          <w:rFonts w:cstheme="minorHAnsi"/>
        </w:rPr>
        <w:t>one year</w:t>
      </w:r>
      <w:proofErr w:type="gramEnd"/>
      <w:r w:rsidRPr="00E8190A">
        <w:rPr>
          <w:rFonts w:cstheme="minorHAnsi"/>
        </w:rPr>
        <w:t xml:space="preserve"> study period and though no fractures occurred during ALTRUYST, trabecular bone score (TBS) was measured. TBS is an analytic tool that quantifies the extent of between-pixel differences in x-ray attenuation from DXA images approximating microarchitectural features of bone that are associated with increasing </w:t>
      </w:r>
      <w:hyperlink r:id="rId115" w:tooltip="Learn more about Bone Fragility from ScienceDirect's AI-generated Topic Pages" w:history="1">
        <w:r w:rsidRPr="00E8190A">
          <w:rPr>
            <w:rStyle w:val="Hyperlink"/>
            <w:rFonts w:eastAsiaTheme="majorEastAsia" w:cstheme="minorHAnsi"/>
            <w:color w:val="0C7DBB"/>
          </w:rPr>
          <w:t>bone fragility</w:t>
        </w:r>
      </w:hyperlink>
      <w:r w:rsidRPr="00E8190A">
        <w:rPr>
          <w:rFonts w:cstheme="minorHAnsi"/>
        </w:rPr>
        <w:t> and susceptibility to fracture (</w:t>
      </w:r>
      <w:bookmarkStart w:id="41" w:name="bbb0085"/>
      <w:r w:rsidRPr="00E8190A">
        <w:rPr>
          <w:rFonts w:cstheme="minorHAnsi"/>
        </w:rPr>
        <w:fldChar w:fldCharType="begin"/>
      </w:r>
      <w:r w:rsidRPr="00E8190A">
        <w:rPr>
          <w:rFonts w:cstheme="minorHAnsi"/>
        </w:rPr>
        <w:instrText xml:space="preserve"> HYPERLINK "https://www.sciencedirect.com/science/article/pii/S2352187218300585?via%3Dihub" \l "bb0085" </w:instrText>
      </w:r>
      <w:r w:rsidRPr="00E8190A">
        <w:rPr>
          <w:rFonts w:cstheme="minorHAnsi"/>
        </w:rPr>
        <w:fldChar w:fldCharType="separate"/>
      </w:r>
      <w:r w:rsidRPr="00E8190A">
        <w:rPr>
          <w:rStyle w:val="Hyperlink"/>
          <w:rFonts w:eastAsiaTheme="majorEastAsia" w:cstheme="minorHAnsi"/>
          <w:color w:val="0C7DBB"/>
        </w:rPr>
        <w:t>Jehle et al., 2013</w:t>
      </w:r>
      <w:r w:rsidRPr="00E8190A">
        <w:rPr>
          <w:rFonts w:cstheme="minorHAnsi"/>
        </w:rPr>
        <w:fldChar w:fldCharType="end"/>
      </w:r>
      <w:r w:rsidRPr="00E8190A">
        <w:rPr>
          <w:rFonts w:cstheme="minorHAnsi"/>
        </w:rPr>
        <w:t>; </w:t>
      </w:r>
      <w:bookmarkStart w:id="42" w:name="bbb0100"/>
      <w:r w:rsidRPr="00E8190A">
        <w:rPr>
          <w:rFonts w:cstheme="minorHAnsi"/>
        </w:rPr>
        <w:fldChar w:fldCharType="begin"/>
      </w:r>
      <w:r w:rsidRPr="00E8190A">
        <w:rPr>
          <w:rFonts w:cstheme="minorHAnsi"/>
        </w:rPr>
        <w:instrText xml:space="preserve"> HYPERLINK "https://www.sciencedirect.com/science/article/pii/S2352187218300585?via%3Dihub" \l "bb0100" </w:instrText>
      </w:r>
      <w:r w:rsidRPr="00E8190A">
        <w:rPr>
          <w:rFonts w:cstheme="minorHAnsi"/>
        </w:rPr>
        <w:fldChar w:fldCharType="separate"/>
      </w:r>
      <w:r w:rsidRPr="00E8190A">
        <w:rPr>
          <w:rStyle w:val="Hyperlink"/>
          <w:rFonts w:eastAsiaTheme="majorEastAsia" w:cstheme="minorHAnsi"/>
          <w:color w:val="0C7DBB"/>
        </w:rPr>
        <w:t>Krueger et al., 2014</w:t>
      </w:r>
      <w:r w:rsidRPr="00E8190A">
        <w:rPr>
          <w:rFonts w:cstheme="minorHAnsi"/>
        </w:rPr>
        <w:fldChar w:fldCharType="end"/>
      </w:r>
      <w:bookmarkEnd w:id="42"/>
      <w:r w:rsidRPr="00E8190A">
        <w:rPr>
          <w:rFonts w:cstheme="minorHAnsi"/>
        </w:rPr>
        <w:t>). TBS did not</w:t>
      </w:r>
      <w:r w:rsidRPr="00E8190A">
        <w:rPr>
          <w:rFonts w:cstheme="minorHAnsi"/>
          <w:sz w:val="27"/>
          <w:szCs w:val="27"/>
        </w:rPr>
        <w:t xml:space="preserve"> </w:t>
      </w:r>
      <w:r w:rsidRPr="00E8190A">
        <w:rPr>
          <w:rFonts w:cstheme="minorHAnsi"/>
        </w:rPr>
        <w:t>change among ALTRUYST donors in the apheresis arm, or among donors in the control arm. This finding is consistent with previous research showing that the magnitude of change in TBS is less than</w:t>
      </w:r>
      <w:r w:rsidRPr="00E8190A">
        <w:rPr>
          <w:rFonts w:cstheme="minorHAnsi"/>
          <w:sz w:val="27"/>
          <w:szCs w:val="27"/>
        </w:rPr>
        <w:t xml:space="preserve"> </w:t>
      </w:r>
      <w:r w:rsidRPr="00E8190A">
        <w:rPr>
          <w:rFonts w:cstheme="minorHAnsi"/>
        </w:rPr>
        <w:t>that of BMD area in the spine (</w:t>
      </w:r>
      <w:bookmarkStart w:id="43" w:name="bbb0095"/>
      <w:r w:rsidRPr="00E8190A">
        <w:rPr>
          <w:rFonts w:cstheme="minorHAnsi"/>
        </w:rPr>
        <w:fldChar w:fldCharType="begin"/>
      </w:r>
      <w:r w:rsidRPr="00E8190A">
        <w:rPr>
          <w:rFonts w:cstheme="minorHAnsi"/>
        </w:rPr>
        <w:instrText xml:space="preserve"> HYPERLINK "https://www.sciencedirect.com/science/article/pii/S2352187218300585?via%3Dihub" \l "bb0095" </w:instrText>
      </w:r>
      <w:r w:rsidRPr="00E8190A">
        <w:rPr>
          <w:rFonts w:cstheme="minorHAnsi"/>
        </w:rPr>
        <w:fldChar w:fldCharType="separate"/>
      </w:r>
      <w:r w:rsidRPr="00E8190A">
        <w:rPr>
          <w:rStyle w:val="Hyperlink"/>
          <w:rFonts w:eastAsiaTheme="majorEastAsia" w:cstheme="minorHAnsi"/>
          <w:color w:val="0C7DBB"/>
        </w:rPr>
        <w:t>Krieg et al., 2013</w:t>
      </w:r>
      <w:r w:rsidRPr="00E8190A">
        <w:rPr>
          <w:rFonts w:cstheme="minorHAnsi"/>
        </w:rPr>
        <w:fldChar w:fldCharType="end"/>
      </w:r>
      <w:bookmarkEnd w:id="43"/>
      <w:r w:rsidRPr="00E8190A">
        <w:rPr>
          <w:rFonts w:cstheme="minorHAnsi"/>
        </w:rPr>
        <w:t>; </w:t>
      </w:r>
      <w:bookmarkStart w:id="44" w:name="bbb0130"/>
      <w:r w:rsidRPr="00E8190A">
        <w:rPr>
          <w:rFonts w:cstheme="minorHAnsi"/>
        </w:rPr>
        <w:fldChar w:fldCharType="begin"/>
      </w:r>
      <w:r w:rsidRPr="00E8190A">
        <w:rPr>
          <w:rFonts w:cstheme="minorHAnsi"/>
        </w:rPr>
        <w:instrText xml:space="preserve"> HYPERLINK "https://www.sciencedirect.com/science/article/pii/S2352187218300585?via%3Dihub" \l "bb0130" </w:instrText>
      </w:r>
      <w:r w:rsidRPr="00E8190A">
        <w:rPr>
          <w:rFonts w:cstheme="minorHAnsi"/>
        </w:rPr>
        <w:fldChar w:fldCharType="separate"/>
      </w:r>
      <w:r w:rsidRPr="00E8190A">
        <w:rPr>
          <w:rStyle w:val="Hyperlink"/>
          <w:rFonts w:eastAsiaTheme="majorEastAsia" w:cstheme="minorHAnsi"/>
          <w:color w:val="0C7DBB"/>
        </w:rPr>
        <w:t>Popp et al., 2013</w:t>
      </w:r>
      <w:r w:rsidRPr="00E8190A">
        <w:rPr>
          <w:rFonts w:cstheme="minorHAnsi"/>
        </w:rPr>
        <w:fldChar w:fldCharType="end"/>
      </w:r>
      <w:bookmarkEnd w:id="44"/>
      <w:r w:rsidRPr="00E8190A">
        <w:rPr>
          <w:rFonts w:cstheme="minorHAnsi"/>
        </w:rPr>
        <w:t>; </w:t>
      </w:r>
      <w:bookmarkStart w:id="45" w:name="bbb0135"/>
      <w:proofErr w:type="spellStart"/>
      <w:r w:rsidRPr="00E8190A">
        <w:rPr>
          <w:rFonts w:cstheme="minorHAnsi"/>
        </w:rPr>
        <w:fldChar w:fldCharType="begin"/>
      </w:r>
      <w:r w:rsidRPr="00E8190A">
        <w:rPr>
          <w:rFonts w:cstheme="minorHAnsi"/>
        </w:rPr>
        <w:instrText xml:space="preserve"> HYPERLINK "https://www.sciencedirect.com/science/article/pii/S2352187218300585?via%3Dihub" \l "bb0135" </w:instrText>
      </w:r>
      <w:r w:rsidRPr="00E8190A">
        <w:rPr>
          <w:rFonts w:cstheme="minorHAnsi"/>
        </w:rPr>
        <w:fldChar w:fldCharType="separate"/>
      </w:r>
      <w:r w:rsidRPr="00E8190A">
        <w:rPr>
          <w:rStyle w:val="Hyperlink"/>
          <w:rFonts w:eastAsiaTheme="majorEastAsia" w:cstheme="minorHAnsi"/>
          <w:color w:val="0C7DBB"/>
        </w:rPr>
        <w:t>Senn</w:t>
      </w:r>
      <w:proofErr w:type="spellEnd"/>
      <w:r w:rsidRPr="00E8190A">
        <w:rPr>
          <w:rStyle w:val="Hyperlink"/>
          <w:rFonts w:eastAsiaTheme="majorEastAsia" w:cstheme="minorHAnsi"/>
          <w:color w:val="0C7DBB"/>
        </w:rPr>
        <w:t xml:space="preserve"> et al., 2014</w:t>
      </w:r>
      <w:r w:rsidRPr="00E8190A">
        <w:rPr>
          <w:rFonts w:cstheme="minorHAnsi"/>
        </w:rPr>
        <w:fldChar w:fldCharType="end"/>
      </w:r>
      <w:bookmarkEnd w:id="45"/>
      <w:r w:rsidRPr="00E8190A">
        <w:rPr>
          <w:rFonts w:cstheme="minorHAnsi"/>
        </w:rPr>
        <w:t>). The finding that the upper limit of citrate AC exposure, both in terms of dose and frequency, failed to produce significant alterations to TBS among donors indicates that current apheresis collection guidelines do not likely alter fracture risk.</w:t>
      </w:r>
    </w:p>
    <w:p w14:paraId="09DCA5B4" w14:textId="77777777" w:rsidR="00E86E48" w:rsidRPr="00E8190A" w:rsidRDefault="00E86E48" w:rsidP="00556FDA">
      <w:pPr>
        <w:rPr>
          <w:rFonts w:cstheme="minorHAnsi"/>
        </w:rPr>
      </w:pPr>
      <w:r w:rsidRPr="00E8190A">
        <w:rPr>
          <w:rFonts w:cstheme="minorHAnsi"/>
        </w:rPr>
        <w:t>Several potential forms of bias and confounding were addressed in the design of ALTRUYST. Though mean BMD was higher in the ALTRUYST cohort relative to a gender- and age-matched sample of the US population, this is expected due to a well-known “healthy donor effect” where volunteer blood donors consistently present with health indices superior to population norms (</w:t>
      </w:r>
      <w:bookmarkStart w:id="46" w:name="bbb0010"/>
      <w:proofErr w:type="spellStart"/>
      <w:r w:rsidRPr="00E8190A">
        <w:rPr>
          <w:rFonts w:cstheme="minorHAnsi"/>
        </w:rPr>
        <w:fldChar w:fldCharType="begin"/>
      </w:r>
      <w:r w:rsidRPr="00E8190A">
        <w:rPr>
          <w:rFonts w:cstheme="minorHAnsi"/>
        </w:rPr>
        <w:instrText xml:space="preserve"> HYPERLINK "https://www.sciencedirect.com/science/article/pii/S2352187218300585?via%3Dihub" \l "bb0010" </w:instrText>
      </w:r>
      <w:r w:rsidRPr="00E8190A">
        <w:rPr>
          <w:rFonts w:cstheme="minorHAnsi"/>
        </w:rPr>
        <w:fldChar w:fldCharType="separate"/>
      </w:r>
      <w:r w:rsidRPr="00E8190A">
        <w:rPr>
          <w:rStyle w:val="Hyperlink"/>
          <w:rFonts w:eastAsiaTheme="majorEastAsia" w:cstheme="minorHAnsi"/>
          <w:color w:val="0C7DBB"/>
          <w:sz w:val="27"/>
          <w:szCs w:val="27"/>
        </w:rPr>
        <w:t>Atsma</w:t>
      </w:r>
      <w:proofErr w:type="spellEnd"/>
      <w:r w:rsidRPr="00E8190A">
        <w:rPr>
          <w:rStyle w:val="Hyperlink"/>
          <w:rFonts w:eastAsiaTheme="majorEastAsia" w:cstheme="minorHAnsi"/>
          <w:color w:val="0C7DBB"/>
          <w:sz w:val="27"/>
          <w:szCs w:val="27"/>
        </w:rPr>
        <w:t xml:space="preserve"> and de </w:t>
      </w:r>
      <w:proofErr w:type="spellStart"/>
      <w:r w:rsidRPr="00E8190A">
        <w:rPr>
          <w:rStyle w:val="Hyperlink"/>
          <w:rFonts w:eastAsiaTheme="majorEastAsia" w:cstheme="minorHAnsi"/>
          <w:color w:val="0C7DBB"/>
          <w:sz w:val="27"/>
          <w:szCs w:val="27"/>
        </w:rPr>
        <w:t>Vegt</w:t>
      </w:r>
      <w:proofErr w:type="spellEnd"/>
      <w:r w:rsidRPr="00E8190A">
        <w:rPr>
          <w:rStyle w:val="Hyperlink"/>
          <w:rFonts w:eastAsiaTheme="majorEastAsia" w:cstheme="minorHAnsi"/>
          <w:color w:val="0C7DBB"/>
          <w:sz w:val="27"/>
          <w:szCs w:val="27"/>
        </w:rPr>
        <w:t>, 2011</w:t>
      </w:r>
      <w:r w:rsidRPr="00E8190A">
        <w:rPr>
          <w:rFonts w:cstheme="minorHAnsi"/>
        </w:rPr>
        <w:fldChar w:fldCharType="end"/>
      </w:r>
      <w:bookmarkEnd w:id="46"/>
      <w:r w:rsidRPr="00E8190A">
        <w:rPr>
          <w:rFonts w:cstheme="minorHAnsi"/>
        </w:rPr>
        <w:t xml:space="preserve">). Furthermore, variability in the measure of central tendency among ALTRUYST donors indicates that individuals within the cohort were not contributing any outlier effects that could bias our assessment of the study's outcomes. This is, in part, </w:t>
      </w:r>
      <w:proofErr w:type="gramStart"/>
      <w:r w:rsidRPr="00E8190A">
        <w:rPr>
          <w:rFonts w:cstheme="minorHAnsi"/>
        </w:rPr>
        <w:t>due to the fact that</w:t>
      </w:r>
      <w:proofErr w:type="gramEnd"/>
      <w:r w:rsidRPr="00E8190A">
        <w:rPr>
          <w:rFonts w:cstheme="minorHAnsi"/>
        </w:rPr>
        <w:t xml:space="preserve"> ALTRUYST deliberately excluded individuals with BMD that fell outside of a 95% population-based estimate of mean BMD (i.e. ±2 standard deviations of </w:t>
      </w:r>
      <w:r w:rsidRPr="00E8190A">
        <w:rPr>
          <w:rStyle w:val="Emphasis"/>
          <w:rFonts w:eastAsiaTheme="majorEastAsia" w:cstheme="minorHAnsi"/>
          <w:color w:val="2E2E2E"/>
          <w:sz w:val="27"/>
          <w:szCs w:val="27"/>
        </w:rPr>
        <w:t>Z</w:t>
      </w:r>
      <w:r w:rsidRPr="00E8190A">
        <w:rPr>
          <w:rFonts w:cstheme="minorHAnsi"/>
        </w:rPr>
        <w:t>-score). </w:t>
      </w:r>
      <w:hyperlink r:id="rId116" w:tooltip="Learn more about Disease Predisposition from ScienceDirect's AI-generated Topic Pages" w:history="1">
        <w:r w:rsidRPr="00E8190A">
          <w:rPr>
            <w:rStyle w:val="Hyperlink"/>
            <w:rFonts w:eastAsiaTheme="majorEastAsia" w:cstheme="minorHAnsi"/>
            <w:color w:val="0C7DBB"/>
            <w:sz w:val="27"/>
            <w:szCs w:val="27"/>
          </w:rPr>
          <w:t>Predisposition</w:t>
        </w:r>
      </w:hyperlink>
      <w:r w:rsidRPr="00E8190A">
        <w:rPr>
          <w:rFonts w:cstheme="minorHAnsi"/>
        </w:rPr>
        <w:t> to diseases of </w:t>
      </w:r>
      <w:hyperlink r:id="rId117" w:tooltip="Learn more about Bone Metabolism from ScienceDirect's AI-generated Topic Pages" w:history="1">
        <w:r w:rsidRPr="00E8190A">
          <w:rPr>
            <w:rStyle w:val="Hyperlink"/>
            <w:rFonts w:eastAsiaTheme="majorEastAsia" w:cstheme="minorHAnsi"/>
            <w:color w:val="0C7DBB"/>
            <w:sz w:val="27"/>
            <w:szCs w:val="27"/>
          </w:rPr>
          <w:t>bone and mineral metabolism</w:t>
        </w:r>
      </w:hyperlink>
      <w:r w:rsidRPr="00E8190A">
        <w:rPr>
          <w:rFonts w:cstheme="minorHAnsi"/>
        </w:rPr>
        <w:t> were solicited from participants at enrollment, coded as an ordinal variable and assessed using multivariable </w:t>
      </w:r>
      <w:hyperlink r:id="rId118" w:tooltip="Learn more about Logistic Regression Analysis from ScienceDirect's AI-generated Topic Pages" w:history="1">
        <w:r w:rsidRPr="00E8190A">
          <w:rPr>
            <w:rStyle w:val="Hyperlink"/>
            <w:rFonts w:eastAsiaTheme="majorEastAsia" w:cstheme="minorHAnsi"/>
            <w:color w:val="0C7DBB"/>
            <w:sz w:val="27"/>
            <w:szCs w:val="27"/>
          </w:rPr>
          <w:t>logistic regression</w:t>
        </w:r>
      </w:hyperlink>
      <w:r w:rsidRPr="00E8190A">
        <w:rPr>
          <w:rFonts w:cstheme="minorHAnsi"/>
        </w:rPr>
        <w:t xml:space="preserve"> without achieving statistical significance for changes either in the positive or negative direction. The randomized design of this study ensured that the likelihood of being assigned to either group was equivalent. Nevertheless, confounding could occur if subjects experienced changes to other important determinants of BMD including physical activity, diet, and medication use. In addition to excluding subjects with known diseases of bone and mineral metabolism, subjects were deliberately excluded if </w:t>
      </w:r>
      <w:r w:rsidRPr="00E8190A">
        <w:rPr>
          <w:rFonts w:cstheme="minorHAnsi"/>
        </w:rPr>
        <w:lastRenderedPageBreak/>
        <w:t xml:space="preserve">they were taking medications known to impact BMD. Upon follow-up assessment, no changes in medication use were noted meaning that any confounding from medication use was absent. Physical activity did not differ between the two randomized groups, and, changes in physical activity sufficient to invoke changes in BMD over the </w:t>
      </w:r>
      <w:proofErr w:type="gramStart"/>
      <w:r w:rsidRPr="00E8190A">
        <w:rPr>
          <w:rFonts w:cstheme="minorHAnsi"/>
        </w:rPr>
        <w:t>one year</w:t>
      </w:r>
      <w:proofErr w:type="gramEnd"/>
      <w:r w:rsidRPr="00E8190A">
        <w:rPr>
          <w:rFonts w:cstheme="minorHAnsi"/>
        </w:rPr>
        <w:t xml:space="preserve"> interval did not occur. The self-report questionnaire was administered by the investigative team to avoid any non-response bias. These design features and observations indicate that the findings of ALTRUYST are extremely unlikely to have known bias or confounding that could have impacted the results of the study and though the potential for residual, unmeasured confounding can never be completely eliminated, the complete lack of any significant change in any outcome measured suggests that any such effect was minimal if present.</w:t>
      </w:r>
    </w:p>
    <w:p w14:paraId="70CDB278" w14:textId="77777777" w:rsidR="00E86E48" w:rsidRPr="00E8190A" w:rsidRDefault="00E86E48" w:rsidP="00556FDA">
      <w:pPr>
        <w:rPr>
          <w:rFonts w:cstheme="minorHAnsi"/>
        </w:rPr>
      </w:pPr>
      <w:r w:rsidRPr="00E8190A">
        <w:rPr>
          <w:rFonts w:cstheme="minorHAnsi"/>
        </w:rPr>
        <w:t xml:space="preserve">ALTRUYST deliberately studied male blood donors because they constitute the vast majority (approximately 80%) of the apheresis blood donor population at </w:t>
      </w:r>
      <w:proofErr w:type="spellStart"/>
      <w:r w:rsidRPr="00E8190A">
        <w:rPr>
          <w:rFonts w:cstheme="minorHAnsi"/>
        </w:rPr>
        <w:t>BloodCenter</w:t>
      </w:r>
      <w:proofErr w:type="spellEnd"/>
      <w:r w:rsidRPr="00E8190A">
        <w:rPr>
          <w:rFonts w:cstheme="minorHAnsi"/>
        </w:rPr>
        <w:t xml:space="preserve"> of Wisconsin, with 85% of higher frequency donors (defined as ≥15 apheresis donations within a </w:t>
      </w:r>
      <w:proofErr w:type="gramStart"/>
      <w:r w:rsidRPr="00E8190A">
        <w:rPr>
          <w:rFonts w:cstheme="minorHAnsi"/>
        </w:rPr>
        <w:t>one year</w:t>
      </w:r>
      <w:proofErr w:type="gramEnd"/>
      <w:r w:rsidRPr="00E8190A">
        <w:rPr>
          <w:rFonts w:cstheme="minorHAnsi"/>
        </w:rPr>
        <w:t xml:space="preserve"> period) also being male. Furthermore, the study recruited donors with no more than five lifetime apheresis donations </w:t>
      </w:r>
      <w:proofErr w:type="gramStart"/>
      <w:r w:rsidRPr="00E8190A">
        <w:rPr>
          <w:rFonts w:cstheme="minorHAnsi"/>
        </w:rPr>
        <w:t>so as to</w:t>
      </w:r>
      <w:proofErr w:type="gramEnd"/>
      <w:r w:rsidRPr="00E8190A">
        <w:rPr>
          <w:rFonts w:cstheme="minorHAnsi"/>
        </w:rPr>
        <w:t xml:space="preserve"> avoid any potential biological adaptation that may occur with repeated exposure to citrate AC. Though we report no change in bone mineral density among men, aged 18–65 years, experiencing high frequency apheresis over a </w:t>
      </w:r>
      <w:proofErr w:type="gramStart"/>
      <w:r w:rsidRPr="00E8190A">
        <w:rPr>
          <w:rFonts w:cstheme="minorHAnsi"/>
        </w:rPr>
        <w:t>one year</w:t>
      </w:r>
      <w:proofErr w:type="gramEnd"/>
      <w:r w:rsidRPr="00E8190A">
        <w:rPr>
          <w:rFonts w:cstheme="minorHAnsi"/>
        </w:rPr>
        <w:t xml:space="preserve"> period, we are unable to extrapolate these findings to women of any age. There remains the possibility that high frequency apheresis affects women differently than men, particularly during the peri-menopausal period when changes in </w:t>
      </w:r>
      <w:hyperlink r:id="rId119" w:tooltip="Learn more about Estrogen Blood Level from ScienceDirect's AI-generated Topic Pages" w:history="1">
        <w:r w:rsidRPr="00E8190A">
          <w:rPr>
            <w:rStyle w:val="Hyperlink"/>
            <w:rFonts w:eastAsiaTheme="majorEastAsia" w:cstheme="minorHAnsi"/>
            <w:color w:val="0C7DBB"/>
            <w:sz w:val="27"/>
            <w:szCs w:val="27"/>
          </w:rPr>
          <w:t>serum estrogen</w:t>
        </w:r>
      </w:hyperlink>
      <w:r w:rsidRPr="00E8190A">
        <w:rPr>
          <w:rFonts w:cstheme="minorHAnsi"/>
        </w:rPr>
        <w:t> have been correlated with large declines in BMD, with supplemental estrogen improving bone-related </w:t>
      </w:r>
      <w:hyperlink r:id="rId120" w:tooltip="Learn more about Health Outcomes from ScienceDirect's AI-generated Topic Pages" w:history="1">
        <w:r w:rsidRPr="00E8190A">
          <w:rPr>
            <w:rStyle w:val="Hyperlink"/>
            <w:rFonts w:eastAsiaTheme="majorEastAsia" w:cstheme="minorHAnsi"/>
            <w:color w:val="0C7DBB"/>
            <w:sz w:val="27"/>
            <w:szCs w:val="27"/>
          </w:rPr>
          <w:t>health outcomes</w:t>
        </w:r>
      </w:hyperlink>
      <w:r w:rsidRPr="00E8190A">
        <w:rPr>
          <w:rFonts w:cstheme="minorHAnsi"/>
        </w:rPr>
        <w:t> (</w:t>
      </w:r>
      <w:bookmarkStart w:id="47" w:name="bbb0090"/>
      <w:r w:rsidRPr="00E8190A">
        <w:rPr>
          <w:rFonts w:cstheme="minorHAnsi"/>
        </w:rPr>
        <w:fldChar w:fldCharType="begin"/>
      </w:r>
      <w:r w:rsidRPr="00E8190A">
        <w:rPr>
          <w:rFonts w:cstheme="minorHAnsi"/>
        </w:rPr>
        <w:instrText xml:space="preserve"> HYPERLINK "https://www.sciencedirect.com/science/article/pii/S2352187218300585?via%3Dihub" \l "bb0090" </w:instrText>
      </w:r>
      <w:r w:rsidRPr="00E8190A">
        <w:rPr>
          <w:rFonts w:cstheme="minorHAnsi"/>
        </w:rPr>
        <w:fldChar w:fldCharType="separate"/>
      </w:r>
      <w:r w:rsidRPr="00E8190A">
        <w:rPr>
          <w:rStyle w:val="Hyperlink"/>
          <w:rFonts w:eastAsiaTheme="majorEastAsia" w:cstheme="minorHAnsi"/>
          <w:color w:val="0C7DBB"/>
          <w:sz w:val="27"/>
          <w:szCs w:val="27"/>
        </w:rPr>
        <w:t>Kiel et al., 1987</w:t>
      </w:r>
      <w:r w:rsidRPr="00E8190A">
        <w:rPr>
          <w:rFonts w:cstheme="minorHAnsi"/>
        </w:rPr>
        <w:fldChar w:fldCharType="end"/>
      </w:r>
      <w:bookmarkEnd w:id="47"/>
      <w:r w:rsidRPr="00E8190A">
        <w:rPr>
          <w:rFonts w:cstheme="minorHAnsi"/>
        </w:rPr>
        <w:t>; </w:t>
      </w:r>
      <w:bookmarkStart w:id="48" w:name="bbb0170"/>
      <w:r w:rsidRPr="00E8190A">
        <w:rPr>
          <w:rFonts w:cstheme="minorHAnsi"/>
        </w:rPr>
        <w:fldChar w:fldCharType="begin"/>
      </w:r>
      <w:r w:rsidRPr="00E8190A">
        <w:rPr>
          <w:rFonts w:cstheme="minorHAnsi"/>
        </w:rPr>
        <w:instrText xml:space="preserve"> HYPERLINK "https://www.sciencedirect.com/science/article/pii/S2352187218300585?via%3Dihub" \l "bb0170" </w:instrText>
      </w:r>
      <w:r w:rsidRPr="00E8190A">
        <w:rPr>
          <w:rFonts w:cstheme="minorHAnsi"/>
        </w:rPr>
        <w:fldChar w:fldCharType="separate"/>
      </w:r>
      <w:r w:rsidRPr="00E8190A">
        <w:rPr>
          <w:rStyle w:val="Hyperlink"/>
          <w:rFonts w:eastAsiaTheme="majorEastAsia" w:cstheme="minorHAnsi"/>
          <w:color w:val="0C7DBB"/>
          <w:sz w:val="27"/>
          <w:szCs w:val="27"/>
        </w:rPr>
        <w:t>Weiss et al., 1980</w:t>
      </w:r>
      <w:r w:rsidRPr="00E8190A">
        <w:rPr>
          <w:rFonts w:cstheme="minorHAnsi"/>
        </w:rPr>
        <w:fldChar w:fldCharType="end"/>
      </w:r>
      <w:bookmarkEnd w:id="48"/>
      <w:r w:rsidRPr="00E8190A">
        <w:rPr>
          <w:rFonts w:cstheme="minorHAnsi"/>
        </w:rPr>
        <w:t>). The scarcity of higher frequency female apheresis donors at the blood center studied indicates that any exploration of the impact of high frequency apheresis on BMD among women would require a multi-center design Furthermore, the high prevalence of low BMD among women, especially that increases over the life course (</w:t>
      </w:r>
      <w:bookmarkStart w:id="49" w:name="bbb0110"/>
      <w:r w:rsidRPr="00E8190A">
        <w:rPr>
          <w:rFonts w:cstheme="minorHAnsi"/>
        </w:rPr>
        <w:fldChar w:fldCharType="begin"/>
      </w:r>
      <w:r w:rsidRPr="00E8190A">
        <w:rPr>
          <w:rFonts w:cstheme="minorHAnsi"/>
        </w:rPr>
        <w:instrText xml:space="preserve"> HYPERLINK "https://www.sciencedirect.com/science/article/pii/S2352187218300585?via%3Dihub" \l "bb0110" </w:instrText>
      </w:r>
      <w:r w:rsidRPr="00E8190A">
        <w:rPr>
          <w:rFonts w:cstheme="minorHAnsi"/>
        </w:rPr>
        <w:fldChar w:fldCharType="separate"/>
      </w:r>
      <w:r w:rsidRPr="00E8190A">
        <w:rPr>
          <w:rStyle w:val="Hyperlink"/>
          <w:rFonts w:eastAsiaTheme="majorEastAsia" w:cstheme="minorHAnsi"/>
          <w:color w:val="0C7DBB"/>
          <w:sz w:val="27"/>
          <w:szCs w:val="27"/>
        </w:rPr>
        <w:t>Looker et al., 1995</w:t>
      </w:r>
      <w:r w:rsidRPr="00E8190A">
        <w:rPr>
          <w:rFonts w:cstheme="minorHAnsi"/>
        </w:rPr>
        <w:fldChar w:fldCharType="end"/>
      </w:r>
      <w:bookmarkEnd w:id="49"/>
      <w:r w:rsidRPr="00E8190A">
        <w:rPr>
          <w:rFonts w:cstheme="minorHAnsi"/>
        </w:rPr>
        <w:t>), indicates this would be an ideal group to evaluate the possible benefit of repeated alterations to </w:t>
      </w:r>
      <w:hyperlink r:id="rId121" w:tooltip="Learn more about Parathyroid Hormone from ScienceDirect's AI-generated Topic Pages" w:history="1">
        <w:r w:rsidRPr="00E8190A">
          <w:rPr>
            <w:rStyle w:val="Hyperlink"/>
            <w:rFonts w:eastAsiaTheme="majorEastAsia" w:cstheme="minorHAnsi"/>
            <w:color w:val="0C7DBB"/>
            <w:sz w:val="27"/>
            <w:szCs w:val="27"/>
          </w:rPr>
          <w:t>PTH</w:t>
        </w:r>
      </w:hyperlink>
      <w:r w:rsidRPr="00E8190A">
        <w:rPr>
          <w:rFonts w:cstheme="minorHAnsi"/>
        </w:rPr>
        <w:t> through apheresis (</w:t>
      </w:r>
      <w:proofErr w:type="spellStart"/>
      <w:r w:rsidR="00AE58B6">
        <w:fldChar w:fldCharType="begin"/>
      </w:r>
      <w:r w:rsidR="00AE58B6">
        <w:instrText xml:space="preserve"> HYPERLINK "https://www.sciencedirect.com/science/article/pii/S2352187218300585?via%3Dih</w:instrText>
      </w:r>
      <w:r w:rsidR="00AE58B6">
        <w:instrText xml:space="preserve">ub" \l "bb0015" </w:instrText>
      </w:r>
      <w:r w:rsidR="00AE58B6">
        <w:fldChar w:fldCharType="separate"/>
      </w:r>
      <w:r w:rsidRPr="00E8190A">
        <w:rPr>
          <w:rStyle w:val="Hyperlink"/>
          <w:rFonts w:eastAsiaTheme="majorEastAsia" w:cstheme="minorHAnsi"/>
          <w:color w:val="0C7DBB"/>
          <w:sz w:val="27"/>
          <w:szCs w:val="27"/>
        </w:rPr>
        <w:t>Bialkowski</w:t>
      </w:r>
      <w:proofErr w:type="spellEnd"/>
      <w:r w:rsidRPr="00E8190A">
        <w:rPr>
          <w:rStyle w:val="Hyperlink"/>
          <w:rFonts w:eastAsiaTheme="majorEastAsia" w:cstheme="minorHAnsi"/>
          <w:color w:val="0C7DBB"/>
          <w:sz w:val="27"/>
          <w:szCs w:val="27"/>
        </w:rPr>
        <w:t xml:space="preserve"> et al., 2016</w:t>
      </w:r>
      <w:r w:rsidR="00AE58B6">
        <w:rPr>
          <w:rStyle w:val="Hyperlink"/>
          <w:rFonts w:eastAsiaTheme="majorEastAsia" w:cstheme="minorHAnsi"/>
          <w:color w:val="0C7DBB"/>
          <w:sz w:val="27"/>
          <w:szCs w:val="27"/>
        </w:rPr>
        <w:fldChar w:fldCharType="end"/>
      </w:r>
      <w:bookmarkEnd w:id="6"/>
      <w:r w:rsidRPr="00E8190A">
        <w:rPr>
          <w:rFonts w:cstheme="minorHAnsi"/>
        </w:rPr>
        <w:t>; </w:t>
      </w:r>
      <w:bookmarkStart w:id="50" w:name="bbb0145"/>
      <w:proofErr w:type="spellStart"/>
      <w:r w:rsidRPr="00E8190A">
        <w:rPr>
          <w:rFonts w:cstheme="minorHAnsi"/>
        </w:rPr>
        <w:fldChar w:fldCharType="begin"/>
      </w:r>
      <w:r w:rsidRPr="00E8190A">
        <w:rPr>
          <w:rFonts w:cstheme="minorHAnsi"/>
        </w:rPr>
        <w:instrText xml:space="preserve"> HYPERLINK "https://www.sciencedirect.com/science/article/pii/S2352187218300585?via%3Dihub" \l "bb0145" </w:instrText>
      </w:r>
      <w:r w:rsidRPr="00E8190A">
        <w:rPr>
          <w:rFonts w:cstheme="minorHAnsi"/>
        </w:rPr>
        <w:fldChar w:fldCharType="separate"/>
      </w:r>
      <w:r w:rsidRPr="00E8190A">
        <w:rPr>
          <w:rStyle w:val="Hyperlink"/>
          <w:rFonts w:eastAsiaTheme="majorEastAsia" w:cstheme="minorHAnsi"/>
          <w:color w:val="0C7DBB"/>
          <w:sz w:val="27"/>
          <w:szCs w:val="27"/>
        </w:rPr>
        <w:t>Steddon</w:t>
      </w:r>
      <w:proofErr w:type="spellEnd"/>
      <w:r w:rsidRPr="00E8190A">
        <w:rPr>
          <w:rStyle w:val="Hyperlink"/>
          <w:rFonts w:eastAsiaTheme="majorEastAsia" w:cstheme="minorHAnsi"/>
          <w:color w:val="0C7DBB"/>
          <w:sz w:val="27"/>
          <w:szCs w:val="27"/>
        </w:rPr>
        <w:t xml:space="preserve"> and Cunningham, 2005</w:t>
      </w:r>
      <w:r w:rsidRPr="00E8190A">
        <w:rPr>
          <w:rFonts w:cstheme="minorHAnsi"/>
        </w:rPr>
        <w:fldChar w:fldCharType="end"/>
      </w:r>
      <w:bookmarkEnd w:id="50"/>
      <w:r w:rsidRPr="00E8190A">
        <w:rPr>
          <w:rFonts w:cstheme="minorHAnsi"/>
        </w:rPr>
        <w:t>) that resemble those of synthetic PTH treatments for osteopenia/osteoporosis with demonstrable improvement in BMD (</w:t>
      </w:r>
      <w:hyperlink r:id="rId122" w:anchor="bb0085" w:history="1">
        <w:r w:rsidRPr="00E8190A">
          <w:rPr>
            <w:rStyle w:val="Hyperlink"/>
            <w:rFonts w:eastAsiaTheme="majorEastAsia" w:cstheme="minorHAnsi"/>
            <w:color w:val="0C7DBB"/>
            <w:sz w:val="27"/>
            <w:szCs w:val="27"/>
          </w:rPr>
          <w:t>Jehle et al., 2013</w:t>
        </w:r>
      </w:hyperlink>
      <w:bookmarkEnd w:id="41"/>
      <w:r w:rsidRPr="00E8190A">
        <w:rPr>
          <w:rFonts w:cstheme="minorHAnsi"/>
        </w:rPr>
        <w:t>).</w:t>
      </w:r>
    </w:p>
    <w:p w14:paraId="1E449BC2" w14:textId="77777777" w:rsidR="00E86E48" w:rsidRPr="00E8190A" w:rsidRDefault="00E86E48" w:rsidP="00556FDA">
      <w:pPr>
        <w:rPr>
          <w:rFonts w:cstheme="minorHAnsi"/>
        </w:rPr>
      </w:pPr>
      <w:r w:rsidRPr="00E8190A">
        <w:rPr>
          <w:rFonts w:cstheme="minorHAnsi"/>
        </w:rPr>
        <w:t>Any change in BMD that exceeds the LSC is a clinically meaningful finding. Thus, another area for potential future investigation is the observation in ALTRUYST that high frequency apheresis induced clinically meaningful positive change in some donors and clinically meaningful negative change in others, particularly at the lumbar spine. The lumbar spine was deliberately selected as the site of the primary outcome measure because of the high surface area to volume ratio that could theoretically experience changes more quickly than other sites. Though ALTRUYST was not powered to detect such differences, this observation invokes the possibility that there may be individual differences in response to high frequency apheresis. Further research would be necessary to address this possibility.</w:t>
      </w:r>
    </w:p>
    <w:p w14:paraId="49182630" w14:textId="77777777" w:rsidR="00E86E48" w:rsidRPr="00E8190A" w:rsidRDefault="00E86E48" w:rsidP="00556FDA">
      <w:pPr>
        <w:pStyle w:val="Heading1"/>
        <w:rPr>
          <w:rFonts w:asciiTheme="minorHAnsi" w:hAnsiTheme="minorHAnsi" w:cstheme="minorHAnsi"/>
          <w:sz w:val="36"/>
          <w:szCs w:val="36"/>
        </w:rPr>
      </w:pPr>
      <w:r w:rsidRPr="00E8190A">
        <w:rPr>
          <w:rFonts w:asciiTheme="minorHAnsi" w:hAnsiTheme="minorHAnsi" w:cstheme="minorHAnsi"/>
        </w:rPr>
        <w:t>5. Conclusions</w:t>
      </w:r>
    </w:p>
    <w:p w14:paraId="3E7DC891" w14:textId="77777777" w:rsidR="00E86E48" w:rsidRPr="00E8190A" w:rsidRDefault="00E86E48" w:rsidP="00556FDA">
      <w:pPr>
        <w:rPr>
          <w:rFonts w:cstheme="minorHAnsi"/>
          <w:color w:val="2E2E2E"/>
        </w:rPr>
      </w:pPr>
      <w:r w:rsidRPr="00E8190A">
        <w:rPr>
          <w:rFonts w:cstheme="minorHAnsi"/>
          <w:color w:val="2E2E2E"/>
        </w:rPr>
        <w:t>Despite significant, repeated challenges to </w:t>
      </w:r>
      <w:hyperlink r:id="rId123" w:tooltip="Learn more about Mineral Homeostasis from ScienceDirect's AI-generated Topic Pages" w:history="1">
        <w:r w:rsidRPr="00E8190A">
          <w:rPr>
            <w:rStyle w:val="Hyperlink"/>
            <w:rFonts w:eastAsiaTheme="majorEastAsia" w:cstheme="minorHAnsi"/>
            <w:color w:val="0C7DBB"/>
          </w:rPr>
          <w:t>mineral homeostasis</w:t>
        </w:r>
      </w:hyperlink>
      <w:r w:rsidRPr="00E8190A">
        <w:rPr>
          <w:rFonts w:cstheme="minorHAnsi"/>
          <w:color w:val="2E2E2E"/>
        </w:rPr>
        <w:t> among </w:t>
      </w:r>
      <w:hyperlink r:id="rId124" w:tooltip="Learn more about Apheresis from ScienceDirect's AI-generated Topic Pages" w:history="1">
        <w:r w:rsidRPr="00E8190A">
          <w:rPr>
            <w:rStyle w:val="Hyperlink"/>
            <w:rFonts w:eastAsiaTheme="majorEastAsia" w:cstheme="minorHAnsi"/>
            <w:color w:val="0C7DBB"/>
          </w:rPr>
          <w:t>apheresis</w:t>
        </w:r>
      </w:hyperlink>
      <w:r w:rsidRPr="00E8190A">
        <w:rPr>
          <w:rFonts w:cstheme="minorHAnsi"/>
          <w:color w:val="2E2E2E"/>
        </w:rPr>
        <w:t> </w:t>
      </w:r>
      <w:hyperlink r:id="rId125" w:tooltip="Learn more about Blood Donor from ScienceDirect's AI-generated Topic Pages" w:history="1">
        <w:r w:rsidRPr="00E8190A">
          <w:rPr>
            <w:rStyle w:val="Hyperlink"/>
            <w:rFonts w:eastAsiaTheme="majorEastAsia" w:cstheme="minorHAnsi"/>
            <w:color w:val="0C7DBB"/>
          </w:rPr>
          <w:t>blood donors</w:t>
        </w:r>
      </w:hyperlink>
      <w:r w:rsidRPr="00E8190A">
        <w:rPr>
          <w:rFonts w:cstheme="minorHAnsi"/>
          <w:color w:val="2E2E2E"/>
        </w:rPr>
        <w:t> through exposure to </w:t>
      </w:r>
      <w:hyperlink r:id="rId126" w:tooltip="Learn more about Citrate from ScienceDirect's AI-generated Topic Pages" w:history="1">
        <w:r w:rsidRPr="00E8190A">
          <w:rPr>
            <w:rStyle w:val="Hyperlink"/>
            <w:rFonts w:eastAsiaTheme="majorEastAsia" w:cstheme="minorHAnsi"/>
            <w:color w:val="0C7DBB"/>
          </w:rPr>
          <w:t>citrate</w:t>
        </w:r>
      </w:hyperlink>
      <w:r w:rsidRPr="00E8190A">
        <w:rPr>
          <w:rFonts w:cstheme="minorHAnsi"/>
          <w:color w:val="2E2E2E"/>
        </w:rPr>
        <w:t> AC, we conclude that current collection guidelines adequately protect the skeletal health of adult male, high frequency apheresis blood donors.</w:t>
      </w:r>
    </w:p>
    <w:p w14:paraId="7A84474D" w14:textId="77777777" w:rsidR="00E86E48" w:rsidRPr="00E8190A" w:rsidRDefault="00E86E48" w:rsidP="00556FDA">
      <w:pPr>
        <w:pStyle w:val="Heading2"/>
        <w:rPr>
          <w:rFonts w:asciiTheme="minorHAnsi" w:hAnsiTheme="minorHAnsi" w:cstheme="minorHAnsi"/>
        </w:rPr>
      </w:pPr>
      <w:r w:rsidRPr="00E8190A">
        <w:rPr>
          <w:rFonts w:asciiTheme="minorHAnsi" w:hAnsiTheme="minorHAnsi" w:cstheme="minorHAnsi"/>
        </w:rPr>
        <w:t>Authorship contributions</w:t>
      </w:r>
    </w:p>
    <w:p w14:paraId="3FB05301" w14:textId="77777777" w:rsidR="00E86E48" w:rsidRPr="00E8190A" w:rsidRDefault="00E86E48" w:rsidP="00556FDA">
      <w:pPr>
        <w:rPr>
          <w:rFonts w:cstheme="minorHAnsi"/>
        </w:rPr>
      </w:pPr>
      <w:r w:rsidRPr="00E8190A">
        <w:rPr>
          <w:rFonts w:cstheme="minorHAnsi"/>
        </w:rPr>
        <w:t xml:space="preserve">All authors were involved in the design of the study, the preparation of the manuscript, and approve the final version for publication. WB acquired </w:t>
      </w:r>
      <w:proofErr w:type="gramStart"/>
      <w:r w:rsidRPr="00E8190A">
        <w:rPr>
          <w:rFonts w:cstheme="minorHAnsi"/>
        </w:rPr>
        <w:t>all of</w:t>
      </w:r>
      <w:proofErr w:type="gramEnd"/>
      <w:r w:rsidRPr="00E8190A">
        <w:rPr>
          <w:rFonts w:cstheme="minorHAnsi"/>
        </w:rPr>
        <w:t xml:space="preserve"> the data. WB and CZ performed the analysis.</w:t>
      </w:r>
    </w:p>
    <w:p w14:paraId="6A6D14EB" w14:textId="77777777" w:rsidR="00E86E48" w:rsidRPr="00E8190A" w:rsidRDefault="00E86E48" w:rsidP="00556FDA">
      <w:pPr>
        <w:pStyle w:val="Heading2"/>
        <w:rPr>
          <w:rFonts w:asciiTheme="minorHAnsi" w:hAnsiTheme="minorHAnsi" w:cstheme="minorHAnsi"/>
        </w:rPr>
      </w:pPr>
      <w:r w:rsidRPr="00E8190A">
        <w:rPr>
          <w:rFonts w:asciiTheme="minorHAnsi" w:hAnsiTheme="minorHAnsi" w:cstheme="minorHAnsi"/>
        </w:rPr>
        <w:lastRenderedPageBreak/>
        <w:t>Declaration of interests</w:t>
      </w:r>
    </w:p>
    <w:p w14:paraId="75C8671D" w14:textId="77777777" w:rsidR="00E86E48" w:rsidRPr="00E8190A" w:rsidRDefault="00E86E48" w:rsidP="00556FDA">
      <w:pPr>
        <w:rPr>
          <w:rFonts w:cstheme="minorHAnsi"/>
        </w:rPr>
      </w:pPr>
      <w:r w:rsidRPr="00E8190A">
        <w:rPr>
          <w:rFonts w:cstheme="minorHAnsi"/>
        </w:rPr>
        <w:t xml:space="preserve">RDB is a site investigator for Novo-Nordisk, receives consulting fees from Amgen, Novo-Nordisk, Radius Health, and </w:t>
      </w:r>
      <w:proofErr w:type="spellStart"/>
      <w:r w:rsidRPr="00E8190A">
        <w:rPr>
          <w:rFonts w:cstheme="minorHAnsi"/>
        </w:rPr>
        <w:t>Ultragenyx</w:t>
      </w:r>
      <w:proofErr w:type="spellEnd"/>
      <w:r w:rsidRPr="00E8190A">
        <w:rPr>
          <w:rFonts w:cstheme="minorHAnsi"/>
        </w:rPr>
        <w:t xml:space="preserve">, owns stock in Abbott Labs and </w:t>
      </w:r>
      <w:proofErr w:type="spellStart"/>
      <w:r w:rsidRPr="00E8190A">
        <w:rPr>
          <w:rFonts w:cstheme="minorHAnsi"/>
        </w:rPr>
        <w:t>Abbvie</w:t>
      </w:r>
      <w:proofErr w:type="spellEnd"/>
      <w:r w:rsidRPr="00E8190A">
        <w:rPr>
          <w:rFonts w:cstheme="minorHAnsi"/>
        </w:rPr>
        <w:t>, receives authorship fees from McGraw Hill, and receives authorship royalties from UpToDate. All other authors have no competing interests.</w:t>
      </w:r>
    </w:p>
    <w:p w14:paraId="2428CB62" w14:textId="77777777" w:rsidR="00E86E48" w:rsidRPr="00E8190A" w:rsidRDefault="00E86E48" w:rsidP="00556FDA">
      <w:pPr>
        <w:pStyle w:val="Heading2"/>
        <w:rPr>
          <w:rFonts w:asciiTheme="minorHAnsi" w:hAnsiTheme="minorHAnsi" w:cstheme="minorHAnsi"/>
        </w:rPr>
      </w:pPr>
      <w:r w:rsidRPr="00E8190A">
        <w:rPr>
          <w:rFonts w:asciiTheme="minorHAnsi" w:hAnsiTheme="minorHAnsi" w:cstheme="minorHAnsi"/>
        </w:rPr>
        <w:t>Acknowledgement</w:t>
      </w:r>
    </w:p>
    <w:p w14:paraId="4C0F2E37" w14:textId="77777777" w:rsidR="00E86E48" w:rsidRPr="007D27FD" w:rsidRDefault="00E86E48" w:rsidP="00556FDA">
      <w:pPr>
        <w:rPr>
          <w:rFonts w:cstheme="minorHAnsi"/>
        </w:rPr>
      </w:pPr>
      <w:r w:rsidRPr="007D27FD">
        <w:rPr>
          <w:rFonts w:cstheme="minorHAnsi"/>
        </w:rPr>
        <w:t xml:space="preserve">This work was supported by Marquette University and the </w:t>
      </w:r>
      <w:proofErr w:type="spellStart"/>
      <w:r w:rsidRPr="007D27FD">
        <w:rPr>
          <w:rFonts w:cstheme="minorHAnsi"/>
        </w:rPr>
        <w:t>BloodCenter</w:t>
      </w:r>
      <w:proofErr w:type="spellEnd"/>
      <w:r w:rsidRPr="007D27FD">
        <w:rPr>
          <w:rFonts w:cstheme="minorHAnsi"/>
        </w:rPr>
        <w:t xml:space="preserve"> Research Foundation. The authors would like to thank Dr. Joseph Shaker for performing blinded review and adjudication of all </w:t>
      </w:r>
      <w:hyperlink r:id="rId127" w:tooltip="Learn more about Bone Density from ScienceDirect's AI-generated Topic Pages" w:history="1">
        <w:r w:rsidRPr="007D27FD">
          <w:rPr>
            <w:rStyle w:val="Hyperlink"/>
            <w:rFonts w:eastAsiaTheme="majorEastAsia" w:cstheme="minorHAnsi"/>
            <w:color w:val="0C7DBB"/>
          </w:rPr>
          <w:t>bone density</w:t>
        </w:r>
      </w:hyperlink>
      <w:r w:rsidRPr="007D27FD">
        <w:rPr>
          <w:rFonts w:cstheme="minorHAnsi"/>
        </w:rPr>
        <w:t> images, Mrs. Linda Gruber and Mr. Michael Marks Jr. for technical assistance, and particularly, the volunteers whose participation made this clinical trial possible.</w:t>
      </w:r>
    </w:p>
    <w:p w14:paraId="7D6CD5FC" w14:textId="77777777" w:rsidR="00E86E48" w:rsidRPr="00E8190A" w:rsidRDefault="00E86E48" w:rsidP="00556FDA">
      <w:pPr>
        <w:pStyle w:val="Heading1"/>
        <w:rPr>
          <w:rFonts w:asciiTheme="minorHAnsi" w:hAnsiTheme="minorHAnsi" w:cstheme="minorHAnsi"/>
          <w:sz w:val="36"/>
          <w:szCs w:val="36"/>
        </w:rPr>
      </w:pPr>
      <w:r w:rsidRPr="00E8190A">
        <w:rPr>
          <w:rFonts w:asciiTheme="minorHAnsi" w:hAnsiTheme="minorHAnsi" w:cstheme="minorHAnsi"/>
        </w:rPr>
        <w:t>References</w:t>
      </w:r>
    </w:p>
    <w:p w14:paraId="6C075FCA" w14:textId="316EF455" w:rsidR="00F05DB3" w:rsidRPr="00E8190A" w:rsidRDefault="00AE58B6" w:rsidP="004837B8">
      <w:pPr>
        <w:pStyle w:val="NoSpacing"/>
        <w:ind w:left="720" w:hanging="720"/>
      </w:pPr>
      <w:hyperlink r:id="rId128" w:anchor="bbb0005" w:history="1">
        <w:proofErr w:type="spellStart"/>
        <w:r w:rsidR="00F05DB3" w:rsidRPr="007D27FD">
          <w:rPr>
            <w:rStyle w:val="Hyperlink"/>
            <w:rFonts w:cstheme="minorHAnsi"/>
          </w:rPr>
          <w:t>Amrein</w:t>
        </w:r>
        <w:proofErr w:type="spellEnd"/>
        <w:r w:rsidR="00F05DB3" w:rsidRPr="007D27FD">
          <w:rPr>
            <w:rStyle w:val="Hyperlink"/>
            <w:rFonts w:cstheme="minorHAnsi"/>
          </w:rPr>
          <w:t xml:space="preserve"> et al., 2010</w:t>
        </w:r>
      </w:hyperlink>
      <w:r w:rsidR="007D27FD" w:rsidRPr="007D27FD">
        <w:rPr>
          <w:rStyle w:val="Hyperlink"/>
          <w:rFonts w:cstheme="minorHAnsi"/>
        </w:rPr>
        <w:t xml:space="preserve"> </w:t>
      </w:r>
      <w:r w:rsidR="00F05DB3" w:rsidRPr="007D27FD">
        <w:t>K. Amrein, C. Katschnig, S. Sipurzynski, T. Stojakovic, G. Lanzer, E. Stach, </w:t>
      </w:r>
      <w:r w:rsidR="00F05DB3" w:rsidRPr="007D27FD">
        <w:rPr>
          <w:i/>
          <w:iCs/>
        </w:rPr>
        <w:t>et al.</w:t>
      </w:r>
      <w:r w:rsidR="007D27FD">
        <w:rPr>
          <w:i/>
          <w:iCs/>
        </w:rPr>
        <w:t xml:space="preserve"> </w:t>
      </w:r>
      <w:r w:rsidR="00F05DB3" w:rsidRPr="007D27FD">
        <w:rPr>
          <w:b/>
          <w:bCs/>
        </w:rPr>
        <w:t>Apheresis affects bone and mineral metabolism</w:t>
      </w:r>
      <w:r w:rsidR="007D27FD">
        <w:rPr>
          <w:b/>
          <w:bCs/>
        </w:rPr>
        <w:t xml:space="preserve"> </w:t>
      </w:r>
      <w:r w:rsidR="00F05DB3" w:rsidRPr="00E8190A">
        <w:t>Bone, 46 (3) (2010), pp. 789-795</w:t>
      </w:r>
    </w:p>
    <w:p w14:paraId="36BF3980" w14:textId="3F6D0DAF" w:rsidR="00F05DB3" w:rsidRPr="00E8190A" w:rsidRDefault="00AE58B6" w:rsidP="004837B8">
      <w:pPr>
        <w:pStyle w:val="NoSpacing"/>
        <w:ind w:left="720" w:hanging="720"/>
      </w:pPr>
      <w:hyperlink r:id="rId129" w:anchor="bbb0010" w:history="1">
        <w:proofErr w:type="spellStart"/>
        <w:r w:rsidR="00F05DB3" w:rsidRPr="004837B8">
          <w:rPr>
            <w:rStyle w:val="Hyperlink"/>
            <w:rFonts w:cstheme="minorHAnsi"/>
          </w:rPr>
          <w:t>Atsma</w:t>
        </w:r>
        <w:proofErr w:type="spellEnd"/>
        <w:r w:rsidR="00F05DB3" w:rsidRPr="004837B8">
          <w:rPr>
            <w:rStyle w:val="Hyperlink"/>
            <w:rFonts w:cstheme="minorHAnsi"/>
          </w:rPr>
          <w:t xml:space="preserve"> and de </w:t>
        </w:r>
        <w:proofErr w:type="spellStart"/>
        <w:r w:rsidR="00F05DB3" w:rsidRPr="004837B8">
          <w:rPr>
            <w:rStyle w:val="Hyperlink"/>
            <w:rFonts w:cstheme="minorHAnsi"/>
          </w:rPr>
          <w:t>Vegt</w:t>
        </w:r>
        <w:proofErr w:type="spellEnd"/>
        <w:r w:rsidR="00F05DB3" w:rsidRPr="004837B8">
          <w:rPr>
            <w:rStyle w:val="Hyperlink"/>
            <w:rFonts w:cstheme="minorHAnsi"/>
          </w:rPr>
          <w:t>, 2011</w:t>
        </w:r>
      </w:hyperlink>
      <w:r w:rsidR="007D27FD" w:rsidRPr="004837B8">
        <w:rPr>
          <w:rStyle w:val="Hyperlink"/>
          <w:rFonts w:cstheme="minorHAnsi"/>
        </w:rPr>
        <w:t xml:space="preserve"> </w:t>
      </w:r>
      <w:r w:rsidR="00F05DB3" w:rsidRPr="004837B8">
        <w:t>F. </w:t>
      </w:r>
      <w:proofErr w:type="spellStart"/>
      <w:r w:rsidR="00F05DB3" w:rsidRPr="004837B8">
        <w:t>Atsma</w:t>
      </w:r>
      <w:proofErr w:type="spellEnd"/>
      <w:r w:rsidR="00F05DB3" w:rsidRPr="004837B8">
        <w:t xml:space="preserve">, F. de </w:t>
      </w:r>
      <w:proofErr w:type="spellStart"/>
      <w:r w:rsidR="00F05DB3" w:rsidRPr="004837B8">
        <w:t>Vegt</w:t>
      </w:r>
      <w:proofErr w:type="spellEnd"/>
      <w:r w:rsidR="004837B8">
        <w:t xml:space="preserve"> </w:t>
      </w:r>
      <w:proofErr w:type="gramStart"/>
      <w:r w:rsidR="00F05DB3" w:rsidRPr="004837B8">
        <w:rPr>
          <w:b/>
          <w:bCs/>
        </w:rPr>
        <w:t>The</w:t>
      </w:r>
      <w:proofErr w:type="gramEnd"/>
      <w:r w:rsidR="00F05DB3" w:rsidRPr="004837B8">
        <w:rPr>
          <w:b/>
          <w:bCs/>
        </w:rPr>
        <w:t xml:space="preserve"> healthy donor effect: a matter of selection bias and confounding</w:t>
      </w:r>
      <w:r w:rsidR="004837B8">
        <w:rPr>
          <w:b/>
          <w:bCs/>
        </w:rPr>
        <w:t xml:space="preserve"> </w:t>
      </w:r>
      <w:r w:rsidR="00F05DB3" w:rsidRPr="00E8190A">
        <w:t>Transfusion, 51 (9) (2011), pp. 1883-1885</w:t>
      </w:r>
    </w:p>
    <w:p w14:paraId="35E11067" w14:textId="64CF54A0" w:rsidR="00F05DB3" w:rsidRPr="00E8190A" w:rsidRDefault="00AE58B6" w:rsidP="004837B8">
      <w:pPr>
        <w:pStyle w:val="NoSpacing"/>
        <w:ind w:left="720" w:hanging="720"/>
      </w:pPr>
      <w:hyperlink r:id="rId130" w:anchor="bbb0015" w:history="1">
        <w:proofErr w:type="spellStart"/>
        <w:r w:rsidR="00F05DB3" w:rsidRPr="00E8190A">
          <w:rPr>
            <w:rStyle w:val="Hyperlink"/>
            <w:rFonts w:cstheme="minorHAnsi"/>
          </w:rPr>
          <w:t>Bialkowski</w:t>
        </w:r>
        <w:proofErr w:type="spellEnd"/>
        <w:r w:rsidR="00F05DB3" w:rsidRPr="00E8190A">
          <w:rPr>
            <w:rStyle w:val="Hyperlink"/>
            <w:rFonts w:cstheme="minorHAnsi"/>
          </w:rPr>
          <w:t xml:space="preserve"> et al., 2016</w:t>
        </w:r>
      </w:hyperlink>
      <w:r w:rsidR="004837B8">
        <w:rPr>
          <w:rStyle w:val="Hyperlink"/>
          <w:rFonts w:cstheme="minorHAnsi"/>
        </w:rPr>
        <w:t xml:space="preserve"> </w:t>
      </w:r>
      <w:r w:rsidR="00F05DB3" w:rsidRPr="00E8190A">
        <w:t>W. </w:t>
      </w:r>
      <w:proofErr w:type="spellStart"/>
      <w:r w:rsidR="00F05DB3" w:rsidRPr="00E8190A">
        <w:t>Bialkowski</w:t>
      </w:r>
      <w:proofErr w:type="spellEnd"/>
      <w:r w:rsidR="00F05DB3" w:rsidRPr="00E8190A">
        <w:t>, R. Bruhn, G. Edgren, P. Papanek</w:t>
      </w:r>
      <w:r w:rsidR="004837B8">
        <w:t xml:space="preserve"> </w:t>
      </w:r>
      <w:r w:rsidR="00F05DB3" w:rsidRPr="00E8190A">
        <w:rPr>
          <w:b/>
          <w:bCs/>
        </w:rPr>
        <w:t>Citrate anticoagulation: are blood donors donating bone?</w:t>
      </w:r>
      <w:r w:rsidR="004837B8">
        <w:rPr>
          <w:b/>
          <w:bCs/>
        </w:rPr>
        <w:t xml:space="preserve"> </w:t>
      </w:r>
      <w:r w:rsidR="00F05DB3" w:rsidRPr="00E8190A">
        <w:t xml:space="preserve">J. Clin. </w:t>
      </w:r>
      <w:proofErr w:type="spellStart"/>
      <w:r w:rsidR="00F05DB3" w:rsidRPr="00E8190A">
        <w:t>Apher</w:t>
      </w:r>
      <w:proofErr w:type="spellEnd"/>
      <w:r w:rsidR="00F05DB3" w:rsidRPr="00E8190A">
        <w:t>., 31 (5) (2016), pp. 459-463</w:t>
      </w:r>
    </w:p>
    <w:p w14:paraId="7D619AD8" w14:textId="60AE1E1F" w:rsidR="00F05DB3" w:rsidRPr="00E8190A" w:rsidRDefault="00AE58B6" w:rsidP="004837B8">
      <w:pPr>
        <w:pStyle w:val="NoSpacing"/>
        <w:ind w:left="720" w:hanging="720"/>
      </w:pPr>
      <w:hyperlink r:id="rId131" w:anchor="bbb0020" w:history="1">
        <w:r w:rsidR="00F05DB3" w:rsidRPr="00E8190A">
          <w:rPr>
            <w:rStyle w:val="Hyperlink"/>
            <w:rFonts w:cstheme="minorHAnsi"/>
          </w:rPr>
          <w:t xml:space="preserve">Bolan and </w:t>
        </w:r>
        <w:proofErr w:type="spellStart"/>
        <w:r w:rsidR="00F05DB3" w:rsidRPr="00E8190A">
          <w:rPr>
            <w:rStyle w:val="Hyperlink"/>
            <w:rFonts w:cstheme="minorHAnsi"/>
          </w:rPr>
          <w:t>Leitman</w:t>
        </w:r>
        <w:proofErr w:type="spellEnd"/>
        <w:r w:rsidR="00F05DB3" w:rsidRPr="00E8190A">
          <w:rPr>
            <w:rStyle w:val="Hyperlink"/>
            <w:rFonts w:cstheme="minorHAnsi"/>
          </w:rPr>
          <w:t>, 2002</w:t>
        </w:r>
      </w:hyperlink>
      <w:r w:rsidR="004837B8">
        <w:rPr>
          <w:rStyle w:val="Hyperlink"/>
          <w:rFonts w:cstheme="minorHAnsi"/>
        </w:rPr>
        <w:t xml:space="preserve"> </w:t>
      </w:r>
      <w:r w:rsidR="00F05DB3" w:rsidRPr="00E8190A">
        <w:t>C.D. Bolan, S.F. </w:t>
      </w:r>
      <w:proofErr w:type="spellStart"/>
      <w:r w:rsidR="00F05DB3" w:rsidRPr="00E8190A">
        <w:t>Leitman</w:t>
      </w:r>
      <w:proofErr w:type="spellEnd"/>
      <w:r w:rsidR="004837B8">
        <w:t xml:space="preserve"> </w:t>
      </w:r>
      <w:r w:rsidR="00F05DB3" w:rsidRPr="00E8190A">
        <w:rPr>
          <w:b/>
          <w:bCs/>
        </w:rPr>
        <w:t>Management of anticoagulation-associated toxicity during large-volume leukapheresis of peripheral blood stem cell donors</w:t>
      </w:r>
      <w:r w:rsidR="004837B8">
        <w:rPr>
          <w:b/>
          <w:bCs/>
        </w:rPr>
        <w:t xml:space="preserve"> </w:t>
      </w:r>
      <w:r w:rsidR="00F05DB3" w:rsidRPr="00E8190A">
        <w:t>Blood, 99 (5) (2002), p. 1878</w:t>
      </w:r>
    </w:p>
    <w:p w14:paraId="40FA518D" w14:textId="39EBF847" w:rsidR="00F05DB3" w:rsidRPr="00E8190A" w:rsidRDefault="00AE58B6" w:rsidP="004837B8">
      <w:pPr>
        <w:pStyle w:val="NoSpacing"/>
        <w:ind w:left="720" w:hanging="720"/>
      </w:pPr>
      <w:hyperlink r:id="rId132" w:anchor="bbb0025" w:history="1">
        <w:r w:rsidR="00F05DB3" w:rsidRPr="00E8190A">
          <w:rPr>
            <w:rStyle w:val="Hyperlink"/>
            <w:rFonts w:cstheme="minorHAnsi"/>
          </w:rPr>
          <w:t>Bolan et al., 2001</w:t>
        </w:r>
      </w:hyperlink>
      <w:r w:rsidR="004837B8">
        <w:rPr>
          <w:rStyle w:val="Hyperlink"/>
          <w:rFonts w:cstheme="minorHAnsi"/>
        </w:rPr>
        <w:t xml:space="preserve"> </w:t>
      </w:r>
      <w:r w:rsidR="00F05DB3" w:rsidRPr="00E8190A">
        <w:t>C.D. Bolan, S.E. Greer, S.A. Cecco, J.M. Oblitas, N.N. Rehak, S.F. Leitman</w:t>
      </w:r>
      <w:r w:rsidR="004837B8">
        <w:t xml:space="preserve"> </w:t>
      </w:r>
      <w:r w:rsidR="00F05DB3" w:rsidRPr="00E8190A">
        <w:rPr>
          <w:b/>
          <w:bCs/>
        </w:rPr>
        <w:t>Comprehensive analysis of citrate effects during plateletpheresis in normal donors</w:t>
      </w:r>
      <w:r w:rsidR="004837B8">
        <w:rPr>
          <w:b/>
          <w:bCs/>
        </w:rPr>
        <w:t xml:space="preserve"> </w:t>
      </w:r>
      <w:r w:rsidR="00F05DB3" w:rsidRPr="00E8190A">
        <w:t>Transfusion, 41 (9) (2001), pp. 1165-1171</w:t>
      </w:r>
    </w:p>
    <w:p w14:paraId="22124E71" w14:textId="4DFFFC16" w:rsidR="00F05DB3" w:rsidRPr="00E8190A" w:rsidRDefault="00AE58B6" w:rsidP="004837B8">
      <w:pPr>
        <w:pStyle w:val="NoSpacing"/>
        <w:ind w:left="720" w:hanging="720"/>
      </w:pPr>
      <w:hyperlink r:id="rId133" w:anchor="bbb0030" w:history="1">
        <w:r w:rsidR="00F05DB3" w:rsidRPr="00E8190A">
          <w:rPr>
            <w:rStyle w:val="Hyperlink"/>
            <w:rFonts w:cstheme="minorHAnsi"/>
          </w:rPr>
          <w:t>Bolan et al., 2003</w:t>
        </w:r>
      </w:hyperlink>
      <w:r w:rsidR="004837B8">
        <w:rPr>
          <w:rStyle w:val="Hyperlink"/>
          <w:rFonts w:cstheme="minorHAnsi"/>
        </w:rPr>
        <w:t xml:space="preserve"> </w:t>
      </w:r>
      <w:r w:rsidR="00F05DB3" w:rsidRPr="00E8190A">
        <w:t>C.D. Bolan, S.A. Cecco, Y.Y. Yau, R.A. Wesley, J.M. Oblitas, N.N. Rehak, </w:t>
      </w:r>
      <w:r w:rsidR="00F05DB3" w:rsidRPr="00E8190A">
        <w:rPr>
          <w:i/>
          <w:iCs/>
        </w:rPr>
        <w:t>et al.</w:t>
      </w:r>
      <w:r w:rsidR="004837B8">
        <w:rPr>
          <w:i/>
          <w:iCs/>
        </w:rPr>
        <w:t xml:space="preserve"> </w:t>
      </w:r>
      <w:r w:rsidR="00F05DB3" w:rsidRPr="00E8190A">
        <w:rPr>
          <w:b/>
          <w:bCs/>
        </w:rPr>
        <w:t>Randomized placebo-controlled study of oral calcium carbonate supplementation in plateletpheresis: II. Metabolic effects</w:t>
      </w:r>
      <w:r w:rsidR="004837B8">
        <w:rPr>
          <w:b/>
          <w:bCs/>
        </w:rPr>
        <w:t xml:space="preserve"> </w:t>
      </w:r>
      <w:r w:rsidR="00F05DB3" w:rsidRPr="00E8190A">
        <w:t>Transfusion, 43 (10) (2003), pp. 1414-1422</w:t>
      </w:r>
    </w:p>
    <w:p w14:paraId="785169CB" w14:textId="25FA5E4D" w:rsidR="00F05DB3" w:rsidRPr="00E8190A" w:rsidRDefault="00AE58B6" w:rsidP="004837B8">
      <w:pPr>
        <w:pStyle w:val="NoSpacing"/>
        <w:ind w:left="720" w:hanging="720"/>
      </w:pPr>
      <w:hyperlink r:id="rId134" w:anchor="bbb0035" w:history="1">
        <w:r w:rsidR="00F05DB3" w:rsidRPr="00E8190A">
          <w:rPr>
            <w:rStyle w:val="Hyperlink"/>
            <w:rFonts w:cstheme="minorHAnsi"/>
          </w:rPr>
          <w:t>Boot et al., 2015</w:t>
        </w:r>
      </w:hyperlink>
      <w:r w:rsidR="004837B8">
        <w:rPr>
          <w:rStyle w:val="Hyperlink"/>
          <w:rFonts w:cstheme="minorHAnsi"/>
        </w:rPr>
        <w:t xml:space="preserve"> </w:t>
      </w:r>
      <w:r w:rsidR="00F05DB3" w:rsidRPr="00E8190A">
        <w:t>C.L. Boot, J.S. </w:t>
      </w:r>
      <w:proofErr w:type="spellStart"/>
      <w:r w:rsidR="00F05DB3" w:rsidRPr="00E8190A">
        <w:t>Luken</w:t>
      </w:r>
      <w:proofErr w:type="spellEnd"/>
      <w:r w:rsidR="00F05DB3" w:rsidRPr="00E8190A">
        <w:t xml:space="preserve">, P.J. van den Burg, W.L. de </w:t>
      </w:r>
      <w:proofErr w:type="spellStart"/>
      <w:r w:rsidR="00F05DB3" w:rsidRPr="00E8190A">
        <w:t>Kort</w:t>
      </w:r>
      <w:proofErr w:type="spellEnd"/>
      <w:r w:rsidR="00F05DB3" w:rsidRPr="00E8190A">
        <w:t>, M.M. Koopman, H. </w:t>
      </w:r>
      <w:proofErr w:type="spellStart"/>
      <w:r w:rsidR="00F05DB3" w:rsidRPr="00E8190A">
        <w:t>Vrielink</w:t>
      </w:r>
      <w:proofErr w:type="spellEnd"/>
      <w:r w:rsidR="00F05DB3" w:rsidRPr="00E8190A">
        <w:t>, </w:t>
      </w:r>
      <w:r w:rsidR="00F05DB3" w:rsidRPr="00E8190A">
        <w:rPr>
          <w:i/>
          <w:iCs/>
        </w:rPr>
        <w:t>et al.</w:t>
      </w:r>
      <w:r w:rsidR="004837B8">
        <w:rPr>
          <w:i/>
          <w:iCs/>
        </w:rPr>
        <w:t xml:space="preserve"> </w:t>
      </w:r>
      <w:r w:rsidR="00F05DB3" w:rsidRPr="00E8190A">
        <w:rPr>
          <w:b/>
          <w:bCs/>
        </w:rPr>
        <w:t>Bone density in apheresis donors and whole blood donors</w:t>
      </w:r>
      <w:r w:rsidR="004837B8">
        <w:rPr>
          <w:b/>
          <w:bCs/>
        </w:rPr>
        <w:t xml:space="preserve"> </w:t>
      </w:r>
      <w:r w:rsidR="00F05DB3" w:rsidRPr="00E8190A">
        <w:t>Vox Sang., 109 (4) (2015), pp. 410-413</w:t>
      </w:r>
    </w:p>
    <w:p w14:paraId="4ED6BA19" w14:textId="45FB0372" w:rsidR="00F05DB3" w:rsidRPr="00E8190A" w:rsidRDefault="00AE58B6" w:rsidP="004837B8">
      <w:pPr>
        <w:pStyle w:val="NoSpacing"/>
        <w:ind w:left="720" w:hanging="720"/>
      </w:pPr>
      <w:hyperlink r:id="rId135" w:anchor="bbb0040" w:history="1">
        <w:proofErr w:type="spellStart"/>
        <w:r w:rsidR="00F05DB3" w:rsidRPr="00E8190A">
          <w:rPr>
            <w:rStyle w:val="Hyperlink"/>
            <w:rFonts w:cstheme="minorHAnsi"/>
          </w:rPr>
          <w:t>Burgstaler</w:t>
        </w:r>
        <w:proofErr w:type="spellEnd"/>
        <w:r w:rsidR="00F05DB3" w:rsidRPr="00E8190A">
          <w:rPr>
            <w:rStyle w:val="Hyperlink"/>
            <w:rFonts w:cstheme="minorHAnsi"/>
          </w:rPr>
          <w:t>, 2006</w:t>
        </w:r>
      </w:hyperlink>
      <w:r w:rsidR="004837B8">
        <w:rPr>
          <w:rStyle w:val="Hyperlink"/>
          <w:rFonts w:cstheme="minorHAnsi"/>
        </w:rPr>
        <w:t xml:space="preserve"> </w:t>
      </w:r>
      <w:r w:rsidR="00F05DB3" w:rsidRPr="00E8190A">
        <w:t>E.A. </w:t>
      </w:r>
      <w:proofErr w:type="spellStart"/>
      <w:r w:rsidR="00F05DB3" w:rsidRPr="00E8190A">
        <w:t>Burgstaler</w:t>
      </w:r>
      <w:proofErr w:type="spellEnd"/>
      <w:r w:rsidR="004837B8">
        <w:t xml:space="preserve"> </w:t>
      </w:r>
      <w:r w:rsidR="00F05DB3" w:rsidRPr="00E8190A">
        <w:rPr>
          <w:b/>
          <w:bCs/>
        </w:rPr>
        <w:t>Blood component collection by apheresis</w:t>
      </w:r>
      <w:r w:rsidR="004837B8">
        <w:rPr>
          <w:b/>
          <w:bCs/>
        </w:rPr>
        <w:t xml:space="preserve"> </w:t>
      </w:r>
      <w:r w:rsidR="00F05DB3" w:rsidRPr="00E8190A">
        <w:t xml:space="preserve">J. Clin. </w:t>
      </w:r>
      <w:proofErr w:type="spellStart"/>
      <w:r w:rsidR="00F05DB3" w:rsidRPr="00E8190A">
        <w:t>Apher</w:t>
      </w:r>
      <w:proofErr w:type="spellEnd"/>
      <w:r w:rsidR="00F05DB3" w:rsidRPr="00E8190A">
        <w:t>., 21 (2) (2006), pp. 142-151</w:t>
      </w:r>
    </w:p>
    <w:p w14:paraId="384EAEF3" w14:textId="62944A9B" w:rsidR="00F05DB3" w:rsidRPr="00E8190A" w:rsidRDefault="00AE58B6" w:rsidP="004837B8">
      <w:pPr>
        <w:pStyle w:val="NoSpacing"/>
        <w:ind w:left="720" w:hanging="720"/>
      </w:pPr>
      <w:hyperlink r:id="rId136" w:anchor="bbb0045" w:history="1">
        <w:r w:rsidR="00F05DB3" w:rsidRPr="00E8190A">
          <w:rPr>
            <w:rStyle w:val="Hyperlink"/>
            <w:rFonts w:cstheme="minorHAnsi"/>
          </w:rPr>
          <w:t>Chen et al., 2009</w:t>
        </w:r>
      </w:hyperlink>
      <w:r w:rsidR="004837B8">
        <w:rPr>
          <w:rStyle w:val="Hyperlink"/>
          <w:rFonts w:cstheme="minorHAnsi"/>
        </w:rPr>
        <w:t xml:space="preserve"> </w:t>
      </w:r>
      <w:r w:rsidR="00F05DB3" w:rsidRPr="00E8190A">
        <w:t>Y. Chen, C. </w:t>
      </w:r>
      <w:proofErr w:type="spellStart"/>
      <w:r w:rsidR="00F05DB3" w:rsidRPr="00E8190A">
        <w:t>Bieglmayer</w:t>
      </w:r>
      <w:proofErr w:type="spellEnd"/>
      <w:r w:rsidR="00F05DB3" w:rsidRPr="00E8190A">
        <w:t>, P. </w:t>
      </w:r>
      <w:proofErr w:type="spellStart"/>
      <w:r w:rsidR="00F05DB3" w:rsidRPr="00E8190A">
        <w:t>Hocker</w:t>
      </w:r>
      <w:proofErr w:type="spellEnd"/>
      <w:r w:rsidR="00F05DB3" w:rsidRPr="00E8190A">
        <w:t>, M. </w:t>
      </w:r>
      <w:proofErr w:type="spellStart"/>
      <w:r w:rsidR="00F05DB3" w:rsidRPr="00E8190A">
        <w:t>Dettke</w:t>
      </w:r>
      <w:proofErr w:type="spellEnd"/>
      <w:r w:rsidR="004837B8">
        <w:t xml:space="preserve"> </w:t>
      </w:r>
      <w:r w:rsidR="00F05DB3" w:rsidRPr="00E8190A">
        <w:rPr>
          <w:b/>
          <w:bCs/>
        </w:rPr>
        <w:t>Effect of acute citrate load on markers of bone metabolism in healthy volunteers</w:t>
      </w:r>
      <w:r w:rsidR="004837B8">
        <w:rPr>
          <w:b/>
          <w:bCs/>
        </w:rPr>
        <w:t xml:space="preserve"> </w:t>
      </w:r>
      <w:r w:rsidR="00F05DB3" w:rsidRPr="00E8190A">
        <w:t>Vox Sang., 97 (4) (2009), pp. 324-329</w:t>
      </w:r>
    </w:p>
    <w:p w14:paraId="04A75B13" w14:textId="2609B77B" w:rsidR="00F05DB3" w:rsidRPr="00E8190A" w:rsidRDefault="00AE58B6" w:rsidP="004837B8">
      <w:pPr>
        <w:pStyle w:val="NoSpacing"/>
        <w:ind w:left="720" w:hanging="720"/>
      </w:pPr>
      <w:hyperlink r:id="rId137" w:anchor="bbb0050" w:history="1">
        <w:r w:rsidR="00F05DB3" w:rsidRPr="00E8190A">
          <w:rPr>
            <w:rStyle w:val="Hyperlink"/>
            <w:rFonts w:cstheme="minorHAnsi"/>
          </w:rPr>
          <w:t>Das et al., 2005</w:t>
        </w:r>
      </w:hyperlink>
      <w:r w:rsidR="004837B8">
        <w:rPr>
          <w:rStyle w:val="Hyperlink"/>
          <w:rFonts w:cstheme="minorHAnsi"/>
        </w:rPr>
        <w:t xml:space="preserve"> </w:t>
      </w:r>
      <w:r w:rsidR="00F05DB3" w:rsidRPr="00E8190A">
        <w:t>S.S. Das, R. Chaudhary, D. Khetan, J.S. Shukla, P. Agarwal, R.B. Mishra</w:t>
      </w:r>
      <w:r w:rsidR="004837B8">
        <w:t xml:space="preserve"> </w:t>
      </w:r>
      <w:r w:rsidR="00F05DB3" w:rsidRPr="00E8190A">
        <w:rPr>
          <w:b/>
          <w:bCs/>
        </w:rPr>
        <w:t>Calcium and magnesium levels during automated plateletpheresis in normal donors</w:t>
      </w:r>
      <w:r w:rsidR="004837B8">
        <w:rPr>
          <w:b/>
          <w:bCs/>
        </w:rPr>
        <w:t xml:space="preserve"> </w:t>
      </w:r>
      <w:proofErr w:type="spellStart"/>
      <w:r w:rsidR="00F05DB3" w:rsidRPr="00E8190A">
        <w:t>Transfus</w:t>
      </w:r>
      <w:proofErr w:type="spellEnd"/>
      <w:r w:rsidR="00F05DB3" w:rsidRPr="00E8190A">
        <w:t>. Med., 15 (3) (2005), pp. 233-236</w:t>
      </w:r>
    </w:p>
    <w:p w14:paraId="6306DE51" w14:textId="1C7525C1" w:rsidR="00F05DB3" w:rsidRPr="00E8190A" w:rsidRDefault="00AE58B6" w:rsidP="004837B8">
      <w:pPr>
        <w:pStyle w:val="NoSpacing"/>
        <w:ind w:left="720" w:hanging="720"/>
      </w:pPr>
      <w:hyperlink r:id="rId138" w:anchor="bbb0055" w:history="1">
        <w:proofErr w:type="spellStart"/>
        <w:r w:rsidR="00F05DB3" w:rsidRPr="00E8190A">
          <w:rPr>
            <w:rStyle w:val="Hyperlink"/>
            <w:rFonts w:cstheme="minorHAnsi"/>
          </w:rPr>
          <w:t>Dettke</w:t>
        </w:r>
        <w:proofErr w:type="spellEnd"/>
        <w:r w:rsidR="00F05DB3" w:rsidRPr="00E8190A">
          <w:rPr>
            <w:rStyle w:val="Hyperlink"/>
            <w:rFonts w:cstheme="minorHAnsi"/>
          </w:rPr>
          <w:t xml:space="preserve"> et al., 2003</w:t>
        </w:r>
      </w:hyperlink>
      <w:r w:rsidR="002000E5">
        <w:rPr>
          <w:rStyle w:val="Hyperlink"/>
          <w:rFonts w:cstheme="minorHAnsi"/>
        </w:rPr>
        <w:t xml:space="preserve"> </w:t>
      </w:r>
      <w:r w:rsidR="00F05DB3" w:rsidRPr="00E8190A">
        <w:t>M. Dettke, C. Buchta, C. Bieglmayer, F. Kainberger, M. Macher, P. Hocker</w:t>
      </w:r>
      <w:r w:rsidR="002000E5">
        <w:t xml:space="preserve"> </w:t>
      </w:r>
      <w:r w:rsidR="00F05DB3" w:rsidRPr="00E8190A">
        <w:rPr>
          <w:b/>
          <w:bCs/>
        </w:rPr>
        <w:t>Short- and long-term effects of citrate on bone metabolism and bone mineral density in healthy plateletpheresis donors</w:t>
      </w:r>
      <w:r w:rsidR="002000E5">
        <w:rPr>
          <w:b/>
          <w:bCs/>
        </w:rPr>
        <w:t xml:space="preserve"> </w:t>
      </w:r>
      <w:r w:rsidR="00F05DB3" w:rsidRPr="00E8190A">
        <w:t xml:space="preserve">J. Clin. </w:t>
      </w:r>
      <w:proofErr w:type="spellStart"/>
      <w:r w:rsidR="00F05DB3" w:rsidRPr="00E8190A">
        <w:t>Apher</w:t>
      </w:r>
      <w:proofErr w:type="spellEnd"/>
      <w:r w:rsidR="00F05DB3" w:rsidRPr="00E8190A">
        <w:t>., 18 (2003), pp. 75-97</w:t>
      </w:r>
    </w:p>
    <w:p w14:paraId="009DEFAD" w14:textId="0B28822A" w:rsidR="00F05DB3" w:rsidRPr="00E8190A" w:rsidRDefault="00AE58B6" w:rsidP="004837B8">
      <w:pPr>
        <w:pStyle w:val="NoSpacing"/>
        <w:ind w:left="720" w:hanging="720"/>
      </w:pPr>
      <w:hyperlink r:id="rId139" w:anchor="bbb0060" w:history="1">
        <w:r w:rsidR="00F05DB3" w:rsidRPr="00E8190A">
          <w:rPr>
            <w:rStyle w:val="Hyperlink"/>
            <w:rFonts w:cstheme="minorHAnsi"/>
          </w:rPr>
          <w:t xml:space="preserve">Evers and </w:t>
        </w:r>
        <w:proofErr w:type="spellStart"/>
        <w:r w:rsidR="00F05DB3" w:rsidRPr="00E8190A">
          <w:rPr>
            <w:rStyle w:val="Hyperlink"/>
            <w:rFonts w:cstheme="minorHAnsi"/>
          </w:rPr>
          <w:t>Taborski</w:t>
        </w:r>
        <w:proofErr w:type="spellEnd"/>
        <w:r w:rsidR="00F05DB3" w:rsidRPr="00E8190A">
          <w:rPr>
            <w:rStyle w:val="Hyperlink"/>
            <w:rFonts w:cstheme="minorHAnsi"/>
          </w:rPr>
          <w:t>, 2016</w:t>
        </w:r>
      </w:hyperlink>
      <w:r w:rsidR="002000E5">
        <w:rPr>
          <w:rStyle w:val="Hyperlink"/>
          <w:rFonts w:cstheme="minorHAnsi"/>
        </w:rPr>
        <w:t xml:space="preserve"> </w:t>
      </w:r>
      <w:r w:rsidR="00F05DB3" w:rsidRPr="00E8190A">
        <w:t>J. Evers, U. </w:t>
      </w:r>
      <w:proofErr w:type="spellStart"/>
      <w:r w:rsidR="00F05DB3" w:rsidRPr="00E8190A">
        <w:t>Taborski</w:t>
      </w:r>
      <w:proofErr w:type="spellEnd"/>
      <w:r w:rsidR="002000E5">
        <w:t xml:space="preserve"> </w:t>
      </w:r>
      <w:r w:rsidR="00F05DB3" w:rsidRPr="00E8190A">
        <w:rPr>
          <w:b/>
          <w:bCs/>
        </w:rPr>
        <w:t>Distribution of citrate and citrate infusion rate during donor plasmaphereses</w:t>
      </w:r>
      <w:r w:rsidR="002000E5">
        <w:rPr>
          <w:b/>
          <w:bCs/>
        </w:rPr>
        <w:t xml:space="preserve"> </w:t>
      </w:r>
      <w:r w:rsidR="00F05DB3" w:rsidRPr="00E8190A">
        <w:t xml:space="preserve">J. Clin. </w:t>
      </w:r>
      <w:proofErr w:type="spellStart"/>
      <w:r w:rsidR="00F05DB3" w:rsidRPr="00E8190A">
        <w:t>Apher</w:t>
      </w:r>
      <w:proofErr w:type="spellEnd"/>
      <w:r w:rsidR="00F05DB3" w:rsidRPr="00E8190A">
        <w:t>., 31 (1) (2016), pp. 59-62</w:t>
      </w:r>
    </w:p>
    <w:p w14:paraId="29C85371" w14:textId="22D3A515" w:rsidR="00F05DB3" w:rsidRPr="00E8190A" w:rsidRDefault="00AE58B6" w:rsidP="004837B8">
      <w:pPr>
        <w:pStyle w:val="NoSpacing"/>
        <w:ind w:left="720" w:hanging="720"/>
      </w:pPr>
      <w:hyperlink r:id="rId140" w:anchor="bbb0065" w:history="1">
        <w:proofErr w:type="spellStart"/>
        <w:r w:rsidR="00F05DB3" w:rsidRPr="00E8190A">
          <w:rPr>
            <w:rStyle w:val="Hyperlink"/>
            <w:rFonts w:cstheme="minorHAnsi"/>
          </w:rPr>
          <w:t>Gourlay</w:t>
        </w:r>
        <w:proofErr w:type="spellEnd"/>
        <w:r w:rsidR="00F05DB3" w:rsidRPr="00E8190A">
          <w:rPr>
            <w:rStyle w:val="Hyperlink"/>
            <w:rFonts w:cstheme="minorHAnsi"/>
          </w:rPr>
          <w:t xml:space="preserve"> et al., 2012</w:t>
        </w:r>
      </w:hyperlink>
      <w:r w:rsidR="002000E5">
        <w:rPr>
          <w:rStyle w:val="Hyperlink"/>
          <w:rFonts w:cstheme="minorHAnsi"/>
        </w:rPr>
        <w:t xml:space="preserve"> </w:t>
      </w:r>
      <w:r w:rsidR="00F05DB3" w:rsidRPr="00E8190A">
        <w:t>M.L. Gourlay, J.P. Fine, J.S. Preisser, R.C. May, C. Li, L.Y. Lui, </w:t>
      </w:r>
      <w:r w:rsidR="00F05DB3" w:rsidRPr="00E8190A">
        <w:rPr>
          <w:i/>
          <w:iCs/>
        </w:rPr>
        <w:t>et al.</w:t>
      </w:r>
      <w:r w:rsidR="002000E5">
        <w:rPr>
          <w:i/>
          <w:iCs/>
        </w:rPr>
        <w:t xml:space="preserve"> </w:t>
      </w:r>
      <w:r w:rsidR="00F05DB3" w:rsidRPr="00E8190A">
        <w:rPr>
          <w:b/>
          <w:bCs/>
        </w:rPr>
        <w:t>Bone-density testing interval and transition to osteoporosis in older women</w:t>
      </w:r>
      <w:r w:rsidR="002000E5">
        <w:rPr>
          <w:b/>
          <w:bCs/>
        </w:rPr>
        <w:t xml:space="preserve"> </w:t>
      </w:r>
      <w:r w:rsidR="00F05DB3" w:rsidRPr="00E8190A">
        <w:t>N. Engl. J. Med., 366 (3) (2012), pp. 225-233</w:t>
      </w:r>
    </w:p>
    <w:p w14:paraId="076CA4FA" w14:textId="188C6E99" w:rsidR="00F05DB3" w:rsidRPr="00E8190A" w:rsidRDefault="00AE58B6" w:rsidP="004837B8">
      <w:pPr>
        <w:pStyle w:val="NoSpacing"/>
        <w:ind w:left="720" w:hanging="720"/>
      </w:pPr>
      <w:hyperlink r:id="rId141" w:anchor="bbb0070" w:history="1">
        <w:r w:rsidR="00F05DB3" w:rsidRPr="00E8190A">
          <w:rPr>
            <w:rStyle w:val="Hyperlink"/>
            <w:rFonts w:cstheme="minorHAnsi"/>
          </w:rPr>
          <w:t>Grau et al., 2017</w:t>
        </w:r>
      </w:hyperlink>
      <w:r w:rsidR="002000E5">
        <w:rPr>
          <w:rStyle w:val="Hyperlink"/>
          <w:rFonts w:cstheme="minorHAnsi"/>
        </w:rPr>
        <w:t xml:space="preserve"> </w:t>
      </w:r>
      <w:r w:rsidR="00F05DB3" w:rsidRPr="00E8190A">
        <w:t>K. Grau, S.K. Vasan, K. Rostgaard, W. Bialkowski, R. Norda, H. Hjalgrim, </w:t>
      </w:r>
      <w:r w:rsidR="00F05DB3" w:rsidRPr="00E8190A">
        <w:rPr>
          <w:i/>
          <w:iCs/>
        </w:rPr>
        <w:t>et al.</w:t>
      </w:r>
      <w:r w:rsidR="002000E5">
        <w:rPr>
          <w:i/>
          <w:iCs/>
        </w:rPr>
        <w:t xml:space="preserve"> </w:t>
      </w:r>
      <w:r w:rsidR="00F05DB3" w:rsidRPr="00E8190A">
        <w:rPr>
          <w:b/>
          <w:bCs/>
        </w:rPr>
        <w:t>No association between frequent apheresis donation and risk of fractures: a retrospective cohort analysis from Sweden</w:t>
      </w:r>
      <w:r w:rsidR="002000E5">
        <w:rPr>
          <w:b/>
          <w:bCs/>
        </w:rPr>
        <w:t xml:space="preserve"> </w:t>
      </w:r>
      <w:r w:rsidR="00F05DB3" w:rsidRPr="00E8190A">
        <w:t>Transfusion, 57 (2) (2017), pp. 390-396</w:t>
      </w:r>
    </w:p>
    <w:p w14:paraId="75D836F4" w14:textId="0F9F6B43" w:rsidR="00F05DB3" w:rsidRPr="00E8190A" w:rsidRDefault="00AE58B6" w:rsidP="004837B8">
      <w:pPr>
        <w:pStyle w:val="NoSpacing"/>
        <w:ind w:left="720" w:hanging="720"/>
      </w:pPr>
      <w:hyperlink r:id="rId142" w:anchor="bbb0075" w:history="1">
        <w:r w:rsidR="00F05DB3" w:rsidRPr="00E8190A">
          <w:rPr>
            <w:rStyle w:val="Hyperlink"/>
            <w:rFonts w:cstheme="minorHAnsi"/>
          </w:rPr>
          <w:t>Hester et al., 1983</w:t>
        </w:r>
      </w:hyperlink>
      <w:r w:rsidR="00F05DB3" w:rsidRPr="00E8190A">
        <w:t>J.P. Hester, J. McCullough, J.M. Mishler, I.O. Szymanski</w:t>
      </w:r>
      <w:r w:rsidR="002000E5">
        <w:t xml:space="preserve"> </w:t>
      </w:r>
      <w:r w:rsidR="00F05DB3" w:rsidRPr="00E8190A">
        <w:rPr>
          <w:b/>
          <w:bCs/>
        </w:rPr>
        <w:t>Dosage regimens for citrate anticoagulants</w:t>
      </w:r>
      <w:r w:rsidR="002000E5">
        <w:rPr>
          <w:b/>
          <w:bCs/>
        </w:rPr>
        <w:t xml:space="preserve"> </w:t>
      </w:r>
      <w:r w:rsidR="00F05DB3" w:rsidRPr="00E8190A">
        <w:t xml:space="preserve">J. Clin. </w:t>
      </w:r>
      <w:proofErr w:type="spellStart"/>
      <w:r w:rsidR="00F05DB3" w:rsidRPr="00E8190A">
        <w:t>Apher</w:t>
      </w:r>
      <w:proofErr w:type="spellEnd"/>
      <w:r w:rsidR="00F05DB3" w:rsidRPr="00E8190A">
        <w:t>., 1 (3) (1983), pp. 149-157</w:t>
      </w:r>
    </w:p>
    <w:p w14:paraId="52316D20" w14:textId="135A3151" w:rsidR="00F05DB3" w:rsidRPr="00E8190A" w:rsidRDefault="00AE58B6" w:rsidP="004837B8">
      <w:pPr>
        <w:pStyle w:val="NoSpacing"/>
        <w:ind w:left="720" w:hanging="720"/>
      </w:pPr>
      <w:hyperlink r:id="rId143" w:anchor="bbb0080" w:history="1">
        <w:proofErr w:type="spellStart"/>
        <w:r w:rsidR="00F05DB3" w:rsidRPr="00E8190A">
          <w:rPr>
            <w:rStyle w:val="Hyperlink"/>
            <w:rFonts w:cstheme="minorHAnsi"/>
          </w:rPr>
          <w:t>Hiemstra</w:t>
        </w:r>
        <w:proofErr w:type="spellEnd"/>
        <w:r w:rsidR="00F05DB3" w:rsidRPr="00E8190A">
          <w:rPr>
            <w:rStyle w:val="Hyperlink"/>
            <w:rFonts w:cstheme="minorHAnsi"/>
          </w:rPr>
          <w:t xml:space="preserve"> et al., 2014</w:t>
        </w:r>
      </w:hyperlink>
      <w:r w:rsidR="002000E5">
        <w:rPr>
          <w:rStyle w:val="Hyperlink"/>
          <w:rFonts w:cstheme="minorHAnsi"/>
        </w:rPr>
        <w:t xml:space="preserve"> </w:t>
      </w:r>
      <w:r w:rsidR="00F05DB3" w:rsidRPr="00E8190A">
        <w:t>T.F. </w:t>
      </w:r>
      <w:proofErr w:type="spellStart"/>
      <w:r w:rsidR="00F05DB3" w:rsidRPr="00E8190A">
        <w:t>Hiemstra</w:t>
      </w:r>
      <w:proofErr w:type="spellEnd"/>
      <w:r w:rsidR="00F05DB3" w:rsidRPr="00E8190A">
        <w:t>, A. </w:t>
      </w:r>
      <w:proofErr w:type="spellStart"/>
      <w:r w:rsidR="00F05DB3" w:rsidRPr="00E8190A">
        <w:t>Casian</w:t>
      </w:r>
      <w:proofErr w:type="spellEnd"/>
      <w:r w:rsidR="00F05DB3" w:rsidRPr="00E8190A">
        <w:t>, P. </w:t>
      </w:r>
      <w:proofErr w:type="spellStart"/>
      <w:r w:rsidR="00F05DB3" w:rsidRPr="00E8190A">
        <w:t>Boraks</w:t>
      </w:r>
      <w:proofErr w:type="spellEnd"/>
      <w:r w:rsidR="00F05DB3" w:rsidRPr="00E8190A">
        <w:t>, D.R. Jayne, I. </w:t>
      </w:r>
      <w:proofErr w:type="spellStart"/>
      <w:r w:rsidR="00F05DB3" w:rsidRPr="00E8190A">
        <w:t>Schoenmakers</w:t>
      </w:r>
      <w:proofErr w:type="spellEnd"/>
      <w:r w:rsidR="002000E5">
        <w:t xml:space="preserve"> </w:t>
      </w:r>
      <w:r w:rsidR="00F05DB3" w:rsidRPr="00E8190A">
        <w:rPr>
          <w:b/>
          <w:bCs/>
        </w:rPr>
        <w:t>Plasma exchange induces vitamin D deficiency</w:t>
      </w:r>
      <w:r w:rsidR="002000E5">
        <w:rPr>
          <w:b/>
          <w:bCs/>
        </w:rPr>
        <w:t xml:space="preserve"> </w:t>
      </w:r>
      <w:r w:rsidR="00F05DB3" w:rsidRPr="00E8190A">
        <w:t>QJM, 107 (2) (2014), pp. 123-130</w:t>
      </w:r>
    </w:p>
    <w:p w14:paraId="5DD0DD79" w14:textId="1AFBE42A" w:rsidR="00F05DB3" w:rsidRPr="00E8190A" w:rsidRDefault="00AE58B6" w:rsidP="004837B8">
      <w:pPr>
        <w:pStyle w:val="NoSpacing"/>
        <w:ind w:left="720" w:hanging="720"/>
      </w:pPr>
      <w:hyperlink r:id="rId144" w:anchor="bbb0085" w:history="1">
        <w:r w:rsidR="00F05DB3" w:rsidRPr="00E8190A">
          <w:rPr>
            <w:rStyle w:val="Hyperlink"/>
            <w:rFonts w:cstheme="minorHAnsi"/>
          </w:rPr>
          <w:t>Jehle et al., 2013</w:t>
        </w:r>
      </w:hyperlink>
      <w:r w:rsidR="002000E5">
        <w:rPr>
          <w:rStyle w:val="Hyperlink"/>
          <w:rFonts w:cstheme="minorHAnsi"/>
        </w:rPr>
        <w:t xml:space="preserve"> </w:t>
      </w:r>
      <w:r w:rsidR="00F05DB3" w:rsidRPr="00E8190A">
        <w:t>S. Jehle, H.N. </w:t>
      </w:r>
      <w:proofErr w:type="spellStart"/>
      <w:r w:rsidR="00F05DB3" w:rsidRPr="00E8190A">
        <w:t>Hulter</w:t>
      </w:r>
      <w:proofErr w:type="spellEnd"/>
      <w:r w:rsidR="00F05DB3" w:rsidRPr="00E8190A">
        <w:t>, R. </w:t>
      </w:r>
      <w:proofErr w:type="spellStart"/>
      <w:r w:rsidR="00F05DB3" w:rsidRPr="00E8190A">
        <w:t>Krapf</w:t>
      </w:r>
      <w:proofErr w:type="spellEnd"/>
      <w:r w:rsidR="002000E5">
        <w:t xml:space="preserve"> </w:t>
      </w:r>
      <w:r w:rsidR="00F05DB3" w:rsidRPr="00E8190A">
        <w:rPr>
          <w:b/>
          <w:bCs/>
        </w:rPr>
        <w:t>Effect of potassium citrate on bone density, microarchitecture, and fracture risk in healthy older adults without osteoporosis: a randomized controlled trial</w:t>
      </w:r>
      <w:r w:rsidR="002000E5">
        <w:rPr>
          <w:b/>
          <w:bCs/>
        </w:rPr>
        <w:t xml:space="preserve"> </w:t>
      </w:r>
      <w:r w:rsidR="00F05DB3" w:rsidRPr="00E8190A">
        <w:t xml:space="preserve">J. Clin. Endocrinol. </w:t>
      </w:r>
      <w:proofErr w:type="spellStart"/>
      <w:r w:rsidR="00F05DB3" w:rsidRPr="00E8190A">
        <w:t>Metab</w:t>
      </w:r>
      <w:proofErr w:type="spellEnd"/>
      <w:r w:rsidR="00F05DB3" w:rsidRPr="00E8190A">
        <w:t>., 98 (1) (2013), pp. 207-217</w:t>
      </w:r>
    </w:p>
    <w:p w14:paraId="2A91AEC7" w14:textId="4089AFAF" w:rsidR="00F05DB3" w:rsidRPr="00E8190A" w:rsidRDefault="00AE58B6" w:rsidP="004837B8">
      <w:pPr>
        <w:pStyle w:val="NoSpacing"/>
        <w:ind w:left="720" w:hanging="720"/>
      </w:pPr>
      <w:hyperlink r:id="rId145" w:anchor="bbb0090" w:history="1">
        <w:r w:rsidR="00F05DB3" w:rsidRPr="00E8190A">
          <w:rPr>
            <w:rStyle w:val="Hyperlink"/>
            <w:rFonts w:cstheme="minorHAnsi"/>
          </w:rPr>
          <w:t>Kiel et al., 1987</w:t>
        </w:r>
      </w:hyperlink>
      <w:r w:rsidR="002000E5">
        <w:rPr>
          <w:rStyle w:val="Hyperlink"/>
          <w:rFonts w:cstheme="minorHAnsi"/>
        </w:rPr>
        <w:t xml:space="preserve"> </w:t>
      </w:r>
      <w:r w:rsidR="00F05DB3" w:rsidRPr="00E8190A">
        <w:t>D.P. Kiel, D.T. Felson, J.J. Anderson, P.W. Wilson, M.A. Moskowitz</w:t>
      </w:r>
      <w:r w:rsidR="002000E5">
        <w:t xml:space="preserve"> </w:t>
      </w:r>
      <w:r w:rsidR="00F05DB3" w:rsidRPr="00E8190A">
        <w:rPr>
          <w:b/>
          <w:bCs/>
        </w:rPr>
        <w:t>Hip fracture and the use of estrogens in postmenopausal women. The Framingham Study</w:t>
      </w:r>
      <w:r w:rsidR="002000E5">
        <w:rPr>
          <w:b/>
          <w:bCs/>
        </w:rPr>
        <w:t xml:space="preserve"> </w:t>
      </w:r>
      <w:r w:rsidR="00F05DB3" w:rsidRPr="00E8190A">
        <w:t>New Engl. J. Med., 317 (19) (1987), pp. 1169-1174</w:t>
      </w:r>
    </w:p>
    <w:p w14:paraId="390CA6C3" w14:textId="07FA94EA" w:rsidR="00F05DB3" w:rsidRPr="00E8190A" w:rsidRDefault="00AE58B6" w:rsidP="004837B8">
      <w:pPr>
        <w:pStyle w:val="NoSpacing"/>
        <w:ind w:left="720" w:hanging="720"/>
      </w:pPr>
      <w:hyperlink r:id="rId146" w:anchor="bbb0095" w:history="1">
        <w:r w:rsidR="00F05DB3" w:rsidRPr="00E8190A">
          <w:rPr>
            <w:rStyle w:val="Hyperlink"/>
            <w:rFonts w:cstheme="minorHAnsi"/>
          </w:rPr>
          <w:t>Krieg et al., 2013</w:t>
        </w:r>
      </w:hyperlink>
      <w:r w:rsidR="002000E5">
        <w:rPr>
          <w:rStyle w:val="Hyperlink"/>
          <w:rFonts w:cstheme="minorHAnsi"/>
        </w:rPr>
        <w:t xml:space="preserve"> </w:t>
      </w:r>
      <w:r w:rsidR="00F05DB3" w:rsidRPr="00E8190A">
        <w:t>M.A. Krieg, B. </w:t>
      </w:r>
      <w:proofErr w:type="spellStart"/>
      <w:r w:rsidR="00F05DB3" w:rsidRPr="00E8190A">
        <w:t>Aubry</w:t>
      </w:r>
      <w:proofErr w:type="spellEnd"/>
      <w:r w:rsidR="00F05DB3" w:rsidRPr="00E8190A">
        <w:t>-Rozier, D. Hans, W.D. Leslie, Manitoba Bone Density Program</w:t>
      </w:r>
      <w:r w:rsidR="002000E5">
        <w:t xml:space="preserve"> </w:t>
      </w:r>
      <w:r w:rsidR="00F05DB3" w:rsidRPr="00E8190A">
        <w:rPr>
          <w:b/>
          <w:bCs/>
        </w:rPr>
        <w:t>Effects of anti-resorptive agents on trabecular bone score (TBS) in older women</w:t>
      </w:r>
      <w:r w:rsidR="002000E5">
        <w:rPr>
          <w:b/>
          <w:bCs/>
        </w:rPr>
        <w:t xml:space="preserve"> </w:t>
      </w:r>
      <w:proofErr w:type="spellStart"/>
      <w:r w:rsidR="00F05DB3" w:rsidRPr="00E8190A">
        <w:t>Osteoporos</w:t>
      </w:r>
      <w:proofErr w:type="spellEnd"/>
      <w:r w:rsidR="00F05DB3" w:rsidRPr="00E8190A">
        <w:t>. Int., 24 (3) (2013), pp. 1073-1078</w:t>
      </w:r>
    </w:p>
    <w:p w14:paraId="5A72619D" w14:textId="5EDBAFF5" w:rsidR="00F05DB3" w:rsidRPr="00E8190A" w:rsidRDefault="00AE58B6" w:rsidP="004837B8">
      <w:pPr>
        <w:pStyle w:val="NoSpacing"/>
        <w:ind w:left="720" w:hanging="720"/>
      </w:pPr>
      <w:hyperlink r:id="rId147" w:anchor="bbb0100" w:history="1">
        <w:r w:rsidR="00F05DB3" w:rsidRPr="00E8190A">
          <w:rPr>
            <w:rStyle w:val="Hyperlink"/>
            <w:rFonts w:cstheme="minorHAnsi"/>
          </w:rPr>
          <w:t>Krueger et al., 2014</w:t>
        </w:r>
      </w:hyperlink>
      <w:r w:rsidR="002000E5">
        <w:rPr>
          <w:rStyle w:val="Hyperlink"/>
          <w:rFonts w:cstheme="minorHAnsi"/>
        </w:rPr>
        <w:t xml:space="preserve"> </w:t>
      </w:r>
      <w:r w:rsidR="00F05DB3" w:rsidRPr="00E8190A">
        <w:t>D. Krueger, E. Fidler, J. Libber, B. Aubry-Rozier, D. Hans, N. Binkley</w:t>
      </w:r>
      <w:r w:rsidR="002000E5">
        <w:t xml:space="preserve"> </w:t>
      </w:r>
      <w:r w:rsidR="00F05DB3" w:rsidRPr="00E8190A">
        <w:rPr>
          <w:b/>
          <w:bCs/>
        </w:rPr>
        <w:t>Spine trabecular bone score subsequent to bone mineral density improves fracture discrimination in women</w:t>
      </w:r>
      <w:r w:rsidR="002000E5">
        <w:rPr>
          <w:b/>
          <w:bCs/>
        </w:rPr>
        <w:t xml:space="preserve"> </w:t>
      </w:r>
      <w:r w:rsidR="00F05DB3" w:rsidRPr="00E8190A">
        <w:t xml:space="preserve">J. Clin. </w:t>
      </w:r>
      <w:proofErr w:type="spellStart"/>
      <w:r w:rsidR="00F05DB3" w:rsidRPr="00E8190A">
        <w:t>Densitom</w:t>
      </w:r>
      <w:proofErr w:type="spellEnd"/>
      <w:r w:rsidR="00F05DB3" w:rsidRPr="00E8190A">
        <w:t>., 17 (1) (2014), pp. 60-65</w:t>
      </w:r>
    </w:p>
    <w:p w14:paraId="34BF98E7" w14:textId="0936AF8B" w:rsidR="00F05DB3" w:rsidRPr="00E8190A" w:rsidRDefault="00AE58B6" w:rsidP="004837B8">
      <w:pPr>
        <w:pStyle w:val="NoSpacing"/>
        <w:ind w:left="720" w:hanging="720"/>
      </w:pPr>
      <w:hyperlink r:id="rId148" w:anchor="bbb0105" w:history="1">
        <w:r w:rsidR="00F05DB3" w:rsidRPr="00E8190A">
          <w:rPr>
            <w:rStyle w:val="Hyperlink"/>
            <w:rFonts w:cstheme="minorHAnsi"/>
          </w:rPr>
          <w:t xml:space="preserve">Lee and </w:t>
        </w:r>
        <w:proofErr w:type="spellStart"/>
        <w:r w:rsidR="00F05DB3" w:rsidRPr="00E8190A">
          <w:rPr>
            <w:rStyle w:val="Hyperlink"/>
            <w:rFonts w:cstheme="minorHAnsi"/>
          </w:rPr>
          <w:t>Arepally</w:t>
        </w:r>
        <w:proofErr w:type="spellEnd"/>
        <w:r w:rsidR="00F05DB3" w:rsidRPr="00E8190A">
          <w:rPr>
            <w:rStyle w:val="Hyperlink"/>
            <w:rFonts w:cstheme="minorHAnsi"/>
          </w:rPr>
          <w:t>, 2012</w:t>
        </w:r>
      </w:hyperlink>
      <w:r w:rsidR="002000E5">
        <w:rPr>
          <w:rStyle w:val="Hyperlink"/>
          <w:rFonts w:cstheme="minorHAnsi"/>
        </w:rPr>
        <w:t xml:space="preserve"> </w:t>
      </w:r>
      <w:r w:rsidR="00F05DB3" w:rsidRPr="00E8190A">
        <w:t>G. Lee, G.M. </w:t>
      </w:r>
      <w:proofErr w:type="spellStart"/>
      <w:r w:rsidR="00F05DB3" w:rsidRPr="00E8190A">
        <w:t>Arepally</w:t>
      </w:r>
      <w:proofErr w:type="spellEnd"/>
      <w:r w:rsidR="002000E5">
        <w:t xml:space="preserve"> </w:t>
      </w:r>
      <w:r w:rsidR="00F05DB3" w:rsidRPr="00E8190A">
        <w:rPr>
          <w:b/>
          <w:bCs/>
        </w:rPr>
        <w:t>Anticoagulation techniques in apheresis: from heparin to citrate and beyond</w:t>
      </w:r>
      <w:r w:rsidR="002000E5">
        <w:rPr>
          <w:b/>
          <w:bCs/>
        </w:rPr>
        <w:t xml:space="preserve"> </w:t>
      </w:r>
      <w:r w:rsidR="00F05DB3" w:rsidRPr="00E8190A">
        <w:t xml:space="preserve">J. Clin. </w:t>
      </w:r>
      <w:proofErr w:type="spellStart"/>
      <w:r w:rsidR="00F05DB3" w:rsidRPr="00E8190A">
        <w:t>Apher</w:t>
      </w:r>
      <w:proofErr w:type="spellEnd"/>
      <w:r w:rsidR="00F05DB3" w:rsidRPr="00E8190A">
        <w:t>., 27 (3) (2012), pp. 117-125</w:t>
      </w:r>
    </w:p>
    <w:p w14:paraId="2D313F38" w14:textId="7A60337F" w:rsidR="00F05DB3" w:rsidRPr="00E8190A" w:rsidRDefault="00AE58B6" w:rsidP="004837B8">
      <w:pPr>
        <w:pStyle w:val="NoSpacing"/>
        <w:ind w:left="720" w:hanging="720"/>
      </w:pPr>
      <w:hyperlink r:id="rId149" w:anchor="bbb0110" w:history="1">
        <w:r w:rsidR="00F05DB3" w:rsidRPr="00E8190A">
          <w:rPr>
            <w:rStyle w:val="Hyperlink"/>
            <w:rFonts w:cstheme="minorHAnsi"/>
          </w:rPr>
          <w:t>Looker et al., 1995</w:t>
        </w:r>
      </w:hyperlink>
      <w:r w:rsidR="002000E5">
        <w:rPr>
          <w:rStyle w:val="Hyperlink"/>
          <w:rFonts w:cstheme="minorHAnsi"/>
        </w:rPr>
        <w:t xml:space="preserve"> </w:t>
      </w:r>
      <w:r w:rsidR="00F05DB3" w:rsidRPr="00E8190A">
        <w:t>A.C. Looker, C.C. Johnston Jr., H.W. Wahner, W.L. Dunn, M.S. Calvo, T.B. Harris, </w:t>
      </w:r>
      <w:r w:rsidR="00F05DB3" w:rsidRPr="00E8190A">
        <w:rPr>
          <w:i/>
          <w:iCs/>
        </w:rPr>
        <w:t>et al.</w:t>
      </w:r>
      <w:r w:rsidR="002000E5">
        <w:rPr>
          <w:i/>
          <w:iCs/>
        </w:rPr>
        <w:t xml:space="preserve"> </w:t>
      </w:r>
      <w:r w:rsidR="00F05DB3" w:rsidRPr="00E8190A">
        <w:rPr>
          <w:b/>
          <w:bCs/>
        </w:rPr>
        <w:t>Prevalence of low femoral bone density in older U.S. women from NHANES III</w:t>
      </w:r>
      <w:r w:rsidR="002000E5">
        <w:rPr>
          <w:b/>
          <w:bCs/>
        </w:rPr>
        <w:t xml:space="preserve"> </w:t>
      </w:r>
      <w:r w:rsidR="00F05DB3" w:rsidRPr="00E8190A">
        <w:t>J. Bone Miner. Res., 10 (5) (1995), pp. 796-802</w:t>
      </w:r>
    </w:p>
    <w:p w14:paraId="1053F2B4" w14:textId="0F145C1F" w:rsidR="00F05DB3" w:rsidRPr="00E8190A" w:rsidRDefault="00AE58B6" w:rsidP="004837B8">
      <w:pPr>
        <w:pStyle w:val="NoSpacing"/>
        <w:ind w:left="720" w:hanging="720"/>
      </w:pPr>
      <w:hyperlink r:id="rId150" w:anchor="bbb0115" w:history="1">
        <w:r w:rsidR="00F05DB3" w:rsidRPr="00E8190A">
          <w:rPr>
            <w:rStyle w:val="Hyperlink"/>
            <w:rFonts w:cstheme="minorHAnsi"/>
          </w:rPr>
          <w:t>Looker et al., 2010</w:t>
        </w:r>
      </w:hyperlink>
      <w:r w:rsidR="002000E5">
        <w:rPr>
          <w:rStyle w:val="Hyperlink"/>
          <w:rFonts w:cstheme="minorHAnsi"/>
        </w:rPr>
        <w:t xml:space="preserve"> </w:t>
      </w:r>
      <w:r w:rsidR="00F05DB3" w:rsidRPr="00E8190A">
        <w:t>A.C. Looker, L.J. Melton 3rd, T.B. Harris, L.G. Borrud, J.A. Shepherd</w:t>
      </w:r>
      <w:r w:rsidR="002000E5">
        <w:t xml:space="preserve"> </w:t>
      </w:r>
      <w:r w:rsidR="00F05DB3" w:rsidRPr="00E8190A">
        <w:rPr>
          <w:b/>
          <w:bCs/>
        </w:rPr>
        <w:t>Prevalence and trends in low femur bone density among older US adults: NHANES 2005–2006 compared with NHANES III</w:t>
      </w:r>
      <w:r w:rsidR="002000E5">
        <w:rPr>
          <w:b/>
          <w:bCs/>
        </w:rPr>
        <w:t xml:space="preserve"> </w:t>
      </w:r>
      <w:r w:rsidR="00F05DB3" w:rsidRPr="00E8190A">
        <w:t>J. Bone Miner. Res., 25 (1) (2010), pp. 64-71</w:t>
      </w:r>
    </w:p>
    <w:p w14:paraId="2E0E271E" w14:textId="0490CF15" w:rsidR="00F05DB3" w:rsidRPr="00E8190A" w:rsidRDefault="00AE58B6" w:rsidP="004837B8">
      <w:pPr>
        <w:pStyle w:val="NoSpacing"/>
        <w:ind w:left="720" w:hanging="720"/>
      </w:pPr>
      <w:hyperlink r:id="rId151" w:anchor="bbb0120" w:history="1">
        <w:proofErr w:type="spellStart"/>
        <w:r w:rsidR="00F05DB3" w:rsidRPr="00E8190A">
          <w:rPr>
            <w:rStyle w:val="Hyperlink"/>
            <w:rFonts w:cstheme="minorHAnsi"/>
          </w:rPr>
          <w:t>Mercan</w:t>
        </w:r>
        <w:proofErr w:type="spellEnd"/>
        <w:r w:rsidR="00F05DB3" w:rsidRPr="00E8190A">
          <w:rPr>
            <w:rStyle w:val="Hyperlink"/>
            <w:rFonts w:cstheme="minorHAnsi"/>
          </w:rPr>
          <w:t xml:space="preserve"> et al., 1997</w:t>
        </w:r>
      </w:hyperlink>
      <w:r w:rsidR="002000E5">
        <w:rPr>
          <w:rStyle w:val="Hyperlink"/>
          <w:rFonts w:cstheme="minorHAnsi"/>
        </w:rPr>
        <w:t xml:space="preserve"> </w:t>
      </w:r>
      <w:r w:rsidR="00F05DB3" w:rsidRPr="00E8190A">
        <w:t>D. </w:t>
      </w:r>
      <w:proofErr w:type="spellStart"/>
      <w:r w:rsidR="00F05DB3" w:rsidRPr="00E8190A">
        <w:t>Mercan</w:t>
      </w:r>
      <w:proofErr w:type="spellEnd"/>
      <w:r w:rsidR="00F05DB3" w:rsidRPr="00E8190A">
        <w:t>, G. </w:t>
      </w:r>
      <w:proofErr w:type="spellStart"/>
      <w:r w:rsidR="00F05DB3" w:rsidRPr="00E8190A">
        <w:t>Bastin</w:t>
      </w:r>
      <w:proofErr w:type="spellEnd"/>
      <w:r w:rsidR="00F05DB3" w:rsidRPr="00E8190A">
        <w:t>, M. </w:t>
      </w:r>
      <w:proofErr w:type="spellStart"/>
      <w:r w:rsidR="00F05DB3" w:rsidRPr="00E8190A">
        <w:t>Lambermont</w:t>
      </w:r>
      <w:proofErr w:type="spellEnd"/>
      <w:r w:rsidR="00F05DB3" w:rsidRPr="00E8190A">
        <w:t>, E. Dupont</w:t>
      </w:r>
      <w:r w:rsidR="002000E5">
        <w:t xml:space="preserve"> </w:t>
      </w:r>
      <w:r w:rsidR="00F05DB3" w:rsidRPr="00E8190A">
        <w:rPr>
          <w:b/>
          <w:bCs/>
        </w:rPr>
        <w:t>Importance of ionized magnesium measurement for monitoring of citrate-anticoagulated plateletpheresis</w:t>
      </w:r>
      <w:r w:rsidR="002000E5">
        <w:rPr>
          <w:b/>
          <w:bCs/>
        </w:rPr>
        <w:t xml:space="preserve"> </w:t>
      </w:r>
      <w:r w:rsidR="00F05DB3" w:rsidRPr="00E8190A">
        <w:t>Transfusion, 37 (4) (1997), pp. 418-422</w:t>
      </w:r>
    </w:p>
    <w:p w14:paraId="25EBC7CE" w14:textId="3F42DC44" w:rsidR="00F05DB3" w:rsidRPr="00E8190A" w:rsidRDefault="00AE58B6" w:rsidP="004837B8">
      <w:pPr>
        <w:pStyle w:val="NoSpacing"/>
        <w:ind w:left="720" w:hanging="720"/>
      </w:pPr>
      <w:hyperlink r:id="rId152" w:anchor="bbb0125" w:history="1">
        <w:r w:rsidR="00F05DB3" w:rsidRPr="00E8190A">
          <w:rPr>
            <w:rStyle w:val="Hyperlink"/>
            <w:rFonts w:cstheme="minorHAnsi"/>
          </w:rPr>
          <w:t>Okafor et al., 2010</w:t>
        </w:r>
      </w:hyperlink>
      <w:r w:rsidR="002000E5">
        <w:rPr>
          <w:rStyle w:val="Hyperlink"/>
          <w:rFonts w:cstheme="minorHAnsi"/>
        </w:rPr>
        <w:t xml:space="preserve"> </w:t>
      </w:r>
      <w:r w:rsidR="00F05DB3" w:rsidRPr="00E8190A">
        <w:t>C. Okafor, D.M. Ward, M.H. Mokrzycki, R. Weinstein, P. Clark, R.A. Balogun</w:t>
      </w:r>
      <w:r w:rsidR="002000E5">
        <w:t xml:space="preserve"> </w:t>
      </w:r>
      <w:r w:rsidR="00F05DB3" w:rsidRPr="00E8190A">
        <w:rPr>
          <w:b/>
          <w:bCs/>
        </w:rPr>
        <w:t>Introduction and overview of therapeutic apheresis</w:t>
      </w:r>
      <w:r w:rsidR="002000E5">
        <w:rPr>
          <w:b/>
          <w:bCs/>
        </w:rPr>
        <w:t xml:space="preserve"> </w:t>
      </w:r>
      <w:r w:rsidR="00F05DB3" w:rsidRPr="00E8190A">
        <w:t xml:space="preserve">J. Clin. </w:t>
      </w:r>
      <w:proofErr w:type="spellStart"/>
      <w:r w:rsidR="00F05DB3" w:rsidRPr="00E8190A">
        <w:t>Apher</w:t>
      </w:r>
      <w:proofErr w:type="spellEnd"/>
      <w:r w:rsidR="00F05DB3" w:rsidRPr="00E8190A">
        <w:t>., 25 (5) (2010), pp. 240-249</w:t>
      </w:r>
    </w:p>
    <w:p w14:paraId="3DE3D241" w14:textId="67CDFA6E" w:rsidR="00F05DB3" w:rsidRPr="00E8190A" w:rsidRDefault="00AE58B6" w:rsidP="004837B8">
      <w:pPr>
        <w:pStyle w:val="NoSpacing"/>
        <w:ind w:left="720" w:hanging="720"/>
      </w:pPr>
      <w:hyperlink r:id="rId153" w:anchor="bbb0130" w:history="1">
        <w:r w:rsidR="00F05DB3" w:rsidRPr="00E8190A">
          <w:rPr>
            <w:rStyle w:val="Hyperlink"/>
            <w:rFonts w:cstheme="minorHAnsi"/>
          </w:rPr>
          <w:t>Popp et al., 2013</w:t>
        </w:r>
      </w:hyperlink>
      <w:r w:rsidR="002000E5">
        <w:rPr>
          <w:rStyle w:val="Hyperlink"/>
          <w:rFonts w:cstheme="minorHAnsi"/>
        </w:rPr>
        <w:t xml:space="preserve"> </w:t>
      </w:r>
      <w:r w:rsidR="00F05DB3" w:rsidRPr="00E8190A">
        <w:t>A.W. Popp, S. Guler, O. Lamy, C. Senn, H. Buffat, R. Perrelet, </w:t>
      </w:r>
      <w:r w:rsidR="00F05DB3" w:rsidRPr="00E8190A">
        <w:rPr>
          <w:i/>
          <w:iCs/>
        </w:rPr>
        <w:t>et al.</w:t>
      </w:r>
      <w:r w:rsidR="002000E5">
        <w:rPr>
          <w:i/>
          <w:iCs/>
        </w:rPr>
        <w:t xml:space="preserve"> </w:t>
      </w:r>
      <w:r w:rsidR="00F05DB3" w:rsidRPr="00E8190A">
        <w:rPr>
          <w:b/>
          <w:bCs/>
        </w:rPr>
        <w:t>Effects of zoledronate versus placebo on spine bone mineral density and microarchitecture assessed by the trabecular bone score in postmenopausal women with osteoporosis: a three-year study</w:t>
      </w:r>
      <w:r w:rsidR="002000E5">
        <w:rPr>
          <w:b/>
          <w:bCs/>
        </w:rPr>
        <w:t xml:space="preserve"> </w:t>
      </w:r>
      <w:r w:rsidR="00F05DB3" w:rsidRPr="00E8190A">
        <w:t>J. Bone Min. Res., 28 (3) (2013), pp. 449-454</w:t>
      </w:r>
    </w:p>
    <w:p w14:paraId="27C04148" w14:textId="4CCDFAAD" w:rsidR="00F05DB3" w:rsidRPr="00E8190A" w:rsidRDefault="00AE58B6" w:rsidP="004837B8">
      <w:pPr>
        <w:pStyle w:val="NoSpacing"/>
        <w:ind w:left="720" w:hanging="720"/>
      </w:pPr>
      <w:hyperlink r:id="rId154" w:anchor="bbb0135" w:history="1">
        <w:proofErr w:type="spellStart"/>
        <w:r w:rsidR="00F05DB3" w:rsidRPr="00E8190A">
          <w:rPr>
            <w:rStyle w:val="Hyperlink"/>
            <w:rFonts w:cstheme="minorHAnsi"/>
          </w:rPr>
          <w:t>Senn</w:t>
        </w:r>
        <w:proofErr w:type="spellEnd"/>
        <w:r w:rsidR="00F05DB3" w:rsidRPr="00E8190A">
          <w:rPr>
            <w:rStyle w:val="Hyperlink"/>
            <w:rFonts w:cstheme="minorHAnsi"/>
          </w:rPr>
          <w:t xml:space="preserve"> et al., 2014</w:t>
        </w:r>
      </w:hyperlink>
      <w:r w:rsidR="002000E5">
        <w:rPr>
          <w:rStyle w:val="Hyperlink"/>
          <w:rFonts w:cstheme="minorHAnsi"/>
        </w:rPr>
        <w:t xml:space="preserve"> </w:t>
      </w:r>
      <w:r w:rsidR="00F05DB3" w:rsidRPr="00E8190A">
        <w:t>C. Senn, B. Gunther, A.W. Popp, R. Perrelet, D. Hans, K. Lippuner</w:t>
      </w:r>
      <w:r w:rsidR="002000E5">
        <w:t xml:space="preserve"> </w:t>
      </w:r>
      <w:r w:rsidR="00F05DB3" w:rsidRPr="00E8190A">
        <w:rPr>
          <w:b/>
          <w:bCs/>
        </w:rPr>
        <w:t xml:space="preserve">Comparative effects of teriparatide and ibandronate on spine bone mineral density (BMD) and microarchitecture (TBS) in postmenopausal women with osteoporosis: a 2-year open-label </w:t>
      </w:r>
      <w:proofErr w:type="gramStart"/>
      <w:r w:rsidR="00F05DB3" w:rsidRPr="00E8190A">
        <w:rPr>
          <w:b/>
          <w:bCs/>
        </w:rPr>
        <w:t>study</w:t>
      </w:r>
      <w:r w:rsidR="002000E5">
        <w:rPr>
          <w:b/>
          <w:bCs/>
        </w:rPr>
        <w:t xml:space="preserve">  </w:t>
      </w:r>
      <w:proofErr w:type="spellStart"/>
      <w:r w:rsidR="00F05DB3" w:rsidRPr="00E8190A">
        <w:t>Osteoporos</w:t>
      </w:r>
      <w:proofErr w:type="spellEnd"/>
      <w:proofErr w:type="gramEnd"/>
      <w:r w:rsidR="00F05DB3" w:rsidRPr="00E8190A">
        <w:t>. Int., 25 (7) (2014), pp. 1945-1951</w:t>
      </w:r>
    </w:p>
    <w:p w14:paraId="02C66ACC" w14:textId="64C7630F" w:rsidR="00F05DB3" w:rsidRPr="00E8190A" w:rsidRDefault="00AE58B6" w:rsidP="004837B8">
      <w:pPr>
        <w:pStyle w:val="NoSpacing"/>
        <w:ind w:left="720" w:hanging="720"/>
      </w:pPr>
      <w:hyperlink r:id="rId155" w:anchor="bbb0140" w:history="1">
        <w:r w:rsidR="00F05DB3" w:rsidRPr="00E8190A">
          <w:rPr>
            <w:rStyle w:val="Hyperlink"/>
            <w:rFonts w:cstheme="minorHAnsi"/>
          </w:rPr>
          <w:t>Silberstein et al., 1986</w:t>
        </w:r>
      </w:hyperlink>
      <w:r w:rsidR="002000E5">
        <w:rPr>
          <w:rStyle w:val="Hyperlink"/>
          <w:rFonts w:cstheme="minorHAnsi"/>
        </w:rPr>
        <w:t xml:space="preserve"> </w:t>
      </w:r>
      <w:r w:rsidR="00F05DB3" w:rsidRPr="00E8190A">
        <w:t>L.E. Silberstein, S. </w:t>
      </w:r>
      <w:proofErr w:type="spellStart"/>
      <w:r w:rsidR="00F05DB3" w:rsidRPr="00E8190A">
        <w:t>Naryshkin</w:t>
      </w:r>
      <w:proofErr w:type="spellEnd"/>
      <w:r w:rsidR="00F05DB3" w:rsidRPr="00E8190A">
        <w:t>, J.J. Haddad, J.F. Strauss 3</w:t>
      </w:r>
      <w:r w:rsidR="00F05DB3" w:rsidRPr="002000E5">
        <w:rPr>
          <w:vertAlign w:val="superscript"/>
        </w:rPr>
        <w:t>rd</w:t>
      </w:r>
      <w:r w:rsidR="002000E5">
        <w:t xml:space="preserve"> </w:t>
      </w:r>
      <w:r w:rsidR="00F05DB3" w:rsidRPr="00E8190A">
        <w:rPr>
          <w:b/>
          <w:bCs/>
        </w:rPr>
        <w:t>Calcium homeostasis during therapeutic plasma exchange</w:t>
      </w:r>
      <w:r w:rsidR="002000E5">
        <w:rPr>
          <w:b/>
          <w:bCs/>
        </w:rPr>
        <w:t xml:space="preserve"> </w:t>
      </w:r>
      <w:r w:rsidR="00F05DB3" w:rsidRPr="00E8190A">
        <w:t>Transfusion, 26 (2) (1986), pp. 151-155</w:t>
      </w:r>
    </w:p>
    <w:p w14:paraId="1805BCDA" w14:textId="4FACEA62" w:rsidR="00F05DB3" w:rsidRPr="00E8190A" w:rsidRDefault="00AE58B6" w:rsidP="004837B8">
      <w:pPr>
        <w:pStyle w:val="NoSpacing"/>
        <w:ind w:left="720" w:hanging="720"/>
      </w:pPr>
      <w:hyperlink r:id="rId156" w:anchor="bbb0145" w:history="1">
        <w:proofErr w:type="spellStart"/>
        <w:r w:rsidR="00F05DB3" w:rsidRPr="00E8190A">
          <w:rPr>
            <w:rStyle w:val="Hyperlink"/>
            <w:rFonts w:cstheme="minorHAnsi"/>
          </w:rPr>
          <w:t>Steddon</w:t>
        </w:r>
        <w:proofErr w:type="spellEnd"/>
        <w:r w:rsidR="00F05DB3" w:rsidRPr="00E8190A">
          <w:rPr>
            <w:rStyle w:val="Hyperlink"/>
            <w:rFonts w:cstheme="minorHAnsi"/>
          </w:rPr>
          <w:t xml:space="preserve"> and Cunningham, 2005</w:t>
        </w:r>
      </w:hyperlink>
      <w:r w:rsidR="002000E5">
        <w:rPr>
          <w:rStyle w:val="Hyperlink"/>
          <w:rFonts w:cstheme="minorHAnsi"/>
        </w:rPr>
        <w:t xml:space="preserve"> </w:t>
      </w:r>
      <w:r w:rsidR="00F05DB3" w:rsidRPr="00E8190A">
        <w:t>S.J. </w:t>
      </w:r>
      <w:proofErr w:type="spellStart"/>
      <w:r w:rsidR="00F05DB3" w:rsidRPr="00E8190A">
        <w:t>Steddon</w:t>
      </w:r>
      <w:proofErr w:type="spellEnd"/>
      <w:r w:rsidR="00F05DB3" w:rsidRPr="00E8190A">
        <w:t>, J. Cunningham</w:t>
      </w:r>
      <w:r w:rsidR="002000E5">
        <w:t xml:space="preserve"> </w:t>
      </w:r>
      <w:proofErr w:type="spellStart"/>
      <w:r w:rsidR="00F05DB3" w:rsidRPr="00E8190A">
        <w:rPr>
          <w:b/>
          <w:bCs/>
        </w:rPr>
        <w:t>Calcimimetics</w:t>
      </w:r>
      <w:proofErr w:type="spellEnd"/>
      <w:r w:rsidR="00F05DB3" w:rsidRPr="00E8190A">
        <w:rPr>
          <w:b/>
          <w:bCs/>
        </w:rPr>
        <w:t xml:space="preserve"> and calcilytics—fooling the calcium receptor</w:t>
      </w:r>
      <w:r w:rsidR="002000E5">
        <w:rPr>
          <w:b/>
          <w:bCs/>
        </w:rPr>
        <w:t xml:space="preserve"> </w:t>
      </w:r>
      <w:r w:rsidR="00F05DB3" w:rsidRPr="00E8190A">
        <w:t>Lancet, 365 (9478) (2005), pp. 2237-2239</w:t>
      </w:r>
    </w:p>
    <w:p w14:paraId="50E5D7E9" w14:textId="7AE91BA1" w:rsidR="00F05DB3" w:rsidRPr="00E8190A" w:rsidRDefault="00AE58B6" w:rsidP="004837B8">
      <w:pPr>
        <w:pStyle w:val="NoSpacing"/>
        <w:ind w:left="720" w:hanging="720"/>
      </w:pPr>
      <w:hyperlink r:id="rId157" w:anchor="bbb0150" w:history="1">
        <w:r w:rsidR="00F05DB3" w:rsidRPr="00E8190A">
          <w:rPr>
            <w:rStyle w:val="Hyperlink"/>
            <w:rFonts w:cstheme="minorHAnsi"/>
          </w:rPr>
          <w:t>Szymanski, 1978</w:t>
        </w:r>
      </w:hyperlink>
      <w:r w:rsidR="002000E5">
        <w:rPr>
          <w:rStyle w:val="Hyperlink"/>
          <w:rFonts w:cstheme="minorHAnsi"/>
        </w:rPr>
        <w:t xml:space="preserve"> </w:t>
      </w:r>
      <w:r w:rsidR="00F05DB3" w:rsidRPr="00E8190A">
        <w:t>I.O. Szymanski</w:t>
      </w:r>
      <w:r w:rsidR="002000E5">
        <w:t xml:space="preserve"> </w:t>
      </w:r>
      <w:r w:rsidR="00F05DB3" w:rsidRPr="00E8190A">
        <w:rPr>
          <w:b/>
          <w:bCs/>
        </w:rPr>
        <w:t>Ionized calcium during plateletpheresis</w:t>
      </w:r>
      <w:r w:rsidR="002000E5">
        <w:rPr>
          <w:b/>
          <w:bCs/>
        </w:rPr>
        <w:t xml:space="preserve"> </w:t>
      </w:r>
      <w:r w:rsidR="00F05DB3" w:rsidRPr="00E8190A">
        <w:t>Transfusion, 18 (6) (1978), pp. 701-708</w:t>
      </w:r>
    </w:p>
    <w:p w14:paraId="3AB34FAD" w14:textId="7F000F7B" w:rsidR="00F05DB3" w:rsidRPr="00E8190A" w:rsidRDefault="00AE58B6" w:rsidP="004837B8">
      <w:pPr>
        <w:pStyle w:val="NoSpacing"/>
        <w:ind w:left="720" w:hanging="720"/>
      </w:pPr>
      <w:hyperlink r:id="rId158" w:anchor="bbb0155" w:history="1">
        <w:r w:rsidR="00F05DB3" w:rsidRPr="00E8190A">
          <w:rPr>
            <w:rStyle w:val="Hyperlink"/>
            <w:rFonts w:cstheme="minorHAnsi"/>
          </w:rPr>
          <w:t>Team RC, 2015</w:t>
        </w:r>
      </w:hyperlink>
      <w:r w:rsidR="002000E5">
        <w:rPr>
          <w:rStyle w:val="Hyperlink"/>
          <w:rFonts w:cstheme="minorHAnsi"/>
        </w:rPr>
        <w:t xml:space="preserve"> </w:t>
      </w:r>
      <w:r w:rsidR="00F05DB3" w:rsidRPr="00E8190A">
        <w:t>Team RC</w:t>
      </w:r>
      <w:r w:rsidR="002000E5">
        <w:t xml:space="preserve"> </w:t>
      </w:r>
      <w:r w:rsidR="00F05DB3" w:rsidRPr="00E8190A">
        <w:rPr>
          <w:b/>
          <w:bCs/>
        </w:rPr>
        <w:t>R: A Language and Environment for Statistical Computing</w:t>
      </w:r>
      <w:r w:rsidR="002000E5">
        <w:rPr>
          <w:b/>
          <w:bCs/>
        </w:rPr>
        <w:t xml:space="preserve"> </w:t>
      </w:r>
      <w:r w:rsidR="00F05DB3" w:rsidRPr="00E8190A">
        <w:t>R Foundation for Statistical Computing, Vienna, Austria (2015)</w:t>
      </w:r>
    </w:p>
    <w:p w14:paraId="3E20940D" w14:textId="44EBA83A" w:rsidR="00F05DB3" w:rsidRPr="00E8190A" w:rsidRDefault="00AE58B6" w:rsidP="004837B8">
      <w:pPr>
        <w:pStyle w:val="NoSpacing"/>
        <w:ind w:left="720" w:hanging="720"/>
      </w:pPr>
      <w:hyperlink r:id="rId159" w:anchor="bbb0160" w:history="1">
        <w:r w:rsidR="00F05DB3" w:rsidRPr="00E8190A">
          <w:rPr>
            <w:rStyle w:val="Hyperlink"/>
            <w:rFonts w:cstheme="minorHAnsi"/>
          </w:rPr>
          <w:t>Densitometry TISfC, 2007</w:t>
        </w:r>
      </w:hyperlink>
      <w:r w:rsidR="002000E5">
        <w:rPr>
          <w:rStyle w:val="Hyperlink"/>
          <w:rFonts w:cstheme="minorHAnsi"/>
        </w:rPr>
        <w:t xml:space="preserve"> </w:t>
      </w:r>
      <w:r w:rsidR="00F05DB3" w:rsidRPr="00E8190A">
        <w:t xml:space="preserve">Densitometry </w:t>
      </w:r>
      <w:proofErr w:type="spellStart"/>
      <w:r w:rsidR="00F05DB3" w:rsidRPr="00E8190A">
        <w:t>TISfC</w:t>
      </w:r>
      <w:proofErr w:type="spellEnd"/>
      <w:r w:rsidR="002000E5">
        <w:t xml:space="preserve"> </w:t>
      </w:r>
      <w:r w:rsidR="00F05DB3" w:rsidRPr="00E8190A">
        <w:rPr>
          <w:b/>
          <w:bCs/>
        </w:rPr>
        <w:t>ISCD Official Positions</w:t>
      </w:r>
      <w:r w:rsidR="002000E5">
        <w:rPr>
          <w:b/>
          <w:bCs/>
        </w:rPr>
        <w:t xml:space="preserve"> </w:t>
      </w:r>
      <w:r w:rsidR="00F05DB3" w:rsidRPr="00E8190A">
        <w:t>[updated December 27, 2012]. Available from:</w:t>
      </w:r>
      <w:r w:rsidR="002000E5">
        <w:t xml:space="preserve"> </w:t>
      </w:r>
      <w:hyperlink r:id="rId160" w:tgtFrame="_blank" w:history="1">
        <w:r w:rsidR="00F05DB3" w:rsidRPr="00E8190A">
          <w:rPr>
            <w:rStyle w:val="Hyperlink"/>
            <w:rFonts w:cstheme="minorHAnsi"/>
          </w:rPr>
          <w:t>http://www.iscd.org/official-positions/official-positions</w:t>
        </w:r>
      </w:hyperlink>
      <w:r w:rsidR="00F05DB3" w:rsidRPr="00E8190A">
        <w:t> (2007)</w:t>
      </w:r>
    </w:p>
    <w:p w14:paraId="360A27CB" w14:textId="2AAD609D" w:rsidR="00F05DB3" w:rsidRPr="00E8190A" w:rsidRDefault="00AE58B6" w:rsidP="004837B8">
      <w:pPr>
        <w:pStyle w:val="NoSpacing"/>
        <w:ind w:left="720" w:hanging="720"/>
      </w:pPr>
      <w:hyperlink r:id="rId161" w:anchor="bbb0165" w:history="1">
        <w:proofErr w:type="spellStart"/>
        <w:r w:rsidR="00F05DB3" w:rsidRPr="00E8190A">
          <w:rPr>
            <w:rStyle w:val="Hyperlink"/>
            <w:rFonts w:cstheme="minorHAnsi"/>
          </w:rPr>
          <w:t>Toffaletti</w:t>
        </w:r>
        <w:proofErr w:type="spellEnd"/>
        <w:r w:rsidR="00F05DB3" w:rsidRPr="00E8190A">
          <w:rPr>
            <w:rStyle w:val="Hyperlink"/>
            <w:rFonts w:cstheme="minorHAnsi"/>
          </w:rPr>
          <w:t xml:space="preserve"> et al., 1985</w:t>
        </w:r>
      </w:hyperlink>
      <w:r w:rsidR="002000E5">
        <w:rPr>
          <w:rStyle w:val="Hyperlink"/>
          <w:rFonts w:cstheme="minorHAnsi"/>
        </w:rPr>
        <w:t xml:space="preserve"> </w:t>
      </w:r>
      <w:r w:rsidR="00F05DB3" w:rsidRPr="00E8190A">
        <w:t>J. </w:t>
      </w:r>
      <w:proofErr w:type="spellStart"/>
      <w:r w:rsidR="00F05DB3" w:rsidRPr="00E8190A">
        <w:t>Toffaletti</w:t>
      </w:r>
      <w:proofErr w:type="spellEnd"/>
      <w:r w:rsidR="00F05DB3" w:rsidRPr="00E8190A">
        <w:t>, R. </w:t>
      </w:r>
      <w:proofErr w:type="spellStart"/>
      <w:r w:rsidR="00F05DB3" w:rsidRPr="00E8190A">
        <w:t>Nissenson</w:t>
      </w:r>
      <w:proofErr w:type="spellEnd"/>
      <w:r w:rsidR="00F05DB3" w:rsidRPr="00E8190A">
        <w:t>, D. Endres, E. McGarry, G. Mogollon</w:t>
      </w:r>
      <w:r w:rsidR="002000E5">
        <w:t xml:space="preserve"> </w:t>
      </w:r>
      <w:r w:rsidR="00F05DB3" w:rsidRPr="00E8190A">
        <w:rPr>
          <w:b/>
          <w:bCs/>
        </w:rPr>
        <w:t xml:space="preserve">Influence of continuous infusion of citrate on responses of immunoreactive parathyroid hormone, calcium and magnesium components, and other electrolytes in normal adults during </w:t>
      </w:r>
      <w:proofErr w:type="spellStart"/>
      <w:r w:rsidR="00F05DB3" w:rsidRPr="00E8190A">
        <w:rPr>
          <w:b/>
          <w:bCs/>
        </w:rPr>
        <w:t>plateletapheresis</w:t>
      </w:r>
      <w:proofErr w:type="spellEnd"/>
      <w:r w:rsidR="002000E5">
        <w:rPr>
          <w:b/>
          <w:bCs/>
        </w:rPr>
        <w:t xml:space="preserve"> </w:t>
      </w:r>
      <w:r w:rsidR="00F05DB3" w:rsidRPr="00E8190A">
        <w:t xml:space="preserve">J. Clin. Endocrinol. </w:t>
      </w:r>
      <w:proofErr w:type="spellStart"/>
      <w:r w:rsidR="00F05DB3" w:rsidRPr="00E8190A">
        <w:t>Metab</w:t>
      </w:r>
      <w:proofErr w:type="spellEnd"/>
      <w:r w:rsidR="00F05DB3" w:rsidRPr="00E8190A">
        <w:t>., 60 (5) (1985), pp. 874-879</w:t>
      </w:r>
    </w:p>
    <w:p w14:paraId="78BFC3E0" w14:textId="1AB474BC" w:rsidR="00F05DB3" w:rsidRPr="00E8190A" w:rsidRDefault="00AE58B6" w:rsidP="004837B8">
      <w:pPr>
        <w:pStyle w:val="NoSpacing"/>
        <w:ind w:left="720" w:hanging="720"/>
      </w:pPr>
      <w:hyperlink r:id="rId162" w:anchor="bbb0170" w:history="1">
        <w:r w:rsidR="00F05DB3" w:rsidRPr="00E8190A">
          <w:rPr>
            <w:rStyle w:val="Hyperlink"/>
            <w:rFonts w:cstheme="minorHAnsi"/>
          </w:rPr>
          <w:t>Weiss et al., 1980</w:t>
        </w:r>
      </w:hyperlink>
      <w:r w:rsidR="002000E5">
        <w:rPr>
          <w:rStyle w:val="Hyperlink"/>
          <w:rFonts w:cstheme="minorHAnsi"/>
        </w:rPr>
        <w:t xml:space="preserve"> </w:t>
      </w:r>
      <w:r w:rsidR="00F05DB3" w:rsidRPr="00E8190A">
        <w:t>N.S. Weiss, C.L. </w:t>
      </w:r>
      <w:proofErr w:type="spellStart"/>
      <w:r w:rsidR="00F05DB3" w:rsidRPr="00E8190A">
        <w:t>Ure</w:t>
      </w:r>
      <w:proofErr w:type="spellEnd"/>
      <w:r w:rsidR="00F05DB3" w:rsidRPr="00E8190A">
        <w:t>, J.H. Ballard, A.R. Williams, J.R. </w:t>
      </w:r>
      <w:proofErr w:type="spellStart"/>
      <w:r w:rsidR="00F05DB3" w:rsidRPr="00E8190A">
        <w:t>Daling</w:t>
      </w:r>
      <w:proofErr w:type="spellEnd"/>
      <w:r w:rsidR="002000E5">
        <w:t xml:space="preserve"> </w:t>
      </w:r>
      <w:r w:rsidR="00F05DB3" w:rsidRPr="00E8190A">
        <w:rPr>
          <w:b/>
          <w:bCs/>
        </w:rPr>
        <w:t>Decreased risk of fractures of the hip and lower forearm with postmenopausal use of estrogen</w:t>
      </w:r>
      <w:r w:rsidR="002000E5">
        <w:rPr>
          <w:b/>
          <w:bCs/>
        </w:rPr>
        <w:t xml:space="preserve"> </w:t>
      </w:r>
      <w:r w:rsidR="00F05DB3" w:rsidRPr="00E8190A">
        <w:t>N. Engl. J. Med., 303 (21) (1980), pp. 1195-1198</w:t>
      </w:r>
    </w:p>
    <w:p w14:paraId="26EBA6B9" w14:textId="77777777" w:rsidR="00E86E48" w:rsidRPr="00E8190A" w:rsidRDefault="00E86E48" w:rsidP="004837B8">
      <w:pPr>
        <w:pStyle w:val="NoSpacing"/>
        <w:ind w:left="720" w:hanging="720"/>
      </w:pPr>
    </w:p>
    <w:sectPr w:rsidR="00E86E48" w:rsidRPr="00E8190A" w:rsidSect="0029459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62281"/>
    <w:multiLevelType w:val="multilevel"/>
    <w:tmpl w:val="F2B00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4605B5"/>
    <w:multiLevelType w:val="multilevel"/>
    <w:tmpl w:val="32D47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226F02"/>
    <w:multiLevelType w:val="multilevel"/>
    <w:tmpl w:val="F4146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2AC49EC"/>
    <w:multiLevelType w:val="hybridMultilevel"/>
    <w:tmpl w:val="EF7AB9F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59A26BB2"/>
    <w:multiLevelType w:val="multilevel"/>
    <w:tmpl w:val="D576C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85799C"/>
    <w:multiLevelType w:val="multilevel"/>
    <w:tmpl w:val="4106F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4094D38"/>
    <w:multiLevelType w:val="hybridMultilevel"/>
    <w:tmpl w:val="4FD64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H88aINmtY3lAUecn5j3Aehmsd21imyQYbkWj7YRJp6Oj9IxBZDxINH1awZJmmayp9jNbB5ieJ8aQtfJj7ql3cQ==" w:salt="98yzBrRz3FPjO5wDo8pX9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1C9B"/>
    <w:rsid w:val="00064ECB"/>
    <w:rsid w:val="00071537"/>
    <w:rsid w:val="00072612"/>
    <w:rsid w:val="000735D6"/>
    <w:rsid w:val="00074B64"/>
    <w:rsid w:val="000769FD"/>
    <w:rsid w:val="00077000"/>
    <w:rsid w:val="000805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078"/>
    <w:rsid w:val="000F0449"/>
    <w:rsid w:val="000F08DA"/>
    <w:rsid w:val="000F14F0"/>
    <w:rsid w:val="000F1D5E"/>
    <w:rsid w:val="000F33D0"/>
    <w:rsid w:val="000F7B03"/>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02DF"/>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0A66"/>
    <w:rsid w:val="001F70BC"/>
    <w:rsid w:val="001F7FBE"/>
    <w:rsid w:val="002000E5"/>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459B"/>
    <w:rsid w:val="00296B90"/>
    <w:rsid w:val="00297296"/>
    <w:rsid w:val="002A0668"/>
    <w:rsid w:val="002A6B8B"/>
    <w:rsid w:val="002A7852"/>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0A82"/>
    <w:rsid w:val="00300EE4"/>
    <w:rsid w:val="0030197F"/>
    <w:rsid w:val="0030223E"/>
    <w:rsid w:val="00303A1E"/>
    <w:rsid w:val="00303BBD"/>
    <w:rsid w:val="00313440"/>
    <w:rsid w:val="00314FCD"/>
    <w:rsid w:val="00324290"/>
    <w:rsid w:val="00331737"/>
    <w:rsid w:val="0033243D"/>
    <w:rsid w:val="00335B90"/>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1A91"/>
    <w:rsid w:val="003B47FA"/>
    <w:rsid w:val="003B6208"/>
    <w:rsid w:val="003B7F8F"/>
    <w:rsid w:val="003C4172"/>
    <w:rsid w:val="003C437D"/>
    <w:rsid w:val="003C4456"/>
    <w:rsid w:val="003D3301"/>
    <w:rsid w:val="003D4641"/>
    <w:rsid w:val="003E05B7"/>
    <w:rsid w:val="003E0C0A"/>
    <w:rsid w:val="003E6CFF"/>
    <w:rsid w:val="004010E3"/>
    <w:rsid w:val="00402129"/>
    <w:rsid w:val="004055B8"/>
    <w:rsid w:val="0040709D"/>
    <w:rsid w:val="004122F9"/>
    <w:rsid w:val="004124D3"/>
    <w:rsid w:val="004139BA"/>
    <w:rsid w:val="00421CBC"/>
    <w:rsid w:val="0043008C"/>
    <w:rsid w:val="00430B91"/>
    <w:rsid w:val="004374EF"/>
    <w:rsid w:val="00440F61"/>
    <w:rsid w:val="00441C8F"/>
    <w:rsid w:val="004441CB"/>
    <w:rsid w:val="004471D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470"/>
    <w:rsid w:val="004816ED"/>
    <w:rsid w:val="004834F0"/>
    <w:rsid w:val="004837B8"/>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0B64"/>
    <w:rsid w:val="004D118A"/>
    <w:rsid w:val="004D1CB9"/>
    <w:rsid w:val="004D21C9"/>
    <w:rsid w:val="004E34F8"/>
    <w:rsid w:val="004E3C84"/>
    <w:rsid w:val="004E528B"/>
    <w:rsid w:val="004E7F8C"/>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56FDA"/>
    <w:rsid w:val="005605E4"/>
    <w:rsid w:val="005627C0"/>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0B7C"/>
    <w:rsid w:val="005B47BC"/>
    <w:rsid w:val="005C00EC"/>
    <w:rsid w:val="005C15C9"/>
    <w:rsid w:val="005C30E9"/>
    <w:rsid w:val="005C663B"/>
    <w:rsid w:val="005D1C38"/>
    <w:rsid w:val="005D1ED6"/>
    <w:rsid w:val="005D747F"/>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655"/>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5D62"/>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46F94"/>
    <w:rsid w:val="00757D89"/>
    <w:rsid w:val="0076194B"/>
    <w:rsid w:val="00763676"/>
    <w:rsid w:val="00770291"/>
    <w:rsid w:val="00772776"/>
    <w:rsid w:val="00776E56"/>
    <w:rsid w:val="00781619"/>
    <w:rsid w:val="0079146B"/>
    <w:rsid w:val="00791DD5"/>
    <w:rsid w:val="00796875"/>
    <w:rsid w:val="0079756E"/>
    <w:rsid w:val="007A1233"/>
    <w:rsid w:val="007A258F"/>
    <w:rsid w:val="007A3B3A"/>
    <w:rsid w:val="007B0BBA"/>
    <w:rsid w:val="007B7EBF"/>
    <w:rsid w:val="007C16F7"/>
    <w:rsid w:val="007D25DB"/>
    <w:rsid w:val="007D27FD"/>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0EED"/>
    <w:rsid w:val="008322E3"/>
    <w:rsid w:val="00834DF7"/>
    <w:rsid w:val="00836F01"/>
    <w:rsid w:val="008406F5"/>
    <w:rsid w:val="00841F1E"/>
    <w:rsid w:val="00842203"/>
    <w:rsid w:val="00850E3E"/>
    <w:rsid w:val="00864432"/>
    <w:rsid w:val="008649A3"/>
    <w:rsid w:val="0086670A"/>
    <w:rsid w:val="00866D07"/>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3893"/>
    <w:rsid w:val="00984B39"/>
    <w:rsid w:val="00986A83"/>
    <w:rsid w:val="00990645"/>
    <w:rsid w:val="009A130B"/>
    <w:rsid w:val="009A2639"/>
    <w:rsid w:val="009A397F"/>
    <w:rsid w:val="009B4F83"/>
    <w:rsid w:val="009B6983"/>
    <w:rsid w:val="009C1F3E"/>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7820"/>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0CBD"/>
    <w:rsid w:val="00A52369"/>
    <w:rsid w:val="00A52A88"/>
    <w:rsid w:val="00A55701"/>
    <w:rsid w:val="00A56ED1"/>
    <w:rsid w:val="00A648A4"/>
    <w:rsid w:val="00A650B2"/>
    <w:rsid w:val="00A704D4"/>
    <w:rsid w:val="00A7290A"/>
    <w:rsid w:val="00A75006"/>
    <w:rsid w:val="00A81E28"/>
    <w:rsid w:val="00A82932"/>
    <w:rsid w:val="00A82D07"/>
    <w:rsid w:val="00A868FB"/>
    <w:rsid w:val="00A915ED"/>
    <w:rsid w:val="00A91CF2"/>
    <w:rsid w:val="00A93BA4"/>
    <w:rsid w:val="00A9416E"/>
    <w:rsid w:val="00AA493D"/>
    <w:rsid w:val="00AB4807"/>
    <w:rsid w:val="00AB4813"/>
    <w:rsid w:val="00AB59D7"/>
    <w:rsid w:val="00AC0052"/>
    <w:rsid w:val="00AC04D6"/>
    <w:rsid w:val="00AD0685"/>
    <w:rsid w:val="00AD38C1"/>
    <w:rsid w:val="00AD5A78"/>
    <w:rsid w:val="00AE1517"/>
    <w:rsid w:val="00AE4078"/>
    <w:rsid w:val="00AE4230"/>
    <w:rsid w:val="00AE58B6"/>
    <w:rsid w:val="00AE69D7"/>
    <w:rsid w:val="00AE71AA"/>
    <w:rsid w:val="00AF1374"/>
    <w:rsid w:val="00AF1E8A"/>
    <w:rsid w:val="00AF2DE8"/>
    <w:rsid w:val="00AF5947"/>
    <w:rsid w:val="00AF692A"/>
    <w:rsid w:val="00AF6D69"/>
    <w:rsid w:val="00AF7626"/>
    <w:rsid w:val="00B03D08"/>
    <w:rsid w:val="00B05A65"/>
    <w:rsid w:val="00B05BF7"/>
    <w:rsid w:val="00B079F6"/>
    <w:rsid w:val="00B1094A"/>
    <w:rsid w:val="00B129D1"/>
    <w:rsid w:val="00B12F61"/>
    <w:rsid w:val="00B14CBC"/>
    <w:rsid w:val="00B1760D"/>
    <w:rsid w:val="00B17FF0"/>
    <w:rsid w:val="00B2793D"/>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4A7D"/>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2BAC"/>
    <w:rsid w:val="00CD139B"/>
    <w:rsid w:val="00CD5E59"/>
    <w:rsid w:val="00CD7831"/>
    <w:rsid w:val="00CE05D4"/>
    <w:rsid w:val="00CE4563"/>
    <w:rsid w:val="00CE4712"/>
    <w:rsid w:val="00CE52EA"/>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19B7"/>
    <w:rsid w:val="00D42AE0"/>
    <w:rsid w:val="00D43F4A"/>
    <w:rsid w:val="00D45330"/>
    <w:rsid w:val="00D45705"/>
    <w:rsid w:val="00D45A48"/>
    <w:rsid w:val="00D45DB8"/>
    <w:rsid w:val="00D45FAE"/>
    <w:rsid w:val="00D505CD"/>
    <w:rsid w:val="00D50821"/>
    <w:rsid w:val="00D52D25"/>
    <w:rsid w:val="00D65A57"/>
    <w:rsid w:val="00D66306"/>
    <w:rsid w:val="00D66B18"/>
    <w:rsid w:val="00D71631"/>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49BB"/>
    <w:rsid w:val="00DF5D02"/>
    <w:rsid w:val="00DF6125"/>
    <w:rsid w:val="00E0468C"/>
    <w:rsid w:val="00E13E05"/>
    <w:rsid w:val="00E15784"/>
    <w:rsid w:val="00E16734"/>
    <w:rsid w:val="00E17682"/>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90A"/>
    <w:rsid w:val="00E81F85"/>
    <w:rsid w:val="00E8413D"/>
    <w:rsid w:val="00E84C2A"/>
    <w:rsid w:val="00E86E48"/>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5DB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E86E4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86E4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86E48"/>
    <w:rPr>
      <w:color w:val="0000FF"/>
      <w:u w:val="single"/>
    </w:rPr>
  </w:style>
  <w:style w:type="character" w:styleId="FollowedHyperlink">
    <w:name w:val="FollowedHyperlink"/>
    <w:basedOn w:val="DefaultParagraphFont"/>
    <w:uiPriority w:val="99"/>
    <w:semiHidden/>
    <w:unhideWhenUsed/>
    <w:rsid w:val="00E86E48"/>
    <w:rPr>
      <w:color w:val="800080"/>
      <w:u w:val="single"/>
    </w:rPr>
  </w:style>
  <w:style w:type="paragraph" w:customStyle="1" w:styleId="previous">
    <w:name w:val="previous"/>
    <w:basedOn w:val="Normal"/>
    <w:rsid w:val="00E86E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E86E48"/>
  </w:style>
  <w:style w:type="character" w:customStyle="1" w:styleId="extra-detail-1">
    <w:name w:val="extra-detail-1"/>
    <w:basedOn w:val="DefaultParagraphFont"/>
    <w:rsid w:val="00E86E48"/>
  </w:style>
  <w:style w:type="character" w:customStyle="1" w:styleId="extra-detail-2">
    <w:name w:val="extra-detail-2"/>
    <w:basedOn w:val="DefaultParagraphFont"/>
    <w:rsid w:val="00E86E48"/>
  </w:style>
  <w:style w:type="paragraph" w:customStyle="1" w:styleId="next">
    <w:name w:val="next"/>
    <w:basedOn w:val="Normal"/>
    <w:rsid w:val="00E86E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E86E48"/>
  </w:style>
  <w:style w:type="character" w:customStyle="1" w:styleId="anchor-text">
    <w:name w:val="anchor-text"/>
    <w:basedOn w:val="DefaultParagraphFont"/>
    <w:rsid w:val="00E86E48"/>
  </w:style>
  <w:style w:type="character" w:customStyle="1" w:styleId="label">
    <w:name w:val="label"/>
    <w:basedOn w:val="DefaultParagraphFont"/>
    <w:rsid w:val="00E86E48"/>
  </w:style>
  <w:style w:type="character" w:styleId="UnresolvedMention">
    <w:name w:val="Unresolved Mention"/>
    <w:basedOn w:val="DefaultParagraphFont"/>
    <w:uiPriority w:val="99"/>
    <w:semiHidden/>
    <w:unhideWhenUsed/>
    <w:rsid w:val="00F05D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83319">
      <w:bodyDiv w:val="1"/>
      <w:marLeft w:val="0"/>
      <w:marRight w:val="0"/>
      <w:marTop w:val="0"/>
      <w:marBottom w:val="0"/>
      <w:divBdr>
        <w:top w:val="none" w:sz="0" w:space="0" w:color="auto"/>
        <w:left w:val="none" w:sz="0" w:space="0" w:color="auto"/>
        <w:bottom w:val="none" w:sz="0" w:space="0" w:color="auto"/>
        <w:right w:val="none" w:sz="0" w:space="0" w:color="auto"/>
      </w:divBdr>
      <w:divsChild>
        <w:div w:id="1138576042">
          <w:marLeft w:val="0"/>
          <w:marRight w:val="0"/>
          <w:marTop w:val="0"/>
          <w:marBottom w:val="0"/>
          <w:divBdr>
            <w:top w:val="none" w:sz="0" w:space="0" w:color="auto"/>
            <w:left w:val="none" w:sz="0" w:space="0" w:color="auto"/>
            <w:bottom w:val="none" w:sz="0" w:space="0" w:color="auto"/>
            <w:right w:val="none" w:sz="0" w:space="0" w:color="auto"/>
          </w:divBdr>
          <w:divsChild>
            <w:div w:id="1829636629">
              <w:marLeft w:val="0"/>
              <w:marRight w:val="0"/>
              <w:marTop w:val="0"/>
              <w:marBottom w:val="120"/>
              <w:divBdr>
                <w:top w:val="none" w:sz="0" w:space="0" w:color="auto"/>
                <w:left w:val="none" w:sz="0" w:space="0" w:color="auto"/>
                <w:bottom w:val="none" w:sz="0" w:space="0" w:color="auto"/>
                <w:right w:val="none" w:sz="0" w:space="0" w:color="auto"/>
              </w:divBdr>
              <w:divsChild>
                <w:div w:id="1271932872">
                  <w:marLeft w:val="0"/>
                  <w:marRight w:val="0"/>
                  <w:marTop w:val="0"/>
                  <w:marBottom w:val="0"/>
                  <w:divBdr>
                    <w:top w:val="none" w:sz="0" w:space="0" w:color="auto"/>
                    <w:left w:val="none" w:sz="0" w:space="0" w:color="auto"/>
                    <w:bottom w:val="none" w:sz="0" w:space="0" w:color="auto"/>
                    <w:right w:val="none" w:sz="0" w:space="0" w:color="auto"/>
                  </w:divBdr>
                </w:div>
                <w:div w:id="659887728">
                  <w:marLeft w:val="0"/>
                  <w:marRight w:val="0"/>
                  <w:marTop w:val="0"/>
                  <w:marBottom w:val="0"/>
                  <w:divBdr>
                    <w:top w:val="none" w:sz="0" w:space="0" w:color="auto"/>
                    <w:left w:val="none" w:sz="0" w:space="0" w:color="auto"/>
                    <w:bottom w:val="none" w:sz="0" w:space="0" w:color="auto"/>
                    <w:right w:val="none" w:sz="0" w:space="0" w:color="auto"/>
                  </w:divBdr>
                </w:div>
                <w:div w:id="1215774414">
                  <w:marLeft w:val="0"/>
                  <w:marRight w:val="0"/>
                  <w:marTop w:val="0"/>
                  <w:marBottom w:val="0"/>
                  <w:divBdr>
                    <w:top w:val="none" w:sz="0" w:space="0" w:color="auto"/>
                    <w:left w:val="none" w:sz="0" w:space="0" w:color="auto"/>
                    <w:bottom w:val="none" w:sz="0" w:space="0" w:color="auto"/>
                    <w:right w:val="none" w:sz="0" w:space="0" w:color="auto"/>
                  </w:divBdr>
                </w:div>
                <w:div w:id="42753389">
                  <w:marLeft w:val="0"/>
                  <w:marRight w:val="0"/>
                  <w:marTop w:val="0"/>
                  <w:marBottom w:val="0"/>
                  <w:divBdr>
                    <w:top w:val="none" w:sz="0" w:space="0" w:color="auto"/>
                    <w:left w:val="none" w:sz="0" w:space="0" w:color="auto"/>
                    <w:bottom w:val="none" w:sz="0" w:space="0" w:color="auto"/>
                    <w:right w:val="none" w:sz="0" w:space="0" w:color="auto"/>
                  </w:divBdr>
                </w:div>
                <w:div w:id="119361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27422">
          <w:marLeft w:val="0"/>
          <w:marRight w:val="0"/>
          <w:marTop w:val="0"/>
          <w:marBottom w:val="480"/>
          <w:divBdr>
            <w:top w:val="none" w:sz="0" w:space="0" w:color="auto"/>
            <w:left w:val="none" w:sz="0" w:space="0" w:color="auto"/>
            <w:bottom w:val="single" w:sz="12" w:space="24" w:color="EBEBEB"/>
            <w:right w:val="none" w:sz="0" w:space="0" w:color="auto"/>
          </w:divBdr>
          <w:divsChild>
            <w:div w:id="1450004603">
              <w:marLeft w:val="0"/>
              <w:marRight w:val="0"/>
              <w:marTop w:val="0"/>
              <w:marBottom w:val="0"/>
              <w:divBdr>
                <w:top w:val="none" w:sz="0" w:space="0" w:color="auto"/>
                <w:left w:val="none" w:sz="0" w:space="0" w:color="auto"/>
                <w:bottom w:val="none" w:sz="0" w:space="0" w:color="auto"/>
                <w:right w:val="none" w:sz="0" w:space="0" w:color="auto"/>
              </w:divBdr>
              <w:divsChild>
                <w:div w:id="1726947961">
                  <w:marLeft w:val="0"/>
                  <w:marRight w:val="0"/>
                  <w:marTop w:val="0"/>
                  <w:marBottom w:val="0"/>
                  <w:divBdr>
                    <w:top w:val="none" w:sz="0" w:space="0" w:color="auto"/>
                    <w:left w:val="none" w:sz="0" w:space="0" w:color="auto"/>
                    <w:bottom w:val="none" w:sz="0" w:space="0" w:color="auto"/>
                    <w:right w:val="none" w:sz="0" w:space="0" w:color="auto"/>
                  </w:divBdr>
                </w:div>
                <w:div w:id="298263082">
                  <w:marLeft w:val="0"/>
                  <w:marRight w:val="0"/>
                  <w:marTop w:val="0"/>
                  <w:marBottom w:val="0"/>
                  <w:divBdr>
                    <w:top w:val="none" w:sz="0" w:space="0" w:color="auto"/>
                    <w:left w:val="none" w:sz="0" w:space="0" w:color="auto"/>
                    <w:bottom w:val="none" w:sz="0" w:space="0" w:color="auto"/>
                    <w:right w:val="none" w:sz="0" w:space="0" w:color="auto"/>
                  </w:divBdr>
                </w:div>
                <w:div w:id="1155299940">
                  <w:marLeft w:val="0"/>
                  <w:marRight w:val="0"/>
                  <w:marTop w:val="0"/>
                  <w:marBottom w:val="0"/>
                  <w:divBdr>
                    <w:top w:val="none" w:sz="0" w:space="0" w:color="auto"/>
                    <w:left w:val="none" w:sz="0" w:space="0" w:color="auto"/>
                    <w:bottom w:val="none" w:sz="0" w:space="0" w:color="auto"/>
                    <w:right w:val="none" w:sz="0" w:space="0" w:color="auto"/>
                  </w:divBdr>
                </w:div>
                <w:div w:id="17775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64736">
          <w:marLeft w:val="0"/>
          <w:marRight w:val="0"/>
          <w:marTop w:val="0"/>
          <w:marBottom w:val="0"/>
          <w:divBdr>
            <w:top w:val="none" w:sz="0" w:space="0" w:color="auto"/>
            <w:left w:val="none" w:sz="0" w:space="0" w:color="auto"/>
            <w:bottom w:val="none" w:sz="0" w:space="0" w:color="auto"/>
            <w:right w:val="none" w:sz="0" w:space="0" w:color="auto"/>
          </w:divBdr>
          <w:divsChild>
            <w:div w:id="571742907">
              <w:marLeft w:val="0"/>
              <w:marRight w:val="0"/>
              <w:marTop w:val="0"/>
              <w:marBottom w:val="0"/>
              <w:divBdr>
                <w:top w:val="none" w:sz="0" w:space="0" w:color="auto"/>
                <w:left w:val="none" w:sz="0" w:space="0" w:color="auto"/>
                <w:bottom w:val="none" w:sz="0" w:space="0" w:color="auto"/>
                <w:right w:val="none" w:sz="0" w:space="0" w:color="auto"/>
              </w:divBdr>
              <w:divsChild>
                <w:div w:id="237717427">
                  <w:marLeft w:val="0"/>
                  <w:marRight w:val="0"/>
                  <w:marTop w:val="240"/>
                  <w:marBottom w:val="240"/>
                  <w:divBdr>
                    <w:top w:val="none" w:sz="0" w:space="0" w:color="auto"/>
                    <w:left w:val="none" w:sz="0" w:space="0" w:color="auto"/>
                    <w:bottom w:val="none" w:sz="0" w:space="0" w:color="auto"/>
                    <w:right w:val="none" w:sz="0" w:space="0" w:color="auto"/>
                  </w:divBdr>
                  <w:divsChild>
                    <w:div w:id="845827421">
                      <w:marLeft w:val="0"/>
                      <w:marRight w:val="0"/>
                      <w:marTop w:val="0"/>
                      <w:marBottom w:val="0"/>
                      <w:divBdr>
                        <w:top w:val="none" w:sz="0" w:space="0" w:color="auto"/>
                        <w:left w:val="none" w:sz="0" w:space="0" w:color="auto"/>
                        <w:bottom w:val="none" w:sz="0" w:space="0" w:color="auto"/>
                        <w:right w:val="none" w:sz="0" w:space="0" w:color="auto"/>
                      </w:divBdr>
                    </w:div>
                  </w:divsChild>
                </w:div>
                <w:div w:id="1285113226">
                  <w:marLeft w:val="0"/>
                  <w:marRight w:val="0"/>
                  <w:marTop w:val="0"/>
                  <w:marBottom w:val="0"/>
                  <w:divBdr>
                    <w:top w:val="none" w:sz="0" w:space="0" w:color="auto"/>
                    <w:left w:val="none" w:sz="0" w:space="0" w:color="auto"/>
                    <w:bottom w:val="none" w:sz="0" w:space="0" w:color="auto"/>
                    <w:right w:val="none" w:sz="0" w:space="0" w:color="auto"/>
                  </w:divBdr>
                  <w:divsChild>
                    <w:div w:id="1678657783">
                      <w:marLeft w:val="360"/>
                      <w:marRight w:val="360"/>
                      <w:marTop w:val="240"/>
                      <w:marBottom w:val="240"/>
                      <w:divBdr>
                        <w:top w:val="none" w:sz="0" w:space="0" w:color="auto"/>
                        <w:left w:val="none" w:sz="0" w:space="0" w:color="auto"/>
                        <w:bottom w:val="none" w:sz="0" w:space="0" w:color="auto"/>
                        <w:right w:val="none" w:sz="0" w:space="0" w:color="auto"/>
                      </w:divBdr>
                    </w:div>
                  </w:divsChild>
                </w:div>
                <w:div w:id="940529106">
                  <w:marLeft w:val="0"/>
                  <w:marRight w:val="0"/>
                  <w:marTop w:val="0"/>
                  <w:marBottom w:val="0"/>
                  <w:divBdr>
                    <w:top w:val="none" w:sz="0" w:space="0" w:color="auto"/>
                    <w:left w:val="none" w:sz="0" w:space="0" w:color="auto"/>
                    <w:bottom w:val="none" w:sz="0" w:space="0" w:color="auto"/>
                    <w:right w:val="none" w:sz="0" w:space="0" w:color="auto"/>
                  </w:divBdr>
                  <w:divsChild>
                    <w:div w:id="579142140">
                      <w:marLeft w:val="0"/>
                      <w:marRight w:val="0"/>
                      <w:marTop w:val="240"/>
                      <w:marBottom w:val="240"/>
                      <w:divBdr>
                        <w:top w:val="single" w:sz="12" w:space="0" w:color="EBEBEB"/>
                        <w:left w:val="none" w:sz="0" w:space="0" w:color="auto"/>
                        <w:bottom w:val="single" w:sz="12" w:space="0" w:color="EBEBEB"/>
                        <w:right w:val="none" w:sz="0" w:space="0" w:color="auto"/>
                      </w:divBdr>
                      <w:divsChild>
                        <w:div w:id="1754544464">
                          <w:marLeft w:val="360"/>
                          <w:marRight w:val="360"/>
                          <w:marTop w:val="240"/>
                          <w:marBottom w:val="240"/>
                          <w:divBdr>
                            <w:top w:val="none" w:sz="0" w:space="0" w:color="auto"/>
                            <w:left w:val="none" w:sz="0" w:space="0" w:color="auto"/>
                            <w:bottom w:val="none" w:sz="0" w:space="0" w:color="auto"/>
                            <w:right w:val="none" w:sz="0" w:space="0" w:color="auto"/>
                          </w:divBdr>
                        </w:div>
                        <w:div w:id="360129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1672943">
                  <w:marLeft w:val="0"/>
                  <w:marRight w:val="0"/>
                  <w:marTop w:val="0"/>
                  <w:marBottom w:val="0"/>
                  <w:divBdr>
                    <w:top w:val="none" w:sz="0" w:space="0" w:color="auto"/>
                    <w:left w:val="none" w:sz="0" w:space="0" w:color="auto"/>
                    <w:bottom w:val="none" w:sz="0" w:space="0" w:color="auto"/>
                    <w:right w:val="none" w:sz="0" w:space="0" w:color="auto"/>
                  </w:divBdr>
                  <w:divsChild>
                    <w:div w:id="2028872308">
                      <w:marLeft w:val="360"/>
                      <w:marRight w:val="360"/>
                      <w:marTop w:val="240"/>
                      <w:marBottom w:val="240"/>
                      <w:divBdr>
                        <w:top w:val="none" w:sz="0" w:space="0" w:color="auto"/>
                        <w:left w:val="none" w:sz="0" w:space="0" w:color="auto"/>
                        <w:bottom w:val="none" w:sz="0" w:space="0" w:color="auto"/>
                        <w:right w:val="none" w:sz="0" w:space="0" w:color="auto"/>
                      </w:divBdr>
                    </w:div>
                    <w:div w:id="990982220">
                      <w:marLeft w:val="0"/>
                      <w:marRight w:val="0"/>
                      <w:marTop w:val="240"/>
                      <w:marBottom w:val="240"/>
                      <w:divBdr>
                        <w:top w:val="single" w:sz="12" w:space="0" w:color="EBEBEB"/>
                        <w:left w:val="none" w:sz="0" w:space="0" w:color="auto"/>
                        <w:bottom w:val="single" w:sz="12" w:space="0" w:color="EBEBEB"/>
                        <w:right w:val="none" w:sz="0" w:space="0" w:color="auto"/>
                      </w:divBdr>
                      <w:divsChild>
                        <w:div w:id="1489712744">
                          <w:marLeft w:val="360"/>
                          <w:marRight w:val="360"/>
                          <w:marTop w:val="240"/>
                          <w:marBottom w:val="240"/>
                          <w:divBdr>
                            <w:top w:val="none" w:sz="0" w:space="0" w:color="auto"/>
                            <w:left w:val="none" w:sz="0" w:space="0" w:color="auto"/>
                            <w:bottom w:val="none" w:sz="0" w:space="0" w:color="auto"/>
                            <w:right w:val="none" w:sz="0" w:space="0" w:color="auto"/>
                          </w:divBdr>
                        </w:div>
                        <w:div w:id="16322515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719255">
                  <w:marLeft w:val="0"/>
                  <w:marRight w:val="0"/>
                  <w:marTop w:val="0"/>
                  <w:marBottom w:val="0"/>
                  <w:divBdr>
                    <w:top w:val="none" w:sz="0" w:space="0" w:color="auto"/>
                    <w:left w:val="none" w:sz="0" w:space="0" w:color="auto"/>
                    <w:bottom w:val="none" w:sz="0" w:space="0" w:color="auto"/>
                    <w:right w:val="none" w:sz="0" w:space="0" w:color="auto"/>
                  </w:divBdr>
                  <w:divsChild>
                    <w:div w:id="1026490876">
                      <w:marLeft w:val="360"/>
                      <w:marRight w:val="360"/>
                      <w:marTop w:val="240"/>
                      <w:marBottom w:val="240"/>
                      <w:divBdr>
                        <w:top w:val="none" w:sz="0" w:space="0" w:color="auto"/>
                        <w:left w:val="none" w:sz="0" w:space="0" w:color="auto"/>
                        <w:bottom w:val="none" w:sz="0" w:space="0" w:color="auto"/>
                        <w:right w:val="none" w:sz="0" w:space="0" w:color="auto"/>
                      </w:divBdr>
                    </w:div>
                    <w:div w:id="120344595">
                      <w:marLeft w:val="360"/>
                      <w:marRight w:val="360"/>
                      <w:marTop w:val="240"/>
                      <w:marBottom w:val="240"/>
                      <w:divBdr>
                        <w:top w:val="none" w:sz="0" w:space="0" w:color="auto"/>
                        <w:left w:val="none" w:sz="0" w:space="0" w:color="auto"/>
                        <w:bottom w:val="none" w:sz="0" w:space="0" w:color="auto"/>
                        <w:right w:val="none" w:sz="0" w:space="0" w:color="auto"/>
                      </w:divBdr>
                    </w:div>
                  </w:divsChild>
                </w:div>
                <w:div w:id="1885829496">
                  <w:marLeft w:val="0"/>
                  <w:marRight w:val="0"/>
                  <w:marTop w:val="0"/>
                  <w:marBottom w:val="0"/>
                  <w:divBdr>
                    <w:top w:val="none" w:sz="0" w:space="0" w:color="auto"/>
                    <w:left w:val="none" w:sz="0" w:space="0" w:color="auto"/>
                    <w:bottom w:val="none" w:sz="0" w:space="0" w:color="auto"/>
                    <w:right w:val="none" w:sz="0" w:space="0" w:color="auto"/>
                  </w:divBdr>
                  <w:divsChild>
                    <w:div w:id="1008094590">
                      <w:marLeft w:val="0"/>
                      <w:marRight w:val="0"/>
                      <w:marTop w:val="240"/>
                      <w:marBottom w:val="240"/>
                      <w:divBdr>
                        <w:top w:val="single" w:sz="12" w:space="0" w:color="EBEBEB"/>
                        <w:left w:val="none" w:sz="0" w:space="0" w:color="auto"/>
                        <w:bottom w:val="single" w:sz="12" w:space="0" w:color="EBEBEB"/>
                        <w:right w:val="none" w:sz="0" w:space="0" w:color="auto"/>
                      </w:divBdr>
                      <w:divsChild>
                        <w:div w:id="250703586">
                          <w:marLeft w:val="360"/>
                          <w:marRight w:val="360"/>
                          <w:marTop w:val="240"/>
                          <w:marBottom w:val="240"/>
                          <w:divBdr>
                            <w:top w:val="none" w:sz="0" w:space="0" w:color="auto"/>
                            <w:left w:val="none" w:sz="0" w:space="0" w:color="auto"/>
                            <w:bottom w:val="none" w:sz="0" w:space="0" w:color="auto"/>
                            <w:right w:val="none" w:sz="0" w:space="0" w:color="auto"/>
                          </w:divBdr>
                        </w:div>
                        <w:div w:id="15578134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09702193">
          <w:marLeft w:val="0"/>
          <w:marRight w:val="0"/>
          <w:marTop w:val="0"/>
          <w:marBottom w:val="0"/>
          <w:divBdr>
            <w:top w:val="none" w:sz="0" w:space="0" w:color="auto"/>
            <w:left w:val="none" w:sz="0" w:space="0" w:color="auto"/>
            <w:bottom w:val="none" w:sz="0" w:space="0" w:color="auto"/>
            <w:right w:val="none" w:sz="0" w:space="0" w:color="auto"/>
          </w:divBdr>
        </w:div>
        <w:div w:id="328168937">
          <w:marLeft w:val="0"/>
          <w:marRight w:val="0"/>
          <w:marTop w:val="0"/>
          <w:marBottom w:val="0"/>
          <w:divBdr>
            <w:top w:val="none" w:sz="0" w:space="0" w:color="auto"/>
            <w:left w:val="none" w:sz="0" w:space="0" w:color="auto"/>
            <w:bottom w:val="none" w:sz="0" w:space="0" w:color="auto"/>
            <w:right w:val="none" w:sz="0" w:space="0" w:color="auto"/>
          </w:divBdr>
        </w:div>
        <w:div w:id="339965370">
          <w:marLeft w:val="0"/>
          <w:marRight w:val="0"/>
          <w:marTop w:val="0"/>
          <w:marBottom w:val="0"/>
          <w:divBdr>
            <w:top w:val="none" w:sz="0" w:space="0" w:color="auto"/>
            <w:left w:val="none" w:sz="0" w:space="0" w:color="auto"/>
            <w:bottom w:val="none" w:sz="0" w:space="0" w:color="auto"/>
            <w:right w:val="none" w:sz="0" w:space="0" w:color="auto"/>
          </w:divBdr>
        </w:div>
        <w:div w:id="2106877156">
          <w:marLeft w:val="0"/>
          <w:marRight w:val="0"/>
          <w:marTop w:val="0"/>
          <w:marBottom w:val="0"/>
          <w:divBdr>
            <w:top w:val="none" w:sz="0" w:space="0" w:color="auto"/>
            <w:left w:val="none" w:sz="0" w:space="0" w:color="auto"/>
            <w:bottom w:val="none" w:sz="0" w:space="0" w:color="auto"/>
            <w:right w:val="none" w:sz="0" w:space="0" w:color="auto"/>
          </w:divBdr>
        </w:div>
        <w:div w:id="895509708">
          <w:marLeft w:val="0"/>
          <w:marRight w:val="0"/>
          <w:marTop w:val="0"/>
          <w:marBottom w:val="0"/>
          <w:divBdr>
            <w:top w:val="none" w:sz="0" w:space="0" w:color="auto"/>
            <w:left w:val="none" w:sz="0" w:space="0" w:color="auto"/>
            <w:bottom w:val="none" w:sz="0" w:space="0" w:color="auto"/>
            <w:right w:val="none" w:sz="0" w:space="0" w:color="auto"/>
          </w:divBdr>
        </w:div>
        <w:div w:id="101808972">
          <w:marLeft w:val="0"/>
          <w:marRight w:val="0"/>
          <w:marTop w:val="0"/>
          <w:marBottom w:val="0"/>
          <w:divBdr>
            <w:top w:val="none" w:sz="0" w:space="0" w:color="auto"/>
            <w:left w:val="none" w:sz="0" w:space="0" w:color="auto"/>
            <w:bottom w:val="none" w:sz="0" w:space="0" w:color="auto"/>
            <w:right w:val="none" w:sz="0" w:space="0" w:color="auto"/>
          </w:divBdr>
        </w:div>
        <w:div w:id="958999403">
          <w:marLeft w:val="0"/>
          <w:marRight w:val="0"/>
          <w:marTop w:val="0"/>
          <w:marBottom w:val="0"/>
          <w:divBdr>
            <w:top w:val="none" w:sz="0" w:space="0" w:color="auto"/>
            <w:left w:val="none" w:sz="0" w:space="0" w:color="auto"/>
            <w:bottom w:val="none" w:sz="0" w:space="0" w:color="auto"/>
            <w:right w:val="none" w:sz="0" w:space="0" w:color="auto"/>
          </w:divBdr>
        </w:div>
        <w:div w:id="1014696796">
          <w:marLeft w:val="0"/>
          <w:marRight w:val="0"/>
          <w:marTop w:val="0"/>
          <w:marBottom w:val="0"/>
          <w:divBdr>
            <w:top w:val="none" w:sz="0" w:space="0" w:color="auto"/>
            <w:left w:val="none" w:sz="0" w:space="0" w:color="auto"/>
            <w:bottom w:val="none" w:sz="0" w:space="0" w:color="auto"/>
            <w:right w:val="none" w:sz="0" w:space="0" w:color="auto"/>
          </w:divBdr>
        </w:div>
        <w:div w:id="1341588162">
          <w:marLeft w:val="0"/>
          <w:marRight w:val="0"/>
          <w:marTop w:val="0"/>
          <w:marBottom w:val="0"/>
          <w:divBdr>
            <w:top w:val="none" w:sz="0" w:space="0" w:color="auto"/>
            <w:left w:val="none" w:sz="0" w:space="0" w:color="auto"/>
            <w:bottom w:val="none" w:sz="0" w:space="0" w:color="auto"/>
            <w:right w:val="none" w:sz="0" w:space="0" w:color="auto"/>
          </w:divBdr>
        </w:div>
        <w:div w:id="1675721126">
          <w:marLeft w:val="0"/>
          <w:marRight w:val="0"/>
          <w:marTop w:val="0"/>
          <w:marBottom w:val="0"/>
          <w:divBdr>
            <w:top w:val="none" w:sz="0" w:space="0" w:color="auto"/>
            <w:left w:val="none" w:sz="0" w:space="0" w:color="auto"/>
            <w:bottom w:val="none" w:sz="0" w:space="0" w:color="auto"/>
            <w:right w:val="none" w:sz="0" w:space="0" w:color="auto"/>
          </w:divBdr>
        </w:div>
        <w:div w:id="1990668446">
          <w:marLeft w:val="0"/>
          <w:marRight w:val="0"/>
          <w:marTop w:val="0"/>
          <w:marBottom w:val="0"/>
          <w:divBdr>
            <w:top w:val="none" w:sz="0" w:space="0" w:color="auto"/>
            <w:left w:val="none" w:sz="0" w:space="0" w:color="auto"/>
            <w:bottom w:val="none" w:sz="0" w:space="0" w:color="auto"/>
            <w:right w:val="none" w:sz="0" w:space="0" w:color="auto"/>
          </w:divBdr>
        </w:div>
        <w:div w:id="1017001880">
          <w:marLeft w:val="0"/>
          <w:marRight w:val="0"/>
          <w:marTop w:val="0"/>
          <w:marBottom w:val="0"/>
          <w:divBdr>
            <w:top w:val="none" w:sz="0" w:space="0" w:color="auto"/>
            <w:left w:val="none" w:sz="0" w:space="0" w:color="auto"/>
            <w:bottom w:val="none" w:sz="0" w:space="0" w:color="auto"/>
            <w:right w:val="none" w:sz="0" w:space="0" w:color="auto"/>
          </w:divBdr>
        </w:div>
        <w:div w:id="1818692259">
          <w:marLeft w:val="0"/>
          <w:marRight w:val="0"/>
          <w:marTop w:val="0"/>
          <w:marBottom w:val="0"/>
          <w:divBdr>
            <w:top w:val="none" w:sz="0" w:space="0" w:color="auto"/>
            <w:left w:val="none" w:sz="0" w:space="0" w:color="auto"/>
            <w:bottom w:val="none" w:sz="0" w:space="0" w:color="auto"/>
            <w:right w:val="none" w:sz="0" w:space="0" w:color="auto"/>
          </w:divBdr>
        </w:div>
        <w:div w:id="573977409">
          <w:marLeft w:val="0"/>
          <w:marRight w:val="0"/>
          <w:marTop w:val="0"/>
          <w:marBottom w:val="0"/>
          <w:divBdr>
            <w:top w:val="none" w:sz="0" w:space="0" w:color="auto"/>
            <w:left w:val="none" w:sz="0" w:space="0" w:color="auto"/>
            <w:bottom w:val="none" w:sz="0" w:space="0" w:color="auto"/>
            <w:right w:val="none" w:sz="0" w:space="0" w:color="auto"/>
          </w:divBdr>
        </w:div>
        <w:div w:id="1848909114">
          <w:marLeft w:val="0"/>
          <w:marRight w:val="0"/>
          <w:marTop w:val="0"/>
          <w:marBottom w:val="0"/>
          <w:divBdr>
            <w:top w:val="none" w:sz="0" w:space="0" w:color="auto"/>
            <w:left w:val="none" w:sz="0" w:space="0" w:color="auto"/>
            <w:bottom w:val="none" w:sz="0" w:space="0" w:color="auto"/>
            <w:right w:val="none" w:sz="0" w:space="0" w:color="auto"/>
          </w:divBdr>
        </w:div>
        <w:div w:id="1280724238">
          <w:marLeft w:val="0"/>
          <w:marRight w:val="0"/>
          <w:marTop w:val="0"/>
          <w:marBottom w:val="0"/>
          <w:divBdr>
            <w:top w:val="none" w:sz="0" w:space="0" w:color="auto"/>
            <w:left w:val="none" w:sz="0" w:space="0" w:color="auto"/>
            <w:bottom w:val="none" w:sz="0" w:space="0" w:color="auto"/>
            <w:right w:val="none" w:sz="0" w:space="0" w:color="auto"/>
          </w:divBdr>
        </w:div>
        <w:div w:id="816800289">
          <w:marLeft w:val="0"/>
          <w:marRight w:val="0"/>
          <w:marTop w:val="0"/>
          <w:marBottom w:val="0"/>
          <w:divBdr>
            <w:top w:val="none" w:sz="0" w:space="0" w:color="auto"/>
            <w:left w:val="none" w:sz="0" w:space="0" w:color="auto"/>
            <w:bottom w:val="none" w:sz="0" w:space="0" w:color="auto"/>
            <w:right w:val="none" w:sz="0" w:space="0" w:color="auto"/>
          </w:divBdr>
        </w:div>
        <w:div w:id="546647869">
          <w:marLeft w:val="0"/>
          <w:marRight w:val="0"/>
          <w:marTop w:val="0"/>
          <w:marBottom w:val="0"/>
          <w:divBdr>
            <w:top w:val="none" w:sz="0" w:space="0" w:color="auto"/>
            <w:left w:val="none" w:sz="0" w:space="0" w:color="auto"/>
            <w:bottom w:val="none" w:sz="0" w:space="0" w:color="auto"/>
            <w:right w:val="none" w:sz="0" w:space="0" w:color="auto"/>
          </w:divBdr>
        </w:div>
        <w:div w:id="1212422113">
          <w:marLeft w:val="0"/>
          <w:marRight w:val="0"/>
          <w:marTop w:val="0"/>
          <w:marBottom w:val="0"/>
          <w:divBdr>
            <w:top w:val="none" w:sz="0" w:space="0" w:color="auto"/>
            <w:left w:val="none" w:sz="0" w:space="0" w:color="auto"/>
            <w:bottom w:val="none" w:sz="0" w:space="0" w:color="auto"/>
            <w:right w:val="none" w:sz="0" w:space="0" w:color="auto"/>
          </w:divBdr>
        </w:div>
        <w:div w:id="524683025">
          <w:marLeft w:val="0"/>
          <w:marRight w:val="0"/>
          <w:marTop w:val="0"/>
          <w:marBottom w:val="0"/>
          <w:divBdr>
            <w:top w:val="none" w:sz="0" w:space="0" w:color="auto"/>
            <w:left w:val="none" w:sz="0" w:space="0" w:color="auto"/>
            <w:bottom w:val="none" w:sz="0" w:space="0" w:color="auto"/>
            <w:right w:val="none" w:sz="0" w:space="0" w:color="auto"/>
          </w:divBdr>
        </w:div>
        <w:div w:id="489056820">
          <w:marLeft w:val="0"/>
          <w:marRight w:val="0"/>
          <w:marTop w:val="0"/>
          <w:marBottom w:val="0"/>
          <w:divBdr>
            <w:top w:val="none" w:sz="0" w:space="0" w:color="auto"/>
            <w:left w:val="none" w:sz="0" w:space="0" w:color="auto"/>
            <w:bottom w:val="none" w:sz="0" w:space="0" w:color="auto"/>
            <w:right w:val="none" w:sz="0" w:space="0" w:color="auto"/>
          </w:divBdr>
        </w:div>
        <w:div w:id="1691105182">
          <w:marLeft w:val="0"/>
          <w:marRight w:val="0"/>
          <w:marTop w:val="0"/>
          <w:marBottom w:val="0"/>
          <w:divBdr>
            <w:top w:val="none" w:sz="0" w:space="0" w:color="auto"/>
            <w:left w:val="none" w:sz="0" w:space="0" w:color="auto"/>
            <w:bottom w:val="none" w:sz="0" w:space="0" w:color="auto"/>
            <w:right w:val="none" w:sz="0" w:space="0" w:color="auto"/>
          </w:divBdr>
        </w:div>
        <w:div w:id="1188837859">
          <w:marLeft w:val="0"/>
          <w:marRight w:val="0"/>
          <w:marTop w:val="0"/>
          <w:marBottom w:val="0"/>
          <w:divBdr>
            <w:top w:val="none" w:sz="0" w:space="0" w:color="auto"/>
            <w:left w:val="none" w:sz="0" w:space="0" w:color="auto"/>
            <w:bottom w:val="none" w:sz="0" w:space="0" w:color="auto"/>
            <w:right w:val="none" w:sz="0" w:space="0" w:color="auto"/>
          </w:divBdr>
        </w:div>
        <w:div w:id="1101560705">
          <w:marLeft w:val="0"/>
          <w:marRight w:val="0"/>
          <w:marTop w:val="0"/>
          <w:marBottom w:val="0"/>
          <w:divBdr>
            <w:top w:val="none" w:sz="0" w:space="0" w:color="auto"/>
            <w:left w:val="none" w:sz="0" w:space="0" w:color="auto"/>
            <w:bottom w:val="none" w:sz="0" w:space="0" w:color="auto"/>
            <w:right w:val="none" w:sz="0" w:space="0" w:color="auto"/>
          </w:divBdr>
        </w:div>
        <w:div w:id="975181666">
          <w:marLeft w:val="0"/>
          <w:marRight w:val="0"/>
          <w:marTop w:val="0"/>
          <w:marBottom w:val="0"/>
          <w:divBdr>
            <w:top w:val="none" w:sz="0" w:space="0" w:color="auto"/>
            <w:left w:val="none" w:sz="0" w:space="0" w:color="auto"/>
            <w:bottom w:val="none" w:sz="0" w:space="0" w:color="auto"/>
            <w:right w:val="none" w:sz="0" w:space="0" w:color="auto"/>
          </w:divBdr>
        </w:div>
        <w:div w:id="437524773">
          <w:marLeft w:val="0"/>
          <w:marRight w:val="0"/>
          <w:marTop w:val="0"/>
          <w:marBottom w:val="0"/>
          <w:divBdr>
            <w:top w:val="none" w:sz="0" w:space="0" w:color="auto"/>
            <w:left w:val="none" w:sz="0" w:space="0" w:color="auto"/>
            <w:bottom w:val="none" w:sz="0" w:space="0" w:color="auto"/>
            <w:right w:val="none" w:sz="0" w:space="0" w:color="auto"/>
          </w:divBdr>
        </w:div>
        <w:div w:id="1020476109">
          <w:marLeft w:val="0"/>
          <w:marRight w:val="0"/>
          <w:marTop w:val="0"/>
          <w:marBottom w:val="0"/>
          <w:divBdr>
            <w:top w:val="none" w:sz="0" w:space="0" w:color="auto"/>
            <w:left w:val="none" w:sz="0" w:space="0" w:color="auto"/>
            <w:bottom w:val="none" w:sz="0" w:space="0" w:color="auto"/>
            <w:right w:val="none" w:sz="0" w:space="0" w:color="auto"/>
          </w:divBdr>
        </w:div>
        <w:div w:id="1886331841">
          <w:marLeft w:val="0"/>
          <w:marRight w:val="0"/>
          <w:marTop w:val="0"/>
          <w:marBottom w:val="0"/>
          <w:divBdr>
            <w:top w:val="none" w:sz="0" w:space="0" w:color="auto"/>
            <w:left w:val="none" w:sz="0" w:space="0" w:color="auto"/>
            <w:bottom w:val="none" w:sz="0" w:space="0" w:color="auto"/>
            <w:right w:val="none" w:sz="0" w:space="0" w:color="auto"/>
          </w:divBdr>
        </w:div>
        <w:div w:id="937638341">
          <w:marLeft w:val="0"/>
          <w:marRight w:val="0"/>
          <w:marTop w:val="0"/>
          <w:marBottom w:val="0"/>
          <w:divBdr>
            <w:top w:val="none" w:sz="0" w:space="0" w:color="auto"/>
            <w:left w:val="none" w:sz="0" w:space="0" w:color="auto"/>
            <w:bottom w:val="none" w:sz="0" w:space="0" w:color="auto"/>
            <w:right w:val="none" w:sz="0" w:space="0" w:color="auto"/>
          </w:divBdr>
        </w:div>
        <w:div w:id="1359963248">
          <w:marLeft w:val="0"/>
          <w:marRight w:val="0"/>
          <w:marTop w:val="0"/>
          <w:marBottom w:val="0"/>
          <w:divBdr>
            <w:top w:val="none" w:sz="0" w:space="0" w:color="auto"/>
            <w:left w:val="none" w:sz="0" w:space="0" w:color="auto"/>
            <w:bottom w:val="none" w:sz="0" w:space="0" w:color="auto"/>
            <w:right w:val="none" w:sz="0" w:space="0" w:color="auto"/>
          </w:divBdr>
        </w:div>
        <w:div w:id="1126510441">
          <w:marLeft w:val="0"/>
          <w:marRight w:val="0"/>
          <w:marTop w:val="0"/>
          <w:marBottom w:val="0"/>
          <w:divBdr>
            <w:top w:val="none" w:sz="0" w:space="0" w:color="auto"/>
            <w:left w:val="none" w:sz="0" w:space="0" w:color="auto"/>
            <w:bottom w:val="none" w:sz="0" w:space="0" w:color="auto"/>
            <w:right w:val="none" w:sz="0" w:space="0" w:color="auto"/>
          </w:divBdr>
        </w:div>
        <w:div w:id="1756319472">
          <w:marLeft w:val="0"/>
          <w:marRight w:val="0"/>
          <w:marTop w:val="0"/>
          <w:marBottom w:val="0"/>
          <w:divBdr>
            <w:top w:val="none" w:sz="0" w:space="0" w:color="auto"/>
            <w:left w:val="none" w:sz="0" w:space="0" w:color="auto"/>
            <w:bottom w:val="none" w:sz="0" w:space="0" w:color="auto"/>
            <w:right w:val="none" w:sz="0" w:space="0" w:color="auto"/>
          </w:divBdr>
        </w:div>
        <w:div w:id="2108771244">
          <w:marLeft w:val="0"/>
          <w:marRight w:val="0"/>
          <w:marTop w:val="0"/>
          <w:marBottom w:val="0"/>
          <w:divBdr>
            <w:top w:val="none" w:sz="0" w:space="0" w:color="auto"/>
            <w:left w:val="none" w:sz="0" w:space="0" w:color="auto"/>
            <w:bottom w:val="none" w:sz="0" w:space="0" w:color="auto"/>
            <w:right w:val="none" w:sz="0" w:space="0" w:color="auto"/>
          </w:divBdr>
        </w:div>
        <w:div w:id="872578160">
          <w:marLeft w:val="0"/>
          <w:marRight w:val="0"/>
          <w:marTop w:val="0"/>
          <w:marBottom w:val="0"/>
          <w:divBdr>
            <w:top w:val="none" w:sz="0" w:space="0" w:color="auto"/>
            <w:left w:val="none" w:sz="0" w:space="0" w:color="auto"/>
            <w:bottom w:val="none" w:sz="0" w:space="0" w:color="auto"/>
            <w:right w:val="none" w:sz="0" w:space="0" w:color="auto"/>
          </w:divBdr>
        </w:div>
        <w:div w:id="265772036">
          <w:marLeft w:val="0"/>
          <w:marRight w:val="0"/>
          <w:marTop w:val="0"/>
          <w:marBottom w:val="0"/>
          <w:divBdr>
            <w:top w:val="none" w:sz="0" w:space="0" w:color="auto"/>
            <w:left w:val="none" w:sz="0" w:space="0" w:color="auto"/>
            <w:bottom w:val="none" w:sz="0" w:space="0" w:color="auto"/>
            <w:right w:val="none" w:sz="0" w:space="0" w:color="auto"/>
          </w:divBdr>
        </w:div>
        <w:div w:id="963728642">
          <w:marLeft w:val="0"/>
          <w:marRight w:val="0"/>
          <w:marTop w:val="0"/>
          <w:marBottom w:val="0"/>
          <w:divBdr>
            <w:top w:val="none" w:sz="0" w:space="0" w:color="auto"/>
            <w:left w:val="none" w:sz="0" w:space="0" w:color="auto"/>
            <w:bottom w:val="none" w:sz="0" w:space="0" w:color="auto"/>
            <w:right w:val="none" w:sz="0" w:space="0" w:color="auto"/>
          </w:divBdr>
        </w:div>
        <w:div w:id="1380668487">
          <w:marLeft w:val="0"/>
          <w:marRight w:val="0"/>
          <w:marTop w:val="0"/>
          <w:marBottom w:val="0"/>
          <w:divBdr>
            <w:top w:val="none" w:sz="0" w:space="0" w:color="auto"/>
            <w:left w:val="none" w:sz="0" w:space="0" w:color="auto"/>
            <w:bottom w:val="none" w:sz="0" w:space="0" w:color="auto"/>
            <w:right w:val="none" w:sz="0" w:space="0" w:color="auto"/>
          </w:divBdr>
        </w:div>
        <w:div w:id="1098673233">
          <w:marLeft w:val="0"/>
          <w:marRight w:val="0"/>
          <w:marTop w:val="0"/>
          <w:marBottom w:val="0"/>
          <w:divBdr>
            <w:top w:val="none" w:sz="0" w:space="0" w:color="auto"/>
            <w:left w:val="none" w:sz="0" w:space="0" w:color="auto"/>
            <w:bottom w:val="none" w:sz="0" w:space="0" w:color="auto"/>
            <w:right w:val="none" w:sz="0" w:space="0" w:color="auto"/>
          </w:divBdr>
        </w:div>
        <w:div w:id="376927723">
          <w:marLeft w:val="0"/>
          <w:marRight w:val="0"/>
          <w:marTop w:val="0"/>
          <w:marBottom w:val="0"/>
          <w:divBdr>
            <w:top w:val="none" w:sz="0" w:space="0" w:color="auto"/>
            <w:left w:val="none" w:sz="0" w:space="0" w:color="auto"/>
            <w:bottom w:val="none" w:sz="0" w:space="0" w:color="auto"/>
            <w:right w:val="none" w:sz="0" w:space="0" w:color="auto"/>
          </w:divBdr>
        </w:div>
        <w:div w:id="1488596532">
          <w:marLeft w:val="0"/>
          <w:marRight w:val="0"/>
          <w:marTop w:val="0"/>
          <w:marBottom w:val="0"/>
          <w:divBdr>
            <w:top w:val="none" w:sz="0" w:space="0" w:color="auto"/>
            <w:left w:val="none" w:sz="0" w:space="0" w:color="auto"/>
            <w:bottom w:val="none" w:sz="0" w:space="0" w:color="auto"/>
            <w:right w:val="none" w:sz="0" w:space="0" w:color="auto"/>
          </w:divBdr>
        </w:div>
        <w:div w:id="569269959">
          <w:marLeft w:val="0"/>
          <w:marRight w:val="0"/>
          <w:marTop w:val="0"/>
          <w:marBottom w:val="0"/>
          <w:divBdr>
            <w:top w:val="none" w:sz="0" w:space="0" w:color="auto"/>
            <w:left w:val="none" w:sz="0" w:space="0" w:color="auto"/>
            <w:bottom w:val="none" w:sz="0" w:space="0" w:color="auto"/>
            <w:right w:val="none" w:sz="0" w:space="0" w:color="auto"/>
          </w:divBdr>
        </w:div>
        <w:div w:id="334386224">
          <w:marLeft w:val="0"/>
          <w:marRight w:val="0"/>
          <w:marTop w:val="0"/>
          <w:marBottom w:val="0"/>
          <w:divBdr>
            <w:top w:val="none" w:sz="0" w:space="0" w:color="auto"/>
            <w:left w:val="none" w:sz="0" w:space="0" w:color="auto"/>
            <w:bottom w:val="none" w:sz="0" w:space="0" w:color="auto"/>
            <w:right w:val="none" w:sz="0" w:space="0" w:color="auto"/>
          </w:divBdr>
        </w:div>
        <w:div w:id="1545605672">
          <w:marLeft w:val="0"/>
          <w:marRight w:val="0"/>
          <w:marTop w:val="0"/>
          <w:marBottom w:val="0"/>
          <w:divBdr>
            <w:top w:val="none" w:sz="0" w:space="0" w:color="auto"/>
            <w:left w:val="none" w:sz="0" w:space="0" w:color="auto"/>
            <w:bottom w:val="none" w:sz="0" w:space="0" w:color="auto"/>
            <w:right w:val="none" w:sz="0" w:space="0" w:color="auto"/>
          </w:divBdr>
        </w:div>
        <w:div w:id="44717632">
          <w:marLeft w:val="0"/>
          <w:marRight w:val="0"/>
          <w:marTop w:val="0"/>
          <w:marBottom w:val="0"/>
          <w:divBdr>
            <w:top w:val="none" w:sz="0" w:space="0" w:color="auto"/>
            <w:left w:val="none" w:sz="0" w:space="0" w:color="auto"/>
            <w:bottom w:val="none" w:sz="0" w:space="0" w:color="auto"/>
            <w:right w:val="none" w:sz="0" w:space="0" w:color="auto"/>
          </w:divBdr>
        </w:div>
        <w:div w:id="1958443621">
          <w:marLeft w:val="0"/>
          <w:marRight w:val="0"/>
          <w:marTop w:val="0"/>
          <w:marBottom w:val="0"/>
          <w:divBdr>
            <w:top w:val="none" w:sz="0" w:space="0" w:color="auto"/>
            <w:left w:val="none" w:sz="0" w:space="0" w:color="auto"/>
            <w:bottom w:val="none" w:sz="0" w:space="0" w:color="auto"/>
            <w:right w:val="none" w:sz="0" w:space="0" w:color="auto"/>
          </w:divBdr>
        </w:div>
        <w:div w:id="679888060">
          <w:marLeft w:val="0"/>
          <w:marRight w:val="0"/>
          <w:marTop w:val="0"/>
          <w:marBottom w:val="0"/>
          <w:divBdr>
            <w:top w:val="none" w:sz="0" w:space="0" w:color="auto"/>
            <w:left w:val="none" w:sz="0" w:space="0" w:color="auto"/>
            <w:bottom w:val="none" w:sz="0" w:space="0" w:color="auto"/>
            <w:right w:val="none" w:sz="0" w:space="0" w:color="auto"/>
          </w:divBdr>
        </w:div>
        <w:div w:id="1949578234">
          <w:marLeft w:val="0"/>
          <w:marRight w:val="0"/>
          <w:marTop w:val="0"/>
          <w:marBottom w:val="0"/>
          <w:divBdr>
            <w:top w:val="none" w:sz="0" w:space="0" w:color="auto"/>
            <w:left w:val="none" w:sz="0" w:space="0" w:color="auto"/>
            <w:bottom w:val="none" w:sz="0" w:space="0" w:color="auto"/>
            <w:right w:val="none" w:sz="0" w:space="0" w:color="auto"/>
          </w:divBdr>
        </w:div>
        <w:div w:id="540898835">
          <w:marLeft w:val="0"/>
          <w:marRight w:val="0"/>
          <w:marTop w:val="0"/>
          <w:marBottom w:val="0"/>
          <w:divBdr>
            <w:top w:val="none" w:sz="0" w:space="0" w:color="auto"/>
            <w:left w:val="none" w:sz="0" w:space="0" w:color="auto"/>
            <w:bottom w:val="none" w:sz="0" w:space="0" w:color="auto"/>
            <w:right w:val="none" w:sz="0" w:space="0" w:color="auto"/>
          </w:divBdr>
        </w:div>
        <w:div w:id="1765567356">
          <w:marLeft w:val="0"/>
          <w:marRight w:val="0"/>
          <w:marTop w:val="0"/>
          <w:marBottom w:val="0"/>
          <w:divBdr>
            <w:top w:val="none" w:sz="0" w:space="0" w:color="auto"/>
            <w:left w:val="none" w:sz="0" w:space="0" w:color="auto"/>
            <w:bottom w:val="none" w:sz="0" w:space="0" w:color="auto"/>
            <w:right w:val="none" w:sz="0" w:space="0" w:color="auto"/>
          </w:divBdr>
        </w:div>
        <w:div w:id="657273712">
          <w:marLeft w:val="0"/>
          <w:marRight w:val="0"/>
          <w:marTop w:val="0"/>
          <w:marBottom w:val="0"/>
          <w:divBdr>
            <w:top w:val="none" w:sz="0" w:space="0" w:color="auto"/>
            <w:left w:val="none" w:sz="0" w:space="0" w:color="auto"/>
            <w:bottom w:val="none" w:sz="0" w:space="0" w:color="auto"/>
            <w:right w:val="none" w:sz="0" w:space="0" w:color="auto"/>
          </w:divBdr>
        </w:div>
        <w:div w:id="1524973666">
          <w:marLeft w:val="0"/>
          <w:marRight w:val="0"/>
          <w:marTop w:val="0"/>
          <w:marBottom w:val="0"/>
          <w:divBdr>
            <w:top w:val="none" w:sz="0" w:space="0" w:color="auto"/>
            <w:left w:val="none" w:sz="0" w:space="0" w:color="auto"/>
            <w:bottom w:val="none" w:sz="0" w:space="0" w:color="auto"/>
            <w:right w:val="none" w:sz="0" w:space="0" w:color="auto"/>
          </w:divBdr>
        </w:div>
        <w:div w:id="396782737">
          <w:marLeft w:val="0"/>
          <w:marRight w:val="0"/>
          <w:marTop w:val="0"/>
          <w:marBottom w:val="0"/>
          <w:divBdr>
            <w:top w:val="none" w:sz="0" w:space="0" w:color="auto"/>
            <w:left w:val="none" w:sz="0" w:space="0" w:color="auto"/>
            <w:bottom w:val="none" w:sz="0" w:space="0" w:color="auto"/>
            <w:right w:val="none" w:sz="0" w:space="0" w:color="auto"/>
          </w:divBdr>
        </w:div>
        <w:div w:id="684868652">
          <w:marLeft w:val="0"/>
          <w:marRight w:val="0"/>
          <w:marTop w:val="0"/>
          <w:marBottom w:val="0"/>
          <w:divBdr>
            <w:top w:val="none" w:sz="0" w:space="0" w:color="auto"/>
            <w:left w:val="none" w:sz="0" w:space="0" w:color="auto"/>
            <w:bottom w:val="none" w:sz="0" w:space="0" w:color="auto"/>
            <w:right w:val="none" w:sz="0" w:space="0" w:color="auto"/>
          </w:divBdr>
        </w:div>
        <w:div w:id="1610890927">
          <w:marLeft w:val="0"/>
          <w:marRight w:val="0"/>
          <w:marTop w:val="0"/>
          <w:marBottom w:val="0"/>
          <w:divBdr>
            <w:top w:val="none" w:sz="0" w:space="0" w:color="auto"/>
            <w:left w:val="none" w:sz="0" w:space="0" w:color="auto"/>
            <w:bottom w:val="none" w:sz="0" w:space="0" w:color="auto"/>
            <w:right w:val="none" w:sz="0" w:space="0" w:color="auto"/>
          </w:divBdr>
        </w:div>
        <w:div w:id="1490633681">
          <w:marLeft w:val="0"/>
          <w:marRight w:val="0"/>
          <w:marTop w:val="0"/>
          <w:marBottom w:val="0"/>
          <w:divBdr>
            <w:top w:val="none" w:sz="0" w:space="0" w:color="auto"/>
            <w:left w:val="none" w:sz="0" w:space="0" w:color="auto"/>
            <w:bottom w:val="none" w:sz="0" w:space="0" w:color="auto"/>
            <w:right w:val="none" w:sz="0" w:space="0" w:color="auto"/>
          </w:divBdr>
        </w:div>
        <w:div w:id="1358657665">
          <w:marLeft w:val="0"/>
          <w:marRight w:val="0"/>
          <w:marTop w:val="0"/>
          <w:marBottom w:val="0"/>
          <w:divBdr>
            <w:top w:val="none" w:sz="0" w:space="0" w:color="auto"/>
            <w:left w:val="none" w:sz="0" w:space="0" w:color="auto"/>
            <w:bottom w:val="none" w:sz="0" w:space="0" w:color="auto"/>
            <w:right w:val="none" w:sz="0" w:space="0" w:color="auto"/>
          </w:divBdr>
        </w:div>
        <w:div w:id="601106839">
          <w:marLeft w:val="0"/>
          <w:marRight w:val="0"/>
          <w:marTop w:val="0"/>
          <w:marBottom w:val="0"/>
          <w:divBdr>
            <w:top w:val="none" w:sz="0" w:space="0" w:color="auto"/>
            <w:left w:val="none" w:sz="0" w:space="0" w:color="auto"/>
            <w:bottom w:val="none" w:sz="0" w:space="0" w:color="auto"/>
            <w:right w:val="none" w:sz="0" w:space="0" w:color="auto"/>
          </w:divBdr>
        </w:div>
        <w:div w:id="353845406">
          <w:marLeft w:val="0"/>
          <w:marRight w:val="0"/>
          <w:marTop w:val="0"/>
          <w:marBottom w:val="0"/>
          <w:divBdr>
            <w:top w:val="none" w:sz="0" w:space="0" w:color="auto"/>
            <w:left w:val="none" w:sz="0" w:space="0" w:color="auto"/>
            <w:bottom w:val="none" w:sz="0" w:space="0" w:color="auto"/>
            <w:right w:val="none" w:sz="0" w:space="0" w:color="auto"/>
          </w:divBdr>
        </w:div>
        <w:div w:id="2002390500">
          <w:marLeft w:val="0"/>
          <w:marRight w:val="0"/>
          <w:marTop w:val="0"/>
          <w:marBottom w:val="0"/>
          <w:divBdr>
            <w:top w:val="none" w:sz="0" w:space="0" w:color="auto"/>
            <w:left w:val="none" w:sz="0" w:space="0" w:color="auto"/>
            <w:bottom w:val="none" w:sz="0" w:space="0" w:color="auto"/>
            <w:right w:val="none" w:sz="0" w:space="0" w:color="auto"/>
          </w:divBdr>
        </w:div>
        <w:div w:id="2133983592">
          <w:marLeft w:val="0"/>
          <w:marRight w:val="0"/>
          <w:marTop w:val="0"/>
          <w:marBottom w:val="0"/>
          <w:divBdr>
            <w:top w:val="none" w:sz="0" w:space="0" w:color="auto"/>
            <w:left w:val="none" w:sz="0" w:space="0" w:color="auto"/>
            <w:bottom w:val="none" w:sz="0" w:space="0" w:color="auto"/>
            <w:right w:val="none" w:sz="0" w:space="0" w:color="auto"/>
          </w:divBdr>
        </w:div>
        <w:div w:id="35350772">
          <w:marLeft w:val="0"/>
          <w:marRight w:val="0"/>
          <w:marTop w:val="0"/>
          <w:marBottom w:val="0"/>
          <w:divBdr>
            <w:top w:val="none" w:sz="0" w:space="0" w:color="auto"/>
            <w:left w:val="none" w:sz="0" w:space="0" w:color="auto"/>
            <w:bottom w:val="none" w:sz="0" w:space="0" w:color="auto"/>
            <w:right w:val="none" w:sz="0" w:space="0" w:color="auto"/>
          </w:divBdr>
        </w:div>
        <w:div w:id="2061049819">
          <w:marLeft w:val="0"/>
          <w:marRight w:val="0"/>
          <w:marTop w:val="0"/>
          <w:marBottom w:val="0"/>
          <w:divBdr>
            <w:top w:val="none" w:sz="0" w:space="0" w:color="auto"/>
            <w:left w:val="none" w:sz="0" w:space="0" w:color="auto"/>
            <w:bottom w:val="none" w:sz="0" w:space="0" w:color="auto"/>
            <w:right w:val="none" w:sz="0" w:space="0" w:color="auto"/>
          </w:divBdr>
        </w:div>
        <w:div w:id="794760730">
          <w:marLeft w:val="0"/>
          <w:marRight w:val="0"/>
          <w:marTop w:val="0"/>
          <w:marBottom w:val="0"/>
          <w:divBdr>
            <w:top w:val="none" w:sz="0" w:space="0" w:color="auto"/>
            <w:left w:val="none" w:sz="0" w:space="0" w:color="auto"/>
            <w:bottom w:val="none" w:sz="0" w:space="0" w:color="auto"/>
            <w:right w:val="none" w:sz="0" w:space="0" w:color="auto"/>
          </w:divBdr>
        </w:div>
        <w:div w:id="1600791734">
          <w:marLeft w:val="0"/>
          <w:marRight w:val="0"/>
          <w:marTop w:val="0"/>
          <w:marBottom w:val="0"/>
          <w:divBdr>
            <w:top w:val="none" w:sz="0" w:space="0" w:color="auto"/>
            <w:left w:val="none" w:sz="0" w:space="0" w:color="auto"/>
            <w:bottom w:val="none" w:sz="0" w:space="0" w:color="auto"/>
            <w:right w:val="none" w:sz="0" w:space="0" w:color="auto"/>
          </w:divBdr>
        </w:div>
        <w:div w:id="1792630745">
          <w:marLeft w:val="0"/>
          <w:marRight w:val="0"/>
          <w:marTop w:val="0"/>
          <w:marBottom w:val="0"/>
          <w:divBdr>
            <w:top w:val="none" w:sz="0" w:space="0" w:color="auto"/>
            <w:left w:val="none" w:sz="0" w:space="0" w:color="auto"/>
            <w:bottom w:val="none" w:sz="0" w:space="0" w:color="auto"/>
            <w:right w:val="none" w:sz="0" w:space="0" w:color="auto"/>
          </w:divBdr>
        </w:div>
        <w:div w:id="1006446965">
          <w:marLeft w:val="0"/>
          <w:marRight w:val="0"/>
          <w:marTop w:val="0"/>
          <w:marBottom w:val="0"/>
          <w:divBdr>
            <w:top w:val="none" w:sz="0" w:space="0" w:color="auto"/>
            <w:left w:val="none" w:sz="0" w:space="0" w:color="auto"/>
            <w:bottom w:val="none" w:sz="0" w:space="0" w:color="auto"/>
            <w:right w:val="none" w:sz="0" w:space="0" w:color="auto"/>
          </w:divBdr>
        </w:div>
        <w:div w:id="2119835293">
          <w:marLeft w:val="0"/>
          <w:marRight w:val="0"/>
          <w:marTop w:val="0"/>
          <w:marBottom w:val="0"/>
          <w:divBdr>
            <w:top w:val="none" w:sz="0" w:space="0" w:color="auto"/>
            <w:left w:val="none" w:sz="0" w:space="0" w:color="auto"/>
            <w:bottom w:val="none" w:sz="0" w:space="0" w:color="auto"/>
            <w:right w:val="none" w:sz="0" w:space="0" w:color="auto"/>
          </w:divBdr>
        </w:div>
        <w:div w:id="1796748756">
          <w:marLeft w:val="0"/>
          <w:marRight w:val="0"/>
          <w:marTop w:val="0"/>
          <w:marBottom w:val="0"/>
          <w:divBdr>
            <w:top w:val="none" w:sz="0" w:space="0" w:color="auto"/>
            <w:left w:val="none" w:sz="0" w:space="0" w:color="auto"/>
            <w:bottom w:val="none" w:sz="0" w:space="0" w:color="auto"/>
            <w:right w:val="none" w:sz="0" w:space="0" w:color="auto"/>
          </w:divBdr>
        </w:div>
        <w:div w:id="794639369">
          <w:marLeft w:val="0"/>
          <w:marRight w:val="0"/>
          <w:marTop w:val="0"/>
          <w:marBottom w:val="0"/>
          <w:divBdr>
            <w:top w:val="none" w:sz="0" w:space="0" w:color="auto"/>
            <w:left w:val="none" w:sz="0" w:space="0" w:color="auto"/>
            <w:bottom w:val="none" w:sz="0" w:space="0" w:color="auto"/>
            <w:right w:val="none" w:sz="0" w:space="0" w:color="auto"/>
          </w:divBdr>
        </w:div>
        <w:div w:id="828981386">
          <w:marLeft w:val="0"/>
          <w:marRight w:val="0"/>
          <w:marTop w:val="0"/>
          <w:marBottom w:val="0"/>
          <w:divBdr>
            <w:top w:val="none" w:sz="0" w:space="0" w:color="auto"/>
            <w:left w:val="none" w:sz="0" w:space="0" w:color="auto"/>
            <w:bottom w:val="none" w:sz="0" w:space="0" w:color="auto"/>
            <w:right w:val="none" w:sz="0" w:space="0" w:color="auto"/>
          </w:divBdr>
        </w:div>
        <w:div w:id="2116049229">
          <w:marLeft w:val="0"/>
          <w:marRight w:val="0"/>
          <w:marTop w:val="0"/>
          <w:marBottom w:val="0"/>
          <w:divBdr>
            <w:top w:val="none" w:sz="0" w:space="0" w:color="auto"/>
            <w:left w:val="none" w:sz="0" w:space="0" w:color="auto"/>
            <w:bottom w:val="none" w:sz="0" w:space="0" w:color="auto"/>
            <w:right w:val="none" w:sz="0" w:space="0" w:color="auto"/>
          </w:divBdr>
        </w:div>
        <w:div w:id="1981422994">
          <w:marLeft w:val="0"/>
          <w:marRight w:val="0"/>
          <w:marTop w:val="0"/>
          <w:marBottom w:val="0"/>
          <w:divBdr>
            <w:top w:val="none" w:sz="0" w:space="0" w:color="auto"/>
            <w:left w:val="none" w:sz="0" w:space="0" w:color="auto"/>
            <w:bottom w:val="none" w:sz="0" w:space="0" w:color="auto"/>
            <w:right w:val="none" w:sz="0" w:space="0" w:color="auto"/>
          </w:divBdr>
        </w:div>
        <w:div w:id="197593778">
          <w:marLeft w:val="0"/>
          <w:marRight w:val="0"/>
          <w:marTop w:val="0"/>
          <w:marBottom w:val="0"/>
          <w:divBdr>
            <w:top w:val="none" w:sz="0" w:space="0" w:color="auto"/>
            <w:left w:val="none" w:sz="0" w:space="0" w:color="auto"/>
            <w:bottom w:val="none" w:sz="0" w:space="0" w:color="auto"/>
            <w:right w:val="none" w:sz="0" w:space="0" w:color="auto"/>
          </w:divBdr>
        </w:div>
        <w:div w:id="1350989044">
          <w:marLeft w:val="0"/>
          <w:marRight w:val="0"/>
          <w:marTop w:val="0"/>
          <w:marBottom w:val="0"/>
          <w:divBdr>
            <w:top w:val="none" w:sz="0" w:space="0" w:color="auto"/>
            <w:left w:val="none" w:sz="0" w:space="0" w:color="auto"/>
            <w:bottom w:val="none" w:sz="0" w:space="0" w:color="auto"/>
            <w:right w:val="none" w:sz="0" w:space="0" w:color="auto"/>
          </w:divBdr>
        </w:div>
        <w:div w:id="1923878352">
          <w:marLeft w:val="0"/>
          <w:marRight w:val="0"/>
          <w:marTop w:val="0"/>
          <w:marBottom w:val="0"/>
          <w:divBdr>
            <w:top w:val="none" w:sz="0" w:space="0" w:color="auto"/>
            <w:left w:val="none" w:sz="0" w:space="0" w:color="auto"/>
            <w:bottom w:val="none" w:sz="0" w:space="0" w:color="auto"/>
            <w:right w:val="none" w:sz="0" w:space="0" w:color="auto"/>
          </w:divBdr>
        </w:div>
        <w:div w:id="2040013049">
          <w:marLeft w:val="0"/>
          <w:marRight w:val="0"/>
          <w:marTop w:val="0"/>
          <w:marBottom w:val="0"/>
          <w:divBdr>
            <w:top w:val="none" w:sz="0" w:space="0" w:color="auto"/>
            <w:left w:val="none" w:sz="0" w:space="0" w:color="auto"/>
            <w:bottom w:val="none" w:sz="0" w:space="0" w:color="auto"/>
            <w:right w:val="none" w:sz="0" w:space="0" w:color="auto"/>
          </w:divBdr>
        </w:div>
        <w:div w:id="2054574747">
          <w:marLeft w:val="0"/>
          <w:marRight w:val="0"/>
          <w:marTop w:val="0"/>
          <w:marBottom w:val="0"/>
          <w:divBdr>
            <w:top w:val="none" w:sz="0" w:space="0" w:color="auto"/>
            <w:left w:val="none" w:sz="0" w:space="0" w:color="auto"/>
            <w:bottom w:val="none" w:sz="0" w:space="0" w:color="auto"/>
            <w:right w:val="none" w:sz="0" w:space="0" w:color="auto"/>
          </w:divBdr>
        </w:div>
        <w:div w:id="780952504">
          <w:marLeft w:val="0"/>
          <w:marRight w:val="0"/>
          <w:marTop w:val="0"/>
          <w:marBottom w:val="0"/>
          <w:divBdr>
            <w:top w:val="none" w:sz="0" w:space="0" w:color="auto"/>
            <w:left w:val="none" w:sz="0" w:space="0" w:color="auto"/>
            <w:bottom w:val="none" w:sz="0" w:space="0" w:color="auto"/>
            <w:right w:val="none" w:sz="0" w:space="0" w:color="auto"/>
          </w:divBdr>
        </w:div>
        <w:div w:id="858279136">
          <w:marLeft w:val="0"/>
          <w:marRight w:val="0"/>
          <w:marTop w:val="0"/>
          <w:marBottom w:val="0"/>
          <w:divBdr>
            <w:top w:val="none" w:sz="0" w:space="0" w:color="auto"/>
            <w:left w:val="none" w:sz="0" w:space="0" w:color="auto"/>
            <w:bottom w:val="none" w:sz="0" w:space="0" w:color="auto"/>
            <w:right w:val="none" w:sz="0" w:space="0" w:color="auto"/>
          </w:divBdr>
        </w:div>
        <w:div w:id="1383168397">
          <w:marLeft w:val="0"/>
          <w:marRight w:val="0"/>
          <w:marTop w:val="0"/>
          <w:marBottom w:val="0"/>
          <w:divBdr>
            <w:top w:val="none" w:sz="0" w:space="0" w:color="auto"/>
            <w:left w:val="none" w:sz="0" w:space="0" w:color="auto"/>
            <w:bottom w:val="none" w:sz="0" w:space="0" w:color="auto"/>
            <w:right w:val="none" w:sz="0" w:space="0" w:color="auto"/>
          </w:divBdr>
        </w:div>
        <w:div w:id="1132945136">
          <w:marLeft w:val="0"/>
          <w:marRight w:val="0"/>
          <w:marTop w:val="0"/>
          <w:marBottom w:val="0"/>
          <w:divBdr>
            <w:top w:val="none" w:sz="0" w:space="0" w:color="auto"/>
            <w:left w:val="none" w:sz="0" w:space="0" w:color="auto"/>
            <w:bottom w:val="none" w:sz="0" w:space="0" w:color="auto"/>
            <w:right w:val="none" w:sz="0" w:space="0" w:color="auto"/>
          </w:divBdr>
        </w:div>
        <w:div w:id="1293903930">
          <w:marLeft w:val="0"/>
          <w:marRight w:val="0"/>
          <w:marTop w:val="0"/>
          <w:marBottom w:val="0"/>
          <w:divBdr>
            <w:top w:val="none" w:sz="0" w:space="0" w:color="auto"/>
            <w:left w:val="none" w:sz="0" w:space="0" w:color="auto"/>
            <w:bottom w:val="none" w:sz="0" w:space="0" w:color="auto"/>
            <w:right w:val="none" w:sz="0" w:space="0" w:color="auto"/>
          </w:divBdr>
        </w:div>
        <w:div w:id="470252544">
          <w:marLeft w:val="0"/>
          <w:marRight w:val="0"/>
          <w:marTop w:val="0"/>
          <w:marBottom w:val="0"/>
          <w:divBdr>
            <w:top w:val="none" w:sz="0" w:space="0" w:color="auto"/>
            <w:left w:val="none" w:sz="0" w:space="0" w:color="auto"/>
            <w:bottom w:val="none" w:sz="0" w:space="0" w:color="auto"/>
            <w:right w:val="none" w:sz="0" w:space="0" w:color="auto"/>
          </w:divBdr>
        </w:div>
        <w:div w:id="658654020">
          <w:marLeft w:val="0"/>
          <w:marRight w:val="0"/>
          <w:marTop w:val="0"/>
          <w:marBottom w:val="0"/>
          <w:divBdr>
            <w:top w:val="none" w:sz="0" w:space="0" w:color="auto"/>
            <w:left w:val="none" w:sz="0" w:space="0" w:color="auto"/>
            <w:bottom w:val="none" w:sz="0" w:space="0" w:color="auto"/>
            <w:right w:val="none" w:sz="0" w:space="0" w:color="auto"/>
          </w:divBdr>
        </w:div>
        <w:div w:id="824126569">
          <w:marLeft w:val="0"/>
          <w:marRight w:val="0"/>
          <w:marTop w:val="0"/>
          <w:marBottom w:val="0"/>
          <w:divBdr>
            <w:top w:val="none" w:sz="0" w:space="0" w:color="auto"/>
            <w:left w:val="none" w:sz="0" w:space="0" w:color="auto"/>
            <w:bottom w:val="none" w:sz="0" w:space="0" w:color="auto"/>
            <w:right w:val="none" w:sz="0" w:space="0" w:color="auto"/>
          </w:divBdr>
        </w:div>
        <w:div w:id="1478106778">
          <w:marLeft w:val="0"/>
          <w:marRight w:val="0"/>
          <w:marTop w:val="0"/>
          <w:marBottom w:val="0"/>
          <w:divBdr>
            <w:top w:val="none" w:sz="0" w:space="0" w:color="auto"/>
            <w:left w:val="none" w:sz="0" w:space="0" w:color="auto"/>
            <w:bottom w:val="none" w:sz="0" w:space="0" w:color="auto"/>
            <w:right w:val="none" w:sz="0" w:space="0" w:color="auto"/>
          </w:divBdr>
        </w:div>
        <w:div w:id="302929789">
          <w:marLeft w:val="0"/>
          <w:marRight w:val="0"/>
          <w:marTop w:val="0"/>
          <w:marBottom w:val="0"/>
          <w:divBdr>
            <w:top w:val="none" w:sz="0" w:space="0" w:color="auto"/>
            <w:left w:val="none" w:sz="0" w:space="0" w:color="auto"/>
            <w:bottom w:val="none" w:sz="0" w:space="0" w:color="auto"/>
            <w:right w:val="none" w:sz="0" w:space="0" w:color="auto"/>
          </w:divBdr>
        </w:div>
        <w:div w:id="1756628125">
          <w:marLeft w:val="0"/>
          <w:marRight w:val="0"/>
          <w:marTop w:val="0"/>
          <w:marBottom w:val="0"/>
          <w:divBdr>
            <w:top w:val="none" w:sz="0" w:space="0" w:color="auto"/>
            <w:left w:val="none" w:sz="0" w:space="0" w:color="auto"/>
            <w:bottom w:val="none" w:sz="0" w:space="0" w:color="auto"/>
            <w:right w:val="none" w:sz="0" w:space="0" w:color="auto"/>
          </w:divBdr>
        </w:div>
        <w:div w:id="281763597">
          <w:marLeft w:val="0"/>
          <w:marRight w:val="0"/>
          <w:marTop w:val="0"/>
          <w:marBottom w:val="0"/>
          <w:divBdr>
            <w:top w:val="none" w:sz="0" w:space="0" w:color="auto"/>
            <w:left w:val="none" w:sz="0" w:space="0" w:color="auto"/>
            <w:bottom w:val="none" w:sz="0" w:space="0" w:color="auto"/>
            <w:right w:val="none" w:sz="0" w:space="0" w:color="auto"/>
          </w:divBdr>
        </w:div>
        <w:div w:id="339431562">
          <w:marLeft w:val="0"/>
          <w:marRight w:val="0"/>
          <w:marTop w:val="0"/>
          <w:marBottom w:val="0"/>
          <w:divBdr>
            <w:top w:val="none" w:sz="0" w:space="0" w:color="auto"/>
            <w:left w:val="none" w:sz="0" w:space="0" w:color="auto"/>
            <w:bottom w:val="none" w:sz="0" w:space="0" w:color="auto"/>
            <w:right w:val="none" w:sz="0" w:space="0" w:color="auto"/>
          </w:divBdr>
        </w:div>
        <w:div w:id="1373774261">
          <w:marLeft w:val="0"/>
          <w:marRight w:val="0"/>
          <w:marTop w:val="0"/>
          <w:marBottom w:val="0"/>
          <w:divBdr>
            <w:top w:val="none" w:sz="0" w:space="0" w:color="auto"/>
            <w:left w:val="none" w:sz="0" w:space="0" w:color="auto"/>
            <w:bottom w:val="none" w:sz="0" w:space="0" w:color="auto"/>
            <w:right w:val="none" w:sz="0" w:space="0" w:color="auto"/>
          </w:divBdr>
        </w:div>
        <w:div w:id="578250983">
          <w:marLeft w:val="0"/>
          <w:marRight w:val="0"/>
          <w:marTop w:val="0"/>
          <w:marBottom w:val="0"/>
          <w:divBdr>
            <w:top w:val="none" w:sz="0" w:space="0" w:color="auto"/>
            <w:left w:val="none" w:sz="0" w:space="0" w:color="auto"/>
            <w:bottom w:val="none" w:sz="0" w:space="0" w:color="auto"/>
            <w:right w:val="none" w:sz="0" w:space="0" w:color="auto"/>
          </w:divBdr>
        </w:div>
        <w:div w:id="481238753">
          <w:marLeft w:val="0"/>
          <w:marRight w:val="0"/>
          <w:marTop w:val="0"/>
          <w:marBottom w:val="0"/>
          <w:divBdr>
            <w:top w:val="none" w:sz="0" w:space="0" w:color="auto"/>
            <w:left w:val="none" w:sz="0" w:space="0" w:color="auto"/>
            <w:bottom w:val="none" w:sz="0" w:space="0" w:color="auto"/>
            <w:right w:val="none" w:sz="0" w:space="0" w:color="auto"/>
          </w:divBdr>
        </w:div>
        <w:div w:id="592324757">
          <w:marLeft w:val="0"/>
          <w:marRight w:val="0"/>
          <w:marTop w:val="0"/>
          <w:marBottom w:val="0"/>
          <w:divBdr>
            <w:top w:val="none" w:sz="0" w:space="0" w:color="auto"/>
            <w:left w:val="none" w:sz="0" w:space="0" w:color="auto"/>
            <w:bottom w:val="none" w:sz="0" w:space="0" w:color="auto"/>
            <w:right w:val="none" w:sz="0" w:space="0" w:color="auto"/>
          </w:divBdr>
        </w:div>
        <w:div w:id="1834489051">
          <w:marLeft w:val="0"/>
          <w:marRight w:val="0"/>
          <w:marTop w:val="0"/>
          <w:marBottom w:val="0"/>
          <w:divBdr>
            <w:top w:val="none" w:sz="0" w:space="0" w:color="auto"/>
            <w:left w:val="none" w:sz="0" w:space="0" w:color="auto"/>
            <w:bottom w:val="none" w:sz="0" w:space="0" w:color="auto"/>
            <w:right w:val="none" w:sz="0" w:space="0" w:color="auto"/>
          </w:divBdr>
        </w:div>
        <w:div w:id="877858301">
          <w:marLeft w:val="0"/>
          <w:marRight w:val="0"/>
          <w:marTop w:val="0"/>
          <w:marBottom w:val="0"/>
          <w:divBdr>
            <w:top w:val="none" w:sz="0" w:space="0" w:color="auto"/>
            <w:left w:val="none" w:sz="0" w:space="0" w:color="auto"/>
            <w:bottom w:val="none" w:sz="0" w:space="0" w:color="auto"/>
            <w:right w:val="none" w:sz="0" w:space="0" w:color="auto"/>
          </w:divBdr>
        </w:div>
        <w:div w:id="1075739000">
          <w:marLeft w:val="0"/>
          <w:marRight w:val="0"/>
          <w:marTop w:val="0"/>
          <w:marBottom w:val="0"/>
          <w:divBdr>
            <w:top w:val="none" w:sz="0" w:space="0" w:color="auto"/>
            <w:left w:val="none" w:sz="0" w:space="0" w:color="auto"/>
            <w:bottom w:val="none" w:sz="0" w:space="0" w:color="auto"/>
            <w:right w:val="none" w:sz="0" w:space="0" w:color="auto"/>
          </w:divBdr>
        </w:div>
        <w:div w:id="481965688">
          <w:marLeft w:val="0"/>
          <w:marRight w:val="0"/>
          <w:marTop w:val="0"/>
          <w:marBottom w:val="0"/>
          <w:divBdr>
            <w:top w:val="none" w:sz="0" w:space="0" w:color="auto"/>
            <w:left w:val="none" w:sz="0" w:space="0" w:color="auto"/>
            <w:bottom w:val="none" w:sz="0" w:space="0" w:color="auto"/>
            <w:right w:val="none" w:sz="0" w:space="0" w:color="auto"/>
          </w:divBdr>
        </w:div>
        <w:div w:id="801266722">
          <w:marLeft w:val="0"/>
          <w:marRight w:val="0"/>
          <w:marTop w:val="0"/>
          <w:marBottom w:val="0"/>
          <w:divBdr>
            <w:top w:val="none" w:sz="0" w:space="0" w:color="auto"/>
            <w:left w:val="none" w:sz="0" w:space="0" w:color="auto"/>
            <w:bottom w:val="none" w:sz="0" w:space="0" w:color="auto"/>
            <w:right w:val="none" w:sz="0" w:space="0" w:color="auto"/>
          </w:divBdr>
        </w:div>
        <w:div w:id="826676098">
          <w:marLeft w:val="0"/>
          <w:marRight w:val="0"/>
          <w:marTop w:val="0"/>
          <w:marBottom w:val="0"/>
          <w:divBdr>
            <w:top w:val="none" w:sz="0" w:space="0" w:color="auto"/>
            <w:left w:val="none" w:sz="0" w:space="0" w:color="auto"/>
            <w:bottom w:val="none" w:sz="0" w:space="0" w:color="auto"/>
            <w:right w:val="none" w:sz="0" w:space="0" w:color="auto"/>
          </w:divBdr>
        </w:div>
        <w:div w:id="1933468343">
          <w:marLeft w:val="0"/>
          <w:marRight w:val="0"/>
          <w:marTop w:val="0"/>
          <w:marBottom w:val="0"/>
          <w:divBdr>
            <w:top w:val="none" w:sz="0" w:space="0" w:color="auto"/>
            <w:left w:val="none" w:sz="0" w:space="0" w:color="auto"/>
            <w:bottom w:val="none" w:sz="0" w:space="0" w:color="auto"/>
            <w:right w:val="none" w:sz="0" w:space="0" w:color="auto"/>
          </w:divBdr>
        </w:div>
        <w:div w:id="970551464">
          <w:marLeft w:val="0"/>
          <w:marRight w:val="0"/>
          <w:marTop w:val="0"/>
          <w:marBottom w:val="0"/>
          <w:divBdr>
            <w:top w:val="none" w:sz="0" w:space="0" w:color="auto"/>
            <w:left w:val="none" w:sz="0" w:space="0" w:color="auto"/>
            <w:bottom w:val="none" w:sz="0" w:space="0" w:color="auto"/>
            <w:right w:val="none" w:sz="0" w:space="0" w:color="auto"/>
          </w:divBdr>
        </w:div>
        <w:div w:id="2041930529">
          <w:marLeft w:val="0"/>
          <w:marRight w:val="0"/>
          <w:marTop w:val="0"/>
          <w:marBottom w:val="0"/>
          <w:divBdr>
            <w:top w:val="none" w:sz="0" w:space="0" w:color="auto"/>
            <w:left w:val="none" w:sz="0" w:space="0" w:color="auto"/>
            <w:bottom w:val="none" w:sz="0" w:space="0" w:color="auto"/>
            <w:right w:val="none" w:sz="0" w:space="0" w:color="auto"/>
          </w:divBdr>
        </w:div>
      </w:divsChild>
    </w:div>
    <w:div w:id="1665934463">
      <w:bodyDiv w:val="1"/>
      <w:marLeft w:val="0"/>
      <w:marRight w:val="0"/>
      <w:marTop w:val="0"/>
      <w:marBottom w:val="0"/>
      <w:divBdr>
        <w:top w:val="none" w:sz="0" w:space="0" w:color="auto"/>
        <w:left w:val="none" w:sz="0" w:space="0" w:color="auto"/>
        <w:bottom w:val="none" w:sz="0" w:space="0" w:color="auto"/>
        <w:right w:val="none" w:sz="0" w:space="0" w:color="auto"/>
      </w:divBdr>
      <w:divsChild>
        <w:div w:id="680162104">
          <w:marLeft w:val="0"/>
          <w:marRight w:val="0"/>
          <w:marTop w:val="0"/>
          <w:marBottom w:val="0"/>
          <w:divBdr>
            <w:top w:val="none" w:sz="0" w:space="0" w:color="auto"/>
            <w:left w:val="none" w:sz="0" w:space="0" w:color="auto"/>
            <w:bottom w:val="none" w:sz="0" w:space="0" w:color="auto"/>
            <w:right w:val="none" w:sz="0" w:space="0" w:color="auto"/>
          </w:divBdr>
        </w:div>
        <w:div w:id="1288732287">
          <w:marLeft w:val="0"/>
          <w:marRight w:val="0"/>
          <w:marTop w:val="0"/>
          <w:marBottom w:val="0"/>
          <w:divBdr>
            <w:top w:val="none" w:sz="0" w:space="0" w:color="auto"/>
            <w:left w:val="none" w:sz="0" w:space="0" w:color="auto"/>
            <w:bottom w:val="none" w:sz="0" w:space="0" w:color="auto"/>
            <w:right w:val="none" w:sz="0" w:space="0" w:color="auto"/>
          </w:divBdr>
        </w:div>
        <w:div w:id="1876429862">
          <w:marLeft w:val="0"/>
          <w:marRight w:val="0"/>
          <w:marTop w:val="0"/>
          <w:marBottom w:val="0"/>
          <w:divBdr>
            <w:top w:val="none" w:sz="0" w:space="0" w:color="auto"/>
            <w:left w:val="none" w:sz="0" w:space="0" w:color="auto"/>
            <w:bottom w:val="none" w:sz="0" w:space="0" w:color="auto"/>
            <w:right w:val="none" w:sz="0" w:space="0" w:color="auto"/>
          </w:divBdr>
        </w:div>
        <w:div w:id="543709859">
          <w:marLeft w:val="0"/>
          <w:marRight w:val="0"/>
          <w:marTop w:val="0"/>
          <w:marBottom w:val="0"/>
          <w:divBdr>
            <w:top w:val="none" w:sz="0" w:space="0" w:color="auto"/>
            <w:left w:val="none" w:sz="0" w:space="0" w:color="auto"/>
            <w:bottom w:val="none" w:sz="0" w:space="0" w:color="auto"/>
            <w:right w:val="none" w:sz="0" w:space="0" w:color="auto"/>
          </w:divBdr>
        </w:div>
        <w:div w:id="977295132">
          <w:marLeft w:val="0"/>
          <w:marRight w:val="0"/>
          <w:marTop w:val="0"/>
          <w:marBottom w:val="0"/>
          <w:divBdr>
            <w:top w:val="none" w:sz="0" w:space="0" w:color="auto"/>
            <w:left w:val="none" w:sz="0" w:space="0" w:color="auto"/>
            <w:bottom w:val="none" w:sz="0" w:space="0" w:color="auto"/>
            <w:right w:val="none" w:sz="0" w:space="0" w:color="auto"/>
          </w:divBdr>
        </w:div>
        <w:div w:id="1697460000">
          <w:marLeft w:val="0"/>
          <w:marRight w:val="0"/>
          <w:marTop w:val="0"/>
          <w:marBottom w:val="0"/>
          <w:divBdr>
            <w:top w:val="none" w:sz="0" w:space="0" w:color="auto"/>
            <w:left w:val="none" w:sz="0" w:space="0" w:color="auto"/>
            <w:bottom w:val="none" w:sz="0" w:space="0" w:color="auto"/>
            <w:right w:val="none" w:sz="0" w:space="0" w:color="auto"/>
          </w:divBdr>
        </w:div>
        <w:div w:id="46272180">
          <w:marLeft w:val="0"/>
          <w:marRight w:val="0"/>
          <w:marTop w:val="0"/>
          <w:marBottom w:val="0"/>
          <w:divBdr>
            <w:top w:val="none" w:sz="0" w:space="0" w:color="auto"/>
            <w:left w:val="none" w:sz="0" w:space="0" w:color="auto"/>
            <w:bottom w:val="none" w:sz="0" w:space="0" w:color="auto"/>
            <w:right w:val="none" w:sz="0" w:space="0" w:color="auto"/>
          </w:divBdr>
        </w:div>
        <w:div w:id="494030632">
          <w:marLeft w:val="0"/>
          <w:marRight w:val="0"/>
          <w:marTop w:val="0"/>
          <w:marBottom w:val="0"/>
          <w:divBdr>
            <w:top w:val="none" w:sz="0" w:space="0" w:color="auto"/>
            <w:left w:val="none" w:sz="0" w:space="0" w:color="auto"/>
            <w:bottom w:val="none" w:sz="0" w:space="0" w:color="auto"/>
            <w:right w:val="none" w:sz="0" w:space="0" w:color="auto"/>
          </w:divBdr>
        </w:div>
        <w:div w:id="1679455540">
          <w:marLeft w:val="0"/>
          <w:marRight w:val="0"/>
          <w:marTop w:val="0"/>
          <w:marBottom w:val="0"/>
          <w:divBdr>
            <w:top w:val="none" w:sz="0" w:space="0" w:color="auto"/>
            <w:left w:val="none" w:sz="0" w:space="0" w:color="auto"/>
            <w:bottom w:val="none" w:sz="0" w:space="0" w:color="auto"/>
            <w:right w:val="none" w:sz="0" w:space="0" w:color="auto"/>
          </w:divBdr>
        </w:div>
        <w:div w:id="1919099280">
          <w:marLeft w:val="0"/>
          <w:marRight w:val="0"/>
          <w:marTop w:val="0"/>
          <w:marBottom w:val="0"/>
          <w:divBdr>
            <w:top w:val="none" w:sz="0" w:space="0" w:color="auto"/>
            <w:left w:val="none" w:sz="0" w:space="0" w:color="auto"/>
            <w:bottom w:val="none" w:sz="0" w:space="0" w:color="auto"/>
            <w:right w:val="none" w:sz="0" w:space="0" w:color="auto"/>
          </w:divBdr>
        </w:div>
        <w:div w:id="357043448">
          <w:marLeft w:val="0"/>
          <w:marRight w:val="0"/>
          <w:marTop w:val="0"/>
          <w:marBottom w:val="0"/>
          <w:divBdr>
            <w:top w:val="none" w:sz="0" w:space="0" w:color="auto"/>
            <w:left w:val="none" w:sz="0" w:space="0" w:color="auto"/>
            <w:bottom w:val="none" w:sz="0" w:space="0" w:color="auto"/>
            <w:right w:val="none" w:sz="0" w:space="0" w:color="auto"/>
          </w:divBdr>
        </w:div>
        <w:div w:id="372655378">
          <w:marLeft w:val="0"/>
          <w:marRight w:val="0"/>
          <w:marTop w:val="0"/>
          <w:marBottom w:val="0"/>
          <w:divBdr>
            <w:top w:val="none" w:sz="0" w:space="0" w:color="auto"/>
            <w:left w:val="none" w:sz="0" w:space="0" w:color="auto"/>
            <w:bottom w:val="none" w:sz="0" w:space="0" w:color="auto"/>
            <w:right w:val="none" w:sz="0" w:space="0" w:color="auto"/>
          </w:divBdr>
        </w:div>
        <w:div w:id="1590625228">
          <w:marLeft w:val="0"/>
          <w:marRight w:val="0"/>
          <w:marTop w:val="0"/>
          <w:marBottom w:val="0"/>
          <w:divBdr>
            <w:top w:val="none" w:sz="0" w:space="0" w:color="auto"/>
            <w:left w:val="none" w:sz="0" w:space="0" w:color="auto"/>
            <w:bottom w:val="none" w:sz="0" w:space="0" w:color="auto"/>
            <w:right w:val="none" w:sz="0" w:space="0" w:color="auto"/>
          </w:divBdr>
        </w:div>
        <w:div w:id="621037151">
          <w:marLeft w:val="0"/>
          <w:marRight w:val="0"/>
          <w:marTop w:val="0"/>
          <w:marBottom w:val="0"/>
          <w:divBdr>
            <w:top w:val="none" w:sz="0" w:space="0" w:color="auto"/>
            <w:left w:val="none" w:sz="0" w:space="0" w:color="auto"/>
            <w:bottom w:val="none" w:sz="0" w:space="0" w:color="auto"/>
            <w:right w:val="none" w:sz="0" w:space="0" w:color="auto"/>
          </w:divBdr>
        </w:div>
        <w:div w:id="1324548930">
          <w:marLeft w:val="0"/>
          <w:marRight w:val="0"/>
          <w:marTop w:val="0"/>
          <w:marBottom w:val="0"/>
          <w:divBdr>
            <w:top w:val="none" w:sz="0" w:space="0" w:color="auto"/>
            <w:left w:val="none" w:sz="0" w:space="0" w:color="auto"/>
            <w:bottom w:val="none" w:sz="0" w:space="0" w:color="auto"/>
            <w:right w:val="none" w:sz="0" w:space="0" w:color="auto"/>
          </w:divBdr>
        </w:div>
        <w:div w:id="208424551">
          <w:marLeft w:val="0"/>
          <w:marRight w:val="0"/>
          <w:marTop w:val="0"/>
          <w:marBottom w:val="0"/>
          <w:divBdr>
            <w:top w:val="none" w:sz="0" w:space="0" w:color="auto"/>
            <w:left w:val="none" w:sz="0" w:space="0" w:color="auto"/>
            <w:bottom w:val="none" w:sz="0" w:space="0" w:color="auto"/>
            <w:right w:val="none" w:sz="0" w:space="0" w:color="auto"/>
          </w:divBdr>
        </w:div>
        <w:div w:id="1798909899">
          <w:marLeft w:val="0"/>
          <w:marRight w:val="0"/>
          <w:marTop w:val="0"/>
          <w:marBottom w:val="0"/>
          <w:divBdr>
            <w:top w:val="none" w:sz="0" w:space="0" w:color="auto"/>
            <w:left w:val="none" w:sz="0" w:space="0" w:color="auto"/>
            <w:bottom w:val="none" w:sz="0" w:space="0" w:color="auto"/>
            <w:right w:val="none" w:sz="0" w:space="0" w:color="auto"/>
          </w:divBdr>
        </w:div>
        <w:div w:id="611059783">
          <w:marLeft w:val="0"/>
          <w:marRight w:val="0"/>
          <w:marTop w:val="0"/>
          <w:marBottom w:val="0"/>
          <w:divBdr>
            <w:top w:val="none" w:sz="0" w:space="0" w:color="auto"/>
            <w:left w:val="none" w:sz="0" w:space="0" w:color="auto"/>
            <w:bottom w:val="none" w:sz="0" w:space="0" w:color="auto"/>
            <w:right w:val="none" w:sz="0" w:space="0" w:color="auto"/>
          </w:divBdr>
        </w:div>
        <w:div w:id="501317607">
          <w:marLeft w:val="0"/>
          <w:marRight w:val="0"/>
          <w:marTop w:val="0"/>
          <w:marBottom w:val="0"/>
          <w:divBdr>
            <w:top w:val="none" w:sz="0" w:space="0" w:color="auto"/>
            <w:left w:val="none" w:sz="0" w:space="0" w:color="auto"/>
            <w:bottom w:val="none" w:sz="0" w:space="0" w:color="auto"/>
            <w:right w:val="none" w:sz="0" w:space="0" w:color="auto"/>
          </w:divBdr>
        </w:div>
        <w:div w:id="1959489439">
          <w:marLeft w:val="0"/>
          <w:marRight w:val="0"/>
          <w:marTop w:val="0"/>
          <w:marBottom w:val="0"/>
          <w:divBdr>
            <w:top w:val="none" w:sz="0" w:space="0" w:color="auto"/>
            <w:left w:val="none" w:sz="0" w:space="0" w:color="auto"/>
            <w:bottom w:val="none" w:sz="0" w:space="0" w:color="auto"/>
            <w:right w:val="none" w:sz="0" w:space="0" w:color="auto"/>
          </w:divBdr>
        </w:div>
        <w:div w:id="1146895467">
          <w:marLeft w:val="0"/>
          <w:marRight w:val="0"/>
          <w:marTop w:val="0"/>
          <w:marBottom w:val="0"/>
          <w:divBdr>
            <w:top w:val="none" w:sz="0" w:space="0" w:color="auto"/>
            <w:left w:val="none" w:sz="0" w:space="0" w:color="auto"/>
            <w:bottom w:val="none" w:sz="0" w:space="0" w:color="auto"/>
            <w:right w:val="none" w:sz="0" w:space="0" w:color="auto"/>
          </w:divBdr>
        </w:div>
        <w:div w:id="1811433443">
          <w:marLeft w:val="0"/>
          <w:marRight w:val="0"/>
          <w:marTop w:val="0"/>
          <w:marBottom w:val="0"/>
          <w:divBdr>
            <w:top w:val="none" w:sz="0" w:space="0" w:color="auto"/>
            <w:left w:val="none" w:sz="0" w:space="0" w:color="auto"/>
            <w:bottom w:val="none" w:sz="0" w:space="0" w:color="auto"/>
            <w:right w:val="none" w:sz="0" w:space="0" w:color="auto"/>
          </w:divBdr>
        </w:div>
        <w:div w:id="1843005867">
          <w:marLeft w:val="0"/>
          <w:marRight w:val="0"/>
          <w:marTop w:val="0"/>
          <w:marBottom w:val="0"/>
          <w:divBdr>
            <w:top w:val="none" w:sz="0" w:space="0" w:color="auto"/>
            <w:left w:val="none" w:sz="0" w:space="0" w:color="auto"/>
            <w:bottom w:val="none" w:sz="0" w:space="0" w:color="auto"/>
            <w:right w:val="none" w:sz="0" w:space="0" w:color="auto"/>
          </w:divBdr>
        </w:div>
        <w:div w:id="1959990511">
          <w:marLeft w:val="0"/>
          <w:marRight w:val="0"/>
          <w:marTop w:val="0"/>
          <w:marBottom w:val="0"/>
          <w:divBdr>
            <w:top w:val="none" w:sz="0" w:space="0" w:color="auto"/>
            <w:left w:val="none" w:sz="0" w:space="0" w:color="auto"/>
            <w:bottom w:val="none" w:sz="0" w:space="0" w:color="auto"/>
            <w:right w:val="none" w:sz="0" w:space="0" w:color="auto"/>
          </w:divBdr>
        </w:div>
        <w:div w:id="574359090">
          <w:marLeft w:val="0"/>
          <w:marRight w:val="0"/>
          <w:marTop w:val="0"/>
          <w:marBottom w:val="0"/>
          <w:divBdr>
            <w:top w:val="none" w:sz="0" w:space="0" w:color="auto"/>
            <w:left w:val="none" w:sz="0" w:space="0" w:color="auto"/>
            <w:bottom w:val="none" w:sz="0" w:space="0" w:color="auto"/>
            <w:right w:val="none" w:sz="0" w:space="0" w:color="auto"/>
          </w:divBdr>
        </w:div>
        <w:div w:id="1141970358">
          <w:marLeft w:val="0"/>
          <w:marRight w:val="0"/>
          <w:marTop w:val="0"/>
          <w:marBottom w:val="0"/>
          <w:divBdr>
            <w:top w:val="none" w:sz="0" w:space="0" w:color="auto"/>
            <w:left w:val="none" w:sz="0" w:space="0" w:color="auto"/>
            <w:bottom w:val="none" w:sz="0" w:space="0" w:color="auto"/>
            <w:right w:val="none" w:sz="0" w:space="0" w:color="auto"/>
          </w:divBdr>
        </w:div>
        <w:div w:id="2109038762">
          <w:marLeft w:val="0"/>
          <w:marRight w:val="0"/>
          <w:marTop w:val="0"/>
          <w:marBottom w:val="0"/>
          <w:divBdr>
            <w:top w:val="none" w:sz="0" w:space="0" w:color="auto"/>
            <w:left w:val="none" w:sz="0" w:space="0" w:color="auto"/>
            <w:bottom w:val="none" w:sz="0" w:space="0" w:color="auto"/>
            <w:right w:val="none" w:sz="0" w:space="0" w:color="auto"/>
          </w:divBdr>
        </w:div>
        <w:div w:id="109134282">
          <w:marLeft w:val="0"/>
          <w:marRight w:val="0"/>
          <w:marTop w:val="0"/>
          <w:marBottom w:val="0"/>
          <w:divBdr>
            <w:top w:val="none" w:sz="0" w:space="0" w:color="auto"/>
            <w:left w:val="none" w:sz="0" w:space="0" w:color="auto"/>
            <w:bottom w:val="none" w:sz="0" w:space="0" w:color="auto"/>
            <w:right w:val="none" w:sz="0" w:space="0" w:color="auto"/>
          </w:divBdr>
        </w:div>
        <w:div w:id="111437688">
          <w:marLeft w:val="0"/>
          <w:marRight w:val="0"/>
          <w:marTop w:val="0"/>
          <w:marBottom w:val="0"/>
          <w:divBdr>
            <w:top w:val="none" w:sz="0" w:space="0" w:color="auto"/>
            <w:left w:val="none" w:sz="0" w:space="0" w:color="auto"/>
            <w:bottom w:val="none" w:sz="0" w:space="0" w:color="auto"/>
            <w:right w:val="none" w:sz="0" w:space="0" w:color="auto"/>
          </w:divBdr>
        </w:div>
        <w:div w:id="480737608">
          <w:marLeft w:val="0"/>
          <w:marRight w:val="0"/>
          <w:marTop w:val="0"/>
          <w:marBottom w:val="0"/>
          <w:divBdr>
            <w:top w:val="none" w:sz="0" w:space="0" w:color="auto"/>
            <w:left w:val="none" w:sz="0" w:space="0" w:color="auto"/>
            <w:bottom w:val="none" w:sz="0" w:space="0" w:color="auto"/>
            <w:right w:val="none" w:sz="0" w:space="0" w:color="auto"/>
          </w:divBdr>
        </w:div>
        <w:div w:id="1913197240">
          <w:marLeft w:val="0"/>
          <w:marRight w:val="0"/>
          <w:marTop w:val="0"/>
          <w:marBottom w:val="0"/>
          <w:divBdr>
            <w:top w:val="none" w:sz="0" w:space="0" w:color="auto"/>
            <w:left w:val="none" w:sz="0" w:space="0" w:color="auto"/>
            <w:bottom w:val="none" w:sz="0" w:space="0" w:color="auto"/>
            <w:right w:val="none" w:sz="0" w:space="0" w:color="auto"/>
          </w:divBdr>
        </w:div>
        <w:div w:id="895434235">
          <w:marLeft w:val="0"/>
          <w:marRight w:val="0"/>
          <w:marTop w:val="0"/>
          <w:marBottom w:val="0"/>
          <w:divBdr>
            <w:top w:val="none" w:sz="0" w:space="0" w:color="auto"/>
            <w:left w:val="none" w:sz="0" w:space="0" w:color="auto"/>
            <w:bottom w:val="none" w:sz="0" w:space="0" w:color="auto"/>
            <w:right w:val="none" w:sz="0" w:space="0" w:color="auto"/>
          </w:divBdr>
        </w:div>
        <w:div w:id="1742210644">
          <w:marLeft w:val="0"/>
          <w:marRight w:val="0"/>
          <w:marTop w:val="0"/>
          <w:marBottom w:val="0"/>
          <w:divBdr>
            <w:top w:val="none" w:sz="0" w:space="0" w:color="auto"/>
            <w:left w:val="none" w:sz="0" w:space="0" w:color="auto"/>
            <w:bottom w:val="none" w:sz="0" w:space="0" w:color="auto"/>
            <w:right w:val="none" w:sz="0" w:space="0" w:color="auto"/>
          </w:divBdr>
        </w:div>
        <w:div w:id="1415203790">
          <w:marLeft w:val="0"/>
          <w:marRight w:val="0"/>
          <w:marTop w:val="0"/>
          <w:marBottom w:val="0"/>
          <w:divBdr>
            <w:top w:val="none" w:sz="0" w:space="0" w:color="auto"/>
            <w:left w:val="none" w:sz="0" w:space="0" w:color="auto"/>
            <w:bottom w:val="none" w:sz="0" w:space="0" w:color="auto"/>
            <w:right w:val="none" w:sz="0" w:space="0" w:color="auto"/>
          </w:divBdr>
        </w:div>
        <w:div w:id="1297490767">
          <w:marLeft w:val="0"/>
          <w:marRight w:val="0"/>
          <w:marTop w:val="0"/>
          <w:marBottom w:val="0"/>
          <w:divBdr>
            <w:top w:val="none" w:sz="0" w:space="0" w:color="auto"/>
            <w:left w:val="none" w:sz="0" w:space="0" w:color="auto"/>
            <w:bottom w:val="none" w:sz="0" w:space="0" w:color="auto"/>
            <w:right w:val="none" w:sz="0" w:space="0" w:color="auto"/>
          </w:divBdr>
        </w:div>
        <w:div w:id="392200051">
          <w:marLeft w:val="0"/>
          <w:marRight w:val="0"/>
          <w:marTop w:val="0"/>
          <w:marBottom w:val="0"/>
          <w:divBdr>
            <w:top w:val="none" w:sz="0" w:space="0" w:color="auto"/>
            <w:left w:val="none" w:sz="0" w:space="0" w:color="auto"/>
            <w:bottom w:val="none" w:sz="0" w:space="0" w:color="auto"/>
            <w:right w:val="none" w:sz="0" w:space="0" w:color="auto"/>
          </w:divBdr>
        </w:div>
        <w:div w:id="126120468">
          <w:marLeft w:val="0"/>
          <w:marRight w:val="0"/>
          <w:marTop w:val="0"/>
          <w:marBottom w:val="0"/>
          <w:divBdr>
            <w:top w:val="none" w:sz="0" w:space="0" w:color="auto"/>
            <w:left w:val="none" w:sz="0" w:space="0" w:color="auto"/>
            <w:bottom w:val="none" w:sz="0" w:space="0" w:color="auto"/>
            <w:right w:val="none" w:sz="0" w:space="0" w:color="auto"/>
          </w:divBdr>
        </w:div>
        <w:div w:id="421342609">
          <w:marLeft w:val="0"/>
          <w:marRight w:val="0"/>
          <w:marTop w:val="0"/>
          <w:marBottom w:val="0"/>
          <w:divBdr>
            <w:top w:val="none" w:sz="0" w:space="0" w:color="auto"/>
            <w:left w:val="none" w:sz="0" w:space="0" w:color="auto"/>
            <w:bottom w:val="none" w:sz="0" w:space="0" w:color="auto"/>
            <w:right w:val="none" w:sz="0" w:space="0" w:color="auto"/>
          </w:divBdr>
        </w:div>
        <w:div w:id="703869063">
          <w:marLeft w:val="0"/>
          <w:marRight w:val="0"/>
          <w:marTop w:val="0"/>
          <w:marBottom w:val="0"/>
          <w:divBdr>
            <w:top w:val="none" w:sz="0" w:space="0" w:color="auto"/>
            <w:left w:val="none" w:sz="0" w:space="0" w:color="auto"/>
            <w:bottom w:val="none" w:sz="0" w:space="0" w:color="auto"/>
            <w:right w:val="none" w:sz="0" w:space="0" w:color="auto"/>
          </w:divBdr>
        </w:div>
        <w:div w:id="1157837882">
          <w:marLeft w:val="0"/>
          <w:marRight w:val="0"/>
          <w:marTop w:val="0"/>
          <w:marBottom w:val="0"/>
          <w:divBdr>
            <w:top w:val="none" w:sz="0" w:space="0" w:color="auto"/>
            <w:left w:val="none" w:sz="0" w:space="0" w:color="auto"/>
            <w:bottom w:val="none" w:sz="0" w:space="0" w:color="auto"/>
            <w:right w:val="none" w:sz="0" w:space="0" w:color="auto"/>
          </w:divBdr>
        </w:div>
        <w:div w:id="897324415">
          <w:marLeft w:val="0"/>
          <w:marRight w:val="0"/>
          <w:marTop w:val="0"/>
          <w:marBottom w:val="0"/>
          <w:divBdr>
            <w:top w:val="none" w:sz="0" w:space="0" w:color="auto"/>
            <w:left w:val="none" w:sz="0" w:space="0" w:color="auto"/>
            <w:bottom w:val="none" w:sz="0" w:space="0" w:color="auto"/>
            <w:right w:val="none" w:sz="0" w:space="0" w:color="auto"/>
          </w:divBdr>
        </w:div>
        <w:div w:id="699092842">
          <w:marLeft w:val="0"/>
          <w:marRight w:val="0"/>
          <w:marTop w:val="0"/>
          <w:marBottom w:val="0"/>
          <w:divBdr>
            <w:top w:val="none" w:sz="0" w:space="0" w:color="auto"/>
            <w:left w:val="none" w:sz="0" w:space="0" w:color="auto"/>
            <w:bottom w:val="none" w:sz="0" w:space="0" w:color="auto"/>
            <w:right w:val="none" w:sz="0" w:space="0" w:color="auto"/>
          </w:divBdr>
        </w:div>
        <w:div w:id="907692956">
          <w:marLeft w:val="0"/>
          <w:marRight w:val="0"/>
          <w:marTop w:val="0"/>
          <w:marBottom w:val="0"/>
          <w:divBdr>
            <w:top w:val="none" w:sz="0" w:space="0" w:color="auto"/>
            <w:left w:val="none" w:sz="0" w:space="0" w:color="auto"/>
            <w:bottom w:val="none" w:sz="0" w:space="0" w:color="auto"/>
            <w:right w:val="none" w:sz="0" w:space="0" w:color="auto"/>
          </w:divBdr>
        </w:div>
        <w:div w:id="998578004">
          <w:marLeft w:val="0"/>
          <w:marRight w:val="0"/>
          <w:marTop w:val="0"/>
          <w:marBottom w:val="0"/>
          <w:divBdr>
            <w:top w:val="none" w:sz="0" w:space="0" w:color="auto"/>
            <w:left w:val="none" w:sz="0" w:space="0" w:color="auto"/>
            <w:bottom w:val="none" w:sz="0" w:space="0" w:color="auto"/>
            <w:right w:val="none" w:sz="0" w:space="0" w:color="auto"/>
          </w:divBdr>
        </w:div>
        <w:div w:id="2031224259">
          <w:marLeft w:val="0"/>
          <w:marRight w:val="0"/>
          <w:marTop w:val="0"/>
          <w:marBottom w:val="0"/>
          <w:divBdr>
            <w:top w:val="none" w:sz="0" w:space="0" w:color="auto"/>
            <w:left w:val="none" w:sz="0" w:space="0" w:color="auto"/>
            <w:bottom w:val="none" w:sz="0" w:space="0" w:color="auto"/>
            <w:right w:val="none" w:sz="0" w:space="0" w:color="auto"/>
          </w:divBdr>
        </w:div>
        <w:div w:id="77362063">
          <w:marLeft w:val="0"/>
          <w:marRight w:val="0"/>
          <w:marTop w:val="0"/>
          <w:marBottom w:val="0"/>
          <w:divBdr>
            <w:top w:val="none" w:sz="0" w:space="0" w:color="auto"/>
            <w:left w:val="none" w:sz="0" w:space="0" w:color="auto"/>
            <w:bottom w:val="none" w:sz="0" w:space="0" w:color="auto"/>
            <w:right w:val="none" w:sz="0" w:space="0" w:color="auto"/>
          </w:divBdr>
        </w:div>
        <w:div w:id="1866944834">
          <w:marLeft w:val="0"/>
          <w:marRight w:val="0"/>
          <w:marTop w:val="0"/>
          <w:marBottom w:val="0"/>
          <w:divBdr>
            <w:top w:val="none" w:sz="0" w:space="0" w:color="auto"/>
            <w:left w:val="none" w:sz="0" w:space="0" w:color="auto"/>
            <w:bottom w:val="none" w:sz="0" w:space="0" w:color="auto"/>
            <w:right w:val="none" w:sz="0" w:space="0" w:color="auto"/>
          </w:divBdr>
        </w:div>
        <w:div w:id="1951085383">
          <w:marLeft w:val="0"/>
          <w:marRight w:val="0"/>
          <w:marTop w:val="0"/>
          <w:marBottom w:val="0"/>
          <w:divBdr>
            <w:top w:val="none" w:sz="0" w:space="0" w:color="auto"/>
            <w:left w:val="none" w:sz="0" w:space="0" w:color="auto"/>
            <w:bottom w:val="none" w:sz="0" w:space="0" w:color="auto"/>
            <w:right w:val="none" w:sz="0" w:space="0" w:color="auto"/>
          </w:divBdr>
        </w:div>
        <w:div w:id="806976832">
          <w:marLeft w:val="0"/>
          <w:marRight w:val="0"/>
          <w:marTop w:val="0"/>
          <w:marBottom w:val="0"/>
          <w:divBdr>
            <w:top w:val="none" w:sz="0" w:space="0" w:color="auto"/>
            <w:left w:val="none" w:sz="0" w:space="0" w:color="auto"/>
            <w:bottom w:val="none" w:sz="0" w:space="0" w:color="auto"/>
            <w:right w:val="none" w:sz="0" w:space="0" w:color="auto"/>
          </w:divBdr>
        </w:div>
        <w:div w:id="1055816665">
          <w:marLeft w:val="0"/>
          <w:marRight w:val="0"/>
          <w:marTop w:val="0"/>
          <w:marBottom w:val="0"/>
          <w:divBdr>
            <w:top w:val="none" w:sz="0" w:space="0" w:color="auto"/>
            <w:left w:val="none" w:sz="0" w:space="0" w:color="auto"/>
            <w:bottom w:val="none" w:sz="0" w:space="0" w:color="auto"/>
            <w:right w:val="none" w:sz="0" w:space="0" w:color="auto"/>
          </w:divBdr>
        </w:div>
        <w:div w:id="1571302699">
          <w:marLeft w:val="0"/>
          <w:marRight w:val="0"/>
          <w:marTop w:val="0"/>
          <w:marBottom w:val="0"/>
          <w:divBdr>
            <w:top w:val="none" w:sz="0" w:space="0" w:color="auto"/>
            <w:left w:val="none" w:sz="0" w:space="0" w:color="auto"/>
            <w:bottom w:val="none" w:sz="0" w:space="0" w:color="auto"/>
            <w:right w:val="none" w:sz="0" w:space="0" w:color="auto"/>
          </w:divBdr>
        </w:div>
        <w:div w:id="1390349212">
          <w:marLeft w:val="0"/>
          <w:marRight w:val="0"/>
          <w:marTop w:val="0"/>
          <w:marBottom w:val="0"/>
          <w:divBdr>
            <w:top w:val="none" w:sz="0" w:space="0" w:color="auto"/>
            <w:left w:val="none" w:sz="0" w:space="0" w:color="auto"/>
            <w:bottom w:val="none" w:sz="0" w:space="0" w:color="auto"/>
            <w:right w:val="none" w:sz="0" w:space="0" w:color="auto"/>
          </w:divBdr>
        </w:div>
        <w:div w:id="1913586930">
          <w:marLeft w:val="0"/>
          <w:marRight w:val="0"/>
          <w:marTop w:val="0"/>
          <w:marBottom w:val="0"/>
          <w:divBdr>
            <w:top w:val="none" w:sz="0" w:space="0" w:color="auto"/>
            <w:left w:val="none" w:sz="0" w:space="0" w:color="auto"/>
            <w:bottom w:val="none" w:sz="0" w:space="0" w:color="auto"/>
            <w:right w:val="none" w:sz="0" w:space="0" w:color="auto"/>
          </w:divBdr>
        </w:div>
        <w:div w:id="971056478">
          <w:marLeft w:val="0"/>
          <w:marRight w:val="0"/>
          <w:marTop w:val="0"/>
          <w:marBottom w:val="0"/>
          <w:divBdr>
            <w:top w:val="none" w:sz="0" w:space="0" w:color="auto"/>
            <w:left w:val="none" w:sz="0" w:space="0" w:color="auto"/>
            <w:bottom w:val="none" w:sz="0" w:space="0" w:color="auto"/>
            <w:right w:val="none" w:sz="0" w:space="0" w:color="auto"/>
          </w:divBdr>
        </w:div>
        <w:div w:id="331836744">
          <w:marLeft w:val="0"/>
          <w:marRight w:val="0"/>
          <w:marTop w:val="0"/>
          <w:marBottom w:val="0"/>
          <w:divBdr>
            <w:top w:val="none" w:sz="0" w:space="0" w:color="auto"/>
            <w:left w:val="none" w:sz="0" w:space="0" w:color="auto"/>
            <w:bottom w:val="none" w:sz="0" w:space="0" w:color="auto"/>
            <w:right w:val="none" w:sz="0" w:space="0" w:color="auto"/>
          </w:divBdr>
        </w:div>
        <w:div w:id="366099178">
          <w:marLeft w:val="0"/>
          <w:marRight w:val="0"/>
          <w:marTop w:val="0"/>
          <w:marBottom w:val="0"/>
          <w:divBdr>
            <w:top w:val="none" w:sz="0" w:space="0" w:color="auto"/>
            <w:left w:val="none" w:sz="0" w:space="0" w:color="auto"/>
            <w:bottom w:val="none" w:sz="0" w:space="0" w:color="auto"/>
            <w:right w:val="none" w:sz="0" w:space="0" w:color="auto"/>
          </w:divBdr>
        </w:div>
        <w:div w:id="1154183882">
          <w:marLeft w:val="0"/>
          <w:marRight w:val="0"/>
          <w:marTop w:val="0"/>
          <w:marBottom w:val="0"/>
          <w:divBdr>
            <w:top w:val="none" w:sz="0" w:space="0" w:color="auto"/>
            <w:left w:val="none" w:sz="0" w:space="0" w:color="auto"/>
            <w:bottom w:val="none" w:sz="0" w:space="0" w:color="auto"/>
            <w:right w:val="none" w:sz="0" w:space="0" w:color="auto"/>
          </w:divBdr>
        </w:div>
        <w:div w:id="1314943337">
          <w:marLeft w:val="0"/>
          <w:marRight w:val="0"/>
          <w:marTop w:val="0"/>
          <w:marBottom w:val="0"/>
          <w:divBdr>
            <w:top w:val="none" w:sz="0" w:space="0" w:color="auto"/>
            <w:left w:val="none" w:sz="0" w:space="0" w:color="auto"/>
            <w:bottom w:val="none" w:sz="0" w:space="0" w:color="auto"/>
            <w:right w:val="none" w:sz="0" w:space="0" w:color="auto"/>
          </w:divBdr>
        </w:div>
        <w:div w:id="1765952810">
          <w:marLeft w:val="0"/>
          <w:marRight w:val="0"/>
          <w:marTop w:val="0"/>
          <w:marBottom w:val="0"/>
          <w:divBdr>
            <w:top w:val="none" w:sz="0" w:space="0" w:color="auto"/>
            <w:left w:val="none" w:sz="0" w:space="0" w:color="auto"/>
            <w:bottom w:val="none" w:sz="0" w:space="0" w:color="auto"/>
            <w:right w:val="none" w:sz="0" w:space="0" w:color="auto"/>
          </w:divBdr>
        </w:div>
        <w:div w:id="1597517542">
          <w:marLeft w:val="0"/>
          <w:marRight w:val="0"/>
          <w:marTop w:val="0"/>
          <w:marBottom w:val="0"/>
          <w:divBdr>
            <w:top w:val="none" w:sz="0" w:space="0" w:color="auto"/>
            <w:left w:val="none" w:sz="0" w:space="0" w:color="auto"/>
            <w:bottom w:val="none" w:sz="0" w:space="0" w:color="auto"/>
            <w:right w:val="none" w:sz="0" w:space="0" w:color="auto"/>
          </w:divBdr>
        </w:div>
        <w:div w:id="1175267919">
          <w:marLeft w:val="0"/>
          <w:marRight w:val="0"/>
          <w:marTop w:val="0"/>
          <w:marBottom w:val="0"/>
          <w:divBdr>
            <w:top w:val="none" w:sz="0" w:space="0" w:color="auto"/>
            <w:left w:val="none" w:sz="0" w:space="0" w:color="auto"/>
            <w:bottom w:val="none" w:sz="0" w:space="0" w:color="auto"/>
            <w:right w:val="none" w:sz="0" w:space="0" w:color="auto"/>
          </w:divBdr>
        </w:div>
        <w:div w:id="672029953">
          <w:marLeft w:val="0"/>
          <w:marRight w:val="0"/>
          <w:marTop w:val="0"/>
          <w:marBottom w:val="0"/>
          <w:divBdr>
            <w:top w:val="none" w:sz="0" w:space="0" w:color="auto"/>
            <w:left w:val="none" w:sz="0" w:space="0" w:color="auto"/>
            <w:bottom w:val="none" w:sz="0" w:space="0" w:color="auto"/>
            <w:right w:val="none" w:sz="0" w:space="0" w:color="auto"/>
          </w:divBdr>
        </w:div>
        <w:div w:id="103350852">
          <w:marLeft w:val="0"/>
          <w:marRight w:val="0"/>
          <w:marTop w:val="0"/>
          <w:marBottom w:val="0"/>
          <w:divBdr>
            <w:top w:val="none" w:sz="0" w:space="0" w:color="auto"/>
            <w:left w:val="none" w:sz="0" w:space="0" w:color="auto"/>
            <w:bottom w:val="none" w:sz="0" w:space="0" w:color="auto"/>
            <w:right w:val="none" w:sz="0" w:space="0" w:color="auto"/>
          </w:divBdr>
        </w:div>
        <w:div w:id="1717895500">
          <w:marLeft w:val="0"/>
          <w:marRight w:val="0"/>
          <w:marTop w:val="0"/>
          <w:marBottom w:val="0"/>
          <w:divBdr>
            <w:top w:val="none" w:sz="0" w:space="0" w:color="auto"/>
            <w:left w:val="none" w:sz="0" w:space="0" w:color="auto"/>
            <w:bottom w:val="none" w:sz="0" w:space="0" w:color="auto"/>
            <w:right w:val="none" w:sz="0" w:space="0" w:color="auto"/>
          </w:divBdr>
        </w:div>
        <w:div w:id="970743329">
          <w:marLeft w:val="0"/>
          <w:marRight w:val="0"/>
          <w:marTop w:val="0"/>
          <w:marBottom w:val="0"/>
          <w:divBdr>
            <w:top w:val="none" w:sz="0" w:space="0" w:color="auto"/>
            <w:left w:val="none" w:sz="0" w:space="0" w:color="auto"/>
            <w:bottom w:val="none" w:sz="0" w:space="0" w:color="auto"/>
            <w:right w:val="none" w:sz="0" w:space="0" w:color="auto"/>
          </w:divBdr>
        </w:div>
        <w:div w:id="1276792507">
          <w:marLeft w:val="0"/>
          <w:marRight w:val="0"/>
          <w:marTop w:val="0"/>
          <w:marBottom w:val="0"/>
          <w:divBdr>
            <w:top w:val="none" w:sz="0" w:space="0" w:color="auto"/>
            <w:left w:val="none" w:sz="0" w:space="0" w:color="auto"/>
            <w:bottom w:val="none" w:sz="0" w:space="0" w:color="auto"/>
            <w:right w:val="none" w:sz="0" w:space="0" w:color="auto"/>
          </w:divBdr>
        </w:div>
        <w:div w:id="1990935167">
          <w:marLeft w:val="0"/>
          <w:marRight w:val="0"/>
          <w:marTop w:val="0"/>
          <w:marBottom w:val="0"/>
          <w:divBdr>
            <w:top w:val="none" w:sz="0" w:space="0" w:color="auto"/>
            <w:left w:val="none" w:sz="0" w:space="0" w:color="auto"/>
            <w:bottom w:val="none" w:sz="0" w:space="0" w:color="auto"/>
            <w:right w:val="none" w:sz="0" w:space="0" w:color="auto"/>
          </w:divBdr>
        </w:div>
        <w:div w:id="447359535">
          <w:marLeft w:val="0"/>
          <w:marRight w:val="0"/>
          <w:marTop w:val="0"/>
          <w:marBottom w:val="0"/>
          <w:divBdr>
            <w:top w:val="none" w:sz="0" w:space="0" w:color="auto"/>
            <w:left w:val="none" w:sz="0" w:space="0" w:color="auto"/>
            <w:bottom w:val="none" w:sz="0" w:space="0" w:color="auto"/>
            <w:right w:val="none" w:sz="0" w:space="0" w:color="auto"/>
          </w:divBdr>
        </w:div>
        <w:div w:id="1756053642">
          <w:marLeft w:val="0"/>
          <w:marRight w:val="0"/>
          <w:marTop w:val="0"/>
          <w:marBottom w:val="0"/>
          <w:divBdr>
            <w:top w:val="none" w:sz="0" w:space="0" w:color="auto"/>
            <w:left w:val="none" w:sz="0" w:space="0" w:color="auto"/>
            <w:bottom w:val="none" w:sz="0" w:space="0" w:color="auto"/>
            <w:right w:val="none" w:sz="0" w:space="0" w:color="auto"/>
          </w:divBdr>
        </w:div>
        <w:div w:id="2101095818">
          <w:marLeft w:val="0"/>
          <w:marRight w:val="0"/>
          <w:marTop w:val="0"/>
          <w:marBottom w:val="0"/>
          <w:divBdr>
            <w:top w:val="none" w:sz="0" w:space="0" w:color="auto"/>
            <w:left w:val="none" w:sz="0" w:space="0" w:color="auto"/>
            <w:bottom w:val="none" w:sz="0" w:space="0" w:color="auto"/>
            <w:right w:val="none" w:sz="0" w:space="0" w:color="auto"/>
          </w:divBdr>
        </w:div>
        <w:div w:id="552155734">
          <w:marLeft w:val="0"/>
          <w:marRight w:val="0"/>
          <w:marTop w:val="0"/>
          <w:marBottom w:val="0"/>
          <w:divBdr>
            <w:top w:val="none" w:sz="0" w:space="0" w:color="auto"/>
            <w:left w:val="none" w:sz="0" w:space="0" w:color="auto"/>
            <w:bottom w:val="none" w:sz="0" w:space="0" w:color="auto"/>
            <w:right w:val="none" w:sz="0" w:space="0" w:color="auto"/>
          </w:divBdr>
        </w:div>
        <w:div w:id="504169832">
          <w:marLeft w:val="0"/>
          <w:marRight w:val="0"/>
          <w:marTop w:val="0"/>
          <w:marBottom w:val="0"/>
          <w:divBdr>
            <w:top w:val="none" w:sz="0" w:space="0" w:color="auto"/>
            <w:left w:val="none" w:sz="0" w:space="0" w:color="auto"/>
            <w:bottom w:val="none" w:sz="0" w:space="0" w:color="auto"/>
            <w:right w:val="none" w:sz="0" w:space="0" w:color="auto"/>
          </w:divBdr>
        </w:div>
        <w:div w:id="1929773619">
          <w:marLeft w:val="0"/>
          <w:marRight w:val="0"/>
          <w:marTop w:val="0"/>
          <w:marBottom w:val="0"/>
          <w:divBdr>
            <w:top w:val="none" w:sz="0" w:space="0" w:color="auto"/>
            <w:left w:val="none" w:sz="0" w:space="0" w:color="auto"/>
            <w:bottom w:val="none" w:sz="0" w:space="0" w:color="auto"/>
            <w:right w:val="none" w:sz="0" w:space="0" w:color="auto"/>
          </w:divBdr>
        </w:div>
        <w:div w:id="1880778234">
          <w:marLeft w:val="0"/>
          <w:marRight w:val="0"/>
          <w:marTop w:val="0"/>
          <w:marBottom w:val="0"/>
          <w:divBdr>
            <w:top w:val="none" w:sz="0" w:space="0" w:color="auto"/>
            <w:left w:val="none" w:sz="0" w:space="0" w:color="auto"/>
            <w:bottom w:val="none" w:sz="0" w:space="0" w:color="auto"/>
            <w:right w:val="none" w:sz="0" w:space="0" w:color="auto"/>
          </w:divBdr>
        </w:div>
        <w:div w:id="1425222744">
          <w:marLeft w:val="0"/>
          <w:marRight w:val="0"/>
          <w:marTop w:val="0"/>
          <w:marBottom w:val="0"/>
          <w:divBdr>
            <w:top w:val="none" w:sz="0" w:space="0" w:color="auto"/>
            <w:left w:val="none" w:sz="0" w:space="0" w:color="auto"/>
            <w:bottom w:val="none" w:sz="0" w:space="0" w:color="auto"/>
            <w:right w:val="none" w:sz="0" w:space="0" w:color="auto"/>
          </w:divBdr>
        </w:div>
        <w:div w:id="793252956">
          <w:marLeft w:val="0"/>
          <w:marRight w:val="0"/>
          <w:marTop w:val="0"/>
          <w:marBottom w:val="0"/>
          <w:divBdr>
            <w:top w:val="none" w:sz="0" w:space="0" w:color="auto"/>
            <w:left w:val="none" w:sz="0" w:space="0" w:color="auto"/>
            <w:bottom w:val="none" w:sz="0" w:space="0" w:color="auto"/>
            <w:right w:val="none" w:sz="0" w:space="0" w:color="auto"/>
          </w:divBdr>
        </w:div>
        <w:div w:id="176964813">
          <w:marLeft w:val="0"/>
          <w:marRight w:val="0"/>
          <w:marTop w:val="0"/>
          <w:marBottom w:val="0"/>
          <w:divBdr>
            <w:top w:val="none" w:sz="0" w:space="0" w:color="auto"/>
            <w:left w:val="none" w:sz="0" w:space="0" w:color="auto"/>
            <w:bottom w:val="none" w:sz="0" w:space="0" w:color="auto"/>
            <w:right w:val="none" w:sz="0" w:space="0" w:color="auto"/>
          </w:divBdr>
        </w:div>
        <w:div w:id="2037466511">
          <w:marLeft w:val="0"/>
          <w:marRight w:val="0"/>
          <w:marTop w:val="0"/>
          <w:marBottom w:val="0"/>
          <w:divBdr>
            <w:top w:val="none" w:sz="0" w:space="0" w:color="auto"/>
            <w:left w:val="none" w:sz="0" w:space="0" w:color="auto"/>
            <w:bottom w:val="none" w:sz="0" w:space="0" w:color="auto"/>
            <w:right w:val="none" w:sz="0" w:space="0" w:color="auto"/>
          </w:divBdr>
        </w:div>
        <w:div w:id="536624161">
          <w:marLeft w:val="0"/>
          <w:marRight w:val="0"/>
          <w:marTop w:val="0"/>
          <w:marBottom w:val="0"/>
          <w:divBdr>
            <w:top w:val="none" w:sz="0" w:space="0" w:color="auto"/>
            <w:left w:val="none" w:sz="0" w:space="0" w:color="auto"/>
            <w:bottom w:val="none" w:sz="0" w:space="0" w:color="auto"/>
            <w:right w:val="none" w:sz="0" w:space="0" w:color="auto"/>
          </w:divBdr>
        </w:div>
        <w:div w:id="1618870521">
          <w:marLeft w:val="0"/>
          <w:marRight w:val="0"/>
          <w:marTop w:val="0"/>
          <w:marBottom w:val="0"/>
          <w:divBdr>
            <w:top w:val="none" w:sz="0" w:space="0" w:color="auto"/>
            <w:left w:val="none" w:sz="0" w:space="0" w:color="auto"/>
            <w:bottom w:val="none" w:sz="0" w:space="0" w:color="auto"/>
            <w:right w:val="none" w:sz="0" w:space="0" w:color="auto"/>
          </w:divBdr>
        </w:div>
        <w:div w:id="1505976211">
          <w:marLeft w:val="0"/>
          <w:marRight w:val="0"/>
          <w:marTop w:val="0"/>
          <w:marBottom w:val="0"/>
          <w:divBdr>
            <w:top w:val="none" w:sz="0" w:space="0" w:color="auto"/>
            <w:left w:val="none" w:sz="0" w:space="0" w:color="auto"/>
            <w:bottom w:val="none" w:sz="0" w:space="0" w:color="auto"/>
            <w:right w:val="none" w:sz="0" w:space="0" w:color="auto"/>
          </w:divBdr>
        </w:div>
        <w:div w:id="531383434">
          <w:marLeft w:val="0"/>
          <w:marRight w:val="0"/>
          <w:marTop w:val="0"/>
          <w:marBottom w:val="0"/>
          <w:divBdr>
            <w:top w:val="none" w:sz="0" w:space="0" w:color="auto"/>
            <w:left w:val="none" w:sz="0" w:space="0" w:color="auto"/>
            <w:bottom w:val="none" w:sz="0" w:space="0" w:color="auto"/>
            <w:right w:val="none" w:sz="0" w:space="0" w:color="auto"/>
          </w:divBdr>
        </w:div>
        <w:div w:id="1952855375">
          <w:marLeft w:val="0"/>
          <w:marRight w:val="0"/>
          <w:marTop w:val="0"/>
          <w:marBottom w:val="0"/>
          <w:divBdr>
            <w:top w:val="none" w:sz="0" w:space="0" w:color="auto"/>
            <w:left w:val="none" w:sz="0" w:space="0" w:color="auto"/>
            <w:bottom w:val="none" w:sz="0" w:space="0" w:color="auto"/>
            <w:right w:val="none" w:sz="0" w:space="0" w:color="auto"/>
          </w:divBdr>
        </w:div>
        <w:div w:id="991447525">
          <w:marLeft w:val="0"/>
          <w:marRight w:val="0"/>
          <w:marTop w:val="0"/>
          <w:marBottom w:val="0"/>
          <w:divBdr>
            <w:top w:val="none" w:sz="0" w:space="0" w:color="auto"/>
            <w:left w:val="none" w:sz="0" w:space="0" w:color="auto"/>
            <w:bottom w:val="none" w:sz="0" w:space="0" w:color="auto"/>
            <w:right w:val="none" w:sz="0" w:space="0" w:color="auto"/>
          </w:divBdr>
        </w:div>
        <w:div w:id="1659571102">
          <w:marLeft w:val="0"/>
          <w:marRight w:val="0"/>
          <w:marTop w:val="0"/>
          <w:marBottom w:val="0"/>
          <w:divBdr>
            <w:top w:val="none" w:sz="0" w:space="0" w:color="auto"/>
            <w:left w:val="none" w:sz="0" w:space="0" w:color="auto"/>
            <w:bottom w:val="none" w:sz="0" w:space="0" w:color="auto"/>
            <w:right w:val="none" w:sz="0" w:space="0" w:color="auto"/>
          </w:divBdr>
        </w:div>
        <w:div w:id="995456583">
          <w:marLeft w:val="0"/>
          <w:marRight w:val="0"/>
          <w:marTop w:val="0"/>
          <w:marBottom w:val="0"/>
          <w:divBdr>
            <w:top w:val="none" w:sz="0" w:space="0" w:color="auto"/>
            <w:left w:val="none" w:sz="0" w:space="0" w:color="auto"/>
            <w:bottom w:val="none" w:sz="0" w:space="0" w:color="auto"/>
            <w:right w:val="none" w:sz="0" w:space="0" w:color="auto"/>
          </w:divBdr>
        </w:div>
        <w:div w:id="818613232">
          <w:marLeft w:val="0"/>
          <w:marRight w:val="0"/>
          <w:marTop w:val="0"/>
          <w:marBottom w:val="0"/>
          <w:divBdr>
            <w:top w:val="none" w:sz="0" w:space="0" w:color="auto"/>
            <w:left w:val="none" w:sz="0" w:space="0" w:color="auto"/>
            <w:bottom w:val="none" w:sz="0" w:space="0" w:color="auto"/>
            <w:right w:val="none" w:sz="0" w:space="0" w:color="auto"/>
          </w:divBdr>
        </w:div>
        <w:div w:id="130901562">
          <w:marLeft w:val="0"/>
          <w:marRight w:val="0"/>
          <w:marTop w:val="0"/>
          <w:marBottom w:val="0"/>
          <w:divBdr>
            <w:top w:val="none" w:sz="0" w:space="0" w:color="auto"/>
            <w:left w:val="none" w:sz="0" w:space="0" w:color="auto"/>
            <w:bottom w:val="none" w:sz="0" w:space="0" w:color="auto"/>
            <w:right w:val="none" w:sz="0" w:space="0" w:color="auto"/>
          </w:divBdr>
        </w:div>
        <w:div w:id="1605847982">
          <w:marLeft w:val="0"/>
          <w:marRight w:val="0"/>
          <w:marTop w:val="0"/>
          <w:marBottom w:val="0"/>
          <w:divBdr>
            <w:top w:val="none" w:sz="0" w:space="0" w:color="auto"/>
            <w:left w:val="none" w:sz="0" w:space="0" w:color="auto"/>
            <w:bottom w:val="none" w:sz="0" w:space="0" w:color="auto"/>
            <w:right w:val="none" w:sz="0" w:space="0" w:color="auto"/>
          </w:divBdr>
        </w:div>
        <w:div w:id="1628117838">
          <w:marLeft w:val="0"/>
          <w:marRight w:val="0"/>
          <w:marTop w:val="0"/>
          <w:marBottom w:val="0"/>
          <w:divBdr>
            <w:top w:val="none" w:sz="0" w:space="0" w:color="auto"/>
            <w:left w:val="none" w:sz="0" w:space="0" w:color="auto"/>
            <w:bottom w:val="none" w:sz="0" w:space="0" w:color="auto"/>
            <w:right w:val="none" w:sz="0" w:space="0" w:color="auto"/>
          </w:divBdr>
        </w:div>
        <w:div w:id="175576845">
          <w:marLeft w:val="0"/>
          <w:marRight w:val="0"/>
          <w:marTop w:val="0"/>
          <w:marBottom w:val="0"/>
          <w:divBdr>
            <w:top w:val="none" w:sz="0" w:space="0" w:color="auto"/>
            <w:left w:val="none" w:sz="0" w:space="0" w:color="auto"/>
            <w:bottom w:val="none" w:sz="0" w:space="0" w:color="auto"/>
            <w:right w:val="none" w:sz="0" w:space="0" w:color="auto"/>
          </w:divBdr>
        </w:div>
        <w:div w:id="1551958349">
          <w:marLeft w:val="0"/>
          <w:marRight w:val="0"/>
          <w:marTop w:val="0"/>
          <w:marBottom w:val="0"/>
          <w:divBdr>
            <w:top w:val="none" w:sz="0" w:space="0" w:color="auto"/>
            <w:left w:val="none" w:sz="0" w:space="0" w:color="auto"/>
            <w:bottom w:val="none" w:sz="0" w:space="0" w:color="auto"/>
            <w:right w:val="none" w:sz="0" w:space="0" w:color="auto"/>
          </w:divBdr>
        </w:div>
        <w:div w:id="1638954003">
          <w:marLeft w:val="0"/>
          <w:marRight w:val="0"/>
          <w:marTop w:val="0"/>
          <w:marBottom w:val="0"/>
          <w:divBdr>
            <w:top w:val="none" w:sz="0" w:space="0" w:color="auto"/>
            <w:left w:val="none" w:sz="0" w:space="0" w:color="auto"/>
            <w:bottom w:val="none" w:sz="0" w:space="0" w:color="auto"/>
            <w:right w:val="none" w:sz="0" w:space="0" w:color="auto"/>
          </w:divBdr>
        </w:div>
        <w:div w:id="610206248">
          <w:marLeft w:val="0"/>
          <w:marRight w:val="0"/>
          <w:marTop w:val="0"/>
          <w:marBottom w:val="0"/>
          <w:divBdr>
            <w:top w:val="none" w:sz="0" w:space="0" w:color="auto"/>
            <w:left w:val="none" w:sz="0" w:space="0" w:color="auto"/>
            <w:bottom w:val="none" w:sz="0" w:space="0" w:color="auto"/>
            <w:right w:val="none" w:sz="0" w:space="0" w:color="auto"/>
          </w:divBdr>
        </w:div>
        <w:div w:id="1342706264">
          <w:marLeft w:val="0"/>
          <w:marRight w:val="0"/>
          <w:marTop w:val="0"/>
          <w:marBottom w:val="0"/>
          <w:divBdr>
            <w:top w:val="none" w:sz="0" w:space="0" w:color="auto"/>
            <w:left w:val="none" w:sz="0" w:space="0" w:color="auto"/>
            <w:bottom w:val="none" w:sz="0" w:space="0" w:color="auto"/>
            <w:right w:val="none" w:sz="0" w:space="0" w:color="auto"/>
          </w:divBdr>
        </w:div>
        <w:div w:id="1143691554">
          <w:marLeft w:val="0"/>
          <w:marRight w:val="0"/>
          <w:marTop w:val="0"/>
          <w:marBottom w:val="0"/>
          <w:divBdr>
            <w:top w:val="none" w:sz="0" w:space="0" w:color="auto"/>
            <w:left w:val="none" w:sz="0" w:space="0" w:color="auto"/>
            <w:bottom w:val="none" w:sz="0" w:space="0" w:color="auto"/>
            <w:right w:val="none" w:sz="0" w:space="0" w:color="auto"/>
          </w:divBdr>
        </w:div>
        <w:div w:id="273634046">
          <w:marLeft w:val="0"/>
          <w:marRight w:val="0"/>
          <w:marTop w:val="0"/>
          <w:marBottom w:val="0"/>
          <w:divBdr>
            <w:top w:val="none" w:sz="0" w:space="0" w:color="auto"/>
            <w:left w:val="none" w:sz="0" w:space="0" w:color="auto"/>
            <w:bottom w:val="none" w:sz="0" w:space="0" w:color="auto"/>
            <w:right w:val="none" w:sz="0" w:space="0" w:color="auto"/>
          </w:divBdr>
        </w:div>
        <w:div w:id="1918514354">
          <w:marLeft w:val="0"/>
          <w:marRight w:val="0"/>
          <w:marTop w:val="0"/>
          <w:marBottom w:val="0"/>
          <w:divBdr>
            <w:top w:val="none" w:sz="0" w:space="0" w:color="auto"/>
            <w:left w:val="none" w:sz="0" w:space="0" w:color="auto"/>
            <w:bottom w:val="none" w:sz="0" w:space="0" w:color="auto"/>
            <w:right w:val="none" w:sz="0" w:space="0" w:color="auto"/>
          </w:divBdr>
        </w:div>
        <w:div w:id="767509244">
          <w:marLeft w:val="0"/>
          <w:marRight w:val="0"/>
          <w:marTop w:val="0"/>
          <w:marBottom w:val="0"/>
          <w:divBdr>
            <w:top w:val="none" w:sz="0" w:space="0" w:color="auto"/>
            <w:left w:val="none" w:sz="0" w:space="0" w:color="auto"/>
            <w:bottom w:val="none" w:sz="0" w:space="0" w:color="auto"/>
            <w:right w:val="none" w:sz="0" w:space="0" w:color="auto"/>
          </w:divBdr>
        </w:div>
        <w:div w:id="1458142511">
          <w:marLeft w:val="0"/>
          <w:marRight w:val="0"/>
          <w:marTop w:val="0"/>
          <w:marBottom w:val="0"/>
          <w:divBdr>
            <w:top w:val="none" w:sz="0" w:space="0" w:color="auto"/>
            <w:left w:val="none" w:sz="0" w:space="0" w:color="auto"/>
            <w:bottom w:val="none" w:sz="0" w:space="0" w:color="auto"/>
            <w:right w:val="none" w:sz="0" w:space="0" w:color="auto"/>
          </w:divBdr>
        </w:div>
        <w:div w:id="515270240">
          <w:marLeft w:val="0"/>
          <w:marRight w:val="0"/>
          <w:marTop w:val="0"/>
          <w:marBottom w:val="0"/>
          <w:divBdr>
            <w:top w:val="none" w:sz="0" w:space="0" w:color="auto"/>
            <w:left w:val="none" w:sz="0" w:space="0" w:color="auto"/>
            <w:bottom w:val="none" w:sz="0" w:space="0" w:color="auto"/>
            <w:right w:val="none" w:sz="0" w:space="0" w:color="auto"/>
          </w:divBdr>
        </w:div>
        <w:div w:id="192232389">
          <w:marLeft w:val="0"/>
          <w:marRight w:val="0"/>
          <w:marTop w:val="0"/>
          <w:marBottom w:val="0"/>
          <w:divBdr>
            <w:top w:val="none" w:sz="0" w:space="0" w:color="auto"/>
            <w:left w:val="none" w:sz="0" w:space="0" w:color="auto"/>
            <w:bottom w:val="none" w:sz="0" w:space="0" w:color="auto"/>
            <w:right w:val="none" w:sz="0" w:space="0" w:color="auto"/>
          </w:divBdr>
        </w:div>
        <w:div w:id="405420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topics/medicine-and-dentistry/bone-metabolism" TargetMode="External"/><Relationship Id="rId21" Type="http://schemas.openxmlformats.org/officeDocument/2006/relationships/hyperlink" Target="https://www.sciencedirect.com/topics/biochemistry-genetics-and-molecular-biology/bone-density" TargetMode="External"/><Relationship Id="rId42" Type="http://schemas.openxmlformats.org/officeDocument/2006/relationships/hyperlink" Target="https://www.sciencedirect.com/topics/medicine-and-dentistry/vitamin-d" TargetMode="External"/><Relationship Id="rId63" Type="http://schemas.openxmlformats.org/officeDocument/2006/relationships/hyperlink" Target="https://www.sciencedirect.com/topics/biochemistry-genetics-and-molecular-biology/bone-density" TargetMode="External"/><Relationship Id="rId84" Type="http://schemas.openxmlformats.org/officeDocument/2006/relationships/hyperlink" Target="https://www.sciencedirect.com/science/article/pii/S2352187218300585?via%3Dihub" TargetMode="External"/><Relationship Id="rId138" Type="http://schemas.openxmlformats.org/officeDocument/2006/relationships/hyperlink" Target="https://www.sciencedirect.com/science/article/pii/S2352187218300585?via%3Dihub" TargetMode="External"/><Relationship Id="rId159" Type="http://schemas.openxmlformats.org/officeDocument/2006/relationships/hyperlink" Target="https://www.sciencedirect.com/science/article/pii/S2352187218300585?via%3Dihub" TargetMode="External"/><Relationship Id="rId107" Type="http://schemas.openxmlformats.org/officeDocument/2006/relationships/hyperlink" Target="https://www.sciencedirect.com/topics/medicine-and-dentistry/blood-donor" TargetMode="External"/><Relationship Id="rId11" Type="http://schemas.openxmlformats.org/officeDocument/2006/relationships/hyperlink" Target="https://www.sciencedirect.com/topics/biochemistry-genetics-and-molecular-biology/apheresis" TargetMode="External"/><Relationship Id="rId32" Type="http://schemas.openxmlformats.org/officeDocument/2006/relationships/hyperlink" Target="https://www.sciencedirect.com/topics/medicine-and-dentistry/blood-component" TargetMode="External"/><Relationship Id="rId53" Type="http://schemas.openxmlformats.org/officeDocument/2006/relationships/hyperlink" Target="https://www.sciencedirect.com/topics/medicine-and-dentistry/blood-donor" TargetMode="External"/><Relationship Id="rId74" Type="http://schemas.openxmlformats.org/officeDocument/2006/relationships/hyperlink" Target="https://www.sciencedirect.com/topics/medicine-and-dentistry/blood-donor" TargetMode="External"/><Relationship Id="rId128" Type="http://schemas.openxmlformats.org/officeDocument/2006/relationships/hyperlink" Target="https://www.sciencedirect.com/science/article/pii/S2352187218300585?via%3Dihub" TargetMode="External"/><Relationship Id="rId149" Type="http://schemas.openxmlformats.org/officeDocument/2006/relationships/hyperlink" Target="https://www.sciencedirect.com/science/article/pii/S2352187218300585?via%3Dihub" TargetMode="External"/><Relationship Id="rId5" Type="http://schemas.openxmlformats.org/officeDocument/2006/relationships/styles" Target="styles.xml"/><Relationship Id="rId95" Type="http://schemas.openxmlformats.org/officeDocument/2006/relationships/hyperlink" Target="https://www.sciencedirect.com/topics/medicine-and-dentistry/lumbar-spine" TargetMode="External"/><Relationship Id="rId160" Type="http://schemas.openxmlformats.org/officeDocument/2006/relationships/hyperlink" Target="http://www.iscd.org/official-positions/official-positions" TargetMode="External"/><Relationship Id="rId22" Type="http://schemas.openxmlformats.org/officeDocument/2006/relationships/hyperlink" Target="https://clinicaltrials.gov/show/NCT02655055" TargetMode="External"/><Relationship Id="rId43" Type="http://schemas.openxmlformats.org/officeDocument/2006/relationships/hyperlink" Target="https://www.sciencedirect.com/topics/medicine-and-dentistry/osteoplasty" TargetMode="External"/><Relationship Id="rId64" Type="http://schemas.openxmlformats.org/officeDocument/2006/relationships/hyperlink" Target="https://www.sciencedirect.com/science/article/pii/S2352187218300585?via%3Dihub" TargetMode="External"/><Relationship Id="rId118" Type="http://schemas.openxmlformats.org/officeDocument/2006/relationships/hyperlink" Target="https://www.sciencedirect.com/topics/medicine-and-dentistry/logistic-regression-analysis" TargetMode="External"/><Relationship Id="rId139" Type="http://schemas.openxmlformats.org/officeDocument/2006/relationships/hyperlink" Target="https://www.sciencedirect.com/science/article/pii/S2352187218300585?via%3Dihub" TargetMode="External"/><Relationship Id="rId85" Type="http://schemas.openxmlformats.org/officeDocument/2006/relationships/hyperlink" Target="https://www.sciencedirect.com/science/article/pii/S2352187218300585?via%3Dihub" TargetMode="External"/><Relationship Id="rId150" Type="http://schemas.openxmlformats.org/officeDocument/2006/relationships/hyperlink" Target="https://www.sciencedirect.com/science/article/pii/S2352187218300585?via%3Dihub" TargetMode="External"/><Relationship Id="rId12" Type="http://schemas.openxmlformats.org/officeDocument/2006/relationships/hyperlink" Target="https://www.sciencedirect.com/topics/medicine-and-dentistry/antithrombotic" TargetMode="External"/><Relationship Id="rId17" Type="http://schemas.openxmlformats.org/officeDocument/2006/relationships/hyperlink" Target="https://www.sciencedirect.com/topics/medicine-and-dentistry/isotopes-of-calcium" TargetMode="External"/><Relationship Id="rId33" Type="http://schemas.openxmlformats.org/officeDocument/2006/relationships/hyperlink" Target="https://www.sciencedirect.com/topics/medicine-and-dentistry/extracorporeal" TargetMode="External"/><Relationship Id="rId38" Type="http://schemas.openxmlformats.org/officeDocument/2006/relationships/hyperlink" Target="https://www.sciencedirect.com/topics/medicine-and-dentistry/blood-donor" TargetMode="External"/><Relationship Id="rId59" Type="http://schemas.openxmlformats.org/officeDocument/2006/relationships/hyperlink" Target="https://www.sciencedirect.com/topics/medicine-and-dentistry/crohns-disease" TargetMode="External"/><Relationship Id="rId103" Type="http://schemas.openxmlformats.org/officeDocument/2006/relationships/hyperlink" Target="https://www.sciencedirect.com/topics/medicine-and-dentistry/logistic-regression-analysis" TargetMode="External"/><Relationship Id="rId108" Type="http://schemas.openxmlformats.org/officeDocument/2006/relationships/hyperlink" Target="https://www.sciencedirect.com/topics/medicine-and-dentistry/lumbar-spine" TargetMode="External"/><Relationship Id="rId124" Type="http://schemas.openxmlformats.org/officeDocument/2006/relationships/hyperlink" Target="https://www.sciencedirect.com/topics/biochemistry-genetics-and-molecular-biology/apheresis" TargetMode="External"/><Relationship Id="rId129" Type="http://schemas.openxmlformats.org/officeDocument/2006/relationships/hyperlink" Target="https://www.sciencedirect.com/science/article/pii/S2352187218300585?via%3Dihub" TargetMode="External"/><Relationship Id="rId54" Type="http://schemas.openxmlformats.org/officeDocument/2006/relationships/hyperlink" Target="https://www.sciencedirect.com/topics/medicine-and-dentistry/lumbar-spine" TargetMode="External"/><Relationship Id="rId70" Type="http://schemas.openxmlformats.org/officeDocument/2006/relationships/hyperlink" Target="https://www.sciencedirect.com/topics/medicine-and-dentistry/logistic-regression-analysis" TargetMode="External"/><Relationship Id="rId75" Type="http://schemas.openxmlformats.org/officeDocument/2006/relationships/hyperlink" Target="https://www.sciencedirect.com/topics/biochemistry-genetics-and-molecular-biology/bone-density" TargetMode="External"/><Relationship Id="rId91" Type="http://schemas.openxmlformats.org/officeDocument/2006/relationships/hyperlink" Target="https://www.sciencedirect.com/topics/biochemistry-genetics-and-molecular-biology/apheresis" TargetMode="External"/><Relationship Id="rId96" Type="http://schemas.openxmlformats.org/officeDocument/2006/relationships/hyperlink" Target="https://www.sciencedirect.com/topics/biochemistry-genetics-and-molecular-biology/apheresis" TargetMode="External"/><Relationship Id="rId140" Type="http://schemas.openxmlformats.org/officeDocument/2006/relationships/hyperlink" Target="https://www.sciencedirect.com/science/article/pii/S2352187218300585?via%3Dihub" TargetMode="External"/><Relationship Id="rId145" Type="http://schemas.openxmlformats.org/officeDocument/2006/relationships/hyperlink" Target="https://www.sciencedirect.com/science/article/pii/S2352187218300585?via%3Dihub" TargetMode="External"/><Relationship Id="rId161" Type="http://schemas.openxmlformats.org/officeDocument/2006/relationships/hyperlink" Target="https://www.sciencedirect.com/science/article/pii/S2352187218300585?via%3Dihub"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sciencedirect.com/topics/medicine-and-dentistry/logistic-regression-analysis" TargetMode="External"/><Relationship Id="rId28" Type="http://schemas.openxmlformats.org/officeDocument/2006/relationships/hyperlink" Target="https://www.sciencedirect.com/topics/biochemistry-genetics-and-molecular-biology/bone-density" TargetMode="External"/><Relationship Id="rId49" Type="http://schemas.openxmlformats.org/officeDocument/2006/relationships/hyperlink" Target="https://www.sciencedirect.com/topics/medicine-and-dentistry/altruism" TargetMode="External"/><Relationship Id="rId114" Type="http://schemas.openxmlformats.org/officeDocument/2006/relationships/hyperlink" Target="https://www.sciencedirect.com/science/article/pii/S2352187218300585?via%3Dihub" TargetMode="External"/><Relationship Id="rId119" Type="http://schemas.openxmlformats.org/officeDocument/2006/relationships/hyperlink" Target="https://www.sciencedirect.com/topics/biochemistry-genetics-and-molecular-biology/estrogen-blood-level" TargetMode="External"/><Relationship Id="rId44" Type="http://schemas.openxmlformats.org/officeDocument/2006/relationships/hyperlink" Target="https://www.sciencedirect.com/science/article/pii/S2352187218300585?via%3Dihub" TargetMode="External"/><Relationship Id="rId60" Type="http://schemas.openxmlformats.org/officeDocument/2006/relationships/hyperlink" Target="https://www.sciencedirect.com/topics/medicine-and-dentistry/osteoporosis" TargetMode="External"/><Relationship Id="rId65" Type="http://schemas.openxmlformats.org/officeDocument/2006/relationships/hyperlink" Target="https://www.sciencedirect.com/topics/medicine-and-dentistry/calcium-intake" TargetMode="External"/><Relationship Id="rId81" Type="http://schemas.openxmlformats.org/officeDocument/2006/relationships/hyperlink" Target="https://www.sciencedirect.com/topics/medicine-and-dentistry/blood-donor" TargetMode="External"/><Relationship Id="rId86" Type="http://schemas.openxmlformats.org/officeDocument/2006/relationships/hyperlink" Target="https://www.sciencedirect.com/science/article/pii/S2352187218300585?via%3Dihub" TargetMode="External"/><Relationship Id="rId130" Type="http://schemas.openxmlformats.org/officeDocument/2006/relationships/hyperlink" Target="https://www.sciencedirect.com/science/article/pii/S2352187218300585?via%3Dihub" TargetMode="External"/><Relationship Id="rId135" Type="http://schemas.openxmlformats.org/officeDocument/2006/relationships/hyperlink" Target="https://www.sciencedirect.com/science/article/pii/S2352187218300585?via%3Dihub" TargetMode="External"/><Relationship Id="rId151" Type="http://schemas.openxmlformats.org/officeDocument/2006/relationships/hyperlink" Target="https://www.sciencedirect.com/science/article/pii/S2352187218300585?via%3Dihub" TargetMode="External"/><Relationship Id="rId156" Type="http://schemas.openxmlformats.org/officeDocument/2006/relationships/hyperlink" Target="https://www.sciencedirect.com/science/article/pii/S2352187218300585?via%3Dihub" TargetMode="External"/><Relationship Id="rId13" Type="http://schemas.openxmlformats.org/officeDocument/2006/relationships/hyperlink" Target="https://www.sciencedirect.com/topics/medicine-and-dentistry/extracorporeal" TargetMode="External"/><Relationship Id="rId18" Type="http://schemas.openxmlformats.org/officeDocument/2006/relationships/hyperlink" Target="https://www.sciencedirect.com/topics/medicine-and-dentistry/parathyroid-hormone" TargetMode="External"/><Relationship Id="rId39" Type="http://schemas.openxmlformats.org/officeDocument/2006/relationships/hyperlink" Target="https://www.sciencedirect.com/science/article/pii/S2352187218300585?via%3Dihub" TargetMode="External"/><Relationship Id="rId109" Type="http://schemas.openxmlformats.org/officeDocument/2006/relationships/hyperlink" Target="https://www.sciencedirect.com/topics/medicine-and-dentistry/trabecular-bone" TargetMode="External"/><Relationship Id="rId34" Type="http://schemas.openxmlformats.org/officeDocument/2006/relationships/hyperlink" Target="https://www.sciencedirect.com/topics/medicine-and-dentistry/antithrombotic" TargetMode="External"/><Relationship Id="rId50" Type="http://schemas.openxmlformats.org/officeDocument/2006/relationships/hyperlink" Target="http://clinicaltrials.gov/show/NCT02655055" TargetMode="External"/><Relationship Id="rId55" Type="http://schemas.openxmlformats.org/officeDocument/2006/relationships/hyperlink" Target="http://clinicaltrials.gov/" TargetMode="External"/><Relationship Id="rId76" Type="http://schemas.openxmlformats.org/officeDocument/2006/relationships/hyperlink" Target="https://www.sciencedirect.com/topics/biochemistry-genetics-and-molecular-biology/apheresis" TargetMode="External"/><Relationship Id="rId97" Type="http://schemas.openxmlformats.org/officeDocument/2006/relationships/image" Target="media/image4.jpeg"/><Relationship Id="rId104" Type="http://schemas.openxmlformats.org/officeDocument/2006/relationships/hyperlink" Target="https://www.sciencedirect.com/topics/biochemistry-genetics-and-molecular-biology/bone-density" TargetMode="External"/><Relationship Id="rId120" Type="http://schemas.openxmlformats.org/officeDocument/2006/relationships/hyperlink" Target="https://www.sciencedirect.com/topics/medicine-and-dentistry/health-outcomes" TargetMode="External"/><Relationship Id="rId125" Type="http://schemas.openxmlformats.org/officeDocument/2006/relationships/hyperlink" Target="https://www.sciencedirect.com/topics/medicine-and-dentistry/blood-donor" TargetMode="External"/><Relationship Id="rId141" Type="http://schemas.openxmlformats.org/officeDocument/2006/relationships/hyperlink" Target="https://www.sciencedirect.com/science/article/pii/S2352187218300585?via%3Dihub" TargetMode="External"/><Relationship Id="rId146" Type="http://schemas.openxmlformats.org/officeDocument/2006/relationships/hyperlink" Target="https://www.sciencedirect.com/science/article/pii/S2352187218300585?via%3Dihub" TargetMode="External"/><Relationship Id="rId7" Type="http://schemas.openxmlformats.org/officeDocument/2006/relationships/webSettings" Target="webSettings.xml"/><Relationship Id="rId71" Type="http://schemas.openxmlformats.org/officeDocument/2006/relationships/hyperlink" Target="https://www.sciencedirect.com/topics/medicine-and-dentistry/bilirubin" TargetMode="External"/><Relationship Id="rId92" Type="http://schemas.openxmlformats.org/officeDocument/2006/relationships/hyperlink" Target="https://www.sciencedirect.com/topics/medicine-and-dentistry/antithrombotic" TargetMode="External"/><Relationship Id="rId162" Type="http://schemas.openxmlformats.org/officeDocument/2006/relationships/hyperlink" Target="https://www.sciencedirect.com/science/article/pii/S2352187218300585?via%3Dihub" TargetMode="External"/><Relationship Id="rId2" Type="http://schemas.openxmlformats.org/officeDocument/2006/relationships/customXml" Target="../customXml/item2.xml"/><Relationship Id="rId29" Type="http://schemas.openxmlformats.org/officeDocument/2006/relationships/hyperlink" Target="https://www.sciencedirect.com/topics/medicine-and-dentistry/mineral-homeostasis" TargetMode="External"/><Relationship Id="rId24" Type="http://schemas.openxmlformats.org/officeDocument/2006/relationships/hyperlink" Target="https://www.sciencedirect.com/topics/medicine-and-dentistry/lumbar-spine" TargetMode="External"/><Relationship Id="rId40" Type="http://schemas.openxmlformats.org/officeDocument/2006/relationships/hyperlink" Target="https://www.sciencedirect.com/topics/medicine-and-dentistry/parathyroid-hormone" TargetMode="External"/><Relationship Id="rId45" Type="http://schemas.openxmlformats.org/officeDocument/2006/relationships/hyperlink" Target="https://www.sciencedirect.com/topics/medicine-and-dentistry/body-mass-index" TargetMode="External"/><Relationship Id="rId66" Type="http://schemas.openxmlformats.org/officeDocument/2006/relationships/hyperlink" Target="http://clinicaltrials.gov/" TargetMode="External"/><Relationship Id="rId87" Type="http://schemas.openxmlformats.org/officeDocument/2006/relationships/hyperlink" Target="https://www.sciencedirect.com/topics/medicine-and-dentistry/citrate" TargetMode="External"/><Relationship Id="rId110" Type="http://schemas.openxmlformats.org/officeDocument/2006/relationships/hyperlink" Target="https://www.sciencedirect.com/topics/biochemistry-genetics-and-molecular-biology/bone-density" TargetMode="External"/><Relationship Id="rId115" Type="http://schemas.openxmlformats.org/officeDocument/2006/relationships/hyperlink" Target="https://www.sciencedirect.com/topics/medicine-and-dentistry/bone-fragility" TargetMode="External"/><Relationship Id="rId131" Type="http://schemas.openxmlformats.org/officeDocument/2006/relationships/hyperlink" Target="https://www.sciencedirect.com/science/article/pii/S2352187218300585?via%3Dihub" TargetMode="External"/><Relationship Id="rId136" Type="http://schemas.openxmlformats.org/officeDocument/2006/relationships/hyperlink" Target="https://www.sciencedirect.com/science/article/pii/S2352187218300585?via%3Dihub" TargetMode="External"/><Relationship Id="rId157" Type="http://schemas.openxmlformats.org/officeDocument/2006/relationships/hyperlink" Target="https://www.sciencedirect.com/science/article/pii/S2352187218300585?via%3Dihub" TargetMode="External"/><Relationship Id="rId61" Type="http://schemas.openxmlformats.org/officeDocument/2006/relationships/hyperlink" Target="https://www.sciencedirect.com/topics/biochemistry-genetics-and-molecular-biology/dual-energy-x-ray-absorptiometry" TargetMode="External"/><Relationship Id="rId82" Type="http://schemas.openxmlformats.org/officeDocument/2006/relationships/hyperlink" Target="https://www.sciencedirect.com/science/article/pii/S2352187218300585?via%3Dihub" TargetMode="External"/><Relationship Id="rId152" Type="http://schemas.openxmlformats.org/officeDocument/2006/relationships/hyperlink" Target="https://www.sciencedirect.com/science/article/pii/S2352187218300585?via%3Dihub" TargetMode="External"/><Relationship Id="rId19" Type="http://schemas.openxmlformats.org/officeDocument/2006/relationships/hyperlink" Target="https://www.sciencedirect.com/topics/medicine-and-dentistry/vitamin-d" TargetMode="External"/><Relationship Id="rId14" Type="http://schemas.openxmlformats.org/officeDocument/2006/relationships/hyperlink" Target="https://www.sciencedirect.com/topics/medicine-and-dentistry/citrate" TargetMode="External"/><Relationship Id="rId30" Type="http://schemas.openxmlformats.org/officeDocument/2006/relationships/hyperlink" Target="https://www.sciencedirect.com/topics/biochemistry-genetics-and-molecular-biology/apheresis" TargetMode="External"/><Relationship Id="rId35" Type="http://schemas.openxmlformats.org/officeDocument/2006/relationships/hyperlink" Target="https://www.sciencedirect.com/topics/medicine-and-dentistry/vein-puncture" TargetMode="External"/><Relationship Id="rId56" Type="http://schemas.openxmlformats.org/officeDocument/2006/relationships/hyperlink" Target="https://www.sciencedirect.com/topics/medicine-and-dentistry/fragility-fracture" TargetMode="External"/><Relationship Id="rId77" Type="http://schemas.openxmlformats.org/officeDocument/2006/relationships/image" Target="media/image1.jpeg"/><Relationship Id="rId100" Type="http://schemas.openxmlformats.org/officeDocument/2006/relationships/hyperlink" Target="https://www.sciencedirect.com/science/article/pii/S2352187218300585?via%3Dihub" TargetMode="External"/><Relationship Id="rId105" Type="http://schemas.openxmlformats.org/officeDocument/2006/relationships/hyperlink" Target="https://www.sciencedirect.com/topics/medicine-and-dentistry/trabecular-bone" TargetMode="External"/><Relationship Id="rId126" Type="http://schemas.openxmlformats.org/officeDocument/2006/relationships/hyperlink" Target="https://www.sciencedirect.com/topics/medicine-and-dentistry/citrate" TargetMode="External"/><Relationship Id="rId147" Type="http://schemas.openxmlformats.org/officeDocument/2006/relationships/hyperlink" Target="https://www.sciencedirect.com/science/article/pii/S2352187218300585?via%3Dihub" TargetMode="External"/><Relationship Id="rId8" Type="http://schemas.openxmlformats.org/officeDocument/2006/relationships/hyperlink" Target="https://www.sciencedirect.com/science/article/pii/S2352187218300585?via%3Dihub" TargetMode="External"/><Relationship Id="rId51" Type="http://schemas.openxmlformats.org/officeDocument/2006/relationships/hyperlink" Target="https://www.sciencedirect.com/topics/medicine-and-dentistry/citrate" TargetMode="External"/><Relationship Id="rId72" Type="http://schemas.openxmlformats.org/officeDocument/2006/relationships/hyperlink" Target="https://www.sciencedirect.com/topics/medicine-and-dentistry/alkaline-phosphatase" TargetMode="External"/><Relationship Id="rId93" Type="http://schemas.openxmlformats.org/officeDocument/2006/relationships/image" Target="media/image3.jpeg"/><Relationship Id="rId98" Type="http://schemas.openxmlformats.org/officeDocument/2006/relationships/hyperlink" Target="https://www.sciencedirect.com/topics/medicine-and-dentistry/lumbar-spine" TargetMode="External"/><Relationship Id="rId121" Type="http://schemas.openxmlformats.org/officeDocument/2006/relationships/hyperlink" Target="https://www.sciencedirect.com/topics/medicine-and-dentistry/parathyroid-hormone" TargetMode="External"/><Relationship Id="rId142" Type="http://schemas.openxmlformats.org/officeDocument/2006/relationships/hyperlink" Target="https://www.sciencedirect.com/science/article/pii/S2352187218300585?via%3Dihub" TargetMode="External"/><Relationship Id="rId163"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yperlink" Target="https://www.sciencedirect.com/topics/biochemistry-genetics-and-molecular-biology/blood-sampling" TargetMode="External"/><Relationship Id="rId46" Type="http://schemas.openxmlformats.org/officeDocument/2006/relationships/hyperlink" Target="https://www.sciencedirect.com/topics/medicine-and-dentistry/calcium-intake" TargetMode="External"/><Relationship Id="rId67" Type="http://schemas.openxmlformats.org/officeDocument/2006/relationships/hyperlink" Target="https://www.sciencedirect.com/topics/biochemistry-genetics-and-molecular-biology/blood-sampling" TargetMode="External"/><Relationship Id="rId116" Type="http://schemas.openxmlformats.org/officeDocument/2006/relationships/hyperlink" Target="https://www.sciencedirect.com/topics/medicine-and-dentistry/disease-predisposition" TargetMode="External"/><Relationship Id="rId137" Type="http://schemas.openxmlformats.org/officeDocument/2006/relationships/hyperlink" Target="https://www.sciencedirect.com/science/article/pii/S2352187218300585?via%3Dihub" TargetMode="External"/><Relationship Id="rId158" Type="http://schemas.openxmlformats.org/officeDocument/2006/relationships/hyperlink" Target="https://www.sciencedirect.com/science/article/pii/S2352187218300585?via%3Dihub" TargetMode="External"/><Relationship Id="rId20" Type="http://schemas.openxmlformats.org/officeDocument/2006/relationships/hyperlink" Target="https://www.sciencedirect.com/topics/medicine-and-dentistry/osteoplasty" TargetMode="External"/><Relationship Id="rId41" Type="http://schemas.openxmlformats.org/officeDocument/2006/relationships/hyperlink" Target="https://www.sciencedirect.com/science/article/pii/S2352187218300585?via%3Dihub" TargetMode="External"/><Relationship Id="rId62" Type="http://schemas.openxmlformats.org/officeDocument/2006/relationships/hyperlink" Target="https://www.sciencedirect.com/topics/medicine-and-dentistry/trabecular-bone" TargetMode="External"/><Relationship Id="rId83" Type="http://schemas.openxmlformats.org/officeDocument/2006/relationships/hyperlink" Target="https://www.sciencedirect.com/science/article/pii/S2352187218300585?via%3Dihub" TargetMode="External"/><Relationship Id="rId88" Type="http://schemas.openxmlformats.org/officeDocument/2006/relationships/hyperlink" Target="https://www.sciencedirect.com/science/article/pii/S2352187218300585?via%3Dihub" TargetMode="External"/><Relationship Id="rId111" Type="http://schemas.openxmlformats.org/officeDocument/2006/relationships/hyperlink" Target="https://www.sciencedirect.com/topics/medicine-and-dentistry/citrate" TargetMode="External"/><Relationship Id="rId132" Type="http://schemas.openxmlformats.org/officeDocument/2006/relationships/hyperlink" Target="https://www.sciencedirect.com/science/article/pii/S2352187218300585?via%3Dihub" TargetMode="External"/><Relationship Id="rId153" Type="http://schemas.openxmlformats.org/officeDocument/2006/relationships/hyperlink" Target="https://www.sciencedirect.com/science/article/pii/S2352187218300585?via%3Dihub" TargetMode="External"/><Relationship Id="rId15" Type="http://schemas.openxmlformats.org/officeDocument/2006/relationships/hyperlink" Target="https://www.sciencedirect.com/topics/medicine-and-dentistry/chelate" TargetMode="External"/><Relationship Id="rId36" Type="http://schemas.openxmlformats.org/officeDocument/2006/relationships/hyperlink" Target="https://www.sciencedirect.com/topics/medicine-and-dentistry/citrate" TargetMode="External"/><Relationship Id="rId57" Type="http://schemas.openxmlformats.org/officeDocument/2006/relationships/hyperlink" Target="https://www.sciencedirect.com/topics/medicine-and-dentistry/cystic-fibrosis" TargetMode="External"/><Relationship Id="rId106" Type="http://schemas.openxmlformats.org/officeDocument/2006/relationships/hyperlink" Target="https://www.sciencedirect.com/topics/biochemistry-genetics-and-molecular-biology/apheresis" TargetMode="External"/><Relationship Id="rId127" Type="http://schemas.openxmlformats.org/officeDocument/2006/relationships/hyperlink" Target="https://www.sciencedirect.com/topics/biochemistry-genetics-and-molecular-biology/bone-density" TargetMode="External"/><Relationship Id="rId10" Type="http://schemas.openxmlformats.org/officeDocument/2006/relationships/hyperlink" Target="https://www.sciencedirect.com/topics/medicine-and-dentistry/blood-donor" TargetMode="External"/><Relationship Id="rId31" Type="http://schemas.openxmlformats.org/officeDocument/2006/relationships/hyperlink" Target="https://www.sciencedirect.com/topics/biochemistry-genetics-and-molecular-biology/blood-sampling" TargetMode="External"/><Relationship Id="rId52" Type="http://schemas.openxmlformats.org/officeDocument/2006/relationships/hyperlink" Target="https://www.sciencedirect.com/topics/biochemistry-genetics-and-molecular-biology/apheresis" TargetMode="External"/><Relationship Id="rId73" Type="http://schemas.openxmlformats.org/officeDocument/2006/relationships/hyperlink" Target="https://www.sciencedirect.com/topics/medicine-and-dentistry/anion-gap" TargetMode="External"/><Relationship Id="rId78" Type="http://schemas.openxmlformats.org/officeDocument/2006/relationships/hyperlink" Target="https://www.sciencedirect.com/topics/medicine-and-dentistry/body-mass-index" TargetMode="External"/><Relationship Id="rId94" Type="http://schemas.openxmlformats.org/officeDocument/2006/relationships/hyperlink" Target="https://www.sciencedirect.com/topics/biochemistry-genetics-and-molecular-biology/bone-density" TargetMode="External"/><Relationship Id="rId99" Type="http://schemas.openxmlformats.org/officeDocument/2006/relationships/hyperlink" Target="https://www.sciencedirect.com/topics/biochemistry-genetics-and-molecular-biology/apheresis" TargetMode="External"/><Relationship Id="rId101" Type="http://schemas.openxmlformats.org/officeDocument/2006/relationships/hyperlink" Target="https://www.sciencedirect.com/science/article/pii/S2352187218300585?via%3Dihub" TargetMode="External"/><Relationship Id="rId122" Type="http://schemas.openxmlformats.org/officeDocument/2006/relationships/hyperlink" Target="https://www.sciencedirect.com/science/article/pii/S2352187218300585?via%3Dihub" TargetMode="External"/><Relationship Id="rId143" Type="http://schemas.openxmlformats.org/officeDocument/2006/relationships/hyperlink" Target="https://www.sciencedirect.com/science/article/pii/S2352187218300585?via%3Dihub" TargetMode="External"/><Relationship Id="rId148" Type="http://schemas.openxmlformats.org/officeDocument/2006/relationships/hyperlink" Target="https://www.sciencedirect.com/science/article/pii/S2352187218300585?via%3Dihub" TargetMode="External"/><Relationship Id="rId16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www.sciencedirect.com/topics/biochemistry-genetics-and-molecular-biology/apheresis" TargetMode="External"/><Relationship Id="rId47" Type="http://schemas.openxmlformats.org/officeDocument/2006/relationships/hyperlink" Target="https://www.sciencedirect.com/topics/medicine-and-dentistry/lumbar-spine" TargetMode="External"/><Relationship Id="rId68" Type="http://schemas.openxmlformats.org/officeDocument/2006/relationships/hyperlink" Target="https://www.sciencedirect.com/topics/medicine-and-dentistry/blood-component" TargetMode="External"/><Relationship Id="rId89" Type="http://schemas.openxmlformats.org/officeDocument/2006/relationships/image" Target="media/image2.jpeg"/><Relationship Id="rId112" Type="http://schemas.openxmlformats.org/officeDocument/2006/relationships/hyperlink" Target="https://www.sciencedirect.com/science/article/pii/S2352187218300585?via%3Dihub" TargetMode="External"/><Relationship Id="rId133" Type="http://schemas.openxmlformats.org/officeDocument/2006/relationships/hyperlink" Target="https://www.sciencedirect.com/science/article/pii/S2352187218300585?via%3Dihub" TargetMode="External"/><Relationship Id="rId154" Type="http://schemas.openxmlformats.org/officeDocument/2006/relationships/hyperlink" Target="https://www.sciencedirect.com/science/article/pii/S2352187218300585?via%3Dihub" TargetMode="External"/><Relationship Id="rId16" Type="http://schemas.openxmlformats.org/officeDocument/2006/relationships/hyperlink" Target="https://www.sciencedirect.com/topics/medicine-and-dentistry/calcium-ion" TargetMode="External"/><Relationship Id="rId37" Type="http://schemas.openxmlformats.org/officeDocument/2006/relationships/hyperlink" Target="https://www.sciencedirect.com/topics/medicine-and-dentistry/calcium-ion" TargetMode="External"/><Relationship Id="rId58" Type="http://schemas.openxmlformats.org/officeDocument/2006/relationships/hyperlink" Target="https://www.sciencedirect.com/topics/medicine-and-dentistry/emphysema" TargetMode="External"/><Relationship Id="rId79" Type="http://schemas.openxmlformats.org/officeDocument/2006/relationships/hyperlink" Target="https://www.sciencedirect.com/topics/medicine-and-dentistry/lumbar-spine" TargetMode="External"/><Relationship Id="rId102" Type="http://schemas.openxmlformats.org/officeDocument/2006/relationships/hyperlink" Target="https://www.sciencedirect.com/topics/medicine-and-dentistry/logistic-regression-analysis" TargetMode="External"/><Relationship Id="rId123" Type="http://schemas.openxmlformats.org/officeDocument/2006/relationships/hyperlink" Target="https://www.sciencedirect.com/topics/medicine-and-dentistry/mineral-homeostasis" TargetMode="External"/><Relationship Id="rId144" Type="http://schemas.openxmlformats.org/officeDocument/2006/relationships/hyperlink" Target="https://www.sciencedirect.com/science/article/pii/S2352187218300585?via%3Dihub" TargetMode="External"/><Relationship Id="rId90" Type="http://schemas.openxmlformats.org/officeDocument/2006/relationships/hyperlink" Target="https://www.sciencedirect.com/topics/biochemistry-genetics-and-molecular-biology/apheresis" TargetMode="External"/><Relationship Id="rId27" Type="http://schemas.openxmlformats.org/officeDocument/2006/relationships/hyperlink" Target="https://www.sciencedirect.com/topics/medicine-and-dentistry/blood-donor" TargetMode="External"/><Relationship Id="rId48" Type="http://schemas.openxmlformats.org/officeDocument/2006/relationships/hyperlink" Target="https://www.sciencedirect.com/topics/medicine-and-dentistry/low-drug-dose" TargetMode="External"/><Relationship Id="rId69" Type="http://schemas.openxmlformats.org/officeDocument/2006/relationships/hyperlink" Target="https://www.sciencedirect.com/topics/medicine-and-dentistry/fisher-exact-test" TargetMode="External"/><Relationship Id="rId113" Type="http://schemas.openxmlformats.org/officeDocument/2006/relationships/hyperlink" Target="https://www.sciencedirect.com/science/article/pii/S2352187218300585?via%3Dihub" TargetMode="External"/><Relationship Id="rId134" Type="http://schemas.openxmlformats.org/officeDocument/2006/relationships/hyperlink" Target="https://www.sciencedirect.com/science/article/pii/S2352187218300585?via%3Dihub" TargetMode="External"/><Relationship Id="rId80" Type="http://schemas.openxmlformats.org/officeDocument/2006/relationships/hyperlink" Target="https://www.sciencedirect.com/science/article/pii/S2352187218300585?via%3Dihub" TargetMode="External"/><Relationship Id="rId155" Type="http://schemas.openxmlformats.org/officeDocument/2006/relationships/hyperlink" Target="https://www.sciencedirect.com/science/article/pii/S2352187218300585?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970BEB-9526-4461-AE21-64E1F0BCF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A16804-9170-4718-8B2F-B75F74D5077A}">
  <ds:schemaRefs>
    <ds:schemaRef ds:uri="http://schemas.microsoft.com/sharepoint/v3/contenttype/forms"/>
  </ds:schemaRefs>
</ds:datastoreItem>
</file>

<file path=customXml/itemProps3.xml><?xml version="1.0" encoding="utf-8"?>
<ds:datastoreItem xmlns:ds="http://schemas.openxmlformats.org/officeDocument/2006/customXml" ds:itemID="{EA71E7FD-4A64-4325-B32B-AE094D05208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15</Pages>
  <Words>10613</Words>
  <Characters>60288</Characters>
  <Application>Microsoft Office Word</Application>
  <DocSecurity>8</DocSecurity>
  <Lines>1402</Lines>
  <Paragraphs>920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53</cp:revision>
  <dcterms:created xsi:type="dcterms:W3CDTF">2019-08-09T15:44:00Z</dcterms:created>
  <dcterms:modified xsi:type="dcterms:W3CDTF">2019-10-28T15:25:00Z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