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w:t>
      </w:r>
      <w:bookmarkStart w:id="2" w:name="_GoBack"/>
      <w:bookmarkEnd w:id="2"/>
      <w:r w:rsidRPr="00C04F25">
        <w:rPr>
          <w:rFonts w:cstheme="minorHAnsi"/>
          <w:b/>
          <w:bCs/>
          <w:color w:val="316192"/>
          <w:sz w:val="28"/>
          <w:szCs w:val="26"/>
        </w:rPr>
        <w:t>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C1A3074" w:rsidR="000A7622" w:rsidRPr="00C04F25" w:rsidRDefault="00DF293B"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1849FAC" w:rsidR="000A7622" w:rsidRDefault="00C80601" w:rsidP="00D14423">
      <w:pPr>
        <w:rPr>
          <w:rFonts w:cstheme="minorHAnsi"/>
          <w:sz w:val="24"/>
          <w:szCs w:val="24"/>
        </w:rPr>
      </w:pPr>
      <w:proofErr w:type="spellStart"/>
      <w:r>
        <w:rPr>
          <w:rFonts w:cstheme="minorHAnsi"/>
          <w:i/>
          <w:sz w:val="24"/>
          <w:szCs w:val="24"/>
          <w:lang w:val="fr-FR"/>
        </w:rPr>
        <w:t>Contemporary</w:t>
      </w:r>
      <w:proofErr w:type="spellEnd"/>
      <w:r>
        <w:rPr>
          <w:rFonts w:cstheme="minorHAnsi"/>
          <w:i/>
          <w:sz w:val="24"/>
          <w:szCs w:val="24"/>
          <w:lang w:val="fr-FR"/>
        </w:rPr>
        <w:t xml:space="preserve"> </w:t>
      </w:r>
      <w:proofErr w:type="spellStart"/>
      <w:r>
        <w:rPr>
          <w:rFonts w:cstheme="minorHAnsi"/>
          <w:i/>
          <w:sz w:val="24"/>
          <w:szCs w:val="24"/>
          <w:lang w:val="fr-FR"/>
        </w:rPr>
        <w:t>Clinical</w:t>
      </w:r>
      <w:proofErr w:type="spellEnd"/>
      <w:r>
        <w:rPr>
          <w:rFonts w:cstheme="minorHAnsi"/>
          <w:i/>
          <w:sz w:val="24"/>
          <w:szCs w:val="24"/>
          <w:lang w:val="fr-FR"/>
        </w:rPr>
        <w:t xml:space="preserve"> Trials</w:t>
      </w:r>
      <w:r w:rsidR="000A7622" w:rsidRPr="00C04F25">
        <w:rPr>
          <w:rFonts w:cstheme="minorHAnsi"/>
          <w:sz w:val="24"/>
          <w:szCs w:val="24"/>
          <w:lang w:val="fr-FR"/>
        </w:rPr>
        <w:t xml:space="preserve">, Vol. </w:t>
      </w:r>
      <w:r>
        <w:rPr>
          <w:rFonts w:cstheme="minorHAnsi"/>
          <w:sz w:val="24"/>
          <w:szCs w:val="24"/>
          <w:lang w:val="fr-FR"/>
        </w:rPr>
        <w:t xml:space="preserve">73 </w:t>
      </w:r>
      <w:r w:rsidR="000A7622" w:rsidRPr="00C04F25">
        <w:rPr>
          <w:rFonts w:cstheme="minorHAnsi"/>
          <w:sz w:val="24"/>
          <w:szCs w:val="24"/>
          <w:lang w:val="fr-FR"/>
        </w:rPr>
        <w:t>(</w:t>
      </w:r>
      <w:proofErr w:type="spellStart"/>
      <w:r>
        <w:rPr>
          <w:rFonts w:cstheme="minorHAnsi"/>
          <w:sz w:val="24"/>
          <w:szCs w:val="24"/>
          <w:lang w:val="fr-FR"/>
        </w:rPr>
        <w:t>October</w:t>
      </w:r>
      <w:proofErr w:type="spellEnd"/>
      <w:r>
        <w:rPr>
          <w:rFonts w:cstheme="minorHAnsi"/>
          <w:sz w:val="24"/>
          <w:szCs w:val="24"/>
          <w:lang w:val="fr-FR"/>
        </w:rPr>
        <w:t xml:space="preserve">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136-144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E44B5">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E44B5">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4E44B5">
        <w:rPr>
          <w:rFonts w:cstheme="minorHAnsi"/>
          <w:sz w:val="24"/>
          <w:szCs w:val="24"/>
        </w:rPr>
        <w:t>Elsevier</w:t>
      </w:r>
      <w:r w:rsidR="000A7622" w:rsidRPr="00C04F25">
        <w:rPr>
          <w:rFonts w:cstheme="minorHAnsi"/>
          <w:sz w:val="24"/>
          <w:szCs w:val="24"/>
        </w:rPr>
        <w:t xml:space="preserve">. </w:t>
      </w:r>
    </w:p>
    <w:p w14:paraId="1DB7A4C6" w14:textId="54D959A6" w:rsidR="007373E6" w:rsidRDefault="007373E6" w:rsidP="007373E6">
      <w:pPr>
        <w:pStyle w:val="Title"/>
      </w:pPr>
      <w:r w:rsidRPr="007373E6">
        <w:t>Home-Based, Square-Stepping Exercise Program Among Older Adults with Multiple Sclerosis: Results of A Feasibility Randomized Controlled Study</w:t>
      </w:r>
    </w:p>
    <w:p w14:paraId="31512ADE" w14:textId="77777777" w:rsidR="007373E6" w:rsidRPr="007373E6" w:rsidRDefault="007373E6" w:rsidP="007373E6"/>
    <w:p w14:paraId="34B3080B" w14:textId="6263D1B4" w:rsidR="00620430" w:rsidRPr="00F84E8E" w:rsidRDefault="00620430" w:rsidP="00F84E8E">
      <w:pPr>
        <w:pStyle w:val="NoSpacing"/>
        <w:rPr>
          <w:sz w:val="32"/>
          <w:szCs w:val="32"/>
        </w:rPr>
      </w:pPr>
      <w:r w:rsidRPr="00F84E8E">
        <w:rPr>
          <w:sz w:val="32"/>
          <w:szCs w:val="32"/>
        </w:rPr>
        <w:t xml:space="preserve">Emerson </w:t>
      </w:r>
      <w:proofErr w:type="spellStart"/>
      <w:r w:rsidRPr="00F84E8E">
        <w:rPr>
          <w:sz w:val="32"/>
          <w:szCs w:val="32"/>
        </w:rPr>
        <w:t>Sebastião</w:t>
      </w:r>
      <w:proofErr w:type="spellEnd"/>
    </w:p>
    <w:p w14:paraId="1A76DD6B" w14:textId="04B77E9A" w:rsidR="00620430" w:rsidRPr="00F84E8E" w:rsidRDefault="00204E0A" w:rsidP="00F84E8E">
      <w:pPr>
        <w:pStyle w:val="NoSpacing"/>
        <w:rPr>
          <w:sz w:val="24"/>
          <w:szCs w:val="24"/>
        </w:rPr>
      </w:pPr>
      <w:r w:rsidRPr="00F84E8E">
        <w:rPr>
          <w:sz w:val="24"/>
          <w:szCs w:val="24"/>
        </w:rPr>
        <w:t>Department of Kinesiology and Physical Education, Northern Illinois University, DeKalb, IL</w:t>
      </w:r>
    </w:p>
    <w:p w14:paraId="26841B43" w14:textId="154CFD82" w:rsidR="00620430" w:rsidRPr="00F84E8E" w:rsidRDefault="00620430" w:rsidP="00F84E8E">
      <w:pPr>
        <w:pStyle w:val="NoSpacing"/>
        <w:rPr>
          <w:sz w:val="32"/>
          <w:szCs w:val="32"/>
        </w:rPr>
      </w:pPr>
      <w:r w:rsidRPr="00F84E8E">
        <w:rPr>
          <w:sz w:val="32"/>
          <w:szCs w:val="32"/>
        </w:rPr>
        <w:t>Edward</w:t>
      </w:r>
      <w:r w:rsidR="00F84E8E">
        <w:rPr>
          <w:sz w:val="32"/>
          <w:szCs w:val="32"/>
        </w:rPr>
        <w:t xml:space="preserve"> </w:t>
      </w:r>
      <w:r w:rsidRPr="00F84E8E">
        <w:rPr>
          <w:sz w:val="32"/>
          <w:szCs w:val="32"/>
        </w:rPr>
        <w:t>McAuley</w:t>
      </w:r>
    </w:p>
    <w:p w14:paraId="3EC2ECFA" w14:textId="5EF241FF" w:rsidR="00620430" w:rsidRPr="00F84E8E" w:rsidRDefault="00A30873" w:rsidP="00F84E8E">
      <w:pPr>
        <w:pStyle w:val="NoSpacing"/>
        <w:rPr>
          <w:sz w:val="24"/>
          <w:szCs w:val="24"/>
        </w:rPr>
      </w:pPr>
      <w:r w:rsidRPr="00F84E8E">
        <w:rPr>
          <w:rFonts w:ascii="Arial" w:hAnsi="Arial" w:cs="Arial"/>
          <w:color w:val="737373"/>
          <w:sz w:val="28"/>
          <w:szCs w:val="28"/>
        </w:rPr>
        <w:t>Department of Kinesiology and Community Health, University of Illinois, Urbana, IL</w:t>
      </w:r>
    </w:p>
    <w:p w14:paraId="34D160E2" w14:textId="45A62D6E" w:rsidR="00620430" w:rsidRPr="00F84E8E" w:rsidRDefault="00620430" w:rsidP="00F84E8E">
      <w:pPr>
        <w:pStyle w:val="NoSpacing"/>
        <w:rPr>
          <w:sz w:val="32"/>
          <w:szCs w:val="32"/>
        </w:rPr>
      </w:pPr>
      <w:r w:rsidRPr="00F84E8E">
        <w:rPr>
          <w:sz w:val="32"/>
          <w:szCs w:val="32"/>
        </w:rPr>
        <w:t>Ryosuke</w:t>
      </w:r>
      <w:r w:rsidR="00F84E8E">
        <w:rPr>
          <w:sz w:val="32"/>
          <w:szCs w:val="32"/>
        </w:rPr>
        <w:t xml:space="preserve"> </w:t>
      </w:r>
      <w:proofErr w:type="spellStart"/>
      <w:r w:rsidRPr="00F84E8E">
        <w:rPr>
          <w:sz w:val="32"/>
          <w:szCs w:val="32"/>
        </w:rPr>
        <w:t>Shigematsu</w:t>
      </w:r>
      <w:proofErr w:type="spellEnd"/>
    </w:p>
    <w:p w14:paraId="13397106" w14:textId="58833BF2" w:rsidR="00620430" w:rsidRPr="00F84E8E" w:rsidRDefault="00A30873" w:rsidP="00F84E8E">
      <w:pPr>
        <w:pStyle w:val="NoSpacing"/>
        <w:rPr>
          <w:sz w:val="24"/>
          <w:szCs w:val="24"/>
        </w:rPr>
      </w:pPr>
      <w:r w:rsidRPr="00F84E8E">
        <w:rPr>
          <w:sz w:val="24"/>
          <w:szCs w:val="24"/>
        </w:rPr>
        <w:t xml:space="preserve">Faculty of Education, Mie University, </w:t>
      </w:r>
      <w:proofErr w:type="spellStart"/>
      <w:r w:rsidRPr="00F84E8E">
        <w:rPr>
          <w:sz w:val="24"/>
          <w:szCs w:val="24"/>
        </w:rPr>
        <w:t>Tsu</w:t>
      </w:r>
      <w:proofErr w:type="spellEnd"/>
      <w:r w:rsidRPr="00F84E8E">
        <w:rPr>
          <w:sz w:val="24"/>
          <w:szCs w:val="24"/>
        </w:rPr>
        <w:t>, Japan</w:t>
      </w:r>
    </w:p>
    <w:p w14:paraId="448F7E7A" w14:textId="1329C090" w:rsidR="00620430" w:rsidRPr="00F84E8E" w:rsidRDefault="00620430" w:rsidP="00F84E8E">
      <w:pPr>
        <w:pStyle w:val="NoSpacing"/>
        <w:rPr>
          <w:sz w:val="32"/>
          <w:szCs w:val="32"/>
        </w:rPr>
      </w:pPr>
      <w:r w:rsidRPr="00F84E8E">
        <w:rPr>
          <w:sz w:val="32"/>
          <w:szCs w:val="32"/>
        </w:rPr>
        <w:t>Brynn C.</w:t>
      </w:r>
      <w:r w:rsidR="00F84E8E">
        <w:rPr>
          <w:sz w:val="32"/>
          <w:szCs w:val="32"/>
        </w:rPr>
        <w:t xml:space="preserve"> </w:t>
      </w:r>
      <w:r w:rsidRPr="00F84E8E">
        <w:rPr>
          <w:sz w:val="32"/>
          <w:szCs w:val="32"/>
        </w:rPr>
        <w:t>Adamson</w:t>
      </w:r>
    </w:p>
    <w:p w14:paraId="5C1B332F" w14:textId="599D9C4E" w:rsidR="00620430" w:rsidRPr="00F84E8E" w:rsidRDefault="00A30873" w:rsidP="00F84E8E">
      <w:pPr>
        <w:pStyle w:val="NoSpacing"/>
        <w:rPr>
          <w:sz w:val="24"/>
          <w:szCs w:val="24"/>
        </w:rPr>
      </w:pPr>
      <w:r w:rsidRPr="00F84E8E">
        <w:rPr>
          <w:rFonts w:ascii="Arial" w:hAnsi="Arial" w:cs="Arial"/>
          <w:color w:val="737373"/>
          <w:sz w:val="28"/>
          <w:szCs w:val="28"/>
        </w:rPr>
        <w:t>Department of Kinesiology and Community Health, University of Illinois, Urbana, IL</w:t>
      </w:r>
    </w:p>
    <w:p w14:paraId="5B575E3E" w14:textId="43CD017F" w:rsidR="00620430" w:rsidRPr="00F84E8E" w:rsidRDefault="00620430" w:rsidP="00F84E8E">
      <w:pPr>
        <w:pStyle w:val="NoSpacing"/>
        <w:rPr>
          <w:sz w:val="32"/>
          <w:szCs w:val="32"/>
        </w:rPr>
      </w:pPr>
      <w:r w:rsidRPr="00F84E8E">
        <w:rPr>
          <w:sz w:val="32"/>
          <w:szCs w:val="32"/>
        </w:rPr>
        <w:t>Rachel E.</w:t>
      </w:r>
      <w:r w:rsidR="00F84E8E">
        <w:rPr>
          <w:sz w:val="32"/>
          <w:szCs w:val="32"/>
        </w:rPr>
        <w:t xml:space="preserve"> </w:t>
      </w:r>
      <w:r w:rsidRPr="00F84E8E">
        <w:rPr>
          <w:sz w:val="32"/>
          <w:szCs w:val="32"/>
        </w:rPr>
        <w:t>Bollaert</w:t>
      </w:r>
    </w:p>
    <w:p w14:paraId="18ACFEBB" w14:textId="09059A31" w:rsidR="00620430" w:rsidRPr="00F84E8E" w:rsidRDefault="00F84E8E" w:rsidP="00F84E8E">
      <w:pPr>
        <w:pStyle w:val="NoSpacing"/>
        <w:rPr>
          <w:sz w:val="24"/>
          <w:szCs w:val="24"/>
        </w:rPr>
      </w:pPr>
      <w:r w:rsidRPr="00F84E8E">
        <w:rPr>
          <w:rFonts w:ascii="Arial" w:hAnsi="Arial" w:cs="Arial"/>
          <w:color w:val="737373"/>
          <w:sz w:val="28"/>
          <w:szCs w:val="28"/>
        </w:rPr>
        <w:t>Department of Physical Therapy, Marquette University, Milwaukee, WI</w:t>
      </w:r>
    </w:p>
    <w:p w14:paraId="114F9A29" w14:textId="4A58D589" w:rsidR="00DF293B" w:rsidRPr="00F84E8E" w:rsidRDefault="00620430" w:rsidP="00F84E8E">
      <w:pPr>
        <w:pStyle w:val="NoSpacing"/>
        <w:rPr>
          <w:sz w:val="32"/>
          <w:szCs w:val="32"/>
        </w:rPr>
      </w:pPr>
      <w:r w:rsidRPr="00F84E8E">
        <w:rPr>
          <w:sz w:val="32"/>
          <w:szCs w:val="32"/>
        </w:rPr>
        <w:lastRenderedPageBreak/>
        <w:t>Robert W.</w:t>
      </w:r>
      <w:r w:rsidR="00F84E8E" w:rsidRPr="00F84E8E">
        <w:rPr>
          <w:sz w:val="32"/>
          <w:szCs w:val="32"/>
        </w:rPr>
        <w:t xml:space="preserve"> </w:t>
      </w:r>
      <w:proofErr w:type="spellStart"/>
      <w:r w:rsidRPr="00F84E8E">
        <w:rPr>
          <w:sz w:val="32"/>
          <w:szCs w:val="32"/>
        </w:rPr>
        <w:t>Motl</w:t>
      </w:r>
      <w:proofErr w:type="spellEnd"/>
    </w:p>
    <w:p w14:paraId="0C990385" w14:textId="1CF28609" w:rsidR="007373E6" w:rsidRPr="00F84E8E" w:rsidRDefault="00F84E8E" w:rsidP="00F84E8E">
      <w:pPr>
        <w:pStyle w:val="NoSpacing"/>
        <w:rPr>
          <w:sz w:val="24"/>
          <w:szCs w:val="24"/>
        </w:rPr>
      </w:pPr>
      <w:r w:rsidRPr="00F84E8E">
        <w:rPr>
          <w:sz w:val="24"/>
          <w:szCs w:val="24"/>
        </w:rPr>
        <w:t>Department of Physical Therapy, University of Alabama, Birmingham, Alabama</w:t>
      </w:r>
    </w:p>
    <w:bookmarkEnd w:id="1"/>
    <w:p w14:paraId="5BC0075B" w14:textId="5451AE7C" w:rsidR="000A7622" w:rsidRDefault="000A7622" w:rsidP="000A7622">
      <w:pPr>
        <w:rPr>
          <w:rFonts w:cstheme="minorHAnsi"/>
        </w:rPr>
      </w:pPr>
    </w:p>
    <w:p w14:paraId="4A755460" w14:textId="77777777" w:rsidR="007B26FC" w:rsidRDefault="007B26FC" w:rsidP="00F84E8E">
      <w:pPr>
        <w:pStyle w:val="Heading1"/>
        <w:rPr>
          <w:lang w:val="en"/>
        </w:rPr>
      </w:pPr>
      <w:r>
        <w:rPr>
          <w:lang w:val="en"/>
        </w:rPr>
        <w:t>Abstract</w:t>
      </w:r>
    </w:p>
    <w:p w14:paraId="1232D40C" w14:textId="77777777" w:rsidR="007B26FC" w:rsidRPr="00F84E8E" w:rsidRDefault="007B26FC" w:rsidP="00F84E8E">
      <w:pPr>
        <w:rPr>
          <w:color w:val="2E2E2E"/>
          <w:lang w:val="en"/>
        </w:rPr>
      </w:pPr>
      <w:r w:rsidRPr="00F84E8E">
        <w:rPr>
          <w:color w:val="2E2E2E"/>
          <w:lang w:val="en"/>
        </w:rPr>
        <w:t>There is very little known about exercise </w:t>
      </w:r>
      <w:hyperlink r:id="rId10" w:tooltip="Learn more about Rehabilitation Engineering from ScienceDirect's AI-generated Topic Pages" w:history="1">
        <w:r w:rsidRPr="00F84E8E">
          <w:rPr>
            <w:rStyle w:val="Hyperlink"/>
            <w:rFonts w:eastAsiaTheme="majorEastAsia"/>
            <w:color w:val="0C7DBB"/>
            <w:lang w:val="en"/>
          </w:rPr>
          <w:t>rehabilitation</w:t>
        </w:r>
      </w:hyperlink>
      <w:r w:rsidRPr="00F84E8E">
        <w:rPr>
          <w:color w:val="2E2E2E"/>
          <w:lang w:val="en"/>
        </w:rPr>
        <w:t> approaches for older adults with </w:t>
      </w:r>
      <w:hyperlink r:id="rId11" w:tooltip="Learn more about Multiple Sclerosis from ScienceDirect's AI-generated Topic Pages" w:history="1">
        <w:r w:rsidRPr="00F84E8E">
          <w:rPr>
            <w:rStyle w:val="Hyperlink"/>
            <w:rFonts w:eastAsiaTheme="majorEastAsia"/>
            <w:color w:val="0C7DBB"/>
            <w:lang w:val="en"/>
          </w:rPr>
          <w:t>multiple sclerosis</w:t>
        </w:r>
      </w:hyperlink>
      <w:r w:rsidRPr="00F84E8E">
        <w:rPr>
          <w:color w:val="2E2E2E"/>
          <w:lang w:val="en"/>
        </w:rPr>
        <w:t> (MS), yet this growing segment of the MS population experiences declines in cognition and mobility associated with </w:t>
      </w:r>
      <w:hyperlink r:id="rId12" w:tooltip="Learn more about Disease Exacerbation from ScienceDirect's AI-generated Topic Pages" w:history="1">
        <w:r w:rsidRPr="00F84E8E">
          <w:rPr>
            <w:rStyle w:val="Hyperlink"/>
            <w:rFonts w:eastAsiaTheme="majorEastAsia"/>
            <w:color w:val="0C7DBB"/>
            <w:lang w:val="en"/>
          </w:rPr>
          <w:t>disease progression</w:t>
        </w:r>
      </w:hyperlink>
      <w:r w:rsidRPr="00F84E8E">
        <w:rPr>
          <w:color w:val="2E2E2E"/>
          <w:lang w:val="en"/>
        </w:rPr>
        <w:t> and aging. We conducted a RCT examining the feasibility of a 12-week, home-based Square-Stepping Exercise (SSE) program in older adults with MS. Older adults with MS (</w:t>
      </w:r>
      <w:r w:rsidRPr="00F84E8E">
        <w:rPr>
          <w:rStyle w:val="Emphasis"/>
          <w:rFonts w:eastAsiaTheme="majorEastAsia"/>
          <w:color w:val="2E2E2E"/>
          <w:lang w:val="en"/>
        </w:rPr>
        <w:t>N</w:t>
      </w:r>
      <w:r w:rsidRPr="00F84E8E">
        <w:rPr>
          <w:color w:val="2E2E2E"/>
          <w:lang w:val="en"/>
        </w:rPr>
        <w:t> = 26) with mild-to-moderate levels of disability were recruited and randomized into the intervention (i.e., SSE) or a minimal activity, attention-control conditions. Participants in the SSE condition received a mat for home-based practice of the step patterns, an instruction manual, and a logbook along with a pedometer for monitoring compliance. Both conditions received weekly Skype™ calls and had biweekly meetings with an exercise trainer. Feasibility was assessed based on process, resource, management and scientific outcomes. Regarding scientific outcomes, participants in both conditions completed in-lab assessments before and after the 12-week period. Twenty-five participants completed the study (96%) and the total cost of the study was $13,387.00 USD. Pedometer data demonstrated good compliance with the SSE intervention condition. Effect sizes calculated for all treatment outcomes ranged from small-to-moderate for both mobility and cognitive variables between the intervention and attention-control conditions, thereby providing preliminary evidence that participation in the SSE program may improve cognition and mobility function. The results support the feasibility, acceptability, and possible efficacy of a home-based SSE intervention for older adults with MS.</w:t>
      </w:r>
    </w:p>
    <w:p w14:paraId="1577CB7E" w14:textId="77777777" w:rsidR="007B26FC" w:rsidRDefault="007B26FC" w:rsidP="00F84E8E">
      <w:pPr>
        <w:pStyle w:val="Heading1"/>
        <w:rPr>
          <w:rFonts w:ascii="Times New Roman" w:hAnsi="Times New Roman" w:cs="Times New Roman"/>
        </w:rPr>
      </w:pPr>
      <w:r>
        <w:t>Keywords</w:t>
      </w:r>
    </w:p>
    <w:p w14:paraId="66F428AF" w14:textId="0C7DBB6C" w:rsidR="007B26FC" w:rsidRDefault="007B26FC" w:rsidP="004808C1">
      <w:r>
        <w:t>Cognition</w:t>
      </w:r>
      <w:r w:rsidR="00F84E8E">
        <w:t xml:space="preserve">, </w:t>
      </w:r>
      <w:r>
        <w:t>Elderly</w:t>
      </w:r>
      <w:r w:rsidR="004808C1">
        <w:t xml:space="preserve">, </w:t>
      </w:r>
      <w:r>
        <w:t>Exercise</w:t>
      </w:r>
      <w:r w:rsidR="004808C1">
        <w:t xml:space="preserve">, </w:t>
      </w:r>
      <w:r>
        <w:t>Mobility</w:t>
      </w:r>
      <w:r w:rsidR="004808C1">
        <w:t xml:space="preserve">, </w:t>
      </w:r>
      <w:r>
        <w:t>Neurological disease</w:t>
      </w:r>
      <w:r w:rsidR="004808C1">
        <w:t xml:space="preserve">, </w:t>
      </w:r>
      <w:r>
        <w:t>Rehabilitation</w:t>
      </w:r>
    </w:p>
    <w:p w14:paraId="3FC9BE7B" w14:textId="77777777" w:rsidR="007B26FC" w:rsidRDefault="007B26FC" w:rsidP="004808C1">
      <w:pPr>
        <w:pStyle w:val="Heading1"/>
        <w:rPr>
          <w:sz w:val="36"/>
          <w:szCs w:val="36"/>
        </w:rPr>
      </w:pPr>
      <w:r>
        <w:t>1. Introduction</w:t>
      </w:r>
    </w:p>
    <w:p w14:paraId="399D46A8" w14:textId="77777777" w:rsidR="007B26FC" w:rsidRPr="00AF53A9" w:rsidRDefault="007B26FC" w:rsidP="00AF53A9">
      <w:pPr>
        <w:rPr>
          <w:color w:val="2E2E2E"/>
        </w:rPr>
      </w:pPr>
      <w:r w:rsidRPr="00AF53A9">
        <w:rPr>
          <w:color w:val="2E2E2E"/>
        </w:rPr>
        <w:t>There are increasing numbers of adults with </w:t>
      </w:r>
      <w:hyperlink r:id="rId13" w:tooltip="Learn more about Multiple Sclerosis from ScienceDirect's AI-generated Topic Pages" w:history="1">
        <w:r w:rsidRPr="00AF53A9">
          <w:rPr>
            <w:rStyle w:val="Hyperlink"/>
            <w:rFonts w:eastAsiaTheme="majorEastAsia"/>
            <w:color w:val="0C7DBB"/>
          </w:rPr>
          <w:t>multiple sclerosis</w:t>
        </w:r>
      </w:hyperlink>
      <w:r w:rsidRPr="00AF53A9">
        <w:rPr>
          <w:color w:val="2E2E2E"/>
        </w:rPr>
        <w:t> (MS) who are now aging into older adulthood. This is reflected by the shifting age demography of persons with MS whereby there is an expanding prevalence of older adults living with MS [</w:t>
      </w:r>
      <w:bookmarkStart w:id="3" w:name="bbb0005"/>
      <w:r w:rsidRPr="00AF53A9">
        <w:rPr>
          <w:color w:val="2E2E2E"/>
        </w:rPr>
        <w:fldChar w:fldCharType="begin"/>
      </w:r>
      <w:r w:rsidRPr="00AF53A9">
        <w:rPr>
          <w:color w:val="2E2E2E"/>
        </w:rPr>
        <w:instrText xml:space="preserve"> HYPERLINK "https://0-www-sciencedirect-com.libus.csd.mu.edu/science/article/pii/S1551714418303616" \l "bb0005" </w:instrText>
      </w:r>
      <w:r w:rsidRPr="00AF53A9">
        <w:rPr>
          <w:color w:val="2E2E2E"/>
        </w:rPr>
        <w:fldChar w:fldCharType="separate"/>
      </w:r>
      <w:r w:rsidRPr="00AF53A9">
        <w:rPr>
          <w:rStyle w:val="Hyperlink"/>
          <w:rFonts w:eastAsiaTheme="majorEastAsia"/>
          <w:color w:val="0C7DBB"/>
        </w:rPr>
        <w:t>1</w:t>
      </w:r>
      <w:r w:rsidRPr="00AF53A9">
        <w:rPr>
          <w:color w:val="2E2E2E"/>
        </w:rPr>
        <w:fldChar w:fldCharType="end"/>
      </w:r>
      <w:bookmarkEnd w:id="3"/>
      <w:r w:rsidRPr="00AF53A9">
        <w:rPr>
          <w:color w:val="2E2E2E"/>
        </w:rPr>
        <w:t>]. Aging with MS as a disabling disease presents a number of consequences, and older adults with MS present with poor health status and functioning, cognitive and </w:t>
      </w:r>
      <w:hyperlink r:id="rId14" w:tooltip="Learn more about Walking Difficulty from ScienceDirect's AI-generated Topic Pages" w:history="1">
        <w:r w:rsidRPr="00AF53A9">
          <w:rPr>
            <w:rStyle w:val="Hyperlink"/>
            <w:rFonts w:eastAsiaTheme="majorEastAsia"/>
            <w:color w:val="0C7DBB"/>
          </w:rPr>
          <w:t>ambulatory difficulty</w:t>
        </w:r>
      </w:hyperlink>
      <w:r w:rsidRPr="00AF53A9">
        <w:rPr>
          <w:color w:val="2E2E2E"/>
        </w:rPr>
        <w:t>, and dependence for activities of daily living [</w:t>
      </w:r>
      <w:bookmarkStart w:id="4" w:name="bbb0010"/>
      <w:r w:rsidRPr="00AF53A9">
        <w:rPr>
          <w:color w:val="2E2E2E"/>
        </w:rPr>
        <w:fldChar w:fldCharType="begin"/>
      </w:r>
      <w:r w:rsidRPr="00AF53A9">
        <w:rPr>
          <w:color w:val="2E2E2E"/>
        </w:rPr>
        <w:instrText xml:space="preserve"> HYPERLINK "https://0-www-sciencedirect-com.libus.csd.mu.edu/science/article/pii/S1551714418303616" \l "bb0010" </w:instrText>
      </w:r>
      <w:r w:rsidRPr="00AF53A9">
        <w:rPr>
          <w:color w:val="2E2E2E"/>
        </w:rPr>
        <w:fldChar w:fldCharType="separate"/>
      </w:r>
      <w:r w:rsidRPr="00AF53A9">
        <w:rPr>
          <w:rStyle w:val="Hyperlink"/>
          <w:rFonts w:eastAsiaTheme="majorEastAsia"/>
          <w:color w:val="0C7DBB"/>
        </w:rPr>
        <w:t>[2]</w:t>
      </w:r>
      <w:r w:rsidRPr="00AF53A9">
        <w:rPr>
          <w:color w:val="2E2E2E"/>
        </w:rPr>
        <w:fldChar w:fldCharType="end"/>
      </w:r>
      <w:bookmarkEnd w:id="4"/>
      <w:r w:rsidRPr="00AF53A9">
        <w:rPr>
          <w:color w:val="2E2E2E"/>
        </w:rPr>
        <w:t>, </w:t>
      </w:r>
      <w:bookmarkStart w:id="5" w:name="bbb0015"/>
      <w:r w:rsidRPr="00AF53A9">
        <w:rPr>
          <w:color w:val="2E2E2E"/>
        </w:rPr>
        <w:fldChar w:fldCharType="begin"/>
      </w:r>
      <w:r w:rsidRPr="00AF53A9">
        <w:rPr>
          <w:color w:val="2E2E2E"/>
        </w:rPr>
        <w:instrText xml:space="preserve"> HYPERLINK "https://0-www-sciencedirect-com.libus.csd.mu.edu/science/article/pii/S1551714418303616" \l "bb0015" </w:instrText>
      </w:r>
      <w:r w:rsidRPr="00AF53A9">
        <w:rPr>
          <w:color w:val="2E2E2E"/>
        </w:rPr>
        <w:fldChar w:fldCharType="separate"/>
      </w:r>
      <w:r w:rsidRPr="00AF53A9">
        <w:rPr>
          <w:rStyle w:val="Hyperlink"/>
          <w:rFonts w:eastAsiaTheme="majorEastAsia"/>
          <w:color w:val="0C7DBB"/>
        </w:rPr>
        <w:t>[3]</w:t>
      </w:r>
      <w:r w:rsidRPr="00AF53A9">
        <w:rPr>
          <w:color w:val="2E2E2E"/>
        </w:rPr>
        <w:fldChar w:fldCharType="end"/>
      </w:r>
      <w:bookmarkEnd w:id="5"/>
      <w:r w:rsidRPr="00AF53A9">
        <w:rPr>
          <w:color w:val="2E2E2E"/>
        </w:rPr>
        <w:t>, </w:t>
      </w:r>
      <w:bookmarkStart w:id="6" w:name="bbb0020"/>
      <w:r w:rsidRPr="00AF53A9">
        <w:rPr>
          <w:color w:val="2E2E2E"/>
        </w:rPr>
        <w:fldChar w:fldCharType="begin"/>
      </w:r>
      <w:r w:rsidRPr="00AF53A9">
        <w:rPr>
          <w:color w:val="2E2E2E"/>
        </w:rPr>
        <w:instrText xml:space="preserve"> HYPERLINK "https://0-www-sciencedirect-com.libus.csd.mu.edu/science/article/pii/S1551714418303616" \l "bb0020" </w:instrText>
      </w:r>
      <w:r w:rsidRPr="00AF53A9">
        <w:rPr>
          <w:color w:val="2E2E2E"/>
        </w:rPr>
        <w:fldChar w:fldCharType="separate"/>
      </w:r>
      <w:r w:rsidRPr="00AF53A9">
        <w:rPr>
          <w:rStyle w:val="Hyperlink"/>
          <w:rFonts w:eastAsiaTheme="majorEastAsia"/>
          <w:color w:val="0C7DBB"/>
        </w:rPr>
        <w:t>[4]</w:t>
      </w:r>
      <w:r w:rsidRPr="00AF53A9">
        <w:rPr>
          <w:color w:val="2E2E2E"/>
        </w:rPr>
        <w:fldChar w:fldCharType="end"/>
      </w:r>
      <w:r w:rsidRPr="00AF53A9">
        <w:rPr>
          <w:color w:val="2E2E2E"/>
        </w:rPr>
        <w:t>, </w:t>
      </w:r>
      <w:bookmarkStart w:id="7" w:name="bbb0025"/>
      <w:r w:rsidRPr="00AF53A9">
        <w:rPr>
          <w:color w:val="2E2E2E"/>
        </w:rPr>
        <w:fldChar w:fldCharType="begin"/>
      </w:r>
      <w:r w:rsidRPr="00AF53A9">
        <w:rPr>
          <w:color w:val="2E2E2E"/>
        </w:rPr>
        <w:instrText xml:space="preserve"> HYPERLINK "https://0-www-sciencedirect-com.libus.csd.mu.edu/science/article/pii/S1551714418303616" \l "bb0025" </w:instrText>
      </w:r>
      <w:r w:rsidRPr="00AF53A9">
        <w:rPr>
          <w:color w:val="2E2E2E"/>
        </w:rPr>
        <w:fldChar w:fldCharType="separate"/>
      </w:r>
      <w:r w:rsidRPr="00AF53A9">
        <w:rPr>
          <w:rStyle w:val="Hyperlink"/>
          <w:rFonts w:eastAsiaTheme="majorEastAsia"/>
          <w:color w:val="0C7DBB"/>
        </w:rPr>
        <w:t>[5]</w:t>
      </w:r>
      <w:r w:rsidRPr="00AF53A9">
        <w:rPr>
          <w:color w:val="2E2E2E"/>
        </w:rPr>
        <w:fldChar w:fldCharType="end"/>
      </w:r>
      <w:bookmarkEnd w:id="7"/>
      <w:r w:rsidRPr="00AF53A9">
        <w:rPr>
          <w:color w:val="2E2E2E"/>
        </w:rPr>
        <w:t>, </w:t>
      </w:r>
      <w:bookmarkStart w:id="8" w:name="bbb0030"/>
      <w:r w:rsidRPr="00AF53A9">
        <w:rPr>
          <w:color w:val="2E2E2E"/>
        </w:rPr>
        <w:fldChar w:fldCharType="begin"/>
      </w:r>
      <w:r w:rsidRPr="00AF53A9">
        <w:rPr>
          <w:color w:val="2E2E2E"/>
        </w:rPr>
        <w:instrText xml:space="preserve"> HYPERLINK "https://0-www-sciencedirect-com.libus.csd.mu.edu/science/article/pii/S1551714418303616" \l "bb0030" </w:instrText>
      </w:r>
      <w:r w:rsidRPr="00AF53A9">
        <w:rPr>
          <w:color w:val="2E2E2E"/>
        </w:rPr>
        <w:fldChar w:fldCharType="separate"/>
      </w:r>
      <w:r w:rsidRPr="00AF53A9">
        <w:rPr>
          <w:rStyle w:val="Hyperlink"/>
          <w:rFonts w:eastAsiaTheme="majorEastAsia"/>
          <w:color w:val="0C7DBB"/>
        </w:rPr>
        <w:t>[6]</w:t>
      </w:r>
      <w:r w:rsidRPr="00AF53A9">
        <w:rPr>
          <w:color w:val="2E2E2E"/>
        </w:rPr>
        <w:fldChar w:fldCharType="end"/>
      </w:r>
      <w:bookmarkEnd w:id="8"/>
      <w:r w:rsidRPr="00AF53A9">
        <w:rPr>
          <w:color w:val="2E2E2E"/>
        </w:rPr>
        <w:t>, </w:t>
      </w:r>
      <w:bookmarkStart w:id="9" w:name="bbb0035"/>
      <w:r w:rsidRPr="00AF53A9">
        <w:rPr>
          <w:color w:val="2E2E2E"/>
        </w:rPr>
        <w:fldChar w:fldCharType="begin"/>
      </w:r>
      <w:r w:rsidRPr="00AF53A9">
        <w:rPr>
          <w:color w:val="2E2E2E"/>
        </w:rPr>
        <w:instrText xml:space="preserve"> HYPERLINK "https://0-www-sciencedirect-com.libus.csd.mu.edu/science/article/pii/S1551714418303616" \l "bb0035" </w:instrText>
      </w:r>
      <w:r w:rsidRPr="00AF53A9">
        <w:rPr>
          <w:color w:val="2E2E2E"/>
        </w:rPr>
        <w:fldChar w:fldCharType="separate"/>
      </w:r>
      <w:r w:rsidRPr="00AF53A9">
        <w:rPr>
          <w:rStyle w:val="Hyperlink"/>
          <w:rFonts w:eastAsiaTheme="majorEastAsia"/>
          <w:color w:val="0C7DBB"/>
        </w:rPr>
        <w:t>[7]</w:t>
      </w:r>
      <w:r w:rsidRPr="00AF53A9">
        <w:rPr>
          <w:color w:val="2E2E2E"/>
        </w:rPr>
        <w:fldChar w:fldCharType="end"/>
      </w:r>
      <w:bookmarkEnd w:id="9"/>
      <w:r w:rsidRPr="00AF53A9">
        <w:rPr>
          <w:color w:val="2E2E2E"/>
        </w:rPr>
        <w:t>]. There is further evidence of a faster rate of disability progression among older adults with MS [</w:t>
      </w:r>
      <w:bookmarkStart w:id="10" w:name="bbb0040"/>
      <w:r w:rsidRPr="00AF53A9">
        <w:rPr>
          <w:color w:val="2E2E2E"/>
        </w:rPr>
        <w:fldChar w:fldCharType="begin"/>
      </w:r>
      <w:r w:rsidRPr="00AF53A9">
        <w:rPr>
          <w:color w:val="2E2E2E"/>
        </w:rPr>
        <w:instrText xml:space="preserve"> HYPERLINK "https://0-www-sciencedirect-com.libus.csd.mu.edu/science/article/pii/S1551714418303616" \l "bb0040" </w:instrText>
      </w:r>
      <w:r w:rsidRPr="00AF53A9">
        <w:rPr>
          <w:color w:val="2E2E2E"/>
        </w:rPr>
        <w:fldChar w:fldCharType="separate"/>
      </w:r>
      <w:r w:rsidRPr="00AF53A9">
        <w:rPr>
          <w:rStyle w:val="Hyperlink"/>
          <w:rFonts w:eastAsiaTheme="majorEastAsia"/>
          <w:color w:val="0C7DBB"/>
        </w:rPr>
        <w:t>8</w:t>
      </w:r>
      <w:r w:rsidRPr="00AF53A9">
        <w:rPr>
          <w:color w:val="2E2E2E"/>
        </w:rPr>
        <w:fldChar w:fldCharType="end"/>
      </w:r>
      <w:bookmarkEnd w:id="10"/>
      <w:r w:rsidRPr="00AF53A9">
        <w:rPr>
          <w:color w:val="2E2E2E"/>
        </w:rPr>
        <w:t>], yet there are no approved </w:t>
      </w:r>
      <w:hyperlink r:id="rId15" w:tooltip="Learn more about Disease Modifying Therapy from ScienceDirect's AI-generated Topic Pages" w:history="1">
        <w:r w:rsidRPr="00AF53A9">
          <w:rPr>
            <w:rStyle w:val="Hyperlink"/>
            <w:rFonts w:eastAsiaTheme="majorEastAsia"/>
            <w:color w:val="0C7DBB"/>
          </w:rPr>
          <w:t>disease-modifying therapies</w:t>
        </w:r>
      </w:hyperlink>
      <w:r w:rsidRPr="00AF53A9">
        <w:rPr>
          <w:color w:val="2E2E2E"/>
        </w:rPr>
        <w:t> (DMTs) for adults with MS beyond 65 years of age. This is mostly due to the paucity of research studies including this age group in trials. Nevertheless, some evidence indicates that DMTs have no or very modest effect for slowing disability in this demographic of persons with MS [</w:t>
      </w:r>
      <w:bookmarkStart w:id="11" w:name="bbb0045"/>
      <w:r w:rsidRPr="00AF53A9">
        <w:rPr>
          <w:color w:val="2E2E2E"/>
        </w:rPr>
        <w:fldChar w:fldCharType="begin"/>
      </w:r>
      <w:r w:rsidRPr="00AF53A9">
        <w:rPr>
          <w:color w:val="2E2E2E"/>
        </w:rPr>
        <w:instrText xml:space="preserve"> HYPERLINK "https://0-www-sciencedirect-com.libus.csd.mu.edu/science/article/pii/S1551714418303616" \l "bb0045" </w:instrText>
      </w:r>
      <w:r w:rsidRPr="00AF53A9">
        <w:rPr>
          <w:color w:val="2E2E2E"/>
        </w:rPr>
        <w:fldChar w:fldCharType="separate"/>
      </w:r>
      <w:r w:rsidRPr="00AF53A9">
        <w:rPr>
          <w:rStyle w:val="Hyperlink"/>
          <w:rFonts w:eastAsiaTheme="majorEastAsia"/>
          <w:color w:val="0C7DBB"/>
        </w:rPr>
        <w:t>9</w:t>
      </w:r>
      <w:r w:rsidRPr="00AF53A9">
        <w:rPr>
          <w:color w:val="2E2E2E"/>
        </w:rPr>
        <w:fldChar w:fldCharType="end"/>
      </w:r>
      <w:bookmarkEnd w:id="11"/>
      <w:r w:rsidRPr="00AF53A9">
        <w:rPr>
          <w:color w:val="2E2E2E"/>
        </w:rPr>
        <w:t>].</w:t>
      </w:r>
    </w:p>
    <w:p w14:paraId="61AC69EE" w14:textId="77777777" w:rsidR="007B26FC" w:rsidRPr="00AF53A9" w:rsidRDefault="007B26FC" w:rsidP="00AF53A9">
      <w:pPr>
        <w:rPr>
          <w:color w:val="2E2E2E"/>
        </w:rPr>
      </w:pPr>
      <w:r w:rsidRPr="00AF53A9">
        <w:rPr>
          <w:color w:val="2E2E2E"/>
        </w:rPr>
        <w:t>Researchers and clinicians have become interested in exercise training as an approach for managing the consequences of aging and MS. This is largely based on evidence for benefits of exercise in MS [</w:t>
      </w:r>
      <w:bookmarkStart w:id="12" w:name="bbb0050"/>
      <w:r w:rsidRPr="00AF53A9">
        <w:rPr>
          <w:color w:val="2E2E2E"/>
        </w:rPr>
        <w:fldChar w:fldCharType="begin"/>
      </w:r>
      <w:r w:rsidRPr="00AF53A9">
        <w:rPr>
          <w:color w:val="2E2E2E"/>
        </w:rPr>
        <w:instrText xml:space="preserve"> HYPERLINK "https://0-www-sciencedirect-com.libus.csd.mu.edu/science/article/pii/S1551714418303616" \l "bb0050" </w:instrText>
      </w:r>
      <w:r w:rsidRPr="00AF53A9">
        <w:rPr>
          <w:color w:val="2E2E2E"/>
        </w:rPr>
        <w:fldChar w:fldCharType="separate"/>
      </w:r>
      <w:r w:rsidRPr="00AF53A9">
        <w:rPr>
          <w:rStyle w:val="Hyperlink"/>
          <w:rFonts w:eastAsiaTheme="majorEastAsia"/>
          <w:color w:val="0C7DBB"/>
        </w:rPr>
        <w:t>10</w:t>
      </w:r>
      <w:r w:rsidRPr="00AF53A9">
        <w:rPr>
          <w:color w:val="2E2E2E"/>
        </w:rPr>
        <w:fldChar w:fldCharType="end"/>
      </w:r>
      <w:bookmarkEnd w:id="12"/>
      <w:r w:rsidRPr="00AF53A9">
        <w:rPr>
          <w:color w:val="2E2E2E"/>
        </w:rPr>
        <w:t>] and older adults in the general population [</w:t>
      </w:r>
      <w:bookmarkStart w:id="13" w:name="bbb0055"/>
      <w:r w:rsidRPr="00AF53A9">
        <w:rPr>
          <w:color w:val="2E2E2E"/>
        </w:rPr>
        <w:fldChar w:fldCharType="begin"/>
      </w:r>
      <w:r w:rsidRPr="00AF53A9">
        <w:rPr>
          <w:color w:val="2E2E2E"/>
        </w:rPr>
        <w:instrText xml:space="preserve"> HYPERLINK "https://0-www-sciencedirect-com.libus.csd.mu.edu/science/article/pii/S1551714418303616" \l "bb0055" </w:instrText>
      </w:r>
      <w:r w:rsidRPr="00AF53A9">
        <w:rPr>
          <w:color w:val="2E2E2E"/>
        </w:rPr>
        <w:fldChar w:fldCharType="separate"/>
      </w:r>
      <w:r w:rsidRPr="00AF53A9">
        <w:rPr>
          <w:rStyle w:val="Hyperlink"/>
          <w:rFonts w:eastAsiaTheme="majorEastAsia"/>
          <w:color w:val="0C7DBB"/>
        </w:rPr>
        <w:t>11</w:t>
      </w:r>
      <w:r w:rsidRPr="00AF53A9">
        <w:rPr>
          <w:color w:val="2E2E2E"/>
        </w:rPr>
        <w:fldChar w:fldCharType="end"/>
      </w:r>
      <w:bookmarkEnd w:id="13"/>
      <w:r w:rsidRPr="00AF53A9">
        <w:rPr>
          <w:color w:val="2E2E2E"/>
        </w:rPr>
        <w:t>] separately, but there have been a few interventions focusing on the beneficial effects of exercise for older adults with MS [</w:t>
      </w:r>
      <w:bookmarkStart w:id="14" w:name="bbb0060"/>
      <w:r w:rsidRPr="00AF53A9">
        <w:rPr>
          <w:color w:val="2E2E2E"/>
        </w:rPr>
        <w:fldChar w:fldCharType="begin"/>
      </w:r>
      <w:r w:rsidRPr="00AF53A9">
        <w:rPr>
          <w:color w:val="2E2E2E"/>
        </w:rPr>
        <w:instrText xml:space="preserve"> HYPERLINK "https://0-www-sciencedirect-com.libus.csd.mu.edu/science/article/pii/S1551714418303616" \l "bb0060" </w:instrText>
      </w:r>
      <w:r w:rsidRPr="00AF53A9">
        <w:rPr>
          <w:color w:val="2E2E2E"/>
        </w:rPr>
        <w:fldChar w:fldCharType="separate"/>
      </w:r>
      <w:r w:rsidRPr="00AF53A9">
        <w:rPr>
          <w:rStyle w:val="Hyperlink"/>
          <w:rFonts w:eastAsiaTheme="majorEastAsia"/>
          <w:color w:val="0C7DBB"/>
        </w:rPr>
        <w:t>12</w:t>
      </w:r>
      <w:r w:rsidRPr="00AF53A9">
        <w:rPr>
          <w:color w:val="2E2E2E"/>
        </w:rPr>
        <w:fldChar w:fldCharType="end"/>
      </w:r>
      <w:bookmarkEnd w:id="14"/>
      <w:r w:rsidRPr="00AF53A9">
        <w:rPr>
          <w:color w:val="2E2E2E"/>
        </w:rPr>
        <w:t>]. We further note that the rates of participation in physical activity and exercise are exceedingly low in older adults with this MS [</w:t>
      </w:r>
      <w:bookmarkStart w:id="15" w:name="bbb0065"/>
      <w:r w:rsidRPr="00AF53A9">
        <w:rPr>
          <w:color w:val="2E2E2E"/>
        </w:rPr>
        <w:fldChar w:fldCharType="begin"/>
      </w:r>
      <w:r w:rsidRPr="00AF53A9">
        <w:rPr>
          <w:color w:val="2E2E2E"/>
        </w:rPr>
        <w:instrText xml:space="preserve"> HYPERLINK "https://0-www-sciencedirect-com.libus.csd.mu.edu/science/article/pii/S1551714418303616" \l "bb0065" </w:instrText>
      </w:r>
      <w:r w:rsidRPr="00AF53A9">
        <w:rPr>
          <w:color w:val="2E2E2E"/>
        </w:rPr>
        <w:fldChar w:fldCharType="separate"/>
      </w:r>
      <w:r w:rsidRPr="00AF53A9">
        <w:rPr>
          <w:rStyle w:val="Hyperlink"/>
          <w:rFonts w:eastAsiaTheme="majorEastAsia"/>
          <w:color w:val="0C7DBB"/>
        </w:rPr>
        <w:t>13</w:t>
      </w:r>
      <w:r w:rsidRPr="00AF53A9">
        <w:rPr>
          <w:color w:val="2E2E2E"/>
        </w:rPr>
        <w:fldChar w:fldCharType="end"/>
      </w:r>
      <w:bookmarkEnd w:id="15"/>
      <w:r w:rsidRPr="00AF53A9">
        <w:rPr>
          <w:color w:val="2E2E2E"/>
        </w:rPr>
        <w:t>,</w:t>
      </w:r>
      <w:bookmarkStart w:id="16" w:name="bbb0070"/>
      <w:r w:rsidRPr="00AF53A9">
        <w:rPr>
          <w:color w:val="2E2E2E"/>
        </w:rPr>
        <w:fldChar w:fldCharType="begin"/>
      </w:r>
      <w:r w:rsidRPr="00AF53A9">
        <w:rPr>
          <w:color w:val="2E2E2E"/>
        </w:rPr>
        <w:instrText xml:space="preserve"> HYPERLINK "https://0-www-sciencedirect-com.libus.csd.mu.edu/science/article/pii/S1551714418303616" \l "bb0070" </w:instrText>
      </w:r>
      <w:r w:rsidRPr="00AF53A9">
        <w:rPr>
          <w:color w:val="2E2E2E"/>
        </w:rPr>
        <w:fldChar w:fldCharType="separate"/>
      </w:r>
      <w:r w:rsidRPr="00AF53A9">
        <w:rPr>
          <w:rStyle w:val="Hyperlink"/>
          <w:rFonts w:eastAsiaTheme="majorEastAsia"/>
          <w:color w:val="0C7DBB"/>
        </w:rPr>
        <w:t>14</w:t>
      </w:r>
      <w:r w:rsidRPr="00AF53A9">
        <w:rPr>
          <w:color w:val="2E2E2E"/>
        </w:rPr>
        <w:fldChar w:fldCharType="end"/>
      </w:r>
      <w:bookmarkEnd w:id="16"/>
      <w:r w:rsidRPr="00AF53A9">
        <w:rPr>
          <w:color w:val="2E2E2E"/>
        </w:rPr>
        <w:t>] and that this population does not meet current recommendations of physical activity necessary for accruing health benefits. Several factors may interfere with physical activity and exercise participation in older adults with MS, including increasing age, perception that exercise is too difficult, cost of exercise programs and lack of low-cost and accessible recreational facilities [</w:t>
      </w:r>
      <w:bookmarkStart w:id="17" w:name="bbb0075"/>
      <w:r w:rsidRPr="00AF53A9">
        <w:rPr>
          <w:color w:val="2E2E2E"/>
        </w:rPr>
        <w:fldChar w:fldCharType="begin"/>
      </w:r>
      <w:r w:rsidRPr="00AF53A9">
        <w:rPr>
          <w:color w:val="2E2E2E"/>
        </w:rPr>
        <w:instrText xml:space="preserve"> HYPERLINK "https://0-www-sciencedirect-com.libus.csd.mu.edu/science/article/pii/S1551714418303616" \l "bb0075" </w:instrText>
      </w:r>
      <w:r w:rsidRPr="00AF53A9">
        <w:rPr>
          <w:color w:val="2E2E2E"/>
        </w:rPr>
        <w:fldChar w:fldCharType="separate"/>
      </w:r>
      <w:r w:rsidRPr="00AF53A9">
        <w:rPr>
          <w:rStyle w:val="Hyperlink"/>
          <w:rFonts w:eastAsiaTheme="majorEastAsia"/>
          <w:color w:val="0C7DBB"/>
        </w:rPr>
        <w:t>15</w:t>
      </w:r>
      <w:r w:rsidRPr="00AF53A9">
        <w:rPr>
          <w:color w:val="2E2E2E"/>
        </w:rPr>
        <w:fldChar w:fldCharType="end"/>
      </w:r>
      <w:bookmarkEnd w:id="17"/>
      <w:r w:rsidRPr="00AF53A9">
        <w:rPr>
          <w:color w:val="2E2E2E"/>
        </w:rPr>
        <w:t>]. Such observations must be accounted for in the design of exercise training programs for older adults that are consistent with recommendations regarding exercise for persons with MS [</w:t>
      </w:r>
      <w:bookmarkStart w:id="18" w:name="bbb0080"/>
      <w:r w:rsidRPr="00AF53A9">
        <w:rPr>
          <w:color w:val="2E2E2E"/>
        </w:rPr>
        <w:fldChar w:fldCharType="begin"/>
      </w:r>
      <w:r w:rsidRPr="00AF53A9">
        <w:rPr>
          <w:color w:val="2E2E2E"/>
        </w:rPr>
        <w:instrText xml:space="preserve"> HYPERLINK "https://0-www-sciencedirect-com.libus.csd.mu.edu/science/article/pii/S1551714418303616" \l "bb0080" </w:instrText>
      </w:r>
      <w:r w:rsidRPr="00AF53A9">
        <w:rPr>
          <w:color w:val="2E2E2E"/>
        </w:rPr>
        <w:fldChar w:fldCharType="separate"/>
      </w:r>
      <w:r w:rsidRPr="00AF53A9">
        <w:rPr>
          <w:rStyle w:val="Hyperlink"/>
          <w:rFonts w:eastAsiaTheme="majorEastAsia"/>
          <w:color w:val="0C7DBB"/>
        </w:rPr>
        <w:t>16</w:t>
      </w:r>
      <w:r w:rsidRPr="00AF53A9">
        <w:rPr>
          <w:color w:val="2E2E2E"/>
        </w:rPr>
        <w:fldChar w:fldCharType="end"/>
      </w:r>
      <w:bookmarkEnd w:id="18"/>
      <w:r w:rsidRPr="00AF53A9">
        <w:rPr>
          <w:color w:val="2E2E2E"/>
        </w:rPr>
        <w:t>].</w:t>
      </w:r>
    </w:p>
    <w:p w14:paraId="2E68B391" w14:textId="77777777" w:rsidR="007B26FC" w:rsidRPr="00AF53A9" w:rsidRDefault="007B26FC" w:rsidP="00AF53A9">
      <w:pPr>
        <w:rPr>
          <w:color w:val="2E2E2E"/>
        </w:rPr>
      </w:pPr>
      <w:r w:rsidRPr="00AF53A9">
        <w:rPr>
          <w:color w:val="2E2E2E"/>
        </w:rPr>
        <w:t>We recently described and proposed a methodological protocol paper involving a feasibility study of the square-stepping exercise (SSE) in older adults with MS [</w:t>
      </w:r>
      <w:bookmarkStart w:id="19" w:name="bbb0085"/>
      <w:r w:rsidRPr="00AF53A9">
        <w:rPr>
          <w:color w:val="2E2E2E"/>
        </w:rPr>
        <w:fldChar w:fldCharType="begin"/>
      </w:r>
      <w:r w:rsidRPr="00AF53A9">
        <w:rPr>
          <w:color w:val="2E2E2E"/>
        </w:rPr>
        <w:instrText xml:space="preserve"> HYPERLINK "https://0-www-sciencedirect-com.libus.csd.mu.edu/science/article/pii/S1551714418303616" \l "bb0085" </w:instrText>
      </w:r>
      <w:r w:rsidRPr="00AF53A9">
        <w:rPr>
          <w:color w:val="2E2E2E"/>
        </w:rPr>
        <w:fldChar w:fldCharType="separate"/>
      </w:r>
      <w:r w:rsidRPr="00AF53A9">
        <w:rPr>
          <w:rStyle w:val="Hyperlink"/>
          <w:rFonts w:eastAsiaTheme="majorEastAsia"/>
          <w:color w:val="0C7DBB"/>
        </w:rPr>
        <w:t>17</w:t>
      </w:r>
      <w:r w:rsidRPr="00AF53A9">
        <w:rPr>
          <w:color w:val="2E2E2E"/>
        </w:rPr>
        <w:fldChar w:fldCharType="end"/>
      </w:r>
      <w:r w:rsidRPr="00AF53A9">
        <w:rPr>
          <w:color w:val="2E2E2E"/>
        </w:rPr>
        <w:t>]. The SSE program was originally developed by Japanese researchers and focused on improving functional fitness (e.g., lower limb muscle strength, walking ability, balance, reduce the risk of falls) and enhancing cognition in older adults of the general population [</w:t>
      </w:r>
      <w:bookmarkStart w:id="20" w:name="bbb0090"/>
      <w:r w:rsidRPr="00AF53A9">
        <w:rPr>
          <w:color w:val="2E2E2E"/>
        </w:rPr>
        <w:fldChar w:fldCharType="begin"/>
      </w:r>
      <w:r w:rsidRPr="00AF53A9">
        <w:rPr>
          <w:color w:val="2E2E2E"/>
        </w:rPr>
        <w:instrText xml:space="preserve"> HYPERLINK "https://0-www-sciencedirect-com.libus.csd.mu.edu/science/article/pii/S1551714418303616" \l "bb0090" </w:instrText>
      </w:r>
      <w:r w:rsidRPr="00AF53A9">
        <w:rPr>
          <w:color w:val="2E2E2E"/>
        </w:rPr>
        <w:fldChar w:fldCharType="separate"/>
      </w:r>
      <w:r w:rsidRPr="00AF53A9">
        <w:rPr>
          <w:rStyle w:val="Hyperlink"/>
          <w:rFonts w:eastAsiaTheme="majorEastAsia"/>
          <w:color w:val="0C7DBB"/>
        </w:rPr>
        <w:t>18</w:t>
      </w:r>
      <w:r w:rsidRPr="00AF53A9">
        <w:rPr>
          <w:color w:val="2E2E2E"/>
        </w:rPr>
        <w:fldChar w:fldCharType="end"/>
      </w:r>
      <w:r w:rsidRPr="00AF53A9">
        <w:rPr>
          <w:color w:val="2E2E2E"/>
        </w:rPr>
        <w:t>]. To this end, we opted for the SSE intervention for its potential benefit to improve </w:t>
      </w:r>
      <w:hyperlink r:id="rId16" w:tooltip="Learn more about Clinical Feature from ScienceDirect's AI-generated Topic Pages" w:history="1">
        <w:r w:rsidRPr="00AF53A9">
          <w:rPr>
            <w:rStyle w:val="Hyperlink"/>
            <w:rFonts w:eastAsiaTheme="majorEastAsia"/>
            <w:color w:val="0C7DBB"/>
          </w:rPr>
          <w:t>clinical aspects</w:t>
        </w:r>
      </w:hyperlink>
      <w:r w:rsidRPr="00AF53A9">
        <w:rPr>
          <w:color w:val="2E2E2E"/>
        </w:rPr>
        <w:t> in older adults with MS. The SSE-MS project is a 12-week, home-based, exercise training program developed to be an easy-to-do and fun exercise with the potential to improve mobility and cognition in individuals with MS in the older adulthood. The present manuscript reports results (i.e., outcomes) regarding the process, resource, management, and scientific feasibility metrics on the feasibility of SSE-MS Project in adults with MS aged 60 years and older. The results were reported in accordance with current recommendations and guidelines for feasibility trials [</w:t>
      </w:r>
      <w:bookmarkStart w:id="21" w:name="bbb0095"/>
      <w:r w:rsidRPr="00AF53A9">
        <w:rPr>
          <w:color w:val="2E2E2E"/>
        </w:rPr>
        <w:fldChar w:fldCharType="begin"/>
      </w:r>
      <w:r w:rsidRPr="00AF53A9">
        <w:rPr>
          <w:color w:val="2E2E2E"/>
        </w:rPr>
        <w:instrText xml:space="preserve"> HYPERLINK "https://0-www-sciencedirect-com.libus.csd.mu.edu/science/article/pii/S1551714418303616" \l "bb0095" </w:instrText>
      </w:r>
      <w:r w:rsidRPr="00AF53A9">
        <w:rPr>
          <w:color w:val="2E2E2E"/>
        </w:rPr>
        <w:fldChar w:fldCharType="separate"/>
      </w:r>
      <w:r w:rsidRPr="00AF53A9">
        <w:rPr>
          <w:rStyle w:val="Hyperlink"/>
          <w:rFonts w:eastAsiaTheme="majorEastAsia"/>
          <w:color w:val="0C7DBB"/>
        </w:rPr>
        <w:t>19</w:t>
      </w:r>
      <w:r w:rsidRPr="00AF53A9">
        <w:rPr>
          <w:color w:val="2E2E2E"/>
        </w:rPr>
        <w:fldChar w:fldCharType="end"/>
      </w:r>
      <w:bookmarkEnd w:id="21"/>
      <w:r w:rsidRPr="00AF53A9">
        <w:rPr>
          <w:color w:val="2E2E2E"/>
        </w:rPr>
        <w:t>].</w:t>
      </w:r>
    </w:p>
    <w:p w14:paraId="01BD8EEE" w14:textId="77777777" w:rsidR="007B26FC" w:rsidRDefault="007B26FC" w:rsidP="00AF53A9">
      <w:pPr>
        <w:pStyle w:val="Heading1"/>
        <w:rPr>
          <w:sz w:val="36"/>
          <w:szCs w:val="36"/>
        </w:rPr>
      </w:pPr>
      <w:r>
        <w:t>2. Methods</w:t>
      </w:r>
    </w:p>
    <w:p w14:paraId="6020FE5A" w14:textId="77777777" w:rsidR="007B26FC" w:rsidRDefault="007B26FC" w:rsidP="00AF53A9">
      <w:pPr>
        <w:pStyle w:val="Heading2"/>
      </w:pPr>
      <w:r>
        <w:t>2.1. Ethical approval</w:t>
      </w:r>
    </w:p>
    <w:p w14:paraId="6CCA9DE2" w14:textId="77777777" w:rsidR="007B26FC" w:rsidRDefault="007B26FC" w:rsidP="00AF53A9">
      <w:r>
        <w:t>This feasibility study was a randomized controlled trial (RCT) conducted between October 2016 and September 2017. The study protocol was approved by a university institutional review board (IRB) and all participants signed an informed consent document before data collection.</w:t>
      </w:r>
    </w:p>
    <w:p w14:paraId="3417DA1E" w14:textId="77777777" w:rsidR="007B26FC" w:rsidRDefault="007B26FC" w:rsidP="00AF53A9">
      <w:pPr>
        <w:pStyle w:val="Heading2"/>
        <w:rPr>
          <w:sz w:val="27"/>
          <w:szCs w:val="27"/>
        </w:rPr>
      </w:pPr>
      <w:r>
        <w:t>2.2. Participant recruitment and eligibility</w:t>
      </w:r>
    </w:p>
    <w:p w14:paraId="121783D9" w14:textId="77777777" w:rsidR="007B26FC" w:rsidRPr="00AF53A9" w:rsidRDefault="007B26FC" w:rsidP="00AF53A9">
      <w:pPr>
        <w:rPr>
          <w:color w:val="2E2E2E"/>
        </w:rPr>
      </w:pPr>
      <w:r w:rsidRPr="00AF53A9">
        <w:rPr>
          <w:color w:val="2E2E2E"/>
        </w:rPr>
        <w:t>Participants were recruited from the Midwest region of United States using (</w:t>
      </w:r>
      <w:proofErr w:type="spellStart"/>
      <w:r w:rsidRPr="00AF53A9">
        <w:rPr>
          <w:color w:val="2E2E2E"/>
        </w:rPr>
        <w:t>i</w:t>
      </w:r>
      <w:proofErr w:type="spellEnd"/>
      <w:r w:rsidRPr="00AF53A9">
        <w:rPr>
          <w:color w:val="2E2E2E"/>
        </w:rPr>
        <w:t>) the North American Research Committee on </w:t>
      </w:r>
      <w:hyperlink r:id="rId17" w:tooltip="Learn more about Multiple Sclerosis from ScienceDirect's AI-generated Topic Pages" w:history="1">
        <w:r w:rsidRPr="00AF53A9">
          <w:rPr>
            <w:rStyle w:val="Hyperlink"/>
            <w:rFonts w:eastAsiaTheme="majorEastAsia"/>
            <w:color w:val="0C7DBB"/>
          </w:rPr>
          <w:t>Multiple Sclerosis</w:t>
        </w:r>
      </w:hyperlink>
      <w:r w:rsidRPr="00AF53A9">
        <w:rPr>
          <w:color w:val="2E2E2E"/>
        </w:rPr>
        <w:t> (NARCOMS), (ii) a database of people with MS who had previously participated in studies conducted by researchers in the Exercise Neuroscience Research Laboratory, (iii) interactions with potential participants during MS events and MS-specific support groups, (iv) advertisement on the research laboratory's website, and (v) advertisement in local newspapers. Participant recruitment was an ongoing process over the course of the study.</w:t>
      </w:r>
    </w:p>
    <w:p w14:paraId="2B29D23B" w14:textId="77777777" w:rsidR="007B26FC" w:rsidRPr="00AF53A9" w:rsidRDefault="007B26FC" w:rsidP="00AF53A9">
      <w:pPr>
        <w:rPr>
          <w:color w:val="2E2E2E"/>
        </w:rPr>
      </w:pPr>
      <w:r w:rsidRPr="00AF53A9">
        <w:rPr>
          <w:color w:val="2E2E2E"/>
        </w:rPr>
        <w:t>Recruitment flyers and newspaper advertisements provided detailed eligibility criteria, and included contact information (i.e., telephone and email) for the researchers. Inclusion criteria for the study included: (a) 60 years and older; (b) clinically definitive diagnosis of MS; (c) relapse-free for the past 30 days; (d) ability to walk with or without an assistive device (e.g., cane); (e) willing and able to participate in the 12-week home-based intervention; (f) non-exerciser (operationalized as not engaging in structured exercise 2 + days/week); (g) asymptomatic (i.e., one or fewer affirmatives on the Physical Activity Readiness Questionnaire (PAR-Q)) or physician approval for undertaking exercise training for those with 2 or more affirmatives on the PAR-Q [</w:t>
      </w:r>
      <w:bookmarkStart w:id="22" w:name="bbb0100"/>
      <w:r w:rsidRPr="00AF53A9">
        <w:rPr>
          <w:color w:val="2E2E2E"/>
        </w:rPr>
        <w:fldChar w:fldCharType="begin"/>
      </w:r>
      <w:r w:rsidRPr="00AF53A9">
        <w:rPr>
          <w:color w:val="2E2E2E"/>
        </w:rPr>
        <w:instrText xml:space="preserve"> HYPERLINK "https://0-www-sciencedirect-com.libus.csd.mu.edu/science/article/pii/S1551714418303616" \l "bb0100" </w:instrText>
      </w:r>
      <w:r w:rsidRPr="00AF53A9">
        <w:rPr>
          <w:color w:val="2E2E2E"/>
        </w:rPr>
        <w:fldChar w:fldCharType="separate"/>
      </w:r>
      <w:r w:rsidRPr="00AF53A9">
        <w:rPr>
          <w:rStyle w:val="Hyperlink"/>
          <w:rFonts w:eastAsiaTheme="majorEastAsia"/>
          <w:color w:val="0C7DBB"/>
        </w:rPr>
        <w:t>20</w:t>
      </w:r>
      <w:r w:rsidRPr="00AF53A9">
        <w:rPr>
          <w:color w:val="2E2E2E"/>
        </w:rPr>
        <w:fldChar w:fldCharType="end"/>
      </w:r>
      <w:bookmarkEnd w:id="22"/>
      <w:r w:rsidRPr="00AF53A9">
        <w:rPr>
          <w:color w:val="2E2E2E"/>
        </w:rPr>
        <w:t>], (h) signed medical release form; and (</w:t>
      </w:r>
      <w:proofErr w:type="spellStart"/>
      <w:r w:rsidRPr="00AF53A9">
        <w:rPr>
          <w:color w:val="2E2E2E"/>
        </w:rPr>
        <w:t>i</w:t>
      </w:r>
      <w:proofErr w:type="spellEnd"/>
      <w:r w:rsidRPr="00AF53A9">
        <w:rPr>
          <w:color w:val="2E2E2E"/>
        </w:rPr>
        <w:t>) scoring ≥13 points in the Telephone Interview for Cognitive Status, indicating no more than </w:t>
      </w:r>
      <w:hyperlink r:id="rId18" w:tooltip="Learn more about Mild Cognitive Impairment from ScienceDirect's AI-generated Topic Pages" w:history="1">
        <w:r w:rsidRPr="00AF53A9">
          <w:rPr>
            <w:rStyle w:val="Hyperlink"/>
            <w:rFonts w:eastAsiaTheme="majorEastAsia"/>
            <w:color w:val="0C7DBB"/>
          </w:rPr>
          <w:t>mild cognitive impairment</w:t>
        </w:r>
      </w:hyperlink>
      <w:r w:rsidRPr="00AF53A9">
        <w:rPr>
          <w:color w:val="2E2E2E"/>
        </w:rPr>
        <w:t> [</w:t>
      </w:r>
      <w:bookmarkStart w:id="23" w:name="bbb0105"/>
      <w:r w:rsidRPr="00AF53A9">
        <w:rPr>
          <w:color w:val="2E2E2E"/>
        </w:rPr>
        <w:fldChar w:fldCharType="begin"/>
      </w:r>
      <w:r w:rsidRPr="00AF53A9">
        <w:rPr>
          <w:color w:val="2E2E2E"/>
        </w:rPr>
        <w:instrText xml:space="preserve"> HYPERLINK "https://0-www-sciencedirect-com.libus.csd.mu.edu/science/article/pii/S1551714418303616" \l "bb0105" </w:instrText>
      </w:r>
      <w:r w:rsidRPr="00AF53A9">
        <w:rPr>
          <w:color w:val="2E2E2E"/>
        </w:rPr>
        <w:fldChar w:fldCharType="separate"/>
      </w:r>
      <w:r w:rsidRPr="00AF53A9">
        <w:rPr>
          <w:rStyle w:val="Hyperlink"/>
          <w:rFonts w:eastAsiaTheme="majorEastAsia"/>
          <w:color w:val="0C7DBB"/>
        </w:rPr>
        <w:t>21</w:t>
      </w:r>
      <w:r w:rsidRPr="00AF53A9">
        <w:rPr>
          <w:color w:val="2E2E2E"/>
        </w:rPr>
        <w:fldChar w:fldCharType="end"/>
      </w:r>
      <w:bookmarkEnd w:id="23"/>
      <w:r w:rsidRPr="00AF53A9">
        <w:rPr>
          <w:color w:val="2E2E2E"/>
        </w:rPr>
        <w:t>]. Participants who did not meet those criteria were excluded from study participation. We sought a sample size exceeding 12 participants per group, as it is believed to be acceptable for pilot and feasibility studies involving RCT study designs [</w:t>
      </w:r>
      <w:bookmarkStart w:id="24" w:name="bbb0110"/>
      <w:r w:rsidRPr="00AF53A9">
        <w:rPr>
          <w:color w:val="2E2E2E"/>
        </w:rPr>
        <w:fldChar w:fldCharType="begin"/>
      </w:r>
      <w:r w:rsidRPr="00AF53A9">
        <w:rPr>
          <w:color w:val="2E2E2E"/>
        </w:rPr>
        <w:instrText xml:space="preserve"> HYPERLINK "https://0-www-sciencedirect-com.libus.csd.mu.edu/science/article/pii/S1551714418303616" \l "bb0110" </w:instrText>
      </w:r>
      <w:r w:rsidRPr="00AF53A9">
        <w:rPr>
          <w:color w:val="2E2E2E"/>
        </w:rPr>
        <w:fldChar w:fldCharType="separate"/>
      </w:r>
      <w:r w:rsidRPr="00AF53A9">
        <w:rPr>
          <w:rStyle w:val="Hyperlink"/>
          <w:rFonts w:eastAsiaTheme="majorEastAsia"/>
          <w:color w:val="0C7DBB"/>
        </w:rPr>
        <w:t>22</w:t>
      </w:r>
      <w:r w:rsidRPr="00AF53A9">
        <w:rPr>
          <w:color w:val="2E2E2E"/>
        </w:rPr>
        <w:fldChar w:fldCharType="end"/>
      </w:r>
      <w:bookmarkEnd w:id="24"/>
      <w:r w:rsidRPr="00AF53A9">
        <w:rPr>
          <w:color w:val="2E2E2E"/>
        </w:rPr>
        <w:t>]. We did not conduct a formal sample size calculation, as this was a feasibility study.</w:t>
      </w:r>
    </w:p>
    <w:p w14:paraId="7E72F653" w14:textId="77777777" w:rsidR="007B26FC" w:rsidRDefault="007B26FC" w:rsidP="00AF53A9">
      <w:pPr>
        <w:pStyle w:val="Heading2"/>
        <w:rPr>
          <w:sz w:val="27"/>
          <w:szCs w:val="27"/>
        </w:rPr>
      </w:pPr>
      <w:r>
        <w:t>2.3. Procedure</w:t>
      </w:r>
    </w:p>
    <w:p w14:paraId="1B60C6A4" w14:textId="77777777" w:rsidR="007B26FC" w:rsidRPr="00AF53A9" w:rsidRDefault="007B26FC" w:rsidP="00AF53A9">
      <w:r w:rsidRPr="00AF53A9">
        <w:t>Participants who successfully enrolled in the study were scheduled for a visit to the Exercise Neuroscience Research Laboratory. This visit started with a review and provision of a written informed consent document. Participants then undertook baseline assessments (e.g., functional mobility, </w:t>
      </w:r>
      <w:hyperlink r:id="rId19" w:tooltip="Learn more about Walking Speed from ScienceDirect's AI-generated Topic Pages" w:history="1">
        <w:r w:rsidRPr="00AF53A9">
          <w:rPr>
            <w:rStyle w:val="Hyperlink"/>
            <w:rFonts w:eastAsiaTheme="majorEastAsia"/>
            <w:color w:val="0C7DBB"/>
          </w:rPr>
          <w:t>walking speed</w:t>
        </w:r>
      </w:hyperlink>
      <w:r w:rsidRPr="00AF53A9">
        <w:t> and </w:t>
      </w:r>
      <w:hyperlink r:id="rId20" w:tooltip="Learn more about Endurance from ScienceDirect's AI-generated Topic Pages" w:history="1">
        <w:r w:rsidRPr="00AF53A9">
          <w:rPr>
            <w:rStyle w:val="Hyperlink"/>
            <w:rFonts w:eastAsiaTheme="majorEastAsia"/>
            <w:color w:val="0C7DBB"/>
          </w:rPr>
          <w:t>endurance</w:t>
        </w:r>
      </w:hyperlink>
      <w:r w:rsidRPr="00AF53A9">
        <w:t>, cognitive assessments) and were randomized using concealed allocation into the intervention condition or the attention control condition. This involved (a) a research staff member not involved in the study pre-preparing opaque sealed envelopes with slips of paper containing group allocation and storing these in a randomization container and (b) another research staff member involved in the study choosing an envelope. This determined group allocation. Because of the feasibility pilot nature of the study, outcome assessors were not blind to group allocation. The intervention was delivered over a 12-week period and we further collected outcome assessments both during (e.g., communication and safety) and after (e.g., treatment effect). All participants received $250 as incentive for participation. Participation included two in-laboratory assessment (i.e., pre- and post-intervention), six site visits/encounters with the exercise trainer, weekly skype calls, and the home practice.</w:t>
      </w:r>
    </w:p>
    <w:p w14:paraId="6AB1380C" w14:textId="77777777" w:rsidR="007B26FC" w:rsidRDefault="007B26FC" w:rsidP="00AF53A9">
      <w:pPr>
        <w:pStyle w:val="Heading3"/>
      </w:pPr>
      <w:r>
        <w:t>2.3.1. Intervention condition</w:t>
      </w:r>
    </w:p>
    <w:bookmarkStart w:id="25" w:name="bt0005"/>
    <w:p w14:paraId="2BC02696" w14:textId="77777777" w:rsidR="007B26FC" w:rsidRPr="00AF53A9" w:rsidRDefault="007B26FC" w:rsidP="00AF53A9">
      <w:r w:rsidRPr="00AF53A9">
        <w:fldChar w:fldCharType="begin"/>
      </w:r>
      <w:r w:rsidRPr="00AF53A9">
        <w:instrText xml:space="preserve"> HYPERLINK "https://0-www-sciencedirect-com.libus.csd.mu.edu/science/article/pii/S1551714418303616" \l "t0005" </w:instrText>
      </w:r>
      <w:r w:rsidRPr="00AF53A9">
        <w:fldChar w:fldCharType="separate"/>
      </w:r>
      <w:r w:rsidRPr="00AF53A9">
        <w:rPr>
          <w:rStyle w:val="Hyperlink"/>
          <w:rFonts w:eastAsiaTheme="majorEastAsia"/>
          <w:color w:val="0C7DBB"/>
        </w:rPr>
        <w:t>Table 1</w:t>
      </w:r>
      <w:r w:rsidRPr="00AF53A9">
        <w:fldChar w:fldCharType="end"/>
      </w:r>
      <w:bookmarkEnd w:id="25"/>
      <w:r w:rsidRPr="00AF53A9">
        <w:t> and </w:t>
      </w:r>
      <w:bookmarkStart w:id="26" w:name="bf0005"/>
      <w:r w:rsidRPr="00AF53A9">
        <w:fldChar w:fldCharType="begin"/>
      </w:r>
      <w:r w:rsidRPr="00AF53A9">
        <w:instrText xml:space="preserve"> HYPERLINK "https://0-www-sciencedirect-com.libus.csd.mu.edu/science/article/pii/S1551714418303616" \l "f0005" </w:instrText>
      </w:r>
      <w:r w:rsidRPr="00AF53A9">
        <w:fldChar w:fldCharType="separate"/>
      </w:r>
      <w:r w:rsidRPr="00AF53A9">
        <w:rPr>
          <w:rStyle w:val="Hyperlink"/>
          <w:rFonts w:eastAsiaTheme="majorEastAsia"/>
          <w:color w:val="0C7DBB"/>
        </w:rPr>
        <w:t>Fig. 1</w:t>
      </w:r>
      <w:r w:rsidRPr="00AF53A9">
        <w:fldChar w:fldCharType="end"/>
      </w:r>
      <w:bookmarkEnd w:id="26"/>
      <w:r w:rsidRPr="00AF53A9">
        <w:t> display intervention progression and step pattern levels examples. SSE was performed on a thin mat of 250 × 100 cm, partitioned into 40 smaller squares (25 cm per side). The program provides sequences of stepping patterns wherein participants learn and practice specific stepping routines by progressively stepping along the mat length direction and avoid treading on the lines of the squares. The exercise intervention group received in-person supervised instruction at a university laboratory setting followed by ongoing home-based practice with weekly Skype™ calls for monitoring and compliance check. Participants further received a pedometer (YAMAX SW-200), which was worn during all SSE home-sessions and a logbook to record the date, start and end time, and the number of steps per SSE session. Importantly, this study was not designed to increase average steps, and participants were not asked to reach or perform a certain number of steps per session. The pedometer was used with the purpose only of monitoring compliance with the program (i.e., participants increased the number of steps as expected based on doing the prescribed step patterns per session). Participants further provided written responses of level of perceived exertion, feeling, enjoyment, and physical and </w:t>
      </w:r>
      <w:hyperlink r:id="rId21" w:tooltip="Learn more about Dysthymia from ScienceDirect's AI-generated Topic Pages" w:history="1">
        <w:r w:rsidRPr="00AF53A9">
          <w:rPr>
            <w:rStyle w:val="Hyperlink"/>
            <w:rFonts w:eastAsiaTheme="majorEastAsia"/>
            <w:color w:val="0C7DBB"/>
          </w:rPr>
          <w:t>mental fatigue</w:t>
        </w:r>
      </w:hyperlink>
      <w:r w:rsidRPr="00AF53A9">
        <w:t> per session in the logbook. This information was retrieved during the biweekly encounters for monitoring compliance with the program. The exercise intervention started with sessions being performed twice a week with a duration between 10 and 15 min and progressed to 5 sessions per week with a duration between 25 and 30 min per session. Participants started with basic step patterns that focused on walking-like movements and gradually progressed to more complex step patterns requiring forward, lateral, diagonal and backwards movements. Over the course of the intervention, participants had a total of six in-person encounters (one every two weeks) with the exercise trainer to be familiarized with and receive verbal and visual instructions about the step patterns. Participants then practiced the sequence of step patterns designated for the two-week period at home until the next meeting. For additional details in the intervention please see reference elsewhere [</w:t>
      </w:r>
      <w:hyperlink r:id="rId22" w:anchor="bb0085" w:history="1">
        <w:r w:rsidRPr="00AF53A9">
          <w:rPr>
            <w:rStyle w:val="Hyperlink"/>
            <w:rFonts w:eastAsiaTheme="majorEastAsia"/>
            <w:color w:val="0C7DBB"/>
          </w:rPr>
          <w:t>17</w:t>
        </w:r>
      </w:hyperlink>
      <w:bookmarkEnd w:id="19"/>
      <w:r w:rsidRPr="00AF53A9">
        <w:t>].</w:t>
      </w:r>
    </w:p>
    <w:p w14:paraId="0595167F" w14:textId="77777777" w:rsidR="007B26FC" w:rsidRDefault="007B26FC" w:rsidP="00AF53A9">
      <w:pPr>
        <w:pStyle w:val="NoSpacing"/>
      </w:pPr>
      <w:r>
        <w:rPr>
          <w:rStyle w:val="label"/>
          <w:color w:val="323232"/>
          <w:sz w:val="21"/>
          <w:szCs w:val="21"/>
        </w:rPr>
        <w:t>Table 1</w:t>
      </w:r>
      <w:r>
        <w:t>. Progression of the arms of the SSE-MS program.</w:t>
      </w:r>
    </w:p>
    <w:tbl>
      <w:tblPr>
        <w:tblStyle w:val="TableGrid"/>
        <w:tblW w:w="5000" w:type="pct"/>
        <w:tblLook w:val="04A0" w:firstRow="1" w:lastRow="0" w:firstColumn="1" w:lastColumn="0" w:noHBand="0" w:noVBand="1"/>
      </w:tblPr>
      <w:tblGrid>
        <w:gridCol w:w="731"/>
        <w:gridCol w:w="1480"/>
        <w:gridCol w:w="1077"/>
        <w:gridCol w:w="1015"/>
        <w:gridCol w:w="1078"/>
        <w:gridCol w:w="1318"/>
        <w:gridCol w:w="1077"/>
        <w:gridCol w:w="1129"/>
        <w:gridCol w:w="1165"/>
      </w:tblGrid>
      <w:tr w:rsidR="00391380" w14:paraId="05C09CCB" w14:textId="77777777" w:rsidTr="00391380">
        <w:tc>
          <w:tcPr>
            <w:tcW w:w="363" w:type="pct"/>
            <w:hideMark/>
          </w:tcPr>
          <w:p w14:paraId="438CBCFC" w14:textId="77777777" w:rsidR="00391380" w:rsidRDefault="00391380" w:rsidP="00AF53A9">
            <w:pPr>
              <w:pStyle w:val="NoSpacing"/>
            </w:pPr>
            <w:r>
              <w:t>Week</w:t>
            </w:r>
          </w:p>
        </w:tc>
        <w:tc>
          <w:tcPr>
            <w:tcW w:w="738" w:type="pct"/>
            <w:hideMark/>
          </w:tcPr>
          <w:p w14:paraId="288BCD54" w14:textId="77777777" w:rsidR="00391380" w:rsidRDefault="00391380" w:rsidP="00AF53A9">
            <w:pPr>
              <w:pStyle w:val="NoSpacing"/>
            </w:pPr>
            <w:r>
              <w:t>Intervention</w:t>
            </w:r>
          </w:p>
        </w:tc>
        <w:tc>
          <w:tcPr>
            <w:tcW w:w="535" w:type="pct"/>
          </w:tcPr>
          <w:p w14:paraId="1650DE0B" w14:textId="77777777" w:rsidR="00391380" w:rsidRDefault="00391380" w:rsidP="00AF53A9">
            <w:pPr>
              <w:pStyle w:val="NoSpacing"/>
            </w:pPr>
          </w:p>
        </w:tc>
        <w:tc>
          <w:tcPr>
            <w:tcW w:w="507" w:type="pct"/>
          </w:tcPr>
          <w:p w14:paraId="37630D42" w14:textId="77777777" w:rsidR="00391380" w:rsidRDefault="00391380" w:rsidP="00AF53A9">
            <w:pPr>
              <w:pStyle w:val="NoSpacing"/>
            </w:pPr>
          </w:p>
        </w:tc>
        <w:tc>
          <w:tcPr>
            <w:tcW w:w="538" w:type="pct"/>
          </w:tcPr>
          <w:p w14:paraId="093AE7E4" w14:textId="45AD686C" w:rsidR="00391380" w:rsidRDefault="00391380" w:rsidP="00AF53A9">
            <w:pPr>
              <w:pStyle w:val="NoSpacing"/>
            </w:pPr>
          </w:p>
        </w:tc>
        <w:tc>
          <w:tcPr>
            <w:tcW w:w="654" w:type="pct"/>
            <w:hideMark/>
          </w:tcPr>
          <w:p w14:paraId="080DE807" w14:textId="77777777" w:rsidR="00391380" w:rsidRDefault="00391380" w:rsidP="00AF53A9">
            <w:pPr>
              <w:pStyle w:val="NoSpacing"/>
            </w:pPr>
            <w:r>
              <w:t>Control</w:t>
            </w:r>
          </w:p>
        </w:tc>
        <w:tc>
          <w:tcPr>
            <w:tcW w:w="535" w:type="pct"/>
          </w:tcPr>
          <w:p w14:paraId="188B191B" w14:textId="77777777" w:rsidR="00391380" w:rsidRDefault="00391380" w:rsidP="00AF53A9">
            <w:pPr>
              <w:pStyle w:val="NoSpacing"/>
            </w:pPr>
          </w:p>
        </w:tc>
        <w:tc>
          <w:tcPr>
            <w:tcW w:w="548" w:type="pct"/>
          </w:tcPr>
          <w:p w14:paraId="2B4EDC01" w14:textId="77777777" w:rsidR="00391380" w:rsidRDefault="00391380" w:rsidP="00AF53A9">
            <w:pPr>
              <w:pStyle w:val="NoSpacing"/>
            </w:pPr>
          </w:p>
        </w:tc>
        <w:tc>
          <w:tcPr>
            <w:tcW w:w="581" w:type="pct"/>
          </w:tcPr>
          <w:p w14:paraId="33DECF39" w14:textId="39C65093" w:rsidR="00391380" w:rsidRDefault="00391380" w:rsidP="00AF53A9">
            <w:pPr>
              <w:pStyle w:val="NoSpacing"/>
            </w:pPr>
          </w:p>
        </w:tc>
      </w:tr>
      <w:tr w:rsidR="00391380" w14:paraId="565D3B53" w14:textId="77777777" w:rsidTr="00391380">
        <w:tc>
          <w:tcPr>
            <w:tcW w:w="363" w:type="pct"/>
            <w:hideMark/>
          </w:tcPr>
          <w:p w14:paraId="494BDE7A" w14:textId="77777777" w:rsidR="007B26FC" w:rsidRDefault="007B26FC" w:rsidP="00AF53A9">
            <w:pPr>
              <w:pStyle w:val="NoSpacing"/>
            </w:pPr>
          </w:p>
        </w:tc>
        <w:tc>
          <w:tcPr>
            <w:tcW w:w="738" w:type="pct"/>
            <w:hideMark/>
          </w:tcPr>
          <w:p w14:paraId="7EA2DA23" w14:textId="77777777" w:rsidR="007B26FC" w:rsidRDefault="007B26FC" w:rsidP="00AF53A9">
            <w:pPr>
              <w:pStyle w:val="NoSpacing"/>
            </w:pPr>
            <w:r>
              <w:t>Frequency (days/week)</w:t>
            </w:r>
          </w:p>
        </w:tc>
        <w:tc>
          <w:tcPr>
            <w:tcW w:w="535" w:type="pct"/>
            <w:hideMark/>
          </w:tcPr>
          <w:p w14:paraId="48977F87" w14:textId="77777777" w:rsidR="007B26FC" w:rsidRDefault="007B26FC" w:rsidP="00AF53A9">
            <w:pPr>
              <w:pStyle w:val="NoSpacing"/>
            </w:pPr>
            <w:r>
              <w:t>Duration (minutes)</w:t>
            </w:r>
          </w:p>
        </w:tc>
        <w:tc>
          <w:tcPr>
            <w:tcW w:w="507" w:type="pct"/>
            <w:hideMark/>
          </w:tcPr>
          <w:p w14:paraId="77043FF9" w14:textId="77777777" w:rsidR="007B26FC" w:rsidRDefault="007B26FC" w:rsidP="00AF53A9">
            <w:pPr>
              <w:pStyle w:val="NoSpacing"/>
            </w:pPr>
            <w:r>
              <w:t>Number of step patterns</w:t>
            </w:r>
          </w:p>
        </w:tc>
        <w:tc>
          <w:tcPr>
            <w:tcW w:w="538" w:type="pct"/>
            <w:hideMark/>
          </w:tcPr>
          <w:p w14:paraId="79171CCE" w14:textId="77777777" w:rsidR="007B26FC" w:rsidRDefault="007B26FC" w:rsidP="00AF53A9">
            <w:pPr>
              <w:pStyle w:val="NoSpacing"/>
            </w:pPr>
            <w:r>
              <w:t>Level of step patterns</w:t>
            </w:r>
          </w:p>
        </w:tc>
        <w:tc>
          <w:tcPr>
            <w:tcW w:w="654" w:type="pct"/>
            <w:hideMark/>
          </w:tcPr>
          <w:p w14:paraId="06B8F3AA" w14:textId="77777777" w:rsidR="007B26FC" w:rsidRDefault="007B26FC" w:rsidP="00AF53A9">
            <w:pPr>
              <w:pStyle w:val="NoSpacing"/>
            </w:pPr>
            <w:r>
              <w:t>Frequency (days/week)</w:t>
            </w:r>
          </w:p>
        </w:tc>
        <w:tc>
          <w:tcPr>
            <w:tcW w:w="535" w:type="pct"/>
            <w:hideMark/>
          </w:tcPr>
          <w:p w14:paraId="006878BC" w14:textId="77777777" w:rsidR="007B26FC" w:rsidRDefault="007B26FC" w:rsidP="00AF53A9">
            <w:pPr>
              <w:pStyle w:val="NoSpacing"/>
            </w:pPr>
            <w:r>
              <w:t>Duration (minutes)</w:t>
            </w:r>
          </w:p>
        </w:tc>
        <w:tc>
          <w:tcPr>
            <w:tcW w:w="548" w:type="pct"/>
            <w:hideMark/>
          </w:tcPr>
          <w:p w14:paraId="42EC6BB6" w14:textId="77777777" w:rsidR="007B26FC" w:rsidRDefault="007B26FC" w:rsidP="00AF53A9">
            <w:pPr>
              <w:pStyle w:val="NoSpacing"/>
            </w:pPr>
            <w:r>
              <w:t>Stretching exercises</w:t>
            </w:r>
          </w:p>
        </w:tc>
        <w:tc>
          <w:tcPr>
            <w:tcW w:w="581" w:type="pct"/>
            <w:hideMark/>
          </w:tcPr>
          <w:p w14:paraId="02ECED6E" w14:textId="77777777" w:rsidR="007B26FC" w:rsidRDefault="007B26FC" w:rsidP="00AF53A9">
            <w:pPr>
              <w:pStyle w:val="NoSpacing"/>
            </w:pPr>
            <w:r>
              <w:t>Sets/time for each exercise</w:t>
            </w:r>
          </w:p>
        </w:tc>
      </w:tr>
      <w:tr w:rsidR="00391380" w14:paraId="55C25CD6" w14:textId="77777777" w:rsidTr="00391380">
        <w:tc>
          <w:tcPr>
            <w:tcW w:w="363" w:type="pct"/>
            <w:hideMark/>
          </w:tcPr>
          <w:p w14:paraId="51B9B8FE" w14:textId="77777777" w:rsidR="007B26FC" w:rsidRDefault="007B26FC" w:rsidP="00AF53A9">
            <w:pPr>
              <w:pStyle w:val="NoSpacing"/>
            </w:pPr>
            <w:bookmarkStart w:id="27" w:name="btf0005" w:colFirst="0" w:colLast="0"/>
            <w:r>
              <w:t>1</w:t>
            </w:r>
            <w:hyperlink r:id="rId23" w:anchor="tf0005" w:history="1">
              <w:r>
                <w:rPr>
                  <w:rStyle w:val="Hyperlink"/>
                  <w:rFonts w:ascii="Tahoma" w:hAnsi="Tahoma" w:cs="Tahoma"/>
                  <w:b/>
                  <w:bCs/>
                  <w:color w:val="0C7DBB"/>
                  <w:sz w:val="21"/>
                  <w:szCs w:val="21"/>
                </w:rPr>
                <w:t>⁎</w:t>
              </w:r>
            </w:hyperlink>
          </w:p>
        </w:tc>
        <w:tc>
          <w:tcPr>
            <w:tcW w:w="738" w:type="pct"/>
            <w:hideMark/>
          </w:tcPr>
          <w:p w14:paraId="5CFAD0F2" w14:textId="77777777" w:rsidR="007B26FC" w:rsidRDefault="007B26FC" w:rsidP="00AF53A9">
            <w:pPr>
              <w:pStyle w:val="NoSpacing"/>
            </w:pPr>
            <w:r>
              <w:t>2</w:t>
            </w:r>
          </w:p>
        </w:tc>
        <w:tc>
          <w:tcPr>
            <w:tcW w:w="535" w:type="pct"/>
            <w:hideMark/>
          </w:tcPr>
          <w:p w14:paraId="1D2ECA9A" w14:textId="77777777" w:rsidR="007B26FC" w:rsidRDefault="007B26FC" w:rsidP="00AF53A9">
            <w:pPr>
              <w:pStyle w:val="NoSpacing"/>
            </w:pPr>
            <w:r>
              <w:t>10–15</w:t>
            </w:r>
          </w:p>
        </w:tc>
        <w:tc>
          <w:tcPr>
            <w:tcW w:w="507" w:type="pct"/>
            <w:hideMark/>
          </w:tcPr>
          <w:p w14:paraId="271F44FF" w14:textId="77777777" w:rsidR="007B26FC" w:rsidRDefault="007B26FC" w:rsidP="00AF53A9">
            <w:pPr>
              <w:pStyle w:val="NoSpacing"/>
            </w:pPr>
            <w:r>
              <w:t>4</w:t>
            </w:r>
          </w:p>
        </w:tc>
        <w:tc>
          <w:tcPr>
            <w:tcW w:w="538" w:type="pct"/>
            <w:hideMark/>
          </w:tcPr>
          <w:p w14:paraId="75A6B650" w14:textId="77777777" w:rsidR="007B26FC" w:rsidRDefault="007B26FC" w:rsidP="00AF53A9">
            <w:pPr>
              <w:pStyle w:val="NoSpacing"/>
            </w:pPr>
            <w:r>
              <w:t>B1; B1; B1; B2</w:t>
            </w:r>
          </w:p>
        </w:tc>
        <w:tc>
          <w:tcPr>
            <w:tcW w:w="654" w:type="pct"/>
            <w:hideMark/>
          </w:tcPr>
          <w:p w14:paraId="17AD0670" w14:textId="77777777" w:rsidR="007B26FC" w:rsidRDefault="007B26FC" w:rsidP="00AF53A9">
            <w:pPr>
              <w:pStyle w:val="NoSpacing"/>
            </w:pPr>
            <w:r>
              <w:t>2</w:t>
            </w:r>
          </w:p>
        </w:tc>
        <w:tc>
          <w:tcPr>
            <w:tcW w:w="535" w:type="pct"/>
            <w:hideMark/>
          </w:tcPr>
          <w:p w14:paraId="63DCB567" w14:textId="77777777" w:rsidR="007B26FC" w:rsidRDefault="007B26FC" w:rsidP="00AF53A9">
            <w:pPr>
              <w:pStyle w:val="NoSpacing"/>
            </w:pPr>
            <w:r>
              <w:t>10</w:t>
            </w:r>
          </w:p>
        </w:tc>
        <w:tc>
          <w:tcPr>
            <w:tcW w:w="548" w:type="pct"/>
            <w:hideMark/>
          </w:tcPr>
          <w:p w14:paraId="25280B88" w14:textId="77777777" w:rsidR="007B26FC" w:rsidRDefault="007B26FC" w:rsidP="00AF53A9">
            <w:pPr>
              <w:pStyle w:val="NoSpacing"/>
            </w:pPr>
            <w:r>
              <w:t>H &amp; N</w:t>
            </w:r>
          </w:p>
        </w:tc>
        <w:tc>
          <w:tcPr>
            <w:tcW w:w="581" w:type="pct"/>
            <w:hideMark/>
          </w:tcPr>
          <w:p w14:paraId="0C4F3574" w14:textId="77777777" w:rsidR="007B26FC" w:rsidRDefault="007B26FC" w:rsidP="00AF53A9">
            <w:pPr>
              <w:pStyle w:val="NoSpacing"/>
            </w:pPr>
            <w:r>
              <w:t>1/30 s</w:t>
            </w:r>
          </w:p>
        </w:tc>
      </w:tr>
      <w:tr w:rsidR="00391380" w14:paraId="20F3CEBA" w14:textId="77777777" w:rsidTr="00391380">
        <w:tc>
          <w:tcPr>
            <w:tcW w:w="363" w:type="pct"/>
            <w:hideMark/>
          </w:tcPr>
          <w:p w14:paraId="1C705257" w14:textId="77777777" w:rsidR="007B26FC" w:rsidRDefault="007B26FC" w:rsidP="00AF53A9">
            <w:pPr>
              <w:pStyle w:val="NoSpacing"/>
            </w:pPr>
            <w:r>
              <w:t>2</w:t>
            </w:r>
          </w:p>
        </w:tc>
        <w:tc>
          <w:tcPr>
            <w:tcW w:w="738" w:type="pct"/>
            <w:hideMark/>
          </w:tcPr>
          <w:p w14:paraId="1C1389DB" w14:textId="77777777" w:rsidR="007B26FC" w:rsidRDefault="007B26FC" w:rsidP="00AF53A9">
            <w:pPr>
              <w:pStyle w:val="NoSpacing"/>
            </w:pPr>
            <w:r>
              <w:t>2</w:t>
            </w:r>
          </w:p>
        </w:tc>
        <w:tc>
          <w:tcPr>
            <w:tcW w:w="535" w:type="pct"/>
            <w:hideMark/>
          </w:tcPr>
          <w:p w14:paraId="349C5D84" w14:textId="77777777" w:rsidR="007B26FC" w:rsidRDefault="007B26FC" w:rsidP="00AF53A9">
            <w:pPr>
              <w:pStyle w:val="NoSpacing"/>
            </w:pPr>
            <w:r>
              <w:t>10–15</w:t>
            </w:r>
          </w:p>
        </w:tc>
        <w:tc>
          <w:tcPr>
            <w:tcW w:w="507" w:type="pct"/>
            <w:hideMark/>
          </w:tcPr>
          <w:p w14:paraId="6DBC6B50" w14:textId="77777777" w:rsidR="007B26FC" w:rsidRDefault="007B26FC" w:rsidP="00AF53A9">
            <w:pPr>
              <w:pStyle w:val="NoSpacing"/>
            </w:pPr>
            <w:r>
              <w:t>+4</w:t>
            </w:r>
          </w:p>
        </w:tc>
        <w:tc>
          <w:tcPr>
            <w:tcW w:w="538" w:type="pct"/>
            <w:hideMark/>
          </w:tcPr>
          <w:p w14:paraId="706DDE83" w14:textId="77777777" w:rsidR="007B26FC" w:rsidRDefault="007B26FC" w:rsidP="00AF53A9">
            <w:pPr>
              <w:pStyle w:val="NoSpacing"/>
            </w:pPr>
            <w:r>
              <w:t>B1; B1, B2, B2</w:t>
            </w:r>
          </w:p>
        </w:tc>
        <w:tc>
          <w:tcPr>
            <w:tcW w:w="654" w:type="pct"/>
            <w:hideMark/>
          </w:tcPr>
          <w:p w14:paraId="41FE2A92" w14:textId="77777777" w:rsidR="007B26FC" w:rsidRDefault="007B26FC" w:rsidP="00AF53A9">
            <w:pPr>
              <w:pStyle w:val="NoSpacing"/>
            </w:pPr>
            <w:r>
              <w:t>2</w:t>
            </w:r>
          </w:p>
        </w:tc>
        <w:tc>
          <w:tcPr>
            <w:tcW w:w="535" w:type="pct"/>
            <w:hideMark/>
          </w:tcPr>
          <w:p w14:paraId="4EB3FAEE" w14:textId="77777777" w:rsidR="007B26FC" w:rsidRDefault="007B26FC" w:rsidP="00AF53A9">
            <w:pPr>
              <w:pStyle w:val="NoSpacing"/>
            </w:pPr>
            <w:r>
              <w:t>10</w:t>
            </w:r>
          </w:p>
        </w:tc>
        <w:tc>
          <w:tcPr>
            <w:tcW w:w="548" w:type="pct"/>
            <w:hideMark/>
          </w:tcPr>
          <w:p w14:paraId="69AE58C5" w14:textId="77777777" w:rsidR="007B26FC" w:rsidRDefault="007B26FC" w:rsidP="00AF53A9">
            <w:pPr>
              <w:pStyle w:val="NoSpacing"/>
            </w:pPr>
            <w:r>
              <w:t>W1 + S</w:t>
            </w:r>
          </w:p>
        </w:tc>
        <w:tc>
          <w:tcPr>
            <w:tcW w:w="581" w:type="pct"/>
            <w:hideMark/>
          </w:tcPr>
          <w:p w14:paraId="60907560" w14:textId="77777777" w:rsidR="007B26FC" w:rsidRDefault="007B26FC" w:rsidP="00AF53A9">
            <w:pPr>
              <w:pStyle w:val="NoSpacing"/>
            </w:pPr>
            <w:r>
              <w:t>1/30 s</w:t>
            </w:r>
          </w:p>
        </w:tc>
      </w:tr>
      <w:tr w:rsidR="00391380" w14:paraId="642A060C" w14:textId="77777777" w:rsidTr="00391380">
        <w:tc>
          <w:tcPr>
            <w:tcW w:w="363" w:type="pct"/>
            <w:hideMark/>
          </w:tcPr>
          <w:p w14:paraId="444E69CC" w14:textId="77777777" w:rsidR="007B26FC" w:rsidRDefault="007B26FC" w:rsidP="00AF53A9">
            <w:pPr>
              <w:pStyle w:val="NoSpacing"/>
            </w:pPr>
            <w:r>
              <w:t>3</w:t>
            </w:r>
            <w:hyperlink r:id="rId24" w:anchor="tf0005" w:history="1">
              <w:r>
                <w:rPr>
                  <w:rStyle w:val="Hyperlink"/>
                  <w:rFonts w:ascii="Tahoma" w:hAnsi="Tahoma" w:cs="Tahoma"/>
                  <w:b/>
                  <w:bCs/>
                  <w:color w:val="0C7DBB"/>
                  <w:sz w:val="21"/>
                  <w:szCs w:val="21"/>
                </w:rPr>
                <w:t>⁎</w:t>
              </w:r>
            </w:hyperlink>
          </w:p>
        </w:tc>
        <w:tc>
          <w:tcPr>
            <w:tcW w:w="738" w:type="pct"/>
            <w:hideMark/>
          </w:tcPr>
          <w:p w14:paraId="0F3D81BE" w14:textId="77777777" w:rsidR="007B26FC" w:rsidRDefault="007B26FC" w:rsidP="00AF53A9">
            <w:pPr>
              <w:pStyle w:val="NoSpacing"/>
            </w:pPr>
            <w:r>
              <w:t>3</w:t>
            </w:r>
          </w:p>
        </w:tc>
        <w:tc>
          <w:tcPr>
            <w:tcW w:w="535" w:type="pct"/>
            <w:hideMark/>
          </w:tcPr>
          <w:p w14:paraId="45A70634" w14:textId="77777777" w:rsidR="007B26FC" w:rsidRDefault="007B26FC" w:rsidP="00AF53A9">
            <w:pPr>
              <w:pStyle w:val="NoSpacing"/>
            </w:pPr>
            <w:r>
              <w:t>15–20</w:t>
            </w:r>
          </w:p>
        </w:tc>
        <w:tc>
          <w:tcPr>
            <w:tcW w:w="507" w:type="pct"/>
            <w:hideMark/>
          </w:tcPr>
          <w:p w14:paraId="33A5CADD" w14:textId="77777777" w:rsidR="007B26FC" w:rsidRDefault="007B26FC" w:rsidP="00AF53A9">
            <w:pPr>
              <w:pStyle w:val="NoSpacing"/>
            </w:pPr>
            <w:r>
              <w:t>+4</w:t>
            </w:r>
          </w:p>
        </w:tc>
        <w:tc>
          <w:tcPr>
            <w:tcW w:w="538" w:type="pct"/>
            <w:hideMark/>
          </w:tcPr>
          <w:p w14:paraId="7A644F2E" w14:textId="77777777" w:rsidR="007B26FC" w:rsidRDefault="007B26FC" w:rsidP="00AF53A9">
            <w:pPr>
              <w:pStyle w:val="NoSpacing"/>
            </w:pPr>
            <w:r>
              <w:t>B2; B2; B2; B2; I1</w:t>
            </w:r>
          </w:p>
        </w:tc>
        <w:tc>
          <w:tcPr>
            <w:tcW w:w="654" w:type="pct"/>
            <w:hideMark/>
          </w:tcPr>
          <w:p w14:paraId="753EA22D" w14:textId="77777777" w:rsidR="007B26FC" w:rsidRDefault="007B26FC" w:rsidP="00AF53A9">
            <w:pPr>
              <w:pStyle w:val="NoSpacing"/>
            </w:pPr>
            <w:r>
              <w:t>3</w:t>
            </w:r>
          </w:p>
        </w:tc>
        <w:tc>
          <w:tcPr>
            <w:tcW w:w="535" w:type="pct"/>
            <w:hideMark/>
          </w:tcPr>
          <w:p w14:paraId="7EE08BF5" w14:textId="77777777" w:rsidR="007B26FC" w:rsidRDefault="007B26FC" w:rsidP="00AF53A9">
            <w:pPr>
              <w:pStyle w:val="NoSpacing"/>
            </w:pPr>
            <w:r>
              <w:t>15</w:t>
            </w:r>
          </w:p>
        </w:tc>
        <w:tc>
          <w:tcPr>
            <w:tcW w:w="548" w:type="pct"/>
            <w:hideMark/>
          </w:tcPr>
          <w:p w14:paraId="076640B3" w14:textId="77777777" w:rsidR="007B26FC" w:rsidRDefault="007B26FC" w:rsidP="00AF53A9">
            <w:pPr>
              <w:pStyle w:val="NoSpacing"/>
            </w:pPr>
            <w:r>
              <w:t>W1–2 + SR</w:t>
            </w:r>
          </w:p>
        </w:tc>
        <w:tc>
          <w:tcPr>
            <w:tcW w:w="581" w:type="pct"/>
            <w:hideMark/>
          </w:tcPr>
          <w:p w14:paraId="78CCCEE4" w14:textId="77777777" w:rsidR="007B26FC" w:rsidRDefault="007B26FC" w:rsidP="00AF53A9">
            <w:pPr>
              <w:pStyle w:val="NoSpacing"/>
            </w:pPr>
            <w:r>
              <w:t>2/20 s</w:t>
            </w:r>
          </w:p>
        </w:tc>
      </w:tr>
      <w:tr w:rsidR="00391380" w14:paraId="3663EAB8" w14:textId="77777777" w:rsidTr="00391380">
        <w:tc>
          <w:tcPr>
            <w:tcW w:w="363" w:type="pct"/>
            <w:hideMark/>
          </w:tcPr>
          <w:p w14:paraId="3B36F910" w14:textId="77777777" w:rsidR="007B26FC" w:rsidRDefault="007B26FC" w:rsidP="00AF53A9">
            <w:pPr>
              <w:pStyle w:val="NoSpacing"/>
            </w:pPr>
            <w:r>
              <w:t>4</w:t>
            </w:r>
          </w:p>
        </w:tc>
        <w:tc>
          <w:tcPr>
            <w:tcW w:w="738" w:type="pct"/>
            <w:hideMark/>
          </w:tcPr>
          <w:p w14:paraId="46FDBA92" w14:textId="77777777" w:rsidR="007B26FC" w:rsidRDefault="007B26FC" w:rsidP="00AF53A9">
            <w:pPr>
              <w:pStyle w:val="NoSpacing"/>
            </w:pPr>
            <w:r>
              <w:t>3</w:t>
            </w:r>
          </w:p>
        </w:tc>
        <w:tc>
          <w:tcPr>
            <w:tcW w:w="535" w:type="pct"/>
            <w:hideMark/>
          </w:tcPr>
          <w:p w14:paraId="0EEB5220" w14:textId="77777777" w:rsidR="007B26FC" w:rsidRDefault="007B26FC" w:rsidP="00AF53A9">
            <w:pPr>
              <w:pStyle w:val="NoSpacing"/>
            </w:pPr>
            <w:r>
              <w:t>15–20</w:t>
            </w:r>
          </w:p>
        </w:tc>
        <w:tc>
          <w:tcPr>
            <w:tcW w:w="507" w:type="pct"/>
            <w:hideMark/>
          </w:tcPr>
          <w:p w14:paraId="74BA5C5B" w14:textId="77777777" w:rsidR="007B26FC" w:rsidRDefault="007B26FC" w:rsidP="00AF53A9">
            <w:pPr>
              <w:pStyle w:val="NoSpacing"/>
            </w:pPr>
            <w:r>
              <w:t>+4</w:t>
            </w:r>
          </w:p>
        </w:tc>
        <w:tc>
          <w:tcPr>
            <w:tcW w:w="538" w:type="pct"/>
            <w:hideMark/>
          </w:tcPr>
          <w:p w14:paraId="2C75FAE2" w14:textId="77777777" w:rsidR="007B26FC" w:rsidRDefault="007B26FC" w:rsidP="00AF53A9">
            <w:pPr>
              <w:pStyle w:val="NoSpacing"/>
            </w:pPr>
            <w:r>
              <w:t>B2; B2; I1; I1; I1</w:t>
            </w:r>
          </w:p>
        </w:tc>
        <w:tc>
          <w:tcPr>
            <w:tcW w:w="654" w:type="pct"/>
            <w:hideMark/>
          </w:tcPr>
          <w:p w14:paraId="45267243" w14:textId="77777777" w:rsidR="007B26FC" w:rsidRDefault="007B26FC" w:rsidP="00AF53A9">
            <w:pPr>
              <w:pStyle w:val="NoSpacing"/>
            </w:pPr>
            <w:r>
              <w:t>3</w:t>
            </w:r>
          </w:p>
        </w:tc>
        <w:tc>
          <w:tcPr>
            <w:tcW w:w="535" w:type="pct"/>
            <w:hideMark/>
          </w:tcPr>
          <w:p w14:paraId="6EFA5D16" w14:textId="77777777" w:rsidR="007B26FC" w:rsidRDefault="007B26FC" w:rsidP="00AF53A9">
            <w:pPr>
              <w:pStyle w:val="NoSpacing"/>
            </w:pPr>
            <w:r>
              <w:t>15</w:t>
            </w:r>
          </w:p>
        </w:tc>
        <w:tc>
          <w:tcPr>
            <w:tcW w:w="548" w:type="pct"/>
            <w:hideMark/>
          </w:tcPr>
          <w:p w14:paraId="15D212A6" w14:textId="77777777" w:rsidR="007B26FC" w:rsidRDefault="007B26FC" w:rsidP="00AF53A9">
            <w:pPr>
              <w:pStyle w:val="NoSpacing"/>
            </w:pPr>
            <w:r>
              <w:t>W1–3 + E</w:t>
            </w:r>
          </w:p>
        </w:tc>
        <w:tc>
          <w:tcPr>
            <w:tcW w:w="581" w:type="pct"/>
            <w:hideMark/>
          </w:tcPr>
          <w:p w14:paraId="3722354F" w14:textId="77777777" w:rsidR="007B26FC" w:rsidRDefault="007B26FC" w:rsidP="00AF53A9">
            <w:pPr>
              <w:pStyle w:val="NoSpacing"/>
            </w:pPr>
            <w:r>
              <w:t>2/20 s</w:t>
            </w:r>
          </w:p>
        </w:tc>
      </w:tr>
      <w:tr w:rsidR="00391380" w14:paraId="2A96B6F5" w14:textId="77777777" w:rsidTr="00391380">
        <w:tc>
          <w:tcPr>
            <w:tcW w:w="363" w:type="pct"/>
            <w:hideMark/>
          </w:tcPr>
          <w:p w14:paraId="32307893" w14:textId="77777777" w:rsidR="007B26FC" w:rsidRDefault="007B26FC" w:rsidP="00AF53A9">
            <w:pPr>
              <w:pStyle w:val="NoSpacing"/>
            </w:pPr>
            <w:r>
              <w:t>5</w:t>
            </w:r>
            <w:hyperlink r:id="rId25" w:anchor="tf0005" w:history="1">
              <w:r>
                <w:rPr>
                  <w:rStyle w:val="Hyperlink"/>
                  <w:rFonts w:ascii="Tahoma" w:hAnsi="Tahoma" w:cs="Tahoma"/>
                  <w:b/>
                  <w:bCs/>
                  <w:color w:val="0C7DBB"/>
                  <w:sz w:val="21"/>
                  <w:szCs w:val="21"/>
                </w:rPr>
                <w:t>⁎</w:t>
              </w:r>
            </w:hyperlink>
          </w:p>
        </w:tc>
        <w:tc>
          <w:tcPr>
            <w:tcW w:w="738" w:type="pct"/>
            <w:hideMark/>
          </w:tcPr>
          <w:p w14:paraId="088E702E" w14:textId="77777777" w:rsidR="007B26FC" w:rsidRDefault="007B26FC" w:rsidP="00AF53A9">
            <w:pPr>
              <w:pStyle w:val="NoSpacing"/>
            </w:pPr>
            <w:r>
              <w:t>3</w:t>
            </w:r>
          </w:p>
        </w:tc>
        <w:tc>
          <w:tcPr>
            <w:tcW w:w="535" w:type="pct"/>
            <w:hideMark/>
          </w:tcPr>
          <w:p w14:paraId="5B7240D8" w14:textId="77777777" w:rsidR="007B26FC" w:rsidRDefault="007B26FC" w:rsidP="00AF53A9">
            <w:pPr>
              <w:pStyle w:val="NoSpacing"/>
            </w:pPr>
            <w:r>
              <w:t>15–20</w:t>
            </w:r>
          </w:p>
        </w:tc>
        <w:tc>
          <w:tcPr>
            <w:tcW w:w="507" w:type="pct"/>
            <w:hideMark/>
          </w:tcPr>
          <w:p w14:paraId="492E77C8" w14:textId="77777777" w:rsidR="007B26FC" w:rsidRDefault="007B26FC" w:rsidP="00AF53A9">
            <w:pPr>
              <w:pStyle w:val="NoSpacing"/>
            </w:pPr>
            <w:r>
              <w:t>+4</w:t>
            </w:r>
          </w:p>
        </w:tc>
        <w:tc>
          <w:tcPr>
            <w:tcW w:w="538" w:type="pct"/>
            <w:hideMark/>
          </w:tcPr>
          <w:p w14:paraId="16B62147" w14:textId="77777777" w:rsidR="007B26FC" w:rsidRDefault="007B26FC" w:rsidP="00AF53A9">
            <w:pPr>
              <w:pStyle w:val="NoSpacing"/>
            </w:pPr>
            <w:r>
              <w:t>I1; I1; I1; I1; I2</w:t>
            </w:r>
          </w:p>
        </w:tc>
        <w:tc>
          <w:tcPr>
            <w:tcW w:w="654" w:type="pct"/>
            <w:hideMark/>
          </w:tcPr>
          <w:p w14:paraId="642770AA" w14:textId="77777777" w:rsidR="007B26FC" w:rsidRDefault="007B26FC" w:rsidP="00AF53A9">
            <w:pPr>
              <w:pStyle w:val="NoSpacing"/>
            </w:pPr>
            <w:r>
              <w:t>3</w:t>
            </w:r>
          </w:p>
        </w:tc>
        <w:tc>
          <w:tcPr>
            <w:tcW w:w="535" w:type="pct"/>
            <w:hideMark/>
          </w:tcPr>
          <w:p w14:paraId="581A1BB9" w14:textId="77777777" w:rsidR="007B26FC" w:rsidRDefault="007B26FC" w:rsidP="00AF53A9">
            <w:pPr>
              <w:pStyle w:val="NoSpacing"/>
            </w:pPr>
            <w:r>
              <w:t>15</w:t>
            </w:r>
          </w:p>
        </w:tc>
        <w:tc>
          <w:tcPr>
            <w:tcW w:w="548" w:type="pct"/>
            <w:hideMark/>
          </w:tcPr>
          <w:p w14:paraId="7CA66C9C" w14:textId="77777777" w:rsidR="007B26FC" w:rsidRDefault="007B26FC" w:rsidP="00AF53A9">
            <w:pPr>
              <w:pStyle w:val="NoSpacing"/>
            </w:pPr>
            <w:r>
              <w:t>W1–4 + FE</w:t>
            </w:r>
          </w:p>
        </w:tc>
        <w:tc>
          <w:tcPr>
            <w:tcW w:w="581" w:type="pct"/>
            <w:hideMark/>
          </w:tcPr>
          <w:p w14:paraId="17A185CD" w14:textId="77777777" w:rsidR="007B26FC" w:rsidRDefault="007B26FC" w:rsidP="00AF53A9">
            <w:pPr>
              <w:pStyle w:val="NoSpacing"/>
            </w:pPr>
            <w:r>
              <w:t>2/20 s</w:t>
            </w:r>
          </w:p>
        </w:tc>
      </w:tr>
      <w:tr w:rsidR="00391380" w14:paraId="60B5F057" w14:textId="77777777" w:rsidTr="00391380">
        <w:tc>
          <w:tcPr>
            <w:tcW w:w="363" w:type="pct"/>
            <w:hideMark/>
          </w:tcPr>
          <w:p w14:paraId="72F5924B" w14:textId="77777777" w:rsidR="007B26FC" w:rsidRDefault="007B26FC" w:rsidP="00AF53A9">
            <w:pPr>
              <w:pStyle w:val="NoSpacing"/>
            </w:pPr>
            <w:r>
              <w:t>6</w:t>
            </w:r>
          </w:p>
        </w:tc>
        <w:tc>
          <w:tcPr>
            <w:tcW w:w="738" w:type="pct"/>
            <w:hideMark/>
          </w:tcPr>
          <w:p w14:paraId="51FA376A" w14:textId="77777777" w:rsidR="007B26FC" w:rsidRDefault="007B26FC" w:rsidP="00AF53A9">
            <w:pPr>
              <w:pStyle w:val="NoSpacing"/>
            </w:pPr>
            <w:r>
              <w:t>4</w:t>
            </w:r>
          </w:p>
        </w:tc>
        <w:tc>
          <w:tcPr>
            <w:tcW w:w="535" w:type="pct"/>
            <w:hideMark/>
          </w:tcPr>
          <w:p w14:paraId="072CB434" w14:textId="77777777" w:rsidR="007B26FC" w:rsidRDefault="007B26FC" w:rsidP="00AF53A9">
            <w:pPr>
              <w:pStyle w:val="NoSpacing"/>
            </w:pPr>
            <w:r>
              <w:t>20–25</w:t>
            </w:r>
          </w:p>
        </w:tc>
        <w:tc>
          <w:tcPr>
            <w:tcW w:w="507" w:type="pct"/>
            <w:hideMark/>
          </w:tcPr>
          <w:p w14:paraId="5909E86F" w14:textId="77777777" w:rsidR="007B26FC" w:rsidRDefault="007B26FC" w:rsidP="00AF53A9">
            <w:pPr>
              <w:pStyle w:val="NoSpacing"/>
            </w:pPr>
            <w:r>
              <w:t>+4</w:t>
            </w:r>
          </w:p>
        </w:tc>
        <w:tc>
          <w:tcPr>
            <w:tcW w:w="538" w:type="pct"/>
            <w:hideMark/>
          </w:tcPr>
          <w:p w14:paraId="6C26D758" w14:textId="77777777" w:rsidR="007B26FC" w:rsidRDefault="007B26FC" w:rsidP="00AF53A9">
            <w:pPr>
              <w:pStyle w:val="NoSpacing"/>
            </w:pPr>
            <w:r>
              <w:t>I1; I1; I1; I2; I2; I2</w:t>
            </w:r>
          </w:p>
        </w:tc>
        <w:tc>
          <w:tcPr>
            <w:tcW w:w="654" w:type="pct"/>
            <w:hideMark/>
          </w:tcPr>
          <w:p w14:paraId="29202FD3" w14:textId="77777777" w:rsidR="007B26FC" w:rsidRDefault="007B26FC" w:rsidP="00AF53A9">
            <w:pPr>
              <w:pStyle w:val="NoSpacing"/>
            </w:pPr>
            <w:r>
              <w:t>4</w:t>
            </w:r>
          </w:p>
        </w:tc>
        <w:tc>
          <w:tcPr>
            <w:tcW w:w="535" w:type="pct"/>
            <w:hideMark/>
          </w:tcPr>
          <w:p w14:paraId="52D77802" w14:textId="77777777" w:rsidR="007B26FC" w:rsidRDefault="007B26FC" w:rsidP="00AF53A9">
            <w:pPr>
              <w:pStyle w:val="NoSpacing"/>
            </w:pPr>
            <w:r>
              <w:t>20</w:t>
            </w:r>
          </w:p>
        </w:tc>
        <w:tc>
          <w:tcPr>
            <w:tcW w:w="548" w:type="pct"/>
            <w:hideMark/>
          </w:tcPr>
          <w:p w14:paraId="2F23D412" w14:textId="77777777" w:rsidR="007B26FC" w:rsidRDefault="007B26FC" w:rsidP="00AF53A9">
            <w:pPr>
              <w:pStyle w:val="NoSpacing"/>
            </w:pPr>
            <w:r>
              <w:t>W1–5 + Ha</w:t>
            </w:r>
          </w:p>
        </w:tc>
        <w:tc>
          <w:tcPr>
            <w:tcW w:w="581" w:type="pct"/>
            <w:hideMark/>
          </w:tcPr>
          <w:p w14:paraId="0C8B8D3C" w14:textId="77777777" w:rsidR="007B26FC" w:rsidRDefault="007B26FC" w:rsidP="00AF53A9">
            <w:pPr>
              <w:pStyle w:val="NoSpacing"/>
            </w:pPr>
            <w:r>
              <w:t>2/20 s</w:t>
            </w:r>
          </w:p>
        </w:tc>
      </w:tr>
      <w:tr w:rsidR="00391380" w14:paraId="3F6FFD0C" w14:textId="77777777" w:rsidTr="00391380">
        <w:tc>
          <w:tcPr>
            <w:tcW w:w="363" w:type="pct"/>
            <w:hideMark/>
          </w:tcPr>
          <w:p w14:paraId="3ED226A0" w14:textId="77777777" w:rsidR="007B26FC" w:rsidRDefault="007B26FC" w:rsidP="00AF53A9">
            <w:pPr>
              <w:pStyle w:val="NoSpacing"/>
            </w:pPr>
            <w:r>
              <w:t>7</w:t>
            </w:r>
            <w:hyperlink r:id="rId26" w:anchor="tf0005" w:history="1">
              <w:r>
                <w:rPr>
                  <w:rStyle w:val="Hyperlink"/>
                  <w:rFonts w:ascii="Tahoma" w:hAnsi="Tahoma" w:cs="Tahoma"/>
                  <w:b/>
                  <w:bCs/>
                  <w:color w:val="0C7DBB"/>
                  <w:sz w:val="21"/>
                  <w:szCs w:val="21"/>
                </w:rPr>
                <w:t>⁎</w:t>
              </w:r>
            </w:hyperlink>
          </w:p>
        </w:tc>
        <w:tc>
          <w:tcPr>
            <w:tcW w:w="738" w:type="pct"/>
            <w:hideMark/>
          </w:tcPr>
          <w:p w14:paraId="1F20ACFB" w14:textId="77777777" w:rsidR="007B26FC" w:rsidRDefault="007B26FC" w:rsidP="00AF53A9">
            <w:pPr>
              <w:pStyle w:val="NoSpacing"/>
            </w:pPr>
            <w:r>
              <w:t>4</w:t>
            </w:r>
          </w:p>
        </w:tc>
        <w:tc>
          <w:tcPr>
            <w:tcW w:w="535" w:type="pct"/>
            <w:hideMark/>
          </w:tcPr>
          <w:p w14:paraId="4398DF64" w14:textId="77777777" w:rsidR="007B26FC" w:rsidRDefault="007B26FC" w:rsidP="00AF53A9">
            <w:pPr>
              <w:pStyle w:val="NoSpacing"/>
            </w:pPr>
            <w:r>
              <w:t>20–25</w:t>
            </w:r>
          </w:p>
        </w:tc>
        <w:tc>
          <w:tcPr>
            <w:tcW w:w="507" w:type="pct"/>
            <w:hideMark/>
          </w:tcPr>
          <w:p w14:paraId="5ABEE0BC" w14:textId="77777777" w:rsidR="007B26FC" w:rsidRDefault="007B26FC" w:rsidP="00AF53A9">
            <w:pPr>
              <w:pStyle w:val="NoSpacing"/>
            </w:pPr>
            <w:r>
              <w:t>+4</w:t>
            </w:r>
          </w:p>
        </w:tc>
        <w:tc>
          <w:tcPr>
            <w:tcW w:w="538" w:type="pct"/>
            <w:hideMark/>
          </w:tcPr>
          <w:p w14:paraId="67C06B3B" w14:textId="77777777" w:rsidR="007B26FC" w:rsidRDefault="007B26FC" w:rsidP="00AF53A9">
            <w:pPr>
              <w:pStyle w:val="NoSpacing"/>
            </w:pPr>
            <w:r>
              <w:t>I2; I2; I2; I2; I2; I3</w:t>
            </w:r>
          </w:p>
        </w:tc>
        <w:tc>
          <w:tcPr>
            <w:tcW w:w="654" w:type="pct"/>
            <w:hideMark/>
          </w:tcPr>
          <w:p w14:paraId="5BDE9597" w14:textId="77777777" w:rsidR="007B26FC" w:rsidRDefault="007B26FC" w:rsidP="00AF53A9">
            <w:pPr>
              <w:pStyle w:val="NoSpacing"/>
            </w:pPr>
            <w:r>
              <w:t>4</w:t>
            </w:r>
          </w:p>
        </w:tc>
        <w:tc>
          <w:tcPr>
            <w:tcW w:w="535" w:type="pct"/>
            <w:hideMark/>
          </w:tcPr>
          <w:p w14:paraId="051DB5EC" w14:textId="77777777" w:rsidR="007B26FC" w:rsidRDefault="007B26FC" w:rsidP="00AF53A9">
            <w:pPr>
              <w:pStyle w:val="NoSpacing"/>
            </w:pPr>
            <w:r>
              <w:t>20</w:t>
            </w:r>
          </w:p>
        </w:tc>
        <w:tc>
          <w:tcPr>
            <w:tcW w:w="548" w:type="pct"/>
            <w:hideMark/>
          </w:tcPr>
          <w:p w14:paraId="5FD8E012" w14:textId="77777777" w:rsidR="007B26FC" w:rsidRDefault="007B26FC" w:rsidP="00AF53A9">
            <w:pPr>
              <w:pStyle w:val="NoSpacing"/>
            </w:pPr>
            <w:r>
              <w:t>W1–6 + W</w:t>
            </w:r>
          </w:p>
        </w:tc>
        <w:tc>
          <w:tcPr>
            <w:tcW w:w="581" w:type="pct"/>
            <w:hideMark/>
          </w:tcPr>
          <w:p w14:paraId="1E18FB5E" w14:textId="77777777" w:rsidR="007B26FC" w:rsidRDefault="007B26FC" w:rsidP="00AF53A9">
            <w:pPr>
              <w:pStyle w:val="NoSpacing"/>
            </w:pPr>
            <w:r>
              <w:t>3/20 s</w:t>
            </w:r>
          </w:p>
        </w:tc>
      </w:tr>
      <w:tr w:rsidR="00391380" w14:paraId="3265A7D3" w14:textId="77777777" w:rsidTr="00391380">
        <w:tc>
          <w:tcPr>
            <w:tcW w:w="363" w:type="pct"/>
            <w:hideMark/>
          </w:tcPr>
          <w:p w14:paraId="464B7C2B" w14:textId="77777777" w:rsidR="007B26FC" w:rsidRDefault="007B26FC" w:rsidP="00AF53A9">
            <w:pPr>
              <w:pStyle w:val="NoSpacing"/>
            </w:pPr>
            <w:r>
              <w:t>8</w:t>
            </w:r>
          </w:p>
        </w:tc>
        <w:tc>
          <w:tcPr>
            <w:tcW w:w="738" w:type="pct"/>
            <w:hideMark/>
          </w:tcPr>
          <w:p w14:paraId="58E74A0C" w14:textId="77777777" w:rsidR="007B26FC" w:rsidRDefault="007B26FC" w:rsidP="00AF53A9">
            <w:pPr>
              <w:pStyle w:val="NoSpacing"/>
            </w:pPr>
            <w:r>
              <w:t>4</w:t>
            </w:r>
          </w:p>
        </w:tc>
        <w:tc>
          <w:tcPr>
            <w:tcW w:w="535" w:type="pct"/>
            <w:hideMark/>
          </w:tcPr>
          <w:p w14:paraId="3C1092B0" w14:textId="77777777" w:rsidR="007B26FC" w:rsidRDefault="007B26FC" w:rsidP="00AF53A9">
            <w:pPr>
              <w:pStyle w:val="NoSpacing"/>
            </w:pPr>
            <w:r>
              <w:t>20–25</w:t>
            </w:r>
          </w:p>
        </w:tc>
        <w:tc>
          <w:tcPr>
            <w:tcW w:w="507" w:type="pct"/>
            <w:hideMark/>
          </w:tcPr>
          <w:p w14:paraId="62D84C17" w14:textId="77777777" w:rsidR="007B26FC" w:rsidRDefault="007B26FC" w:rsidP="00AF53A9">
            <w:pPr>
              <w:pStyle w:val="NoSpacing"/>
            </w:pPr>
            <w:r>
              <w:t>+4</w:t>
            </w:r>
          </w:p>
        </w:tc>
        <w:tc>
          <w:tcPr>
            <w:tcW w:w="538" w:type="pct"/>
            <w:hideMark/>
          </w:tcPr>
          <w:p w14:paraId="1EEC0C9D" w14:textId="77777777" w:rsidR="007B26FC" w:rsidRDefault="007B26FC" w:rsidP="00AF53A9">
            <w:pPr>
              <w:pStyle w:val="NoSpacing"/>
            </w:pPr>
            <w:r>
              <w:t>I2; I2; I2; I3; I3; I3</w:t>
            </w:r>
          </w:p>
        </w:tc>
        <w:tc>
          <w:tcPr>
            <w:tcW w:w="654" w:type="pct"/>
            <w:hideMark/>
          </w:tcPr>
          <w:p w14:paraId="60AC98FB" w14:textId="77777777" w:rsidR="007B26FC" w:rsidRDefault="007B26FC" w:rsidP="00AF53A9">
            <w:pPr>
              <w:pStyle w:val="NoSpacing"/>
            </w:pPr>
            <w:r>
              <w:t>4</w:t>
            </w:r>
          </w:p>
        </w:tc>
        <w:tc>
          <w:tcPr>
            <w:tcW w:w="535" w:type="pct"/>
            <w:hideMark/>
          </w:tcPr>
          <w:p w14:paraId="5875CCFE" w14:textId="77777777" w:rsidR="007B26FC" w:rsidRDefault="007B26FC" w:rsidP="00AF53A9">
            <w:pPr>
              <w:pStyle w:val="NoSpacing"/>
            </w:pPr>
            <w:r>
              <w:t>20</w:t>
            </w:r>
          </w:p>
        </w:tc>
        <w:tc>
          <w:tcPr>
            <w:tcW w:w="548" w:type="pct"/>
            <w:hideMark/>
          </w:tcPr>
          <w:p w14:paraId="3A46171F" w14:textId="77777777" w:rsidR="007B26FC" w:rsidRDefault="007B26FC" w:rsidP="00AF53A9">
            <w:pPr>
              <w:pStyle w:val="NoSpacing"/>
            </w:pPr>
            <w:r>
              <w:t>W1–7 + T</w:t>
            </w:r>
          </w:p>
        </w:tc>
        <w:tc>
          <w:tcPr>
            <w:tcW w:w="581" w:type="pct"/>
            <w:hideMark/>
          </w:tcPr>
          <w:p w14:paraId="2DF1DADA" w14:textId="77777777" w:rsidR="007B26FC" w:rsidRDefault="007B26FC" w:rsidP="00AF53A9">
            <w:pPr>
              <w:pStyle w:val="NoSpacing"/>
            </w:pPr>
            <w:r>
              <w:t>3/20 s</w:t>
            </w:r>
          </w:p>
        </w:tc>
      </w:tr>
      <w:tr w:rsidR="00391380" w14:paraId="31F76B41" w14:textId="77777777" w:rsidTr="00391380">
        <w:tc>
          <w:tcPr>
            <w:tcW w:w="363" w:type="pct"/>
            <w:hideMark/>
          </w:tcPr>
          <w:p w14:paraId="00E42033" w14:textId="77777777" w:rsidR="007B26FC" w:rsidRDefault="007B26FC" w:rsidP="00AF53A9">
            <w:pPr>
              <w:pStyle w:val="NoSpacing"/>
            </w:pPr>
            <w:r>
              <w:t>9</w:t>
            </w:r>
            <w:hyperlink r:id="rId27" w:anchor="tf0005" w:history="1">
              <w:r>
                <w:rPr>
                  <w:rStyle w:val="Hyperlink"/>
                  <w:rFonts w:ascii="Tahoma" w:hAnsi="Tahoma" w:cs="Tahoma"/>
                  <w:b/>
                  <w:bCs/>
                  <w:color w:val="0C7DBB"/>
                  <w:sz w:val="21"/>
                  <w:szCs w:val="21"/>
                </w:rPr>
                <w:t>⁎</w:t>
              </w:r>
            </w:hyperlink>
          </w:p>
        </w:tc>
        <w:tc>
          <w:tcPr>
            <w:tcW w:w="738" w:type="pct"/>
            <w:hideMark/>
          </w:tcPr>
          <w:p w14:paraId="4AB3F023" w14:textId="77777777" w:rsidR="007B26FC" w:rsidRDefault="007B26FC" w:rsidP="00AF53A9">
            <w:pPr>
              <w:pStyle w:val="NoSpacing"/>
            </w:pPr>
            <w:r>
              <w:t>5</w:t>
            </w:r>
          </w:p>
        </w:tc>
        <w:tc>
          <w:tcPr>
            <w:tcW w:w="535" w:type="pct"/>
            <w:hideMark/>
          </w:tcPr>
          <w:p w14:paraId="74103D9D" w14:textId="77777777" w:rsidR="007B26FC" w:rsidRDefault="007B26FC" w:rsidP="00AF53A9">
            <w:pPr>
              <w:pStyle w:val="NoSpacing"/>
            </w:pPr>
            <w:r>
              <w:t>25–30</w:t>
            </w:r>
          </w:p>
        </w:tc>
        <w:tc>
          <w:tcPr>
            <w:tcW w:w="507" w:type="pct"/>
            <w:hideMark/>
          </w:tcPr>
          <w:p w14:paraId="2E189F9B" w14:textId="77777777" w:rsidR="007B26FC" w:rsidRDefault="007B26FC" w:rsidP="00AF53A9">
            <w:pPr>
              <w:pStyle w:val="NoSpacing"/>
            </w:pPr>
            <w:r>
              <w:t>+4</w:t>
            </w:r>
          </w:p>
        </w:tc>
        <w:tc>
          <w:tcPr>
            <w:tcW w:w="538" w:type="pct"/>
            <w:hideMark/>
          </w:tcPr>
          <w:p w14:paraId="01AFC29F" w14:textId="77777777" w:rsidR="007B26FC" w:rsidRDefault="007B26FC" w:rsidP="00AF53A9">
            <w:pPr>
              <w:pStyle w:val="NoSpacing"/>
            </w:pPr>
            <w:r>
              <w:t>I3; I3; I3; I3; I3; I3; A1</w:t>
            </w:r>
          </w:p>
        </w:tc>
        <w:tc>
          <w:tcPr>
            <w:tcW w:w="654" w:type="pct"/>
            <w:hideMark/>
          </w:tcPr>
          <w:p w14:paraId="4ECA01E9" w14:textId="77777777" w:rsidR="007B26FC" w:rsidRDefault="007B26FC" w:rsidP="00AF53A9">
            <w:pPr>
              <w:pStyle w:val="NoSpacing"/>
            </w:pPr>
            <w:r>
              <w:t>5</w:t>
            </w:r>
          </w:p>
        </w:tc>
        <w:tc>
          <w:tcPr>
            <w:tcW w:w="535" w:type="pct"/>
            <w:hideMark/>
          </w:tcPr>
          <w:p w14:paraId="36B831AC" w14:textId="77777777" w:rsidR="007B26FC" w:rsidRDefault="007B26FC" w:rsidP="00AF53A9">
            <w:pPr>
              <w:pStyle w:val="NoSpacing"/>
            </w:pPr>
            <w:r>
              <w:t>25</w:t>
            </w:r>
          </w:p>
        </w:tc>
        <w:tc>
          <w:tcPr>
            <w:tcW w:w="548" w:type="pct"/>
            <w:hideMark/>
          </w:tcPr>
          <w:p w14:paraId="53565EC9" w14:textId="77777777" w:rsidR="007B26FC" w:rsidRDefault="007B26FC" w:rsidP="00AF53A9">
            <w:pPr>
              <w:pStyle w:val="NoSpacing"/>
            </w:pPr>
            <w:r>
              <w:t>W1–8 + Hi</w:t>
            </w:r>
          </w:p>
        </w:tc>
        <w:tc>
          <w:tcPr>
            <w:tcW w:w="581" w:type="pct"/>
            <w:hideMark/>
          </w:tcPr>
          <w:p w14:paraId="337F33EA" w14:textId="77777777" w:rsidR="007B26FC" w:rsidRDefault="007B26FC" w:rsidP="00AF53A9">
            <w:pPr>
              <w:pStyle w:val="NoSpacing"/>
            </w:pPr>
            <w:r>
              <w:t>3/20 s</w:t>
            </w:r>
          </w:p>
        </w:tc>
      </w:tr>
      <w:tr w:rsidR="00391380" w14:paraId="7D3E0742" w14:textId="77777777" w:rsidTr="00391380">
        <w:tc>
          <w:tcPr>
            <w:tcW w:w="363" w:type="pct"/>
            <w:hideMark/>
          </w:tcPr>
          <w:p w14:paraId="7BDA6EE2" w14:textId="77777777" w:rsidR="007B26FC" w:rsidRDefault="007B26FC" w:rsidP="00AF53A9">
            <w:pPr>
              <w:pStyle w:val="NoSpacing"/>
            </w:pPr>
            <w:r>
              <w:t>10</w:t>
            </w:r>
          </w:p>
        </w:tc>
        <w:tc>
          <w:tcPr>
            <w:tcW w:w="738" w:type="pct"/>
            <w:hideMark/>
          </w:tcPr>
          <w:p w14:paraId="05DCBEE1" w14:textId="77777777" w:rsidR="007B26FC" w:rsidRDefault="007B26FC" w:rsidP="00AF53A9">
            <w:pPr>
              <w:pStyle w:val="NoSpacing"/>
            </w:pPr>
            <w:r>
              <w:t>5</w:t>
            </w:r>
          </w:p>
        </w:tc>
        <w:tc>
          <w:tcPr>
            <w:tcW w:w="535" w:type="pct"/>
            <w:hideMark/>
          </w:tcPr>
          <w:p w14:paraId="00936B13" w14:textId="77777777" w:rsidR="007B26FC" w:rsidRDefault="007B26FC" w:rsidP="00AF53A9">
            <w:pPr>
              <w:pStyle w:val="NoSpacing"/>
            </w:pPr>
            <w:r>
              <w:t>25–30</w:t>
            </w:r>
          </w:p>
        </w:tc>
        <w:tc>
          <w:tcPr>
            <w:tcW w:w="507" w:type="pct"/>
            <w:hideMark/>
          </w:tcPr>
          <w:p w14:paraId="327F6742" w14:textId="77777777" w:rsidR="007B26FC" w:rsidRDefault="007B26FC" w:rsidP="00AF53A9">
            <w:pPr>
              <w:pStyle w:val="NoSpacing"/>
            </w:pPr>
            <w:r>
              <w:t>+4</w:t>
            </w:r>
          </w:p>
        </w:tc>
        <w:tc>
          <w:tcPr>
            <w:tcW w:w="538" w:type="pct"/>
            <w:hideMark/>
          </w:tcPr>
          <w:p w14:paraId="5CA92106" w14:textId="77777777" w:rsidR="007B26FC" w:rsidRDefault="007B26FC" w:rsidP="00AF53A9">
            <w:pPr>
              <w:pStyle w:val="NoSpacing"/>
            </w:pPr>
            <w:r>
              <w:t>I3; I3; I3; I3; A1; A1; A1</w:t>
            </w:r>
          </w:p>
        </w:tc>
        <w:tc>
          <w:tcPr>
            <w:tcW w:w="654" w:type="pct"/>
            <w:hideMark/>
          </w:tcPr>
          <w:p w14:paraId="5F64C48C" w14:textId="77777777" w:rsidR="007B26FC" w:rsidRDefault="007B26FC" w:rsidP="00AF53A9">
            <w:pPr>
              <w:pStyle w:val="NoSpacing"/>
            </w:pPr>
            <w:r>
              <w:t>5</w:t>
            </w:r>
          </w:p>
        </w:tc>
        <w:tc>
          <w:tcPr>
            <w:tcW w:w="535" w:type="pct"/>
            <w:hideMark/>
          </w:tcPr>
          <w:p w14:paraId="37D51D74" w14:textId="77777777" w:rsidR="007B26FC" w:rsidRDefault="007B26FC" w:rsidP="00AF53A9">
            <w:pPr>
              <w:pStyle w:val="NoSpacing"/>
            </w:pPr>
            <w:r>
              <w:t>25</w:t>
            </w:r>
          </w:p>
        </w:tc>
        <w:tc>
          <w:tcPr>
            <w:tcW w:w="548" w:type="pct"/>
            <w:hideMark/>
          </w:tcPr>
          <w:p w14:paraId="05D7C8E1" w14:textId="77777777" w:rsidR="007B26FC" w:rsidRDefault="007B26FC" w:rsidP="00AF53A9">
            <w:pPr>
              <w:pStyle w:val="NoSpacing"/>
            </w:pPr>
            <w:r>
              <w:t>W1–9 + A</w:t>
            </w:r>
          </w:p>
        </w:tc>
        <w:tc>
          <w:tcPr>
            <w:tcW w:w="581" w:type="pct"/>
            <w:hideMark/>
          </w:tcPr>
          <w:p w14:paraId="42421C21" w14:textId="77777777" w:rsidR="007B26FC" w:rsidRDefault="007B26FC" w:rsidP="00AF53A9">
            <w:pPr>
              <w:pStyle w:val="NoSpacing"/>
            </w:pPr>
            <w:r>
              <w:t>4/20 s</w:t>
            </w:r>
          </w:p>
        </w:tc>
      </w:tr>
      <w:tr w:rsidR="00391380" w14:paraId="270A9FD7" w14:textId="77777777" w:rsidTr="00391380">
        <w:tc>
          <w:tcPr>
            <w:tcW w:w="363" w:type="pct"/>
            <w:hideMark/>
          </w:tcPr>
          <w:p w14:paraId="4FA9770C" w14:textId="77777777" w:rsidR="007B26FC" w:rsidRDefault="007B26FC" w:rsidP="00AF53A9">
            <w:pPr>
              <w:pStyle w:val="NoSpacing"/>
            </w:pPr>
            <w:r>
              <w:t>11</w:t>
            </w:r>
            <w:hyperlink r:id="rId28" w:anchor="tf0005" w:history="1">
              <w:r>
                <w:rPr>
                  <w:rStyle w:val="Hyperlink"/>
                  <w:rFonts w:ascii="Tahoma" w:hAnsi="Tahoma" w:cs="Tahoma"/>
                  <w:b/>
                  <w:bCs/>
                  <w:color w:val="0C7DBB"/>
                  <w:sz w:val="21"/>
                  <w:szCs w:val="21"/>
                </w:rPr>
                <w:t>⁎</w:t>
              </w:r>
            </w:hyperlink>
          </w:p>
        </w:tc>
        <w:tc>
          <w:tcPr>
            <w:tcW w:w="738" w:type="pct"/>
            <w:hideMark/>
          </w:tcPr>
          <w:p w14:paraId="3348DBCE" w14:textId="77777777" w:rsidR="007B26FC" w:rsidRDefault="007B26FC" w:rsidP="00AF53A9">
            <w:pPr>
              <w:pStyle w:val="NoSpacing"/>
            </w:pPr>
            <w:r>
              <w:t>5</w:t>
            </w:r>
          </w:p>
        </w:tc>
        <w:tc>
          <w:tcPr>
            <w:tcW w:w="535" w:type="pct"/>
            <w:hideMark/>
          </w:tcPr>
          <w:p w14:paraId="0D253C84" w14:textId="77777777" w:rsidR="007B26FC" w:rsidRDefault="007B26FC" w:rsidP="00AF53A9">
            <w:pPr>
              <w:pStyle w:val="NoSpacing"/>
            </w:pPr>
            <w:r>
              <w:t>25–30</w:t>
            </w:r>
          </w:p>
        </w:tc>
        <w:tc>
          <w:tcPr>
            <w:tcW w:w="507" w:type="pct"/>
            <w:hideMark/>
          </w:tcPr>
          <w:p w14:paraId="688F3CC9" w14:textId="77777777" w:rsidR="007B26FC" w:rsidRDefault="007B26FC" w:rsidP="00AF53A9">
            <w:pPr>
              <w:pStyle w:val="NoSpacing"/>
            </w:pPr>
            <w:r>
              <w:t>+4</w:t>
            </w:r>
          </w:p>
        </w:tc>
        <w:tc>
          <w:tcPr>
            <w:tcW w:w="538" w:type="pct"/>
            <w:hideMark/>
          </w:tcPr>
          <w:p w14:paraId="5A1BEAFF" w14:textId="77777777" w:rsidR="007B26FC" w:rsidRDefault="007B26FC" w:rsidP="00AF53A9">
            <w:pPr>
              <w:pStyle w:val="NoSpacing"/>
            </w:pPr>
            <w:r>
              <w:t>A1; A1; A1; A1; A1; A1; A2; A2</w:t>
            </w:r>
          </w:p>
        </w:tc>
        <w:tc>
          <w:tcPr>
            <w:tcW w:w="654" w:type="pct"/>
            <w:hideMark/>
          </w:tcPr>
          <w:p w14:paraId="7C131BC3" w14:textId="77777777" w:rsidR="007B26FC" w:rsidRDefault="007B26FC" w:rsidP="00AF53A9">
            <w:pPr>
              <w:pStyle w:val="NoSpacing"/>
            </w:pPr>
            <w:r>
              <w:t>5</w:t>
            </w:r>
          </w:p>
        </w:tc>
        <w:tc>
          <w:tcPr>
            <w:tcW w:w="535" w:type="pct"/>
            <w:hideMark/>
          </w:tcPr>
          <w:p w14:paraId="041D13F6" w14:textId="77777777" w:rsidR="007B26FC" w:rsidRDefault="007B26FC" w:rsidP="00AF53A9">
            <w:pPr>
              <w:pStyle w:val="NoSpacing"/>
            </w:pPr>
            <w:r>
              <w:t>30</w:t>
            </w:r>
          </w:p>
        </w:tc>
        <w:tc>
          <w:tcPr>
            <w:tcW w:w="548" w:type="pct"/>
            <w:hideMark/>
          </w:tcPr>
          <w:p w14:paraId="6A936B41" w14:textId="77777777" w:rsidR="007B26FC" w:rsidRDefault="007B26FC" w:rsidP="00AF53A9">
            <w:pPr>
              <w:pStyle w:val="NoSpacing"/>
            </w:pPr>
            <w:r>
              <w:t>W1–10 + </w:t>
            </w:r>
            <w:proofErr w:type="spellStart"/>
            <w:r>
              <w:t>FoE</w:t>
            </w:r>
            <w:proofErr w:type="spellEnd"/>
          </w:p>
        </w:tc>
        <w:tc>
          <w:tcPr>
            <w:tcW w:w="581" w:type="pct"/>
            <w:hideMark/>
          </w:tcPr>
          <w:p w14:paraId="348680DE" w14:textId="77777777" w:rsidR="007B26FC" w:rsidRDefault="007B26FC" w:rsidP="00AF53A9">
            <w:pPr>
              <w:pStyle w:val="NoSpacing"/>
            </w:pPr>
            <w:r>
              <w:t>4/20 s</w:t>
            </w:r>
          </w:p>
        </w:tc>
      </w:tr>
      <w:bookmarkEnd w:id="27"/>
      <w:tr w:rsidR="00391380" w14:paraId="1FC76378" w14:textId="77777777" w:rsidTr="00391380">
        <w:tc>
          <w:tcPr>
            <w:tcW w:w="363" w:type="pct"/>
            <w:hideMark/>
          </w:tcPr>
          <w:p w14:paraId="5DA2B0C1" w14:textId="77777777" w:rsidR="007B26FC" w:rsidRDefault="007B26FC" w:rsidP="00AF53A9">
            <w:pPr>
              <w:pStyle w:val="NoSpacing"/>
            </w:pPr>
            <w:r>
              <w:t>12</w:t>
            </w:r>
          </w:p>
        </w:tc>
        <w:tc>
          <w:tcPr>
            <w:tcW w:w="738" w:type="pct"/>
            <w:hideMark/>
          </w:tcPr>
          <w:p w14:paraId="4563B80D" w14:textId="77777777" w:rsidR="007B26FC" w:rsidRDefault="007B26FC" w:rsidP="00AF53A9">
            <w:pPr>
              <w:pStyle w:val="NoSpacing"/>
            </w:pPr>
            <w:r>
              <w:t>5</w:t>
            </w:r>
          </w:p>
        </w:tc>
        <w:tc>
          <w:tcPr>
            <w:tcW w:w="535" w:type="pct"/>
            <w:hideMark/>
          </w:tcPr>
          <w:p w14:paraId="1D989FB2" w14:textId="77777777" w:rsidR="007B26FC" w:rsidRDefault="007B26FC" w:rsidP="00AF53A9">
            <w:pPr>
              <w:pStyle w:val="NoSpacing"/>
            </w:pPr>
            <w:r>
              <w:t>25–30</w:t>
            </w:r>
          </w:p>
        </w:tc>
        <w:tc>
          <w:tcPr>
            <w:tcW w:w="507" w:type="pct"/>
            <w:hideMark/>
          </w:tcPr>
          <w:p w14:paraId="03332265" w14:textId="77777777" w:rsidR="007B26FC" w:rsidRDefault="007B26FC" w:rsidP="00AF53A9">
            <w:pPr>
              <w:pStyle w:val="NoSpacing"/>
            </w:pPr>
            <w:r>
              <w:t>+4</w:t>
            </w:r>
          </w:p>
        </w:tc>
        <w:tc>
          <w:tcPr>
            <w:tcW w:w="538" w:type="pct"/>
            <w:hideMark/>
          </w:tcPr>
          <w:p w14:paraId="5BBB2F0B" w14:textId="77777777" w:rsidR="007B26FC" w:rsidRDefault="007B26FC" w:rsidP="00AF53A9">
            <w:pPr>
              <w:pStyle w:val="NoSpacing"/>
            </w:pPr>
            <w:r>
              <w:t>A1; A2; A2; A2; A2; A2; A3; A3</w:t>
            </w:r>
          </w:p>
        </w:tc>
        <w:tc>
          <w:tcPr>
            <w:tcW w:w="654" w:type="pct"/>
            <w:hideMark/>
          </w:tcPr>
          <w:p w14:paraId="3708953C" w14:textId="77777777" w:rsidR="007B26FC" w:rsidRDefault="007B26FC" w:rsidP="00AF53A9">
            <w:pPr>
              <w:pStyle w:val="NoSpacing"/>
            </w:pPr>
            <w:r>
              <w:t>5</w:t>
            </w:r>
          </w:p>
        </w:tc>
        <w:tc>
          <w:tcPr>
            <w:tcW w:w="535" w:type="pct"/>
            <w:hideMark/>
          </w:tcPr>
          <w:p w14:paraId="5F520047" w14:textId="77777777" w:rsidR="007B26FC" w:rsidRDefault="007B26FC" w:rsidP="00AF53A9">
            <w:pPr>
              <w:pStyle w:val="NoSpacing"/>
            </w:pPr>
            <w:r>
              <w:t>30</w:t>
            </w:r>
          </w:p>
        </w:tc>
        <w:tc>
          <w:tcPr>
            <w:tcW w:w="548" w:type="pct"/>
            <w:hideMark/>
          </w:tcPr>
          <w:p w14:paraId="67E189B1" w14:textId="77777777" w:rsidR="007B26FC" w:rsidRDefault="007B26FC" w:rsidP="00AF53A9">
            <w:pPr>
              <w:pStyle w:val="NoSpacing"/>
            </w:pPr>
            <w:r>
              <w:t>W11</w:t>
            </w:r>
          </w:p>
        </w:tc>
        <w:tc>
          <w:tcPr>
            <w:tcW w:w="581" w:type="pct"/>
            <w:hideMark/>
          </w:tcPr>
          <w:p w14:paraId="526C4CB3" w14:textId="77777777" w:rsidR="007B26FC" w:rsidRDefault="007B26FC" w:rsidP="00AF53A9">
            <w:pPr>
              <w:pStyle w:val="NoSpacing"/>
            </w:pPr>
            <w:r>
              <w:t>4/20 s</w:t>
            </w:r>
          </w:p>
        </w:tc>
      </w:tr>
    </w:tbl>
    <w:p w14:paraId="095F805E" w14:textId="0A38189D" w:rsidR="007B26FC" w:rsidRDefault="007B26FC" w:rsidP="00391380">
      <w:pPr>
        <w:pStyle w:val="NoSpacing"/>
      </w:pPr>
      <w:r>
        <w:rPr>
          <w:rFonts w:ascii="Tahoma" w:hAnsi="Tahoma" w:cs="Tahoma"/>
        </w:rPr>
        <w:t>⁎</w:t>
      </w:r>
      <w:r>
        <w:t xml:space="preserve">Meeting with SSE/Stretching trainer; B1 = Beginner one; B2 = Beginner two; I1 = Intermediate one; I2 = Intermediate two; I3 = Intermediate three; A1 = Advanced one; A2 = Advanced two; A3 = Advanced three; H = Head; N = Neck; W1, 11 = Week one to eleven; S = Shoulder; SR = Shoulder Range; E = Elbow; FE = Forearm Exercises; Ha = Hand; W = Wrist; T = Trunk; Hi = Hip; A = Ankle; </w:t>
      </w:r>
      <w:proofErr w:type="spellStart"/>
      <w:r>
        <w:t>FoE</w:t>
      </w:r>
      <w:proofErr w:type="spellEnd"/>
      <w:r>
        <w:t> = Foot Exercise.</w:t>
      </w:r>
    </w:p>
    <w:p w14:paraId="2FCC4FEB" w14:textId="5E35D9BA" w:rsidR="007B26FC" w:rsidRDefault="007B26FC" w:rsidP="00391380">
      <w:pPr>
        <w:spacing w:after="0" w:line="390" w:lineRule="atLeast"/>
        <w:rPr>
          <w:color w:val="2E2E2E"/>
          <w:sz w:val="27"/>
          <w:szCs w:val="27"/>
        </w:rPr>
      </w:pPr>
      <w:r>
        <w:rPr>
          <w:noProof/>
          <w:color w:val="2E2E2E"/>
          <w:sz w:val="27"/>
          <w:szCs w:val="27"/>
        </w:rPr>
        <w:drawing>
          <wp:inline distT="0" distB="0" distL="0" distR="0" wp14:anchorId="29E8981A" wp14:editId="4A9EE8C5">
            <wp:extent cx="2743200" cy="1965960"/>
            <wp:effectExtent l="0" t="0" r="0" b="0"/>
            <wp:docPr id="3" name="Picture 3" descr="Fig. 1. Examples of the three different levels of patterns available in the square-stepping exercise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1965960"/>
                    </a:xfrm>
                    <a:prstGeom prst="rect">
                      <a:avLst/>
                    </a:prstGeom>
                    <a:noFill/>
                    <a:ln>
                      <a:noFill/>
                    </a:ln>
                  </pic:spPr>
                </pic:pic>
              </a:graphicData>
            </a:graphic>
          </wp:inline>
        </w:drawing>
      </w:r>
    </w:p>
    <w:p w14:paraId="2299FCC2" w14:textId="57E14390" w:rsidR="007B26FC" w:rsidRDefault="007B26FC" w:rsidP="00391380">
      <w:pPr>
        <w:pStyle w:val="NoSpacing"/>
      </w:pPr>
      <w:r>
        <w:rPr>
          <w:rStyle w:val="label"/>
          <w:color w:val="323232"/>
        </w:rPr>
        <w:t>Fig. 1</w:t>
      </w:r>
      <w:r>
        <w:t>. Examples of the three different levels of patterns available in the square-stepping exercise program.</w:t>
      </w:r>
    </w:p>
    <w:p w14:paraId="77E9E046" w14:textId="77777777" w:rsidR="00391380" w:rsidRDefault="00391380" w:rsidP="007B26FC">
      <w:pPr>
        <w:pStyle w:val="NormalWeb"/>
        <w:spacing w:before="0" w:beforeAutospacing="0" w:after="0" w:afterAutospacing="0" w:line="330" w:lineRule="atLeast"/>
        <w:ind w:left="360" w:right="360"/>
        <w:rPr>
          <w:color w:val="323232"/>
        </w:rPr>
      </w:pPr>
    </w:p>
    <w:p w14:paraId="08827552" w14:textId="77777777" w:rsidR="007B26FC" w:rsidRDefault="007B26FC" w:rsidP="00391380">
      <w:pPr>
        <w:pStyle w:val="Heading3"/>
      </w:pPr>
      <w:r>
        <w:t>2.3.2. Control condition</w:t>
      </w:r>
    </w:p>
    <w:p w14:paraId="0FDB9246" w14:textId="77777777" w:rsidR="007B26FC" w:rsidRPr="00391380" w:rsidRDefault="007B26FC" w:rsidP="00391380">
      <w:pPr>
        <w:rPr>
          <w:color w:val="2E2E2E"/>
        </w:rPr>
      </w:pPr>
      <w:r w:rsidRPr="00391380">
        <w:rPr>
          <w:color w:val="2E2E2E"/>
        </w:rPr>
        <w:t>The stimulus was a light intensity stretching and minimal </w:t>
      </w:r>
      <w:hyperlink r:id="rId30" w:tooltip="Learn more about Muscle Training from ScienceDirect's AI-generated Topic Pages" w:history="1">
        <w:r w:rsidRPr="00391380">
          <w:rPr>
            <w:rStyle w:val="Hyperlink"/>
            <w:rFonts w:eastAsiaTheme="majorEastAsia"/>
            <w:color w:val="0C7DBB"/>
          </w:rPr>
          <w:t>muscle strengthening</w:t>
        </w:r>
      </w:hyperlink>
      <w:r w:rsidRPr="00391380">
        <w:rPr>
          <w:color w:val="2E2E2E"/>
        </w:rPr>
        <w:t> program based on an illustrated manual for persons with MS developed by the National Multiple Sclerosis Society that involves major muscle groups of the upper and lower body. This stimulus is common in RCTs of exercise training in older adults [</w:t>
      </w:r>
      <w:hyperlink r:id="rId31" w:anchor="bb0020" w:history="1">
        <w:r w:rsidRPr="00391380">
          <w:rPr>
            <w:rStyle w:val="Hyperlink"/>
            <w:rFonts w:eastAsiaTheme="majorEastAsia"/>
            <w:color w:val="0C7DBB"/>
          </w:rPr>
          <w:t>4</w:t>
        </w:r>
      </w:hyperlink>
      <w:bookmarkEnd w:id="6"/>
      <w:r w:rsidRPr="00391380">
        <w:rPr>
          <w:color w:val="2E2E2E"/>
        </w:rPr>
        <w:t>] and serves as an attention-control condition to account for </w:t>
      </w:r>
      <w:hyperlink r:id="rId32" w:tooltip="Learn more about Social Interaction from ScienceDirect's AI-generated Topic Pages" w:history="1">
        <w:r w:rsidRPr="00391380">
          <w:rPr>
            <w:rStyle w:val="Hyperlink"/>
            <w:rFonts w:eastAsiaTheme="majorEastAsia"/>
            <w:color w:val="0C7DBB"/>
          </w:rPr>
          <w:t>social interaction</w:t>
        </w:r>
      </w:hyperlink>
      <w:r w:rsidRPr="00391380">
        <w:rPr>
          <w:color w:val="2E2E2E"/>
        </w:rPr>
        <w:t> with the exercise trainers. Participants received graphical instructions on the designated </w:t>
      </w:r>
      <w:hyperlink r:id="rId33" w:tooltip="Learn more about Stretching Exercise from ScienceDirect's AI-generated Topic Pages" w:history="1">
        <w:r w:rsidRPr="00391380">
          <w:rPr>
            <w:rStyle w:val="Hyperlink"/>
            <w:rFonts w:eastAsiaTheme="majorEastAsia"/>
            <w:color w:val="0C7DBB"/>
          </w:rPr>
          <w:t>stretching exercises</w:t>
        </w:r>
      </w:hyperlink>
      <w:r w:rsidRPr="00391380">
        <w:rPr>
          <w:color w:val="2E2E2E"/>
        </w:rPr>
        <w:t> and the intervention progressed with the inclusion of more exercises and sets over the course of the program (i.e., 12-week period). Participants in the control group were involved in the same hybrid of biweekly, in-person supervised instruction as the intervention group, followed by ongoing home-based practice (i.e., 2–5 days/week) with weekly Skype™ monitoring. Compliance for the control group was monitored through the weekly Skype™ calls and through the five scales (i.e., level of perceived exertion, feeling, enjoyment, and physical and mental fatigue) that were completed at the end of each home-based session.</w:t>
      </w:r>
    </w:p>
    <w:p w14:paraId="758745D8" w14:textId="77777777" w:rsidR="007B26FC" w:rsidRDefault="007B26FC" w:rsidP="00391380">
      <w:pPr>
        <w:pStyle w:val="Heading2"/>
        <w:rPr>
          <w:sz w:val="27"/>
          <w:szCs w:val="27"/>
        </w:rPr>
      </w:pPr>
      <w:r>
        <w:t>2.4. Feasibility metrics</w:t>
      </w:r>
    </w:p>
    <w:p w14:paraId="618F5512" w14:textId="77777777" w:rsidR="007B26FC" w:rsidRPr="00391380" w:rsidRDefault="007B26FC" w:rsidP="00391380">
      <w:r w:rsidRPr="00391380">
        <w:t>This study assessed outcomes based on process, resource, management and scientific metrics of feasibility. All feasibility metrics components assessed in this study are summarized in </w:t>
      </w:r>
      <w:bookmarkStart w:id="28" w:name="bt0010"/>
      <w:r w:rsidRPr="00391380">
        <w:fldChar w:fldCharType="begin"/>
      </w:r>
      <w:r w:rsidRPr="00391380">
        <w:instrText xml:space="preserve"> HYPERLINK "https://0-www-sciencedirect-com.libus.csd.mu.edu/science/article/pii/S1551714418303616" \l "t0010" </w:instrText>
      </w:r>
      <w:r w:rsidRPr="00391380">
        <w:fldChar w:fldCharType="separate"/>
      </w:r>
      <w:r w:rsidRPr="00391380">
        <w:rPr>
          <w:rStyle w:val="Hyperlink"/>
          <w:rFonts w:eastAsiaTheme="majorEastAsia"/>
          <w:color w:val="0C7DBB"/>
        </w:rPr>
        <w:t>Table 2</w:t>
      </w:r>
      <w:r w:rsidRPr="00391380">
        <w:fldChar w:fldCharType="end"/>
      </w:r>
      <w:bookmarkEnd w:id="28"/>
      <w:r w:rsidRPr="00391380">
        <w:t> along with the methods for collecting and assessing relevant data.</w:t>
      </w:r>
    </w:p>
    <w:p w14:paraId="52BF7911" w14:textId="77777777" w:rsidR="007B26FC" w:rsidRDefault="007B26FC" w:rsidP="00391380">
      <w:pPr>
        <w:pStyle w:val="NoSpacing"/>
      </w:pPr>
      <w:r>
        <w:rPr>
          <w:rStyle w:val="label"/>
          <w:color w:val="323232"/>
          <w:sz w:val="21"/>
          <w:szCs w:val="21"/>
        </w:rPr>
        <w:t>Table 2</w:t>
      </w:r>
      <w:r>
        <w:t>. Feasibility metrics; proposed methodology and importance to future research in MS.</w:t>
      </w:r>
    </w:p>
    <w:tbl>
      <w:tblPr>
        <w:tblStyle w:val="TableGrid"/>
        <w:tblW w:w="5000" w:type="pct"/>
        <w:tblLook w:val="04A0" w:firstRow="1" w:lastRow="0" w:firstColumn="1" w:lastColumn="0" w:noHBand="0" w:noVBand="1"/>
      </w:tblPr>
      <w:tblGrid>
        <w:gridCol w:w="2135"/>
        <w:gridCol w:w="2246"/>
        <w:gridCol w:w="2604"/>
        <w:gridCol w:w="3085"/>
      </w:tblGrid>
      <w:tr w:rsidR="007B26FC" w14:paraId="24263936" w14:textId="77777777" w:rsidTr="00391380">
        <w:tc>
          <w:tcPr>
            <w:tcW w:w="1060" w:type="pct"/>
            <w:hideMark/>
          </w:tcPr>
          <w:p w14:paraId="16945FBD" w14:textId="77777777" w:rsidR="007B26FC" w:rsidRDefault="007B26FC" w:rsidP="00391380">
            <w:pPr>
              <w:pStyle w:val="NoSpacing"/>
            </w:pPr>
            <w:r>
              <w:t>Metric</w:t>
            </w:r>
          </w:p>
        </w:tc>
        <w:tc>
          <w:tcPr>
            <w:tcW w:w="1115" w:type="pct"/>
            <w:hideMark/>
          </w:tcPr>
          <w:p w14:paraId="552991FA" w14:textId="77777777" w:rsidR="007B26FC" w:rsidRDefault="007B26FC" w:rsidP="00391380">
            <w:pPr>
              <w:pStyle w:val="NoSpacing"/>
            </w:pPr>
            <w:r>
              <w:t>SSEMS monitored and assessed</w:t>
            </w:r>
          </w:p>
        </w:tc>
        <w:tc>
          <w:tcPr>
            <w:tcW w:w="1293" w:type="pct"/>
            <w:hideMark/>
          </w:tcPr>
          <w:p w14:paraId="36D20621" w14:textId="77777777" w:rsidR="007B26FC" w:rsidRDefault="007B26FC" w:rsidP="00391380">
            <w:pPr>
              <w:pStyle w:val="NoSpacing"/>
            </w:pPr>
            <w:r>
              <w:t>Data source</w:t>
            </w:r>
          </w:p>
        </w:tc>
        <w:tc>
          <w:tcPr>
            <w:tcW w:w="1533" w:type="pct"/>
            <w:hideMark/>
          </w:tcPr>
          <w:p w14:paraId="3241DF74" w14:textId="77777777" w:rsidR="007B26FC" w:rsidRDefault="007B26FC" w:rsidP="00391380">
            <w:pPr>
              <w:pStyle w:val="NoSpacing"/>
            </w:pPr>
            <w:r>
              <w:t>Outcome variable computational method</w:t>
            </w:r>
          </w:p>
        </w:tc>
      </w:tr>
      <w:tr w:rsidR="007B26FC" w14:paraId="5ECA1FD4" w14:textId="77777777" w:rsidTr="00391380">
        <w:tc>
          <w:tcPr>
            <w:tcW w:w="1060" w:type="pct"/>
            <w:hideMark/>
          </w:tcPr>
          <w:p w14:paraId="696D9ED0" w14:textId="77777777" w:rsidR="007B26FC" w:rsidRDefault="007B26FC" w:rsidP="00391380">
            <w:pPr>
              <w:pStyle w:val="NoSpacing"/>
            </w:pPr>
            <w:r>
              <w:t>Process; assesses participant recruitment and retention</w:t>
            </w:r>
          </w:p>
        </w:tc>
        <w:tc>
          <w:tcPr>
            <w:tcW w:w="1115" w:type="pct"/>
            <w:hideMark/>
          </w:tcPr>
          <w:p w14:paraId="2D72755E" w14:textId="77777777" w:rsidR="007B26FC" w:rsidRDefault="007B26FC" w:rsidP="00391380">
            <w:pPr>
              <w:pStyle w:val="NoSpacing"/>
            </w:pPr>
            <w:r>
              <w:t>a.</w:t>
            </w:r>
          </w:p>
          <w:p w14:paraId="1B0D6EE4" w14:textId="77777777" w:rsidR="007B26FC" w:rsidRDefault="007B26FC" w:rsidP="00391380">
            <w:pPr>
              <w:pStyle w:val="NoSpacing"/>
            </w:pPr>
            <w:r>
              <w:t>Recruitment and refusal rates</w:t>
            </w:r>
          </w:p>
          <w:p w14:paraId="6D63EF33" w14:textId="77777777" w:rsidR="007B26FC" w:rsidRDefault="007B26FC" w:rsidP="00391380">
            <w:pPr>
              <w:pStyle w:val="NoSpacing"/>
            </w:pPr>
            <w:r>
              <w:t>b.</w:t>
            </w:r>
          </w:p>
          <w:p w14:paraId="2DDC7795" w14:textId="77777777" w:rsidR="007B26FC" w:rsidRDefault="007B26FC" w:rsidP="00391380">
            <w:pPr>
              <w:pStyle w:val="NoSpacing"/>
            </w:pPr>
            <w:r>
              <w:t>Retention, attrition and adherence rates</w:t>
            </w:r>
          </w:p>
        </w:tc>
        <w:tc>
          <w:tcPr>
            <w:tcW w:w="1293" w:type="pct"/>
            <w:hideMark/>
          </w:tcPr>
          <w:p w14:paraId="7DE452F0" w14:textId="77777777" w:rsidR="007B26FC" w:rsidRDefault="007B26FC" w:rsidP="00391380">
            <w:pPr>
              <w:pStyle w:val="NoSpacing"/>
            </w:pPr>
            <w:r>
              <w:t>a.</w:t>
            </w:r>
          </w:p>
          <w:p w14:paraId="3B4EA9CA" w14:textId="77777777" w:rsidR="007B26FC" w:rsidRDefault="007B26FC" w:rsidP="00391380">
            <w:pPr>
              <w:pStyle w:val="NoSpacing"/>
            </w:pPr>
            <w:r>
              <w:t>Central database recording number of participants recruited via each recruitment method (i.e., telephone, email, participation in MS-related events and newspaper); number of excluded participants and reason</w:t>
            </w:r>
          </w:p>
          <w:p w14:paraId="53D473BD" w14:textId="77777777" w:rsidR="007B26FC" w:rsidRDefault="007B26FC" w:rsidP="00391380">
            <w:pPr>
              <w:pStyle w:val="NoSpacing"/>
            </w:pPr>
            <w:r>
              <w:t>b.</w:t>
            </w:r>
          </w:p>
          <w:p w14:paraId="1868ECD5" w14:textId="77777777" w:rsidR="007B26FC" w:rsidRDefault="007B26FC" w:rsidP="00391380">
            <w:pPr>
              <w:pStyle w:val="NoSpacing"/>
            </w:pPr>
            <w:r>
              <w:t>Central database recording adherence to study completion (i.e., logbook, weekly phone calls, and step count during SSE home sessions), participants completing the study (i.e., follow up); attrition and reason.</w:t>
            </w:r>
          </w:p>
        </w:tc>
        <w:tc>
          <w:tcPr>
            <w:tcW w:w="1533" w:type="pct"/>
            <w:hideMark/>
          </w:tcPr>
          <w:p w14:paraId="0C5272AF" w14:textId="77777777" w:rsidR="007B26FC" w:rsidRDefault="007B26FC" w:rsidP="00391380">
            <w:pPr>
              <w:pStyle w:val="NoSpacing"/>
            </w:pPr>
            <w:r>
              <w:t>a.</w:t>
            </w:r>
          </w:p>
          <w:p w14:paraId="52066C1B" w14:textId="77777777" w:rsidR="007B26FC" w:rsidRDefault="007B26FC" w:rsidP="00391380">
            <w:pPr>
              <w:pStyle w:val="NoSpacing"/>
            </w:pPr>
            <w:r>
              <w:t>Recruitment rate was calculated dividing total number of participants enrolled from each method adopted by total number of participants contacted</w:t>
            </w:r>
          </w:p>
          <w:p w14:paraId="5B6E1B0D" w14:textId="77777777" w:rsidR="007B26FC" w:rsidRDefault="007B26FC" w:rsidP="00391380">
            <w:pPr>
              <w:pStyle w:val="NoSpacing"/>
            </w:pPr>
            <w:r>
              <w:t>b.</w:t>
            </w:r>
          </w:p>
          <w:p w14:paraId="2A10BA5C" w14:textId="77777777" w:rsidR="007B26FC" w:rsidRDefault="007B26FC" w:rsidP="00391380">
            <w:pPr>
              <w:pStyle w:val="NoSpacing"/>
            </w:pPr>
            <w:r>
              <w:t>Retention rate was calculated as the number of participants who completed follow-up assessments from those who were randomized. Attrition rates was calculated as the number of participants who did not complete follow-up assessments. Adherence was calculated as the total number of consenting participants who received intervention allocation</w:t>
            </w:r>
          </w:p>
        </w:tc>
      </w:tr>
      <w:tr w:rsidR="007B26FC" w14:paraId="1F313508" w14:textId="77777777" w:rsidTr="00391380">
        <w:tc>
          <w:tcPr>
            <w:tcW w:w="1060" w:type="pct"/>
            <w:hideMark/>
          </w:tcPr>
          <w:p w14:paraId="0B340201" w14:textId="77777777" w:rsidR="007B26FC" w:rsidRDefault="007B26FC" w:rsidP="00391380">
            <w:pPr>
              <w:pStyle w:val="NoSpacing"/>
            </w:pPr>
            <w:r>
              <w:t>Resources; assesses communication and monetary requirements of the study</w:t>
            </w:r>
          </w:p>
        </w:tc>
        <w:tc>
          <w:tcPr>
            <w:tcW w:w="1115" w:type="pct"/>
            <w:hideMark/>
          </w:tcPr>
          <w:p w14:paraId="653D88BF" w14:textId="77777777" w:rsidR="007B26FC" w:rsidRDefault="007B26FC" w:rsidP="00391380">
            <w:pPr>
              <w:pStyle w:val="NoSpacing"/>
            </w:pPr>
            <w:r>
              <w:t>c.</w:t>
            </w:r>
          </w:p>
          <w:p w14:paraId="04B403EC" w14:textId="77777777" w:rsidR="007B26FC" w:rsidRDefault="007B26FC" w:rsidP="00391380">
            <w:pPr>
              <w:pStyle w:val="NoSpacing"/>
            </w:pPr>
            <w:r>
              <w:t>Communication with participants</w:t>
            </w:r>
          </w:p>
          <w:p w14:paraId="090723DE" w14:textId="77777777" w:rsidR="007B26FC" w:rsidRDefault="007B26FC" w:rsidP="00391380">
            <w:pPr>
              <w:pStyle w:val="NoSpacing"/>
            </w:pPr>
            <w:r>
              <w:t>d.</w:t>
            </w:r>
          </w:p>
          <w:p w14:paraId="71F7B8CA" w14:textId="77777777" w:rsidR="007B26FC" w:rsidRDefault="007B26FC" w:rsidP="00391380">
            <w:pPr>
              <w:pStyle w:val="NoSpacing"/>
            </w:pPr>
            <w:r>
              <w:t>Communication needs of participants and staff</w:t>
            </w:r>
          </w:p>
          <w:p w14:paraId="4778FF9D" w14:textId="77777777" w:rsidR="007B26FC" w:rsidRDefault="007B26FC" w:rsidP="00391380">
            <w:pPr>
              <w:pStyle w:val="NoSpacing"/>
            </w:pPr>
            <w:r>
              <w:t>e.</w:t>
            </w:r>
          </w:p>
          <w:p w14:paraId="07F308F9" w14:textId="77777777" w:rsidR="007B26FC" w:rsidRDefault="007B26FC" w:rsidP="00391380">
            <w:pPr>
              <w:pStyle w:val="NoSpacing"/>
            </w:pPr>
            <w:r>
              <w:t>Monetary costs of research</w:t>
            </w:r>
          </w:p>
        </w:tc>
        <w:tc>
          <w:tcPr>
            <w:tcW w:w="1293" w:type="pct"/>
            <w:hideMark/>
          </w:tcPr>
          <w:p w14:paraId="11ABF141" w14:textId="77777777" w:rsidR="007B26FC" w:rsidRDefault="007B26FC" w:rsidP="00391380">
            <w:pPr>
              <w:pStyle w:val="NoSpacing"/>
            </w:pPr>
            <w:r>
              <w:t>c.</w:t>
            </w:r>
          </w:p>
          <w:p w14:paraId="0C531851" w14:textId="77777777" w:rsidR="007B26FC" w:rsidRDefault="007B26FC" w:rsidP="00391380">
            <w:pPr>
              <w:pStyle w:val="NoSpacing"/>
            </w:pPr>
            <w:r>
              <w:t>Central database recording length of initial recruitment, weekly phone calls and meetings with exercise trainer.</w:t>
            </w:r>
          </w:p>
          <w:p w14:paraId="6AD89CC3" w14:textId="77777777" w:rsidR="007B26FC" w:rsidRDefault="007B26FC" w:rsidP="00391380">
            <w:pPr>
              <w:pStyle w:val="NoSpacing"/>
            </w:pPr>
            <w:r>
              <w:t>d.</w:t>
            </w:r>
          </w:p>
          <w:p w14:paraId="1302CDAB" w14:textId="77777777" w:rsidR="007B26FC" w:rsidRDefault="007B26FC" w:rsidP="00391380">
            <w:pPr>
              <w:pStyle w:val="NoSpacing"/>
            </w:pPr>
            <w:r>
              <w:t>Central database for intervention participants recording preferred communication method (i.e., Skype video calls, regular telephone calls) and call time</w:t>
            </w:r>
          </w:p>
          <w:p w14:paraId="6D98D117" w14:textId="77777777" w:rsidR="007B26FC" w:rsidRDefault="007B26FC" w:rsidP="00391380">
            <w:pPr>
              <w:pStyle w:val="NoSpacing"/>
            </w:pPr>
            <w:r>
              <w:t>e.</w:t>
            </w:r>
          </w:p>
          <w:p w14:paraId="1A9A537F" w14:textId="77777777" w:rsidR="007B26FC" w:rsidRDefault="007B26FC" w:rsidP="00391380">
            <w:pPr>
              <w:pStyle w:val="NoSpacing"/>
            </w:pPr>
            <w:r>
              <w:t>Expenditure spread sheet recording overall costs of intervention (i.e., SSE mats, instructional materials, pedometers, participant compensation)</w:t>
            </w:r>
          </w:p>
        </w:tc>
        <w:tc>
          <w:tcPr>
            <w:tcW w:w="1533" w:type="pct"/>
            <w:hideMark/>
          </w:tcPr>
          <w:p w14:paraId="2D81F798" w14:textId="77777777" w:rsidR="007B26FC" w:rsidRDefault="007B26FC" w:rsidP="00391380">
            <w:pPr>
              <w:pStyle w:val="NoSpacing"/>
            </w:pPr>
            <w:r>
              <w:t>c.</w:t>
            </w:r>
          </w:p>
          <w:p w14:paraId="6E044E7E" w14:textId="77777777" w:rsidR="007B26FC" w:rsidRDefault="007B26FC" w:rsidP="00391380">
            <w:pPr>
              <w:pStyle w:val="NoSpacing"/>
            </w:pPr>
            <w:r>
              <w:t>Recruitment time was calculated based on the mean time pend during phone calls/screening time for participation, time for medical release forms to be signed and returned by their physicians</w:t>
            </w:r>
          </w:p>
          <w:p w14:paraId="36443488" w14:textId="77777777" w:rsidR="007B26FC" w:rsidRDefault="007B26FC" w:rsidP="00391380">
            <w:pPr>
              <w:pStyle w:val="NoSpacing"/>
            </w:pPr>
            <w:r>
              <w:t>d.</w:t>
            </w:r>
          </w:p>
          <w:p w14:paraId="71A00983" w14:textId="77777777" w:rsidR="007B26FC" w:rsidRDefault="007B26FC" w:rsidP="00391380">
            <w:pPr>
              <w:pStyle w:val="NoSpacing"/>
            </w:pPr>
            <w:r>
              <w:t>Preferred time of communication method was calculated as the number of participants opting for skype video calls or regular telephone calls</w:t>
            </w:r>
          </w:p>
          <w:p w14:paraId="2399EB11" w14:textId="77777777" w:rsidR="007B26FC" w:rsidRDefault="007B26FC" w:rsidP="00391380">
            <w:pPr>
              <w:pStyle w:val="NoSpacing"/>
            </w:pPr>
            <w:r>
              <w:t>e.</w:t>
            </w:r>
          </w:p>
          <w:p w14:paraId="62DBA40B" w14:textId="77777777" w:rsidR="007B26FC" w:rsidRDefault="007B26FC" w:rsidP="00391380">
            <w:pPr>
              <w:pStyle w:val="NoSpacing"/>
            </w:pPr>
            <w:r>
              <w:t xml:space="preserve">The costs of the study were calculated as the total monetary cost in US dollars of producing materials (i.e., manual, paper-pencil tests materials, </w:t>
            </w:r>
            <w:proofErr w:type="gramStart"/>
            <w:r>
              <w:t>log-books</w:t>
            </w:r>
            <w:proofErr w:type="gramEnd"/>
            <w:r>
              <w:t>); SSE materials (i.e., mats, pedometers); and participant compensation</w:t>
            </w:r>
          </w:p>
        </w:tc>
      </w:tr>
      <w:tr w:rsidR="007B26FC" w14:paraId="76D85C5F" w14:textId="77777777" w:rsidTr="00391380">
        <w:tc>
          <w:tcPr>
            <w:tcW w:w="1060" w:type="pct"/>
            <w:hideMark/>
          </w:tcPr>
          <w:p w14:paraId="3DCC3120" w14:textId="77777777" w:rsidR="007B26FC" w:rsidRDefault="007B26FC" w:rsidP="00391380">
            <w:pPr>
              <w:pStyle w:val="NoSpacing"/>
            </w:pPr>
            <w:r>
              <w:t>Management; assesses data management and safety reporting during the study</w:t>
            </w:r>
          </w:p>
        </w:tc>
        <w:tc>
          <w:tcPr>
            <w:tcW w:w="1115" w:type="pct"/>
            <w:hideMark/>
          </w:tcPr>
          <w:p w14:paraId="5D855B76" w14:textId="77777777" w:rsidR="007B26FC" w:rsidRDefault="007B26FC" w:rsidP="00391380">
            <w:pPr>
              <w:pStyle w:val="NoSpacing"/>
            </w:pPr>
            <w:r>
              <w:t>f.</w:t>
            </w:r>
          </w:p>
          <w:p w14:paraId="6012989B" w14:textId="77777777" w:rsidR="007B26FC" w:rsidRDefault="007B26FC" w:rsidP="00391380">
            <w:pPr>
              <w:pStyle w:val="NoSpacing"/>
            </w:pPr>
            <w:r>
              <w:t>IRB approval procedures</w:t>
            </w:r>
          </w:p>
          <w:p w14:paraId="44754AE0" w14:textId="77777777" w:rsidR="007B26FC" w:rsidRDefault="007B26FC" w:rsidP="00391380">
            <w:pPr>
              <w:pStyle w:val="NoSpacing"/>
            </w:pPr>
            <w:r>
              <w:t>g.</w:t>
            </w:r>
          </w:p>
          <w:p w14:paraId="62C641AC" w14:textId="77777777" w:rsidR="007B26FC" w:rsidRDefault="007B26FC" w:rsidP="00391380">
            <w:pPr>
              <w:pStyle w:val="NoSpacing"/>
            </w:pPr>
            <w:r>
              <w:t>Staff preparation and report time for participant communication</w:t>
            </w:r>
          </w:p>
          <w:p w14:paraId="6AD25C91" w14:textId="77777777" w:rsidR="007B26FC" w:rsidRDefault="007B26FC" w:rsidP="00391380">
            <w:pPr>
              <w:pStyle w:val="NoSpacing"/>
            </w:pPr>
            <w:r>
              <w:t>h.</w:t>
            </w:r>
          </w:p>
          <w:p w14:paraId="233614E6" w14:textId="77777777" w:rsidR="007B26FC" w:rsidRDefault="007B26FC" w:rsidP="00391380">
            <w:pPr>
              <w:pStyle w:val="NoSpacing"/>
            </w:pPr>
            <w:r>
              <w:t>Time and accuracy in data collection/entry</w:t>
            </w:r>
          </w:p>
          <w:p w14:paraId="6CCC7685" w14:textId="77777777" w:rsidR="007B26FC" w:rsidRDefault="007B26FC" w:rsidP="00391380">
            <w:pPr>
              <w:pStyle w:val="NoSpacing"/>
            </w:pPr>
            <w:proofErr w:type="spellStart"/>
            <w:r>
              <w:t>i</w:t>
            </w:r>
            <w:proofErr w:type="spellEnd"/>
            <w:r>
              <w:t>.</w:t>
            </w:r>
          </w:p>
          <w:p w14:paraId="7AEBCAA4" w14:textId="77777777" w:rsidR="007B26FC" w:rsidRDefault="007B26FC" w:rsidP="00391380">
            <w:pPr>
              <w:pStyle w:val="NoSpacing"/>
            </w:pPr>
            <w:r>
              <w:t>Reporting and handling of adverse events (AE), serious adverse events (SAE) and clinical emergencies</w:t>
            </w:r>
          </w:p>
        </w:tc>
        <w:tc>
          <w:tcPr>
            <w:tcW w:w="1293" w:type="pct"/>
            <w:hideMark/>
          </w:tcPr>
          <w:p w14:paraId="42C9FF5F" w14:textId="77777777" w:rsidR="007B26FC" w:rsidRDefault="007B26FC" w:rsidP="00391380">
            <w:pPr>
              <w:pStyle w:val="NoSpacing"/>
            </w:pPr>
            <w:r>
              <w:t>f.</w:t>
            </w:r>
          </w:p>
          <w:p w14:paraId="5A56BAD9" w14:textId="77777777" w:rsidR="007B26FC" w:rsidRDefault="007B26FC" w:rsidP="00391380">
            <w:pPr>
              <w:pStyle w:val="NoSpacing"/>
            </w:pPr>
            <w:r>
              <w:t>Record of time (i.e., days) to achieve initial IRB approval</w:t>
            </w:r>
          </w:p>
          <w:p w14:paraId="4C4B00C8" w14:textId="77777777" w:rsidR="007B26FC" w:rsidRDefault="007B26FC" w:rsidP="00391380">
            <w:pPr>
              <w:pStyle w:val="NoSpacing"/>
            </w:pPr>
            <w:r>
              <w:t>g.</w:t>
            </w:r>
          </w:p>
          <w:p w14:paraId="7469CC59" w14:textId="77777777" w:rsidR="007B26FC" w:rsidRDefault="007B26FC" w:rsidP="00391380">
            <w:pPr>
              <w:pStyle w:val="NoSpacing"/>
            </w:pPr>
            <w:r>
              <w:t>Preparation spread sheet recording recruitment database preparation time (min), material preparation time (min) recruitment and database preparation; staff meetings (min)</w:t>
            </w:r>
          </w:p>
          <w:p w14:paraId="19D16E6A" w14:textId="77777777" w:rsidR="007B26FC" w:rsidRDefault="007B26FC" w:rsidP="00391380">
            <w:pPr>
              <w:pStyle w:val="NoSpacing"/>
            </w:pPr>
            <w:r>
              <w:t>h.</w:t>
            </w:r>
          </w:p>
          <w:p w14:paraId="1285AA8F" w14:textId="77777777" w:rsidR="007B26FC" w:rsidRDefault="007B26FC" w:rsidP="00391380">
            <w:pPr>
              <w:pStyle w:val="NoSpacing"/>
            </w:pPr>
            <w:r>
              <w:t>Preparation spread sheet recording assessment time (min) and time to data enter and check (min)</w:t>
            </w:r>
          </w:p>
          <w:p w14:paraId="2CECDF75" w14:textId="77777777" w:rsidR="007B26FC" w:rsidRDefault="007B26FC" w:rsidP="00391380">
            <w:pPr>
              <w:pStyle w:val="NoSpacing"/>
            </w:pPr>
            <w:proofErr w:type="spellStart"/>
            <w:r>
              <w:t>i</w:t>
            </w:r>
            <w:proofErr w:type="spellEnd"/>
            <w:r>
              <w:t>.</w:t>
            </w:r>
          </w:p>
          <w:p w14:paraId="16454520" w14:textId="77777777" w:rsidR="007B26FC" w:rsidRDefault="007B26FC" w:rsidP="00391380">
            <w:pPr>
              <w:pStyle w:val="NoSpacing"/>
            </w:pPr>
            <w:r>
              <w:t>Preparation spread sheet recording adverse events (AE), serious adverse events (SAE) and clinical emergencies as wells actions taken</w:t>
            </w:r>
          </w:p>
        </w:tc>
        <w:tc>
          <w:tcPr>
            <w:tcW w:w="1533" w:type="pct"/>
            <w:hideMark/>
          </w:tcPr>
          <w:p w14:paraId="7A79AA3F" w14:textId="77777777" w:rsidR="007B26FC" w:rsidRDefault="007B26FC" w:rsidP="00391380">
            <w:pPr>
              <w:pStyle w:val="NoSpacing"/>
            </w:pPr>
            <w:r>
              <w:t>f.</w:t>
            </w:r>
          </w:p>
          <w:p w14:paraId="288539FC" w14:textId="77777777" w:rsidR="007B26FC" w:rsidRDefault="007B26FC" w:rsidP="00391380">
            <w:pPr>
              <w:pStyle w:val="NoSpacing"/>
            </w:pPr>
            <w:r>
              <w:t>IRB approval time was calculated as the amount of days taken from submission to approval notification</w:t>
            </w:r>
          </w:p>
          <w:p w14:paraId="1A0E3F35" w14:textId="77777777" w:rsidR="007B26FC" w:rsidRDefault="007B26FC" w:rsidP="00391380">
            <w:pPr>
              <w:pStyle w:val="NoSpacing"/>
            </w:pPr>
            <w:r>
              <w:t>g.</w:t>
            </w:r>
          </w:p>
          <w:p w14:paraId="2F9B92BF" w14:textId="77777777" w:rsidR="007B26FC" w:rsidRDefault="007B26FC" w:rsidP="00391380">
            <w:pPr>
              <w:pStyle w:val="NoSpacing"/>
            </w:pPr>
            <w:r>
              <w:t>Staff preparation and reporting time were calculated as the time with staff meetings, create recruitment database, recruit participants, conversation with participant over the phone (i.e., study explanation, answering questions), preparation of participants' materials; and entering and checking study's data</w:t>
            </w:r>
          </w:p>
          <w:p w14:paraId="7E596F97" w14:textId="77777777" w:rsidR="007B26FC" w:rsidRDefault="007B26FC" w:rsidP="00391380">
            <w:pPr>
              <w:pStyle w:val="NoSpacing"/>
            </w:pPr>
            <w:r>
              <w:t>h.</w:t>
            </w:r>
          </w:p>
          <w:p w14:paraId="481AFBA0" w14:textId="77777777" w:rsidR="007B26FC" w:rsidRDefault="007B26FC" w:rsidP="00391380">
            <w:pPr>
              <w:pStyle w:val="NoSpacing"/>
            </w:pPr>
            <w:r>
              <w:t>This was calculated based on the time taken for each participant assessment and information to be entered and checked in the database</w:t>
            </w:r>
          </w:p>
          <w:p w14:paraId="4E34080F" w14:textId="77777777" w:rsidR="007B26FC" w:rsidRDefault="007B26FC" w:rsidP="00391380">
            <w:pPr>
              <w:pStyle w:val="NoSpacing"/>
            </w:pPr>
            <w:proofErr w:type="spellStart"/>
            <w:r>
              <w:t>i</w:t>
            </w:r>
            <w:proofErr w:type="spellEnd"/>
            <w:r>
              <w:t>.</w:t>
            </w:r>
          </w:p>
          <w:p w14:paraId="3D26069C" w14:textId="77777777" w:rsidR="007B26FC" w:rsidRDefault="007B26FC" w:rsidP="00391380">
            <w:pPr>
              <w:pStyle w:val="NoSpacing"/>
            </w:pPr>
            <w:r>
              <w:t>Health problems reported by the participants over the course of the study period was computed. This included: MS symptoms exacerbation (e.g., increased fatigue, pain), MS relapse (e.g., acute worsening of neurological symptoms), injury (</w:t>
            </w:r>
            <w:proofErr w:type="spellStart"/>
            <w:r>
              <w:t>e.g</w:t>
            </w:r>
            <w:proofErr w:type="spellEnd"/>
            <w:r>
              <w:t>, sprains, fracture), and illness (e.g., infections)</w:t>
            </w:r>
          </w:p>
        </w:tc>
      </w:tr>
      <w:tr w:rsidR="007B26FC" w14:paraId="2F798CF7" w14:textId="77777777" w:rsidTr="00391380">
        <w:tc>
          <w:tcPr>
            <w:tcW w:w="1060" w:type="pct"/>
            <w:hideMark/>
          </w:tcPr>
          <w:p w14:paraId="655C9036" w14:textId="77777777" w:rsidR="007B26FC" w:rsidRDefault="007B26FC" w:rsidP="00391380">
            <w:pPr>
              <w:pStyle w:val="NoSpacing"/>
            </w:pPr>
            <w:r>
              <w:t>Scientific; assesses the safety, burden and treatment effect of the study</w:t>
            </w:r>
          </w:p>
        </w:tc>
        <w:tc>
          <w:tcPr>
            <w:tcW w:w="1115" w:type="pct"/>
            <w:hideMark/>
          </w:tcPr>
          <w:p w14:paraId="2B155072" w14:textId="77777777" w:rsidR="007B26FC" w:rsidRDefault="007B26FC" w:rsidP="00391380">
            <w:pPr>
              <w:pStyle w:val="NoSpacing"/>
            </w:pPr>
            <w:r>
              <w:t>j.</w:t>
            </w:r>
          </w:p>
          <w:p w14:paraId="6BBBDD4F" w14:textId="77777777" w:rsidR="007B26FC" w:rsidRDefault="007B26FC" w:rsidP="00391380">
            <w:pPr>
              <w:pStyle w:val="NoSpacing"/>
            </w:pPr>
            <w:r>
              <w:t>AEs, SAEs and clinical emergencies</w:t>
            </w:r>
          </w:p>
          <w:p w14:paraId="21260CDF" w14:textId="77777777" w:rsidR="007B26FC" w:rsidRDefault="007B26FC" w:rsidP="00391380">
            <w:pPr>
              <w:pStyle w:val="NoSpacing"/>
            </w:pPr>
            <w:r>
              <w:t>k.</w:t>
            </w:r>
          </w:p>
          <w:p w14:paraId="4BC89383" w14:textId="77777777" w:rsidR="007B26FC" w:rsidRDefault="007B26FC" w:rsidP="00391380">
            <w:pPr>
              <w:pStyle w:val="NoSpacing"/>
            </w:pPr>
            <w:r>
              <w:t>Participants experience, burden, and compliance during the intervention</w:t>
            </w:r>
          </w:p>
          <w:p w14:paraId="68CFF3E3" w14:textId="77777777" w:rsidR="007B26FC" w:rsidRDefault="007B26FC" w:rsidP="00391380">
            <w:pPr>
              <w:pStyle w:val="NoSpacing"/>
            </w:pPr>
            <w:r>
              <w:t>l.</w:t>
            </w:r>
          </w:p>
          <w:p w14:paraId="0CCC2981" w14:textId="77777777" w:rsidR="007B26FC" w:rsidRDefault="007B26FC" w:rsidP="00391380">
            <w:pPr>
              <w:pStyle w:val="NoSpacing"/>
            </w:pPr>
            <w:r>
              <w:t>Treatment effect</w:t>
            </w:r>
          </w:p>
        </w:tc>
        <w:tc>
          <w:tcPr>
            <w:tcW w:w="1293" w:type="pct"/>
            <w:hideMark/>
          </w:tcPr>
          <w:p w14:paraId="0F60EBC5" w14:textId="77777777" w:rsidR="007B26FC" w:rsidRDefault="007B26FC" w:rsidP="00391380">
            <w:pPr>
              <w:pStyle w:val="NoSpacing"/>
            </w:pPr>
            <w:r>
              <w:t>j.</w:t>
            </w:r>
          </w:p>
          <w:p w14:paraId="144196FF" w14:textId="77777777" w:rsidR="007B26FC" w:rsidRDefault="007B26FC" w:rsidP="00391380">
            <w:pPr>
              <w:pStyle w:val="NoSpacing"/>
            </w:pPr>
            <w:r>
              <w:t>Database recording reported adverse health problems, relapses and AEs occurring during the study period</w:t>
            </w:r>
          </w:p>
          <w:p w14:paraId="334A717B" w14:textId="77777777" w:rsidR="007B26FC" w:rsidRDefault="007B26FC" w:rsidP="00391380">
            <w:pPr>
              <w:pStyle w:val="NoSpacing"/>
            </w:pPr>
            <w:r>
              <w:t>k.</w:t>
            </w:r>
          </w:p>
          <w:p w14:paraId="49F0420A" w14:textId="77777777" w:rsidR="007B26FC" w:rsidRDefault="007B26FC" w:rsidP="00391380">
            <w:pPr>
              <w:pStyle w:val="NoSpacing"/>
            </w:pPr>
            <w:r>
              <w:t>Database recording exercise participation and burden reported by participants during the intervention (i.e., scales measuring level of mental and physical fatigue, level of enjoyment, feelings and perceived exertion)</w:t>
            </w:r>
          </w:p>
          <w:p w14:paraId="212268FA" w14:textId="77777777" w:rsidR="007B26FC" w:rsidRDefault="007B26FC" w:rsidP="00391380">
            <w:pPr>
              <w:pStyle w:val="NoSpacing"/>
            </w:pPr>
            <w:r>
              <w:t>l.</w:t>
            </w:r>
          </w:p>
          <w:p w14:paraId="40221583" w14:textId="77777777" w:rsidR="007B26FC" w:rsidRDefault="007B26FC" w:rsidP="00391380">
            <w:pPr>
              <w:pStyle w:val="NoSpacing"/>
            </w:pPr>
            <w:r>
              <w:t>Mobility outcomes (i.e., T25FW, TUG, 6 MW); Functional Fitness outcome (i.e., SPPB); cognitive outcomes (i.e., SDMT, CVLT, BVMT)</w:t>
            </w:r>
          </w:p>
        </w:tc>
        <w:tc>
          <w:tcPr>
            <w:tcW w:w="1533" w:type="pct"/>
            <w:hideMark/>
          </w:tcPr>
          <w:p w14:paraId="76A0227F" w14:textId="77777777" w:rsidR="007B26FC" w:rsidRDefault="007B26FC" w:rsidP="00391380">
            <w:pPr>
              <w:pStyle w:val="NoSpacing"/>
            </w:pPr>
            <w:r>
              <w:t>j.</w:t>
            </w:r>
          </w:p>
          <w:p w14:paraId="78584F27" w14:textId="77777777" w:rsidR="007B26FC" w:rsidRDefault="007B26FC" w:rsidP="00391380">
            <w:pPr>
              <w:pStyle w:val="NoSpacing"/>
            </w:pPr>
            <w:r>
              <w:t xml:space="preserve">same as item </w:t>
            </w:r>
            <w:proofErr w:type="spellStart"/>
            <w:r>
              <w:t>i</w:t>
            </w:r>
            <w:proofErr w:type="spellEnd"/>
          </w:p>
          <w:p w14:paraId="6EE19675" w14:textId="77777777" w:rsidR="007B26FC" w:rsidRDefault="007B26FC" w:rsidP="00391380">
            <w:pPr>
              <w:pStyle w:val="NoSpacing"/>
            </w:pPr>
            <w:r>
              <w:t>k.</w:t>
            </w:r>
          </w:p>
          <w:p w14:paraId="5F55FA1E" w14:textId="77777777" w:rsidR="007B26FC" w:rsidRDefault="007B26FC" w:rsidP="00391380">
            <w:pPr>
              <w:pStyle w:val="NoSpacing"/>
            </w:pPr>
            <w:r>
              <w:t>This study adopted scales for physical and mental fatigue, enjoyment, feelings and program intensity</w:t>
            </w:r>
          </w:p>
          <w:p w14:paraId="0069353B" w14:textId="77777777" w:rsidR="007B26FC" w:rsidRDefault="007B26FC" w:rsidP="00391380">
            <w:pPr>
              <w:pStyle w:val="NoSpacing"/>
            </w:pPr>
            <w:r>
              <w:t>l.</w:t>
            </w:r>
          </w:p>
          <w:p w14:paraId="5F2BD43A" w14:textId="77777777" w:rsidR="007B26FC" w:rsidRDefault="007B26FC" w:rsidP="00391380">
            <w:pPr>
              <w:pStyle w:val="NoSpacing"/>
            </w:pPr>
            <w:r>
              <w:t>Outcomes were collected using valid, reliable and recommended test to be adopted in exercise trials involving persons with MS</w:t>
            </w:r>
          </w:p>
        </w:tc>
      </w:tr>
    </w:tbl>
    <w:p w14:paraId="3FDDF111" w14:textId="77777777" w:rsidR="00E33C63" w:rsidRDefault="00E33C63" w:rsidP="00E33C63">
      <w:pPr>
        <w:pStyle w:val="Heading3"/>
      </w:pPr>
    </w:p>
    <w:p w14:paraId="6521A410" w14:textId="577BB50F" w:rsidR="007B26FC" w:rsidRDefault="007B26FC" w:rsidP="00E33C63">
      <w:pPr>
        <w:pStyle w:val="Heading3"/>
      </w:pPr>
      <w:r>
        <w:t>2.4.1. Physical and cognitive outcome measures</w:t>
      </w:r>
    </w:p>
    <w:p w14:paraId="569FECD4" w14:textId="77777777" w:rsidR="007B26FC" w:rsidRPr="00E33C63" w:rsidRDefault="007B26FC" w:rsidP="00E33C63">
      <w:r w:rsidRPr="00E33C63">
        <w:t>We included measures of walking mobility, cognition, and physical function for capturing possible beneficial effects of the SSE protocol. The Timed 25-foot Walking (T25FW) [</w:t>
      </w:r>
      <w:bookmarkStart w:id="29" w:name="bbb0120"/>
      <w:r w:rsidRPr="00E33C63">
        <w:fldChar w:fldCharType="begin"/>
      </w:r>
      <w:r w:rsidRPr="00E33C63">
        <w:instrText xml:space="preserve"> HYPERLINK "https://0-www-sciencedirect-com.libus.csd.mu.edu/science/article/pii/S1551714418303616" \l "bb0120" </w:instrText>
      </w:r>
      <w:r w:rsidRPr="00E33C63">
        <w:fldChar w:fldCharType="separate"/>
      </w:r>
      <w:r w:rsidRPr="00E33C63">
        <w:rPr>
          <w:rStyle w:val="Hyperlink"/>
          <w:rFonts w:eastAsiaTheme="majorEastAsia"/>
          <w:color w:val="0C7DBB"/>
        </w:rPr>
        <w:t>24</w:t>
      </w:r>
      <w:r w:rsidRPr="00E33C63">
        <w:fldChar w:fldCharType="end"/>
      </w:r>
      <w:bookmarkEnd w:id="29"/>
      <w:r w:rsidRPr="00E33C63">
        <w:t>,</w:t>
      </w:r>
      <w:bookmarkStart w:id="30" w:name="bbb0125"/>
      <w:r w:rsidRPr="00E33C63">
        <w:fldChar w:fldCharType="begin"/>
      </w:r>
      <w:r w:rsidRPr="00E33C63">
        <w:instrText xml:space="preserve"> HYPERLINK "https://0-www-sciencedirect-com.libus.csd.mu.edu/science/article/pii/S1551714418303616" \l "bb0125" </w:instrText>
      </w:r>
      <w:r w:rsidRPr="00E33C63">
        <w:fldChar w:fldCharType="separate"/>
      </w:r>
      <w:r w:rsidRPr="00E33C63">
        <w:rPr>
          <w:rStyle w:val="Hyperlink"/>
          <w:rFonts w:eastAsiaTheme="majorEastAsia"/>
          <w:color w:val="0C7DBB"/>
        </w:rPr>
        <w:t>25</w:t>
      </w:r>
      <w:r w:rsidRPr="00E33C63">
        <w:fldChar w:fldCharType="end"/>
      </w:r>
      <w:bookmarkEnd w:id="30"/>
      <w:r w:rsidRPr="00E33C63">
        <w:t>], Six-minute Walk (6 MW) [</w:t>
      </w:r>
      <w:bookmarkStart w:id="31" w:name="bbb0130"/>
      <w:r w:rsidRPr="00E33C63">
        <w:fldChar w:fldCharType="begin"/>
      </w:r>
      <w:r w:rsidRPr="00E33C63">
        <w:instrText xml:space="preserve"> HYPERLINK "https://0-www-sciencedirect-com.libus.csd.mu.edu/science/article/pii/S1551714418303616" \l "bb0130" </w:instrText>
      </w:r>
      <w:r w:rsidRPr="00E33C63">
        <w:fldChar w:fldCharType="separate"/>
      </w:r>
      <w:r w:rsidRPr="00E33C63">
        <w:rPr>
          <w:rStyle w:val="Hyperlink"/>
          <w:rFonts w:eastAsiaTheme="majorEastAsia"/>
          <w:color w:val="0C7DBB"/>
        </w:rPr>
        <w:t>26</w:t>
      </w:r>
      <w:r w:rsidRPr="00E33C63">
        <w:fldChar w:fldCharType="end"/>
      </w:r>
      <w:bookmarkEnd w:id="31"/>
      <w:r w:rsidRPr="00E33C63">
        <w:t>,</w:t>
      </w:r>
      <w:bookmarkStart w:id="32" w:name="bbb0135"/>
      <w:r w:rsidRPr="00E33C63">
        <w:fldChar w:fldCharType="begin"/>
      </w:r>
      <w:r w:rsidRPr="00E33C63">
        <w:instrText xml:space="preserve"> HYPERLINK "https://0-www-sciencedirect-com.libus.csd.mu.edu/science/article/pii/S1551714418303616" \l "bb0135" </w:instrText>
      </w:r>
      <w:r w:rsidRPr="00E33C63">
        <w:fldChar w:fldCharType="separate"/>
      </w:r>
      <w:r w:rsidRPr="00E33C63">
        <w:rPr>
          <w:rStyle w:val="Hyperlink"/>
          <w:rFonts w:eastAsiaTheme="majorEastAsia"/>
          <w:color w:val="0C7DBB"/>
        </w:rPr>
        <w:t>27</w:t>
      </w:r>
      <w:r w:rsidRPr="00E33C63">
        <w:fldChar w:fldCharType="end"/>
      </w:r>
      <w:bookmarkEnd w:id="32"/>
      <w:r w:rsidRPr="00E33C63">
        <w:t>] and Timed Up and Go (TUG) [</w:t>
      </w:r>
      <w:bookmarkStart w:id="33" w:name="bbb0140"/>
      <w:r w:rsidRPr="00E33C63">
        <w:fldChar w:fldCharType="begin"/>
      </w:r>
      <w:r w:rsidRPr="00E33C63">
        <w:instrText xml:space="preserve"> HYPERLINK "https://0-www-sciencedirect-com.libus.csd.mu.edu/science/article/pii/S1551714418303616" \l "bb0140" </w:instrText>
      </w:r>
      <w:r w:rsidRPr="00E33C63">
        <w:fldChar w:fldCharType="separate"/>
      </w:r>
      <w:r w:rsidRPr="00E33C63">
        <w:rPr>
          <w:rStyle w:val="Hyperlink"/>
          <w:rFonts w:eastAsiaTheme="majorEastAsia"/>
          <w:color w:val="0C7DBB"/>
        </w:rPr>
        <w:t>[28]</w:t>
      </w:r>
      <w:r w:rsidRPr="00E33C63">
        <w:fldChar w:fldCharType="end"/>
      </w:r>
      <w:bookmarkEnd w:id="33"/>
      <w:r w:rsidRPr="00E33C63">
        <w:t>, </w:t>
      </w:r>
      <w:bookmarkStart w:id="34" w:name="bbb0145"/>
      <w:r w:rsidRPr="00E33C63">
        <w:fldChar w:fldCharType="begin"/>
      </w:r>
      <w:r w:rsidRPr="00E33C63">
        <w:instrText xml:space="preserve"> HYPERLINK "https://0-www-sciencedirect-com.libus.csd.mu.edu/science/article/pii/S1551714418303616" \l "bb0145" </w:instrText>
      </w:r>
      <w:r w:rsidRPr="00E33C63">
        <w:fldChar w:fldCharType="separate"/>
      </w:r>
      <w:r w:rsidRPr="00E33C63">
        <w:rPr>
          <w:rStyle w:val="Hyperlink"/>
          <w:rFonts w:eastAsiaTheme="majorEastAsia"/>
          <w:color w:val="0C7DBB"/>
        </w:rPr>
        <w:t>[29]</w:t>
      </w:r>
      <w:r w:rsidRPr="00E33C63">
        <w:fldChar w:fldCharType="end"/>
      </w:r>
      <w:bookmarkEnd w:id="34"/>
      <w:r w:rsidRPr="00E33C63">
        <w:t>, </w:t>
      </w:r>
      <w:bookmarkStart w:id="35" w:name="bbb0150"/>
      <w:r w:rsidRPr="00E33C63">
        <w:fldChar w:fldCharType="begin"/>
      </w:r>
      <w:r w:rsidRPr="00E33C63">
        <w:instrText xml:space="preserve"> HYPERLINK "https://0-www-sciencedirect-com.libus.csd.mu.edu/science/article/pii/S1551714418303616" \l "bb0150" </w:instrText>
      </w:r>
      <w:r w:rsidRPr="00E33C63">
        <w:fldChar w:fldCharType="separate"/>
      </w:r>
      <w:r w:rsidRPr="00E33C63">
        <w:rPr>
          <w:rStyle w:val="Hyperlink"/>
          <w:rFonts w:eastAsiaTheme="majorEastAsia"/>
          <w:color w:val="0C7DBB"/>
        </w:rPr>
        <w:t>[30]</w:t>
      </w:r>
      <w:r w:rsidRPr="00E33C63">
        <w:fldChar w:fldCharType="end"/>
      </w:r>
      <w:bookmarkEnd w:id="35"/>
      <w:r w:rsidRPr="00E33C63">
        <w:t>] represented standard performance measures of walking mobility. The Brief International Cognitive Assessment for MS, including the oral version of the </w:t>
      </w:r>
      <w:hyperlink r:id="rId34" w:tooltip="Learn more about Symbol Digit Modalities Test from ScienceDirect's AI-generated Topic Pages" w:history="1">
        <w:r w:rsidRPr="00E33C63">
          <w:rPr>
            <w:rStyle w:val="Hyperlink"/>
            <w:rFonts w:eastAsiaTheme="majorEastAsia"/>
            <w:color w:val="0C7DBB"/>
          </w:rPr>
          <w:t>Symbol Digit Modalities Test</w:t>
        </w:r>
      </w:hyperlink>
      <w:r w:rsidRPr="00E33C63">
        <w:t> (SDMT), Brief Visuospatial Memory Test (BVMT), and the </w:t>
      </w:r>
      <w:hyperlink r:id="rId35" w:tooltip="Learn more about California Verbal Learning Test from ScienceDirect's AI-generated Topic Pages" w:history="1">
        <w:r w:rsidRPr="00E33C63">
          <w:rPr>
            <w:rStyle w:val="Hyperlink"/>
            <w:rFonts w:eastAsiaTheme="majorEastAsia"/>
            <w:color w:val="0C7DBB"/>
          </w:rPr>
          <w:t>California Verbal Learning Test</w:t>
        </w:r>
      </w:hyperlink>
      <w:r w:rsidRPr="00E33C63">
        <w:t> (CVLT) represented the cognitive endpoints [</w:t>
      </w:r>
      <w:bookmarkStart w:id="36" w:name="bbb0155"/>
      <w:r w:rsidRPr="00E33C63">
        <w:fldChar w:fldCharType="begin"/>
      </w:r>
      <w:r w:rsidRPr="00E33C63">
        <w:instrText xml:space="preserve"> HYPERLINK "https://0-www-sciencedirect-com.libus.csd.mu.edu/science/article/pii/S1551714418303616" \l "bb0155" </w:instrText>
      </w:r>
      <w:r w:rsidRPr="00E33C63">
        <w:fldChar w:fldCharType="separate"/>
      </w:r>
      <w:r w:rsidRPr="00E33C63">
        <w:rPr>
          <w:rStyle w:val="Hyperlink"/>
          <w:rFonts w:eastAsiaTheme="majorEastAsia"/>
          <w:color w:val="0C7DBB"/>
        </w:rPr>
        <w:t>31</w:t>
      </w:r>
      <w:r w:rsidRPr="00E33C63">
        <w:fldChar w:fldCharType="end"/>
      </w:r>
      <w:bookmarkEnd w:id="36"/>
      <w:r w:rsidRPr="00E33C63">
        <w:t>]. The Short Physical Performance Battery (SPPB) represented a measure of physical function for older adults with MS [</w:t>
      </w:r>
      <w:bookmarkStart w:id="37" w:name="bbb0160"/>
      <w:r w:rsidRPr="00E33C63">
        <w:fldChar w:fldCharType="begin"/>
      </w:r>
      <w:r w:rsidRPr="00E33C63">
        <w:instrText xml:space="preserve"> HYPERLINK "https://0-www-sciencedirect-com.libus.csd.mu.edu/science/article/pii/S1551714418303616" \l "bb0160" </w:instrText>
      </w:r>
      <w:r w:rsidRPr="00E33C63">
        <w:fldChar w:fldCharType="separate"/>
      </w:r>
      <w:r w:rsidRPr="00E33C63">
        <w:rPr>
          <w:rStyle w:val="Hyperlink"/>
          <w:rFonts w:eastAsiaTheme="majorEastAsia"/>
          <w:color w:val="0C7DBB"/>
        </w:rPr>
        <w:t>32</w:t>
      </w:r>
      <w:r w:rsidRPr="00E33C63">
        <w:fldChar w:fldCharType="end"/>
      </w:r>
      <w:bookmarkEnd w:id="37"/>
      <w:r w:rsidRPr="00E33C63">
        <w:t>].</w:t>
      </w:r>
    </w:p>
    <w:p w14:paraId="504D53E3" w14:textId="77777777" w:rsidR="007B26FC" w:rsidRDefault="007B26FC" w:rsidP="00E33C63">
      <w:pPr>
        <w:pStyle w:val="Heading2"/>
        <w:rPr>
          <w:sz w:val="27"/>
          <w:szCs w:val="27"/>
        </w:rPr>
      </w:pPr>
      <w:r>
        <w:t>2.5. Data analysis</w:t>
      </w:r>
    </w:p>
    <w:p w14:paraId="41980142" w14:textId="77777777" w:rsidR="007B26FC" w:rsidRPr="00E33C63" w:rsidRDefault="007B26FC" w:rsidP="00E33C63">
      <w:r w:rsidRPr="00E33C63">
        <w:t>Data were analyzed using SPSS version 24.0 (SPSS Inc. Armonk, NY: IBM Corp.). Basic descriptive statistics (mean, median, standard deviation (SD), interquartile range) were used to present the data regarding demographic (e.g., age) and clinical characteristics (e.g., MS duration, </w:t>
      </w:r>
      <w:hyperlink r:id="rId36" w:tooltip="Learn more about Expanded Disability Status Scale from ScienceDirect's AI-generated Topic Pages" w:history="1">
        <w:r w:rsidRPr="00E33C63">
          <w:rPr>
            <w:rStyle w:val="Hyperlink"/>
            <w:rFonts w:eastAsiaTheme="majorEastAsia"/>
            <w:color w:val="0C7DBB"/>
          </w:rPr>
          <w:t>Expanded Disability Status Scale</w:t>
        </w:r>
      </w:hyperlink>
      <w:r w:rsidRPr="00E33C63">
        <w:t xml:space="preserve"> (EDSS)). Process feasibility data were described as total number and percentage (i.e., recruitment). Resource feasibility data were described as total number and percentage (i.e., retention and communication). The scientific metrics of efficacy were examined using mixed-factor ANOVA. Condition was the between-subjects factor and time was within-subjects factor. Due to the nature of the study (i.e., feasibility), covariates were not </w:t>
      </w:r>
      <w:proofErr w:type="gramStart"/>
      <w:r w:rsidRPr="00E33C63">
        <w:t>included</w:t>
      </w:r>
      <w:proofErr w:type="gramEnd"/>
      <w:r w:rsidRPr="00E33C63">
        <w:t xml:space="preserve"> and statistical analysis served primarily for the observation of Eta-squared (η</w:t>
      </w:r>
      <w:r w:rsidRPr="00E33C63">
        <w:rPr>
          <w:vertAlign w:val="superscript"/>
        </w:rPr>
        <w:t>2</w:t>
      </w:r>
      <w:r w:rsidRPr="00E33C63">
        <w:t>) values rather than statistical significance. Effect sizes associated with </w:t>
      </w:r>
      <w:r w:rsidRPr="00E33C63">
        <w:rPr>
          <w:rStyle w:val="Emphasis"/>
          <w:rFonts w:eastAsiaTheme="majorEastAsia"/>
          <w:color w:val="2E2E2E"/>
        </w:rPr>
        <w:t>F</w:t>
      </w:r>
      <w:r w:rsidRPr="00E33C63">
        <w:t>-statistics were expressed as η</w:t>
      </w:r>
      <w:r w:rsidRPr="00E33C63">
        <w:rPr>
          <w:vertAlign w:val="subscript"/>
        </w:rPr>
        <w:t>p</w:t>
      </w:r>
      <w:r w:rsidRPr="00E33C63">
        <w:rPr>
          <w:vertAlign w:val="superscript"/>
        </w:rPr>
        <w:t>2</w:t>
      </w:r>
      <w:r w:rsidRPr="00E33C63">
        <w:t>. Effect sizes were based on a difference in mean scores over time between groups were expressed as Cohen's </w:t>
      </w:r>
      <w:r w:rsidRPr="00E33C63">
        <w:rPr>
          <w:rStyle w:val="Emphasis"/>
          <w:rFonts w:eastAsiaTheme="majorEastAsia"/>
          <w:color w:val="2E2E2E"/>
        </w:rPr>
        <w:t>d</w:t>
      </w:r>
      <w:r w:rsidRPr="00E33C63">
        <w:t> [</w:t>
      </w:r>
      <w:bookmarkStart w:id="38" w:name="bbb0165"/>
      <w:r w:rsidRPr="00E33C63">
        <w:fldChar w:fldCharType="begin"/>
      </w:r>
      <w:r w:rsidRPr="00E33C63">
        <w:instrText xml:space="preserve"> HYPERLINK "https://0-www-sciencedirect-com.libus.csd.mu.edu/science/article/pii/S1551714418303616" \l "bb0165" </w:instrText>
      </w:r>
      <w:r w:rsidRPr="00E33C63">
        <w:fldChar w:fldCharType="separate"/>
      </w:r>
      <w:r w:rsidRPr="00E33C63">
        <w:rPr>
          <w:rStyle w:val="Hyperlink"/>
          <w:rFonts w:eastAsiaTheme="majorEastAsia"/>
          <w:color w:val="0C7DBB"/>
        </w:rPr>
        <w:t>33</w:t>
      </w:r>
      <w:r w:rsidRPr="00E33C63">
        <w:fldChar w:fldCharType="end"/>
      </w:r>
      <w:bookmarkEnd w:id="38"/>
      <w:r w:rsidRPr="00E33C63">
        <w:t>].</w:t>
      </w:r>
    </w:p>
    <w:p w14:paraId="7F7519FD" w14:textId="77777777" w:rsidR="007B26FC" w:rsidRDefault="007B26FC" w:rsidP="00E33C63">
      <w:pPr>
        <w:pStyle w:val="Heading1"/>
        <w:rPr>
          <w:sz w:val="36"/>
          <w:szCs w:val="36"/>
        </w:rPr>
      </w:pPr>
      <w:r>
        <w:t>3. Results</w:t>
      </w:r>
    </w:p>
    <w:p w14:paraId="4A72F705" w14:textId="77777777" w:rsidR="007B26FC" w:rsidRDefault="007B26FC" w:rsidP="00E33C63">
      <w:pPr>
        <w:pStyle w:val="Heading2"/>
      </w:pPr>
      <w:r>
        <w:t>3.1. Participant demographic and clinical characteristics</w:t>
      </w:r>
    </w:p>
    <w:p w14:paraId="377B5B40" w14:textId="77777777" w:rsidR="007B26FC" w:rsidRPr="00E33C63" w:rsidRDefault="007B26FC" w:rsidP="00E33C63">
      <w:r w:rsidRPr="00E33C63">
        <w:t>Detailed demographics and clinical characteristics of the overall sample and sample by conditions (i.e., intervention and attention-control) are presented in </w:t>
      </w:r>
      <w:bookmarkStart w:id="39" w:name="bt0015"/>
      <w:r w:rsidRPr="00E33C63">
        <w:fldChar w:fldCharType="begin"/>
      </w:r>
      <w:r w:rsidRPr="00E33C63">
        <w:instrText xml:space="preserve"> HYPERLINK "https://0-www-sciencedirect-com.libus.csd.mu.edu/science/article/pii/S1551714418303616" \l "t0015" </w:instrText>
      </w:r>
      <w:r w:rsidRPr="00E33C63">
        <w:fldChar w:fldCharType="separate"/>
      </w:r>
      <w:r w:rsidRPr="00E33C63">
        <w:rPr>
          <w:rStyle w:val="Hyperlink"/>
          <w:rFonts w:eastAsiaTheme="majorEastAsia"/>
          <w:color w:val="0C7DBB"/>
        </w:rPr>
        <w:t>Table 3</w:t>
      </w:r>
      <w:r w:rsidRPr="00E33C63">
        <w:fldChar w:fldCharType="end"/>
      </w:r>
      <w:bookmarkEnd w:id="39"/>
      <w:r w:rsidRPr="00E33C63">
        <w:t xml:space="preserve">. The average age of participants was 64.3 (SD = 4.5) years. </w:t>
      </w:r>
      <w:proofErr w:type="gramStart"/>
      <w:r w:rsidRPr="00E33C63">
        <w:t>The majority of</w:t>
      </w:r>
      <w:proofErr w:type="gramEnd"/>
      <w:r w:rsidRPr="00E33C63">
        <w:t xml:space="preserve"> the sample was female (88.5%) and married (77.3%). Further, all participants self-identified as Caucasian. Thirty-five percent of the sample reported having a master's degree, 58% of the participants reported being retired, and 69% reported an annual income of $40,000 or greater. Relapsing-remitting MS was reported by 88.5% of participants with an average duration of the disease of 21.1 (SD = 10.7) years. The sample had a moderate level of disability (EDSS = 4.0, IQR = 2.5). No significant differences were observed in any demographic or clinical metrics between conditions.</w:t>
      </w:r>
    </w:p>
    <w:p w14:paraId="12687753" w14:textId="77777777" w:rsidR="007B26FC" w:rsidRDefault="007B26FC" w:rsidP="00E33C63">
      <w:pPr>
        <w:pStyle w:val="NoSpacing"/>
      </w:pPr>
      <w:r>
        <w:rPr>
          <w:rStyle w:val="label"/>
          <w:color w:val="323232"/>
          <w:sz w:val="21"/>
          <w:szCs w:val="21"/>
        </w:rPr>
        <w:t>Table 3</w:t>
      </w:r>
      <w:r>
        <w:t>. Baseline demographic and clinical characteristics of the sample.</w:t>
      </w:r>
    </w:p>
    <w:tbl>
      <w:tblPr>
        <w:tblStyle w:val="TableGrid"/>
        <w:tblW w:w="5000" w:type="pct"/>
        <w:tblLook w:val="04A0" w:firstRow="1" w:lastRow="0" w:firstColumn="1" w:lastColumn="0" w:noHBand="0" w:noVBand="1"/>
      </w:tblPr>
      <w:tblGrid>
        <w:gridCol w:w="3587"/>
        <w:gridCol w:w="1456"/>
        <w:gridCol w:w="2795"/>
        <w:gridCol w:w="2232"/>
      </w:tblGrid>
      <w:tr w:rsidR="007B26FC" w14:paraId="7610DA64" w14:textId="77777777" w:rsidTr="00E33C63">
        <w:tc>
          <w:tcPr>
            <w:tcW w:w="1781" w:type="pct"/>
            <w:hideMark/>
          </w:tcPr>
          <w:p w14:paraId="4CB67328" w14:textId="77777777" w:rsidR="007B26FC" w:rsidRDefault="007B26FC" w:rsidP="00E33C63">
            <w:pPr>
              <w:pStyle w:val="NoSpacing"/>
            </w:pPr>
          </w:p>
        </w:tc>
        <w:tc>
          <w:tcPr>
            <w:tcW w:w="723" w:type="pct"/>
            <w:hideMark/>
          </w:tcPr>
          <w:p w14:paraId="0E6CB4BA" w14:textId="77777777" w:rsidR="007B26FC" w:rsidRDefault="007B26FC" w:rsidP="00E33C63">
            <w:pPr>
              <w:pStyle w:val="NoSpacing"/>
              <w:rPr>
                <w:b/>
                <w:bCs/>
                <w:sz w:val="21"/>
                <w:szCs w:val="21"/>
              </w:rPr>
            </w:pPr>
            <w:r>
              <w:rPr>
                <w:b/>
                <w:bCs/>
                <w:sz w:val="21"/>
                <w:szCs w:val="21"/>
              </w:rPr>
              <w:t>Overall</w:t>
            </w:r>
            <w:r>
              <w:rPr>
                <w:b/>
                <w:bCs/>
                <w:sz w:val="21"/>
                <w:szCs w:val="21"/>
              </w:rPr>
              <w:br/>
              <w:t>(n = 25)</w:t>
            </w:r>
          </w:p>
        </w:tc>
        <w:tc>
          <w:tcPr>
            <w:tcW w:w="1388" w:type="pct"/>
            <w:hideMark/>
          </w:tcPr>
          <w:p w14:paraId="7B5E0C53" w14:textId="77777777" w:rsidR="007B26FC" w:rsidRDefault="007B26FC" w:rsidP="00E33C63">
            <w:pPr>
              <w:pStyle w:val="NoSpacing"/>
              <w:rPr>
                <w:b/>
                <w:bCs/>
                <w:sz w:val="21"/>
                <w:szCs w:val="21"/>
              </w:rPr>
            </w:pPr>
            <w:r>
              <w:rPr>
                <w:b/>
                <w:bCs/>
                <w:sz w:val="21"/>
                <w:szCs w:val="21"/>
              </w:rPr>
              <w:t>Intervention condition</w:t>
            </w:r>
            <w:r>
              <w:rPr>
                <w:b/>
                <w:bCs/>
                <w:sz w:val="21"/>
                <w:szCs w:val="21"/>
              </w:rPr>
              <w:br/>
              <w:t>(n = 15)</w:t>
            </w:r>
          </w:p>
        </w:tc>
        <w:tc>
          <w:tcPr>
            <w:tcW w:w="1108" w:type="pct"/>
            <w:hideMark/>
          </w:tcPr>
          <w:p w14:paraId="620BB44D" w14:textId="77777777" w:rsidR="007B26FC" w:rsidRDefault="007B26FC" w:rsidP="00E33C63">
            <w:pPr>
              <w:pStyle w:val="NoSpacing"/>
              <w:rPr>
                <w:b/>
                <w:bCs/>
                <w:sz w:val="21"/>
                <w:szCs w:val="21"/>
              </w:rPr>
            </w:pPr>
            <w:r>
              <w:rPr>
                <w:b/>
                <w:bCs/>
                <w:sz w:val="21"/>
                <w:szCs w:val="21"/>
              </w:rPr>
              <w:t>Control condition</w:t>
            </w:r>
            <w:r>
              <w:rPr>
                <w:b/>
                <w:bCs/>
                <w:sz w:val="21"/>
                <w:szCs w:val="21"/>
              </w:rPr>
              <w:br/>
              <w:t>(n = 10)</w:t>
            </w:r>
          </w:p>
        </w:tc>
      </w:tr>
      <w:tr w:rsidR="007B26FC" w14:paraId="34F18BA9" w14:textId="77777777" w:rsidTr="00E33C63">
        <w:tc>
          <w:tcPr>
            <w:tcW w:w="1781" w:type="pct"/>
            <w:hideMark/>
          </w:tcPr>
          <w:p w14:paraId="7F972828" w14:textId="77777777" w:rsidR="007B26FC" w:rsidRDefault="007B26FC" w:rsidP="00E33C63">
            <w:pPr>
              <w:pStyle w:val="NoSpacing"/>
              <w:rPr>
                <w:b/>
                <w:bCs/>
                <w:sz w:val="21"/>
                <w:szCs w:val="21"/>
              </w:rPr>
            </w:pPr>
            <w:r>
              <w:rPr>
                <w:b/>
                <w:bCs/>
                <w:sz w:val="21"/>
                <w:szCs w:val="21"/>
              </w:rPr>
              <w:t>Age, mean (SD)</w:t>
            </w:r>
          </w:p>
        </w:tc>
        <w:tc>
          <w:tcPr>
            <w:tcW w:w="723" w:type="pct"/>
            <w:hideMark/>
          </w:tcPr>
          <w:p w14:paraId="64EC9438" w14:textId="77777777" w:rsidR="007B26FC" w:rsidRDefault="007B26FC" w:rsidP="00E33C63">
            <w:pPr>
              <w:pStyle w:val="NoSpacing"/>
              <w:rPr>
                <w:sz w:val="21"/>
                <w:szCs w:val="21"/>
              </w:rPr>
            </w:pPr>
            <w:r>
              <w:rPr>
                <w:sz w:val="21"/>
                <w:szCs w:val="21"/>
              </w:rPr>
              <w:t>64.3 (4.5)</w:t>
            </w:r>
          </w:p>
        </w:tc>
        <w:tc>
          <w:tcPr>
            <w:tcW w:w="1388" w:type="pct"/>
            <w:hideMark/>
          </w:tcPr>
          <w:p w14:paraId="62FF14C3" w14:textId="77777777" w:rsidR="007B26FC" w:rsidRDefault="007B26FC" w:rsidP="00E33C63">
            <w:pPr>
              <w:pStyle w:val="NoSpacing"/>
              <w:rPr>
                <w:sz w:val="21"/>
                <w:szCs w:val="21"/>
              </w:rPr>
            </w:pPr>
            <w:r>
              <w:rPr>
                <w:sz w:val="21"/>
                <w:szCs w:val="21"/>
              </w:rPr>
              <w:t>63.8 (4.1)</w:t>
            </w:r>
          </w:p>
        </w:tc>
        <w:tc>
          <w:tcPr>
            <w:tcW w:w="1108" w:type="pct"/>
            <w:hideMark/>
          </w:tcPr>
          <w:p w14:paraId="6ECC76AC" w14:textId="77777777" w:rsidR="007B26FC" w:rsidRDefault="007B26FC" w:rsidP="00E33C63">
            <w:pPr>
              <w:pStyle w:val="NoSpacing"/>
              <w:rPr>
                <w:sz w:val="21"/>
                <w:szCs w:val="21"/>
              </w:rPr>
            </w:pPr>
            <w:r>
              <w:rPr>
                <w:sz w:val="21"/>
                <w:szCs w:val="21"/>
              </w:rPr>
              <w:t>65.1 (5.2)</w:t>
            </w:r>
          </w:p>
        </w:tc>
      </w:tr>
      <w:tr w:rsidR="007B26FC" w14:paraId="06D83890" w14:textId="77777777" w:rsidTr="00E33C63">
        <w:tc>
          <w:tcPr>
            <w:tcW w:w="1781" w:type="pct"/>
            <w:hideMark/>
          </w:tcPr>
          <w:p w14:paraId="3187B0E1" w14:textId="77777777" w:rsidR="007B26FC" w:rsidRDefault="007B26FC" w:rsidP="00E33C63">
            <w:pPr>
              <w:pStyle w:val="NoSpacing"/>
              <w:rPr>
                <w:b/>
                <w:bCs/>
                <w:sz w:val="21"/>
                <w:szCs w:val="21"/>
              </w:rPr>
            </w:pPr>
            <w:r>
              <w:rPr>
                <w:b/>
                <w:bCs/>
                <w:sz w:val="21"/>
                <w:szCs w:val="21"/>
              </w:rPr>
              <w:t>Sex, %Female</w:t>
            </w:r>
          </w:p>
        </w:tc>
        <w:tc>
          <w:tcPr>
            <w:tcW w:w="723" w:type="pct"/>
            <w:hideMark/>
          </w:tcPr>
          <w:p w14:paraId="3D998373" w14:textId="77777777" w:rsidR="007B26FC" w:rsidRDefault="007B26FC" w:rsidP="00E33C63">
            <w:pPr>
              <w:pStyle w:val="NoSpacing"/>
              <w:rPr>
                <w:sz w:val="21"/>
                <w:szCs w:val="21"/>
              </w:rPr>
            </w:pPr>
            <w:r>
              <w:rPr>
                <w:sz w:val="21"/>
                <w:szCs w:val="21"/>
              </w:rPr>
              <w:t>88.5</w:t>
            </w:r>
          </w:p>
        </w:tc>
        <w:tc>
          <w:tcPr>
            <w:tcW w:w="1388" w:type="pct"/>
            <w:hideMark/>
          </w:tcPr>
          <w:p w14:paraId="4554B934" w14:textId="77777777" w:rsidR="007B26FC" w:rsidRDefault="007B26FC" w:rsidP="00E33C63">
            <w:pPr>
              <w:pStyle w:val="NoSpacing"/>
              <w:rPr>
                <w:sz w:val="21"/>
                <w:szCs w:val="21"/>
              </w:rPr>
            </w:pPr>
            <w:r>
              <w:rPr>
                <w:sz w:val="21"/>
                <w:szCs w:val="21"/>
              </w:rPr>
              <w:t>87.5</w:t>
            </w:r>
          </w:p>
        </w:tc>
        <w:tc>
          <w:tcPr>
            <w:tcW w:w="1108" w:type="pct"/>
            <w:hideMark/>
          </w:tcPr>
          <w:p w14:paraId="5E51E558" w14:textId="77777777" w:rsidR="007B26FC" w:rsidRDefault="007B26FC" w:rsidP="00E33C63">
            <w:pPr>
              <w:pStyle w:val="NoSpacing"/>
              <w:rPr>
                <w:sz w:val="21"/>
                <w:szCs w:val="21"/>
              </w:rPr>
            </w:pPr>
            <w:r>
              <w:rPr>
                <w:sz w:val="21"/>
                <w:szCs w:val="21"/>
              </w:rPr>
              <w:t>90</w:t>
            </w:r>
          </w:p>
        </w:tc>
      </w:tr>
      <w:tr w:rsidR="007B26FC" w14:paraId="0A709374" w14:textId="77777777" w:rsidTr="00E33C63">
        <w:tc>
          <w:tcPr>
            <w:tcW w:w="1781" w:type="pct"/>
            <w:hideMark/>
          </w:tcPr>
          <w:p w14:paraId="2FFEACC1" w14:textId="77777777" w:rsidR="007B26FC" w:rsidRDefault="007B26FC" w:rsidP="00E33C63">
            <w:pPr>
              <w:pStyle w:val="NoSpacing"/>
              <w:rPr>
                <w:b/>
                <w:bCs/>
                <w:sz w:val="21"/>
                <w:szCs w:val="21"/>
              </w:rPr>
            </w:pPr>
            <w:r>
              <w:rPr>
                <w:b/>
                <w:bCs/>
                <w:sz w:val="21"/>
                <w:szCs w:val="21"/>
              </w:rPr>
              <w:t>Race, %Caucasians</w:t>
            </w:r>
          </w:p>
        </w:tc>
        <w:tc>
          <w:tcPr>
            <w:tcW w:w="723" w:type="pct"/>
            <w:hideMark/>
          </w:tcPr>
          <w:p w14:paraId="583623AE" w14:textId="77777777" w:rsidR="007B26FC" w:rsidRDefault="007B26FC" w:rsidP="00E33C63">
            <w:pPr>
              <w:pStyle w:val="NoSpacing"/>
              <w:rPr>
                <w:sz w:val="21"/>
                <w:szCs w:val="21"/>
              </w:rPr>
            </w:pPr>
            <w:r>
              <w:rPr>
                <w:sz w:val="21"/>
                <w:szCs w:val="21"/>
              </w:rPr>
              <w:t>100</w:t>
            </w:r>
          </w:p>
        </w:tc>
        <w:tc>
          <w:tcPr>
            <w:tcW w:w="1388" w:type="pct"/>
            <w:hideMark/>
          </w:tcPr>
          <w:p w14:paraId="3003B390" w14:textId="77777777" w:rsidR="007B26FC" w:rsidRDefault="007B26FC" w:rsidP="00E33C63">
            <w:pPr>
              <w:pStyle w:val="NoSpacing"/>
              <w:rPr>
                <w:sz w:val="21"/>
                <w:szCs w:val="21"/>
              </w:rPr>
            </w:pPr>
            <w:r>
              <w:rPr>
                <w:sz w:val="21"/>
                <w:szCs w:val="21"/>
              </w:rPr>
              <w:t>100</w:t>
            </w:r>
          </w:p>
        </w:tc>
        <w:tc>
          <w:tcPr>
            <w:tcW w:w="1108" w:type="pct"/>
            <w:hideMark/>
          </w:tcPr>
          <w:p w14:paraId="190C5DA0" w14:textId="77777777" w:rsidR="007B26FC" w:rsidRDefault="007B26FC" w:rsidP="00E33C63">
            <w:pPr>
              <w:pStyle w:val="NoSpacing"/>
              <w:rPr>
                <w:sz w:val="21"/>
                <w:szCs w:val="21"/>
              </w:rPr>
            </w:pPr>
            <w:r>
              <w:rPr>
                <w:sz w:val="21"/>
                <w:szCs w:val="21"/>
              </w:rPr>
              <w:t>100</w:t>
            </w:r>
          </w:p>
        </w:tc>
      </w:tr>
      <w:tr w:rsidR="007B26FC" w14:paraId="3709788E" w14:textId="77777777" w:rsidTr="00E33C63">
        <w:tc>
          <w:tcPr>
            <w:tcW w:w="1781" w:type="pct"/>
            <w:hideMark/>
          </w:tcPr>
          <w:p w14:paraId="1BD571D4" w14:textId="77777777" w:rsidR="007B26FC" w:rsidRDefault="007B26FC" w:rsidP="00E33C63">
            <w:pPr>
              <w:pStyle w:val="NoSpacing"/>
              <w:rPr>
                <w:b/>
                <w:bCs/>
                <w:sz w:val="21"/>
                <w:szCs w:val="21"/>
              </w:rPr>
            </w:pPr>
            <w:r>
              <w:rPr>
                <w:b/>
                <w:bCs/>
                <w:sz w:val="21"/>
                <w:szCs w:val="21"/>
              </w:rPr>
              <w:t>Marital Status, %Married</w:t>
            </w:r>
          </w:p>
        </w:tc>
        <w:tc>
          <w:tcPr>
            <w:tcW w:w="723" w:type="pct"/>
            <w:hideMark/>
          </w:tcPr>
          <w:p w14:paraId="667C9DB1" w14:textId="77777777" w:rsidR="007B26FC" w:rsidRDefault="007B26FC" w:rsidP="00E33C63">
            <w:pPr>
              <w:pStyle w:val="NoSpacing"/>
              <w:rPr>
                <w:sz w:val="21"/>
                <w:szCs w:val="21"/>
              </w:rPr>
            </w:pPr>
            <w:r>
              <w:rPr>
                <w:sz w:val="21"/>
                <w:szCs w:val="21"/>
              </w:rPr>
              <w:t>73.1</w:t>
            </w:r>
          </w:p>
        </w:tc>
        <w:tc>
          <w:tcPr>
            <w:tcW w:w="1388" w:type="pct"/>
            <w:hideMark/>
          </w:tcPr>
          <w:p w14:paraId="55BA7AAC" w14:textId="77777777" w:rsidR="007B26FC" w:rsidRDefault="007B26FC" w:rsidP="00E33C63">
            <w:pPr>
              <w:pStyle w:val="NoSpacing"/>
              <w:rPr>
                <w:sz w:val="21"/>
                <w:szCs w:val="21"/>
              </w:rPr>
            </w:pPr>
            <w:r>
              <w:rPr>
                <w:sz w:val="21"/>
                <w:szCs w:val="21"/>
              </w:rPr>
              <w:t>75</w:t>
            </w:r>
          </w:p>
        </w:tc>
        <w:tc>
          <w:tcPr>
            <w:tcW w:w="1108" w:type="pct"/>
            <w:hideMark/>
          </w:tcPr>
          <w:p w14:paraId="6E00FD7C" w14:textId="77777777" w:rsidR="007B26FC" w:rsidRDefault="007B26FC" w:rsidP="00E33C63">
            <w:pPr>
              <w:pStyle w:val="NoSpacing"/>
              <w:rPr>
                <w:sz w:val="21"/>
                <w:szCs w:val="21"/>
              </w:rPr>
            </w:pPr>
            <w:r>
              <w:rPr>
                <w:sz w:val="21"/>
                <w:szCs w:val="21"/>
              </w:rPr>
              <w:t>70</w:t>
            </w:r>
          </w:p>
        </w:tc>
      </w:tr>
      <w:tr w:rsidR="007B26FC" w14:paraId="63599CF2" w14:textId="77777777" w:rsidTr="00E33C63">
        <w:tc>
          <w:tcPr>
            <w:tcW w:w="1781" w:type="pct"/>
            <w:hideMark/>
          </w:tcPr>
          <w:p w14:paraId="0162B8D4" w14:textId="77777777" w:rsidR="007B26FC" w:rsidRDefault="007B26FC" w:rsidP="00E33C63">
            <w:pPr>
              <w:pStyle w:val="NoSpacing"/>
              <w:rPr>
                <w:b/>
                <w:bCs/>
                <w:sz w:val="21"/>
                <w:szCs w:val="21"/>
              </w:rPr>
            </w:pPr>
            <w:r>
              <w:rPr>
                <w:b/>
                <w:bCs/>
                <w:sz w:val="21"/>
                <w:szCs w:val="21"/>
              </w:rPr>
              <w:t xml:space="preserve">EDSS, </w:t>
            </w:r>
            <w:proofErr w:type="spellStart"/>
            <w:r>
              <w:rPr>
                <w:b/>
                <w:bCs/>
                <w:sz w:val="21"/>
                <w:szCs w:val="21"/>
              </w:rPr>
              <w:t>mdn</w:t>
            </w:r>
            <w:proofErr w:type="spellEnd"/>
            <w:r>
              <w:rPr>
                <w:b/>
                <w:bCs/>
                <w:sz w:val="21"/>
                <w:szCs w:val="21"/>
              </w:rPr>
              <w:t xml:space="preserve"> (IQR)</w:t>
            </w:r>
          </w:p>
        </w:tc>
        <w:tc>
          <w:tcPr>
            <w:tcW w:w="723" w:type="pct"/>
            <w:hideMark/>
          </w:tcPr>
          <w:p w14:paraId="43595D4E" w14:textId="77777777" w:rsidR="007B26FC" w:rsidRDefault="007B26FC" w:rsidP="00E33C63">
            <w:pPr>
              <w:pStyle w:val="NoSpacing"/>
              <w:rPr>
                <w:sz w:val="21"/>
                <w:szCs w:val="21"/>
              </w:rPr>
            </w:pPr>
            <w:r>
              <w:rPr>
                <w:sz w:val="21"/>
                <w:szCs w:val="21"/>
              </w:rPr>
              <w:t>4.0 (2.5)</w:t>
            </w:r>
          </w:p>
        </w:tc>
        <w:tc>
          <w:tcPr>
            <w:tcW w:w="1388" w:type="pct"/>
            <w:hideMark/>
          </w:tcPr>
          <w:p w14:paraId="565D4D55" w14:textId="77777777" w:rsidR="007B26FC" w:rsidRDefault="007B26FC" w:rsidP="00E33C63">
            <w:pPr>
              <w:pStyle w:val="NoSpacing"/>
              <w:rPr>
                <w:sz w:val="21"/>
                <w:szCs w:val="21"/>
              </w:rPr>
            </w:pPr>
            <w:r>
              <w:rPr>
                <w:sz w:val="21"/>
                <w:szCs w:val="21"/>
              </w:rPr>
              <w:t>3.75 (2.75)</w:t>
            </w:r>
          </w:p>
        </w:tc>
        <w:tc>
          <w:tcPr>
            <w:tcW w:w="1108" w:type="pct"/>
            <w:hideMark/>
          </w:tcPr>
          <w:p w14:paraId="546C8C92" w14:textId="77777777" w:rsidR="007B26FC" w:rsidRDefault="007B26FC" w:rsidP="00E33C63">
            <w:pPr>
              <w:pStyle w:val="NoSpacing"/>
              <w:rPr>
                <w:sz w:val="21"/>
                <w:szCs w:val="21"/>
              </w:rPr>
            </w:pPr>
            <w:r>
              <w:rPr>
                <w:sz w:val="21"/>
                <w:szCs w:val="21"/>
              </w:rPr>
              <w:t>4.25 (2.13)</w:t>
            </w:r>
          </w:p>
        </w:tc>
      </w:tr>
      <w:tr w:rsidR="007B26FC" w14:paraId="14EFDE83" w14:textId="77777777" w:rsidTr="00E33C63">
        <w:tc>
          <w:tcPr>
            <w:tcW w:w="1781" w:type="pct"/>
            <w:hideMark/>
          </w:tcPr>
          <w:p w14:paraId="7FE6DCEE" w14:textId="77777777" w:rsidR="007B26FC" w:rsidRDefault="007B26FC" w:rsidP="00E33C63">
            <w:pPr>
              <w:pStyle w:val="NoSpacing"/>
              <w:rPr>
                <w:b/>
                <w:bCs/>
                <w:sz w:val="21"/>
                <w:szCs w:val="21"/>
              </w:rPr>
            </w:pPr>
            <w:r>
              <w:rPr>
                <w:b/>
                <w:bCs/>
                <w:sz w:val="21"/>
                <w:szCs w:val="21"/>
              </w:rPr>
              <w:t>MS Type, RRMS/SPMS/BGMS</w:t>
            </w:r>
          </w:p>
        </w:tc>
        <w:tc>
          <w:tcPr>
            <w:tcW w:w="723" w:type="pct"/>
            <w:hideMark/>
          </w:tcPr>
          <w:p w14:paraId="56B6A1AD" w14:textId="77777777" w:rsidR="007B26FC" w:rsidRDefault="007B26FC" w:rsidP="00E33C63">
            <w:pPr>
              <w:pStyle w:val="NoSpacing"/>
              <w:rPr>
                <w:sz w:val="21"/>
                <w:szCs w:val="21"/>
              </w:rPr>
            </w:pPr>
            <w:r>
              <w:rPr>
                <w:sz w:val="21"/>
                <w:szCs w:val="21"/>
              </w:rPr>
              <w:t>23/2/1</w:t>
            </w:r>
          </w:p>
        </w:tc>
        <w:tc>
          <w:tcPr>
            <w:tcW w:w="1388" w:type="pct"/>
            <w:hideMark/>
          </w:tcPr>
          <w:p w14:paraId="37655692" w14:textId="77777777" w:rsidR="007B26FC" w:rsidRDefault="007B26FC" w:rsidP="00E33C63">
            <w:pPr>
              <w:pStyle w:val="NoSpacing"/>
              <w:rPr>
                <w:sz w:val="21"/>
                <w:szCs w:val="21"/>
              </w:rPr>
            </w:pPr>
            <w:r>
              <w:rPr>
                <w:sz w:val="21"/>
                <w:szCs w:val="21"/>
              </w:rPr>
              <w:t>14/1/1</w:t>
            </w:r>
          </w:p>
        </w:tc>
        <w:tc>
          <w:tcPr>
            <w:tcW w:w="1108" w:type="pct"/>
            <w:hideMark/>
          </w:tcPr>
          <w:p w14:paraId="45B6E805" w14:textId="77777777" w:rsidR="007B26FC" w:rsidRDefault="007B26FC" w:rsidP="00E33C63">
            <w:pPr>
              <w:pStyle w:val="NoSpacing"/>
              <w:rPr>
                <w:sz w:val="21"/>
                <w:szCs w:val="21"/>
              </w:rPr>
            </w:pPr>
            <w:r>
              <w:rPr>
                <w:sz w:val="21"/>
                <w:szCs w:val="21"/>
              </w:rPr>
              <w:t>9/1/0</w:t>
            </w:r>
          </w:p>
        </w:tc>
      </w:tr>
      <w:tr w:rsidR="007B26FC" w14:paraId="10960349" w14:textId="77777777" w:rsidTr="00E33C63">
        <w:tc>
          <w:tcPr>
            <w:tcW w:w="1781" w:type="pct"/>
            <w:hideMark/>
          </w:tcPr>
          <w:p w14:paraId="51380122" w14:textId="77777777" w:rsidR="007B26FC" w:rsidRDefault="007B26FC" w:rsidP="00E33C63">
            <w:pPr>
              <w:pStyle w:val="NoSpacing"/>
              <w:rPr>
                <w:b/>
                <w:bCs/>
                <w:sz w:val="21"/>
                <w:szCs w:val="21"/>
              </w:rPr>
            </w:pPr>
            <w:r>
              <w:rPr>
                <w:b/>
                <w:bCs/>
                <w:sz w:val="21"/>
                <w:szCs w:val="21"/>
              </w:rPr>
              <w:t xml:space="preserve">Disease duration, </w:t>
            </w:r>
            <w:proofErr w:type="gramStart"/>
            <w:r>
              <w:rPr>
                <w:b/>
                <w:bCs/>
                <w:sz w:val="21"/>
                <w:szCs w:val="21"/>
              </w:rPr>
              <w:t>mean(</w:t>
            </w:r>
            <w:proofErr w:type="gramEnd"/>
            <w:r>
              <w:rPr>
                <w:b/>
                <w:bCs/>
                <w:sz w:val="21"/>
                <w:szCs w:val="21"/>
              </w:rPr>
              <w:t>SD)</w:t>
            </w:r>
          </w:p>
        </w:tc>
        <w:tc>
          <w:tcPr>
            <w:tcW w:w="723" w:type="pct"/>
            <w:hideMark/>
          </w:tcPr>
          <w:p w14:paraId="6C90625F" w14:textId="77777777" w:rsidR="007B26FC" w:rsidRDefault="007B26FC" w:rsidP="00E33C63">
            <w:pPr>
              <w:pStyle w:val="NoSpacing"/>
              <w:rPr>
                <w:sz w:val="21"/>
                <w:szCs w:val="21"/>
              </w:rPr>
            </w:pPr>
            <w:r>
              <w:rPr>
                <w:sz w:val="21"/>
                <w:szCs w:val="21"/>
              </w:rPr>
              <w:t>21.1 (10.7)</w:t>
            </w:r>
          </w:p>
        </w:tc>
        <w:tc>
          <w:tcPr>
            <w:tcW w:w="1388" w:type="pct"/>
            <w:hideMark/>
          </w:tcPr>
          <w:p w14:paraId="7A1ABB5D" w14:textId="77777777" w:rsidR="007B26FC" w:rsidRDefault="007B26FC" w:rsidP="00E33C63">
            <w:pPr>
              <w:pStyle w:val="NoSpacing"/>
              <w:rPr>
                <w:sz w:val="21"/>
                <w:szCs w:val="21"/>
              </w:rPr>
            </w:pPr>
            <w:r>
              <w:rPr>
                <w:sz w:val="21"/>
                <w:szCs w:val="21"/>
              </w:rPr>
              <w:t>21.9 (10.7)</w:t>
            </w:r>
          </w:p>
        </w:tc>
        <w:tc>
          <w:tcPr>
            <w:tcW w:w="1108" w:type="pct"/>
            <w:hideMark/>
          </w:tcPr>
          <w:p w14:paraId="6E92CB81" w14:textId="77777777" w:rsidR="007B26FC" w:rsidRDefault="007B26FC" w:rsidP="00E33C63">
            <w:pPr>
              <w:pStyle w:val="NoSpacing"/>
              <w:rPr>
                <w:sz w:val="21"/>
                <w:szCs w:val="21"/>
              </w:rPr>
            </w:pPr>
            <w:r>
              <w:rPr>
                <w:sz w:val="21"/>
                <w:szCs w:val="21"/>
              </w:rPr>
              <w:t>19.9 (11.2)</w:t>
            </w:r>
          </w:p>
        </w:tc>
      </w:tr>
    </w:tbl>
    <w:p w14:paraId="6608BEE4" w14:textId="7550496A" w:rsidR="007B26FC" w:rsidRDefault="007B26FC" w:rsidP="00E33C63">
      <w:pPr>
        <w:pStyle w:val="NoSpacing"/>
        <w:rPr>
          <w:color w:val="2E2E2E"/>
          <w:sz w:val="21"/>
          <w:szCs w:val="21"/>
        </w:rPr>
      </w:pPr>
      <w:r>
        <w:rPr>
          <w:color w:val="2E2E2E"/>
          <w:sz w:val="21"/>
          <w:szCs w:val="21"/>
        </w:rPr>
        <w:t>Note. SSE: Square-stepping exercise; SD: Standard deviation; EDSS: </w:t>
      </w:r>
      <w:hyperlink r:id="rId37" w:tooltip="Learn more about Expanded Disability Status Scale from ScienceDirect's AI-generated Topic Pages" w:history="1">
        <w:r>
          <w:rPr>
            <w:rStyle w:val="Hyperlink"/>
            <w:rFonts w:eastAsiaTheme="majorEastAsia"/>
            <w:color w:val="0C7DBB"/>
            <w:sz w:val="21"/>
            <w:szCs w:val="21"/>
          </w:rPr>
          <w:t>Expanded Disability Status Scale</w:t>
        </w:r>
      </w:hyperlink>
      <w:r>
        <w:rPr>
          <w:color w:val="2E2E2E"/>
          <w:sz w:val="21"/>
          <w:szCs w:val="21"/>
        </w:rPr>
        <w:t xml:space="preserve">; </w:t>
      </w:r>
      <w:proofErr w:type="spellStart"/>
      <w:r>
        <w:rPr>
          <w:color w:val="2E2E2E"/>
          <w:sz w:val="21"/>
          <w:szCs w:val="21"/>
        </w:rPr>
        <w:t>Mdn</w:t>
      </w:r>
      <w:proofErr w:type="spellEnd"/>
      <w:r>
        <w:rPr>
          <w:color w:val="2E2E2E"/>
          <w:sz w:val="21"/>
          <w:szCs w:val="21"/>
        </w:rPr>
        <w:t>: Median; IQR: (Interquartile range); MS: </w:t>
      </w:r>
      <w:hyperlink r:id="rId38" w:tooltip="Learn more about Multiple Sclerosis from ScienceDirect's AI-generated Topic Pages" w:history="1">
        <w:r>
          <w:rPr>
            <w:rStyle w:val="Hyperlink"/>
            <w:rFonts w:eastAsiaTheme="majorEastAsia"/>
            <w:color w:val="0C7DBB"/>
            <w:sz w:val="21"/>
            <w:szCs w:val="21"/>
          </w:rPr>
          <w:t>Multiple sclerosis</w:t>
        </w:r>
      </w:hyperlink>
      <w:r>
        <w:rPr>
          <w:color w:val="2E2E2E"/>
          <w:sz w:val="21"/>
          <w:szCs w:val="21"/>
        </w:rPr>
        <w:t>; RRMS: Relapsing-remitting multiple sclerosis; SPMS: Secondary progressive multiple sclerosis; BGMS: benign Multiple sclerosis.</w:t>
      </w:r>
    </w:p>
    <w:p w14:paraId="241D69F6" w14:textId="77777777" w:rsidR="00E33C63" w:rsidRDefault="00E33C63" w:rsidP="007B26FC">
      <w:pPr>
        <w:pStyle w:val="NormalWeb"/>
        <w:spacing w:before="0" w:beforeAutospacing="0" w:after="0" w:afterAutospacing="0" w:line="390" w:lineRule="atLeast"/>
        <w:rPr>
          <w:color w:val="2E2E2E"/>
          <w:sz w:val="21"/>
          <w:szCs w:val="21"/>
        </w:rPr>
      </w:pPr>
    </w:p>
    <w:p w14:paraId="78901395" w14:textId="77777777" w:rsidR="007B26FC" w:rsidRDefault="007B26FC" w:rsidP="00E33C63">
      <w:pPr>
        <w:pStyle w:val="Heading2"/>
        <w:rPr>
          <w:sz w:val="27"/>
          <w:szCs w:val="27"/>
        </w:rPr>
      </w:pPr>
      <w:r>
        <w:t>3.2. Process feasibility: recruitment and retention</w:t>
      </w:r>
    </w:p>
    <w:p w14:paraId="4A4C2467" w14:textId="77777777" w:rsidR="007B26FC" w:rsidRPr="00E33C63" w:rsidRDefault="007B26FC" w:rsidP="00E33C63">
      <w:r w:rsidRPr="00E33C63">
        <w:t>Details on participant flow through the trial are provided in the CONSORT diagram in </w:t>
      </w:r>
      <w:bookmarkStart w:id="40" w:name="bf0010"/>
      <w:r w:rsidRPr="00E33C63">
        <w:fldChar w:fldCharType="begin"/>
      </w:r>
      <w:r w:rsidRPr="00E33C63">
        <w:instrText xml:space="preserve"> HYPERLINK "https://0-www-sciencedirect-com.libus.csd.mu.edu/science/article/pii/S1551714418303616" \l "f0010" </w:instrText>
      </w:r>
      <w:r w:rsidRPr="00E33C63">
        <w:fldChar w:fldCharType="separate"/>
      </w:r>
      <w:r w:rsidRPr="00E33C63">
        <w:rPr>
          <w:rStyle w:val="Hyperlink"/>
          <w:rFonts w:eastAsiaTheme="majorEastAsia"/>
          <w:color w:val="0C7DBB"/>
        </w:rPr>
        <w:t>Fig. 2</w:t>
      </w:r>
      <w:r w:rsidRPr="00E33C63">
        <w:fldChar w:fldCharType="end"/>
      </w:r>
      <w:bookmarkEnd w:id="40"/>
      <w:r w:rsidRPr="00E33C63">
        <w:t>. There were 129 older adults with MS who were directly contacted to participate in the study; 66 via email and 63 via telephone. Recruitment via email yielded 23 interested participants, and recruitment via telephone yielded 40 interested participants. Based on these two methods, recruitment rate was 49% (</w:t>
      </w:r>
      <w:r w:rsidRPr="00E33C63">
        <w:rPr>
          <w:rStyle w:val="Emphasis"/>
          <w:rFonts w:eastAsiaTheme="majorEastAsia"/>
          <w:color w:val="2E2E2E"/>
        </w:rPr>
        <w:t>n</w:t>
      </w:r>
      <w:r w:rsidRPr="00E33C63">
        <w:t xml:space="preserve"> = 63). We further recruited through MS-related events, the laboratory website, and local newspapers as additional approaches for recruitment. These methods yielded 11 interested participants. Across all recruitment methods, there were 74 interested participants in total. Thirty-six potential participants were excluded during telephone screening. Twenty-three persons did not meet the inclusion criteria, with 19 being too active (engagement in structured activity for &gt;2 times per week) and 4 potential participants not meeting age requirements (i.e., younger than 60 years of age)). Thirteen potential participants declined to participate during the screening process. Thirty-eight (51%) of the interested participants were eligible to participate and were sent a medical release form to be signed by a personal physician. Eight medical release forms were not </w:t>
      </w:r>
      <w:proofErr w:type="gramStart"/>
      <w:r w:rsidRPr="00E33C63">
        <w:t>returned</w:t>
      </w:r>
      <w:proofErr w:type="gramEnd"/>
      <w:r w:rsidRPr="00E33C63">
        <w:t xml:space="preserve"> and participants were excluded. Thirty participants were enrolled and scheduled for the baseline laboratory visit. Four out of 30 dropped out before baseline testing. This yielded a final sample of 26 people with MS who were randomized and enrolled into the intervention (</w:t>
      </w:r>
      <w:r w:rsidRPr="00E33C63">
        <w:rPr>
          <w:rStyle w:val="Emphasis"/>
          <w:rFonts w:eastAsiaTheme="majorEastAsia"/>
          <w:color w:val="2E2E2E"/>
        </w:rPr>
        <w:t>n</w:t>
      </w:r>
      <w:r w:rsidRPr="00E33C63">
        <w:t> = 16) or control condition (</w:t>
      </w:r>
      <w:r w:rsidRPr="00E33C63">
        <w:rPr>
          <w:rStyle w:val="Emphasis"/>
          <w:rFonts w:eastAsiaTheme="majorEastAsia"/>
          <w:color w:val="2E2E2E"/>
        </w:rPr>
        <w:t>n</w:t>
      </w:r>
      <w:r w:rsidRPr="00E33C63">
        <w:t> = 10); resulting in nearly 87% retention rate. Twenty-five out of 26 participants completed the study and post-intervention assessments (96% completion rate). Regarding attrition, one participant randomized into the intervention condition did not complete the study. This participant dropped out of the study at week 6 (i.e., due to hospitalization followed by death unrelated to the study). Data from this participant were not included in our analysis of intervention outcomes.</w:t>
      </w:r>
    </w:p>
    <w:p w14:paraId="661D6533" w14:textId="28A47D36" w:rsidR="007B26FC" w:rsidRDefault="007B26FC" w:rsidP="00E33C63">
      <w:pPr>
        <w:spacing w:after="0" w:line="390" w:lineRule="atLeast"/>
        <w:rPr>
          <w:color w:val="2E2E2E"/>
          <w:sz w:val="27"/>
          <w:szCs w:val="27"/>
        </w:rPr>
      </w:pPr>
      <w:r>
        <w:rPr>
          <w:noProof/>
          <w:color w:val="2E2E2E"/>
          <w:sz w:val="27"/>
          <w:szCs w:val="27"/>
        </w:rPr>
        <w:drawing>
          <wp:inline distT="0" distB="0" distL="0" distR="0" wp14:anchorId="5B1FF5C9" wp14:editId="30BD039D">
            <wp:extent cx="2743200" cy="3273552"/>
            <wp:effectExtent l="0" t="0" r="0" b="3175"/>
            <wp:docPr id="2" name="Picture 2" descr="Fig. 2. CONSORT diagram. Note: In addition there were *27 invalid emails and **11 invalid phone numb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3273552"/>
                    </a:xfrm>
                    <a:prstGeom prst="rect">
                      <a:avLst/>
                    </a:prstGeom>
                    <a:noFill/>
                    <a:ln>
                      <a:noFill/>
                    </a:ln>
                  </pic:spPr>
                </pic:pic>
              </a:graphicData>
            </a:graphic>
          </wp:inline>
        </w:drawing>
      </w:r>
    </w:p>
    <w:p w14:paraId="189AD363" w14:textId="4C992971" w:rsidR="007B26FC" w:rsidRDefault="007B26FC" w:rsidP="00E33C63">
      <w:pPr>
        <w:pStyle w:val="NoSpacing"/>
      </w:pPr>
      <w:r>
        <w:rPr>
          <w:rStyle w:val="label"/>
          <w:color w:val="323232"/>
        </w:rPr>
        <w:t>Fig. 2</w:t>
      </w:r>
      <w:r>
        <w:t xml:space="preserve">. CONSORT diagram. Note: In </w:t>
      </w:r>
      <w:proofErr w:type="gramStart"/>
      <w:r>
        <w:t>addition</w:t>
      </w:r>
      <w:proofErr w:type="gramEnd"/>
      <w:r>
        <w:t xml:space="preserve"> there were *27 invalid emails and **11 invalid phone numbers.</w:t>
      </w:r>
    </w:p>
    <w:p w14:paraId="2AD7B04A" w14:textId="77777777" w:rsidR="00E33C63" w:rsidRDefault="00E33C63" w:rsidP="007B26FC">
      <w:pPr>
        <w:pStyle w:val="NormalWeb"/>
        <w:spacing w:before="0" w:beforeAutospacing="0" w:after="0" w:afterAutospacing="0" w:line="330" w:lineRule="atLeast"/>
        <w:ind w:left="360" w:right="360"/>
        <w:rPr>
          <w:color w:val="323232"/>
        </w:rPr>
      </w:pPr>
    </w:p>
    <w:p w14:paraId="06AC2CB3" w14:textId="77777777" w:rsidR="007B26FC" w:rsidRDefault="007B26FC" w:rsidP="00E33C63">
      <w:pPr>
        <w:pStyle w:val="Heading2"/>
      </w:pPr>
      <w:r>
        <w:t>3.3. Resources feasibility; communication and monetary requirements</w:t>
      </w:r>
    </w:p>
    <w:p w14:paraId="163B7731" w14:textId="77777777" w:rsidR="007B26FC" w:rsidRPr="00E33C63" w:rsidRDefault="007B26FC" w:rsidP="00E33C63">
      <w:r w:rsidRPr="00E33C63">
        <w:t>The phone calls conducted for recruitment purposes (i.e., study presentation) took on average &lt;10 min. Phone calls for recruitment plus screening ranged between 12 and 15 min. The mean time to receive signed medical release forms was 7 days, and 30% of the sample required a follow-up phone call with the personal physician for receipt of medical clearance. The majority (</w:t>
      </w:r>
      <w:r w:rsidRPr="00E33C63">
        <w:rPr>
          <w:rStyle w:val="Emphasis"/>
          <w:rFonts w:eastAsiaTheme="majorEastAsia"/>
          <w:color w:val="2E2E2E"/>
        </w:rPr>
        <w:t>n</w:t>
      </w:r>
      <w:r w:rsidRPr="00E33C63">
        <w:t> = 14; 93%) of participants in the intervention condition received all weekly Skype™ calls. One participant in the intervention group had problems with the computer and the weekly interaction was done via regular phone call. Seventy percent of the participants (</w:t>
      </w:r>
      <w:r w:rsidRPr="00E33C63">
        <w:rPr>
          <w:rStyle w:val="Emphasis"/>
          <w:rFonts w:eastAsiaTheme="majorEastAsia"/>
          <w:color w:val="2E2E2E"/>
        </w:rPr>
        <w:t>n</w:t>
      </w:r>
      <w:r w:rsidRPr="00E33C63">
        <w:t> = 7) in the control group received the weekly interactions through Skype calls. Three participants in the control condition did not feel comfortable using a computer and preferred to do the weekly interaction via regular phone calls.</w:t>
      </w:r>
    </w:p>
    <w:p w14:paraId="02585411" w14:textId="77777777" w:rsidR="007B26FC" w:rsidRPr="00E33C63" w:rsidRDefault="007B26FC" w:rsidP="00E33C63">
      <w:r w:rsidRPr="00E33C63">
        <w:t xml:space="preserve">The total study cost was $13,387.00 USD. </w:t>
      </w:r>
      <w:proofErr w:type="gramStart"/>
      <w:r w:rsidRPr="00E33C63">
        <w:t>This total included costs</w:t>
      </w:r>
      <w:proofErr w:type="gramEnd"/>
      <w:r w:rsidRPr="00E33C63">
        <w:t xml:space="preserve"> related to equipment (i.e., SSE customized mats and pedometers; $6982.00 USD), materials (i.e., colored photocopies and binders; approximately $155.00 USD), and participant incentive ($6250.00 USD). The total costs do not include personal costs (i.e., research assistants and investigators).</w:t>
      </w:r>
    </w:p>
    <w:p w14:paraId="119DCBAC" w14:textId="77777777" w:rsidR="007B26FC" w:rsidRDefault="007B26FC" w:rsidP="00E33C63">
      <w:pPr>
        <w:pStyle w:val="Heading2"/>
        <w:rPr>
          <w:sz w:val="27"/>
          <w:szCs w:val="27"/>
        </w:rPr>
      </w:pPr>
      <w:r>
        <w:t>3.4. Management feasibility: data management and safety reporting during the study</w:t>
      </w:r>
    </w:p>
    <w:p w14:paraId="6D9B4180" w14:textId="77777777" w:rsidR="007B26FC" w:rsidRPr="00E33C63" w:rsidRDefault="007B26FC" w:rsidP="00E33C63">
      <w:r w:rsidRPr="00E33C63">
        <w:t>The study protocol was submitted to the university IRB on November 29th, 2015 and received approval on January 11, 2016. This represented 43 days from initial submission through approval.</w:t>
      </w:r>
    </w:p>
    <w:p w14:paraId="782CCF4C" w14:textId="77777777" w:rsidR="007B26FC" w:rsidRPr="00E33C63" w:rsidRDefault="007B26FC" w:rsidP="00E33C63">
      <w:r w:rsidRPr="00E33C63">
        <w:t>The time necessary to complete the study totaled 349 h (h). This time was distributed across discussions and meetings between investigators and staff (48 h), recruitment (database creation, email preparation, journal and website advertisement creation, participation in MS-related event; 35 h), recruitment phone calls (40 h); material preparation (36 h), data entry and checking (41 h), weekly Skype™ calls (33h) and visits with the exercise trainer (112</w:t>
      </w:r>
      <w:r w:rsidRPr="00E33C63">
        <w:rPr>
          <w:rStyle w:val="Emphasis"/>
          <w:rFonts w:eastAsiaTheme="majorEastAsia"/>
          <w:color w:val="2E2E2E"/>
        </w:rPr>
        <w:t>h</w:t>
      </w:r>
      <w:r w:rsidRPr="00E33C63">
        <w:t xml:space="preserve">). Of note, three participants in the intervention group only made it to the first visit with the exercise trainer due to the distance from their residence to the laboratory (3 to 3.5 h) and the lack of someone to drive them. For these participants, new step patterns were sent by email and participants were asked to print a hardcopy to be included in their binder. A research staff was responsible to follow up with participants through phone/video call and proceed as close as possible to a normal laboratory visit with the exercise trainer (please refer to item 2.2.1 intervention condition). Nevertheless, the </w:t>
      </w:r>
      <w:proofErr w:type="gramStart"/>
      <w:r w:rsidRPr="00E33C63">
        <w:t>112 h</w:t>
      </w:r>
      <w:proofErr w:type="gramEnd"/>
      <w:r w:rsidRPr="00E33C63">
        <w:t xml:space="preserve"> mentioned above include the hours of these three participants. An additional 4 h were necessary to retrieve the mats from three participants who were unable or forgot to return the mat in the post-assessment session.</w:t>
      </w:r>
    </w:p>
    <w:p w14:paraId="6A1983ED" w14:textId="77777777" w:rsidR="007B26FC" w:rsidRDefault="007B26FC" w:rsidP="00E33C63">
      <w:pPr>
        <w:pStyle w:val="Heading2"/>
        <w:rPr>
          <w:sz w:val="27"/>
          <w:szCs w:val="27"/>
        </w:rPr>
      </w:pPr>
      <w:r>
        <w:t>3.5. Scientific; assesses the safety, burden and treatment effect of the study</w:t>
      </w:r>
    </w:p>
    <w:p w14:paraId="6FE71BE6" w14:textId="77777777" w:rsidR="007B26FC" w:rsidRDefault="007B26FC" w:rsidP="00E33C63">
      <w:pPr>
        <w:pStyle w:val="Heading3"/>
      </w:pPr>
      <w:r>
        <w:t>3.5.1. Safety</w:t>
      </w:r>
    </w:p>
    <w:p w14:paraId="1026299D" w14:textId="77777777" w:rsidR="007B26FC" w:rsidRDefault="007B26FC" w:rsidP="00E33C63">
      <w:r>
        <w:t>Two participants in the intervention condition reported adverse events that were unrelated to the study during the 12-week intervention period. One person reported a fall (i.e., slipped in the wet garage) and another person was hospitalized during the study due to a generalized infection and passed away. One person in the control condition reported a discomfort during one of the stretch exercises (i.e., neck stretching) and the specific exercise was removed from participant's exercises by the exercise trainer.</w:t>
      </w:r>
    </w:p>
    <w:p w14:paraId="2317249C" w14:textId="77777777" w:rsidR="007B26FC" w:rsidRPr="00E33C63" w:rsidRDefault="007B26FC" w:rsidP="00E33C63">
      <w:pPr>
        <w:pStyle w:val="Heading3"/>
      </w:pPr>
      <w:r w:rsidRPr="00E33C63">
        <w:t>3.5.2. Burden</w:t>
      </w:r>
    </w:p>
    <w:p w14:paraId="49E42D78" w14:textId="77777777" w:rsidR="007B26FC" w:rsidRPr="00E33C63" w:rsidRDefault="007B26FC" w:rsidP="00E33C63">
      <w:r w:rsidRPr="00E33C63">
        <w:t>The mean time to complete baseline assessment for all participants was 115 min (SD = 17 min) and the mean time to complete follow-up assessments for all participants was 89 min (SD = 11 min). The average time for the weekly Skype™ calls per participant was 7 min (± 3 min). The average time for the biweekly meeting with the exercise trainer per participant was 45 min (± 6 min).</w:t>
      </w:r>
    </w:p>
    <w:p w14:paraId="51B1224B" w14:textId="77777777" w:rsidR="007B26FC" w:rsidRDefault="007B26FC" w:rsidP="00E33C63">
      <w:pPr>
        <w:rPr>
          <w:sz w:val="24"/>
          <w:szCs w:val="24"/>
        </w:rPr>
      </w:pPr>
      <w:r>
        <w:t>3.5.3. Compliance</w:t>
      </w:r>
    </w:p>
    <w:p w14:paraId="137D7EF3" w14:textId="77777777" w:rsidR="007B26FC" w:rsidRPr="00E33C63" w:rsidRDefault="007B26FC" w:rsidP="00E33C63">
      <w:r w:rsidRPr="00E33C63">
        <w:t>Four (27%) participants in the intervention condition asked to reschedule the weekly Skype™ calls, but the rescheduled calls were within 2 days from the original scheduled date. Seven (47%) participants in the intervention condition missed at least one of the biweekly meetings with the exercise trainer (range: 1–3 meetings). Compliance in the intervention group was further verified through the SSE home practice (i.e., average steps per week of session) and through the logbook where information on data and time of practice were available. </w:t>
      </w:r>
      <w:bookmarkStart w:id="41" w:name="bf0015"/>
      <w:r w:rsidRPr="00E33C63">
        <w:fldChar w:fldCharType="begin"/>
      </w:r>
      <w:r w:rsidRPr="00E33C63">
        <w:instrText xml:space="preserve"> HYPERLINK "https://0-www-sciencedirect-com.libus.csd.mu.edu/science/article/pii/S1551714418303616" \l "f0015" </w:instrText>
      </w:r>
      <w:r w:rsidRPr="00E33C63">
        <w:fldChar w:fldCharType="separate"/>
      </w:r>
      <w:r w:rsidRPr="00E33C63">
        <w:rPr>
          <w:rStyle w:val="Hyperlink"/>
          <w:rFonts w:eastAsiaTheme="majorEastAsia"/>
          <w:color w:val="0C7DBB"/>
        </w:rPr>
        <w:t>Fig. 3</w:t>
      </w:r>
      <w:r w:rsidRPr="00E33C63">
        <w:fldChar w:fldCharType="end"/>
      </w:r>
      <w:r w:rsidRPr="00E33C63">
        <w:t> displays the average steps per week performed during the SSE sessions. Paired samples </w:t>
      </w:r>
      <w:r w:rsidRPr="00E33C63">
        <w:rPr>
          <w:rStyle w:val="Emphasis"/>
          <w:rFonts w:eastAsiaTheme="majorEastAsia"/>
          <w:color w:val="2E2E2E"/>
        </w:rPr>
        <w:t>t-</w:t>
      </w:r>
      <w:r w:rsidRPr="00E33C63">
        <w:t>tests indicated a statistically significant difference on the average number of steps between weeks 1 and 6 [</w:t>
      </w:r>
      <w:proofErr w:type="gramStart"/>
      <w:r w:rsidRPr="00E33C63">
        <w:t>t(</w:t>
      </w:r>
      <w:proofErr w:type="gramEnd"/>
      <w:r w:rsidRPr="00E33C63">
        <w:t>14) = −15.670; P &lt; 0.001] and between weeks 6 and 12 [t(14) = −11.293; P &lt; 0.001]. The average difference in steps per week from week 1 to 12 was approximately 8073 steps. Such difference was also found to be statistically significant [</w:t>
      </w:r>
      <w:proofErr w:type="gramStart"/>
      <w:r w:rsidRPr="00E33C63">
        <w:t>t(</w:t>
      </w:r>
      <w:proofErr w:type="gramEnd"/>
      <w:r w:rsidRPr="00E33C63">
        <w:t>14) = −18.203; P &lt; .001].</w:t>
      </w:r>
    </w:p>
    <w:p w14:paraId="507BF2BD" w14:textId="479FD489" w:rsidR="007B26FC" w:rsidRDefault="007B26FC" w:rsidP="00E33C63">
      <w:pPr>
        <w:spacing w:after="0" w:line="390" w:lineRule="atLeast"/>
        <w:rPr>
          <w:color w:val="2E2E2E"/>
          <w:sz w:val="27"/>
          <w:szCs w:val="27"/>
        </w:rPr>
      </w:pPr>
      <w:r>
        <w:rPr>
          <w:noProof/>
          <w:color w:val="2E2E2E"/>
          <w:sz w:val="27"/>
          <w:szCs w:val="27"/>
        </w:rPr>
        <w:drawing>
          <wp:inline distT="0" distB="0" distL="0" distR="0" wp14:anchorId="7424FFC6" wp14:editId="0DA64C28">
            <wp:extent cx="2743200" cy="1499616"/>
            <wp:effectExtent l="0" t="0" r="0" b="5715"/>
            <wp:docPr id="1" name="Picture 1" descr="Fig. 3. Average number of steps accumulated per week of square-stepping exercise home prac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743200" cy="1499616"/>
                    </a:xfrm>
                    <a:prstGeom prst="rect">
                      <a:avLst/>
                    </a:prstGeom>
                    <a:noFill/>
                    <a:ln>
                      <a:noFill/>
                    </a:ln>
                  </pic:spPr>
                </pic:pic>
              </a:graphicData>
            </a:graphic>
          </wp:inline>
        </w:drawing>
      </w:r>
    </w:p>
    <w:p w14:paraId="0A391EED" w14:textId="0EFF8DEE" w:rsidR="007B26FC" w:rsidRDefault="007B26FC" w:rsidP="00E33C63">
      <w:pPr>
        <w:pStyle w:val="NoSpacing"/>
      </w:pPr>
      <w:r>
        <w:rPr>
          <w:rStyle w:val="label"/>
          <w:color w:val="323232"/>
        </w:rPr>
        <w:t>Fig. 3</w:t>
      </w:r>
      <w:r>
        <w:t>. Average number of steps accumulated per week of square-stepping exercise home practice.</w:t>
      </w:r>
    </w:p>
    <w:p w14:paraId="7CF49848" w14:textId="77777777" w:rsidR="00E33C63" w:rsidRDefault="00E33C63" w:rsidP="007B26FC">
      <w:pPr>
        <w:pStyle w:val="NormalWeb"/>
        <w:spacing w:before="0" w:beforeAutospacing="0" w:after="0" w:afterAutospacing="0" w:line="330" w:lineRule="atLeast"/>
        <w:ind w:left="360" w:right="360"/>
        <w:rPr>
          <w:color w:val="323232"/>
        </w:rPr>
      </w:pPr>
    </w:p>
    <w:p w14:paraId="4C642810" w14:textId="77777777" w:rsidR="007B26FC" w:rsidRPr="00E33C63" w:rsidRDefault="007B26FC" w:rsidP="00E33C63">
      <w:r w:rsidRPr="00E33C63">
        <w:t>Regarding the control group, one participant (10%) could not be reached for the first scheduled weekly skype call due to traveling. Three (30%) participants in the control group missed one biweekly face-to-face meeting each with the exercise trainer. Compliance in the control group was further verified through a date and time sheet form that was provided to the participants and checked during the biweekly laboratory visits.</w:t>
      </w:r>
    </w:p>
    <w:p w14:paraId="3961CFF8" w14:textId="77777777" w:rsidR="007B26FC" w:rsidRDefault="007B26FC" w:rsidP="00E33C63">
      <w:pPr>
        <w:pStyle w:val="Heading3"/>
      </w:pPr>
      <w:r>
        <w:t>3.5.4. Scientific metrics of treatment outcomes</w:t>
      </w:r>
    </w:p>
    <w:bookmarkStart w:id="42" w:name="bt0020"/>
    <w:p w14:paraId="787434FB" w14:textId="77777777" w:rsidR="007B26FC" w:rsidRPr="00E33C63" w:rsidRDefault="007B26FC" w:rsidP="00E33C63">
      <w:r w:rsidRPr="00E33C63">
        <w:fldChar w:fldCharType="begin"/>
      </w:r>
      <w:r w:rsidRPr="00E33C63">
        <w:instrText xml:space="preserve"> HYPERLINK "https://0-www-sciencedirect-com.libus.csd.mu.edu/science/article/pii/S1551714418303616" \l "t0020" </w:instrText>
      </w:r>
      <w:r w:rsidRPr="00E33C63">
        <w:fldChar w:fldCharType="separate"/>
      </w:r>
      <w:r w:rsidRPr="00E33C63">
        <w:rPr>
          <w:rStyle w:val="Hyperlink"/>
          <w:rFonts w:eastAsiaTheme="majorEastAsia"/>
          <w:color w:val="0C7DBB"/>
        </w:rPr>
        <w:t>Table 4</w:t>
      </w:r>
      <w:r w:rsidRPr="00E33C63">
        <w:fldChar w:fldCharType="end"/>
      </w:r>
      <w:bookmarkEnd w:id="42"/>
      <w:r w:rsidRPr="00E33C63">
        <w:t> presents the effect sizes (η</w:t>
      </w:r>
      <w:r w:rsidRPr="00E33C63">
        <w:rPr>
          <w:vertAlign w:val="subscript"/>
        </w:rPr>
        <w:t>p</w:t>
      </w:r>
      <w:r w:rsidRPr="00E33C63">
        <w:rPr>
          <w:vertAlign w:val="superscript"/>
        </w:rPr>
        <w:t>2</w:t>
      </w:r>
      <w:r w:rsidRPr="00E33C63">
        <w:t xml:space="preserve">) associated with the time by condition interaction for </w:t>
      </w:r>
      <w:proofErr w:type="gramStart"/>
      <w:r w:rsidRPr="00E33C63">
        <w:t>all of</w:t>
      </w:r>
      <w:proofErr w:type="gramEnd"/>
      <w:r w:rsidRPr="00E33C63">
        <w:t xml:space="preserve"> the outcome variables included in the study. Regarding physical functioning outcomes, there were no statistically significant time by group interactions on T25FW (</w:t>
      </w:r>
      <w:r w:rsidRPr="00E33C63">
        <w:rPr>
          <w:rStyle w:val="Emphasis"/>
          <w:rFonts w:eastAsiaTheme="majorEastAsia"/>
          <w:color w:val="2E2E2E"/>
        </w:rPr>
        <w:t>F</w:t>
      </w:r>
      <w:r w:rsidRPr="00E33C63">
        <w:t> = .398, </w:t>
      </w:r>
      <w:r w:rsidRPr="00E33C63">
        <w:rPr>
          <w:rStyle w:val="Emphasis"/>
          <w:rFonts w:eastAsiaTheme="majorEastAsia"/>
          <w:color w:val="2E2E2E"/>
        </w:rPr>
        <w:t>P</w:t>
      </w:r>
      <w:r w:rsidRPr="00E33C63">
        <w:t> = .534, η</w:t>
      </w:r>
      <w:r w:rsidRPr="00E33C63">
        <w:rPr>
          <w:vertAlign w:val="subscript"/>
        </w:rPr>
        <w:t>p</w:t>
      </w:r>
      <w:r w:rsidRPr="00E33C63">
        <w:rPr>
          <w:vertAlign w:val="superscript"/>
        </w:rPr>
        <w:t>2</w:t>
      </w:r>
      <w:r w:rsidRPr="00E33C63">
        <w:t> = .017), TUG (</w:t>
      </w:r>
      <w:r w:rsidRPr="00E33C63">
        <w:rPr>
          <w:rStyle w:val="Emphasis"/>
          <w:rFonts w:eastAsiaTheme="majorEastAsia"/>
          <w:color w:val="2E2E2E"/>
        </w:rPr>
        <w:t>F</w:t>
      </w:r>
      <w:r w:rsidRPr="00E33C63">
        <w:t> = .306, </w:t>
      </w:r>
      <w:r w:rsidRPr="00E33C63">
        <w:rPr>
          <w:rStyle w:val="Emphasis"/>
          <w:rFonts w:eastAsiaTheme="majorEastAsia"/>
          <w:color w:val="2E2E2E"/>
        </w:rPr>
        <w:t>P</w:t>
      </w:r>
      <w:r w:rsidRPr="00E33C63">
        <w:t> = .586, η</w:t>
      </w:r>
      <w:r w:rsidRPr="00E33C63">
        <w:rPr>
          <w:vertAlign w:val="subscript"/>
        </w:rPr>
        <w:t>p</w:t>
      </w:r>
      <w:r w:rsidRPr="00E33C63">
        <w:rPr>
          <w:vertAlign w:val="superscript"/>
        </w:rPr>
        <w:t>2</w:t>
      </w:r>
      <w:r w:rsidRPr="00E33C63">
        <w:t> = .014), 6 MW (</w:t>
      </w:r>
      <w:r w:rsidRPr="00E33C63">
        <w:rPr>
          <w:rStyle w:val="Emphasis"/>
          <w:rFonts w:eastAsiaTheme="majorEastAsia"/>
          <w:color w:val="2E2E2E"/>
        </w:rPr>
        <w:t>F</w:t>
      </w:r>
      <w:r w:rsidRPr="00E33C63">
        <w:t> = .001, </w:t>
      </w:r>
      <w:r w:rsidRPr="00E33C63">
        <w:rPr>
          <w:rStyle w:val="Emphasis"/>
          <w:rFonts w:eastAsiaTheme="majorEastAsia"/>
          <w:color w:val="2E2E2E"/>
        </w:rPr>
        <w:t>P</w:t>
      </w:r>
      <w:r w:rsidRPr="00E33C63">
        <w:t> = .983, η</w:t>
      </w:r>
      <w:r w:rsidRPr="00E33C63">
        <w:rPr>
          <w:vertAlign w:val="subscript"/>
        </w:rPr>
        <w:t>p</w:t>
      </w:r>
      <w:r w:rsidRPr="00E33C63">
        <w:rPr>
          <w:vertAlign w:val="superscript"/>
        </w:rPr>
        <w:t>2</w:t>
      </w:r>
      <w:r w:rsidRPr="00E33C63">
        <w:t> = .001), or SPPB (</w:t>
      </w:r>
      <w:r w:rsidRPr="00E33C63">
        <w:rPr>
          <w:rStyle w:val="Emphasis"/>
          <w:rFonts w:eastAsiaTheme="majorEastAsia"/>
          <w:color w:val="2E2E2E"/>
        </w:rPr>
        <w:t>F</w:t>
      </w:r>
      <w:r w:rsidRPr="00E33C63">
        <w:t> = .1.347, </w:t>
      </w:r>
      <w:r w:rsidRPr="00E33C63">
        <w:rPr>
          <w:rStyle w:val="Emphasis"/>
          <w:rFonts w:eastAsiaTheme="majorEastAsia"/>
          <w:color w:val="2E2E2E"/>
        </w:rPr>
        <w:t>P</w:t>
      </w:r>
      <w:r w:rsidRPr="00E33C63">
        <w:t> = .258, η</w:t>
      </w:r>
      <w:r w:rsidRPr="00E33C63">
        <w:rPr>
          <w:vertAlign w:val="subscript"/>
        </w:rPr>
        <w:t>p</w:t>
      </w:r>
      <w:r w:rsidRPr="00E33C63">
        <w:rPr>
          <w:vertAlign w:val="superscript"/>
        </w:rPr>
        <w:t>2</w:t>
      </w:r>
      <w:r w:rsidRPr="00E33C63">
        <w:t> = .055). The lack of significance is likely due to the small sample size and associated impact on statistical power for a feasibility study. However, effect sizes as Cohen's d demonstrate a small-to-moderate improvement for these outcomes in the SSE condition, with the largest effect size for the T25FW (</w:t>
      </w:r>
      <w:r w:rsidRPr="00E33C63">
        <w:rPr>
          <w:rStyle w:val="Emphasis"/>
          <w:rFonts w:eastAsiaTheme="majorEastAsia"/>
          <w:color w:val="2E2E2E"/>
        </w:rPr>
        <w:t>d</w:t>
      </w:r>
      <w:r w:rsidRPr="00E33C63">
        <w:t> = −.34) and SPPB (</w:t>
      </w:r>
      <w:r w:rsidRPr="00E33C63">
        <w:rPr>
          <w:rStyle w:val="Emphasis"/>
          <w:rFonts w:eastAsiaTheme="majorEastAsia"/>
          <w:color w:val="2E2E2E"/>
        </w:rPr>
        <w:t>d</w:t>
      </w:r>
      <w:r w:rsidRPr="00E33C63">
        <w:t> = .30). Similar results were observed for cognitive functioning outcomes. There was no statistically significant time by group interactions on SDMT (</w:t>
      </w:r>
      <w:r w:rsidRPr="00E33C63">
        <w:rPr>
          <w:rStyle w:val="Emphasis"/>
          <w:rFonts w:eastAsiaTheme="majorEastAsia"/>
          <w:color w:val="2E2E2E"/>
        </w:rPr>
        <w:t>F</w:t>
      </w:r>
      <w:r w:rsidRPr="00E33C63">
        <w:t> = .163, </w:t>
      </w:r>
      <w:r w:rsidRPr="00E33C63">
        <w:rPr>
          <w:rStyle w:val="Emphasis"/>
          <w:rFonts w:eastAsiaTheme="majorEastAsia"/>
          <w:color w:val="2E2E2E"/>
        </w:rPr>
        <w:t>P</w:t>
      </w:r>
      <w:r w:rsidRPr="00E33C63">
        <w:t> = .691, η</w:t>
      </w:r>
      <w:r w:rsidRPr="00E33C63">
        <w:rPr>
          <w:vertAlign w:val="subscript"/>
        </w:rPr>
        <w:t>p</w:t>
      </w:r>
      <w:r w:rsidRPr="00E33C63">
        <w:rPr>
          <w:vertAlign w:val="superscript"/>
        </w:rPr>
        <w:t>2</w:t>
      </w:r>
      <w:r w:rsidRPr="00E33C63">
        <w:t> = .007), CVLT (</w:t>
      </w:r>
      <w:r w:rsidRPr="00E33C63">
        <w:rPr>
          <w:rStyle w:val="Emphasis"/>
          <w:rFonts w:eastAsiaTheme="majorEastAsia"/>
          <w:color w:val="2E2E2E"/>
        </w:rPr>
        <w:t>F</w:t>
      </w:r>
      <w:r w:rsidRPr="00E33C63">
        <w:t> = .764, </w:t>
      </w:r>
      <w:r w:rsidRPr="00E33C63">
        <w:rPr>
          <w:rStyle w:val="Emphasis"/>
          <w:rFonts w:eastAsiaTheme="majorEastAsia"/>
          <w:color w:val="2E2E2E"/>
        </w:rPr>
        <w:t>P</w:t>
      </w:r>
      <w:r w:rsidRPr="00E33C63">
        <w:t> = .391, η</w:t>
      </w:r>
      <w:r w:rsidRPr="00E33C63">
        <w:rPr>
          <w:vertAlign w:val="subscript"/>
        </w:rPr>
        <w:t>p</w:t>
      </w:r>
      <w:r w:rsidRPr="00E33C63">
        <w:rPr>
          <w:vertAlign w:val="superscript"/>
        </w:rPr>
        <w:t>2</w:t>
      </w:r>
      <w:r w:rsidRPr="00E33C63">
        <w:t> = .032) or BVMT (</w:t>
      </w:r>
      <w:r w:rsidRPr="00E33C63">
        <w:rPr>
          <w:rStyle w:val="Emphasis"/>
          <w:rFonts w:eastAsiaTheme="majorEastAsia"/>
          <w:color w:val="2E2E2E"/>
        </w:rPr>
        <w:t>F</w:t>
      </w:r>
      <w:r w:rsidRPr="00E33C63">
        <w:t> = 2.417, </w:t>
      </w:r>
      <w:r w:rsidRPr="00E33C63">
        <w:rPr>
          <w:rStyle w:val="Emphasis"/>
          <w:rFonts w:eastAsiaTheme="majorEastAsia"/>
          <w:color w:val="2E2E2E"/>
        </w:rPr>
        <w:t>P</w:t>
      </w:r>
      <w:r w:rsidRPr="00E33C63">
        <w:t> = .134, η</w:t>
      </w:r>
      <w:r w:rsidRPr="00E33C63">
        <w:rPr>
          <w:vertAlign w:val="subscript"/>
        </w:rPr>
        <w:t>p</w:t>
      </w:r>
      <w:r w:rsidRPr="00E33C63">
        <w:rPr>
          <w:vertAlign w:val="superscript"/>
        </w:rPr>
        <w:t>2</w:t>
      </w:r>
      <w:r w:rsidRPr="00E33C63">
        <w:t> = .095). However, effect sizes highlight the small-to-moderate improvements in the SSE condition, with the largest effect sizes for the CVLT (</w:t>
      </w:r>
      <w:r w:rsidRPr="00E33C63">
        <w:rPr>
          <w:rStyle w:val="Emphasis"/>
          <w:rFonts w:eastAsiaTheme="majorEastAsia"/>
          <w:color w:val="2E2E2E"/>
        </w:rPr>
        <w:t>d</w:t>
      </w:r>
      <w:r w:rsidRPr="00E33C63">
        <w:t> = .40) and BVMT (</w:t>
      </w:r>
      <w:r w:rsidRPr="00E33C63">
        <w:rPr>
          <w:rStyle w:val="Emphasis"/>
          <w:rFonts w:eastAsiaTheme="majorEastAsia"/>
          <w:color w:val="2E2E2E"/>
        </w:rPr>
        <w:t>d</w:t>
      </w:r>
      <w:r w:rsidRPr="00E33C63">
        <w:t> = .34).</w:t>
      </w:r>
    </w:p>
    <w:p w14:paraId="1D2183DC" w14:textId="77777777" w:rsidR="007B26FC" w:rsidRPr="00E33C63" w:rsidRDefault="007B26FC" w:rsidP="00E33C63">
      <w:pPr>
        <w:pStyle w:val="NoSpacing"/>
      </w:pPr>
      <w:r w:rsidRPr="00E33C63">
        <w:rPr>
          <w:rStyle w:val="label"/>
          <w:color w:val="323232"/>
        </w:rPr>
        <w:t>Table 4</w:t>
      </w:r>
      <w:r w:rsidRPr="00E33C63">
        <w:t>. Outcomes at baseline and follow-up in the intervention (n = 15) and control (n = 10) groups.</w:t>
      </w:r>
    </w:p>
    <w:tbl>
      <w:tblPr>
        <w:tblStyle w:val="TableGrid"/>
        <w:tblW w:w="5000" w:type="pct"/>
        <w:tblLook w:val="04A0" w:firstRow="1" w:lastRow="0" w:firstColumn="1" w:lastColumn="0" w:noHBand="0" w:noVBand="1"/>
      </w:tblPr>
      <w:tblGrid>
        <w:gridCol w:w="1550"/>
        <w:gridCol w:w="1355"/>
        <w:gridCol w:w="1041"/>
        <w:gridCol w:w="1444"/>
        <w:gridCol w:w="1098"/>
        <w:gridCol w:w="1328"/>
        <w:gridCol w:w="906"/>
        <w:gridCol w:w="607"/>
        <w:gridCol w:w="741"/>
      </w:tblGrid>
      <w:tr w:rsidR="00462E76" w14:paraId="21AD4B04" w14:textId="77777777" w:rsidTr="00462E76">
        <w:tc>
          <w:tcPr>
            <w:tcW w:w="770" w:type="pct"/>
            <w:hideMark/>
          </w:tcPr>
          <w:p w14:paraId="29CC605F" w14:textId="77777777" w:rsidR="00462E76" w:rsidRDefault="00462E76" w:rsidP="00E33C63">
            <w:pPr>
              <w:pStyle w:val="NoSpacing"/>
            </w:pPr>
            <w:r>
              <w:t>Outcome assessment</w:t>
            </w:r>
          </w:p>
        </w:tc>
        <w:tc>
          <w:tcPr>
            <w:tcW w:w="673" w:type="pct"/>
            <w:hideMark/>
          </w:tcPr>
          <w:p w14:paraId="157824BD" w14:textId="77777777" w:rsidR="00462E76" w:rsidRDefault="00462E76" w:rsidP="00E33C63">
            <w:pPr>
              <w:pStyle w:val="NoSpacing"/>
            </w:pPr>
            <w:r>
              <w:t>Baseline</w:t>
            </w:r>
          </w:p>
        </w:tc>
        <w:tc>
          <w:tcPr>
            <w:tcW w:w="517" w:type="pct"/>
          </w:tcPr>
          <w:p w14:paraId="2099E100" w14:textId="58CB974C" w:rsidR="00462E76" w:rsidRDefault="00462E76" w:rsidP="00E33C63">
            <w:pPr>
              <w:pStyle w:val="NoSpacing"/>
            </w:pPr>
          </w:p>
        </w:tc>
        <w:tc>
          <w:tcPr>
            <w:tcW w:w="717" w:type="pct"/>
            <w:hideMark/>
          </w:tcPr>
          <w:p w14:paraId="4BB16398" w14:textId="77777777" w:rsidR="00462E76" w:rsidRDefault="00462E76" w:rsidP="00E33C63">
            <w:pPr>
              <w:pStyle w:val="NoSpacing"/>
            </w:pPr>
            <w:r>
              <w:t>Post-intervention</w:t>
            </w:r>
          </w:p>
        </w:tc>
        <w:tc>
          <w:tcPr>
            <w:tcW w:w="545" w:type="pct"/>
          </w:tcPr>
          <w:p w14:paraId="4A59713A" w14:textId="66E0733A" w:rsidR="00462E76" w:rsidRDefault="00462E76" w:rsidP="00E33C63">
            <w:pPr>
              <w:pStyle w:val="NoSpacing"/>
            </w:pPr>
          </w:p>
        </w:tc>
        <w:tc>
          <w:tcPr>
            <w:tcW w:w="659" w:type="pct"/>
            <w:hideMark/>
          </w:tcPr>
          <w:p w14:paraId="645988B2" w14:textId="77777777" w:rsidR="00462E76" w:rsidRDefault="00462E76" w:rsidP="00E33C63">
            <w:pPr>
              <w:pStyle w:val="NoSpacing"/>
            </w:pPr>
            <w:r>
              <w:t>Intervention</w:t>
            </w:r>
            <w:r>
              <w:br/>
              <w:t>Effect (</w:t>
            </w:r>
            <w:r>
              <w:rPr>
                <w:rStyle w:val="Emphasis"/>
                <w:b/>
                <w:bCs/>
                <w:sz w:val="21"/>
                <w:szCs w:val="21"/>
              </w:rPr>
              <w:t>d</w:t>
            </w:r>
            <w:r>
              <w:t>)</w:t>
            </w:r>
          </w:p>
        </w:tc>
        <w:tc>
          <w:tcPr>
            <w:tcW w:w="450" w:type="pct"/>
            <w:hideMark/>
          </w:tcPr>
          <w:p w14:paraId="59DE1191" w14:textId="77777777" w:rsidR="00462E76" w:rsidRDefault="00462E76" w:rsidP="00E33C63">
            <w:pPr>
              <w:pStyle w:val="NoSpacing"/>
            </w:pPr>
            <w:r>
              <w:t>Control</w:t>
            </w:r>
            <w:r>
              <w:br/>
              <w:t>Effect (</w:t>
            </w:r>
            <w:r>
              <w:rPr>
                <w:rStyle w:val="Emphasis"/>
                <w:b/>
                <w:bCs/>
                <w:sz w:val="21"/>
                <w:szCs w:val="21"/>
              </w:rPr>
              <w:t>d</w:t>
            </w:r>
            <w:r>
              <w:t>)</w:t>
            </w:r>
          </w:p>
        </w:tc>
        <w:tc>
          <w:tcPr>
            <w:tcW w:w="301" w:type="pct"/>
            <w:hideMark/>
          </w:tcPr>
          <w:p w14:paraId="3754E003" w14:textId="77777777" w:rsidR="00462E76" w:rsidRDefault="00462E76" w:rsidP="00E33C63">
            <w:pPr>
              <w:pStyle w:val="NoSpacing"/>
            </w:pPr>
            <w:r>
              <w:t>η</w:t>
            </w:r>
            <w:r>
              <w:rPr>
                <w:sz w:val="16"/>
                <w:szCs w:val="16"/>
                <w:vertAlign w:val="subscript"/>
              </w:rPr>
              <w:t>p</w:t>
            </w:r>
            <w:r>
              <w:rPr>
                <w:sz w:val="16"/>
                <w:szCs w:val="16"/>
                <w:vertAlign w:val="superscript"/>
              </w:rPr>
              <w:t>2</w:t>
            </w:r>
          </w:p>
        </w:tc>
        <w:tc>
          <w:tcPr>
            <w:tcW w:w="368" w:type="pct"/>
            <w:hideMark/>
          </w:tcPr>
          <w:p w14:paraId="4E22A1FD" w14:textId="77777777" w:rsidR="00462E76" w:rsidRDefault="00462E76" w:rsidP="00E33C63">
            <w:pPr>
              <w:pStyle w:val="NoSpacing"/>
            </w:pPr>
            <w:r>
              <w:rPr>
                <w:rStyle w:val="Emphasis"/>
                <w:b/>
                <w:bCs/>
                <w:sz w:val="21"/>
                <w:szCs w:val="21"/>
              </w:rPr>
              <w:t>F</w:t>
            </w:r>
            <w:r>
              <w:t>-value</w:t>
            </w:r>
          </w:p>
        </w:tc>
      </w:tr>
      <w:tr w:rsidR="00462E76" w14:paraId="4DA3BB6D" w14:textId="77777777" w:rsidTr="00462E76">
        <w:tc>
          <w:tcPr>
            <w:tcW w:w="770" w:type="pct"/>
            <w:hideMark/>
          </w:tcPr>
          <w:p w14:paraId="1023A5B5" w14:textId="77777777" w:rsidR="007B26FC" w:rsidRDefault="007B26FC" w:rsidP="00E33C63">
            <w:pPr>
              <w:pStyle w:val="NoSpacing"/>
            </w:pPr>
          </w:p>
        </w:tc>
        <w:tc>
          <w:tcPr>
            <w:tcW w:w="673" w:type="pct"/>
            <w:hideMark/>
          </w:tcPr>
          <w:p w14:paraId="4298CEA5" w14:textId="77777777" w:rsidR="007B26FC" w:rsidRDefault="007B26FC" w:rsidP="00E33C63">
            <w:pPr>
              <w:pStyle w:val="NoSpacing"/>
            </w:pPr>
            <w:r>
              <w:t>Intervention</w:t>
            </w:r>
            <w:r>
              <w:br/>
              <w:t>Mean (SD)</w:t>
            </w:r>
          </w:p>
        </w:tc>
        <w:tc>
          <w:tcPr>
            <w:tcW w:w="517" w:type="pct"/>
            <w:hideMark/>
          </w:tcPr>
          <w:p w14:paraId="7B3C6B20" w14:textId="77777777" w:rsidR="007B26FC" w:rsidRDefault="007B26FC" w:rsidP="00E33C63">
            <w:pPr>
              <w:pStyle w:val="NoSpacing"/>
            </w:pPr>
            <w:r>
              <w:t>Control</w:t>
            </w:r>
            <w:r>
              <w:br/>
              <w:t>Mean (SD)</w:t>
            </w:r>
          </w:p>
        </w:tc>
        <w:tc>
          <w:tcPr>
            <w:tcW w:w="717" w:type="pct"/>
            <w:hideMark/>
          </w:tcPr>
          <w:p w14:paraId="57E6AD00" w14:textId="77777777" w:rsidR="007B26FC" w:rsidRDefault="007B26FC" w:rsidP="00E33C63">
            <w:pPr>
              <w:pStyle w:val="NoSpacing"/>
            </w:pPr>
            <w:r>
              <w:t>Intervention</w:t>
            </w:r>
            <w:r>
              <w:br/>
              <w:t>Mean (SD)</w:t>
            </w:r>
          </w:p>
        </w:tc>
        <w:tc>
          <w:tcPr>
            <w:tcW w:w="545" w:type="pct"/>
            <w:hideMark/>
          </w:tcPr>
          <w:p w14:paraId="4787B4F0" w14:textId="77777777" w:rsidR="007B26FC" w:rsidRDefault="007B26FC" w:rsidP="00E33C63">
            <w:pPr>
              <w:pStyle w:val="NoSpacing"/>
            </w:pPr>
            <w:r>
              <w:t>Control</w:t>
            </w:r>
            <w:r>
              <w:br/>
              <w:t>Mean (SD)</w:t>
            </w:r>
          </w:p>
        </w:tc>
        <w:tc>
          <w:tcPr>
            <w:tcW w:w="659" w:type="pct"/>
            <w:hideMark/>
          </w:tcPr>
          <w:p w14:paraId="3C353028" w14:textId="77777777" w:rsidR="007B26FC" w:rsidRDefault="007B26FC" w:rsidP="00E33C63">
            <w:pPr>
              <w:pStyle w:val="NoSpacing"/>
            </w:pPr>
          </w:p>
        </w:tc>
        <w:tc>
          <w:tcPr>
            <w:tcW w:w="450" w:type="pct"/>
            <w:hideMark/>
          </w:tcPr>
          <w:p w14:paraId="5F85479F" w14:textId="77777777" w:rsidR="007B26FC" w:rsidRDefault="007B26FC" w:rsidP="00E33C63">
            <w:pPr>
              <w:pStyle w:val="NoSpacing"/>
            </w:pPr>
          </w:p>
        </w:tc>
        <w:tc>
          <w:tcPr>
            <w:tcW w:w="301" w:type="pct"/>
            <w:hideMark/>
          </w:tcPr>
          <w:p w14:paraId="1719777B" w14:textId="77777777" w:rsidR="007B26FC" w:rsidRDefault="007B26FC" w:rsidP="00E33C63">
            <w:pPr>
              <w:pStyle w:val="NoSpacing"/>
            </w:pPr>
          </w:p>
        </w:tc>
        <w:tc>
          <w:tcPr>
            <w:tcW w:w="368" w:type="pct"/>
            <w:hideMark/>
          </w:tcPr>
          <w:p w14:paraId="47095F8F" w14:textId="77777777" w:rsidR="007B26FC" w:rsidRDefault="007B26FC" w:rsidP="00E33C63">
            <w:pPr>
              <w:pStyle w:val="NoSpacing"/>
            </w:pPr>
          </w:p>
        </w:tc>
      </w:tr>
      <w:tr w:rsidR="00462E76" w14:paraId="1820EF6F" w14:textId="77777777" w:rsidTr="00462E76">
        <w:tc>
          <w:tcPr>
            <w:tcW w:w="770" w:type="pct"/>
            <w:hideMark/>
          </w:tcPr>
          <w:p w14:paraId="1D5A3392" w14:textId="77777777" w:rsidR="007B26FC" w:rsidRDefault="007B26FC" w:rsidP="00E33C63">
            <w:pPr>
              <w:pStyle w:val="NoSpacing"/>
            </w:pPr>
            <w:r>
              <w:t>T25FW, </w:t>
            </w:r>
            <w:r>
              <w:rPr>
                <w:rStyle w:val="Emphasis"/>
                <w:b/>
                <w:bCs/>
                <w:sz w:val="21"/>
                <w:szCs w:val="21"/>
              </w:rPr>
              <w:t>sec</w:t>
            </w:r>
          </w:p>
        </w:tc>
        <w:tc>
          <w:tcPr>
            <w:tcW w:w="673" w:type="pct"/>
            <w:hideMark/>
          </w:tcPr>
          <w:p w14:paraId="28791BE4" w14:textId="77777777" w:rsidR="007B26FC" w:rsidRDefault="007B26FC" w:rsidP="00E33C63">
            <w:pPr>
              <w:pStyle w:val="NoSpacing"/>
            </w:pPr>
            <w:r>
              <w:t>6.9 (3.1)</w:t>
            </w:r>
          </w:p>
        </w:tc>
        <w:tc>
          <w:tcPr>
            <w:tcW w:w="517" w:type="pct"/>
            <w:hideMark/>
          </w:tcPr>
          <w:p w14:paraId="492FC7FA" w14:textId="77777777" w:rsidR="007B26FC" w:rsidRDefault="007B26FC" w:rsidP="00E33C63">
            <w:pPr>
              <w:pStyle w:val="NoSpacing"/>
            </w:pPr>
            <w:r>
              <w:t>8.8 (3.7)</w:t>
            </w:r>
          </w:p>
        </w:tc>
        <w:tc>
          <w:tcPr>
            <w:tcW w:w="717" w:type="pct"/>
            <w:hideMark/>
          </w:tcPr>
          <w:p w14:paraId="4917ACF8" w14:textId="77777777" w:rsidR="007B26FC" w:rsidRDefault="007B26FC" w:rsidP="00E33C63">
            <w:pPr>
              <w:pStyle w:val="NoSpacing"/>
            </w:pPr>
            <w:r>
              <w:t>6.0 (1.6)</w:t>
            </w:r>
          </w:p>
        </w:tc>
        <w:tc>
          <w:tcPr>
            <w:tcW w:w="545" w:type="pct"/>
            <w:hideMark/>
          </w:tcPr>
          <w:p w14:paraId="2C537632" w14:textId="77777777" w:rsidR="007B26FC" w:rsidRDefault="007B26FC" w:rsidP="00E33C63">
            <w:pPr>
              <w:pStyle w:val="NoSpacing"/>
            </w:pPr>
            <w:r>
              <w:t>8.5 (4.1)</w:t>
            </w:r>
          </w:p>
        </w:tc>
        <w:tc>
          <w:tcPr>
            <w:tcW w:w="659" w:type="pct"/>
            <w:hideMark/>
          </w:tcPr>
          <w:p w14:paraId="18EA1650" w14:textId="77777777" w:rsidR="007B26FC" w:rsidRDefault="007B26FC" w:rsidP="00E33C63">
            <w:pPr>
              <w:pStyle w:val="NoSpacing"/>
            </w:pPr>
            <w:r>
              <w:t>−0.34</w:t>
            </w:r>
          </w:p>
        </w:tc>
        <w:tc>
          <w:tcPr>
            <w:tcW w:w="450" w:type="pct"/>
            <w:hideMark/>
          </w:tcPr>
          <w:p w14:paraId="6766ACBD" w14:textId="77777777" w:rsidR="007B26FC" w:rsidRDefault="007B26FC" w:rsidP="00E33C63">
            <w:pPr>
              <w:pStyle w:val="NoSpacing"/>
            </w:pPr>
            <w:r>
              <w:t>−0.07</w:t>
            </w:r>
          </w:p>
        </w:tc>
        <w:tc>
          <w:tcPr>
            <w:tcW w:w="301" w:type="pct"/>
            <w:hideMark/>
          </w:tcPr>
          <w:p w14:paraId="68FDB8E8" w14:textId="77777777" w:rsidR="007B26FC" w:rsidRDefault="007B26FC" w:rsidP="00E33C63">
            <w:pPr>
              <w:pStyle w:val="NoSpacing"/>
            </w:pPr>
            <w:r>
              <w:t>.017</w:t>
            </w:r>
          </w:p>
        </w:tc>
        <w:tc>
          <w:tcPr>
            <w:tcW w:w="368" w:type="pct"/>
            <w:hideMark/>
          </w:tcPr>
          <w:p w14:paraId="68AB8BD9" w14:textId="77777777" w:rsidR="007B26FC" w:rsidRDefault="007B26FC" w:rsidP="00E33C63">
            <w:pPr>
              <w:pStyle w:val="NoSpacing"/>
            </w:pPr>
            <w:r>
              <w:t>.398</w:t>
            </w:r>
          </w:p>
        </w:tc>
      </w:tr>
      <w:tr w:rsidR="00462E76" w14:paraId="5131E0D7" w14:textId="77777777" w:rsidTr="00462E76">
        <w:tc>
          <w:tcPr>
            <w:tcW w:w="770" w:type="pct"/>
            <w:hideMark/>
          </w:tcPr>
          <w:p w14:paraId="428E2282" w14:textId="77777777" w:rsidR="007B26FC" w:rsidRDefault="007B26FC" w:rsidP="00E33C63">
            <w:pPr>
              <w:pStyle w:val="NoSpacing"/>
            </w:pPr>
            <w:r>
              <w:t>TUG, sec</w:t>
            </w:r>
          </w:p>
        </w:tc>
        <w:tc>
          <w:tcPr>
            <w:tcW w:w="673" w:type="pct"/>
            <w:hideMark/>
          </w:tcPr>
          <w:p w14:paraId="61CE9D02" w14:textId="77777777" w:rsidR="007B26FC" w:rsidRDefault="007B26FC" w:rsidP="00E33C63">
            <w:pPr>
              <w:pStyle w:val="NoSpacing"/>
            </w:pPr>
            <w:r>
              <w:t>10.4 (3.5)</w:t>
            </w:r>
          </w:p>
        </w:tc>
        <w:tc>
          <w:tcPr>
            <w:tcW w:w="517" w:type="pct"/>
            <w:hideMark/>
          </w:tcPr>
          <w:p w14:paraId="4E6A3004" w14:textId="77777777" w:rsidR="007B26FC" w:rsidRDefault="007B26FC" w:rsidP="00E33C63">
            <w:pPr>
              <w:pStyle w:val="NoSpacing"/>
            </w:pPr>
            <w:r>
              <w:t>15.1 (8.0)</w:t>
            </w:r>
          </w:p>
        </w:tc>
        <w:tc>
          <w:tcPr>
            <w:tcW w:w="717" w:type="pct"/>
            <w:hideMark/>
          </w:tcPr>
          <w:p w14:paraId="5AC0DE92" w14:textId="77777777" w:rsidR="007B26FC" w:rsidRDefault="007B26FC" w:rsidP="00E33C63">
            <w:pPr>
              <w:pStyle w:val="NoSpacing"/>
            </w:pPr>
            <w:r>
              <w:t>9.7 (2.7)</w:t>
            </w:r>
          </w:p>
        </w:tc>
        <w:tc>
          <w:tcPr>
            <w:tcW w:w="545" w:type="pct"/>
            <w:hideMark/>
          </w:tcPr>
          <w:p w14:paraId="34276E11" w14:textId="77777777" w:rsidR="007B26FC" w:rsidRDefault="007B26FC" w:rsidP="00E33C63">
            <w:pPr>
              <w:pStyle w:val="NoSpacing"/>
            </w:pPr>
            <w:r>
              <w:t>14.0 (7.3)</w:t>
            </w:r>
          </w:p>
        </w:tc>
        <w:tc>
          <w:tcPr>
            <w:tcW w:w="659" w:type="pct"/>
            <w:hideMark/>
          </w:tcPr>
          <w:p w14:paraId="67B652A6" w14:textId="77777777" w:rsidR="007B26FC" w:rsidRDefault="007B26FC" w:rsidP="00E33C63">
            <w:pPr>
              <w:pStyle w:val="NoSpacing"/>
            </w:pPr>
            <w:r>
              <w:t>−0.22</w:t>
            </w:r>
          </w:p>
        </w:tc>
        <w:tc>
          <w:tcPr>
            <w:tcW w:w="450" w:type="pct"/>
            <w:hideMark/>
          </w:tcPr>
          <w:p w14:paraId="588D874A" w14:textId="77777777" w:rsidR="007B26FC" w:rsidRDefault="007B26FC" w:rsidP="00E33C63">
            <w:pPr>
              <w:pStyle w:val="NoSpacing"/>
            </w:pPr>
            <w:r>
              <w:t>−0.14</w:t>
            </w:r>
          </w:p>
        </w:tc>
        <w:tc>
          <w:tcPr>
            <w:tcW w:w="301" w:type="pct"/>
            <w:hideMark/>
          </w:tcPr>
          <w:p w14:paraId="488C0BAE" w14:textId="77777777" w:rsidR="007B26FC" w:rsidRDefault="007B26FC" w:rsidP="00E33C63">
            <w:pPr>
              <w:pStyle w:val="NoSpacing"/>
            </w:pPr>
            <w:r>
              <w:t>.014</w:t>
            </w:r>
          </w:p>
        </w:tc>
        <w:tc>
          <w:tcPr>
            <w:tcW w:w="368" w:type="pct"/>
            <w:hideMark/>
          </w:tcPr>
          <w:p w14:paraId="3FA8FE55" w14:textId="77777777" w:rsidR="007B26FC" w:rsidRDefault="007B26FC" w:rsidP="00E33C63">
            <w:pPr>
              <w:pStyle w:val="NoSpacing"/>
            </w:pPr>
            <w:r>
              <w:t>.306</w:t>
            </w:r>
          </w:p>
        </w:tc>
      </w:tr>
      <w:tr w:rsidR="00462E76" w14:paraId="1294C17B" w14:textId="77777777" w:rsidTr="00462E76">
        <w:tc>
          <w:tcPr>
            <w:tcW w:w="770" w:type="pct"/>
            <w:hideMark/>
          </w:tcPr>
          <w:p w14:paraId="018B6968" w14:textId="77777777" w:rsidR="007B26FC" w:rsidRDefault="007B26FC" w:rsidP="00E33C63">
            <w:pPr>
              <w:pStyle w:val="NoSpacing"/>
            </w:pPr>
            <w:r>
              <w:t>6 MW, ft.</w:t>
            </w:r>
          </w:p>
        </w:tc>
        <w:tc>
          <w:tcPr>
            <w:tcW w:w="673" w:type="pct"/>
            <w:hideMark/>
          </w:tcPr>
          <w:p w14:paraId="5C577154" w14:textId="77777777" w:rsidR="007B26FC" w:rsidRDefault="007B26FC" w:rsidP="00E33C63">
            <w:pPr>
              <w:pStyle w:val="NoSpacing"/>
            </w:pPr>
            <w:r>
              <w:t>1303.4 (362.3)</w:t>
            </w:r>
          </w:p>
        </w:tc>
        <w:tc>
          <w:tcPr>
            <w:tcW w:w="517" w:type="pct"/>
            <w:hideMark/>
          </w:tcPr>
          <w:p w14:paraId="21A38659" w14:textId="77777777" w:rsidR="007B26FC" w:rsidRDefault="007B26FC" w:rsidP="00E33C63">
            <w:pPr>
              <w:pStyle w:val="NoSpacing"/>
            </w:pPr>
            <w:r>
              <w:t>969.5 (423.5)</w:t>
            </w:r>
          </w:p>
        </w:tc>
        <w:tc>
          <w:tcPr>
            <w:tcW w:w="717" w:type="pct"/>
            <w:hideMark/>
          </w:tcPr>
          <w:p w14:paraId="1965D9AE" w14:textId="77777777" w:rsidR="007B26FC" w:rsidRDefault="007B26FC" w:rsidP="00E33C63">
            <w:pPr>
              <w:pStyle w:val="NoSpacing"/>
            </w:pPr>
            <w:r>
              <w:t>1392.6 (415.4)</w:t>
            </w:r>
          </w:p>
        </w:tc>
        <w:tc>
          <w:tcPr>
            <w:tcW w:w="545" w:type="pct"/>
            <w:hideMark/>
          </w:tcPr>
          <w:p w14:paraId="735C976A" w14:textId="77777777" w:rsidR="007B26FC" w:rsidRDefault="007B26FC" w:rsidP="00E33C63">
            <w:pPr>
              <w:pStyle w:val="NoSpacing"/>
            </w:pPr>
            <w:r>
              <w:t>1050.8 (514.5)</w:t>
            </w:r>
          </w:p>
        </w:tc>
        <w:tc>
          <w:tcPr>
            <w:tcW w:w="659" w:type="pct"/>
            <w:hideMark/>
          </w:tcPr>
          <w:p w14:paraId="4229A7FB" w14:textId="77777777" w:rsidR="007B26FC" w:rsidRDefault="007B26FC" w:rsidP="00E33C63">
            <w:pPr>
              <w:pStyle w:val="NoSpacing"/>
            </w:pPr>
            <w:r>
              <w:t>0.23</w:t>
            </w:r>
          </w:p>
        </w:tc>
        <w:tc>
          <w:tcPr>
            <w:tcW w:w="450" w:type="pct"/>
            <w:hideMark/>
          </w:tcPr>
          <w:p w14:paraId="531E265E" w14:textId="77777777" w:rsidR="007B26FC" w:rsidRDefault="007B26FC" w:rsidP="00E33C63">
            <w:pPr>
              <w:pStyle w:val="NoSpacing"/>
            </w:pPr>
            <w:r>
              <w:t>0.17</w:t>
            </w:r>
          </w:p>
        </w:tc>
        <w:tc>
          <w:tcPr>
            <w:tcW w:w="301" w:type="pct"/>
            <w:hideMark/>
          </w:tcPr>
          <w:p w14:paraId="46B2CA5A" w14:textId="77777777" w:rsidR="007B26FC" w:rsidRDefault="007B26FC" w:rsidP="00E33C63">
            <w:pPr>
              <w:pStyle w:val="NoSpacing"/>
            </w:pPr>
            <w:r>
              <w:t>.001</w:t>
            </w:r>
          </w:p>
        </w:tc>
        <w:tc>
          <w:tcPr>
            <w:tcW w:w="368" w:type="pct"/>
            <w:hideMark/>
          </w:tcPr>
          <w:p w14:paraId="5409AF3E" w14:textId="77777777" w:rsidR="007B26FC" w:rsidRDefault="007B26FC" w:rsidP="00E33C63">
            <w:pPr>
              <w:pStyle w:val="NoSpacing"/>
            </w:pPr>
            <w:r>
              <w:t>.001</w:t>
            </w:r>
          </w:p>
        </w:tc>
      </w:tr>
      <w:tr w:rsidR="00462E76" w14:paraId="34550593" w14:textId="77777777" w:rsidTr="00462E76">
        <w:tc>
          <w:tcPr>
            <w:tcW w:w="770" w:type="pct"/>
            <w:hideMark/>
          </w:tcPr>
          <w:p w14:paraId="6FCF4AFF" w14:textId="77777777" w:rsidR="007B26FC" w:rsidRDefault="007B26FC" w:rsidP="00E33C63">
            <w:pPr>
              <w:pStyle w:val="NoSpacing"/>
            </w:pPr>
            <w:r>
              <w:t>SPPB, pts</w:t>
            </w:r>
          </w:p>
        </w:tc>
        <w:tc>
          <w:tcPr>
            <w:tcW w:w="673" w:type="pct"/>
            <w:hideMark/>
          </w:tcPr>
          <w:p w14:paraId="7E7D0521" w14:textId="77777777" w:rsidR="007B26FC" w:rsidRDefault="007B26FC" w:rsidP="00E33C63">
            <w:pPr>
              <w:pStyle w:val="NoSpacing"/>
            </w:pPr>
            <w:r>
              <w:t>8.8 (2.6)</w:t>
            </w:r>
          </w:p>
        </w:tc>
        <w:tc>
          <w:tcPr>
            <w:tcW w:w="517" w:type="pct"/>
            <w:hideMark/>
          </w:tcPr>
          <w:p w14:paraId="1D3AC3CB" w14:textId="77777777" w:rsidR="007B26FC" w:rsidRDefault="007B26FC" w:rsidP="00E33C63">
            <w:pPr>
              <w:pStyle w:val="NoSpacing"/>
            </w:pPr>
            <w:r>
              <w:t>7.2 (3.3)</w:t>
            </w:r>
          </w:p>
        </w:tc>
        <w:tc>
          <w:tcPr>
            <w:tcW w:w="717" w:type="pct"/>
            <w:hideMark/>
          </w:tcPr>
          <w:p w14:paraId="7275FF83" w14:textId="77777777" w:rsidR="007B26FC" w:rsidRDefault="007B26FC" w:rsidP="00E33C63">
            <w:pPr>
              <w:pStyle w:val="NoSpacing"/>
            </w:pPr>
            <w:r>
              <w:t>9.5 (2.1)</w:t>
            </w:r>
          </w:p>
        </w:tc>
        <w:tc>
          <w:tcPr>
            <w:tcW w:w="545" w:type="pct"/>
            <w:hideMark/>
          </w:tcPr>
          <w:p w14:paraId="33D82A58" w14:textId="77777777" w:rsidR="007B26FC" w:rsidRDefault="007B26FC" w:rsidP="00E33C63">
            <w:pPr>
              <w:pStyle w:val="NoSpacing"/>
            </w:pPr>
            <w:r>
              <w:t>7.1 (4.0)</w:t>
            </w:r>
          </w:p>
        </w:tc>
        <w:tc>
          <w:tcPr>
            <w:tcW w:w="659" w:type="pct"/>
            <w:hideMark/>
          </w:tcPr>
          <w:p w14:paraId="06DD3F39" w14:textId="77777777" w:rsidR="007B26FC" w:rsidRDefault="007B26FC" w:rsidP="00E33C63">
            <w:pPr>
              <w:pStyle w:val="NoSpacing"/>
            </w:pPr>
            <w:r>
              <w:t>0.30</w:t>
            </w:r>
          </w:p>
        </w:tc>
        <w:tc>
          <w:tcPr>
            <w:tcW w:w="450" w:type="pct"/>
            <w:hideMark/>
          </w:tcPr>
          <w:p w14:paraId="70CF2B98" w14:textId="77777777" w:rsidR="007B26FC" w:rsidRDefault="007B26FC" w:rsidP="00E33C63">
            <w:pPr>
              <w:pStyle w:val="NoSpacing"/>
            </w:pPr>
            <w:r>
              <w:t>−0.03</w:t>
            </w:r>
          </w:p>
        </w:tc>
        <w:tc>
          <w:tcPr>
            <w:tcW w:w="301" w:type="pct"/>
            <w:hideMark/>
          </w:tcPr>
          <w:p w14:paraId="56C867C5" w14:textId="77777777" w:rsidR="007B26FC" w:rsidRDefault="007B26FC" w:rsidP="00E33C63">
            <w:pPr>
              <w:pStyle w:val="NoSpacing"/>
            </w:pPr>
            <w:r>
              <w:t>.055</w:t>
            </w:r>
          </w:p>
        </w:tc>
        <w:tc>
          <w:tcPr>
            <w:tcW w:w="368" w:type="pct"/>
            <w:hideMark/>
          </w:tcPr>
          <w:p w14:paraId="6141CCA7" w14:textId="77777777" w:rsidR="007B26FC" w:rsidRDefault="007B26FC" w:rsidP="00E33C63">
            <w:pPr>
              <w:pStyle w:val="NoSpacing"/>
            </w:pPr>
            <w:r>
              <w:t>1.347</w:t>
            </w:r>
          </w:p>
        </w:tc>
      </w:tr>
      <w:tr w:rsidR="00462E76" w14:paraId="61A353E6" w14:textId="77777777" w:rsidTr="00462E76">
        <w:tc>
          <w:tcPr>
            <w:tcW w:w="770" w:type="pct"/>
            <w:hideMark/>
          </w:tcPr>
          <w:p w14:paraId="3CC3A940" w14:textId="77777777" w:rsidR="007B26FC" w:rsidRDefault="007B26FC" w:rsidP="00E33C63">
            <w:pPr>
              <w:pStyle w:val="NoSpacing"/>
            </w:pPr>
            <w:r>
              <w:t>SDMT, pts</w:t>
            </w:r>
          </w:p>
        </w:tc>
        <w:tc>
          <w:tcPr>
            <w:tcW w:w="673" w:type="pct"/>
            <w:hideMark/>
          </w:tcPr>
          <w:p w14:paraId="3940D5B7" w14:textId="77777777" w:rsidR="007B26FC" w:rsidRDefault="007B26FC" w:rsidP="00E33C63">
            <w:pPr>
              <w:pStyle w:val="NoSpacing"/>
            </w:pPr>
            <w:r>
              <w:t>52.8 (10.7)</w:t>
            </w:r>
          </w:p>
        </w:tc>
        <w:tc>
          <w:tcPr>
            <w:tcW w:w="517" w:type="pct"/>
            <w:hideMark/>
          </w:tcPr>
          <w:p w14:paraId="0753A2AD" w14:textId="77777777" w:rsidR="007B26FC" w:rsidRDefault="007B26FC" w:rsidP="00E33C63">
            <w:pPr>
              <w:pStyle w:val="NoSpacing"/>
            </w:pPr>
            <w:r>
              <w:t>42.1 (15.8)</w:t>
            </w:r>
          </w:p>
        </w:tc>
        <w:tc>
          <w:tcPr>
            <w:tcW w:w="717" w:type="pct"/>
            <w:hideMark/>
          </w:tcPr>
          <w:p w14:paraId="2E948E7B" w14:textId="77777777" w:rsidR="007B26FC" w:rsidRDefault="007B26FC" w:rsidP="00E33C63">
            <w:pPr>
              <w:pStyle w:val="NoSpacing"/>
            </w:pPr>
            <w:r>
              <w:t>53.3 (10.9)</w:t>
            </w:r>
          </w:p>
        </w:tc>
        <w:tc>
          <w:tcPr>
            <w:tcW w:w="545" w:type="pct"/>
            <w:hideMark/>
          </w:tcPr>
          <w:p w14:paraId="142AD10A" w14:textId="77777777" w:rsidR="007B26FC" w:rsidRDefault="007B26FC" w:rsidP="00E33C63">
            <w:pPr>
              <w:pStyle w:val="NoSpacing"/>
            </w:pPr>
            <w:r>
              <w:t>42.0 (17.1)</w:t>
            </w:r>
          </w:p>
        </w:tc>
        <w:tc>
          <w:tcPr>
            <w:tcW w:w="659" w:type="pct"/>
            <w:hideMark/>
          </w:tcPr>
          <w:p w14:paraId="49A223A1" w14:textId="77777777" w:rsidR="007B26FC" w:rsidRDefault="007B26FC" w:rsidP="00E33C63">
            <w:pPr>
              <w:pStyle w:val="NoSpacing"/>
            </w:pPr>
            <w:r>
              <w:t>0.05</w:t>
            </w:r>
          </w:p>
        </w:tc>
        <w:tc>
          <w:tcPr>
            <w:tcW w:w="450" w:type="pct"/>
            <w:hideMark/>
          </w:tcPr>
          <w:p w14:paraId="6C3DBDC3" w14:textId="77777777" w:rsidR="007B26FC" w:rsidRDefault="007B26FC" w:rsidP="00E33C63">
            <w:pPr>
              <w:pStyle w:val="NoSpacing"/>
            </w:pPr>
            <w:r>
              <w:t>−0.01</w:t>
            </w:r>
          </w:p>
        </w:tc>
        <w:tc>
          <w:tcPr>
            <w:tcW w:w="301" w:type="pct"/>
            <w:hideMark/>
          </w:tcPr>
          <w:p w14:paraId="17A5DFB9" w14:textId="77777777" w:rsidR="007B26FC" w:rsidRDefault="007B26FC" w:rsidP="00E33C63">
            <w:pPr>
              <w:pStyle w:val="NoSpacing"/>
            </w:pPr>
            <w:r>
              <w:t>.007</w:t>
            </w:r>
          </w:p>
        </w:tc>
        <w:tc>
          <w:tcPr>
            <w:tcW w:w="368" w:type="pct"/>
            <w:hideMark/>
          </w:tcPr>
          <w:p w14:paraId="518475AD" w14:textId="77777777" w:rsidR="007B26FC" w:rsidRDefault="007B26FC" w:rsidP="00E33C63">
            <w:pPr>
              <w:pStyle w:val="NoSpacing"/>
            </w:pPr>
            <w:r>
              <w:t>.163</w:t>
            </w:r>
          </w:p>
        </w:tc>
      </w:tr>
      <w:tr w:rsidR="00462E76" w14:paraId="3BD96E07" w14:textId="77777777" w:rsidTr="00462E76">
        <w:tc>
          <w:tcPr>
            <w:tcW w:w="770" w:type="pct"/>
            <w:hideMark/>
          </w:tcPr>
          <w:p w14:paraId="51D68787" w14:textId="77777777" w:rsidR="007B26FC" w:rsidRDefault="007B26FC" w:rsidP="00E33C63">
            <w:pPr>
              <w:pStyle w:val="NoSpacing"/>
            </w:pPr>
            <w:r>
              <w:t>CVLT, pts</w:t>
            </w:r>
          </w:p>
        </w:tc>
        <w:tc>
          <w:tcPr>
            <w:tcW w:w="673" w:type="pct"/>
            <w:hideMark/>
          </w:tcPr>
          <w:p w14:paraId="2E1A323E" w14:textId="77777777" w:rsidR="007B26FC" w:rsidRDefault="007B26FC" w:rsidP="00E33C63">
            <w:pPr>
              <w:pStyle w:val="NoSpacing"/>
            </w:pPr>
            <w:r>
              <w:t>53.6 (10.5)</w:t>
            </w:r>
          </w:p>
        </w:tc>
        <w:tc>
          <w:tcPr>
            <w:tcW w:w="517" w:type="pct"/>
            <w:hideMark/>
          </w:tcPr>
          <w:p w14:paraId="3E063317" w14:textId="77777777" w:rsidR="007B26FC" w:rsidRDefault="007B26FC" w:rsidP="00E33C63">
            <w:pPr>
              <w:pStyle w:val="NoSpacing"/>
            </w:pPr>
            <w:r>
              <w:t>53.1 (13.9)</w:t>
            </w:r>
          </w:p>
        </w:tc>
        <w:tc>
          <w:tcPr>
            <w:tcW w:w="717" w:type="pct"/>
            <w:hideMark/>
          </w:tcPr>
          <w:p w14:paraId="0EE2C689" w14:textId="77777777" w:rsidR="007B26FC" w:rsidRDefault="007B26FC" w:rsidP="00E33C63">
            <w:pPr>
              <w:pStyle w:val="NoSpacing"/>
            </w:pPr>
            <w:r>
              <w:t>58.1 (12.3)</w:t>
            </w:r>
          </w:p>
        </w:tc>
        <w:tc>
          <w:tcPr>
            <w:tcW w:w="545" w:type="pct"/>
            <w:hideMark/>
          </w:tcPr>
          <w:p w14:paraId="2CE72CB2" w14:textId="77777777" w:rsidR="007B26FC" w:rsidRDefault="007B26FC" w:rsidP="00E33C63">
            <w:pPr>
              <w:pStyle w:val="NoSpacing"/>
            </w:pPr>
            <w:r>
              <w:t>54.9 (14.9)</w:t>
            </w:r>
          </w:p>
        </w:tc>
        <w:tc>
          <w:tcPr>
            <w:tcW w:w="659" w:type="pct"/>
            <w:hideMark/>
          </w:tcPr>
          <w:p w14:paraId="3BAA619C" w14:textId="77777777" w:rsidR="007B26FC" w:rsidRDefault="007B26FC" w:rsidP="00E33C63">
            <w:pPr>
              <w:pStyle w:val="NoSpacing"/>
            </w:pPr>
            <w:r>
              <w:t>0.40</w:t>
            </w:r>
          </w:p>
        </w:tc>
        <w:tc>
          <w:tcPr>
            <w:tcW w:w="450" w:type="pct"/>
            <w:hideMark/>
          </w:tcPr>
          <w:p w14:paraId="126F7950" w14:textId="77777777" w:rsidR="007B26FC" w:rsidRDefault="007B26FC" w:rsidP="00E33C63">
            <w:pPr>
              <w:pStyle w:val="NoSpacing"/>
            </w:pPr>
            <w:r>
              <w:t>0.12</w:t>
            </w:r>
          </w:p>
        </w:tc>
        <w:tc>
          <w:tcPr>
            <w:tcW w:w="301" w:type="pct"/>
            <w:hideMark/>
          </w:tcPr>
          <w:p w14:paraId="598DAB28" w14:textId="77777777" w:rsidR="007B26FC" w:rsidRDefault="007B26FC" w:rsidP="00E33C63">
            <w:pPr>
              <w:pStyle w:val="NoSpacing"/>
            </w:pPr>
            <w:r>
              <w:t>.032</w:t>
            </w:r>
          </w:p>
        </w:tc>
        <w:tc>
          <w:tcPr>
            <w:tcW w:w="368" w:type="pct"/>
            <w:hideMark/>
          </w:tcPr>
          <w:p w14:paraId="2AEC071B" w14:textId="77777777" w:rsidR="007B26FC" w:rsidRDefault="007B26FC" w:rsidP="00E33C63">
            <w:pPr>
              <w:pStyle w:val="NoSpacing"/>
            </w:pPr>
            <w:r>
              <w:t>.764</w:t>
            </w:r>
          </w:p>
        </w:tc>
      </w:tr>
      <w:tr w:rsidR="00462E76" w14:paraId="7F4AFCB5" w14:textId="77777777" w:rsidTr="00462E76">
        <w:tc>
          <w:tcPr>
            <w:tcW w:w="770" w:type="pct"/>
            <w:hideMark/>
          </w:tcPr>
          <w:p w14:paraId="1F5EC681" w14:textId="77777777" w:rsidR="007B26FC" w:rsidRDefault="007B26FC" w:rsidP="00E33C63">
            <w:pPr>
              <w:pStyle w:val="NoSpacing"/>
            </w:pPr>
            <w:r>
              <w:t>BVMT, pts</w:t>
            </w:r>
          </w:p>
        </w:tc>
        <w:tc>
          <w:tcPr>
            <w:tcW w:w="673" w:type="pct"/>
            <w:hideMark/>
          </w:tcPr>
          <w:p w14:paraId="11F2130A" w14:textId="77777777" w:rsidR="007B26FC" w:rsidRDefault="007B26FC" w:rsidP="00E33C63">
            <w:pPr>
              <w:pStyle w:val="NoSpacing"/>
            </w:pPr>
            <w:r>
              <w:t>23.9 (4.8)</w:t>
            </w:r>
          </w:p>
        </w:tc>
        <w:tc>
          <w:tcPr>
            <w:tcW w:w="517" w:type="pct"/>
            <w:hideMark/>
          </w:tcPr>
          <w:p w14:paraId="0ED127C0" w14:textId="77777777" w:rsidR="007B26FC" w:rsidRDefault="007B26FC" w:rsidP="00E33C63">
            <w:pPr>
              <w:pStyle w:val="NoSpacing"/>
            </w:pPr>
            <w:r>
              <w:t>22.5 (6.2)</w:t>
            </w:r>
          </w:p>
        </w:tc>
        <w:tc>
          <w:tcPr>
            <w:tcW w:w="717" w:type="pct"/>
            <w:hideMark/>
          </w:tcPr>
          <w:p w14:paraId="08EE9E4F" w14:textId="77777777" w:rsidR="007B26FC" w:rsidRDefault="007B26FC" w:rsidP="00E33C63">
            <w:pPr>
              <w:pStyle w:val="NoSpacing"/>
            </w:pPr>
            <w:r>
              <w:t>25.6 (5.1)</w:t>
            </w:r>
          </w:p>
        </w:tc>
        <w:tc>
          <w:tcPr>
            <w:tcW w:w="545" w:type="pct"/>
            <w:hideMark/>
          </w:tcPr>
          <w:p w14:paraId="453C00F5" w14:textId="77777777" w:rsidR="007B26FC" w:rsidRDefault="007B26FC" w:rsidP="00E33C63">
            <w:pPr>
              <w:pStyle w:val="NoSpacing"/>
            </w:pPr>
            <w:r>
              <w:t>20.3 (4.6)</w:t>
            </w:r>
          </w:p>
        </w:tc>
        <w:tc>
          <w:tcPr>
            <w:tcW w:w="659" w:type="pct"/>
            <w:hideMark/>
          </w:tcPr>
          <w:p w14:paraId="29FDA30D" w14:textId="77777777" w:rsidR="007B26FC" w:rsidRDefault="007B26FC" w:rsidP="00E33C63">
            <w:pPr>
              <w:pStyle w:val="NoSpacing"/>
            </w:pPr>
            <w:r>
              <w:t>0.34</w:t>
            </w:r>
          </w:p>
        </w:tc>
        <w:tc>
          <w:tcPr>
            <w:tcW w:w="450" w:type="pct"/>
            <w:hideMark/>
          </w:tcPr>
          <w:p w14:paraId="026500B8" w14:textId="77777777" w:rsidR="007B26FC" w:rsidRDefault="007B26FC" w:rsidP="00E33C63">
            <w:pPr>
              <w:pStyle w:val="NoSpacing"/>
            </w:pPr>
            <w:r>
              <w:t>−0.40</w:t>
            </w:r>
          </w:p>
        </w:tc>
        <w:tc>
          <w:tcPr>
            <w:tcW w:w="301" w:type="pct"/>
            <w:hideMark/>
          </w:tcPr>
          <w:p w14:paraId="77D941E5" w14:textId="77777777" w:rsidR="007B26FC" w:rsidRDefault="007B26FC" w:rsidP="00E33C63">
            <w:pPr>
              <w:pStyle w:val="NoSpacing"/>
            </w:pPr>
            <w:r>
              <w:t>.095</w:t>
            </w:r>
          </w:p>
        </w:tc>
        <w:tc>
          <w:tcPr>
            <w:tcW w:w="368" w:type="pct"/>
            <w:hideMark/>
          </w:tcPr>
          <w:p w14:paraId="64C1F117" w14:textId="77777777" w:rsidR="007B26FC" w:rsidRDefault="007B26FC" w:rsidP="00E33C63">
            <w:pPr>
              <w:pStyle w:val="NoSpacing"/>
            </w:pPr>
            <w:r>
              <w:t>2.417</w:t>
            </w:r>
          </w:p>
        </w:tc>
      </w:tr>
    </w:tbl>
    <w:p w14:paraId="7ACDA788" w14:textId="04B6B6A6" w:rsidR="007B26FC" w:rsidRDefault="007B26FC" w:rsidP="00E33C63">
      <w:pPr>
        <w:pStyle w:val="NoSpacing"/>
        <w:rPr>
          <w:color w:val="2E2E2E"/>
          <w:sz w:val="21"/>
          <w:szCs w:val="21"/>
        </w:rPr>
      </w:pPr>
      <w:r>
        <w:rPr>
          <w:color w:val="2E2E2E"/>
          <w:sz w:val="21"/>
          <w:szCs w:val="21"/>
        </w:rPr>
        <w:t>Note: η</w:t>
      </w:r>
      <w:r>
        <w:rPr>
          <w:color w:val="2E2E2E"/>
          <w:sz w:val="16"/>
          <w:szCs w:val="16"/>
          <w:vertAlign w:val="subscript"/>
        </w:rPr>
        <w:t>p</w:t>
      </w:r>
      <w:r>
        <w:rPr>
          <w:color w:val="2E2E2E"/>
          <w:sz w:val="16"/>
          <w:szCs w:val="16"/>
          <w:vertAlign w:val="superscript"/>
        </w:rPr>
        <w:t>2</w:t>
      </w:r>
      <w:r>
        <w:rPr>
          <w:color w:val="2E2E2E"/>
          <w:sz w:val="21"/>
          <w:szCs w:val="21"/>
        </w:rPr>
        <w:t xml:space="preserve">: partial </w:t>
      </w:r>
      <w:proofErr w:type="gramStart"/>
      <w:r>
        <w:rPr>
          <w:color w:val="2E2E2E"/>
          <w:sz w:val="21"/>
          <w:szCs w:val="21"/>
        </w:rPr>
        <w:t>eta-squared</w:t>
      </w:r>
      <w:proofErr w:type="gramEnd"/>
      <w:r>
        <w:rPr>
          <w:color w:val="2E2E2E"/>
          <w:sz w:val="21"/>
          <w:szCs w:val="21"/>
        </w:rPr>
        <w:t>. T25FW: Timed 25-ft Walk Test; TUG: </w:t>
      </w:r>
      <w:hyperlink r:id="rId41" w:tooltip="Learn more about Timed Up and Go Test from ScienceDirect's AI-generated Topic Pages" w:history="1">
        <w:r>
          <w:rPr>
            <w:rStyle w:val="Hyperlink"/>
            <w:rFonts w:eastAsiaTheme="majorEastAsia"/>
            <w:color w:val="0C7DBB"/>
            <w:sz w:val="21"/>
            <w:szCs w:val="21"/>
          </w:rPr>
          <w:t>Timed Up and Go Test</w:t>
        </w:r>
      </w:hyperlink>
      <w:r>
        <w:rPr>
          <w:color w:val="2E2E2E"/>
          <w:sz w:val="21"/>
          <w:szCs w:val="21"/>
        </w:rPr>
        <w:t>; 6 MW: </w:t>
      </w:r>
      <w:hyperlink r:id="rId42" w:tooltip="Learn more about Six Minute Walk Test from ScienceDirect's AI-generated Topic Pages" w:history="1">
        <w:r>
          <w:rPr>
            <w:rStyle w:val="Hyperlink"/>
            <w:rFonts w:eastAsiaTheme="majorEastAsia"/>
            <w:color w:val="0C7DBB"/>
            <w:sz w:val="21"/>
            <w:szCs w:val="21"/>
          </w:rPr>
          <w:t>6-min Walk Test</w:t>
        </w:r>
      </w:hyperlink>
      <w:r>
        <w:rPr>
          <w:color w:val="2E2E2E"/>
          <w:sz w:val="21"/>
          <w:szCs w:val="21"/>
        </w:rPr>
        <w:t>, SPPB: Short Physical Performance Battery; SDMT: </w:t>
      </w:r>
      <w:hyperlink r:id="rId43" w:tooltip="Learn more about Symbol Digit Modalities Test from ScienceDirect's AI-generated Topic Pages" w:history="1">
        <w:r>
          <w:rPr>
            <w:rStyle w:val="Hyperlink"/>
            <w:rFonts w:eastAsiaTheme="majorEastAsia"/>
            <w:color w:val="0C7DBB"/>
            <w:sz w:val="21"/>
            <w:szCs w:val="21"/>
          </w:rPr>
          <w:t>Symbol Digits Modality Test</w:t>
        </w:r>
      </w:hyperlink>
      <w:r>
        <w:rPr>
          <w:color w:val="2E2E2E"/>
          <w:sz w:val="21"/>
          <w:szCs w:val="21"/>
        </w:rPr>
        <w:t>; CVLT: </w:t>
      </w:r>
      <w:hyperlink r:id="rId44" w:tooltip="Learn more about California Verbal Learning Test from ScienceDirect's AI-generated Topic Pages" w:history="1">
        <w:r>
          <w:rPr>
            <w:rStyle w:val="Hyperlink"/>
            <w:rFonts w:eastAsiaTheme="majorEastAsia"/>
            <w:color w:val="0C7DBB"/>
            <w:sz w:val="21"/>
            <w:szCs w:val="21"/>
          </w:rPr>
          <w:t>California Verbal Learning Test</w:t>
        </w:r>
      </w:hyperlink>
      <w:r>
        <w:rPr>
          <w:color w:val="2E2E2E"/>
          <w:sz w:val="21"/>
          <w:szCs w:val="21"/>
        </w:rPr>
        <w:t>; BVMT: Brief </w:t>
      </w:r>
      <w:hyperlink r:id="rId45" w:tooltip="Learn more about Visual Memory from ScienceDirect's AI-generated Topic Pages" w:history="1">
        <w:r>
          <w:rPr>
            <w:rStyle w:val="Hyperlink"/>
            <w:rFonts w:eastAsiaTheme="majorEastAsia"/>
            <w:color w:val="0C7DBB"/>
            <w:sz w:val="21"/>
            <w:szCs w:val="21"/>
          </w:rPr>
          <w:t>Visual Memory</w:t>
        </w:r>
      </w:hyperlink>
      <w:r>
        <w:rPr>
          <w:color w:val="2E2E2E"/>
          <w:sz w:val="21"/>
          <w:szCs w:val="21"/>
        </w:rPr>
        <w:t> Test.</w:t>
      </w:r>
    </w:p>
    <w:p w14:paraId="3EA10F4E" w14:textId="77777777" w:rsidR="007B26FC" w:rsidRDefault="007B26FC" w:rsidP="00E33C63">
      <w:pPr>
        <w:pStyle w:val="Heading1"/>
        <w:rPr>
          <w:sz w:val="36"/>
          <w:szCs w:val="36"/>
        </w:rPr>
      </w:pPr>
      <w:r>
        <w:t>4. Discussion</w:t>
      </w:r>
    </w:p>
    <w:p w14:paraId="43D509C3" w14:textId="77777777" w:rsidR="007B26FC" w:rsidRPr="00E33C63" w:rsidRDefault="007B26FC" w:rsidP="00E33C63">
      <w:r w:rsidRPr="00E33C63">
        <w:t>This manuscript reports results of process, resource, management and scientific feasibility of a home-based, SSE program in older adults with MS. The SSE was chosen as the intervention because of its great potential to improve common impairments of older adults with MS (e.g., balance, walking, and cognition). The SSE program was developed by a group of Japanese researchers with the main goal to prevent falls, improve lower limb physical functioning, and enhance aspects of cognition such as memory [</w:t>
      </w:r>
      <w:hyperlink r:id="rId46" w:anchor="bb0090" w:history="1">
        <w:r w:rsidRPr="00E33C63">
          <w:rPr>
            <w:rStyle w:val="Hyperlink"/>
            <w:rFonts w:eastAsiaTheme="majorEastAsia"/>
            <w:color w:val="0C7DBB"/>
          </w:rPr>
          <w:t>18</w:t>
        </w:r>
      </w:hyperlink>
      <w:bookmarkEnd w:id="20"/>
      <w:r w:rsidRPr="00E33C63">
        <w:t>,</w:t>
      </w:r>
      <w:bookmarkStart w:id="43" w:name="bbb0170"/>
      <w:r w:rsidRPr="00E33C63">
        <w:fldChar w:fldCharType="begin"/>
      </w:r>
      <w:r w:rsidRPr="00E33C63">
        <w:instrText xml:space="preserve"> HYPERLINK "https://0-www-sciencedirect-com.libus.csd.mu.edu/science/article/pii/S1551714418303616" \l "bb0170" </w:instrText>
      </w:r>
      <w:r w:rsidRPr="00E33C63">
        <w:fldChar w:fldCharType="separate"/>
      </w:r>
      <w:r w:rsidRPr="00E33C63">
        <w:rPr>
          <w:rStyle w:val="Hyperlink"/>
          <w:rFonts w:eastAsiaTheme="majorEastAsia"/>
          <w:color w:val="0C7DBB"/>
        </w:rPr>
        <w:t>34</w:t>
      </w:r>
      <w:r w:rsidRPr="00E33C63">
        <w:fldChar w:fldCharType="end"/>
      </w:r>
      <w:bookmarkEnd w:id="43"/>
      <w:r w:rsidRPr="00E33C63">
        <w:t>]. However, this intervention has not been tested for its feasibility in older adults with MS. This exercise method has been effective in improving physical functioning in older adults of the general [</w:t>
      </w:r>
      <w:bookmarkStart w:id="44" w:name="bbb0175"/>
      <w:r w:rsidRPr="00E33C63">
        <w:fldChar w:fldCharType="begin"/>
      </w:r>
      <w:r w:rsidRPr="00E33C63">
        <w:instrText xml:space="preserve"> HYPERLINK "https://0-www-sciencedirect-com.libus.csd.mu.edu/science/article/pii/S1551714418303616" \l "bb0175" </w:instrText>
      </w:r>
      <w:r w:rsidRPr="00E33C63">
        <w:fldChar w:fldCharType="separate"/>
      </w:r>
      <w:r w:rsidRPr="00E33C63">
        <w:rPr>
          <w:rStyle w:val="Hyperlink"/>
          <w:rFonts w:eastAsiaTheme="majorEastAsia"/>
          <w:color w:val="0C7DBB"/>
        </w:rPr>
        <w:t>35</w:t>
      </w:r>
      <w:r w:rsidRPr="00E33C63">
        <w:fldChar w:fldCharType="end"/>
      </w:r>
      <w:bookmarkEnd w:id="44"/>
      <w:r w:rsidRPr="00E33C63">
        <w:t>,</w:t>
      </w:r>
      <w:bookmarkStart w:id="45" w:name="bbb0180"/>
      <w:r w:rsidRPr="00E33C63">
        <w:fldChar w:fldCharType="begin"/>
      </w:r>
      <w:r w:rsidRPr="00E33C63">
        <w:instrText xml:space="preserve"> HYPERLINK "https://0-www-sciencedirect-com.libus.csd.mu.edu/science/article/pii/S1551714418303616" \l "bb0180" </w:instrText>
      </w:r>
      <w:r w:rsidRPr="00E33C63">
        <w:fldChar w:fldCharType="separate"/>
      </w:r>
      <w:r w:rsidRPr="00E33C63">
        <w:rPr>
          <w:rStyle w:val="Hyperlink"/>
          <w:rFonts w:eastAsiaTheme="majorEastAsia"/>
          <w:color w:val="0C7DBB"/>
        </w:rPr>
        <w:t>36</w:t>
      </w:r>
      <w:r w:rsidRPr="00E33C63">
        <w:fldChar w:fldCharType="end"/>
      </w:r>
      <w:bookmarkEnd w:id="45"/>
      <w:r w:rsidRPr="00E33C63">
        <w:t xml:space="preserve">]. The SSE is a low-cost, indoor or outdoor exercise method that is easy to perform. This is mostly </w:t>
      </w:r>
      <w:proofErr w:type="gramStart"/>
      <w:r w:rsidRPr="00E33C63">
        <w:t>due to the fact that</w:t>
      </w:r>
      <w:proofErr w:type="gramEnd"/>
      <w:r w:rsidRPr="00E33C63">
        <w:t xml:space="preserve"> the movements/step patterns performed by individuals over the SSE mat mimics walking movements. The potential benefits for improving clinical outcomes among older adults with MS, </w:t>
      </w:r>
      <w:proofErr w:type="gramStart"/>
      <w:r w:rsidRPr="00E33C63">
        <w:t>similar to</w:t>
      </w:r>
      <w:proofErr w:type="gramEnd"/>
      <w:r w:rsidRPr="00E33C63">
        <w:t xml:space="preserve"> those reported in the general population, motivated our adoption the SSE program. However, this intervention had not previously been tested for its feasibility in older adults with MS. The outcome of process feasibility focused on recruitment and retention rates. The two main approaches adopted for recruitment in this study (i.e., email and phone calls), without taking into consideration newspaper advertisements and MS-related events, resulted in an overall recruitment rate of 49%. This is comparable with the 52% recently observed by researchers in a different home-based study in younger and middle-aged adults with MS [</w:t>
      </w:r>
      <w:bookmarkStart w:id="46" w:name="bbb0185"/>
      <w:r w:rsidRPr="00E33C63">
        <w:fldChar w:fldCharType="begin"/>
      </w:r>
      <w:r w:rsidRPr="00E33C63">
        <w:instrText xml:space="preserve"> HYPERLINK "https://0-www-sciencedirect-com.libus.csd.mu.edu/science/article/pii/S1551714418303616" \l "bb0185" </w:instrText>
      </w:r>
      <w:r w:rsidRPr="00E33C63">
        <w:fldChar w:fldCharType="separate"/>
      </w:r>
      <w:r w:rsidRPr="00E33C63">
        <w:rPr>
          <w:rStyle w:val="Hyperlink"/>
          <w:rFonts w:eastAsiaTheme="majorEastAsia"/>
          <w:color w:val="0C7DBB"/>
        </w:rPr>
        <w:t>37</w:t>
      </w:r>
      <w:r w:rsidRPr="00E33C63">
        <w:fldChar w:fldCharType="end"/>
      </w:r>
      <w:r w:rsidRPr="00E33C63">
        <w:t>] and higher than previous studies with similar characteristics [</w:t>
      </w:r>
      <w:bookmarkStart w:id="47" w:name="bbb0190"/>
      <w:r w:rsidRPr="00E33C63">
        <w:fldChar w:fldCharType="begin"/>
      </w:r>
      <w:r w:rsidRPr="00E33C63">
        <w:instrText xml:space="preserve"> HYPERLINK "https://0-www-sciencedirect-com.libus.csd.mu.edu/science/article/pii/S1551714418303616" \l "bb0190" </w:instrText>
      </w:r>
      <w:r w:rsidRPr="00E33C63">
        <w:fldChar w:fldCharType="separate"/>
      </w:r>
      <w:r w:rsidRPr="00E33C63">
        <w:rPr>
          <w:rStyle w:val="Hyperlink"/>
          <w:rFonts w:eastAsiaTheme="majorEastAsia"/>
          <w:color w:val="0C7DBB"/>
        </w:rPr>
        <w:t>[38]</w:t>
      </w:r>
      <w:r w:rsidRPr="00E33C63">
        <w:fldChar w:fldCharType="end"/>
      </w:r>
      <w:r w:rsidRPr="00E33C63">
        <w:t>, </w:t>
      </w:r>
      <w:bookmarkStart w:id="48" w:name="bbb0195"/>
      <w:r w:rsidRPr="00E33C63">
        <w:fldChar w:fldCharType="begin"/>
      </w:r>
      <w:r w:rsidRPr="00E33C63">
        <w:instrText xml:space="preserve"> HYPERLINK "https://0-www-sciencedirect-com.libus.csd.mu.edu/science/article/pii/S1551714418303616" \l "bb0195" </w:instrText>
      </w:r>
      <w:r w:rsidRPr="00E33C63">
        <w:fldChar w:fldCharType="separate"/>
      </w:r>
      <w:r w:rsidRPr="00E33C63">
        <w:rPr>
          <w:rStyle w:val="Hyperlink"/>
          <w:rFonts w:eastAsiaTheme="majorEastAsia"/>
          <w:color w:val="0C7DBB"/>
        </w:rPr>
        <w:t>[39]</w:t>
      </w:r>
      <w:r w:rsidRPr="00E33C63">
        <w:fldChar w:fldCharType="end"/>
      </w:r>
      <w:bookmarkEnd w:id="48"/>
      <w:r w:rsidRPr="00E33C63">
        <w:t>, </w:t>
      </w:r>
      <w:bookmarkStart w:id="49" w:name="bbb0200"/>
      <w:r w:rsidRPr="00E33C63">
        <w:fldChar w:fldCharType="begin"/>
      </w:r>
      <w:r w:rsidRPr="00E33C63">
        <w:instrText xml:space="preserve"> HYPERLINK "https://0-www-sciencedirect-com.libus.csd.mu.edu/science/article/pii/S1551714418303616" \l "bb0200" </w:instrText>
      </w:r>
      <w:r w:rsidRPr="00E33C63">
        <w:fldChar w:fldCharType="separate"/>
      </w:r>
      <w:r w:rsidRPr="00E33C63">
        <w:rPr>
          <w:rStyle w:val="Hyperlink"/>
          <w:rFonts w:eastAsiaTheme="majorEastAsia"/>
          <w:color w:val="0C7DBB"/>
        </w:rPr>
        <w:t>[40]</w:t>
      </w:r>
      <w:r w:rsidRPr="00E33C63">
        <w:fldChar w:fldCharType="end"/>
      </w:r>
      <w:bookmarkEnd w:id="49"/>
      <w:r w:rsidRPr="00E33C63">
        <w:t>] that reported rates ranging between 11 and 34%. Our strong recruitment rate indicates that similar processes would be applicable in a subsequent phase II trial. Our study further had 87% retention rate (i.e., older adults enrolled and randomized into one of the two arms of the study). This number is comparable with previous studies [</w:t>
      </w:r>
      <w:hyperlink r:id="rId47" w:anchor="bb0190" w:history="1">
        <w:r w:rsidRPr="00E33C63">
          <w:rPr>
            <w:rStyle w:val="Hyperlink"/>
            <w:rFonts w:eastAsiaTheme="majorEastAsia"/>
            <w:color w:val="0C7DBB"/>
          </w:rPr>
          <w:t>38</w:t>
        </w:r>
      </w:hyperlink>
      <w:bookmarkEnd w:id="47"/>
      <w:r w:rsidRPr="00E33C63">
        <w:t>,</w:t>
      </w:r>
      <w:bookmarkStart w:id="50" w:name="bbb0205"/>
      <w:r w:rsidRPr="00E33C63">
        <w:fldChar w:fldCharType="begin"/>
      </w:r>
      <w:r w:rsidRPr="00E33C63">
        <w:instrText xml:space="preserve"> HYPERLINK "https://0-www-sciencedirect-com.libus.csd.mu.edu/science/article/pii/S1551714418303616" \l "bb0205" </w:instrText>
      </w:r>
      <w:r w:rsidRPr="00E33C63">
        <w:fldChar w:fldCharType="separate"/>
      </w:r>
      <w:r w:rsidRPr="00E33C63">
        <w:rPr>
          <w:rStyle w:val="Hyperlink"/>
          <w:rFonts w:eastAsiaTheme="majorEastAsia"/>
          <w:color w:val="0C7DBB"/>
        </w:rPr>
        <w:t>41</w:t>
      </w:r>
      <w:r w:rsidRPr="00E33C63">
        <w:fldChar w:fldCharType="end"/>
      </w:r>
      <w:bookmarkEnd w:id="50"/>
      <w:r w:rsidRPr="00E33C63">
        <w:t>] and demonstrates overall positive study acceptability.</w:t>
      </w:r>
    </w:p>
    <w:p w14:paraId="5EE4634B" w14:textId="77777777" w:rsidR="007B26FC" w:rsidRPr="00E33C63" w:rsidRDefault="007B26FC" w:rsidP="00E33C63">
      <w:r w:rsidRPr="00E33C63">
        <w:t xml:space="preserve">Regarding metrics of resource feasibility (i.e., communication and monetary requirements), our study provided important information for designing a future phase II trial. Regarding communication, our study demonstrated that overall Skype™ calls were well accepted by the participants. However, we faced the challenge of some participants not being comfortable using computers with Skype™. In those cases, a video call connection could not be </w:t>
      </w:r>
      <w:proofErr w:type="gramStart"/>
      <w:r w:rsidRPr="00E33C63">
        <w:t>established</w:t>
      </w:r>
      <w:proofErr w:type="gramEnd"/>
      <w:r w:rsidRPr="00E33C63">
        <w:t xml:space="preserve"> and those participants received weekly contact through regular phone calls. This should be anticipated in future trials so precautions can be taken to help avoid potential delays in the communication with participants. A potential solution would be offering multiple means of communication to participants at the beginning of the study. We did not experience any technical issues in terms of Internet connectivity during the Skype™ calls or other logistical problems, such as participants not having a computer/tablet/smartphone to communicate with the research team. One participant in the control group required an instructional sheet with instruction on how to download and use Skype™ and this should be included in future trials. Regarding our communication with physicians to obtain the signed medical release, it may be important to plan for extra time and/or develop a different approach to accelerate this part of the process. We recruited older adults with MS for the current study, and this necessitated medical approval for undertaking the exercise program. Our approach was to fax the medical approval form to the physician's office. Members of the research team had to call the physician's office for approximately one third of the sample to remind them to complete and sign the form. A potential solution to minimize this issue would be asking the participant to bring a hardcopy of the medical approval form to the physician's appointment. However, it is important to note that this may necessitate cost to the participant to ensure timely enrollment. Gathering information on the costs related to the study was crucial to better inform future grant proposals for large-scale research efforts. Our study was accomplished with slightly over $13,000 and </w:t>
      </w:r>
      <w:proofErr w:type="gramStart"/>
      <w:r w:rsidRPr="00E33C63">
        <w:t>the majority of</w:t>
      </w:r>
      <w:proofErr w:type="gramEnd"/>
      <w:r w:rsidRPr="00E33C63">
        <w:t xml:space="preserve"> this cost was related to the manufacturing of the mats (~$7000) and participant's payment (~$6000). The costs related to the mat can be significantly reduced by opting for a different material. Our mats used an industrial material which may not be necessary for the purposes of the mat. </w:t>
      </w:r>
      <w:proofErr w:type="gramStart"/>
      <w:r w:rsidRPr="00E33C63">
        <w:t>The majority of</w:t>
      </w:r>
      <w:proofErr w:type="gramEnd"/>
      <w:r w:rsidRPr="00E33C63">
        <w:t xml:space="preserve"> participants might require travel for the laboratory visits, so this was taken into consideration when offering the large incentive. A multi-site study could be a potential way to reduce participant's payment in future large-scale trials; but this would come with its own set of challenges and quality control that will need to be addressed before hand. The $250 USD paid to participants as an incentive can arguably </w:t>
      </w:r>
      <w:proofErr w:type="gramStart"/>
      <w:r w:rsidRPr="00E33C63">
        <w:t>be seen as</w:t>
      </w:r>
      <w:proofErr w:type="gramEnd"/>
      <w:r w:rsidRPr="00E33C63">
        <w:t xml:space="preserve"> a potential bias for participation in this study. However, we believe that this amount was necessary when considering the costs of transportation. We further do recognize that the cost may limit translation into clinical practice, and further research is necessary for examining the SSE intervention under conditions amenable for translation into a clinical setting.</w:t>
      </w:r>
    </w:p>
    <w:p w14:paraId="7AC20BD6" w14:textId="77777777" w:rsidR="007B26FC" w:rsidRPr="00E33C63" w:rsidRDefault="007B26FC" w:rsidP="00E33C63">
      <w:r w:rsidRPr="00E33C63">
        <w:t>We gathered and provided data on the management requirements of the study. This feasibility trial was conducted with the assistance of eight persons, including the PI, Co-PI, two consultants, two </w:t>
      </w:r>
      <w:hyperlink r:id="rId48" w:tooltip="Learn more about Graduate Student from ScienceDirect's AI-generated Topic Pages" w:history="1">
        <w:r w:rsidRPr="00E33C63">
          <w:rPr>
            <w:rStyle w:val="Hyperlink"/>
            <w:rFonts w:eastAsiaTheme="majorEastAsia"/>
            <w:color w:val="0C7DBB"/>
          </w:rPr>
          <w:t>graduate students</w:t>
        </w:r>
      </w:hyperlink>
      <w:r w:rsidRPr="00E33C63">
        <w:t>, and two undergraduate students, with the majority of the work performed by the PI and two graduate students. Twenty-five out of the 26 enrolled and randomized (96%) completed the study, with one participant in the intervention condition not completing the follow up assessment. This rate is higher than rates observed in previous trials [</w:t>
      </w:r>
      <w:bookmarkStart w:id="51" w:name="bbb0210"/>
      <w:r w:rsidRPr="00E33C63">
        <w:fldChar w:fldCharType="begin"/>
      </w:r>
      <w:r w:rsidRPr="00E33C63">
        <w:instrText xml:space="preserve"> HYPERLINK "https://0-www-sciencedirect-com.libus.csd.mu.edu/science/article/pii/S1551714418303616" \l "bb0210" </w:instrText>
      </w:r>
      <w:r w:rsidRPr="00E33C63">
        <w:fldChar w:fldCharType="separate"/>
      </w:r>
      <w:r w:rsidRPr="00E33C63">
        <w:rPr>
          <w:rStyle w:val="Hyperlink"/>
          <w:rFonts w:eastAsiaTheme="majorEastAsia"/>
          <w:color w:val="0C7DBB"/>
        </w:rPr>
        <w:t>42</w:t>
      </w:r>
      <w:r w:rsidRPr="00E33C63">
        <w:fldChar w:fldCharType="end"/>
      </w:r>
      <w:bookmarkEnd w:id="51"/>
      <w:r w:rsidRPr="00E33C63">
        <w:t>]. This is also higher than the normally high dropout rates observed clinical trials in diseased populations [</w:t>
      </w:r>
      <w:bookmarkStart w:id="52" w:name="bbb0215"/>
      <w:r w:rsidRPr="00E33C63">
        <w:fldChar w:fldCharType="begin"/>
      </w:r>
      <w:r w:rsidRPr="00E33C63">
        <w:instrText xml:space="preserve"> HYPERLINK "https://0-www-sciencedirect-com.libus.csd.mu.edu/science/article/pii/S1551714418303616" \l "bb0215" </w:instrText>
      </w:r>
      <w:r w:rsidRPr="00E33C63">
        <w:fldChar w:fldCharType="separate"/>
      </w:r>
      <w:r w:rsidRPr="00E33C63">
        <w:rPr>
          <w:rStyle w:val="Hyperlink"/>
          <w:rFonts w:eastAsiaTheme="majorEastAsia"/>
          <w:color w:val="0C7DBB"/>
        </w:rPr>
        <w:t>43</w:t>
      </w:r>
      <w:r w:rsidRPr="00E33C63">
        <w:fldChar w:fldCharType="end"/>
      </w:r>
      <w:bookmarkEnd w:id="52"/>
      <w:r w:rsidRPr="00E33C63">
        <w:t>]. Completing and bringing the logbook with the required information during the biweekly meetings with the trainer revealed to be a challenge for some participants. In few occasions, the expected information was retrieved by phone or by email. This does not seem to be unique to our study as previous work reported the needed to follow up with participants to retrieve information [</w:t>
      </w:r>
      <w:hyperlink r:id="rId49" w:anchor="bb0185" w:history="1">
        <w:r w:rsidRPr="00E33C63">
          <w:rPr>
            <w:rStyle w:val="Hyperlink"/>
            <w:rFonts w:eastAsiaTheme="majorEastAsia"/>
            <w:color w:val="0C7DBB"/>
          </w:rPr>
          <w:t>37</w:t>
        </w:r>
      </w:hyperlink>
      <w:bookmarkEnd w:id="46"/>
      <w:r w:rsidRPr="00E33C63">
        <w:t>]; however, strategies should be implemented to minimize the potential loss of information. For example, the development of a website linked to the program where participants would be able to upload the necessary information. The assessments adopted in the study were performed in the laboratory and data were collected by a member of the research team. To this end, missing data in this study were related to participants not been able to complete one or more of the assessments.</w:t>
      </w:r>
    </w:p>
    <w:p w14:paraId="014CF78C" w14:textId="77777777" w:rsidR="007B26FC" w:rsidRPr="00E33C63" w:rsidRDefault="007B26FC" w:rsidP="00E33C63">
      <w:r w:rsidRPr="00E33C63">
        <w:t xml:space="preserve">Participants in the intervention group did not report health problems or adverse events (e.g. relapses) associated with the SSE practice. This indicates that home-based SSE is safe to be practiced by older adults with MS. This finding is </w:t>
      </w:r>
      <w:proofErr w:type="gramStart"/>
      <w:r w:rsidRPr="00E33C63">
        <w:t>similar to</w:t>
      </w:r>
      <w:proofErr w:type="gramEnd"/>
      <w:r w:rsidRPr="00E33C63">
        <w:t xml:space="preserve"> those observed in previous exercise interventions conducted in younger and middle-aged adults with MS in terms of safety. A previous systematic review that examined the safety of exercise training in persons with MS observed a relapse rate as small as of 4.6% and 6.3% for the exercise and control group, respectively [</w:t>
      </w:r>
      <w:bookmarkStart w:id="53" w:name="bbb0220"/>
      <w:r w:rsidRPr="00E33C63">
        <w:fldChar w:fldCharType="begin"/>
      </w:r>
      <w:r w:rsidRPr="00E33C63">
        <w:instrText xml:space="preserve"> HYPERLINK "https://0-www-sciencedirect-com.libus.csd.mu.edu/science/article/pii/S1551714418303616" \l "bb0220" </w:instrText>
      </w:r>
      <w:r w:rsidRPr="00E33C63">
        <w:fldChar w:fldCharType="separate"/>
      </w:r>
      <w:r w:rsidRPr="00E33C63">
        <w:rPr>
          <w:rStyle w:val="Hyperlink"/>
          <w:rFonts w:eastAsiaTheme="majorEastAsia"/>
          <w:color w:val="0C7DBB"/>
        </w:rPr>
        <w:t>44</w:t>
      </w:r>
      <w:r w:rsidRPr="00E33C63">
        <w:fldChar w:fldCharType="end"/>
      </w:r>
      <w:r w:rsidRPr="00E33C63">
        <w:t>]. Further, the rates of adverse events were 2% and 1.2% for exercise and control, respectively [</w:t>
      </w:r>
      <w:hyperlink r:id="rId50" w:anchor="bb0220" w:history="1">
        <w:r w:rsidRPr="00E33C63">
          <w:rPr>
            <w:rStyle w:val="Hyperlink"/>
            <w:rFonts w:eastAsiaTheme="majorEastAsia"/>
            <w:color w:val="0C7DBB"/>
          </w:rPr>
          <w:t>44</w:t>
        </w:r>
      </w:hyperlink>
      <w:bookmarkEnd w:id="53"/>
      <w:r w:rsidRPr="00E33C63">
        <w:t xml:space="preserve">]. Overall compliance with the intervention was reasonable, as less than half of participants missed a meeting with the exercise trainer. Although important, the meetings with the trainer were a small part of the program as </w:t>
      </w:r>
      <w:proofErr w:type="gramStart"/>
      <w:r w:rsidRPr="00E33C63">
        <w:t>the majority of</w:t>
      </w:r>
      <w:proofErr w:type="gramEnd"/>
      <w:r w:rsidRPr="00E33C63">
        <w:t xml:space="preserve"> it was performed in the participants' own home without supervision. Compliance, measured through steps per session with the use of a pedometer, demonstrated that participants complied with the study protocol and the majority of participants were reaching on average 10,000 steps per week at the 10th week of the program (</w:t>
      </w:r>
      <w:hyperlink r:id="rId51" w:anchor="f0015" w:history="1">
        <w:r w:rsidRPr="00E33C63">
          <w:rPr>
            <w:rStyle w:val="Hyperlink"/>
            <w:rFonts w:eastAsiaTheme="majorEastAsia"/>
            <w:color w:val="0C7DBB"/>
          </w:rPr>
          <w:t>Fig. 3</w:t>
        </w:r>
      </w:hyperlink>
      <w:bookmarkEnd w:id="41"/>
      <w:r w:rsidRPr="00E33C63">
        <w:t>). By week 10th week of the program, participants were practicing SSE five times per week with a duration of 25–30 min per session. This equates to 2000 steps per session of SSE practice by the 10th week of the program. Although this was not our goal/outcome, the 2000 steps accumulated during the SSE session could be a significant contributor in helping this population to achieve the recommended 10,000 steps per day promoted by public health agencies.</w:t>
      </w:r>
    </w:p>
    <w:p w14:paraId="00C1716E" w14:textId="77777777" w:rsidR="007B26FC" w:rsidRPr="00E33C63" w:rsidRDefault="007B26FC" w:rsidP="00E33C63">
      <w:r w:rsidRPr="00E33C63">
        <w:t>We did not observe nor expect statistically significant effects of the home-based SSE on physical and cognitive functioning outcomes. We instead focused on effect sizes (Cohen's </w:t>
      </w:r>
      <w:r w:rsidRPr="00E33C63">
        <w:rPr>
          <w:rStyle w:val="Emphasis"/>
          <w:rFonts w:eastAsiaTheme="majorEastAsia"/>
          <w:color w:val="2E2E2E"/>
        </w:rPr>
        <w:t>d</w:t>
      </w:r>
      <w:r w:rsidRPr="00E33C63">
        <w:t>) for the interaction effect from the ANOVAs on study outcomes. The partial eta-squared values (η</w:t>
      </w:r>
      <w:r w:rsidRPr="00E33C63">
        <w:rPr>
          <w:vertAlign w:val="subscript"/>
        </w:rPr>
        <w:t>p</w:t>
      </w:r>
      <w:r w:rsidRPr="00E33C63">
        <w:rPr>
          <w:vertAlign w:val="superscript"/>
        </w:rPr>
        <w:t>2</w:t>
      </w:r>
      <w:r w:rsidRPr="00E33C63">
        <w:t>) indicated the interaction between time and condition accounted for small variability in the physical functioning (i.e., T25FW, TUG, 6MW, SPPB; 0.1 to 5.5%) and cognitive functioning performance tests (i.e., SDMT, CVLT, BVMT; 0.7 to 9.5%). We further focused on Cohen's </w:t>
      </w:r>
      <w:r w:rsidRPr="00E33C63">
        <w:rPr>
          <w:rStyle w:val="Emphasis"/>
          <w:rFonts w:eastAsiaTheme="majorEastAsia"/>
          <w:color w:val="2E2E2E"/>
        </w:rPr>
        <w:t>d</w:t>
      </w:r>
      <w:r w:rsidRPr="00E33C63">
        <w:t> effect sizes and these indicated a small-to-moderate effect. The largest effects we observed for physical and cognitive functions were for T25FW, SPPB, CVLT and BVMT, respectively. This is somewhat expected considering that the intervention targeted multiple factors involved in the SPPB (e.g., walking and balance) as well as learning and memorizing visuomotor tasks that would translate into changes in the BVMT. Overall, the magnitude of the effect sizes ranged from small-to-moderate for both ambulatory/mobility and cognitive variables and provides preliminary evidence that participation in the intervention may improve cognition and physical function performance in older adults with MS. Similar findings have been observed in older adults for the general population [</w:t>
      </w:r>
      <w:bookmarkStart w:id="54" w:name="bbb0225"/>
      <w:r w:rsidRPr="00E33C63">
        <w:fldChar w:fldCharType="begin"/>
      </w:r>
      <w:r w:rsidRPr="00E33C63">
        <w:instrText xml:space="preserve"> HYPERLINK "https://0-www-sciencedirect-com.libus.csd.mu.edu/science/article/pii/S1551714418303616" \l "bb0225" </w:instrText>
      </w:r>
      <w:r w:rsidRPr="00E33C63">
        <w:fldChar w:fldCharType="separate"/>
      </w:r>
      <w:r w:rsidRPr="00E33C63">
        <w:rPr>
          <w:rStyle w:val="Hyperlink"/>
          <w:rFonts w:eastAsiaTheme="majorEastAsia"/>
          <w:color w:val="0C7DBB"/>
        </w:rPr>
        <w:t>45</w:t>
      </w:r>
      <w:r w:rsidRPr="00E33C63">
        <w:fldChar w:fldCharType="end"/>
      </w:r>
      <w:bookmarkEnd w:id="54"/>
      <w:r w:rsidRPr="00E33C63">
        <w:t>]. We further note that the next stage of research may focus on SPPB and BVMT as primary outcomes of a phase II trial that focuses on the efficacy of the home-based SSE for improving physical and cognitive function in older adults with MS.</w:t>
      </w:r>
    </w:p>
    <w:p w14:paraId="18294BF3" w14:textId="77777777" w:rsidR="007B26FC" w:rsidRPr="00E33C63" w:rsidRDefault="007B26FC" w:rsidP="00E33C63">
      <w:r w:rsidRPr="00E33C63">
        <w:t>Participant satisfaction with the programs deserves a brief discussion, although such information was not collected systematically. Based on informal conversations with participants enrolled in the SEE program during the biweekly visits in the laboratory, participants reported a positive perception of the program. This was based on the easy to perform type of exercise, the fact the SSE program was a fun way to increase physical activity that focused on MS-related symptoms, and the fact that the hybrid approach provided participants with a flexibility in terms of time of the day they could perform the exercise at home. However, some participants reported that as they moved forward with the program in terms of frequency and duration (i.e., 4–5 times per week and 25–30 min per day) the exercise became too repetitive and “boring”. Based on this, potential changes would include a fixed frequency (e.g., 3 times per week) and program progression only in terms of duration (i.e., time per session) and difficulty of step pattern (i.e., beginner, intermediate, and advanced). Similarly, a positive perception regarding the program was also reported by participants in the stretching and minimal </w:t>
      </w:r>
      <w:hyperlink r:id="rId52" w:tooltip="Learn more about Muscle Training from ScienceDirect's AI-generated Topic Pages" w:history="1">
        <w:r w:rsidRPr="00E33C63">
          <w:rPr>
            <w:rStyle w:val="Hyperlink"/>
            <w:rFonts w:eastAsiaTheme="majorEastAsia"/>
            <w:color w:val="0C7DBB"/>
          </w:rPr>
          <w:t>muscle strengthening</w:t>
        </w:r>
      </w:hyperlink>
      <w:r w:rsidRPr="00E33C63">
        <w:t> control group. Some participants reported that the </w:t>
      </w:r>
      <w:hyperlink r:id="rId53" w:tooltip="Learn more about Stretching Exercise from ScienceDirect's AI-generated Topic Pages" w:history="1">
        <w:r w:rsidRPr="00E33C63">
          <w:rPr>
            <w:rStyle w:val="Hyperlink"/>
            <w:rFonts w:eastAsiaTheme="majorEastAsia"/>
            <w:color w:val="0C7DBB"/>
          </w:rPr>
          <w:t>stretching exercises</w:t>
        </w:r>
      </w:hyperlink>
      <w:r w:rsidRPr="00E33C63">
        <w:t xml:space="preserve"> improved walking and reduce stiffness. Participants further mentioned that the stretching program focused on the whole body was a positive point. Despite no negative comments, a potential change for a future trial would be to provide participants with a yoga mat and a </w:t>
      </w:r>
      <w:proofErr w:type="gramStart"/>
      <w:r w:rsidRPr="00E33C63">
        <w:t>log book</w:t>
      </w:r>
      <w:proofErr w:type="gramEnd"/>
      <w:r w:rsidRPr="00E33C63">
        <w:t xml:space="preserve"> for more similarities to the SSE condition.</w:t>
      </w:r>
    </w:p>
    <w:p w14:paraId="03537718" w14:textId="77777777" w:rsidR="007B26FC" w:rsidRDefault="007B26FC" w:rsidP="00E33C63">
      <w:pPr>
        <w:pStyle w:val="Heading1"/>
        <w:rPr>
          <w:sz w:val="36"/>
          <w:szCs w:val="36"/>
        </w:rPr>
      </w:pPr>
      <w:r>
        <w:t>5. Conclusion</w:t>
      </w:r>
    </w:p>
    <w:p w14:paraId="340C7553" w14:textId="77777777" w:rsidR="007B26FC" w:rsidRPr="00E33C63" w:rsidRDefault="007B26FC" w:rsidP="00E33C63">
      <w:r w:rsidRPr="00E33C63">
        <w:t>This home-based, SSE program for older adults with MS (i.e., 60 years and over) was safe and feasible. The program showed great acceptability and no program-related adverse events or MS-related symptoms exacerbation was observed. Overall, results from this feasibility study suggest that the SSE-MS intervention can be moved toward a phase II trial of its efficacy for improving physical and cognitive functions [</w:t>
      </w:r>
      <w:bookmarkStart w:id="55" w:name="bbb0230"/>
      <w:r w:rsidRPr="00E33C63">
        <w:fldChar w:fldCharType="begin"/>
      </w:r>
      <w:r w:rsidRPr="00E33C63">
        <w:instrText xml:space="preserve"> HYPERLINK "https://0-www-sciencedirect-com.libus.csd.mu.edu/science/article/pii/S1551714418303616" \l "bb0230" </w:instrText>
      </w:r>
      <w:r w:rsidRPr="00E33C63">
        <w:fldChar w:fldCharType="separate"/>
      </w:r>
      <w:r w:rsidRPr="00E33C63">
        <w:rPr>
          <w:rStyle w:val="Hyperlink"/>
          <w:rFonts w:eastAsiaTheme="majorEastAsia"/>
          <w:color w:val="0C7DBB"/>
        </w:rPr>
        <w:t>46</w:t>
      </w:r>
      <w:r w:rsidRPr="00E33C63">
        <w:fldChar w:fldCharType="end"/>
      </w:r>
      <w:bookmarkEnd w:id="55"/>
      <w:r w:rsidRPr="00E33C63">
        <w:t>]. Researchers might further consider a similar feasibility study design when developing intervention programs for persons with MS in this stage of life (i.e., older adulthood).</w:t>
      </w:r>
    </w:p>
    <w:p w14:paraId="5CFDC9AE" w14:textId="77777777" w:rsidR="007B26FC" w:rsidRDefault="007B26FC" w:rsidP="00E33C63">
      <w:pPr>
        <w:pStyle w:val="Heading1"/>
        <w:rPr>
          <w:sz w:val="36"/>
          <w:szCs w:val="36"/>
        </w:rPr>
      </w:pPr>
      <w:r>
        <w:t>Funding</w:t>
      </w:r>
    </w:p>
    <w:p w14:paraId="0F2F0D37" w14:textId="77777777" w:rsidR="007B26FC" w:rsidRPr="00E33C63" w:rsidRDefault="007B26FC" w:rsidP="00E33C63">
      <w:pPr>
        <w:rPr>
          <w:color w:val="2E2E2E"/>
        </w:rPr>
      </w:pPr>
      <w:r w:rsidRPr="00E33C63">
        <w:rPr>
          <w:color w:val="2E2E2E"/>
        </w:rPr>
        <w:t>This study was supported in part by a pilot grant from the Consortium of </w:t>
      </w:r>
      <w:hyperlink r:id="rId54" w:tooltip="Learn more about Multiple Sclerosis from ScienceDirect's AI-generated Topic Pages" w:history="1">
        <w:r w:rsidRPr="00E33C63">
          <w:rPr>
            <w:rStyle w:val="Hyperlink"/>
            <w:rFonts w:eastAsiaTheme="majorEastAsia"/>
            <w:color w:val="0C7DBB"/>
          </w:rPr>
          <w:t>Multiple Sclerosis</w:t>
        </w:r>
      </w:hyperlink>
      <w:r w:rsidRPr="00E33C63">
        <w:rPr>
          <w:color w:val="2E2E2E"/>
        </w:rPr>
        <w:t> Centers (</w:t>
      </w:r>
      <w:hyperlink r:id="rId55" w:anchor="gts0005" w:history="1">
        <w:r w:rsidRPr="00E33C63">
          <w:rPr>
            <w:rStyle w:val="Hyperlink"/>
            <w:rFonts w:eastAsiaTheme="majorEastAsia"/>
            <w:color w:val="0C7DBB"/>
          </w:rPr>
          <w:t>2016-084666</w:t>
        </w:r>
      </w:hyperlink>
      <w:r w:rsidRPr="00E33C63">
        <w:rPr>
          <w:color w:val="2E2E2E"/>
        </w:rPr>
        <w:t>).</w:t>
      </w:r>
    </w:p>
    <w:p w14:paraId="37802E9F" w14:textId="77777777" w:rsidR="006B3702" w:rsidRPr="006B3702" w:rsidRDefault="006B3702" w:rsidP="00BA3769">
      <w:pPr>
        <w:pStyle w:val="Heading1"/>
      </w:pPr>
      <w:r w:rsidRPr="006B3702">
        <w:t>References</w:t>
      </w:r>
    </w:p>
    <w:p w14:paraId="0931308B" w14:textId="5727C637" w:rsidR="006B3702" w:rsidRPr="006B3702" w:rsidRDefault="00513441" w:rsidP="00725144">
      <w:pPr>
        <w:spacing w:after="0"/>
        <w:ind w:left="720" w:hanging="720"/>
        <w:rPr>
          <w:rFonts w:cstheme="minorHAnsi"/>
        </w:rPr>
      </w:pPr>
      <w:hyperlink r:id="rId56" w:anchor="bbb0005" w:history="1">
        <w:r w:rsidR="006B3702" w:rsidRPr="006B3702">
          <w:rPr>
            <w:rStyle w:val="Hyperlink"/>
            <w:rFonts w:cstheme="minorHAnsi"/>
          </w:rPr>
          <w:t>[1]</w:t>
        </w:r>
      </w:hyperlink>
      <w:r w:rsidR="00BA3769">
        <w:rPr>
          <w:rFonts w:cstheme="minorHAnsi"/>
        </w:rPr>
        <w:t xml:space="preserve"> </w:t>
      </w:r>
      <w:r w:rsidR="006B3702" w:rsidRPr="006B3702">
        <w:rPr>
          <w:rFonts w:cstheme="minorHAnsi"/>
        </w:rPr>
        <w:t>R. a </w:t>
      </w:r>
      <w:proofErr w:type="spellStart"/>
      <w:r w:rsidR="006B3702" w:rsidRPr="006B3702">
        <w:rPr>
          <w:rFonts w:cstheme="minorHAnsi"/>
        </w:rPr>
        <w:t>Marrie</w:t>
      </w:r>
      <w:proofErr w:type="spellEnd"/>
      <w:r w:rsidR="006B3702" w:rsidRPr="006B3702">
        <w:rPr>
          <w:rFonts w:cstheme="minorHAnsi"/>
        </w:rPr>
        <w:t>, N. Yu, J. Blanchard, S. Leung, L. Elliott</w:t>
      </w:r>
      <w:r w:rsidR="00BA3769">
        <w:rPr>
          <w:rFonts w:cstheme="minorHAnsi"/>
        </w:rPr>
        <w:t xml:space="preserve"> </w:t>
      </w:r>
      <w:r w:rsidR="006B3702" w:rsidRPr="006B3702">
        <w:rPr>
          <w:rFonts w:cstheme="minorHAnsi"/>
          <w:b/>
          <w:bCs/>
        </w:rPr>
        <w:t>The rising prevalence and changing age distribution of multiple sclerosis in Manitoba</w:t>
      </w:r>
      <w:r w:rsidR="00BA3769">
        <w:rPr>
          <w:rFonts w:cstheme="minorHAnsi"/>
          <w:b/>
          <w:bCs/>
        </w:rPr>
        <w:t xml:space="preserve"> </w:t>
      </w:r>
      <w:r w:rsidR="006B3702" w:rsidRPr="006B3702">
        <w:rPr>
          <w:rFonts w:cstheme="minorHAnsi"/>
        </w:rPr>
        <w:t>Neurology, 74 (6) (2010), pp. 465-471, </w:t>
      </w:r>
      <w:hyperlink r:id="rId57" w:tgtFrame="_blank" w:history="1">
        <w:r w:rsidR="006B3702" w:rsidRPr="006B3702">
          <w:rPr>
            <w:rStyle w:val="Hyperlink"/>
            <w:rFonts w:cstheme="minorHAnsi"/>
          </w:rPr>
          <w:t>10.1212/WNL.0b013e3181cf6ec0</w:t>
        </w:r>
      </w:hyperlink>
    </w:p>
    <w:p w14:paraId="7344102E" w14:textId="2807558F" w:rsidR="006B3702" w:rsidRPr="006B3702" w:rsidRDefault="00513441" w:rsidP="00725144">
      <w:pPr>
        <w:spacing w:after="0"/>
        <w:ind w:left="720" w:hanging="720"/>
        <w:rPr>
          <w:rFonts w:cstheme="minorHAnsi"/>
        </w:rPr>
      </w:pPr>
      <w:hyperlink r:id="rId58" w:anchor="bbb0010" w:history="1">
        <w:r w:rsidR="006B3702" w:rsidRPr="006B3702">
          <w:rPr>
            <w:rStyle w:val="Hyperlink"/>
            <w:rFonts w:cstheme="minorHAnsi"/>
          </w:rPr>
          <w:t>[2]</w:t>
        </w:r>
      </w:hyperlink>
      <w:r w:rsidR="00BA3769">
        <w:rPr>
          <w:rFonts w:cstheme="minorHAnsi"/>
        </w:rPr>
        <w:t xml:space="preserve"> </w:t>
      </w:r>
      <w:r w:rsidR="006B3702" w:rsidRPr="006B3702">
        <w:rPr>
          <w:rFonts w:cstheme="minorHAnsi"/>
        </w:rPr>
        <w:t>R. Bove, A. Musallam, B.C. Healy, </w:t>
      </w:r>
      <w:r w:rsidR="006B3702" w:rsidRPr="006B3702">
        <w:rPr>
          <w:rFonts w:cstheme="minorHAnsi"/>
          <w:i/>
          <w:iCs/>
        </w:rPr>
        <w:t>et al.</w:t>
      </w:r>
      <w:r w:rsidR="00BA3769">
        <w:rPr>
          <w:rFonts w:cstheme="minorHAnsi"/>
          <w:i/>
          <w:iCs/>
        </w:rPr>
        <w:t xml:space="preserve"> </w:t>
      </w:r>
      <w:r w:rsidR="006B3702" w:rsidRPr="006B3702">
        <w:rPr>
          <w:rFonts w:cstheme="minorHAnsi"/>
          <w:b/>
          <w:bCs/>
        </w:rPr>
        <w:t>No sex-specific difference in disease trajectory in multiple sclerosis patients before and after age 50</w:t>
      </w:r>
      <w:r w:rsidR="00BA3769">
        <w:rPr>
          <w:rFonts w:cstheme="minorHAnsi"/>
          <w:b/>
          <w:bCs/>
        </w:rPr>
        <w:t xml:space="preserve"> </w:t>
      </w:r>
      <w:r w:rsidR="006B3702" w:rsidRPr="006B3702">
        <w:rPr>
          <w:rFonts w:cstheme="minorHAnsi"/>
        </w:rPr>
        <w:t>BMC Neurol., 13 (2013), Article 73, </w:t>
      </w:r>
      <w:hyperlink r:id="rId59" w:tgtFrame="_blank" w:history="1">
        <w:r w:rsidR="006B3702" w:rsidRPr="006B3702">
          <w:rPr>
            <w:rStyle w:val="Hyperlink"/>
            <w:rFonts w:cstheme="minorHAnsi"/>
          </w:rPr>
          <w:t>10.1186/1471-2377-13-73</w:t>
        </w:r>
      </w:hyperlink>
    </w:p>
    <w:p w14:paraId="6CC765BA" w14:textId="315F3516" w:rsidR="006B3702" w:rsidRPr="006B3702" w:rsidRDefault="00513441" w:rsidP="00725144">
      <w:pPr>
        <w:spacing w:after="0"/>
        <w:ind w:left="720" w:hanging="720"/>
        <w:rPr>
          <w:rFonts w:cstheme="minorHAnsi"/>
        </w:rPr>
      </w:pPr>
      <w:hyperlink r:id="rId60" w:anchor="bbb0015" w:history="1">
        <w:r w:rsidR="006B3702" w:rsidRPr="006B3702">
          <w:rPr>
            <w:rStyle w:val="Hyperlink"/>
            <w:rFonts w:cstheme="minorHAnsi"/>
          </w:rPr>
          <w:t>[3]</w:t>
        </w:r>
      </w:hyperlink>
      <w:r w:rsidR="00BA3769">
        <w:rPr>
          <w:rFonts w:cstheme="minorHAnsi"/>
        </w:rPr>
        <w:t xml:space="preserve"> </w:t>
      </w:r>
      <w:r w:rsidR="006B3702" w:rsidRPr="006B3702">
        <w:rPr>
          <w:rFonts w:cstheme="minorHAnsi"/>
        </w:rPr>
        <w:t>T. </w:t>
      </w:r>
      <w:proofErr w:type="spellStart"/>
      <w:r w:rsidR="006B3702" w:rsidRPr="006B3702">
        <w:rPr>
          <w:rFonts w:cstheme="minorHAnsi"/>
        </w:rPr>
        <w:t>Dilorenzo</w:t>
      </w:r>
      <w:proofErr w:type="spellEnd"/>
      <w:r w:rsidR="006B3702" w:rsidRPr="006B3702">
        <w:rPr>
          <w:rFonts w:cstheme="minorHAnsi"/>
        </w:rPr>
        <w:t>, J. Halper, M.A. </w:t>
      </w:r>
      <w:proofErr w:type="spellStart"/>
      <w:r w:rsidR="006B3702" w:rsidRPr="006B3702">
        <w:rPr>
          <w:rFonts w:cstheme="minorHAnsi"/>
        </w:rPr>
        <w:t>Picone</w:t>
      </w:r>
      <w:proofErr w:type="spellEnd"/>
      <w:r w:rsidR="00BA3769">
        <w:rPr>
          <w:rFonts w:cstheme="minorHAnsi"/>
        </w:rPr>
        <w:t xml:space="preserve"> </w:t>
      </w:r>
      <w:r w:rsidR="006B3702" w:rsidRPr="006B3702">
        <w:rPr>
          <w:rFonts w:cstheme="minorHAnsi"/>
          <w:b/>
          <w:bCs/>
        </w:rPr>
        <w:t>Reliability and validity of the multiple sclerosis quality of life inventory in older individuals</w:t>
      </w:r>
      <w:r w:rsidR="00BA3769">
        <w:rPr>
          <w:rFonts w:cstheme="minorHAnsi"/>
          <w:b/>
          <w:bCs/>
        </w:rPr>
        <w:t xml:space="preserve"> </w:t>
      </w:r>
      <w:proofErr w:type="spellStart"/>
      <w:r w:rsidR="006B3702" w:rsidRPr="006B3702">
        <w:rPr>
          <w:rFonts w:cstheme="minorHAnsi"/>
        </w:rPr>
        <w:t>Disabil</w:t>
      </w:r>
      <w:proofErr w:type="spellEnd"/>
      <w:r w:rsidR="006B3702" w:rsidRPr="006B3702">
        <w:rPr>
          <w:rFonts w:cstheme="minorHAnsi"/>
        </w:rPr>
        <w:t xml:space="preserve">. </w:t>
      </w:r>
      <w:proofErr w:type="spellStart"/>
      <w:r w:rsidR="006B3702" w:rsidRPr="006B3702">
        <w:rPr>
          <w:rFonts w:cstheme="minorHAnsi"/>
        </w:rPr>
        <w:t>Rehabil</w:t>
      </w:r>
      <w:proofErr w:type="spellEnd"/>
      <w:r w:rsidR="006B3702" w:rsidRPr="006B3702">
        <w:rPr>
          <w:rFonts w:cstheme="minorHAnsi"/>
        </w:rPr>
        <w:t>., 25 (16) (2003), pp. 891-897, </w:t>
      </w:r>
      <w:hyperlink r:id="rId61" w:tgtFrame="_blank" w:history="1">
        <w:r w:rsidR="006B3702" w:rsidRPr="006B3702">
          <w:rPr>
            <w:rStyle w:val="Hyperlink"/>
            <w:rFonts w:cstheme="minorHAnsi"/>
          </w:rPr>
          <w:t>10.1080/0963828031000122195</w:t>
        </w:r>
      </w:hyperlink>
    </w:p>
    <w:p w14:paraId="6B4CFC62" w14:textId="4A9A9734" w:rsidR="006B3702" w:rsidRPr="006B3702" w:rsidRDefault="00513441" w:rsidP="00725144">
      <w:pPr>
        <w:spacing w:after="0"/>
        <w:ind w:left="720" w:hanging="720"/>
        <w:rPr>
          <w:rFonts w:cstheme="minorHAnsi"/>
        </w:rPr>
      </w:pPr>
      <w:hyperlink r:id="rId62" w:anchor="bbb0020" w:history="1">
        <w:r w:rsidR="006B3702" w:rsidRPr="006B3702">
          <w:rPr>
            <w:rStyle w:val="Hyperlink"/>
            <w:rFonts w:cstheme="minorHAnsi"/>
          </w:rPr>
          <w:t>[4]</w:t>
        </w:r>
      </w:hyperlink>
      <w:r w:rsidR="00BA3769">
        <w:rPr>
          <w:rFonts w:cstheme="minorHAnsi"/>
        </w:rPr>
        <w:t xml:space="preserve"> </w:t>
      </w:r>
      <w:r w:rsidR="006B3702" w:rsidRPr="006B3702">
        <w:rPr>
          <w:rFonts w:cstheme="minorHAnsi"/>
        </w:rPr>
        <w:t>M. Finlayson</w:t>
      </w:r>
      <w:r w:rsidR="00BA3769">
        <w:rPr>
          <w:rFonts w:cstheme="minorHAnsi"/>
        </w:rPr>
        <w:t xml:space="preserve"> </w:t>
      </w:r>
      <w:r w:rsidR="006B3702" w:rsidRPr="006B3702">
        <w:rPr>
          <w:rFonts w:cstheme="minorHAnsi"/>
          <w:b/>
          <w:bCs/>
        </w:rPr>
        <w:t>Concerns about the future among older adults with multiple sclerosis</w:t>
      </w:r>
      <w:r w:rsidR="00BA3769">
        <w:rPr>
          <w:rFonts w:cstheme="minorHAnsi"/>
          <w:b/>
          <w:bCs/>
        </w:rPr>
        <w:t xml:space="preserve"> </w:t>
      </w:r>
      <w:r w:rsidR="006B3702" w:rsidRPr="006B3702">
        <w:rPr>
          <w:rFonts w:cstheme="minorHAnsi"/>
        </w:rPr>
        <w:t xml:space="preserve">Am. J. </w:t>
      </w:r>
      <w:proofErr w:type="spellStart"/>
      <w:r w:rsidR="006B3702" w:rsidRPr="006B3702">
        <w:rPr>
          <w:rFonts w:cstheme="minorHAnsi"/>
        </w:rPr>
        <w:t>Occup</w:t>
      </w:r>
      <w:proofErr w:type="spellEnd"/>
      <w:r w:rsidR="006B3702" w:rsidRPr="006B3702">
        <w:rPr>
          <w:rFonts w:cstheme="minorHAnsi"/>
        </w:rPr>
        <w:t xml:space="preserve">. </w:t>
      </w:r>
      <w:proofErr w:type="spellStart"/>
      <w:r w:rsidR="006B3702" w:rsidRPr="006B3702">
        <w:rPr>
          <w:rFonts w:cstheme="minorHAnsi"/>
        </w:rPr>
        <w:t>Ther</w:t>
      </w:r>
      <w:proofErr w:type="spellEnd"/>
      <w:r w:rsidR="006B3702" w:rsidRPr="006B3702">
        <w:rPr>
          <w:rFonts w:cstheme="minorHAnsi"/>
        </w:rPr>
        <w:t>., 58 (1) (2004), pp. 54-63</w:t>
      </w:r>
      <w:r w:rsidR="00BA3769">
        <w:rPr>
          <w:rFonts w:cstheme="minorHAnsi"/>
        </w:rPr>
        <w:t xml:space="preserve"> </w:t>
      </w:r>
      <w:hyperlink r:id="rId63" w:tgtFrame="_blank" w:history="1">
        <w:r w:rsidR="006B3702" w:rsidRPr="006B3702">
          <w:rPr>
            <w:rStyle w:val="Hyperlink"/>
            <w:rFonts w:cstheme="minorHAnsi"/>
          </w:rPr>
          <w:t>http://ajot.aotapress.net/content/58/1/54.short</w:t>
        </w:r>
      </w:hyperlink>
    </w:p>
    <w:p w14:paraId="2B2CEA9E" w14:textId="216CDF92" w:rsidR="006B3702" w:rsidRPr="006B3702" w:rsidRDefault="00513441" w:rsidP="00725144">
      <w:pPr>
        <w:spacing w:after="0"/>
        <w:ind w:left="720" w:hanging="720"/>
        <w:rPr>
          <w:rFonts w:cstheme="minorHAnsi"/>
        </w:rPr>
      </w:pPr>
      <w:hyperlink r:id="rId64" w:anchor="bbb0025" w:history="1">
        <w:r w:rsidR="006B3702" w:rsidRPr="006B3702">
          <w:rPr>
            <w:rStyle w:val="Hyperlink"/>
            <w:rFonts w:cstheme="minorHAnsi"/>
          </w:rPr>
          <w:t>[5]</w:t>
        </w:r>
      </w:hyperlink>
      <w:r w:rsidR="00BA3769">
        <w:rPr>
          <w:rFonts w:cstheme="minorHAnsi"/>
        </w:rPr>
        <w:t xml:space="preserve"> </w:t>
      </w:r>
      <w:r w:rsidR="006B3702" w:rsidRPr="006B3702">
        <w:rPr>
          <w:rFonts w:cstheme="minorHAnsi"/>
        </w:rPr>
        <w:t>M. Finlayson, E. </w:t>
      </w:r>
      <w:proofErr w:type="spellStart"/>
      <w:r w:rsidR="006B3702" w:rsidRPr="006B3702">
        <w:rPr>
          <w:rFonts w:cstheme="minorHAnsi"/>
        </w:rPr>
        <w:t>Shevil</w:t>
      </w:r>
      <w:proofErr w:type="spellEnd"/>
      <w:r w:rsidR="006B3702" w:rsidRPr="006B3702">
        <w:rPr>
          <w:rFonts w:cstheme="minorHAnsi"/>
        </w:rPr>
        <w:t>, C.C. Cho</w:t>
      </w:r>
      <w:r w:rsidR="00BA3769">
        <w:rPr>
          <w:rFonts w:cstheme="minorHAnsi"/>
        </w:rPr>
        <w:t xml:space="preserve"> </w:t>
      </w:r>
      <w:r w:rsidR="006B3702" w:rsidRPr="006B3702">
        <w:rPr>
          <w:rFonts w:cstheme="minorHAnsi"/>
          <w:b/>
          <w:bCs/>
        </w:rPr>
        <w:t>Perceptions of cognitive symptoms among people aging with multiple sclerosis and their caregivers</w:t>
      </w:r>
      <w:r w:rsidR="00BA3769">
        <w:rPr>
          <w:rFonts w:cstheme="minorHAnsi"/>
          <w:b/>
          <w:bCs/>
        </w:rPr>
        <w:t xml:space="preserve"> </w:t>
      </w:r>
      <w:r w:rsidR="006B3702" w:rsidRPr="006B3702">
        <w:rPr>
          <w:rFonts w:cstheme="minorHAnsi"/>
        </w:rPr>
        <w:t xml:space="preserve">Am. J. </w:t>
      </w:r>
      <w:proofErr w:type="spellStart"/>
      <w:r w:rsidR="006B3702" w:rsidRPr="006B3702">
        <w:rPr>
          <w:rFonts w:cstheme="minorHAnsi"/>
        </w:rPr>
        <w:t>Occup</w:t>
      </w:r>
      <w:proofErr w:type="spellEnd"/>
      <w:r w:rsidR="006B3702" w:rsidRPr="006B3702">
        <w:rPr>
          <w:rFonts w:cstheme="minorHAnsi"/>
        </w:rPr>
        <w:t xml:space="preserve">. </w:t>
      </w:r>
      <w:proofErr w:type="spellStart"/>
      <w:r w:rsidR="006B3702" w:rsidRPr="006B3702">
        <w:rPr>
          <w:rFonts w:cstheme="minorHAnsi"/>
        </w:rPr>
        <w:t>Ther</w:t>
      </w:r>
      <w:proofErr w:type="spellEnd"/>
      <w:r w:rsidR="006B3702" w:rsidRPr="006B3702">
        <w:rPr>
          <w:rFonts w:cstheme="minorHAnsi"/>
        </w:rPr>
        <w:t>., 63 (2) (2007), pp. 151-159, </w:t>
      </w:r>
      <w:hyperlink r:id="rId65" w:tgtFrame="_blank" w:history="1">
        <w:r w:rsidR="006B3702" w:rsidRPr="006B3702">
          <w:rPr>
            <w:rStyle w:val="Hyperlink"/>
            <w:rFonts w:cstheme="minorHAnsi"/>
          </w:rPr>
          <w:t>10.5014/ajot.63.2.151</w:t>
        </w:r>
      </w:hyperlink>
    </w:p>
    <w:p w14:paraId="5FFB53A2" w14:textId="06E882F3" w:rsidR="006B3702" w:rsidRPr="006B3702" w:rsidRDefault="00513441" w:rsidP="00725144">
      <w:pPr>
        <w:spacing w:after="0"/>
        <w:ind w:left="720" w:hanging="720"/>
        <w:rPr>
          <w:rFonts w:cstheme="minorHAnsi"/>
        </w:rPr>
      </w:pPr>
      <w:hyperlink r:id="rId66" w:anchor="bbb0030" w:history="1">
        <w:r w:rsidR="006B3702" w:rsidRPr="006B3702">
          <w:rPr>
            <w:rStyle w:val="Hyperlink"/>
            <w:rFonts w:cstheme="minorHAnsi"/>
          </w:rPr>
          <w:t>[6]</w:t>
        </w:r>
      </w:hyperlink>
      <w:r w:rsidR="00BA3769">
        <w:rPr>
          <w:rFonts w:cstheme="minorHAnsi"/>
        </w:rPr>
        <w:t xml:space="preserve"> </w:t>
      </w:r>
      <w:r w:rsidR="006B3702" w:rsidRPr="006B3702">
        <w:rPr>
          <w:rFonts w:cstheme="minorHAnsi"/>
        </w:rPr>
        <w:t xml:space="preserve">M. Finlayson, T. van </w:t>
      </w:r>
      <w:proofErr w:type="spellStart"/>
      <w:r w:rsidR="006B3702" w:rsidRPr="006B3702">
        <w:rPr>
          <w:rFonts w:cstheme="minorHAnsi"/>
        </w:rPr>
        <w:t>Denend</w:t>
      </w:r>
      <w:proofErr w:type="spellEnd"/>
      <w:r w:rsidR="00BA3769">
        <w:rPr>
          <w:rFonts w:cstheme="minorHAnsi"/>
        </w:rPr>
        <w:t xml:space="preserve"> </w:t>
      </w:r>
      <w:r w:rsidR="006B3702" w:rsidRPr="006B3702">
        <w:rPr>
          <w:rFonts w:cstheme="minorHAnsi"/>
          <w:b/>
          <w:bCs/>
        </w:rPr>
        <w:t>Experiencing the loss of mobility: perspectives of older adults with MS</w:t>
      </w:r>
      <w:r w:rsidR="00BA3769">
        <w:rPr>
          <w:rFonts w:cstheme="minorHAnsi"/>
          <w:b/>
          <w:bCs/>
        </w:rPr>
        <w:t xml:space="preserve"> </w:t>
      </w:r>
      <w:proofErr w:type="spellStart"/>
      <w:r w:rsidR="006B3702" w:rsidRPr="006B3702">
        <w:rPr>
          <w:rFonts w:cstheme="minorHAnsi"/>
        </w:rPr>
        <w:t>Disabil</w:t>
      </w:r>
      <w:proofErr w:type="spellEnd"/>
      <w:r w:rsidR="006B3702" w:rsidRPr="006B3702">
        <w:rPr>
          <w:rFonts w:cstheme="minorHAnsi"/>
        </w:rPr>
        <w:t xml:space="preserve">. </w:t>
      </w:r>
      <w:proofErr w:type="spellStart"/>
      <w:r w:rsidR="006B3702" w:rsidRPr="006B3702">
        <w:rPr>
          <w:rFonts w:cstheme="minorHAnsi"/>
        </w:rPr>
        <w:t>Rehabil</w:t>
      </w:r>
      <w:proofErr w:type="spellEnd"/>
      <w:r w:rsidR="006B3702" w:rsidRPr="006B3702">
        <w:rPr>
          <w:rFonts w:cstheme="minorHAnsi"/>
        </w:rPr>
        <w:t>., 25 (20) (2003), pp. 1168-1180, </w:t>
      </w:r>
      <w:hyperlink r:id="rId67" w:tgtFrame="_blank" w:history="1">
        <w:r w:rsidR="006B3702" w:rsidRPr="006B3702">
          <w:rPr>
            <w:rStyle w:val="Hyperlink"/>
            <w:rFonts w:cstheme="minorHAnsi"/>
          </w:rPr>
          <w:t>10.1080/09638280310001596180</w:t>
        </w:r>
      </w:hyperlink>
    </w:p>
    <w:p w14:paraId="5D5A2FC5" w14:textId="717A1745" w:rsidR="006B3702" w:rsidRPr="006B3702" w:rsidRDefault="00513441" w:rsidP="00725144">
      <w:pPr>
        <w:spacing w:after="0"/>
        <w:ind w:left="720" w:hanging="720"/>
        <w:rPr>
          <w:rFonts w:cstheme="minorHAnsi"/>
        </w:rPr>
      </w:pPr>
      <w:hyperlink r:id="rId68" w:anchor="bbb0035" w:history="1">
        <w:r w:rsidR="006B3702" w:rsidRPr="006B3702">
          <w:rPr>
            <w:rStyle w:val="Hyperlink"/>
            <w:rFonts w:cstheme="minorHAnsi"/>
          </w:rPr>
          <w:t>[7]</w:t>
        </w:r>
      </w:hyperlink>
      <w:r w:rsidR="00BA3769">
        <w:rPr>
          <w:rFonts w:cstheme="minorHAnsi"/>
        </w:rPr>
        <w:t xml:space="preserve"> </w:t>
      </w:r>
      <w:r w:rsidR="006B3702" w:rsidRPr="006B3702">
        <w:rPr>
          <w:rFonts w:cstheme="minorHAnsi"/>
        </w:rPr>
        <w:t>K.H. Jones, D.V. Ford, P.A. Jones, </w:t>
      </w:r>
      <w:r w:rsidR="006B3702" w:rsidRPr="006B3702">
        <w:rPr>
          <w:rFonts w:cstheme="minorHAnsi"/>
          <w:i/>
          <w:iCs/>
        </w:rPr>
        <w:t>et al.</w:t>
      </w:r>
      <w:r w:rsidR="00BA3769">
        <w:rPr>
          <w:rFonts w:cstheme="minorHAnsi"/>
          <w:i/>
          <w:iCs/>
        </w:rPr>
        <w:t xml:space="preserve"> </w:t>
      </w:r>
      <w:r w:rsidR="006B3702" w:rsidRPr="006B3702">
        <w:rPr>
          <w:rFonts w:cstheme="minorHAnsi"/>
          <w:b/>
          <w:bCs/>
        </w:rPr>
        <w:t>How people with multiple sclerosis rate their quality of life: an EQ-5D survey via the UK MS register</w:t>
      </w:r>
      <w:r w:rsidR="00BA3769">
        <w:rPr>
          <w:rFonts w:cstheme="minorHAnsi"/>
          <w:b/>
          <w:bCs/>
        </w:rPr>
        <w:t xml:space="preserve"> </w:t>
      </w:r>
      <w:proofErr w:type="spellStart"/>
      <w:r w:rsidR="006B3702" w:rsidRPr="006B3702">
        <w:rPr>
          <w:rFonts w:cstheme="minorHAnsi"/>
        </w:rPr>
        <w:t>PLoS</w:t>
      </w:r>
      <w:proofErr w:type="spellEnd"/>
      <w:r w:rsidR="006B3702" w:rsidRPr="006B3702">
        <w:rPr>
          <w:rFonts w:cstheme="minorHAnsi"/>
        </w:rPr>
        <w:t xml:space="preserve"> One, 8 (6) (2013), Article e65640, </w:t>
      </w:r>
      <w:hyperlink r:id="rId69" w:tgtFrame="_blank" w:history="1">
        <w:r w:rsidR="006B3702" w:rsidRPr="006B3702">
          <w:rPr>
            <w:rStyle w:val="Hyperlink"/>
            <w:rFonts w:cstheme="minorHAnsi"/>
          </w:rPr>
          <w:t>10.1371/journal.pone.0065640</w:t>
        </w:r>
      </w:hyperlink>
    </w:p>
    <w:p w14:paraId="0A0D51A0" w14:textId="0D79F1FE" w:rsidR="006B3702" w:rsidRPr="006B3702" w:rsidRDefault="00513441" w:rsidP="00725144">
      <w:pPr>
        <w:spacing w:after="0"/>
        <w:ind w:left="720" w:hanging="720"/>
        <w:rPr>
          <w:rFonts w:cstheme="minorHAnsi"/>
        </w:rPr>
      </w:pPr>
      <w:hyperlink r:id="rId70" w:anchor="bbb0040" w:history="1">
        <w:r w:rsidR="006B3702" w:rsidRPr="006B3702">
          <w:rPr>
            <w:rStyle w:val="Hyperlink"/>
            <w:rFonts w:cstheme="minorHAnsi"/>
          </w:rPr>
          <w:t>[8]</w:t>
        </w:r>
      </w:hyperlink>
      <w:r w:rsidR="00BA3769">
        <w:rPr>
          <w:rFonts w:cstheme="minorHAnsi"/>
        </w:rPr>
        <w:t xml:space="preserve"> </w:t>
      </w:r>
      <w:r w:rsidR="006B3702" w:rsidRPr="006B3702">
        <w:rPr>
          <w:rFonts w:cstheme="minorHAnsi"/>
        </w:rPr>
        <w:t>M. </w:t>
      </w:r>
      <w:proofErr w:type="spellStart"/>
      <w:r w:rsidR="006B3702" w:rsidRPr="006B3702">
        <w:rPr>
          <w:rFonts w:cstheme="minorHAnsi"/>
        </w:rPr>
        <w:t>Trojano</w:t>
      </w:r>
      <w:proofErr w:type="spellEnd"/>
      <w:r w:rsidR="006B3702" w:rsidRPr="006B3702">
        <w:rPr>
          <w:rFonts w:cstheme="minorHAnsi"/>
        </w:rPr>
        <w:t>, M. Liguori</w:t>
      </w:r>
      <w:r w:rsidR="00BA3769">
        <w:rPr>
          <w:rFonts w:cstheme="minorHAnsi"/>
        </w:rPr>
        <w:t xml:space="preserve"> </w:t>
      </w:r>
      <w:r w:rsidR="006B3702" w:rsidRPr="006B3702">
        <w:rPr>
          <w:rFonts w:cstheme="minorHAnsi"/>
          <w:b/>
          <w:bCs/>
        </w:rPr>
        <w:t>Age-related disability in multiple sclerosis</w:t>
      </w:r>
      <w:r w:rsidR="00BA3769">
        <w:rPr>
          <w:rFonts w:cstheme="minorHAnsi"/>
          <w:b/>
          <w:bCs/>
        </w:rPr>
        <w:t xml:space="preserve"> </w:t>
      </w:r>
      <w:r w:rsidR="006B3702" w:rsidRPr="006B3702">
        <w:rPr>
          <w:rFonts w:cstheme="minorHAnsi"/>
        </w:rPr>
        <w:t>Ann. Neurol., 51 (4) (2002), pp. 475-480, </w:t>
      </w:r>
      <w:hyperlink r:id="rId71" w:tgtFrame="_blank" w:history="1">
        <w:r w:rsidR="006B3702" w:rsidRPr="006B3702">
          <w:rPr>
            <w:rStyle w:val="Hyperlink"/>
            <w:rFonts w:cstheme="minorHAnsi"/>
          </w:rPr>
          <w:t>10.1002/ana.10147</w:t>
        </w:r>
      </w:hyperlink>
    </w:p>
    <w:p w14:paraId="03BDD7F3" w14:textId="75A25D52" w:rsidR="006B3702" w:rsidRPr="006B3702" w:rsidRDefault="00513441" w:rsidP="00725144">
      <w:pPr>
        <w:spacing w:after="0"/>
        <w:ind w:left="720" w:hanging="720"/>
        <w:rPr>
          <w:rFonts w:cstheme="minorHAnsi"/>
        </w:rPr>
      </w:pPr>
      <w:hyperlink r:id="rId72" w:anchor="bbb0045" w:history="1">
        <w:r w:rsidR="006B3702" w:rsidRPr="006B3702">
          <w:rPr>
            <w:rStyle w:val="Hyperlink"/>
            <w:rFonts w:cstheme="minorHAnsi"/>
          </w:rPr>
          <w:t>[9]</w:t>
        </w:r>
      </w:hyperlink>
      <w:r w:rsidR="00BA3769">
        <w:rPr>
          <w:rFonts w:cstheme="minorHAnsi"/>
        </w:rPr>
        <w:t xml:space="preserve"> </w:t>
      </w:r>
      <w:r w:rsidR="006B3702" w:rsidRPr="006B3702">
        <w:rPr>
          <w:rFonts w:cstheme="minorHAnsi"/>
        </w:rPr>
        <w:t>A. </w:t>
      </w:r>
      <w:proofErr w:type="spellStart"/>
      <w:r w:rsidR="006B3702" w:rsidRPr="006B3702">
        <w:rPr>
          <w:rFonts w:cstheme="minorHAnsi"/>
        </w:rPr>
        <w:t>Shirani</w:t>
      </w:r>
      <w:proofErr w:type="spellEnd"/>
      <w:r w:rsidR="006B3702" w:rsidRPr="006B3702">
        <w:rPr>
          <w:rFonts w:cstheme="minorHAnsi"/>
        </w:rPr>
        <w:t>, Y. Zhao, J. Petkau, </w:t>
      </w:r>
      <w:r w:rsidR="006B3702" w:rsidRPr="006B3702">
        <w:rPr>
          <w:rFonts w:cstheme="minorHAnsi"/>
          <w:i/>
          <w:iCs/>
        </w:rPr>
        <w:t>et al.</w:t>
      </w:r>
      <w:r w:rsidR="00BA3769">
        <w:rPr>
          <w:rFonts w:cstheme="minorHAnsi"/>
          <w:i/>
          <w:iCs/>
        </w:rPr>
        <w:t xml:space="preserve"> </w:t>
      </w:r>
      <w:r w:rsidR="006B3702" w:rsidRPr="006B3702">
        <w:rPr>
          <w:rFonts w:cstheme="minorHAnsi"/>
          <w:b/>
          <w:bCs/>
        </w:rPr>
        <w:t>Multiple Sclerosis in older adults: the clinical profile and impact of interferon beta treatment</w:t>
      </w:r>
      <w:r w:rsidR="00BA3769">
        <w:rPr>
          <w:rFonts w:cstheme="minorHAnsi"/>
          <w:b/>
          <w:bCs/>
        </w:rPr>
        <w:t xml:space="preserve"> </w:t>
      </w:r>
      <w:r w:rsidR="006B3702" w:rsidRPr="006B3702">
        <w:rPr>
          <w:rFonts w:cstheme="minorHAnsi"/>
        </w:rPr>
        <w:t>Biomed. Res. Int., 2015 (2015), pp. 1-11, </w:t>
      </w:r>
      <w:hyperlink r:id="rId73" w:tgtFrame="_blank" w:history="1">
        <w:r w:rsidR="006B3702" w:rsidRPr="006B3702">
          <w:rPr>
            <w:rStyle w:val="Hyperlink"/>
            <w:rFonts w:cstheme="minorHAnsi"/>
          </w:rPr>
          <w:t>10.1155/2015/451912</w:t>
        </w:r>
      </w:hyperlink>
    </w:p>
    <w:p w14:paraId="761DED1E" w14:textId="16ECC7AE" w:rsidR="006B3702" w:rsidRPr="006B3702" w:rsidRDefault="00513441" w:rsidP="00725144">
      <w:pPr>
        <w:spacing w:after="0"/>
        <w:ind w:left="720" w:hanging="720"/>
        <w:rPr>
          <w:rFonts w:cstheme="minorHAnsi"/>
        </w:rPr>
      </w:pPr>
      <w:hyperlink r:id="rId74" w:anchor="bbb0050" w:history="1">
        <w:r w:rsidR="006B3702" w:rsidRPr="006B3702">
          <w:rPr>
            <w:rStyle w:val="Hyperlink"/>
            <w:rFonts w:cstheme="minorHAnsi"/>
          </w:rPr>
          <w:t>[10]</w:t>
        </w:r>
      </w:hyperlink>
      <w:r w:rsidR="00BA3769">
        <w:rPr>
          <w:rFonts w:cstheme="minorHAnsi"/>
        </w:rPr>
        <w:t xml:space="preserve"> </w:t>
      </w:r>
      <w:r w:rsidR="006B3702" w:rsidRPr="006B3702">
        <w:rPr>
          <w:rFonts w:cstheme="minorHAnsi"/>
        </w:rPr>
        <w:t>R.W. </w:t>
      </w:r>
      <w:proofErr w:type="spellStart"/>
      <w:r w:rsidR="006B3702" w:rsidRPr="006B3702">
        <w:rPr>
          <w:rFonts w:cstheme="minorHAnsi"/>
        </w:rPr>
        <w:t>Motl</w:t>
      </w:r>
      <w:proofErr w:type="spellEnd"/>
      <w:r w:rsidR="006B3702" w:rsidRPr="006B3702">
        <w:rPr>
          <w:rFonts w:cstheme="minorHAnsi"/>
        </w:rPr>
        <w:t>, </w:t>
      </w:r>
      <w:proofErr w:type="spellStart"/>
      <w:r w:rsidR="006B3702" w:rsidRPr="006B3702">
        <w:rPr>
          <w:rFonts w:cstheme="minorHAnsi"/>
        </w:rPr>
        <w:t>Pilutti</w:t>
      </w:r>
      <w:proofErr w:type="spellEnd"/>
      <w:r w:rsidR="006B3702" w:rsidRPr="006B3702">
        <w:rPr>
          <w:rFonts w:cstheme="minorHAnsi"/>
        </w:rPr>
        <w:t> L A</w:t>
      </w:r>
      <w:r w:rsidR="00BA3769">
        <w:rPr>
          <w:rFonts w:cstheme="minorHAnsi"/>
        </w:rPr>
        <w:t xml:space="preserve"> </w:t>
      </w:r>
      <w:r w:rsidR="006B3702" w:rsidRPr="006B3702">
        <w:rPr>
          <w:rFonts w:cstheme="minorHAnsi"/>
          <w:b/>
          <w:bCs/>
        </w:rPr>
        <w:t>The benefits of exercise training in multiple sclerosis</w:t>
      </w:r>
      <w:r w:rsidR="00BA3769">
        <w:rPr>
          <w:rFonts w:cstheme="minorHAnsi"/>
          <w:b/>
          <w:bCs/>
        </w:rPr>
        <w:t xml:space="preserve"> </w:t>
      </w:r>
      <w:r w:rsidR="006B3702" w:rsidRPr="006B3702">
        <w:rPr>
          <w:rFonts w:cstheme="minorHAnsi"/>
        </w:rPr>
        <w:t>Nat. Rev. Neurol., 8 (9) (2012), pp. 487-497, </w:t>
      </w:r>
      <w:hyperlink r:id="rId75" w:tgtFrame="_blank" w:history="1">
        <w:r w:rsidR="006B3702" w:rsidRPr="006B3702">
          <w:rPr>
            <w:rStyle w:val="Hyperlink"/>
            <w:rFonts w:cstheme="minorHAnsi"/>
          </w:rPr>
          <w:t>10.1038/nrneurol.2012.136</w:t>
        </w:r>
      </w:hyperlink>
    </w:p>
    <w:p w14:paraId="5838E2EB" w14:textId="3F694871" w:rsidR="006B3702" w:rsidRPr="006B3702" w:rsidRDefault="00513441" w:rsidP="00725144">
      <w:pPr>
        <w:spacing w:after="0"/>
        <w:ind w:left="720" w:hanging="720"/>
        <w:rPr>
          <w:rFonts w:cstheme="minorHAnsi"/>
        </w:rPr>
      </w:pPr>
      <w:hyperlink r:id="rId76" w:anchor="bbb0055" w:history="1">
        <w:r w:rsidR="006B3702" w:rsidRPr="006B3702">
          <w:rPr>
            <w:rStyle w:val="Hyperlink"/>
            <w:rFonts w:cstheme="minorHAnsi"/>
          </w:rPr>
          <w:t>[11]</w:t>
        </w:r>
      </w:hyperlink>
      <w:r w:rsidR="00BA3769">
        <w:rPr>
          <w:rFonts w:cstheme="minorHAnsi"/>
        </w:rPr>
        <w:t xml:space="preserve"> </w:t>
      </w:r>
      <w:r w:rsidR="006B3702" w:rsidRPr="006B3702">
        <w:rPr>
          <w:rFonts w:cstheme="minorHAnsi"/>
        </w:rPr>
        <w:t>W.J. </w:t>
      </w:r>
      <w:proofErr w:type="spellStart"/>
      <w:r w:rsidR="006B3702" w:rsidRPr="006B3702">
        <w:rPr>
          <w:rFonts w:cstheme="minorHAnsi"/>
        </w:rPr>
        <w:t>Chodzko-Zajko</w:t>
      </w:r>
      <w:proofErr w:type="spellEnd"/>
      <w:r w:rsidR="006B3702" w:rsidRPr="006B3702">
        <w:rPr>
          <w:rFonts w:cstheme="minorHAnsi"/>
        </w:rPr>
        <w:t>, D.N. Proctor, M.A. </w:t>
      </w:r>
      <w:proofErr w:type="spellStart"/>
      <w:r w:rsidR="006B3702" w:rsidRPr="006B3702">
        <w:rPr>
          <w:rFonts w:cstheme="minorHAnsi"/>
        </w:rPr>
        <w:t>Fiatarone</w:t>
      </w:r>
      <w:proofErr w:type="spellEnd"/>
      <w:r w:rsidR="006B3702" w:rsidRPr="006B3702">
        <w:rPr>
          <w:rFonts w:cstheme="minorHAnsi"/>
        </w:rPr>
        <w:t xml:space="preserve"> Singh, </w:t>
      </w:r>
      <w:r w:rsidR="006B3702" w:rsidRPr="006B3702">
        <w:rPr>
          <w:rFonts w:cstheme="minorHAnsi"/>
          <w:i/>
          <w:iCs/>
        </w:rPr>
        <w:t>et al.</w:t>
      </w:r>
      <w:r w:rsidR="00BA3769">
        <w:rPr>
          <w:rFonts w:cstheme="minorHAnsi"/>
          <w:i/>
          <w:iCs/>
        </w:rPr>
        <w:t xml:space="preserve"> </w:t>
      </w:r>
      <w:r w:rsidR="006B3702" w:rsidRPr="006B3702">
        <w:rPr>
          <w:rFonts w:cstheme="minorHAnsi"/>
          <w:b/>
          <w:bCs/>
        </w:rPr>
        <w:t>American College of Sports Medicine position stand. Exercise and physical activity for older adults</w:t>
      </w:r>
      <w:r w:rsidR="00BA3769">
        <w:rPr>
          <w:rFonts w:cstheme="minorHAnsi"/>
          <w:b/>
          <w:bCs/>
        </w:rPr>
        <w:t xml:space="preserve"> </w:t>
      </w:r>
      <w:r w:rsidR="006B3702" w:rsidRPr="006B3702">
        <w:rPr>
          <w:rFonts w:cstheme="minorHAnsi"/>
        </w:rPr>
        <w:t xml:space="preserve">Med. Sci. Sports </w:t>
      </w:r>
      <w:proofErr w:type="spellStart"/>
      <w:r w:rsidR="006B3702" w:rsidRPr="006B3702">
        <w:rPr>
          <w:rFonts w:cstheme="minorHAnsi"/>
        </w:rPr>
        <w:t>Exerc</w:t>
      </w:r>
      <w:proofErr w:type="spellEnd"/>
      <w:r w:rsidR="006B3702" w:rsidRPr="006B3702">
        <w:rPr>
          <w:rFonts w:cstheme="minorHAnsi"/>
        </w:rPr>
        <w:t>., 41 (7) (2009), pp. 1510-1530, </w:t>
      </w:r>
      <w:hyperlink r:id="rId77" w:tgtFrame="_blank" w:history="1">
        <w:r w:rsidR="006B3702" w:rsidRPr="006B3702">
          <w:rPr>
            <w:rStyle w:val="Hyperlink"/>
            <w:rFonts w:cstheme="minorHAnsi"/>
          </w:rPr>
          <w:t>10.1249/MSS.0b013e3181a0c95c</w:t>
        </w:r>
      </w:hyperlink>
    </w:p>
    <w:p w14:paraId="0B8F36C2" w14:textId="2AA751A1" w:rsidR="006B3702" w:rsidRPr="006B3702" w:rsidRDefault="00513441" w:rsidP="00725144">
      <w:pPr>
        <w:spacing w:after="0"/>
        <w:ind w:left="720" w:hanging="720"/>
        <w:rPr>
          <w:rFonts w:cstheme="minorHAnsi"/>
        </w:rPr>
      </w:pPr>
      <w:hyperlink r:id="rId78" w:anchor="bbb0060" w:history="1">
        <w:r w:rsidR="006B3702" w:rsidRPr="006B3702">
          <w:rPr>
            <w:rStyle w:val="Hyperlink"/>
            <w:rFonts w:cstheme="minorHAnsi"/>
          </w:rPr>
          <w:t>[12]</w:t>
        </w:r>
      </w:hyperlink>
      <w:r w:rsidR="00BA3769">
        <w:rPr>
          <w:rFonts w:cstheme="minorHAnsi"/>
        </w:rPr>
        <w:t xml:space="preserve"> </w:t>
      </w:r>
      <w:r w:rsidR="006B3702" w:rsidRPr="006B3702">
        <w:rPr>
          <w:rFonts w:cstheme="minorHAnsi"/>
        </w:rPr>
        <w:t>E. McAuley, T.R. Wojcicki, Y.C. Learmonth, </w:t>
      </w:r>
      <w:r w:rsidR="006B3702" w:rsidRPr="006B3702">
        <w:rPr>
          <w:rFonts w:cstheme="minorHAnsi"/>
          <w:i/>
          <w:iCs/>
        </w:rPr>
        <w:t>et al.</w:t>
      </w:r>
      <w:r w:rsidR="00BA3769">
        <w:rPr>
          <w:rFonts w:cstheme="minorHAnsi"/>
          <w:i/>
          <w:iCs/>
        </w:rPr>
        <w:t xml:space="preserve"> </w:t>
      </w:r>
      <w:r w:rsidR="006B3702" w:rsidRPr="006B3702">
        <w:rPr>
          <w:rFonts w:cstheme="minorHAnsi"/>
          <w:b/>
          <w:bCs/>
        </w:rPr>
        <w:t>Effects of a DVD-delivered exercise intervention on physical function in older adults with multiple sclerosis: a pilot randomized controlled trial</w:t>
      </w:r>
      <w:r w:rsidR="00BA3769">
        <w:rPr>
          <w:rFonts w:cstheme="minorHAnsi"/>
          <w:b/>
          <w:bCs/>
        </w:rPr>
        <w:t xml:space="preserve"> </w:t>
      </w:r>
      <w:proofErr w:type="spellStart"/>
      <w:r w:rsidR="006B3702" w:rsidRPr="006B3702">
        <w:rPr>
          <w:rFonts w:cstheme="minorHAnsi"/>
        </w:rPr>
        <w:t>Mult</w:t>
      </w:r>
      <w:proofErr w:type="spellEnd"/>
      <w:r w:rsidR="006B3702" w:rsidRPr="006B3702">
        <w:rPr>
          <w:rFonts w:cstheme="minorHAnsi"/>
        </w:rPr>
        <w:t xml:space="preserve">. </w:t>
      </w:r>
      <w:proofErr w:type="spellStart"/>
      <w:r w:rsidR="006B3702" w:rsidRPr="006B3702">
        <w:rPr>
          <w:rFonts w:cstheme="minorHAnsi"/>
        </w:rPr>
        <w:t>Scler</w:t>
      </w:r>
      <w:proofErr w:type="spellEnd"/>
      <w:r w:rsidR="006B3702" w:rsidRPr="006B3702">
        <w:rPr>
          <w:rFonts w:cstheme="minorHAnsi"/>
        </w:rPr>
        <w:t>. J. Exp. Transl. Clin., 1 (0) (2015), </w:t>
      </w:r>
      <w:hyperlink r:id="rId79" w:tgtFrame="_blank" w:history="1">
        <w:r w:rsidR="006B3702" w:rsidRPr="006B3702">
          <w:rPr>
            <w:rStyle w:val="Hyperlink"/>
            <w:rFonts w:cstheme="minorHAnsi"/>
          </w:rPr>
          <w:t>10.1177/2055217315584838</w:t>
        </w:r>
      </w:hyperlink>
    </w:p>
    <w:p w14:paraId="0BD543E1" w14:textId="4D2C996B" w:rsidR="006B3702" w:rsidRPr="006B3702" w:rsidRDefault="00513441" w:rsidP="00725144">
      <w:pPr>
        <w:spacing w:after="0"/>
        <w:ind w:left="720" w:hanging="720"/>
        <w:rPr>
          <w:rFonts w:cstheme="minorHAnsi"/>
        </w:rPr>
      </w:pPr>
      <w:hyperlink r:id="rId80" w:anchor="bbb0065" w:history="1">
        <w:r w:rsidR="006B3702" w:rsidRPr="006B3702">
          <w:rPr>
            <w:rStyle w:val="Hyperlink"/>
            <w:rFonts w:cstheme="minorHAnsi"/>
          </w:rPr>
          <w:t>[13]</w:t>
        </w:r>
      </w:hyperlink>
      <w:r w:rsidR="00BA3769">
        <w:rPr>
          <w:rFonts w:cstheme="minorHAnsi"/>
        </w:rPr>
        <w:t xml:space="preserve"> </w:t>
      </w:r>
      <w:proofErr w:type="spellStart"/>
      <w:r w:rsidR="006B3702" w:rsidRPr="006B3702">
        <w:rPr>
          <w:rFonts w:cstheme="minorHAnsi"/>
        </w:rPr>
        <w:t>Klaren</w:t>
      </w:r>
      <w:proofErr w:type="spellEnd"/>
      <w:r w:rsidR="006B3702" w:rsidRPr="006B3702">
        <w:rPr>
          <w:rFonts w:cstheme="minorHAnsi"/>
        </w:rPr>
        <w:t xml:space="preserve">, R.E., </w:t>
      </w:r>
      <w:proofErr w:type="spellStart"/>
      <w:r w:rsidR="006B3702" w:rsidRPr="006B3702">
        <w:rPr>
          <w:rFonts w:cstheme="minorHAnsi"/>
        </w:rPr>
        <w:t>Sebastiao</w:t>
      </w:r>
      <w:proofErr w:type="spellEnd"/>
      <w:r w:rsidR="006B3702" w:rsidRPr="006B3702">
        <w:rPr>
          <w:rFonts w:cstheme="minorHAnsi"/>
        </w:rPr>
        <w:t xml:space="preserve">, E., Chiu, C.Y., </w:t>
      </w:r>
      <w:proofErr w:type="spellStart"/>
      <w:r w:rsidR="006B3702" w:rsidRPr="006B3702">
        <w:rPr>
          <w:rFonts w:cstheme="minorHAnsi"/>
        </w:rPr>
        <w:t>Kinnett</w:t>
      </w:r>
      <w:proofErr w:type="spellEnd"/>
      <w:r w:rsidR="006B3702" w:rsidRPr="006B3702">
        <w:rPr>
          <w:rFonts w:cstheme="minorHAnsi"/>
        </w:rPr>
        <w:t xml:space="preserve">-Hopkins, D., McAuley, E., </w:t>
      </w:r>
      <w:proofErr w:type="spellStart"/>
      <w:r w:rsidR="006B3702" w:rsidRPr="006B3702">
        <w:rPr>
          <w:rFonts w:cstheme="minorHAnsi"/>
        </w:rPr>
        <w:t>Motl</w:t>
      </w:r>
      <w:proofErr w:type="spellEnd"/>
      <w:r w:rsidR="006B3702" w:rsidRPr="006B3702">
        <w:rPr>
          <w:rFonts w:cstheme="minorHAnsi"/>
        </w:rPr>
        <w:t xml:space="preserve"> R. Levels and rates of physical activity in older adults with Multiple sclerosis. Aging Dis.</w:t>
      </w:r>
    </w:p>
    <w:p w14:paraId="350D52F4" w14:textId="2E48D730" w:rsidR="006B3702" w:rsidRPr="006B3702" w:rsidRDefault="00513441" w:rsidP="00725144">
      <w:pPr>
        <w:spacing w:after="0"/>
        <w:ind w:left="720" w:hanging="720"/>
        <w:rPr>
          <w:rFonts w:cstheme="minorHAnsi"/>
        </w:rPr>
      </w:pPr>
      <w:hyperlink r:id="rId81" w:anchor="bbb0070" w:history="1">
        <w:r w:rsidR="006B3702" w:rsidRPr="006B3702">
          <w:rPr>
            <w:rStyle w:val="Hyperlink"/>
            <w:rFonts w:cstheme="minorHAnsi"/>
          </w:rPr>
          <w:t>[14]</w:t>
        </w:r>
      </w:hyperlink>
      <w:r w:rsidR="00BA3769">
        <w:rPr>
          <w:rFonts w:cstheme="minorHAnsi"/>
        </w:rPr>
        <w:t xml:space="preserve"> </w:t>
      </w:r>
      <w:r w:rsidR="006B3702" w:rsidRPr="006B3702">
        <w:rPr>
          <w:rFonts w:cstheme="minorHAnsi"/>
        </w:rPr>
        <w:t>N. Stroud, C. </w:t>
      </w:r>
      <w:proofErr w:type="spellStart"/>
      <w:r w:rsidR="006B3702" w:rsidRPr="006B3702">
        <w:rPr>
          <w:rFonts w:cstheme="minorHAnsi"/>
        </w:rPr>
        <w:t>Minahan</w:t>
      </w:r>
      <w:proofErr w:type="spellEnd"/>
      <w:r w:rsidR="006B3702" w:rsidRPr="006B3702">
        <w:rPr>
          <w:rFonts w:cstheme="minorHAnsi"/>
        </w:rPr>
        <w:t>, S. </w:t>
      </w:r>
      <w:proofErr w:type="spellStart"/>
      <w:r w:rsidR="006B3702" w:rsidRPr="006B3702">
        <w:rPr>
          <w:rFonts w:cstheme="minorHAnsi"/>
        </w:rPr>
        <w:t>Sabapathy</w:t>
      </w:r>
      <w:proofErr w:type="spellEnd"/>
      <w:r w:rsidR="00BA3769">
        <w:rPr>
          <w:rFonts w:cstheme="minorHAnsi"/>
        </w:rPr>
        <w:t xml:space="preserve"> </w:t>
      </w:r>
      <w:proofErr w:type="gramStart"/>
      <w:r w:rsidR="006B3702" w:rsidRPr="006B3702">
        <w:rPr>
          <w:rFonts w:cstheme="minorHAnsi"/>
          <w:b/>
          <w:bCs/>
        </w:rPr>
        <w:t>The</w:t>
      </w:r>
      <w:proofErr w:type="gramEnd"/>
      <w:r w:rsidR="006B3702" w:rsidRPr="006B3702">
        <w:rPr>
          <w:rFonts w:cstheme="minorHAnsi"/>
          <w:b/>
          <w:bCs/>
        </w:rPr>
        <w:t xml:space="preserve"> perceived benefits and barriers to exercise participation in persons with multiple sclerosis</w:t>
      </w:r>
      <w:r w:rsidR="00BA3769">
        <w:rPr>
          <w:rFonts w:cstheme="minorHAnsi"/>
          <w:b/>
          <w:bCs/>
        </w:rPr>
        <w:t xml:space="preserve"> </w:t>
      </w:r>
      <w:proofErr w:type="spellStart"/>
      <w:r w:rsidR="006B3702" w:rsidRPr="006B3702">
        <w:rPr>
          <w:rFonts w:cstheme="minorHAnsi"/>
        </w:rPr>
        <w:t>Disabil</w:t>
      </w:r>
      <w:proofErr w:type="spellEnd"/>
      <w:r w:rsidR="006B3702" w:rsidRPr="006B3702">
        <w:rPr>
          <w:rFonts w:cstheme="minorHAnsi"/>
        </w:rPr>
        <w:t xml:space="preserve">. </w:t>
      </w:r>
      <w:proofErr w:type="spellStart"/>
      <w:r w:rsidR="006B3702" w:rsidRPr="006B3702">
        <w:rPr>
          <w:rFonts w:cstheme="minorHAnsi"/>
        </w:rPr>
        <w:t>Rehabil</w:t>
      </w:r>
      <w:proofErr w:type="spellEnd"/>
      <w:r w:rsidR="006B3702" w:rsidRPr="006B3702">
        <w:rPr>
          <w:rFonts w:cstheme="minorHAnsi"/>
        </w:rPr>
        <w:t>., 31 (26) (2009), pp. 2216-2222, </w:t>
      </w:r>
      <w:hyperlink r:id="rId82" w:tgtFrame="_blank" w:history="1">
        <w:r w:rsidR="006B3702" w:rsidRPr="006B3702">
          <w:rPr>
            <w:rStyle w:val="Hyperlink"/>
            <w:rFonts w:cstheme="minorHAnsi"/>
          </w:rPr>
          <w:t>10.3109/09638280902980928</w:t>
        </w:r>
      </w:hyperlink>
    </w:p>
    <w:p w14:paraId="511BA14D" w14:textId="0E8B6811" w:rsidR="006B3702" w:rsidRPr="006B3702" w:rsidRDefault="00513441" w:rsidP="00725144">
      <w:pPr>
        <w:spacing w:after="0"/>
        <w:ind w:left="720" w:hanging="720"/>
        <w:rPr>
          <w:rFonts w:cstheme="minorHAnsi"/>
        </w:rPr>
      </w:pPr>
      <w:hyperlink r:id="rId83" w:anchor="bbb0075" w:history="1">
        <w:r w:rsidR="006B3702" w:rsidRPr="006B3702">
          <w:rPr>
            <w:rStyle w:val="Hyperlink"/>
            <w:rFonts w:cstheme="minorHAnsi"/>
          </w:rPr>
          <w:t>[15]</w:t>
        </w:r>
      </w:hyperlink>
      <w:r w:rsidR="00BA3769">
        <w:rPr>
          <w:rFonts w:cstheme="minorHAnsi"/>
        </w:rPr>
        <w:t xml:space="preserve"> </w:t>
      </w:r>
      <w:r w:rsidR="006B3702" w:rsidRPr="006B3702">
        <w:rPr>
          <w:rFonts w:cstheme="minorHAnsi"/>
        </w:rPr>
        <w:t>H.F. Mulligan, L.A. Hale, L. Whitehead, G. David Baxter</w:t>
      </w:r>
      <w:r w:rsidR="00BA3769">
        <w:rPr>
          <w:rFonts w:cstheme="minorHAnsi"/>
        </w:rPr>
        <w:t xml:space="preserve"> </w:t>
      </w:r>
      <w:r w:rsidR="006B3702" w:rsidRPr="006B3702">
        <w:rPr>
          <w:rFonts w:cstheme="minorHAnsi"/>
          <w:b/>
          <w:bCs/>
        </w:rPr>
        <w:t>Barriers to physical activity for people with long-term neurological conditions: a review study</w:t>
      </w:r>
      <w:r w:rsidR="00BA3769">
        <w:rPr>
          <w:rFonts w:cstheme="minorHAnsi"/>
          <w:b/>
          <w:bCs/>
        </w:rPr>
        <w:t xml:space="preserve"> </w:t>
      </w:r>
      <w:r w:rsidR="006B3702" w:rsidRPr="006B3702">
        <w:rPr>
          <w:rFonts w:cstheme="minorHAnsi"/>
        </w:rPr>
        <w:t>Adapt. Phys. Act. Q., 29 (3) (2012), pp. 243-265, </w:t>
      </w:r>
      <w:hyperlink r:id="rId84" w:tgtFrame="_blank" w:history="1">
        <w:r w:rsidR="006B3702" w:rsidRPr="006B3702">
          <w:rPr>
            <w:rStyle w:val="Hyperlink"/>
            <w:rFonts w:cstheme="minorHAnsi"/>
          </w:rPr>
          <w:t>10.1123/apaq.29.3.243</w:t>
        </w:r>
      </w:hyperlink>
    </w:p>
    <w:p w14:paraId="52B27599" w14:textId="536B13C6" w:rsidR="006B3702" w:rsidRPr="006B3702" w:rsidRDefault="00513441" w:rsidP="00725144">
      <w:pPr>
        <w:spacing w:after="0"/>
        <w:ind w:left="720" w:hanging="720"/>
        <w:rPr>
          <w:rFonts w:cstheme="minorHAnsi"/>
        </w:rPr>
      </w:pPr>
      <w:hyperlink r:id="rId85" w:anchor="bbb0080" w:history="1">
        <w:r w:rsidR="006B3702" w:rsidRPr="006B3702">
          <w:rPr>
            <w:rStyle w:val="Hyperlink"/>
            <w:rFonts w:cstheme="minorHAnsi"/>
          </w:rPr>
          <w:t>[16]</w:t>
        </w:r>
      </w:hyperlink>
      <w:r w:rsidR="00BA3769">
        <w:rPr>
          <w:rFonts w:cstheme="minorHAnsi"/>
        </w:rPr>
        <w:t xml:space="preserve"> </w:t>
      </w:r>
      <w:r w:rsidR="006B3702" w:rsidRPr="006B3702">
        <w:rPr>
          <w:rFonts w:cstheme="minorHAnsi"/>
        </w:rPr>
        <w:t>R.W. Motl, Y.C. Learmonth, L.A. Pilutti, E. Gappmaier, S. </w:t>
      </w:r>
      <w:proofErr w:type="spellStart"/>
      <w:r w:rsidR="006B3702" w:rsidRPr="006B3702">
        <w:rPr>
          <w:rFonts w:cstheme="minorHAnsi"/>
        </w:rPr>
        <w:t>Coote</w:t>
      </w:r>
      <w:proofErr w:type="spellEnd"/>
      <w:r w:rsidR="00BA3769">
        <w:rPr>
          <w:rFonts w:cstheme="minorHAnsi"/>
        </w:rPr>
        <w:t xml:space="preserve"> </w:t>
      </w:r>
      <w:r w:rsidR="006B3702" w:rsidRPr="006B3702">
        <w:rPr>
          <w:rFonts w:cstheme="minorHAnsi"/>
          <w:b/>
          <w:bCs/>
        </w:rPr>
        <w:t>Top 10 research questions related to physical activity and multiple sclerosis</w:t>
      </w:r>
      <w:r w:rsidR="00924D44">
        <w:rPr>
          <w:rFonts w:cstheme="minorHAnsi"/>
          <w:b/>
          <w:bCs/>
        </w:rPr>
        <w:t xml:space="preserve"> </w:t>
      </w:r>
      <w:r w:rsidR="006B3702" w:rsidRPr="006B3702">
        <w:rPr>
          <w:rFonts w:cstheme="minorHAnsi"/>
        </w:rPr>
        <w:t xml:space="preserve">Res. Q. </w:t>
      </w:r>
      <w:proofErr w:type="spellStart"/>
      <w:r w:rsidR="006B3702" w:rsidRPr="006B3702">
        <w:rPr>
          <w:rFonts w:cstheme="minorHAnsi"/>
        </w:rPr>
        <w:t>Exerc</w:t>
      </w:r>
      <w:proofErr w:type="spellEnd"/>
      <w:r w:rsidR="006B3702" w:rsidRPr="006B3702">
        <w:rPr>
          <w:rFonts w:cstheme="minorHAnsi"/>
        </w:rPr>
        <w:t>. Sport, 86 (2) (2015), pp. 117-129, </w:t>
      </w:r>
      <w:hyperlink r:id="rId86" w:tgtFrame="_blank" w:history="1">
        <w:r w:rsidR="006B3702" w:rsidRPr="006B3702">
          <w:rPr>
            <w:rStyle w:val="Hyperlink"/>
            <w:rFonts w:cstheme="minorHAnsi"/>
          </w:rPr>
          <w:t>10.1080/02701367.2015.1023099</w:t>
        </w:r>
      </w:hyperlink>
    </w:p>
    <w:p w14:paraId="1B3F7C04" w14:textId="165B1C7B" w:rsidR="006B3702" w:rsidRPr="006B3702" w:rsidRDefault="00513441" w:rsidP="00725144">
      <w:pPr>
        <w:spacing w:after="0"/>
        <w:ind w:left="720" w:hanging="720"/>
        <w:rPr>
          <w:rFonts w:cstheme="minorHAnsi"/>
        </w:rPr>
      </w:pPr>
      <w:hyperlink r:id="rId87" w:anchor="bbb0085" w:history="1">
        <w:r w:rsidR="006B3702" w:rsidRPr="006B3702">
          <w:rPr>
            <w:rStyle w:val="Hyperlink"/>
            <w:rFonts w:cstheme="minorHAnsi"/>
          </w:rPr>
          <w:t>[17]</w:t>
        </w:r>
      </w:hyperlink>
      <w:r w:rsidR="00924D44">
        <w:rPr>
          <w:rFonts w:cstheme="minorHAnsi"/>
        </w:rPr>
        <w:t xml:space="preserve"> </w:t>
      </w:r>
      <w:r w:rsidR="006B3702" w:rsidRPr="006B3702">
        <w:rPr>
          <w:rFonts w:cstheme="minorHAnsi"/>
        </w:rPr>
        <w:t>E. </w:t>
      </w:r>
      <w:proofErr w:type="spellStart"/>
      <w:r w:rsidR="006B3702" w:rsidRPr="006B3702">
        <w:rPr>
          <w:rFonts w:cstheme="minorHAnsi"/>
        </w:rPr>
        <w:t>Sebastião</w:t>
      </w:r>
      <w:proofErr w:type="spellEnd"/>
      <w:r w:rsidR="006B3702" w:rsidRPr="006B3702">
        <w:rPr>
          <w:rFonts w:cstheme="minorHAnsi"/>
        </w:rPr>
        <w:t>, E. McAuley, R. </w:t>
      </w:r>
      <w:proofErr w:type="spellStart"/>
      <w:r w:rsidR="006B3702" w:rsidRPr="006B3702">
        <w:rPr>
          <w:rFonts w:cstheme="minorHAnsi"/>
        </w:rPr>
        <w:t>Shigematsu</w:t>
      </w:r>
      <w:proofErr w:type="spellEnd"/>
      <w:r w:rsidR="006B3702" w:rsidRPr="006B3702">
        <w:rPr>
          <w:rFonts w:cstheme="minorHAnsi"/>
        </w:rPr>
        <w:t>, R.W. </w:t>
      </w:r>
      <w:proofErr w:type="spellStart"/>
      <w:r w:rsidR="006B3702" w:rsidRPr="006B3702">
        <w:rPr>
          <w:rFonts w:cstheme="minorHAnsi"/>
        </w:rPr>
        <w:t>Motl</w:t>
      </w:r>
      <w:proofErr w:type="spellEnd"/>
      <w:r w:rsidR="00924D44">
        <w:rPr>
          <w:rFonts w:cstheme="minorHAnsi"/>
        </w:rPr>
        <w:t xml:space="preserve"> </w:t>
      </w:r>
      <w:r w:rsidR="006B3702" w:rsidRPr="006B3702">
        <w:rPr>
          <w:rFonts w:cstheme="minorHAnsi"/>
          <w:b/>
          <w:bCs/>
        </w:rPr>
        <w:t>Feasibility study design and methods for a home-based, square-stepping exercise program among older adults with multiple sclerosis: the SSE-MS project</w:t>
      </w:r>
      <w:r w:rsidR="00924D44">
        <w:rPr>
          <w:rFonts w:cstheme="minorHAnsi"/>
          <w:b/>
          <w:bCs/>
        </w:rPr>
        <w:t xml:space="preserve"> </w:t>
      </w:r>
      <w:r w:rsidR="006B3702" w:rsidRPr="006B3702">
        <w:rPr>
          <w:rFonts w:cstheme="minorHAnsi"/>
        </w:rPr>
        <w:t xml:space="preserve">Contemp. Clin. Trials </w:t>
      </w:r>
      <w:proofErr w:type="spellStart"/>
      <w:r w:rsidR="006B3702" w:rsidRPr="006B3702">
        <w:rPr>
          <w:rFonts w:cstheme="minorHAnsi"/>
        </w:rPr>
        <w:t>Commun</w:t>
      </w:r>
      <w:proofErr w:type="spellEnd"/>
      <w:r w:rsidR="006B3702" w:rsidRPr="006B3702">
        <w:rPr>
          <w:rFonts w:cstheme="minorHAnsi"/>
        </w:rPr>
        <w:t>., 7 (2017), </w:t>
      </w:r>
      <w:hyperlink r:id="rId88" w:tgtFrame="_blank" w:history="1">
        <w:r w:rsidR="006B3702" w:rsidRPr="006B3702">
          <w:rPr>
            <w:rStyle w:val="Hyperlink"/>
            <w:rFonts w:cstheme="minorHAnsi"/>
          </w:rPr>
          <w:t>10.1016/j.conctc.2017.07.012</w:t>
        </w:r>
      </w:hyperlink>
    </w:p>
    <w:p w14:paraId="2DE02E1C" w14:textId="257B4D12" w:rsidR="006B3702" w:rsidRPr="006B3702" w:rsidRDefault="00513441" w:rsidP="00725144">
      <w:pPr>
        <w:spacing w:after="0"/>
        <w:ind w:left="720" w:hanging="720"/>
        <w:rPr>
          <w:rFonts w:cstheme="minorHAnsi"/>
        </w:rPr>
      </w:pPr>
      <w:hyperlink r:id="rId89" w:anchor="bbb0090" w:history="1">
        <w:r w:rsidR="006B3702" w:rsidRPr="006B3702">
          <w:rPr>
            <w:rStyle w:val="Hyperlink"/>
            <w:rFonts w:cstheme="minorHAnsi"/>
          </w:rPr>
          <w:t>[18]</w:t>
        </w:r>
      </w:hyperlink>
      <w:r w:rsidR="00924D44">
        <w:rPr>
          <w:rFonts w:cstheme="minorHAnsi"/>
        </w:rPr>
        <w:t xml:space="preserve"> </w:t>
      </w:r>
      <w:r w:rsidR="006B3702" w:rsidRPr="006B3702">
        <w:rPr>
          <w:rFonts w:cstheme="minorHAnsi"/>
        </w:rPr>
        <w:t>R. </w:t>
      </w:r>
      <w:proofErr w:type="spellStart"/>
      <w:r w:rsidR="006B3702" w:rsidRPr="006B3702">
        <w:rPr>
          <w:rFonts w:cstheme="minorHAnsi"/>
        </w:rPr>
        <w:t>Shigematsu</w:t>
      </w:r>
      <w:proofErr w:type="spellEnd"/>
      <w:r w:rsidR="006B3702" w:rsidRPr="006B3702">
        <w:rPr>
          <w:rFonts w:cstheme="minorHAnsi"/>
        </w:rPr>
        <w:t>, T. Okura</w:t>
      </w:r>
      <w:r w:rsidR="00924D44">
        <w:rPr>
          <w:rFonts w:cstheme="minorHAnsi"/>
        </w:rPr>
        <w:t xml:space="preserve"> </w:t>
      </w:r>
      <w:r w:rsidR="006B3702" w:rsidRPr="006B3702">
        <w:rPr>
          <w:rFonts w:cstheme="minorHAnsi"/>
          <w:b/>
          <w:bCs/>
        </w:rPr>
        <w:t>A novel exercise for improving lower-extremity functional fitness in the elderly</w:t>
      </w:r>
      <w:r w:rsidR="00924D44">
        <w:rPr>
          <w:rFonts w:cstheme="minorHAnsi"/>
          <w:b/>
          <w:bCs/>
        </w:rPr>
        <w:t xml:space="preserve"> </w:t>
      </w:r>
      <w:r w:rsidR="006B3702" w:rsidRPr="006B3702">
        <w:rPr>
          <w:rFonts w:cstheme="minorHAnsi"/>
        </w:rPr>
        <w:t>Aging Clin. Exp. Res., 18 (3) (2006), pp. 242-248</w:t>
      </w:r>
      <w:r w:rsidR="00924D44">
        <w:rPr>
          <w:rFonts w:cstheme="minorHAnsi"/>
        </w:rPr>
        <w:t xml:space="preserve"> </w:t>
      </w:r>
      <w:r w:rsidR="006B3702" w:rsidRPr="006B3702">
        <w:rPr>
          <w:rFonts w:cstheme="minorHAnsi"/>
        </w:rPr>
        <w:t>doi:1464. (</w:t>
      </w:r>
      <w:proofErr w:type="spellStart"/>
      <w:r w:rsidR="006B3702" w:rsidRPr="006B3702">
        <w:rPr>
          <w:rFonts w:cstheme="minorHAnsi"/>
        </w:rPr>
        <w:t>pii</w:t>
      </w:r>
      <w:proofErr w:type="spellEnd"/>
      <w:r w:rsidR="006B3702" w:rsidRPr="006B3702">
        <w:rPr>
          <w:rFonts w:cstheme="minorHAnsi"/>
        </w:rPr>
        <w:t>)</w:t>
      </w:r>
    </w:p>
    <w:p w14:paraId="3902EB26" w14:textId="798EB363" w:rsidR="006B3702" w:rsidRPr="006B3702" w:rsidRDefault="00513441" w:rsidP="00725144">
      <w:pPr>
        <w:spacing w:after="0"/>
        <w:ind w:left="720" w:hanging="720"/>
        <w:rPr>
          <w:rFonts w:cstheme="minorHAnsi"/>
        </w:rPr>
      </w:pPr>
      <w:hyperlink r:id="rId90" w:anchor="bbb0095" w:history="1">
        <w:r w:rsidR="006B3702" w:rsidRPr="006B3702">
          <w:rPr>
            <w:rStyle w:val="Hyperlink"/>
            <w:rFonts w:cstheme="minorHAnsi"/>
          </w:rPr>
          <w:t>[19]</w:t>
        </w:r>
      </w:hyperlink>
      <w:r w:rsidR="00924D44">
        <w:rPr>
          <w:rFonts w:cstheme="minorHAnsi"/>
        </w:rPr>
        <w:t xml:space="preserve"> </w:t>
      </w:r>
      <w:r w:rsidR="006B3702" w:rsidRPr="006B3702">
        <w:rPr>
          <w:rFonts w:cstheme="minorHAnsi"/>
        </w:rPr>
        <w:t>Y.C. Learmonth, R.W. </w:t>
      </w:r>
      <w:proofErr w:type="spellStart"/>
      <w:r w:rsidR="006B3702" w:rsidRPr="006B3702">
        <w:rPr>
          <w:rFonts w:cstheme="minorHAnsi"/>
        </w:rPr>
        <w:t>Motl</w:t>
      </w:r>
      <w:proofErr w:type="spellEnd"/>
      <w:r w:rsidR="00924D44">
        <w:rPr>
          <w:rFonts w:cstheme="minorHAnsi"/>
        </w:rPr>
        <w:t xml:space="preserve"> </w:t>
      </w:r>
      <w:r w:rsidR="006B3702" w:rsidRPr="006B3702">
        <w:rPr>
          <w:rFonts w:cstheme="minorHAnsi"/>
          <w:b/>
          <w:bCs/>
        </w:rPr>
        <w:t>Important considerations for feasibility studies in physical activity research involving persons with multiple sclerosis: a scoping systematic review and case study</w:t>
      </w:r>
      <w:r w:rsidR="00924D44">
        <w:rPr>
          <w:rFonts w:cstheme="minorHAnsi"/>
          <w:b/>
          <w:bCs/>
        </w:rPr>
        <w:t xml:space="preserve"> </w:t>
      </w:r>
      <w:r w:rsidR="006B3702" w:rsidRPr="006B3702">
        <w:rPr>
          <w:rFonts w:cstheme="minorHAnsi"/>
        </w:rPr>
        <w:t xml:space="preserve">Pilot </w:t>
      </w:r>
      <w:proofErr w:type="spellStart"/>
      <w:r w:rsidR="006B3702" w:rsidRPr="006B3702">
        <w:rPr>
          <w:rFonts w:cstheme="minorHAnsi"/>
        </w:rPr>
        <w:t>Feasibil</w:t>
      </w:r>
      <w:proofErr w:type="spellEnd"/>
      <w:r w:rsidR="006B3702" w:rsidRPr="006B3702">
        <w:rPr>
          <w:rFonts w:cstheme="minorHAnsi"/>
        </w:rPr>
        <w:t>. Stud., XX (XX) (2017)</w:t>
      </w:r>
      <w:r w:rsidR="00924D44">
        <w:rPr>
          <w:rFonts w:cstheme="minorHAnsi"/>
        </w:rPr>
        <w:t xml:space="preserve"> </w:t>
      </w:r>
      <w:r w:rsidR="006B3702" w:rsidRPr="006B3702">
        <w:rPr>
          <w:rFonts w:cstheme="minorHAnsi"/>
        </w:rPr>
        <w:t>(XX-XX)</w:t>
      </w:r>
    </w:p>
    <w:p w14:paraId="11600D2D" w14:textId="2183935B" w:rsidR="006B3702" w:rsidRPr="006B3702" w:rsidRDefault="00513441" w:rsidP="00725144">
      <w:pPr>
        <w:spacing w:after="0"/>
        <w:ind w:left="720" w:hanging="720"/>
        <w:rPr>
          <w:rFonts w:cstheme="minorHAnsi"/>
        </w:rPr>
      </w:pPr>
      <w:hyperlink r:id="rId91" w:anchor="bbb0100" w:history="1">
        <w:r w:rsidR="006B3702" w:rsidRPr="006B3702">
          <w:rPr>
            <w:rStyle w:val="Hyperlink"/>
            <w:rFonts w:cstheme="minorHAnsi"/>
          </w:rPr>
          <w:t>[20]</w:t>
        </w:r>
      </w:hyperlink>
      <w:r w:rsidR="00924D44">
        <w:rPr>
          <w:rFonts w:cstheme="minorHAnsi"/>
        </w:rPr>
        <w:t xml:space="preserve"> </w:t>
      </w:r>
      <w:r w:rsidR="006B3702" w:rsidRPr="006B3702">
        <w:rPr>
          <w:rFonts w:cstheme="minorHAnsi"/>
        </w:rPr>
        <w:t>S. Thomas, J. Reading, R.J. Shephard</w:t>
      </w:r>
      <w:r w:rsidR="00924D44">
        <w:rPr>
          <w:rFonts w:cstheme="minorHAnsi"/>
        </w:rPr>
        <w:t xml:space="preserve"> </w:t>
      </w:r>
      <w:r w:rsidR="006B3702" w:rsidRPr="006B3702">
        <w:rPr>
          <w:rFonts w:cstheme="minorHAnsi"/>
          <w:b/>
          <w:bCs/>
        </w:rPr>
        <w:t>Revision of the Physical Activity Readiness Questionnaire (PAR-Q)</w:t>
      </w:r>
      <w:r w:rsidR="00924D44">
        <w:rPr>
          <w:rFonts w:cstheme="minorHAnsi"/>
          <w:b/>
          <w:bCs/>
        </w:rPr>
        <w:t xml:space="preserve"> </w:t>
      </w:r>
      <w:r w:rsidR="006B3702" w:rsidRPr="006B3702">
        <w:rPr>
          <w:rFonts w:cstheme="minorHAnsi"/>
        </w:rPr>
        <w:t>Can. J. Sport. Sci., 17 (1992), pp. 338-345</w:t>
      </w:r>
    </w:p>
    <w:p w14:paraId="67EBBB9E" w14:textId="63AE927C" w:rsidR="006B3702" w:rsidRPr="006B3702" w:rsidRDefault="00513441" w:rsidP="00725144">
      <w:pPr>
        <w:spacing w:after="0"/>
        <w:ind w:left="720" w:hanging="720"/>
        <w:rPr>
          <w:rFonts w:cstheme="minorHAnsi"/>
        </w:rPr>
      </w:pPr>
      <w:hyperlink r:id="rId92" w:anchor="bbb0105" w:history="1">
        <w:r w:rsidR="006B3702" w:rsidRPr="006B3702">
          <w:rPr>
            <w:rStyle w:val="Hyperlink"/>
            <w:rFonts w:cstheme="minorHAnsi"/>
          </w:rPr>
          <w:t>[21]</w:t>
        </w:r>
      </w:hyperlink>
      <w:r w:rsidR="00924D44">
        <w:rPr>
          <w:rFonts w:cstheme="minorHAnsi"/>
        </w:rPr>
        <w:t xml:space="preserve"> </w:t>
      </w:r>
      <w:r w:rsidR="006B3702" w:rsidRPr="006B3702">
        <w:rPr>
          <w:rFonts w:cstheme="minorHAnsi"/>
        </w:rPr>
        <w:t>E.H. </w:t>
      </w:r>
      <w:proofErr w:type="spellStart"/>
      <w:r w:rsidR="006B3702" w:rsidRPr="006B3702">
        <w:rPr>
          <w:rFonts w:cstheme="minorHAnsi"/>
        </w:rPr>
        <w:t>Seo</w:t>
      </w:r>
      <w:proofErr w:type="spellEnd"/>
      <w:r w:rsidR="006B3702" w:rsidRPr="006B3702">
        <w:rPr>
          <w:rFonts w:cstheme="minorHAnsi"/>
        </w:rPr>
        <w:t>, D.Y. Lee, S.G. Kim, </w:t>
      </w:r>
      <w:r w:rsidR="006B3702" w:rsidRPr="006B3702">
        <w:rPr>
          <w:rFonts w:cstheme="minorHAnsi"/>
          <w:i/>
          <w:iCs/>
        </w:rPr>
        <w:t>et al.</w:t>
      </w:r>
      <w:r w:rsidR="00924D44">
        <w:rPr>
          <w:rFonts w:cstheme="minorHAnsi"/>
          <w:i/>
          <w:iCs/>
        </w:rPr>
        <w:t xml:space="preserve"> </w:t>
      </w:r>
      <w:r w:rsidR="006B3702" w:rsidRPr="006B3702">
        <w:rPr>
          <w:rFonts w:cstheme="minorHAnsi"/>
          <w:b/>
          <w:bCs/>
        </w:rPr>
        <w:t>Validity of the telephone interview for cognitive status (TICS) and modified TICS (</w:t>
      </w:r>
      <w:proofErr w:type="spellStart"/>
      <w:r w:rsidR="006B3702" w:rsidRPr="006B3702">
        <w:rPr>
          <w:rFonts w:cstheme="minorHAnsi"/>
          <w:b/>
          <w:bCs/>
        </w:rPr>
        <w:t>TICSm</w:t>
      </w:r>
      <w:proofErr w:type="spellEnd"/>
      <w:r w:rsidR="006B3702" w:rsidRPr="006B3702">
        <w:rPr>
          <w:rFonts w:cstheme="minorHAnsi"/>
          <w:b/>
          <w:bCs/>
        </w:rPr>
        <w:t xml:space="preserve">) for mild cognitive </w:t>
      </w:r>
      <w:proofErr w:type="spellStart"/>
      <w:r w:rsidR="006B3702" w:rsidRPr="006B3702">
        <w:rPr>
          <w:rFonts w:cstheme="minorHAnsi"/>
          <w:b/>
          <w:bCs/>
        </w:rPr>
        <w:t>imparment</w:t>
      </w:r>
      <w:proofErr w:type="spellEnd"/>
      <w:r w:rsidR="006B3702" w:rsidRPr="006B3702">
        <w:rPr>
          <w:rFonts w:cstheme="minorHAnsi"/>
          <w:b/>
          <w:bCs/>
        </w:rPr>
        <w:t xml:space="preserve"> (MCI) and dementia screening</w:t>
      </w:r>
      <w:r w:rsidR="00924D44">
        <w:rPr>
          <w:rFonts w:cstheme="minorHAnsi"/>
          <w:b/>
          <w:bCs/>
        </w:rPr>
        <w:t xml:space="preserve"> </w:t>
      </w:r>
      <w:r w:rsidR="006B3702" w:rsidRPr="006B3702">
        <w:rPr>
          <w:rFonts w:cstheme="minorHAnsi"/>
        </w:rPr>
        <w:t xml:space="preserve">Arch. </w:t>
      </w:r>
      <w:proofErr w:type="spellStart"/>
      <w:r w:rsidR="006B3702" w:rsidRPr="006B3702">
        <w:rPr>
          <w:rFonts w:cstheme="minorHAnsi"/>
        </w:rPr>
        <w:t>Gerontol</w:t>
      </w:r>
      <w:proofErr w:type="spellEnd"/>
      <w:r w:rsidR="006B3702" w:rsidRPr="006B3702">
        <w:rPr>
          <w:rFonts w:cstheme="minorHAnsi"/>
        </w:rPr>
        <w:t xml:space="preserve">. </w:t>
      </w:r>
      <w:proofErr w:type="spellStart"/>
      <w:r w:rsidR="006B3702" w:rsidRPr="006B3702">
        <w:rPr>
          <w:rFonts w:cstheme="minorHAnsi"/>
        </w:rPr>
        <w:t>Geriatr</w:t>
      </w:r>
      <w:proofErr w:type="spellEnd"/>
      <w:r w:rsidR="006B3702" w:rsidRPr="006B3702">
        <w:rPr>
          <w:rFonts w:cstheme="minorHAnsi"/>
        </w:rPr>
        <w:t>., 52 (1) (2011), </w:t>
      </w:r>
      <w:hyperlink r:id="rId93" w:tgtFrame="_blank" w:history="1">
        <w:r w:rsidR="006B3702" w:rsidRPr="006B3702">
          <w:rPr>
            <w:rStyle w:val="Hyperlink"/>
            <w:rFonts w:cstheme="minorHAnsi"/>
          </w:rPr>
          <w:t>10.1016/j.archger.2010.04.008</w:t>
        </w:r>
      </w:hyperlink>
    </w:p>
    <w:p w14:paraId="0F6F55BA" w14:textId="65AEB97B" w:rsidR="006B3702" w:rsidRPr="006B3702" w:rsidRDefault="00513441" w:rsidP="00725144">
      <w:pPr>
        <w:spacing w:after="0"/>
        <w:ind w:left="720" w:hanging="720"/>
        <w:rPr>
          <w:rFonts w:cstheme="minorHAnsi"/>
        </w:rPr>
      </w:pPr>
      <w:hyperlink r:id="rId94" w:anchor="bbb0110" w:history="1">
        <w:r w:rsidR="006B3702" w:rsidRPr="006B3702">
          <w:rPr>
            <w:rStyle w:val="Hyperlink"/>
            <w:rFonts w:cstheme="minorHAnsi"/>
          </w:rPr>
          <w:t>[22]</w:t>
        </w:r>
      </w:hyperlink>
      <w:r w:rsidR="00924D44">
        <w:rPr>
          <w:rFonts w:cstheme="minorHAnsi"/>
        </w:rPr>
        <w:t xml:space="preserve"> </w:t>
      </w:r>
      <w:r w:rsidR="006B3702" w:rsidRPr="006B3702">
        <w:rPr>
          <w:rFonts w:cstheme="minorHAnsi"/>
        </w:rPr>
        <w:t>S.A. </w:t>
      </w:r>
      <w:proofErr w:type="spellStart"/>
      <w:r w:rsidR="006B3702" w:rsidRPr="006B3702">
        <w:rPr>
          <w:rFonts w:cstheme="minorHAnsi"/>
        </w:rPr>
        <w:t>Julious</w:t>
      </w:r>
      <w:proofErr w:type="spellEnd"/>
      <w:r w:rsidR="00924D44">
        <w:rPr>
          <w:rFonts w:cstheme="minorHAnsi"/>
        </w:rPr>
        <w:t xml:space="preserve"> </w:t>
      </w:r>
      <w:r w:rsidR="006B3702" w:rsidRPr="006B3702">
        <w:rPr>
          <w:rFonts w:cstheme="minorHAnsi"/>
          <w:b/>
          <w:bCs/>
        </w:rPr>
        <w:t>Sample size of 12 per group rule of thumb for a pilot study</w:t>
      </w:r>
      <w:r w:rsidR="00924D44">
        <w:rPr>
          <w:rFonts w:cstheme="minorHAnsi"/>
          <w:b/>
          <w:bCs/>
        </w:rPr>
        <w:t xml:space="preserve"> </w:t>
      </w:r>
      <w:r w:rsidR="006B3702" w:rsidRPr="006B3702">
        <w:rPr>
          <w:rFonts w:cstheme="minorHAnsi"/>
        </w:rPr>
        <w:t>Pharm. Stat., 4 (4) (2005), pp. 287-291, </w:t>
      </w:r>
      <w:hyperlink r:id="rId95" w:tgtFrame="_blank" w:history="1">
        <w:r w:rsidR="006B3702" w:rsidRPr="006B3702">
          <w:rPr>
            <w:rStyle w:val="Hyperlink"/>
            <w:rFonts w:cstheme="minorHAnsi"/>
          </w:rPr>
          <w:t>10.1002/pst.185</w:t>
        </w:r>
      </w:hyperlink>
    </w:p>
    <w:p w14:paraId="6D3EF8F5" w14:textId="0EBE2788" w:rsidR="006B3702" w:rsidRPr="006B3702" w:rsidRDefault="00513441" w:rsidP="00725144">
      <w:pPr>
        <w:spacing w:after="0"/>
        <w:ind w:left="720" w:hanging="720"/>
        <w:rPr>
          <w:rFonts w:cstheme="minorHAnsi"/>
        </w:rPr>
      </w:pPr>
      <w:hyperlink r:id="rId96" w:anchor="bbb0120" w:history="1">
        <w:r w:rsidR="006B3702" w:rsidRPr="006B3702">
          <w:rPr>
            <w:rStyle w:val="Hyperlink"/>
            <w:rFonts w:cstheme="minorHAnsi"/>
          </w:rPr>
          <w:t>[24]</w:t>
        </w:r>
      </w:hyperlink>
      <w:r w:rsidR="00924D44">
        <w:rPr>
          <w:rFonts w:cstheme="minorHAnsi"/>
        </w:rPr>
        <w:t xml:space="preserve"> </w:t>
      </w:r>
      <w:r w:rsidR="006B3702" w:rsidRPr="006B3702">
        <w:rPr>
          <w:rFonts w:cstheme="minorHAnsi"/>
        </w:rPr>
        <w:t>J.S. Fischer, R. a </w:t>
      </w:r>
      <w:proofErr w:type="spellStart"/>
      <w:r w:rsidR="006B3702" w:rsidRPr="006B3702">
        <w:rPr>
          <w:rFonts w:cstheme="minorHAnsi"/>
        </w:rPr>
        <w:t>Rudick</w:t>
      </w:r>
      <w:proofErr w:type="spellEnd"/>
      <w:r w:rsidR="006B3702" w:rsidRPr="006B3702">
        <w:rPr>
          <w:rFonts w:cstheme="minorHAnsi"/>
        </w:rPr>
        <w:t>, G.R. Cutter, S.C. </w:t>
      </w:r>
      <w:proofErr w:type="spellStart"/>
      <w:r w:rsidR="006B3702" w:rsidRPr="006B3702">
        <w:rPr>
          <w:rFonts w:cstheme="minorHAnsi"/>
        </w:rPr>
        <w:t>Reingold</w:t>
      </w:r>
      <w:proofErr w:type="spellEnd"/>
      <w:r w:rsidR="00924D44">
        <w:rPr>
          <w:rFonts w:cstheme="minorHAnsi"/>
        </w:rPr>
        <w:t xml:space="preserve"> </w:t>
      </w:r>
      <w:r w:rsidR="006B3702" w:rsidRPr="006B3702">
        <w:rPr>
          <w:rFonts w:cstheme="minorHAnsi"/>
          <w:b/>
          <w:bCs/>
        </w:rPr>
        <w:t>The Multiple Sclerosis Functional Composite Measure (MSFC): an integrated approach to MS clinical outcome assessment. National MS Society Clinical Outcomes Assessment Task Force</w:t>
      </w:r>
      <w:r w:rsidR="00924D44">
        <w:rPr>
          <w:rFonts w:cstheme="minorHAnsi"/>
          <w:b/>
          <w:bCs/>
        </w:rPr>
        <w:t xml:space="preserve"> </w:t>
      </w:r>
      <w:proofErr w:type="spellStart"/>
      <w:r w:rsidR="006B3702" w:rsidRPr="006B3702">
        <w:rPr>
          <w:rFonts w:cstheme="minorHAnsi"/>
        </w:rPr>
        <w:t>Mult</w:t>
      </w:r>
      <w:proofErr w:type="spellEnd"/>
      <w:r w:rsidR="006B3702" w:rsidRPr="006B3702">
        <w:rPr>
          <w:rFonts w:cstheme="minorHAnsi"/>
        </w:rPr>
        <w:t xml:space="preserve">. </w:t>
      </w:r>
      <w:proofErr w:type="spellStart"/>
      <w:r w:rsidR="006B3702" w:rsidRPr="006B3702">
        <w:rPr>
          <w:rFonts w:cstheme="minorHAnsi"/>
        </w:rPr>
        <w:t>Scler</w:t>
      </w:r>
      <w:proofErr w:type="spellEnd"/>
      <w:r w:rsidR="006B3702" w:rsidRPr="006B3702">
        <w:rPr>
          <w:rFonts w:cstheme="minorHAnsi"/>
        </w:rPr>
        <w:t>., 5 (4) (1999), pp. 244-250, </w:t>
      </w:r>
      <w:hyperlink r:id="rId97" w:tgtFrame="_blank" w:history="1">
        <w:r w:rsidR="006B3702" w:rsidRPr="006B3702">
          <w:rPr>
            <w:rStyle w:val="Hyperlink"/>
            <w:rFonts w:cstheme="minorHAnsi"/>
          </w:rPr>
          <w:t>10.1191/135245899678846168</w:t>
        </w:r>
      </w:hyperlink>
    </w:p>
    <w:p w14:paraId="6F22CBED" w14:textId="20266F9D" w:rsidR="006B3702" w:rsidRPr="006B3702" w:rsidRDefault="00513441" w:rsidP="00725144">
      <w:pPr>
        <w:spacing w:after="0"/>
        <w:ind w:left="720" w:hanging="720"/>
        <w:rPr>
          <w:rFonts w:cstheme="minorHAnsi"/>
        </w:rPr>
      </w:pPr>
      <w:hyperlink r:id="rId98" w:anchor="bbb0125" w:history="1">
        <w:r w:rsidR="006B3702" w:rsidRPr="006B3702">
          <w:rPr>
            <w:rStyle w:val="Hyperlink"/>
            <w:rFonts w:cstheme="minorHAnsi"/>
          </w:rPr>
          <w:t>[25]</w:t>
        </w:r>
      </w:hyperlink>
      <w:r w:rsidR="00924D44">
        <w:rPr>
          <w:rFonts w:cstheme="minorHAnsi"/>
        </w:rPr>
        <w:t xml:space="preserve"> </w:t>
      </w:r>
      <w:r w:rsidR="006B3702" w:rsidRPr="006B3702">
        <w:rPr>
          <w:rFonts w:cstheme="minorHAnsi"/>
        </w:rPr>
        <w:t>M. Kaufman, D. Moyer, J. Norton</w:t>
      </w:r>
      <w:r w:rsidR="00924D44">
        <w:rPr>
          <w:rFonts w:cstheme="minorHAnsi"/>
        </w:rPr>
        <w:t xml:space="preserve"> </w:t>
      </w:r>
      <w:proofErr w:type="gramStart"/>
      <w:r w:rsidR="006B3702" w:rsidRPr="006B3702">
        <w:rPr>
          <w:rFonts w:cstheme="minorHAnsi"/>
          <w:b/>
          <w:bCs/>
        </w:rPr>
        <w:t>The</w:t>
      </w:r>
      <w:proofErr w:type="gramEnd"/>
      <w:r w:rsidR="006B3702" w:rsidRPr="006B3702">
        <w:rPr>
          <w:rFonts w:cstheme="minorHAnsi"/>
          <w:b/>
          <w:bCs/>
        </w:rPr>
        <w:t xml:space="preserve"> significant change for the Timed 25-foot Walk in the multiple sclerosis functional composite</w:t>
      </w:r>
      <w:r w:rsidR="00924D44">
        <w:rPr>
          <w:rFonts w:cstheme="minorHAnsi"/>
          <w:b/>
          <w:bCs/>
        </w:rPr>
        <w:t xml:space="preserve"> </w:t>
      </w:r>
      <w:proofErr w:type="spellStart"/>
      <w:r w:rsidR="006B3702" w:rsidRPr="006B3702">
        <w:rPr>
          <w:rFonts w:cstheme="minorHAnsi"/>
        </w:rPr>
        <w:t>Mult</w:t>
      </w:r>
      <w:proofErr w:type="spellEnd"/>
      <w:r w:rsidR="006B3702" w:rsidRPr="006B3702">
        <w:rPr>
          <w:rFonts w:cstheme="minorHAnsi"/>
        </w:rPr>
        <w:t xml:space="preserve">. </w:t>
      </w:r>
      <w:proofErr w:type="spellStart"/>
      <w:r w:rsidR="006B3702" w:rsidRPr="006B3702">
        <w:rPr>
          <w:rFonts w:cstheme="minorHAnsi"/>
        </w:rPr>
        <w:t>Scler</w:t>
      </w:r>
      <w:proofErr w:type="spellEnd"/>
      <w:r w:rsidR="006B3702" w:rsidRPr="006B3702">
        <w:rPr>
          <w:rFonts w:cstheme="minorHAnsi"/>
        </w:rPr>
        <w:t>., 6 (4) (2000), pp. 286-290, </w:t>
      </w:r>
      <w:hyperlink r:id="rId99" w:tgtFrame="_blank" w:history="1">
        <w:r w:rsidR="006B3702" w:rsidRPr="006B3702">
          <w:rPr>
            <w:rStyle w:val="Hyperlink"/>
            <w:rFonts w:cstheme="minorHAnsi"/>
          </w:rPr>
          <w:t>10.1191/135245800678827860</w:t>
        </w:r>
      </w:hyperlink>
    </w:p>
    <w:p w14:paraId="23A5FB87" w14:textId="46D63DE2" w:rsidR="006B3702" w:rsidRPr="006B3702" w:rsidRDefault="00513441" w:rsidP="00725144">
      <w:pPr>
        <w:spacing w:after="0"/>
        <w:ind w:left="720" w:hanging="720"/>
        <w:rPr>
          <w:rFonts w:cstheme="minorHAnsi"/>
        </w:rPr>
      </w:pPr>
      <w:hyperlink r:id="rId100" w:anchor="bbb0130" w:history="1">
        <w:r w:rsidR="006B3702" w:rsidRPr="006B3702">
          <w:rPr>
            <w:rStyle w:val="Hyperlink"/>
            <w:rFonts w:cstheme="minorHAnsi"/>
          </w:rPr>
          <w:t>[26]</w:t>
        </w:r>
      </w:hyperlink>
      <w:r w:rsidR="00924D44">
        <w:rPr>
          <w:rFonts w:cstheme="minorHAnsi"/>
        </w:rPr>
        <w:t xml:space="preserve"> </w:t>
      </w:r>
      <w:r w:rsidR="006B3702" w:rsidRPr="006B3702">
        <w:rPr>
          <w:rFonts w:cstheme="minorHAnsi"/>
        </w:rPr>
        <w:t>M.D. Goldman, R.A. </w:t>
      </w:r>
      <w:proofErr w:type="spellStart"/>
      <w:r w:rsidR="006B3702" w:rsidRPr="006B3702">
        <w:rPr>
          <w:rFonts w:cstheme="minorHAnsi"/>
        </w:rPr>
        <w:t>Marrie</w:t>
      </w:r>
      <w:proofErr w:type="spellEnd"/>
      <w:r w:rsidR="006B3702" w:rsidRPr="006B3702">
        <w:rPr>
          <w:rFonts w:cstheme="minorHAnsi"/>
        </w:rPr>
        <w:t>, J.A. Cohen</w:t>
      </w:r>
      <w:r w:rsidR="00924D44">
        <w:rPr>
          <w:rFonts w:cstheme="minorHAnsi"/>
        </w:rPr>
        <w:t xml:space="preserve"> </w:t>
      </w:r>
      <w:r w:rsidR="006B3702" w:rsidRPr="006B3702">
        <w:rPr>
          <w:rFonts w:cstheme="minorHAnsi"/>
          <w:b/>
          <w:bCs/>
        </w:rPr>
        <w:t>Evaluation of the Six-Minute Walk in Multiple Sclerosis Subjects and Healthy Controls</w:t>
      </w:r>
      <w:r w:rsidR="00924D44">
        <w:rPr>
          <w:rFonts w:cstheme="minorHAnsi"/>
          <w:b/>
          <w:bCs/>
        </w:rPr>
        <w:t xml:space="preserve"> </w:t>
      </w:r>
      <w:r w:rsidR="006B3702" w:rsidRPr="006B3702">
        <w:rPr>
          <w:rFonts w:cstheme="minorHAnsi"/>
        </w:rPr>
        <w:t>vol. 14 (2008), </w:t>
      </w:r>
      <w:hyperlink r:id="rId101" w:tgtFrame="_blank" w:history="1">
        <w:r w:rsidR="006B3702" w:rsidRPr="006B3702">
          <w:rPr>
            <w:rStyle w:val="Hyperlink"/>
            <w:rFonts w:cstheme="minorHAnsi"/>
          </w:rPr>
          <w:t>10.1177/1352458507082607</w:t>
        </w:r>
      </w:hyperlink>
    </w:p>
    <w:p w14:paraId="12798D1A" w14:textId="0A9D092C" w:rsidR="006B3702" w:rsidRPr="006B3702" w:rsidRDefault="00513441" w:rsidP="00725144">
      <w:pPr>
        <w:spacing w:after="0"/>
        <w:ind w:left="720" w:hanging="720"/>
        <w:rPr>
          <w:rFonts w:cstheme="minorHAnsi"/>
        </w:rPr>
      </w:pPr>
      <w:hyperlink r:id="rId102" w:anchor="bbb0135" w:history="1">
        <w:r w:rsidR="006B3702" w:rsidRPr="006B3702">
          <w:rPr>
            <w:rStyle w:val="Hyperlink"/>
            <w:rFonts w:cstheme="minorHAnsi"/>
          </w:rPr>
          <w:t>[27]</w:t>
        </w:r>
      </w:hyperlink>
      <w:r w:rsidR="00924D44">
        <w:rPr>
          <w:rFonts w:cstheme="minorHAnsi"/>
        </w:rPr>
        <w:t xml:space="preserve"> </w:t>
      </w:r>
      <w:r w:rsidR="006B3702" w:rsidRPr="006B3702">
        <w:rPr>
          <w:rFonts w:cstheme="minorHAnsi"/>
        </w:rPr>
        <w:t>U. </w:t>
      </w:r>
      <w:proofErr w:type="spellStart"/>
      <w:r w:rsidR="006B3702" w:rsidRPr="006B3702">
        <w:rPr>
          <w:rFonts w:cstheme="minorHAnsi"/>
        </w:rPr>
        <w:t>Dalgas</w:t>
      </w:r>
      <w:proofErr w:type="spellEnd"/>
      <w:r w:rsidR="006B3702" w:rsidRPr="006B3702">
        <w:rPr>
          <w:rFonts w:cstheme="minorHAnsi"/>
        </w:rPr>
        <w:t>, K. Severinsen, K. Overgaard</w:t>
      </w:r>
      <w:r w:rsidR="00924D44">
        <w:rPr>
          <w:rFonts w:cstheme="minorHAnsi"/>
        </w:rPr>
        <w:t xml:space="preserve"> </w:t>
      </w:r>
      <w:r w:rsidR="006B3702" w:rsidRPr="006B3702">
        <w:rPr>
          <w:rFonts w:cstheme="minorHAnsi"/>
          <w:b/>
          <w:bCs/>
        </w:rPr>
        <w:t>Relations between 6 minute walking distance and 10 meter walking speed in patients with multiple sclerosis and stroke</w:t>
      </w:r>
      <w:r w:rsidR="00924D44">
        <w:rPr>
          <w:rFonts w:cstheme="minorHAnsi"/>
          <w:b/>
          <w:bCs/>
        </w:rPr>
        <w:t xml:space="preserve"> </w:t>
      </w:r>
      <w:r w:rsidR="006B3702" w:rsidRPr="006B3702">
        <w:rPr>
          <w:rFonts w:cstheme="minorHAnsi"/>
        </w:rPr>
        <w:t xml:space="preserve">Arch. Phys. Med. </w:t>
      </w:r>
      <w:proofErr w:type="spellStart"/>
      <w:r w:rsidR="006B3702" w:rsidRPr="006B3702">
        <w:rPr>
          <w:rFonts w:cstheme="minorHAnsi"/>
        </w:rPr>
        <w:t>Rehabil</w:t>
      </w:r>
      <w:proofErr w:type="spellEnd"/>
      <w:r w:rsidR="006B3702" w:rsidRPr="006B3702">
        <w:rPr>
          <w:rFonts w:cstheme="minorHAnsi"/>
        </w:rPr>
        <w:t>., 93 (7) (2012), pp. 1167-1172, </w:t>
      </w:r>
      <w:hyperlink r:id="rId103" w:tgtFrame="_blank" w:history="1">
        <w:r w:rsidR="006B3702" w:rsidRPr="006B3702">
          <w:rPr>
            <w:rStyle w:val="Hyperlink"/>
            <w:rFonts w:cstheme="minorHAnsi"/>
          </w:rPr>
          <w:t>10.1016/j.apmr.2012.02.026</w:t>
        </w:r>
      </w:hyperlink>
    </w:p>
    <w:p w14:paraId="31869803" w14:textId="4E790805" w:rsidR="006B3702" w:rsidRPr="006B3702" w:rsidRDefault="00513441" w:rsidP="00725144">
      <w:pPr>
        <w:spacing w:after="0"/>
        <w:ind w:left="720" w:hanging="720"/>
        <w:rPr>
          <w:rFonts w:cstheme="minorHAnsi"/>
        </w:rPr>
      </w:pPr>
      <w:hyperlink r:id="rId104" w:anchor="bbb0140" w:history="1">
        <w:r w:rsidR="006B3702" w:rsidRPr="006B3702">
          <w:rPr>
            <w:rStyle w:val="Hyperlink"/>
            <w:rFonts w:cstheme="minorHAnsi"/>
          </w:rPr>
          <w:t>[28]</w:t>
        </w:r>
      </w:hyperlink>
      <w:r w:rsidR="00451138">
        <w:rPr>
          <w:rFonts w:cstheme="minorHAnsi"/>
        </w:rPr>
        <w:t xml:space="preserve"> </w:t>
      </w:r>
      <w:r w:rsidR="006B3702" w:rsidRPr="006B3702">
        <w:rPr>
          <w:rFonts w:cstheme="minorHAnsi"/>
        </w:rPr>
        <w:t>E.T. Cohen, K. Potter, D.D. Allen, </w:t>
      </w:r>
      <w:r w:rsidR="006B3702" w:rsidRPr="006B3702">
        <w:rPr>
          <w:rFonts w:cstheme="minorHAnsi"/>
          <w:i/>
          <w:iCs/>
        </w:rPr>
        <w:t>et al.</w:t>
      </w:r>
      <w:r w:rsidR="00451138">
        <w:rPr>
          <w:rFonts w:cstheme="minorHAnsi"/>
          <w:i/>
          <w:iCs/>
        </w:rPr>
        <w:t xml:space="preserve"> </w:t>
      </w:r>
      <w:r w:rsidR="006B3702" w:rsidRPr="006B3702">
        <w:rPr>
          <w:rFonts w:cstheme="minorHAnsi"/>
          <w:b/>
          <w:bCs/>
        </w:rPr>
        <w:t>Selecting rehabilitation outcome measures for people with Multiple Sclerosis</w:t>
      </w:r>
      <w:r w:rsidR="00451138">
        <w:rPr>
          <w:rFonts w:cstheme="minorHAnsi"/>
          <w:b/>
          <w:bCs/>
        </w:rPr>
        <w:t xml:space="preserve"> </w:t>
      </w:r>
      <w:r w:rsidR="006B3702" w:rsidRPr="006B3702">
        <w:rPr>
          <w:rFonts w:cstheme="minorHAnsi"/>
        </w:rPr>
        <w:t>Int. J. MS Care, 17 (4) (2015), pp. 181-189, </w:t>
      </w:r>
      <w:hyperlink r:id="rId105" w:tgtFrame="_blank" w:history="1">
        <w:r w:rsidR="006B3702" w:rsidRPr="006B3702">
          <w:rPr>
            <w:rStyle w:val="Hyperlink"/>
            <w:rFonts w:cstheme="minorHAnsi"/>
          </w:rPr>
          <w:t>10.7224/1537-2073.2014-067</w:t>
        </w:r>
      </w:hyperlink>
    </w:p>
    <w:p w14:paraId="6D15F4D6" w14:textId="5F879CFE" w:rsidR="006B3702" w:rsidRPr="006B3702" w:rsidRDefault="00513441" w:rsidP="00725144">
      <w:pPr>
        <w:spacing w:after="0"/>
        <w:ind w:left="720" w:hanging="720"/>
        <w:rPr>
          <w:rFonts w:cstheme="minorHAnsi"/>
        </w:rPr>
      </w:pPr>
      <w:hyperlink r:id="rId106" w:anchor="bbb0145" w:history="1">
        <w:r w:rsidR="006B3702" w:rsidRPr="006B3702">
          <w:rPr>
            <w:rStyle w:val="Hyperlink"/>
            <w:rFonts w:cstheme="minorHAnsi"/>
          </w:rPr>
          <w:t>[29]</w:t>
        </w:r>
      </w:hyperlink>
      <w:r w:rsidR="00451138">
        <w:rPr>
          <w:rFonts w:cstheme="minorHAnsi"/>
        </w:rPr>
        <w:t xml:space="preserve"> </w:t>
      </w:r>
      <w:r w:rsidR="006B3702" w:rsidRPr="006B3702">
        <w:rPr>
          <w:rFonts w:cstheme="minorHAnsi"/>
        </w:rPr>
        <w:t>Y. </w:t>
      </w:r>
      <w:proofErr w:type="spellStart"/>
      <w:r w:rsidR="006B3702" w:rsidRPr="006B3702">
        <w:rPr>
          <w:rFonts w:cstheme="minorHAnsi"/>
        </w:rPr>
        <w:t>Nilsagard</w:t>
      </w:r>
      <w:proofErr w:type="spellEnd"/>
      <w:r w:rsidR="006B3702" w:rsidRPr="006B3702">
        <w:rPr>
          <w:rFonts w:cstheme="minorHAnsi"/>
        </w:rPr>
        <w:t>, C. </w:t>
      </w:r>
      <w:proofErr w:type="spellStart"/>
      <w:r w:rsidR="006B3702" w:rsidRPr="006B3702">
        <w:rPr>
          <w:rFonts w:cstheme="minorHAnsi"/>
        </w:rPr>
        <w:t>Lundholm</w:t>
      </w:r>
      <w:proofErr w:type="spellEnd"/>
      <w:r w:rsidR="006B3702" w:rsidRPr="006B3702">
        <w:rPr>
          <w:rFonts w:cstheme="minorHAnsi"/>
        </w:rPr>
        <w:t>, L.G. Gunnarsson, E. </w:t>
      </w:r>
      <w:proofErr w:type="spellStart"/>
      <w:r w:rsidR="006B3702" w:rsidRPr="006B3702">
        <w:rPr>
          <w:rFonts w:cstheme="minorHAnsi"/>
        </w:rPr>
        <w:t>Dcnison</w:t>
      </w:r>
      <w:proofErr w:type="spellEnd"/>
      <w:r w:rsidR="00451138">
        <w:rPr>
          <w:rFonts w:cstheme="minorHAnsi"/>
        </w:rPr>
        <w:t xml:space="preserve"> </w:t>
      </w:r>
      <w:r w:rsidR="006B3702" w:rsidRPr="006B3702">
        <w:rPr>
          <w:rFonts w:cstheme="minorHAnsi"/>
          <w:b/>
          <w:bCs/>
        </w:rPr>
        <w:t>Clinical relevance using timed walk tests and “timed up and go” testing in persons with multiple sclerosis</w:t>
      </w:r>
      <w:r w:rsidR="00451138">
        <w:rPr>
          <w:rFonts w:cstheme="minorHAnsi"/>
          <w:b/>
          <w:bCs/>
        </w:rPr>
        <w:t xml:space="preserve"> </w:t>
      </w:r>
      <w:proofErr w:type="spellStart"/>
      <w:r w:rsidR="006B3702" w:rsidRPr="006B3702">
        <w:rPr>
          <w:rFonts w:cstheme="minorHAnsi"/>
        </w:rPr>
        <w:t>Physiother</w:t>
      </w:r>
      <w:proofErr w:type="spellEnd"/>
      <w:r w:rsidR="006B3702" w:rsidRPr="006B3702">
        <w:rPr>
          <w:rFonts w:cstheme="minorHAnsi"/>
        </w:rPr>
        <w:t>. Res. Int., 12 (2) (2007), pp. 105-114, </w:t>
      </w:r>
      <w:hyperlink r:id="rId107" w:tgtFrame="_blank" w:history="1">
        <w:r w:rsidR="006B3702" w:rsidRPr="006B3702">
          <w:rPr>
            <w:rStyle w:val="Hyperlink"/>
            <w:rFonts w:cstheme="minorHAnsi"/>
          </w:rPr>
          <w:t>10.1002/pri.358</w:t>
        </w:r>
      </w:hyperlink>
    </w:p>
    <w:p w14:paraId="1205AF91" w14:textId="27D5F76E" w:rsidR="006B3702" w:rsidRPr="006B3702" w:rsidRDefault="00513441" w:rsidP="00725144">
      <w:pPr>
        <w:spacing w:after="0"/>
        <w:ind w:left="720" w:hanging="720"/>
        <w:rPr>
          <w:rFonts w:cstheme="minorHAnsi"/>
        </w:rPr>
      </w:pPr>
      <w:hyperlink r:id="rId108" w:anchor="bbb0150" w:history="1">
        <w:r w:rsidR="006B3702" w:rsidRPr="006B3702">
          <w:rPr>
            <w:rStyle w:val="Hyperlink"/>
            <w:rFonts w:cstheme="minorHAnsi"/>
          </w:rPr>
          <w:t>[30]</w:t>
        </w:r>
      </w:hyperlink>
      <w:r w:rsidR="00451138">
        <w:rPr>
          <w:rFonts w:cstheme="minorHAnsi"/>
        </w:rPr>
        <w:t xml:space="preserve"> </w:t>
      </w:r>
      <w:r w:rsidR="006B3702" w:rsidRPr="006B3702">
        <w:rPr>
          <w:rFonts w:cstheme="minorHAnsi"/>
        </w:rPr>
        <w:t>D. </w:t>
      </w:r>
      <w:proofErr w:type="spellStart"/>
      <w:r w:rsidR="006B3702" w:rsidRPr="006B3702">
        <w:rPr>
          <w:rFonts w:cstheme="minorHAnsi"/>
        </w:rPr>
        <w:t>Podsiadlo</w:t>
      </w:r>
      <w:proofErr w:type="spellEnd"/>
      <w:r w:rsidR="006B3702" w:rsidRPr="006B3702">
        <w:rPr>
          <w:rFonts w:cstheme="minorHAnsi"/>
        </w:rPr>
        <w:t>, S. Richardson</w:t>
      </w:r>
      <w:r w:rsidR="00451138">
        <w:rPr>
          <w:rFonts w:cstheme="minorHAnsi"/>
        </w:rPr>
        <w:t xml:space="preserve"> </w:t>
      </w:r>
      <w:proofErr w:type="gramStart"/>
      <w:r w:rsidR="006B3702" w:rsidRPr="006B3702">
        <w:rPr>
          <w:rFonts w:cstheme="minorHAnsi"/>
          <w:b/>
          <w:bCs/>
        </w:rPr>
        <w:t>The</w:t>
      </w:r>
      <w:proofErr w:type="gramEnd"/>
      <w:r w:rsidR="006B3702" w:rsidRPr="006B3702">
        <w:rPr>
          <w:rFonts w:cstheme="minorHAnsi"/>
          <w:b/>
          <w:bCs/>
        </w:rPr>
        <w:t xml:space="preserve"> timed “Up &amp; Go”: a test of basic functional mobility for frail elderly persons</w:t>
      </w:r>
      <w:r w:rsidR="00451138">
        <w:rPr>
          <w:rFonts w:cstheme="minorHAnsi"/>
          <w:b/>
          <w:bCs/>
        </w:rPr>
        <w:t xml:space="preserve"> </w:t>
      </w:r>
      <w:r w:rsidR="006B3702" w:rsidRPr="006B3702">
        <w:rPr>
          <w:rFonts w:cstheme="minorHAnsi"/>
        </w:rPr>
        <w:t xml:space="preserve">J. Am. </w:t>
      </w:r>
      <w:proofErr w:type="spellStart"/>
      <w:r w:rsidR="006B3702" w:rsidRPr="006B3702">
        <w:rPr>
          <w:rFonts w:cstheme="minorHAnsi"/>
        </w:rPr>
        <w:t>Geriatr</w:t>
      </w:r>
      <w:proofErr w:type="spellEnd"/>
      <w:r w:rsidR="006B3702" w:rsidRPr="006B3702">
        <w:rPr>
          <w:rFonts w:cstheme="minorHAnsi"/>
        </w:rPr>
        <w:t>. Soc., 39 (2) (1991), pp. 142-148</w:t>
      </w:r>
      <w:r w:rsidR="00451138">
        <w:rPr>
          <w:rFonts w:cstheme="minorHAnsi"/>
        </w:rPr>
        <w:t xml:space="preserve"> </w:t>
      </w:r>
      <w:hyperlink r:id="rId109" w:tgtFrame="_blank" w:history="1">
        <w:r w:rsidR="006B3702" w:rsidRPr="006B3702">
          <w:rPr>
            <w:rStyle w:val="Hyperlink"/>
            <w:rFonts w:cstheme="minorHAnsi"/>
          </w:rPr>
          <w:t>http://www.ncbi.nlm.nih.gov/entrez/query.fcgi?cmd=Retrieve&amp;db=PubMed&amp;dopt=Citation&amp;list_uids=1991946</w:t>
        </w:r>
      </w:hyperlink>
    </w:p>
    <w:p w14:paraId="211E9769" w14:textId="76560EB1" w:rsidR="006B3702" w:rsidRPr="006B3702" w:rsidRDefault="00513441" w:rsidP="00725144">
      <w:pPr>
        <w:spacing w:after="0"/>
        <w:ind w:left="720" w:hanging="720"/>
        <w:rPr>
          <w:rFonts w:cstheme="minorHAnsi"/>
        </w:rPr>
      </w:pPr>
      <w:hyperlink r:id="rId110" w:anchor="bbb0155" w:history="1">
        <w:r w:rsidR="006B3702" w:rsidRPr="006B3702">
          <w:rPr>
            <w:rStyle w:val="Hyperlink"/>
            <w:rFonts w:cstheme="minorHAnsi"/>
          </w:rPr>
          <w:t>[31]</w:t>
        </w:r>
      </w:hyperlink>
      <w:r w:rsidR="00451138">
        <w:rPr>
          <w:rFonts w:cstheme="minorHAnsi"/>
        </w:rPr>
        <w:t xml:space="preserve"> </w:t>
      </w:r>
      <w:r w:rsidR="006B3702" w:rsidRPr="006B3702">
        <w:rPr>
          <w:rFonts w:cstheme="minorHAnsi"/>
        </w:rPr>
        <w:t>D. Langdon, M. Amato, J. </w:t>
      </w:r>
      <w:proofErr w:type="spellStart"/>
      <w:r w:rsidR="006B3702" w:rsidRPr="006B3702">
        <w:rPr>
          <w:rFonts w:cstheme="minorHAnsi"/>
        </w:rPr>
        <w:t>Boringa</w:t>
      </w:r>
      <w:proofErr w:type="spellEnd"/>
      <w:r w:rsidR="006B3702" w:rsidRPr="006B3702">
        <w:rPr>
          <w:rFonts w:cstheme="minorHAnsi"/>
        </w:rPr>
        <w:t>, </w:t>
      </w:r>
      <w:r w:rsidR="006B3702" w:rsidRPr="006B3702">
        <w:rPr>
          <w:rFonts w:cstheme="minorHAnsi"/>
          <w:i/>
          <w:iCs/>
        </w:rPr>
        <w:t>et al.</w:t>
      </w:r>
      <w:r w:rsidR="00451138">
        <w:rPr>
          <w:rFonts w:cstheme="minorHAnsi"/>
          <w:i/>
          <w:iCs/>
        </w:rPr>
        <w:t xml:space="preserve"> </w:t>
      </w:r>
      <w:r w:rsidR="006B3702" w:rsidRPr="006B3702">
        <w:rPr>
          <w:rFonts w:cstheme="minorHAnsi"/>
          <w:b/>
          <w:bCs/>
        </w:rPr>
        <w:t>Recommendations for a Brief International Cognitive Assessment for Multiple Sclerosis (BICAMS)</w:t>
      </w:r>
      <w:r w:rsidR="00451138">
        <w:rPr>
          <w:rFonts w:cstheme="minorHAnsi"/>
          <w:b/>
          <w:bCs/>
        </w:rPr>
        <w:t xml:space="preserve"> </w:t>
      </w:r>
      <w:proofErr w:type="spellStart"/>
      <w:r w:rsidR="006B3702" w:rsidRPr="006B3702">
        <w:rPr>
          <w:rFonts w:cstheme="minorHAnsi"/>
        </w:rPr>
        <w:t>Mult</w:t>
      </w:r>
      <w:proofErr w:type="spellEnd"/>
      <w:r w:rsidR="006B3702" w:rsidRPr="006B3702">
        <w:rPr>
          <w:rFonts w:cstheme="minorHAnsi"/>
        </w:rPr>
        <w:t xml:space="preserve">. </w:t>
      </w:r>
      <w:proofErr w:type="spellStart"/>
      <w:r w:rsidR="006B3702" w:rsidRPr="006B3702">
        <w:rPr>
          <w:rFonts w:cstheme="minorHAnsi"/>
        </w:rPr>
        <w:t>Scler</w:t>
      </w:r>
      <w:proofErr w:type="spellEnd"/>
      <w:r w:rsidR="006B3702" w:rsidRPr="006B3702">
        <w:rPr>
          <w:rFonts w:cstheme="minorHAnsi"/>
        </w:rPr>
        <w:t>. J., 18 (6) (2012), pp. 891-898, </w:t>
      </w:r>
      <w:hyperlink r:id="rId111" w:tgtFrame="_blank" w:history="1">
        <w:r w:rsidR="006B3702" w:rsidRPr="006B3702">
          <w:rPr>
            <w:rStyle w:val="Hyperlink"/>
            <w:rFonts w:cstheme="minorHAnsi"/>
          </w:rPr>
          <w:t>10.1177/1352458511431076</w:t>
        </w:r>
      </w:hyperlink>
    </w:p>
    <w:p w14:paraId="09E7A3B7" w14:textId="4BCCE882" w:rsidR="006B3702" w:rsidRPr="006B3702" w:rsidRDefault="00513441" w:rsidP="00725144">
      <w:pPr>
        <w:spacing w:after="0"/>
        <w:ind w:left="720" w:hanging="720"/>
        <w:rPr>
          <w:rFonts w:cstheme="minorHAnsi"/>
        </w:rPr>
      </w:pPr>
      <w:hyperlink r:id="rId112" w:anchor="bbb0160" w:history="1">
        <w:r w:rsidR="006B3702" w:rsidRPr="006B3702">
          <w:rPr>
            <w:rStyle w:val="Hyperlink"/>
            <w:rFonts w:cstheme="minorHAnsi"/>
          </w:rPr>
          <w:t>[32]</w:t>
        </w:r>
      </w:hyperlink>
      <w:r w:rsidR="00451138">
        <w:rPr>
          <w:rFonts w:cstheme="minorHAnsi"/>
        </w:rPr>
        <w:t xml:space="preserve"> </w:t>
      </w:r>
      <w:proofErr w:type="spellStart"/>
      <w:r w:rsidR="006B3702" w:rsidRPr="006B3702">
        <w:rPr>
          <w:rFonts w:cstheme="minorHAnsi"/>
        </w:rPr>
        <w:t>Motl</w:t>
      </w:r>
      <w:proofErr w:type="spellEnd"/>
      <w:r w:rsidR="006B3702" w:rsidRPr="006B3702">
        <w:rPr>
          <w:rFonts w:cstheme="minorHAnsi"/>
        </w:rPr>
        <w:t xml:space="preserve">, R. W., Learmonth, Y. C., </w:t>
      </w:r>
      <w:proofErr w:type="spellStart"/>
      <w:r w:rsidR="006B3702" w:rsidRPr="006B3702">
        <w:rPr>
          <w:rFonts w:cstheme="minorHAnsi"/>
        </w:rPr>
        <w:t>Wójcicki</w:t>
      </w:r>
      <w:proofErr w:type="spellEnd"/>
      <w:r w:rsidR="006B3702" w:rsidRPr="006B3702">
        <w:rPr>
          <w:rFonts w:cstheme="minorHAnsi"/>
        </w:rPr>
        <w:t xml:space="preserve">, T. R., Fanning, J., Hubbard, E. A., </w:t>
      </w:r>
      <w:proofErr w:type="spellStart"/>
      <w:r w:rsidR="006B3702" w:rsidRPr="006B3702">
        <w:rPr>
          <w:rFonts w:cstheme="minorHAnsi"/>
        </w:rPr>
        <w:t>Kinnett</w:t>
      </w:r>
      <w:proofErr w:type="spellEnd"/>
      <w:r w:rsidR="006B3702" w:rsidRPr="006B3702">
        <w:rPr>
          <w:rFonts w:cstheme="minorHAnsi"/>
        </w:rPr>
        <w:t xml:space="preserve">-Hopkins, D., Roberts, S. A., &amp; McAuley E. Preliminary validation of the Short Physical Performance Battery in older adults with multiple sclerosis. BMC </w:t>
      </w:r>
      <w:proofErr w:type="spellStart"/>
      <w:r w:rsidR="006B3702" w:rsidRPr="006B3702">
        <w:rPr>
          <w:rFonts w:cstheme="minorHAnsi"/>
        </w:rPr>
        <w:t>Geriatr</w:t>
      </w:r>
      <w:proofErr w:type="spellEnd"/>
      <w:r w:rsidR="006B3702" w:rsidRPr="006B3702">
        <w:rPr>
          <w:rFonts w:cstheme="minorHAnsi"/>
        </w:rPr>
        <w:t>.</w:t>
      </w:r>
    </w:p>
    <w:p w14:paraId="1166FBB3" w14:textId="0C3E0A5D" w:rsidR="006B3702" w:rsidRPr="006B3702" w:rsidRDefault="00513441" w:rsidP="00725144">
      <w:pPr>
        <w:spacing w:after="0"/>
        <w:ind w:left="720" w:hanging="720"/>
        <w:rPr>
          <w:rFonts w:cstheme="minorHAnsi"/>
        </w:rPr>
      </w:pPr>
      <w:hyperlink r:id="rId113" w:anchor="bbb0165" w:history="1">
        <w:r w:rsidR="006B3702" w:rsidRPr="006B3702">
          <w:rPr>
            <w:rStyle w:val="Hyperlink"/>
            <w:rFonts w:cstheme="minorHAnsi"/>
          </w:rPr>
          <w:t>[33]</w:t>
        </w:r>
      </w:hyperlink>
      <w:r w:rsidR="00451138">
        <w:rPr>
          <w:rFonts w:cstheme="minorHAnsi"/>
        </w:rPr>
        <w:t xml:space="preserve"> </w:t>
      </w:r>
      <w:r w:rsidR="006B3702" w:rsidRPr="006B3702">
        <w:rPr>
          <w:rFonts w:cstheme="minorHAnsi"/>
        </w:rPr>
        <w:t>J. Cohen</w:t>
      </w:r>
      <w:r w:rsidR="00451138">
        <w:rPr>
          <w:rFonts w:cstheme="minorHAnsi"/>
        </w:rPr>
        <w:t xml:space="preserve"> </w:t>
      </w:r>
      <w:r w:rsidR="006B3702" w:rsidRPr="006B3702">
        <w:rPr>
          <w:rFonts w:cstheme="minorHAnsi"/>
          <w:b/>
          <w:bCs/>
        </w:rPr>
        <w:t>Statistical Power Analysis for the Behavioral Sciences</w:t>
      </w:r>
      <w:r w:rsidR="00451138">
        <w:rPr>
          <w:rFonts w:cstheme="minorHAnsi"/>
          <w:b/>
          <w:bCs/>
        </w:rPr>
        <w:t xml:space="preserve"> </w:t>
      </w:r>
      <w:r w:rsidR="006B3702" w:rsidRPr="006B3702">
        <w:rPr>
          <w:rFonts w:cstheme="minorHAnsi"/>
        </w:rPr>
        <w:t>vol. 2 (1988), </w:t>
      </w:r>
      <w:hyperlink r:id="rId114" w:tgtFrame="_blank" w:history="1">
        <w:r w:rsidR="006B3702" w:rsidRPr="006B3702">
          <w:rPr>
            <w:rStyle w:val="Hyperlink"/>
            <w:rFonts w:cstheme="minorHAnsi"/>
          </w:rPr>
          <w:t>10.1234/12345678</w:t>
        </w:r>
      </w:hyperlink>
    </w:p>
    <w:p w14:paraId="7811345A" w14:textId="5BCD24E3" w:rsidR="006B3702" w:rsidRPr="006B3702" w:rsidRDefault="00513441" w:rsidP="00725144">
      <w:pPr>
        <w:spacing w:after="0"/>
        <w:ind w:left="720" w:hanging="720"/>
        <w:rPr>
          <w:rFonts w:cstheme="minorHAnsi"/>
        </w:rPr>
      </w:pPr>
      <w:hyperlink r:id="rId115" w:anchor="bbb0170" w:history="1">
        <w:r w:rsidR="006B3702" w:rsidRPr="006B3702">
          <w:rPr>
            <w:rStyle w:val="Hyperlink"/>
            <w:rFonts w:cstheme="minorHAnsi"/>
          </w:rPr>
          <w:t>[34]</w:t>
        </w:r>
      </w:hyperlink>
      <w:r w:rsidR="00451138">
        <w:rPr>
          <w:rFonts w:cstheme="minorHAnsi"/>
        </w:rPr>
        <w:t xml:space="preserve"> </w:t>
      </w:r>
      <w:r w:rsidR="006B3702" w:rsidRPr="006B3702">
        <w:rPr>
          <w:rFonts w:cstheme="minorHAnsi"/>
        </w:rPr>
        <w:t>R. </w:t>
      </w:r>
      <w:proofErr w:type="spellStart"/>
      <w:r w:rsidR="006B3702" w:rsidRPr="006B3702">
        <w:rPr>
          <w:rFonts w:cstheme="minorHAnsi"/>
        </w:rPr>
        <w:t>Shigematsu</w:t>
      </w:r>
      <w:proofErr w:type="spellEnd"/>
      <w:r w:rsidR="00451138">
        <w:rPr>
          <w:rFonts w:cstheme="minorHAnsi"/>
        </w:rPr>
        <w:t xml:space="preserve"> </w:t>
      </w:r>
      <w:r w:rsidR="006B3702" w:rsidRPr="006B3702">
        <w:rPr>
          <w:rFonts w:cstheme="minorHAnsi"/>
          <w:b/>
          <w:bCs/>
        </w:rPr>
        <w:t>Effects of exercise program requiring attention, memory and imitation on cognitive function in elderly persons: A non-randomized pilot study</w:t>
      </w:r>
      <w:r w:rsidR="00451138">
        <w:rPr>
          <w:rFonts w:cstheme="minorHAnsi"/>
          <w:b/>
          <w:bCs/>
        </w:rPr>
        <w:t xml:space="preserve"> </w:t>
      </w:r>
      <w:r w:rsidR="006B3702" w:rsidRPr="006B3702">
        <w:rPr>
          <w:rFonts w:cstheme="minorHAnsi"/>
        </w:rPr>
        <w:t xml:space="preserve">J. </w:t>
      </w:r>
      <w:proofErr w:type="spellStart"/>
      <w:r w:rsidR="006B3702" w:rsidRPr="006B3702">
        <w:rPr>
          <w:rFonts w:cstheme="minorHAnsi"/>
        </w:rPr>
        <w:t>Gerontol</w:t>
      </w:r>
      <w:proofErr w:type="spellEnd"/>
      <w:r w:rsidR="006B3702" w:rsidRPr="006B3702">
        <w:rPr>
          <w:rFonts w:cstheme="minorHAnsi"/>
        </w:rPr>
        <w:t xml:space="preserve">. </w:t>
      </w:r>
      <w:proofErr w:type="spellStart"/>
      <w:r w:rsidR="006B3702" w:rsidRPr="006B3702">
        <w:rPr>
          <w:rFonts w:cstheme="minorHAnsi"/>
        </w:rPr>
        <w:t>Geriatr</w:t>
      </w:r>
      <w:proofErr w:type="spellEnd"/>
      <w:r w:rsidR="006B3702" w:rsidRPr="006B3702">
        <w:rPr>
          <w:rFonts w:cstheme="minorHAnsi"/>
        </w:rPr>
        <w:t>. Res., 3 (2) (2014), </w:t>
      </w:r>
      <w:hyperlink r:id="rId116" w:tgtFrame="_blank" w:history="1">
        <w:r w:rsidR="006B3702" w:rsidRPr="006B3702">
          <w:rPr>
            <w:rStyle w:val="Hyperlink"/>
            <w:rFonts w:cstheme="minorHAnsi"/>
          </w:rPr>
          <w:t>10.4172/2167-7182.1000147</w:t>
        </w:r>
      </w:hyperlink>
    </w:p>
    <w:p w14:paraId="02ED2008" w14:textId="13DE7D20" w:rsidR="006B3702" w:rsidRPr="006B3702" w:rsidRDefault="00513441" w:rsidP="00725144">
      <w:pPr>
        <w:spacing w:after="0"/>
        <w:ind w:left="720" w:hanging="720"/>
        <w:rPr>
          <w:rFonts w:cstheme="minorHAnsi"/>
        </w:rPr>
      </w:pPr>
      <w:hyperlink r:id="rId117" w:anchor="bbb0175" w:history="1">
        <w:r w:rsidR="006B3702" w:rsidRPr="006B3702">
          <w:rPr>
            <w:rStyle w:val="Hyperlink"/>
            <w:rFonts w:cstheme="minorHAnsi"/>
          </w:rPr>
          <w:t>[35]</w:t>
        </w:r>
      </w:hyperlink>
      <w:r w:rsidR="00451138">
        <w:rPr>
          <w:rFonts w:cstheme="minorHAnsi"/>
        </w:rPr>
        <w:t xml:space="preserve"> </w:t>
      </w:r>
      <w:r w:rsidR="006B3702" w:rsidRPr="006B3702">
        <w:rPr>
          <w:rFonts w:cstheme="minorHAnsi"/>
        </w:rPr>
        <w:t>R. </w:t>
      </w:r>
      <w:proofErr w:type="spellStart"/>
      <w:r w:rsidR="006B3702" w:rsidRPr="006B3702">
        <w:rPr>
          <w:rFonts w:cstheme="minorHAnsi"/>
        </w:rPr>
        <w:t>Shigematsu</w:t>
      </w:r>
      <w:proofErr w:type="spellEnd"/>
      <w:r w:rsidR="006B3702" w:rsidRPr="006B3702">
        <w:rPr>
          <w:rFonts w:cstheme="minorHAnsi"/>
        </w:rPr>
        <w:t>, T. Okura, M. </w:t>
      </w:r>
      <w:proofErr w:type="spellStart"/>
      <w:r w:rsidR="006B3702" w:rsidRPr="006B3702">
        <w:rPr>
          <w:rFonts w:cstheme="minorHAnsi"/>
        </w:rPr>
        <w:t>Nakagaichi</w:t>
      </w:r>
      <w:proofErr w:type="spellEnd"/>
      <w:r w:rsidR="006B3702" w:rsidRPr="006B3702">
        <w:rPr>
          <w:rFonts w:cstheme="minorHAnsi"/>
        </w:rPr>
        <w:t>, </w:t>
      </w:r>
      <w:r w:rsidR="006B3702" w:rsidRPr="006B3702">
        <w:rPr>
          <w:rFonts w:cstheme="minorHAnsi"/>
          <w:i/>
          <w:iCs/>
        </w:rPr>
        <w:t>et al.</w:t>
      </w:r>
      <w:r w:rsidR="00451138">
        <w:rPr>
          <w:rFonts w:cstheme="minorHAnsi"/>
          <w:i/>
          <w:iCs/>
        </w:rPr>
        <w:t xml:space="preserve"> </w:t>
      </w:r>
      <w:r w:rsidR="006B3702" w:rsidRPr="006B3702">
        <w:rPr>
          <w:rFonts w:cstheme="minorHAnsi"/>
          <w:b/>
          <w:bCs/>
        </w:rPr>
        <w:t>Square-stepping exercise and fall risk factors in older adults: a single-blind, randomized controlled trial</w:t>
      </w:r>
      <w:r w:rsidR="00451138">
        <w:rPr>
          <w:rFonts w:cstheme="minorHAnsi"/>
          <w:b/>
          <w:bCs/>
        </w:rPr>
        <w:t xml:space="preserve"> </w:t>
      </w:r>
      <w:r w:rsidR="006B3702" w:rsidRPr="006B3702">
        <w:rPr>
          <w:rFonts w:cstheme="minorHAnsi"/>
        </w:rPr>
        <w:t xml:space="preserve">J. </w:t>
      </w:r>
      <w:proofErr w:type="spellStart"/>
      <w:r w:rsidR="006B3702" w:rsidRPr="006B3702">
        <w:rPr>
          <w:rFonts w:cstheme="minorHAnsi"/>
        </w:rPr>
        <w:t>Gerontol</w:t>
      </w:r>
      <w:proofErr w:type="spellEnd"/>
      <w:r w:rsidR="006B3702" w:rsidRPr="006B3702">
        <w:rPr>
          <w:rFonts w:cstheme="minorHAnsi"/>
        </w:rPr>
        <w:t>. Ser. A Biol. Sci. Med. Sci., 63 (1) (2008), pp. 76-82, </w:t>
      </w:r>
      <w:hyperlink r:id="rId118" w:tgtFrame="_blank" w:history="1">
        <w:r w:rsidR="006B3702" w:rsidRPr="006B3702">
          <w:rPr>
            <w:rStyle w:val="Hyperlink"/>
            <w:rFonts w:cstheme="minorHAnsi"/>
          </w:rPr>
          <w:t>10.1093/</w:t>
        </w:r>
        <w:proofErr w:type="spellStart"/>
        <w:r w:rsidR="006B3702" w:rsidRPr="006B3702">
          <w:rPr>
            <w:rStyle w:val="Hyperlink"/>
            <w:rFonts w:cstheme="minorHAnsi"/>
          </w:rPr>
          <w:t>gerona</w:t>
        </w:r>
        <w:proofErr w:type="spellEnd"/>
        <w:r w:rsidR="006B3702" w:rsidRPr="006B3702">
          <w:rPr>
            <w:rStyle w:val="Hyperlink"/>
            <w:rFonts w:cstheme="minorHAnsi"/>
          </w:rPr>
          <w:t>/63.1.76</w:t>
        </w:r>
      </w:hyperlink>
    </w:p>
    <w:p w14:paraId="075F8850" w14:textId="0E3702EE" w:rsidR="006B3702" w:rsidRPr="006B3702" w:rsidRDefault="00513441" w:rsidP="00725144">
      <w:pPr>
        <w:spacing w:after="0"/>
        <w:ind w:left="720" w:hanging="720"/>
        <w:rPr>
          <w:rFonts w:cstheme="minorHAnsi"/>
        </w:rPr>
      </w:pPr>
      <w:hyperlink r:id="rId119" w:anchor="bbb0180" w:history="1">
        <w:r w:rsidR="006B3702" w:rsidRPr="006B3702">
          <w:rPr>
            <w:rStyle w:val="Hyperlink"/>
            <w:rFonts w:cstheme="minorHAnsi"/>
          </w:rPr>
          <w:t>[36]</w:t>
        </w:r>
      </w:hyperlink>
      <w:r w:rsidR="00451138">
        <w:rPr>
          <w:rFonts w:cstheme="minorHAnsi"/>
        </w:rPr>
        <w:t xml:space="preserve"> </w:t>
      </w:r>
      <w:r w:rsidR="006B3702" w:rsidRPr="006B3702">
        <w:rPr>
          <w:rFonts w:cstheme="minorHAnsi"/>
        </w:rPr>
        <w:t>J.R. Pereira, S. </w:t>
      </w:r>
      <w:proofErr w:type="spellStart"/>
      <w:r w:rsidR="006B3702" w:rsidRPr="006B3702">
        <w:rPr>
          <w:rFonts w:cstheme="minorHAnsi"/>
        </w:rPr>
        <w:t>Gobbi</w:t>
      </w:r>
      <w:proofErr w:type="spellEnd"/>
      <w:r w:rsidR="006B3702" w:rsidRPr="006B3702">
        <w:rPr>
          <w:rFonts w:cstheme="minorHAnsi"/>
        </w:rPr>
        <w:t>, C.V.L. Teixeira, </w:t>
      </w:r>
      <w:r w:rsidR="006B3702" w:rsidRPr="006B3702">
        <w:rPr>
          <w:rFonts w:cstheme="minorHAnsi"/>
          <w:i/>
          <w:iCs/>
        </w:rPr>
        <w:t>et al.</w:t>
      </w:r>
      <w:r w:rsidR="00451138">
        <w:rPr>
          <w:rFonts w:cstheme="minorHAnsi"/>
          <w:i/>
          <w:iCs/>
        </w:rPr>
        <w:t xml:space="preserve"> </w:t>
      </w:r>
      <w:r w:rsidR="006B3702" w:rsidRPr="006B3702">
        <w:rPr>
          <w:rFonts w:cstheme="minorHAnsi"/>
          <w:b/>
          <w:bCs/>
        </w:rPr>
        <w:t>Effects of square-stepping exercise on balance and depressive symptoms in older adults</w:t>
      </w:r>
      <w:r w:rsidR="00451138">
        <w:rPr>
          <w:rFonts w:cstheme="minorHAnsi"/>
          <w:b/>
          <w:bCs/>
        </w:rPr>
        <w:t xml:space="preserve"> </w:t>
      </w:r>
      <w:r w:rsidR="006B3702" w:rsidRPr="006B3702">
        <w:rPr>
          <w:rFonts w:cstheme="minorHAnsi"/>
        </w:rPr>
        <w:t xml:space="preserve">Mot. Rev. Educ. </w:t>
      </w:r>
      <w:proofErr w:type="spellStart"/>
      <w:r w:rsidR="006B3702" w:rsidRPr="006B3702">
        <w:rPr>
          <w:rFonts w:cstheme="minorHAnsi"/>
        </w:rPr>
        <w:t>fís</w:t>
      </w:r>
      <w:proofErr w:type="spellEnd"/>
      <w:r w:rsidR="006B3702" w:rsidRPr="006B3702">
        <w:rPr>
          <w:rFonts w:cstheme="minorHAnsi"/>
        </w:rPr>
        <w:t>., 20 (4) (2014), pp. 454-460</w:t>
      </w:r>
      <w:r w:rsidR="00451138">
        <w:rPr>
          <w:rFonts w:cstheme="minorHAnsi"/>
        </w:rPr>
        <w:t xml:space="preserve"> </w:t>
      </w:r>
      <w:hyperlink r:id="rId120" w:tgtFrame="_blank" w:history="1">
        <w:r w:rsidR="006B3702" w:rsidRPr="006B3702">
          <w:rPr>
            <w:rStyle w:val="Hyperlink"/>
            <w:rFonts w:cstheme="minorHAnsi"/>
          </w:rPr>
          <w:t>http://www.scielo.br/scielo.php?script=sci_arttext&amp;amp%5Cnpid=S1980-65742014000400454</w:t>
        </w:r>
      </w:hyperlink>
    </w:p>
    <w:p w14:paraId="75DBB4B5" w14:textId="26689EF0" w:rsidR="006B3702" w:rsidRPr="006B3702" w:rsidRDefault="00513441" w:rsidP="00725144">
      <w:pPr>
        <w:spacing w:after="0"/>
        <w:ind w:left="720" w:hanging="720"/>
        <w:rPr>
          <w:rFonts w:cstheme="minorHAnsi"/>
        </w:rPr>
      </w:pPr>
      <w:hyperlink r:id="rId121" w:anchor="bbb0185" w:history="1">
        <w:r w:rsidR="006B3702" w:rsidRPr="006B3702">
          <w:rPr>
            <w:rStyle w:val="Hyperlink"/>
            <w:rFonts w:cstheme="minorHAnsi"/>
          </w:rPr>
          <w:t>[37]</w:t>
        </w:r>
      </w:hyperlink>
      <w:r w:rsidR="00451138">
        <w:rPr>
          <w:rFonts w:cstheme="minorHAnsi"/>
        </w:rPr>
        <w:t xml:space="preserve"> </w:t>
      </w:r>
      <w:r w:rsidR="006B3702" w:rsidRPr="006B3702">
        <w:rPr>
          <w:rFonts w:cstheme="minorHAnsi"/>
        </w:rPr>
        <w:t>Y.C. Learmonth, B.C. Adamson, D. Kinnett-Hopkins, M. </w:t>
      </w:r>
      <w:proofErr w:type="spellStart"/>
      <w:r w:rsidR="006B3702" w:rsidRPr="006B3702">
        <w:rPr>
          <w:rFonts w:cstheme="minorHAnsi"/>
        </w:rPr>
        <w:t>Bohri</w:t>
      </w:r>
      <w:proofErr w:type="spellEnd"/>
      <w:r w:rsidR="006B3702" w:rsidRPr="006B3702">
        <w:rPr>
          <w:rFonts w:cstheme="minorHAnsi"/>
        </w:rPr>
        <w:t>, R.W. </w:t>
      </w:r>
      <w:proofErr w:type="spellStart"/>
      <w:r w:rsidR="006B3702" w:rsidRPr="006B3702">
        <w:rPr>
          <w:rFonts w:cstheme="minorHAnsi"/>
        </w:rPr>
        <w:t>Motl</w:t>
      </w:r>
      <w:proofErr w:type="spellEnd"/>
      <w:r w:rsidR="00451138">
        <w:rPr>
          <w:rFonts w:cstheme="minorHAnsi"/>
        </w:rPr>
        <w:t xml:space="preserve"> </w:t>
      </w:r>
      <w:r w:rsidR="006B3702" w:rsidRPr="006B3702">
        <w:rPr>
          <w:rFonts w:cstheme="minorHAnsi"/>
          <w:b/>
          <w:bCs/>
        </w:rPr>
        <w:t xml:space="preserve">Results of a feasibility </w:t>
      </w:r>
      <w:proofErr w:type="spellStart"/>
      <w:r w:rsidR="006B3702" w:rsidRPr="006B3702">
        <w:rPr>
          <w:rFonts w:cstheme="minorHAnsi"/>
          <w:b/>
          <w:bCs/>
        </w:rPr>
        <w:t>randomised</w:t>
      </w:r>
      <w:proofErr w:type="spellEnd"/>
      <w:r w:rsidR="006B3702" w:rsidRPr="006B3702">
        <w:rPr>
          <w:rFonts w:cstheme="minorHAnsi"/>
          <w:b/>
          <w:bCs/>
        </w:rPr>
        <w:t xml:space="preserve"> controlled study of the guidelines for exercise in multiple sclerosis project</w:t>
      </w:r>
      <w:r w:rsidR="00451138">
        <w:rPr>
          <w:rFonts w:cstheme="minorHAnsi"/>
          <w:b/>
          <w:bCs/>
        </w:rPr>
        <w:t xml:space="preserve"> </w:t>
      </w:r>
      <w:r w:rsidR="006B3702" w:rsidRPr="006B3702">
        <w:rPr>
          <w:rFonts w:cstheme="minorHAnsi"/>
        </w:rPr>
        <w:t>Contemp. Clin. Trials, 54 (2017), pp. 84-97, </w:t>
      </w:r>
      <w:hyperlink r:id="rId122" w:tgtFrame="_blank" w:history="1">
        <w:r w:rsidR="006B3702" w:rsidRPr="006B3702">
          <w:rPr>
            <w:rStyle w:val="Hyperlink"/>
            <w:rFonts w:cstheme="minorHAnsi"/>
          </w:rPr>
          <w:t>10.1016/j.cct.2016.11.012</w:t>
        </w:r>
      </w:hyperlink>
    </w:p>
    <w:p w14:paraId="6BD7FF5C" w14:textId="4302A6D6" w:rsidR="006B3702" w:rsidRPr="006B3702" w:rsidRDefault="00513441" w:rsidP="00725144">
      <w:pPr>
        <w:spacing w:after="0"/>
        <w:ind w:left="720" w:hanging="720"/>
        <w:rPr>
          <w:rFonts w:cstheme="minorHAnsi"/>
        </w:rPr>
      </w:pPr>
      <w:hyperlink r:id="rId123" w:anchor="bbb0190" w:history="1">
        <w:r w:rsidR="006B3702" w:rsidRPr="006B3702">
          <w:rPr>
            <w:rStyle w:val="Hyperlink"/>
            <w:rFonts w:cstheme="minorHAnsi"/>
          </w:rPr>
          <w:t>[38]</w:t>
        </w:r>
      </w:hyperlink>
      <w:r w:rsidR="00451138">
        <w:rPr>
          <w:rFonts w:cstheme="minorHAnsi"/>
        </w:rPr>
        <w:t xml:space="preserve"> </w:t>
      </w:r>
      <w:r w:rsidR="006B3702" w:rsidRPr="006B3702">
        <w:rPr>
          <w:rFonts w:cstheme="minorHAnsi"/>
        </w:rPr>
        <w:t>L. a Pilutti, D. Dlugonski, B.M. Sandroff, R. </w:t>
      </w:r>
      <w:proofErr w:type="spellStart"/>
      <w:r w:rsidR="006B3702" w:rsidRPr="006B3702">
        <w:rPr>
          <w:rFonts w:cstheme="minorHAnsi"/>
        </w:rPr>
        <w:t>Klaren</w:t>
      </w:r>
      <w:proofErr w:type="spellEnd"/>
      <w:r w:rsidR="006B3702" w:rsidRPr="006B3702">
        <w:rPr>
          <w:rFonts w:cstheme="minorHAnsi"/>
        </w:rPr>
        <w:t>, R.W. </w:t>
      </w:r>
      <w:proofErr w:type="spellStart"/>
      <w:r w:rsidR="006B3702" w:rsidRPr="006B3702">
        <w:rPr>
          <w:rFonts w:cstheme="minorHAnsi"/>
        </w:rPr>
        <w:t>Motl</w:t>
      </w:r>
      <w:proofErr w:type="spellEnd"/>
      <w:r w:rsidR="00451138">
        <w:rPr>
          <w:rFonts w:cstheme="minorHAnsi"/>
        </w:rPr>
        <w:t xml:space="preserve"> </w:t>
      </w:r>
      <w:r w:rsidR="006B3702" w:rsidRPr="006B3702">
        <w:rPr>
          <w:rFonts w:cstheme="minorHAnsi"/>
          <w:b/>
          <w:bCs/>
        </w:rPr>
        <w:t>Randomized controlled trial of a behavioral intervention targeting symptoms and physical activity in multiple sclerosis</w:t>
      </w:r>
      <w:r w:rsidR="00451138">
        <w:rPr>
          <w:rFonts w:cstheme="minorHAnsi"/>
          <w:b/>
          <w:bCs/>
        </w:rPr>
        <w:t xml:space="preserve"> </w:t>
      </w:r>
      <w:proofErr w:type="spellStart"/>
      <w:r w:rsidR="006B3702" w:rsidRPr="006B3702">
        <w:rPr>
          <w:rFonts w:cstheme="minorHAnsi"/>
        </w:rPr>
        <w:t>Mult</w:t>
      </w:r>
      <w:proofErr w:type="spellEnd"/>
      <w:r w:rsidR="006B3702" w:rsidRPr="006B3702">
        <w:rPr>
          <w:rFonts w:cstheme="minorHAnsi"/>
        </w:rPr>
        <w:t xml:space="preserve">. </w:t>
      </w:r>
      <w:proofErr w:type="spellStart"/>
      <w:r w:rsidR="006B3702" w:rsidRPr="006B3702">
        <w:rPr>
          <w:rFonts w:cstheme="minorHAnsi"/>
        </w:rPr>
        <w:t>Scler</w:t>
      </w:r>
      <w:proofErr w:type="spellEnd"/>
      <w:r w:rsidR="006B3702" w:rsidRPr="006B3702">
        <w:rPr>
          <w:rFonts w:cstheme="minorHAnsi"/>
        </w:rPr>
        <w:t>., 20 (5) (2014), pp. 594-601, </w:t>
      </w:r>
      <w:hyperlink r:id="rId124" w:tgtFrame="_blank" w:history="1">
        <w:r w:rsidR="006B3702" w:rsidRPr="006B3702">
          <w:rPr>
            <w:rStyle w:val="Hyperlink"/>
            <w:rFonts w:cstheme="minorHAnsi"/>
          </w:rPr>
          <w:t>10.1177/1352458513503391</w:t>
        </w:r>
      </w:hyperlink>
    </w:p>
    <w:p w14:paraId="633D6318" w14:textId="5F61B378" w:rsidR="006B3702" w:rsidRPr="006B3702" w:rsidRDefault="00513441" w:rsidP="00725144">
      <w:pPr>
        <w:spacing w:after="0"/>
        <w:ind w:left="720" w:hanging="720"/>
        <w:rPr>
          <w:rFonts w:cstheme="minorHAnsi"/>
        </w:rPr>
      </w:pPr>
      <w:hyperlink r:id="rId125" w:anchor="bbb0195" w:history="1">
        <w:r w:rsidR="006B3702" w:rsidRPr="006B3702">
          <w:rPr>
            <w:rStyle w:val="Hyperlink"/>
            <w:rFonts w:cstheme="minorHAnsi"/>
          </w:rPr>
          <w:t>[39]</w:t>
        </w:r>
      </w:hyperlink>
      <w:r w:rsidR="00451138">
        <w:rPr>
          <w:rFonts w:cstheme="minorHAnsi"/>
        </w:rPr>
        <w:t xml:space="preserve"> </w:t>
      </w:r>
      <w:r w:rsidR="006B3702" w:rsidRPr="006B3702">
        <w:rPr>
          <w:rFonts w:cstheme="minorHAnsi"/>
        </w:rPr>
        <w:t>J.J. Sosnoff, M. Finlayson, E. McAuley, S. Morrison, R.W. </w:t>
      </w:r>
      <w:proofErr w:type="spellStart"/>
      <w:r w:rsidR="006B3702" w:rsidRPr="006B3702">
        <w:rPr>
          <w:rFonts w:cstheme="minorHAnsi"/>
        </w:rPr>
        <w:t>Motl</w:t>
      </w:r>
      <w:proofErr w:type="spellEnd"/>
      <w:r w:rsidR="00451138">
        <w:rPr>
          <w:rFonts w:cstheme="minorHAnsi"/>
        </w:rPr>
        <w:t xml:space="preserve"> </w:t>
      </w:r>
      <w:r w:rsidR="006B3702" w:rsidRPr="006B3702">
        <w:rPr>
          <w:rFonts w:cstheme="minorHAnsi"/>
          <w:b/>
          <w:bCs/>
        </w:rPr>
        <w:t>Home-based exercise program and fall-risk reduction in older adults with multiple sclerosis: phase 1 randomized controlled trial</w:t>
      </w:r>
      <w:r w:rsidR="00451138">
        <w:rPr>
          <w:rFonts w:cstheme="minorHAnsi"/>
          <w:b/>
          <w:bCs/>
        </w:rPr>
        <w:t xml:space="preserve"> </w:t>
      </w:r>
      <w:r w:rsidR="006B3702" w:rsidRPr="006B3702">
        <w:rPr>
          <w:rFonts w:cstheme="minorHAnsi"/>
        </w:rPr>
        <w:t xml:space="preserve">Clin. </w:t>
      </w:r>
      <w:proofErr w:type="spellStart"/>
      <w:r w:rsidR="006B3702" w:rsidRPr="006B3702">
        <w:rPr>
          <w:rFonts w:cstheme="minorHAnsi"/>
        </w:rPr>
        <w:t>Rehabil</w:t>
      </w:r>
      <w:proofErr w:type="spellEnd"/>
      <w:r w:rsidR="006B3702" w:rsidRPr="006B3702">
        <w:rPr>
          <w:rFonts w:cstheme="minorHAnsi"/>
        </w:rPr>
        <w:t>., 28 (3) (2014), pp. 254-263, </w:t>
      </w:r>
      <w:hyperlink r:id="rId126" w:tgtFrame="_blank" w:history="1">
        <w:r w:rsidR="006B3702" w:rsidRPr="006B3702">
          <w:rPr>
            <w:rStyle w:val="Hyperlink"/>
            <w:rFonts w:cstheme="minorHAnsi"/>
          </w:rPr>
          <w:t>10.1177/0269215513501092</w:t>
        </w:r>
      </w:hyperlink>
    </w:p>
    <w:p w14:paraId="0D930C86" w14:textId="780033E5" w:rsidR="006B3702" w:rsidRPr="006B3702" w:rsidRDefault="00513441" w:rsidP="00725144">
      <w:pPr>
        <w:spacing w:after="0"/>
        <w:ind w:left="720" w:hanging="720"/>
        <w:rPr>
          <w:rFonts w:cstheme="minorHAnsi"/>
        </w:rPr>
      </w:pPr>
      <w:hyperlink r:id="rId127" w:anchor="bbb0200" w:history="1">
        <w:r w:rsidR="006B3702" w:rsidRPr="006B3702">
          <w:rPr>
            <w:rStyle w:val="Hyperlink"/>
            <w:rFonts w:cstheme="minorHAnsi"/>
          </w:rPr>
          <w:t>[40]</w:t>
        </w:r>
      </w:hyperlink>
      <w:r w:rsidR="00451138">
        <w:rPr>
          <w:rFonts w:cstheme="minorHAnsi"/>
        </w:rPr>
        <w:t xml:space="preserve"> </w:t>
      </w:r>
      <w:r w:rsidR="006B3702" w:rsidRPr="006B3702">
        <w:rPr>
          <w:rFonts w:cstheme="minorHAnsi"/>
        </w:rPr>
        <w:t>A. Carter, A. Daley, L. Humphreys, </w:t>
      </w:r>
      <w:r w:rsidR="006B3702" w:rsidRPr="006B3702">
        <w:rPr>
          <w:rFonts w:cstheme="minorHAnsi"/>
          <w:i/>
          <w:iCs/>
        </w:rPr>
        <w:t>et al.</w:t>
      </w:r>
      <w:r w:rsidR="00725144">
        <w:rPr>
          <w:rFonts w:cstheme="minorHAnsi"/>
          <w:i/>
          <w:iCs/>
        </w:rPr>
        <w:t xml:space="preserve"> </w:t>
      </w:r>
      <w:r w:rsidR="006B3702" w:rsidRPr="006B3702">
        <w:rPr>
          <w:rFonts w:cstheme="minorHAnsi"/>
          <w:b/>
          <w:bCs/>
        </w:rPr>
        <w:t xml:space="preserve">Pragmatic intervention for increasing self-directed exercise </w:t>
      </w:r>
      <w:proofErr w:type="spellStart"/>
      <w:r w:rsidR="006B3702" w:rsidRPr="006B3702">
        <w:rPr>
          <w:rFonts w:cstheme="minorHAnsi"/>
          <w:b/>
          <w:bCs/>
        </w:rPr>
        <w:t>behaviour</w:t>
      </w:r>
      <w:proofErr w:type="spellEnd"/>
      <w:r w:rsidR="006B3702" w:rsidRPr="006B3702">
        <w:rPr>
          <w:rFonts w:cstheme="minorHAnsi"/>
          <w:b/>
          <w:bCs/>
        </w:rPr>
        <w:t xml:space="preserve"> and improving important health outcomes in people with multiple sclerosis: a </w:t>
      </w:r>
      <w:proofErr w:type="spellStart"/>
      <w:r w:rsidR="006B3702" w:rsidRPr="006B3702">
        <w:rPr>
          <w:rFonts w:cstheme="minorHAnsi"/>
          <w:b/>
          <w:bCs/>
        </w:rPr>
        <w:t>randomised</w:t>
      </w:r>
      <w:proofErr w:type="spellEnd"/>
      <w:r w:rsidR="006B3702" w:rsidRPr="006B3702">
        <w:rPr>
          <w:rFonts w:cstheme="minorHAnsi"/>
          <w:b/>
          <w:bCs/>
        </w:rPr>
        <w:t xml:space="preserve"> controlled trial</w:t>
      </w:r>
      <w:r w:rsidR="00725144">
        <w:rPr>
          <w:rFonts w:cstheme="minorHAnsi"/>
          <w:b/>
          <w:bCs/>
        </w:rPr>
        <w:t xml:space="preserve"> </w:t>
      </w:r>
      <w:proofErr w:type="spellStart"/>
      <w:r w:rsidR="006B3702" w:rsidRPr="006B3702">
        <w:rPr>
          <w:rFonts w:cstheme="minorHAnsi"/>
        </w:rPr>
        <w:t>Mult</w:t>
      </w:r>
      <w:proofErr w:type="spellEnd"/>
      <w:r w:rsidR="006B3702" w:rsidRPr="006B3702">
        <w:rPr>
          <w:rFonts w:cstheme="minorHAnsi"/>
        </w:rPr>
        <w:t xml:space="preserve">. </w:t>
      </w:r>
      <w:proofErr w:type="spellStart"/>
      <w:r w:rsidR="006B3702" w:rsidRPr="006B3702">
        <w:rPr>
          <w:rFonts w:cstheme="minorHAnsi"/>
        </w:rPr>
        <w:t>Scler</w:t>
      </w:r>
      <w:proofErr w:type="spellEnd"/>
      <w:r w:rsidR="006B3702" w:rsidRPr="006B3702">
        <w:rPr>
          <w:rFonts w:cstheme="minorHAnsi"/>
        </w:rPr>
        <w:t>. J., 20 (8) (2014), pp. 1112-1122, </w:t>
      </w:r>
      <w:hyperlink r:id="rId128" w:tgtFrame="_blank" w:history="1">
        <w:r w:rsidR="006B3702" w:rsidRPr="006B3702">
          <w:rPr>
            <w:rStyle w:val="Hyperlink"/>
            <w:rFonts w:cstheme="minorHAnsi"/>
          </w:rPr>
          <w:t>10.1177/1352458513519354</w:t>
        </w:r>
      </w:hyperlink>
    </w:p>
    <w:p w14:paraId="65BD7544" w14:textId="12DD3CA6" w:rsidR="006B3702" w:rsidRPr="006B3702" w:rsidRDefault="00513441" w:rsidP="00725144">
      <w:pPr>
        <w:spacing w:after="0"/>
        <w:ind w:left="720" w:hanging="720"/>
        <w:rPr>
          <w:rFonts w:cstheme="minorHAnsi"/>
        </w:rPr>
      </w:pPr>
      <w:hyperlink r:id="rId129" w:anchor="bbb0205" w:history="1">
        <w:r w:rsidR="006B3702" w:rsidRPr="006B3702">
          <w:rPr>
            <w:rStyle w:val="Hyperlink"/>
            <w:rFonts w:cstheme="minorHAnsi"/>
          </w:rPr>
          <w:t>[41]</w:t>
        </w:r>
      </w:hyperlink>
      <w:r w:rsidR="00725144">
        <w:rPr>
          <w:rFonts w:cstheme="minorHAnsi"/>
        </w:rPr>
        <w:t xml:space="preserve"> </w:t>
      </w:r>
      <w:r w:rsidR="006B3702" w:rsidRPr="006B3702">
        <w:rPr>
          <w:rFonts w:cstheme="minorHAnsi"/>
        </w:rPr>
        <w:t>D.M. Ehde, J.L. Elzea, A.M. Verrall, L.E. Gibbons, A.E. Smith, D. </w:t>
      </w:r>
      <w:proofErr w:type="spellStart"/>
      <w:r w:rsidR="006B3702" w:rsidRPr="006B3702">
        <w:rPr>
          <w:rFonts w:cstheme="minorHAnsi"/>
        </w:rPr>
        <w:t>Amtmann</w:t>
      </w:r>
      <w:proofErr w:type="spellEnd"/>
      <w:r w:rsidR="00725144">
        <w:rPr>
          <w:rFonts w:cstheme="minorHAnsi"/>
        </w:rPr>
        <w:t xml:space="preserve"> </w:t>
      </w:r>
      <w:r w:rsidR="006B3702" w:rsidRPr="006B3702">
        <w:rPr>
          <w:rFonts w:cstheme="minorHAnsi"/>
          <w:b/>
          <w:bCs/>
        </w:rPr>
        <w:t>Efficacy of a telephone-delivered self-management intervention for persons with multiple sclerosis: a randomized controlled trial with a one-year follow-up</w:t>
      </w:r>
      <w:r w:rsidR="00725144">
        <w:rPr>
          <w:rFonts w:cstheme="minorHAnsi"/>
          <w:b/>
          <w:bCs/>
        </w:rPr>
        <w:t xml:space="preserve"> </w:t>
      </w:r>
      <w:r w:rsidR="006B3702" w:rsidRPr="006B3702">
        <w:rPr>
          <w:rFonts w:cstheme="minorHAnsi"/>
        </w:rPr>
        <w:t xml:space="preserve">Arch. Phys. Med. </w:t>
      </w:r>
      <w:proofErr w:type="spellStart"/>
      <w:r w:rsidR="006B3702" w:rsidRPr="006B3702">
        <w:rPr>
          <w:rFonts w:cstheme="minorHAnsi"/>
        </w:rPr>
        <w:t>Rehabil</w:t>
      </w:r>
      <w:proofErr w:type="spellEnd"/>
      <w:r w:rsidR="006B3702" w:rsidRPr="006B3702">
        <w:rPr>
          <w:rFonts w:cstheme="minorHAnsi"/>
        </w:rPr>
        <w:t>., 96 (11) (2015), pp. 1945-1958, </w:t>
      </w:r>
      <w:hyperlink r:id="rId130" w:tgtFrame="_blank" w:history="1">
        <w:r w:rsidR="006B3702" w:rsidRPr="006B3702">
          <w:rPr>
            <w:rStyle w:val="Hyperlink"/>
            <w:rFonts w:cstheme="minorHAnsi"/>
          </w:rPr>
          <w:t>10.1016/j.apmr.2015.07.015</w:t>
        </w:r>
      </w:hyperlink>
    </w:p>
    <w:p w14:paraId="20E9FEDE" w14:textId="6EF874EC" w:rsidR="006B3702" w:rsidRPr="006B3702" w:rsidRDefault="00513441" w:rsidP="00725144">
      <w:pPr>
        <w:spacing w:after="0"/>
        <w:ind w:left="720" w:hanging="720"/>
        <w:rPr>
          <w:rFonts w:cstheme="minorHAnsi"/>
        </w:rPr>
      </w:pPr>
      <w:hyperlink r:id="rId131" w:anchor="bbb0210" w:history="1">
        <w:r w:rsidR="006B3702" w:rsidRPr="006B3702">
          <w:rPr>
            <w:rStyle w:val="Hyperlink"/>
            <w:rFonts w:cstheme="minorHAnsi"/>
          </w:rPr>
          <w:t>[42]</w:t>
        </w:r>
      </w:hyperlink>
      <w:r w:rsidR="00725144">
        <w:rPr>
          <w:rFonts w:cstheme="minorHAnsi"/>
        </w:rPr>
        <w:t xml:space="preserve"> </w:t>
      </w:r>
      <w:r w:rsidR="006B3702" w:rsidRPr="006B3702">
        <w:rPr>
          <w:rFonts w:cstheme="minorHAnsi"/>
        </w:rPr>
        <w:t>A.M. Wood, I.R. White, S.G. Thompson</w:t>
      </w:r>
      <w:r w:rsidR="00725144">
        <w:rPr>
          <w:rFonts w:cstheme="minorHAnsi"/>
        </w:rPr>
        <w:t xml:space="preserve"> </w:t>
      </w:r>
      <w:r w:rsidR="006B3702" w:rsidRPr="006B3702">
        <w:rPr>
          <w:rFonts w:cstheme="minorHAnsi"/>
          <w:b/>
          <w:bCs/>
        </w:rPr>
        <w:t>Are missing outcome data adequately handled? A review of published randomized controlled trials in major medical journals</w:t>
      </w:r>
      <w:r w:rsidR="00725144">
        <w:rPr>
          <w:rFonts w:cstheme="minorHAnsi"/>
          <w:b/>
          <w:bCs/>
        </w:rPr>
        <w:t xml:space="preserve"> </w:t>
      </w:r>
      <w:r w:rsidR="006B3702" w:rsidRPr="006B3702">
        <w:rPr>
          <w:rFonts w:cstheme="minorHAnsi"/>
        </w:rPr>
        <w:t>Clin. Trials, 1 (4) (2004), pp. 368-376, </w:t>
      </w:r>
      <w:hyperlink r:id="rId132" w:tgtFrame="_blank" w:history="1">
        <w:r w:rsidR="006B3702" w:rsidRPr="006B3702">
          <w:rPr>
            <w:rStyle w:val="Hyperlink"/>
            <w:rFonts w:cstheme="minorHAnsi"/>
          </w:rPr>
          <w:t>10.1191/1740774504cn032oa</w:t>
        </w:r>
      </w:hyperlink>
    </w:p>
    <w:p w14:paraId="4D052D6A" w14:textId="6145DA99" w:rsidR="006B3702" w:rsidRPr="006B3702" w:rsidRDefault="00513441" w:rsidP="00725144">
      <w:pPr>
        <w:spacing w:after="0"/>
        <w:ind w:left="720" w:hanging="720"/>
        <w:rPr>
          <w:rFonts w:cstheme="minorHAnsi"/>
        </w:rPr>
      </w:pPr>
      <w:hyperlink r:id="rId133" w:anchor="bbb0215" w:history="1">
        <w:r w:rsidR="006B3702" w:rsidRPr="006B3702">
          <w:rPr>
            <w:rStyle w:val="Hyperlink"/>
            <w:rFonts w:cstheme="minorHAnsi"/>
          </w:rPr>
          <w:t>[43]</w:t>
        </w:r>
      </w:hyperlink>
      <w:r w:rsidR="00725144">
        <w:rPr>
          <w:rFonts w:cstheme="minorHAnsi"/>
        </w:rPr>
        <w:t xml:space="preserve"> </w:t>
      </w:r>
      <w:r w:rsidR="006B3702" w:rsidRPr="006B3702">
        <w:rPr>
          <w:rFonts w:cstheme="minorHAnsi"/>
        </w:rPr>
        <w:t xml:space="preserve">Joachim Mocks, Walter Kohler, Martin Scott, Joerg Maurer, S.G. Michael </w:t>
      </w:r>
      <w:proofErr w:type="spellStart"/>
      <w:r w:rsidR="006B3702" w:rsidRPr="006B3702">
        <w:rPr>
          <w:rFonts w:cstheme="minorHAnsi"/>
        </w:rPr>
        <w:t>Budde</w:t>
      </w:r>
      <w:proofErr w:type="spellEnd"/>
      <w:r w:rsidR="00725144">
        <w:rPr>
          <w:rFonts w:cstheme="minorHAnsi"/>
        </w:rPr>
        <w:t xml:space="preserve"> </w:t>
      </w:r>
      <w:r w:rsidR="006B3702" w:rsidRPr="006B3702">
        <w:rPr>
          <w:rFonts w:cstheme="minorHAnsi"/>
          <w:b/>
          <w:bCs/>
        </w:rPr>
        <w:t xml:space="preserve">Dealing with selective dropout in </w:t>
      </w:r>
      <w:proofErr w:type="spellStart"/>
      <w:r w:rsidR="006B3702" w:rsidRPr="006B3702">
        <w:rPr>
          <w:rFonts w:cstheme="minorHAnsi"/>
          <w:b/>
          <w:bCs/>
        </w:rPr>
        <w:t>clinicaltrials</w:t>
      </w:r>
      <w:proofErr w:type="spellEnd"/>
      <w:r w:rsidR="00725144">
        <w:rPr>
          <w:rFonts w:cstheme="minorHAnsi"/>
          <w:b/>
          <w:bCs/>
        </w:rPr>
        <w:t xml:space="preserve"> </w:t>
      </w:r>
      <w:r w:rsidR="006B3702" w:rsidRPr="006B3702">
        <w:rPr>
          <w:rFonts w:cstheme="minorHAnsi"/>
        </w:rPr>
        <w:t>Pharm. Stat., 1 (2002), pp. 119-130</w:t>
      </w:r>
    </w:p>
    <w:p w14:paraId="57CB06A7" w14:textId="581F3209" w:rsidR="006B3702" w:rsidRPr="006B3702" w:rsidRDefault="00513441" w:rsidP="00725144">
      <w:pPr>
        <w:spacing w:after="0"/>
        <w:ind w:left="720" w:hanging="720"/>
        <w:rPr>
          <w:rFonts w:cstheme="minorHAnsi"/>
        </w:rPr>
      </w:pPr>
      <w:hyperlink r:id="rId134" w:anchor="bbb0220" w:history="1">
        <w:r w:rsidR="006B3702" w:rsidRPr="006B3702">
          <w:rPr>
            <w:rStyle w:val="Hyperlink"/>
            <w:rFonts w:cstheme="minorHAnsi"/>
          </w:rPr>
          <w:t>[44]</w:t>
        </w:r>
      </w:hyperlink>
      <w:r w:rsidR="00725144">
        <w:rPr>
          <w:rFonts w:cstheme="minorHAnsi"/>
        </w:rPr>
        <w:t xml:space="preserve"> </w:t>
      </w:r>
      <w:r w:rsidR="006B3702" w:rsidRPr="006B3702">
        <w:rPr>
          <w:rFonts w:cstheme="minorHAnsi"/>
        </w:rPr>
        <w:t>L.A. </w:t>
      </w:r>
      <w:proofErr w:type="spellStart"/>
      <w:r w:rsidR="006B3702" w:rsidRPr="006B3702">
        <w:rPr>
          <w:rFonts w:cstheme="minorHAnsi"/>
        </w:rPr>
        <w:t>Pilutti</w:t>
      </w:r>
      <w:proofErr w:type="spellEnd"/>
      <w:r w:rsidR="006B3702" w:rsidRPr="006B3702">
        <w:rPr>
          <w:rFonts w:cstheme="minorHAnsi"/>
        </w:rPr>
        <w:t>, M.E. </w:t>
      </w:r>
      <w:proofErr w:type="spellStart"/>
      <w:r w:rsidR="006B3702" w:rsidRPr="006B3702">
        <w:rPr>
          <w:rFonts w:cstheme="minorHAnsi"/>
        </w:rPr>
        <w:t>Platta</w:t>
      </w:r>
      <w:proofErr w:type="spellEnd"/>
      <w:r w:rsidR="006B3702" w:rsidRPr="006B3702">
        <w:rPr>
          <w:rFonts w:cstheme="minorHAnsi"/>
        </w:rPr>
        <w:t>, R.W. </w:t>
      </w:r>
      <w:proofErr w:type="spellStart"/>
      <w:r w:rsidR="006B3702" w:rsidRPr="006B3702">
        <w:rPr>
          <w:rFonts w:cstheme="minorHAnsi"/>
        </w:rPr>
        <w:t>Motl</w:t>
      </w:r>
      <w:proofErr w:type="spellEnd"/>
      <w:r w:rsidR="006B3702" w:rsidRPr="006B3702">
        <w:rPr>
          <w:rFonts w:cstheme="minorHAnsi"/>
        </w:rPr>
        <w:t>, A.E. Latimer-Cheung</w:t>
      </w:r>
      <w:r w:rsidR="00725144">
        <w:rPr>
          <w:rFonts w:cstheme="minorHAnsi"/>
        </w:rPr>
        <w:t xml:space="preserve"> </w:t>
      </w:r>
      <w:r w:rsidR="006B3702" w:rsidRPr="006B3702">
        <w:rPr>
          <w:rFonts w:cstheme="minorHAnsi"/>
          <w:b/>
          <w:bCs/>
        </w:rPr>
        <w:t>The safety of exercise training in multiple sclerosis: a systematic review</w:t>
      </w:r>
      <w:r w:rsidR="00725144">
        <w:rPr>
          <w:rFonts w:cstheme="minorHAnsi"/>
          <w:b/>
          <w:bCs/>
        </w:rPr>
        <w:t xml:space="preserve"> </w:t>
      </w:r>
      <w:r w:rsidR="006B3702" w:rsidRPr="006B3702">
        <w:rPr>
          <w:rFonts w:cstheme="minorHAnsi"/>
        </w:rPr>
        <w:t>J. Neurol. Sci., 343 (1–2) (2014), pp. 3-7, </w:t>
      </w:r>
      <w:hyperlink r:id="rId135" w:tgtFrame="_blank" w:history="1">
        <w:r w:rsidR="006B3702" w:rsidRPr="006B3702">
          <w:rPr>
            <w:rStyle w:val="Hyperlink"/>
            <w:rFonts w:cstheme="minorHAnsi"/>
          </w:rPr>
          <w:t>10.1016/j.jns.2014.05.016</w:t>
        </w:r>
      </w:hyperlink>
    </w:p>
    <w:p w14:paraId="57A7168D" w14:textId="45B6C112" w:rsidR="006B3702" w:rsidRPr="006B3702" w:rsidRDefault="00513441" w:rsidP="00725144">
      <w:pPr>
        <w:spacing w:after="0"/>
        <w:ind w:left="720" w:hanging="720"/>
        <w:rPr>
          <w:rFonts w:cstheme="minorHAnsi"/>
        </w:rPr>
      </w:pPr>
      <w:hyperlink r:id="rId136" w:anchor="bbb0225" w:history="1">
        <w:r w:rsidR="006B3702" w:rsidRPr="006B3702">
          <w:rPr>
            <w:rStyle w:val="Hyperlink"/>
            <w:rFonts w:cstheme="minorHAnsi"/>
          </w:rPr>
          <w:t>[45]</w:t>
        </w:r>
      </w:hyperlink>
      <w:r w:rsidR="00725144">
        <w:rPr>
          <w:rFonts w:cstheme="minorHAnsi"/>
        </w:rPr>
        <w:t xml:space="preserve"> </w:t>
      </w:r>
      <w:r w:rsidR="006B3702" w:rsidRPr="006B3702">
        <w:rPr>
          <w:rFonts w:cstheme="minorHAnsi"/>
        </w:rPr>
        <w:t>C.V.L. Teixeira, S. Gobbi, J.R. Pereira, D.T. Ueno, R. </w:t>
      </w:r>
      <w:proofErr w:type="spellStart"/>
      <w:r w:rsidR="006B3702" w:rsidRPr="006B3702">
        <w:rPr>
          <w:rFonts w:cstheme="minorHAnsi"/>
        </w:rPr>
        <w:t>Shigematsu</w:t>
      </w:r>
      <w:proofErr w:type="spellEnd"/>
      <w:r w:rsidR="006B3702" w:rsidRPr="006B3702">
        <w:rPr>
          <w:rFonts w:cstheme="minorHAnsi"/>
        </w:rPr>
        <w:t>, L.T.B. </w:t>
      </w:r>
      <w:proofErr w:type="spellStart"/>
      <w:r w:rsidR="006B3702" w:rsidRPr="006B3702">
        <w:rPr>
          <w:rFonts w:cstheme="minorHAnsi"/>
        </w:rPr>
        <w:t>Gobbi</w:t>
      </w:r>
      <w:proofErr w:type="spellEnd"/>
      <w:r w:rsidR="00725144">
        <w:rPr>
          <w:rFonts w:cstheme="minorHAnsi"/>
        </w:rPr>
        <w:t xml:space="preserve"> </w:t>
      </w:r>
      <w:r w:rsidR="006B3702" w:rsidRPr="006B3702">
        <w:rPr>
          <w:rFonts w:cstheme="minorHAnsi"/>
          <w:b/>
          <w:bCs/>
        </w:rPr>
        <w:t>Effect of square-stepping exercise and basic exercises on functional fitness of older adults</w:t>
      </w:r>
      <w:r w:rsidR="00725144">
        <w:rPr>
          <w:rFonts w:cstheme="minorHAnsi"/>
          <w:b/>
          <w:bCs/>
        </w:rPr>
        <w:t xml:space="preserve"> </w:t>
      </w:r>
      <w:proofErr w:type="spellStart"/>
      <w:r w:rsidR="006B3702" w:rsidRPr="006B3702">
        <w:rPr>
          <w:rFonts w:cstheme="minorHAnsi"/>
        </w:rPr>
        <w:t>Geriatr</w:t>
      </w:r>
      <w:proofErr w:type="spellEnd"/>
      <w:r w:rsidR="006B3702" w:rsidRPr="006B3702">
        <w:rPr>
          <w:rFonts w:cstheme="minorHAnsi"/>
        </w:rPr>
        <w:t xml:space="preserve"> </w:t>
      </w:r>
      <w:proofErr w:type="spellStart"/>
      <w:r w:rsidR="006B3702" w:rsidRPr="006B3702">
        <w:rPr>
          <w:rFonts w:cstheme="minorHAnsi"/>
        </w:rPr>
        <w:t>Gerontol</w:t>
      </w:r>
      <w:proofErr w:type="spellEnd"/>
      <w:r w:rsidR="006B3702" w:rsidRPr="006B3702">
        <w:rPr>
          <w:rFonts w:cstheme="minorHAnsi"/>
        </w:rPr>
        <w:t xml:space="preserve"> Int, 13 (4) (2013), pp. 842-848, </w:t>
      </w:r>
      <w:hyperlink r:id="rId137" w:tgtFrame="_blank" w:history="1">
        <w:r w:rsidR="006B3702" w:rsidRPr="006B3702">
          <w:rPr>
            <w:rStyle w:val="Hyperlink"/>
            <w:rFonts w:cstheme="minorHAnsi"/>
          </w:rPr>
          <w:t>10.1111/ggi.12011</w:t>
        </w:r>
      </w:hyperlink>
    </w:p>
    <w:p w14:paraId="4BF83A39" w14:textId="3FDF31E1" w:rsidR="006B3702" w:rsidRPr="006B3702" w:rsidRDefault="00513441" w:rsidP="00725144">
      <w:pPr>
        <w:spacing w:after="0"/>
        <w:ind w:left="720" w:hanging="720"/>
        <w:rPr>
          <w:rFonts w:cstheme="minorHAnsi"/>
        </w:rPr>
      </w:pPr>
      <w:hyperlink r:id="rId138" w:anchor="bbb0230" w:history="1">
        <w:r w:rsidR="006B3702" w:rsidRPr="006B3702">
          <w:rPr>
            <w:rStyle w:val="Hyperlink"/>
            <w:rFonts w:cstheme="minorHAnsi"/>
          </w:rPr>
          <w:t>[46]</w:t>
        </w:r>
      </w:hyperlink>
      <w:r w:rsidR="00725144">
        <w:rPr>
          <w:rFonts w:cstheme="minorHAnsi"/>
        </w:rPr>
        <w:t xml:space="preserve"> </w:t>
      </w:r>
      <w:r w:rsidR="006B3702" w:rsidRPr="006B3702">
        <w:rPr>
          <w:rFonts w:cstheme="minorHAnsi"/>
        </w:rPr>
        <w:t>G. Charlesworth, K. Burnell, J. Hoe, M. Orrell, I. Russell</w:t>
      </w:r>
      <w:r w:rsidR="00725144">
        <w:rPr>
          <w:rFonts w:cstheme="minorHAnsi"/>
        </w:rPr>
        <w:t xml:space="preserve"> </w:t>
      </w:r>
      <w:r w:rsidR="006B3702" w:rsidRPr="006B3702">
        <w:rPr>
          <w:rFonts w:cstheme="minorHAnsi"/>
          <w:b/>
          <w:bCs/>
        </w:rPr>
        <w:t>Acceptance checklist for clinical effectiveness pilot trials: a systematic approach</w:t>
      </w:r>
      <w:r w:rsidR="00725144">
        <w:rPr>
          <w:rFonts w:cstheme="minorHAnsi"/>
          <w:b/>
          <w:bCs/>
        </w:rPr>
        <w:t xml:space="preserve"> </w:t>
      </w:r>
      <w:r w:rsidR="006B3702" w:rsidRPr="006B3702">
        <w:rPr>
          <w:rFonts w:cstheme="minorHAnsi"/>
        </w:rPr>
        <w:t xml:space="preserve">BMC Med. Res. </w:t>
      </w:r>
      <w:proofErr w:type="spellStart"/>
      <w:r w:rsidR="006B3702" w:rsidRPr="006B3702">
        <w:rPr>
          <w:rFonts w:cstheme="minorHAnsi"/>
        </w:rPr>
        <w:t>Methodol</w:t>
      </w:r>
      <w:proofErr w:type="spellEnd"/>
      <w:r w:rsidR="006B3702" w:rsidRPr="006B3702">
        <w:rPr>
          <w:rFonts w:cstheme="minorHAnsi"/>
        </w:rPr>
        <w:t>., 13 (1) (2013), p. 78, </w:t>
      </w:r>
      <w:hyperlink r:id="rId139" w:tgtFrame="_blank" w:history="1">
        <w:r w:rsidR="006B3702" w:rsidRPr="006B3702">
          <w:rPr>
            <w:rStyle w:val="Hyperlink"/>
            <w:rFonts w:cstheme="minorHAnsi"/>
          </w:rPr>
          <w:t>10.1186/1471-2288-13-78</w:t>
        </w:r>
      </w:hyperlink>
    </w:p>
    <w:p w14:paraId="5F17C3DA" w14:textId="77777777" w:rsidR="00E33C63" w:rsidRPr="00E33C63" w:rsidRDefault="00E33C63" w:rsidP="00E33C63">
      <w:pPr>
        <w:rPr>
          <w:rFonts w:cstheme="minorHAnsi"/>
        </w:rPr>
      </w:pPr>
    </w:p>
    <w:sectPr w:rsidR="00E33C63" w:rsidRPr="00E33C6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73913"/>
    <w:multiLevelType w:val="multilevel"/>
    <w:tmpl w:val="A1828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253E46"/>
    <w:multiLevelType w:val="multilevel"/>
    <w:tmpl w:val="8116D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CE202B"/>
    <w:multiLevelType w:val="multilevel"/>
    <w:tmpl w:val="B4D62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3B95EFD"/>
    <w:multiLevelType w:val="multilevel"/>
    <w:tmpl w:val="A1942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xAGpiz2Z3+128jS37kgQGvUB2ztCnU6nJsXhiW4ZuPYU54RaSgI8X2zAkYpeHiW/GFbSblOBNKRaR7a8GFvoog==" w:salt="S4se0UvEDNrqEwxNn+C+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116A"/>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4710D"/>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4E0A"/>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380"/>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1138"/>
    <w:rsid w:val="00453D2C"/>
    <w:rsid w:val="00454851"/>
    <w:rsid w:val="00456070"/>
    <w:rsid w:val="00456B26"/>
    <w:rsid w:val="004570E7"/>
    <w:rsid w:val="00460A1D"/>
    <w:rsid w:val="004613DF"/>
    <w:rsid w:val="00461BB2"/>
    <w:rsid w:val="00462E76"/>
    <w:rsid w:val="00463F96"/>
    <w:rsid w:val="004660BE"/>
    <w:rsid w:val="0046696C"/>
    <w:rsid w:val="00466DD7"/>
    <w:rsid w:val="00471F7D"/>
    <w:rsid w:val="00473B19"/>
    <w:rsid w:val="00474CB3"/>
    <w:rsid w:val="00474ECD"/>
    <w:rsid w:val="004757B5"/>
    <w:rsid w:val="004808C1"/>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44B5"/>
    <w:rsid w:val="004E528B"/>
    <w:rsid w:val="004F146C"/>
    <w:rsid w:val="004F1F3C"/>
    <w:rsid w:val="0050408D"/>
    <w:rsid w:val="00504C6A"/>
    <w:rsid w:val="00510364"/>
    <w:rsid w:val="005116C9"/>
    <w:rsid w:val="00511BEE"/>
    <w:rsid w:val="00513441"/>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430"/>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702"/>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144"/>
    <w:rsid w:val="007258CB"/>
    <w:rsid w:val="00730E29"/>
    <w:rsid w:val="00732FF6"/>
    <w:rsid w:val="00735393"/>
    <w:rsid w:val="007373E6"/>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26FC"/>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4D4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0873"/>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3A9"/>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3769"/>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0601"/>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293B"/>
    <w:rsid w:val="00DF6125"/>
    <w:rsid w:val="00E13E05"/>
    <w:rsid w:val="00E15784"/>
    <w:rsid w:val="00E16734"/>
    <w:rsid w:val="00E179BE"/>
    <w:rsid w:val="00E20401"/>
    <w:rsid w:val="00E264D8"/>
    <w:rsid w:val="00E319F9"/>
    <w:rsid w:val="00E331C7"/>
    <w:rsid w:val="00E33C63"/>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4E8E"/>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7B26FC"/>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B26FC"/>
    <w:rPr>
      <w:color w:val="800080"/>
      <w:u w:val="single"/>
    </w:rPr>
  </w:style>
  <w:style w:type="paragraph" w:customStyle="1" w:styleId="previous">
    <w:name w:val="previous"/>
    <w:basedOn w:val="Normal"/>
    <w:rsid w:val="007B26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7B26FC"/>
  </w:style>
  <w:style w:type="character" w:customStyle="1" w:styleId="extra-detail-1">
    <w:name w:val="extra-detail-1"/>
    <w:basedOn w:val="DefaultParagraphFont"/>
    <w:rsid w:val="007B26FC"/>
  </w:style>
  <w:style w:type="character" w:customStyle="1" w:styleId="extra-detail-2">
    <w:name w:val="extra-detail-2"/>
    <w:basedOn w:val="DefaultParagraphFont"/>
    <w:rsid w:val="007B26FC"/>
  </w:style>
  <w:style w:type="paragraph" w:customStyle="1" w:styleId="next">
    <w:name w:val="next"/>
    <w:basedOn w:val="Normal"/>
    <w:rsid w:val="007B26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7B26FC"/>
  </w:style>
  <w:style w:type="character" w:customStyle="1" w:styleId="label">
    <w:name w:val="label"/>
    <w:basedOn w:val="DefaultParagraphFont"/>
    <w:rsid w:val="007B26FC"/>
  </w:style>
  <w:style w:type="character" w:customStyle="1" w:styleId="anchor-text">
    <w:name w:val="anchor-text"/>
    <w:basedOn w:val="DefaultParagraphFont"/>
    <w:rsid w:val="007B26FC"/>
  </w:style>
  <w:style w:type="character" w:customStyle="1" w:styleId="download-link-title">
    <w:name w:val="download-link-title"/>
    <w:basedOn w:val="DefaultParagraphFont"/>
    <w:rsid w:val="007B26FC"/>
  </w:style>
  <w:style w:type="paragraph" w:customStyle="1" w:styleId="legend">
    <w:name w:val="legend"/>
    <w:basedOn w:val="Normal"/>
    <w:rsid w:val="007B26FC"/>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B3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397772">
      <w:bodyDiv w:val="1"/>
      <w:marLeft w:val="0"/>
      <w:marRight w:val="0"/>
      <w:marTop w:val="0"/>
      <w:marBottom w:val="0"/>
      <w:divBdr>
        <w:top w:val="none" w:sz="0" w:space="0" w:color="auto"/>
        <w:left w:val="none" w:sz="0" w:space="0" w:color="auto"/>
        <w:bottom w:val="none" w:sz="0" w:space="0" w:color="auto"/>
        <w:right w:val="none" w:sz="0" w:space="0" w:color="auto"/>
      </w:divBdr>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838623169">
      <w:bodyDiv w:val="1"/>
      <w:marLeft w:val="0"/>
      <w:marRight w:val="0"/>
      <w:marTop w:val="0"/>
      <w:marBottom w:val="0"/>
      <w:divBdr>
        <w:top w:val="none" w:sz="0" w:space="0" w:color="auto"/>
        <w:left w:val="none" w:sz="0" w:space="0" w:color="auto"/>
        <w:bottom w:val="none" w:sz="0" w:space="0" w:color="auto"/>
        <w:right w:val="none" w:sz="0" w:space="0" w:color="auto"/>
      </w:divBdr>
      <w:divsChild>
        <w:div w:id="1263490292">
          <w:marLeft w:val="0"/>
          <w:marRight w:val="0"/>
          <w:marTop w:val="0"/>
          <w:marBottom w:val="0"/>
          <w:divBdr>
            <w:top w:val="none" w:sz="0" w:space="0" w:color="auto"/>
            <w:left w:val="none" w:sz="0" w:space="0" w:color="auto"/>
            <w:bottom w:val="none" w:sz="0" w:space="0" w:color="auto"/>
            <w:right w:val="none" w:sz="0" w:space="0" w:color="auto"/>
          </w:divBdr>
        </w:div>
        <w:div w:id="753861428">
          <w:marLeft w:val="0"/>
          <w:marRight w:val="0"/>
          <w:marTop w:val="0"/>
          <w:marBottom w:val="0"/>
          <w:divBdr>
            <w:top w:val="none" w:sz="0" w:space="0" w:color="auto"/>
            <w:left w:val="none" w:sz="0" w:space="0" w:color="auto"/>
            <w:bottom w:val="none" w:sz="0" w:space="0" w:color="auto"/>
            <w:right w:val="none" w:sz="0" w:space="0" w:color="auto"/>
          </w:divBdr>
        </w:div>
        <w:div w:id="1491871555">
          <w:marLeft w:val="0"/>
          <w:marRight w:val="0"/>
          <w:marTop w:val="0"/>
          <w:marBottom w:val="0"/>
          <w:divBdr>
            <w:top w:val="none" w:sz="0" w:space="0" w:color="auto"/>
            <w:left w:val="none" w:sz="0" w:space="0" w:color="auto"/>
            <w:bottom w:val="none" w:sz="0" w:space="0" w:color="auto"/>
            <w:right w:val="none" w:sz="0" w:space="0" w:color="auto"/>
          </w:divBdr>
        </w:div>
        <w:div w:id="988170400">
          <w:marLeft w:val="0"/>
          <w:marRight w:val="0"/>
          <w:marTop w:val="0"/>
          <w:marBottom w:val="0"/>
          <w:divBdr>
            <w:top w:val="none" w:sz="0" w:space="0" w:color="auto"/>
            <w:left w:val="none" w:sz="0" w:space="0" w:color="auto"/>
            <w:bottom w:val="none" w:sz="0" w:space="0" w:color="auto"/>
            <w:right w:val="none" w:sz="0" w:space="0" w:color="auto"/>
          </w:divBdr>
        </w:div>
        <w:div w:id="813060895">
          <w:marLeft w:val="0"/>
          <w:marRight w:val="0"/>
          <w:marTop w:val="0"/>
          <w:marBottom w:val="0"/>
          <w:divBdr>
            <w:top w:val="none" w:sz="0" w:space="0" w:color="auto"/>
            <w:left w:val="none" w:sz="0" w:space="0" w:color="auto"/>
            <w:bottom w:val="none" w:sz="0" w:space="0" w:color="auto"/>
            <w:right w:val="none" w:sz="0" w:space="0" w:color="auto"/>
          </w:divBdr>
        </w:div>
        <w:div w:id="2115317902">
          <w:marLeft w:val="0"/>
          <w:marRight w:val="0"/>
          <w:marTop w:val="0"/>
          <w:marBottom w:val="0"/>
          <w:divBdr>
            <w:top w:val="none" w:sz="0" w:space="0" w:color="auto"/>
            <w:left w:val="none" w:sz="0" w:space="0" w:color="auto"/>
            <w:bottom w:val="none" w:sz="0" w:space="0" w:color="auto"/>
            <w:right w:val="none" w:sz="0" w:space="0" w:color="auto"/>
          </w:divBdr>
        </w:div>
        <w:div w:id="1162546311">
          <w:marLeft w:val="0"/>
          <w:marRight w:val="0"/>
          <w:marTop w:val="0"/>
          <w:marBottom w:val="0"/>
          <w:divBdr>
            <w:top w:val="none" w:sz="0" w:space="0" w:color="auto"/>
            <w:left w:val="none" w:sz="0" w:space="0" w:color="auto"/>
            <w:bottom w:val="none" w:sz="0" w:space="0" w:color="auto"/>
            <w:right w:val="none" w:sz="0" w:space="0" w:color="auto"/>
          </w:divBdr>
        </w:div>
        <w:div w:id="536549878">
          <w:marLeft w:val="0"/>
          <w:marRight w:val="0"/>
          <w:marTop w:val="0"/>
          <w:marBottom w:val="0"/>
          <w:divBdr>
            <w:top w:val="none" w:sz="0" w:space="0" w:color="auto"/>
            <w:left w:val="none" w:sz="0" w:space="0" w:color="auto"/>
            <w:bottom w:val="none" w:sz="0" w:space="0" w:color="auto"/>
            <w:right w:val="none" w:sz="0" w:space="0" w:color="auto"/>
          </w:divBdr>
        </w:div>
        <w:div w:id="174081074">
          <w:marLeft w:val="0"/>
          <w:marRight w:val="0"/>
          <w:marTop w:val="0"/>
          <w:marBottom w:val="0"/>
          <w:divBdr>
            <w:top w:val="none" w:sz="0" w:space="0" w:color="auto"/>
            <w:left w:val="none" w:sz="0" w:space="0" w:color="auto"/>
            <w:bottom w:val="none" w:sz="0" w:space="0" w:color="auto"/>
            <w:right w:val="none" w:sz="0" w:space="0" w:color="auto"/>
          </w:divBdr>
        </w:div>
        <w:div w:id="1637373711">
          <w:marLeft w:val="0"/>
          <w:marRight w:val="0"/>
          <w:marTop w:val="0"/>
          <w:marBottom w:val="0"/>
          <w:divBdr>
            <w:top w:val="none" w:sz="0" w:space="0" w:color="auto"/>
            <w:left w:val="none" w:sz="0" w:space="0" w:color="auto"/>
            <w:bottom w:val="none" w:sz="0" w:space="0" w:color="auto"/>
            <w:right w:val="none" w:sz="0" w:space="0" w:color="auto"/>
          </w:divBdr>
        </w:div>
        <w:div w:id="39598853">
          <w:marLeft w:val="0"/>
          <w:marRight w:val="0"/>
          <w:marTop w:val="0"/>
          <w:marBottom w:val="0"/>
          <w:divBdr>
            <w:top w:val="none" w:sz="0" w:space="0" w:color="auto"/>
            <w:left w:val="none" w:sz="0" w:space="0" w:color="auto"/>
            <w:bottom w:val="none" w:sz="0" w:space="0" w:color="auto"/>
            <w:right w:val="none" w:sz="0" w:space="0" w:color="auto"/>
          </w:divBdr>
        </w:div>
        <w:div w:id="1143935126">
          <w:marLeft w:val="0"/>
          <w:marRight w:val="0"/>
          <w:marTop w:val="0"/>
          <w:marBottom w:val="0"/>
          <w:divBdr>
            <w:top w:val="none" w:sz="0" w:space="0" w:color="auto"/>
            <w:left w:val="none" w:sz="0" w:space="0" w:color="auto"/>
            <w:bottom w:val="none" w:sz="0" w:space="0" w:color="auto"/>
            <w:right w:val="none" w:sz="0" w:space="0" w:color="auto"/>
          </w:divBdr>
        </w:div>
        <w:div w:id="1591355681">
          <w:marLeft w:val="0"/>
          <w:marRight w:val="0"/>
          <w:marTop w:val="0"/>
          <w:marBottom w:val="0"/>
          <w:divBdr>
            <w:top w:val="none" w:sz="0" w:space="0" w:color="auto"/>
            <w:left w:val="none" w:sz="0" w:space="0" w:color="auto"/>
            <w:bottom w:val="none" w:sz="0" w:space="0" w:color="auto"/>
            <w:right w:val="none" w:sz="0" w:space="0" w:color="auto"/>
          </w:divBdr>
        </w:div>
        <w:div w:id="1674258830">
          <w:marLeft w:val="0"/>
          <w:marRight w:val="0"/>
          <w:marTop w:val="0"/>
          <w:marBottom w:val="0"/>
          <w:divBdr>
            <w:top w:val="none" w:sz="0" w:space="0" w:color="auto"/>
            <w:left w:val="none" w:sz="0" w:space="0" w:color="auto"/>
            <w:bottom w:val="none" w:sz="0" w:space="0" w:color="auto"/>
            <w:right w:val="none" w:sz="0" w:space="0" w:color="auto"/>
          </w:divBdr>
        </w:div>
        <w:div w:id="1345985158">
          <w:marLeft w:val="0"/>
          <w:marRight w:val="0"/>
          <w:marTop w:val="0"/>
          <w:marBottom w:val="0"/>
          <w:divBdr>
            <w:top w:val="none" w:sz="0" w:space="0" w:color="auto"/>
            <w:left w:val="none" w:sz="0" w:space="0" w:color="auto"/>
            <w:bottom w:val="none" w:sz="0" w:space="0" w:color="auto"/>
            <w:right w:val="none" w:sz="0" w:space="0" w:color="auto"/>
          </w:divBdr>
        </w:div>
        <w:div w:id="544411541">
          <w:marLeft w:val="0"/>
          <w:marRight w:val="0"/>
          <w:marTop w:val="0"/>
          <w:marBottom w:val="0"/>
          <w:divBdr>
            <w:top w:val="none" w:sz="0" w:space="0" w:color="auto"/>
            <w:left w:val="none" w:sz="0" w:space="0" w:color="auto"/>
            <w:bottom w:val="none" w:sz="0" w:space="0" w:color="auto"/>
            <w:right w:val="none" w:sz="0" w:space="0" w:color="auto"/>
          </w:divBdr>
        </w:div>
        <w:div w:id="1647514198">
          <w:marLeft w:val="0"/>
          <w:marRight w:val="0"/>
          <w:marTop w:val="0"/>
          <w:marBottom w:val="0"/>
          <w:divBdr>
            <w:top w:val="none" w:sz="0" w:space="0" w:color="auto"/>
            <w:left w:val="none" w:sz="0" w:space="0" w:color="auto"/>
            <w:bottom w:val="none" w:sz="0" w:space="0" w:color="auto"/>
            <w:right w:val="none" w:sz="0" w:space="0" w:color="auto"/>
          </w:divBdr>
        </w:div>
        <w:div w:id="1999730562">
          <w:marLeft w:val="0"/>
          <w:marRight w:val="0"/>
          <w:marTop w:val="0"/>
          <w:marBottom w:val="0"/>
          <w:divBdr>
            <w:top w:val="none" w:sz="0" w:space="0" w:color="auto"/>
            <w:left w:val="none" w:sz="0" w:space="0" w:color="auto"/>
            <w:bottom w:val="none" w:sz="0" w:space="0" w:color="auto"/>
            <w:right w:val="none" w:sz="0" w:space="0" w:color="auto"/>
          </w:divBdr>
        </w:div>
        <w:div w:id="1737778038">
          <w:marLeft w:val="0"/>
          <w:marRight w:val="0"/>
          <w:marTop w:val="0"/>
          <w:marBottom w:val="0"/>
          <w:divBdr>
            <w:top w:val="none" w:sz="0" w:space="0" w:color="auto"/>
            <w:left w:val="none" w:sz="0" w:space="0" w:color="auto"/>
            <w:bottom w:val="none" w:sz="0" w:space="0" w:color="auto"/>
            <w:right w:val="none" w:sz="0" w:space="0" w:color="auto"/>
          </w:divBdr>
        </w:div>
        <w:div w:id="1257906618">
          <w:marLeft w:val="0"/>
          <w:marRight w:val="0"/>
          <w:marTop w:val="0"/>
          <w:marBottom w:val="0"/>
          <w:divBdr>
            <w:top w:val="none" w:sz="0" w:space="0" w:color="auto"/>
            <w:left w:val="none" w:sz="0" w:space="0" w:color="auto"/>
            <w:bottom w:val="none" w:sz="0" w:space="0" w:color="auto"/>
            <w:right w:val="none" w:sz="0" w:space="0" w:color="auto"/>
          </w:divBdr>
        </w:div>
        <w:div w:id="1837530323">
          <w:marLeft w:val="0"/>
          <w:marRight w:val="0"/>
          <w:marTop w:val="0"/>
          <w:marBottom w:val="0"/>
          <w:divBdr>
            <w:top w:val="none" w:sz="0" w:space="0" w:color="auto"/>
            <w:left w:val="none" w:sz="0" w:space="0" w:color="auto"/>
            <w:bottom w:val="none" w:sz="0" w:space="0" w:color="auto"/>
            <w:right w:val="none" w:sz="0" w:space="0" w:color="auto"/>
          </w:divBdr>
        </w:div>
        <w:div w:id="1389524544">
          <w:marLeft w:val="0"/>
          <w:marRight w:val="0"/>
          <w:marTop w:val="0"/>
          <w:marBottom w:val="0"/>
          <w:divBdr>
            <w:top w:val="none" w:sz="0" w:space="0" w:color="auto"/>
            <w:left w:val="none" w:sz="0" w:space="0" w:color="auto"/>
            <w:bottom w:val="none" w:sz="0" w:space="0" w:color="auto"/>
            <w:right w:val="none" w:sz="0" w:space="0" w:color="auto"/>
          </w:divBdr>
        </w:div>
        <w:div w:id="659693409">
          <w:marLeft w:val="0"/>
          <w:marRight w:val="0"/>
          <w:marTop w:val="0"/>
          <w:marBottom w:val="0"/>
          <w:divBdr>
            <w:top w:val="none" w:sz="0" w:space="0" w:color="auto"/>
            <w:left w:val="none" w:sz="0" w:space="0" w:color="auto"/>
            <w:bottom w:val="none" w:sz="0" w:space="0" w:color="auto"/>
            <w:right w:val="none" w:sz="0" w:space="0" w:color="auto"/>
          </w:divBdr>
        </w:div>
        <w:div w:id="1571305691">
          <w:marLeft w:val="0"/>
          <w:marRight w:val="0"/>
          <w:marTop w:val="0"/>
          <w:marBottom w:val="0"/>
          <w:divBdr>
            <w:top w:val="none" w:sz="0" w:space="0" w:color="auto"/>
            <w:left w:val="none" w:sz="0" w:space="0" w:color="auto"/>
            <w:bottom w:val="none" w:sz="0" w:space="0" w:color="auto"/>
            <w:right w:val="none" w:sz="0" w:space="0" w:color="auto"/>
          </w:divBdr>
        </w:div>
        <w:div w:id="992024342">
          <w:marLeft w:val="0"/>
          <w:marRight w:val="0"/>
          <w:marTop w:val="0"/>
          <w:marBottom w:val="0"/>
          <w:divBdr>
            <w:top w:val="none" w:sz="0" w:space="0" w:color="auto"/>
            <w:left w:val="none" w:sz="0" w:space="0" w:color="auto"/>
            <w:bottom w:val="none" w:sz="0" w:space="0" w:color="auto"/>
            <w:right w:val="none" w:sz="0" w:space="0" w:color="auto"/>
          </w:divBdr>
        </w:div>
        <w:div w:id="954599094">
          <w:marLeft w:val="0"/>
          <w:marRight w:val="0"/>
          <w:marTop w:val="0"/>
          <w:marBottom w:val="0"/>
          <w:divBdr>
            <w:top w:val="none" w:sz="0" w:space="0" w:color="auto"/>
            <w:left w:val="none" w:sz="0" w:space="0" w:color="auto"/>
            <w:bottom w:val="none" w:sz="0" w:space="0" w:color="auto"/>
            <w:right w:val="none" w:sz="0" w:space="0" w:color="auto"/>
          </w:divBdr>
        </w:div>
        <w:div w:id="272783788">
          <w:marLeft w:val="0"/>
          <w:marRight w:val="0"/>
          <w:marTop w:val="0"/>
          <w:marBottom w:val="0"/>
          <w:divBdr>
            <w:top w:val="none" w:sz="0" w:space="0" w:color="auto"/>
            <w:left w:val="none" w:sz="0" w:space="0" w:color="auto"/>
            <w:bottom w:val="none" w:sz="0" w:space="0" w:color="auto"/>
            <w:right w:val="none" w:sz="0" w:space="0" w:color="auto"/>
          </w:divBdr>
        </w:div>
        <w:div w:id="1208495885">
          <w:marLeft w:val="0"/>
          <w:marRight w:val="0"/>
          <w:marTop w:val="0"/>
          <w:marBottom w:val="0"/>
          <w:divBdr>
            <w:top w:val="none" w:sz="0" w:space="0" w:color="auto"/>
            <w:left w:val="none" w:sz="0" w:space="0" w:color="auto"/>
            <w:bottom w:val="none" w:sz="0" w:space="0" w:color="auto"/>
            <w:right w:val="none" w:sz="0" w:space="0" w:color="auto"/>
          </w:divBdr>
        </w:div>
        <w:div w:id="508788144">
          <w:marLeft w:val="0"/>
          <w:marRight w:val="0"/>
          <w:marTop w:val="0"/>
          <w:marBottom w:val="0"/>
          <w:divBdr>
            <w:top w:val="none" w:sz="0" w:space="0" w:color="auto"/>
            <w:left w:val="none" w:sz="0" w:space="0" w:color="auto"/>
            <w:bottom w:val="none" w:sz="0" w:space="0" w:color="auto"/>
            <w:right w:val="none" w:sz="0" w:space="0" w:color="auto"/>
          </w:divBdr>
        </w:div>
        <w:div w:id="2079789319">
          <w:marLeft w:val="0"/>
          <w:marRight w:val="0"/>
          <w:marTop w:val="0"/>
          <w:marBottom w:val="0"/>
          <w:divBdr>
            <w:top w:val="none" w:sz="0" w:space="0" w:color="auto"/>
            <w:left w:val="none" w:sz="0" w:space="0" w:color="auto"/>
            <w:bottom w:val="none" w:sz="0" w:space="0" w:color="auto"/>
            <w:right w:val="none" w:sz="0" w:space="0" w:color="auto"/>
          </w:divBdr>
        </w:div>
        <w:div w:id="1132021943">
          <w:marLeft w:val="0"/>
          <w:marRight w:val="0"/>
          <w:marTop w:val="0"/>
          <w:marBottom w:val="0"/>
          <w:divBdr>
            <w:top w:val="none" w:sz="0" w:space="0" w:color="auto"/>
            <w:left w:val="none" w:sz="0" w:space="0" w:color="auto"/>
            <w:bottom w:val="none" w:sz="0" w:space="0" w:color="auto"/>
            <w:right w:val="none" w:sz="0" w:space="0" w:color="auto"/>
          </w:divBdr>
        </w:div>
        <w:div w:id="655190343">
          <w:marLeft w:val="0"/>
          <w:marRight w:val="0"/>
          <w:marTop w:val="0"/>
          <w:marBottom w:val="0"/>
          <w:divBdr>
            <w:top w:val="none" w:sz="0" w:space="0" w:color="auto"/>
            <w:left w:val="none" w:sz="0" w:space="0" w:color="auto"/>
            <w:bottom w:val="none" w:sz="0" w:space="0" w:color="auto"/>
            <w:right w:val="none" w:sz="0" w:space="0" w:color="auto"/>
          </w:divBdr>
        </w:div>
        <w:div w:id="53044761">
          <w:marLeft w:val="0"/>
          <w:marRight w:val="0"/>
          <w:marTop w:val="0"/>
          <w:marBottom w:val="0"/>
          <w:divBdr>
            <w:top w:val="none" w:sz="0" w:space="0" w:color="auto"/>
            <w:left w:val="none" w:sz="0" w:space="0" w:color="auto"/>
            <w:bottom w:val="none" w:sz="0" w:space="0" w:color="auto"/>
            <w:right w:val="none" w:sz="0" w:space="0" w:color="auto"/>
          </w:divBdr>
        </w:div>
        <w:div w:id="2896851">
          <w:marLeft w:val="0"/>
          <w:marRight w:val="0"/>
          <w:marTop w:val="0"/>
          <w:marBottom w:val="0"/>
          <w:divBdr>
            <w:top w:val="none" w:sz="0" w:space="0" w:color="auto"/>
            <w:left w:val="none" w:sz="0" w:space="0" w:color="auto"/>
            <w:bottom w:val="none" w:sz="0" w:space="0" w:color="auto"/>
            <w:right w:val="none" w:sz="0" w:space="0" w:color="auto"/>
          </w:divBdr>
        </w:div>
        <w:div w:id="855190461">
          <w:marLeft w:val="0"/>
          <w:marRight w:val="0"/>
          <w:marTop w:val="0"/>
          <w:marBottom w:val="0"/>
          <w:divBdr>
            <w:top w:val="none" w:sz="0" w:space="0" w:color="auto"/>
            <w:left w:val="none" w:sz="0" w:space="0" w:color="auto"/>
            <w:bottom w:val="none" w:sz="0" w:space="0" w:color="auto"/>
            <w:right w:val="none" w:sz="0" w:space="0" w:color="auto"/>
          </w:divBdr>
        </w:div>
        <w:div w:id="321006355">
          <w:marLeft w:val="0"/>
          <w:marRight w:val="0"/>
          <w:marTop w:val="0"/>
          <w:marBottom w:val="0"/>
          <w:divBdr>
            <w:top w:val="none" w:sz="0" w:space="0" w:color="auto"/>
            <w:left w:val="none" w:sz="0" w:space="0" w:color="auto"/>
            <w:bottom w:val="none" w:sz="0" w:space="0" w:color="auto"/>
            <w:right w:val="none" w:sz="0" w:space="0" w:color="auto"/>
          </w:divBdr>
        </w:div>
        <w:div w:id="125926907">
          <w:marLeft w:val="0"/>
          <w:marRight w:val="0"/>
          <w:marTop w:val="0"/>
          <w:marBottom w:val="0"/>
          <w:divBdr>
            <w:top w:val="none" w:sz="0" w:space="0" w:color="auto"/>
            <w:left w:val="none" w:sz="0" w:space="0" w:color="auto"/>
            <w:bottom w:val="none" w:sz="0" w:space="0" w:color="auto"/>
            <w:right w:val="none" w:sz="0" w:space="0" w:color="auto"/>
          </w:divBdr>
        </w:div>
        <w:div w:id="874273714">
          <w:marLeft w:val="0"/>
          <w:marRight w:val="0"/>
          <w:marTop w:val="0"/>
          <w:marBottom w:val="0"/>
          <w:divBdr>
            <w:top w:val="none" w:sz="0" w:space="0" w:color="auto"/>
            <w:left w:val="none" w:sz="0" w:space="0" w:color="auto"/>
            <w:bottom w:val="none" w:sz="0" w:space="0" w:color="auto"/>
            <w:right w:val="none" w:sz="0" w:space="0" w:color="auto"/>
          </w:divBdr>
        </w:div>
        <w:div w:id="1820069401">
          <w:marLeft w:val="0"/>
          <w:marRight w:val="0"/>
          <w:marTop w:val="0"/>
          <w:marBottom w:val="0"/>
          <w:divBdr>
            <w:top w:val="none" w:sz="0" w:space="0" w:color="auto"/>
            <w:left w:val="none" w:sz="0" w:space="0" w:color="auto"/>
            <w:bottom w:val="none" w:sz="0" w:space="0" w:color="auto"/>
            <w:right w:val="none" w:sz="0" w:space="0" w:color="auto"/>
          </w:divBdr>
        </w:div>
        <w:div w:id="1711497080">
          <w:marLeft w:val="0"/>
          <w:marRight w:val="0"/>
          <w:marTop w:val="0"/>
          <w:marBottom w:val="0"/>
          <w:divBdr>
            <w:top w:val="none" w:sz="0" w:space="0" w:color="auto"/>
            <w:left w:val="none" w:sz="0" w:space="0" w:color="auto"/>
            <w:bottom w:val="none" w:sz="0" w:space="0" w:color="auto"/>
            <w:right w:val="none" w:sz="0" w:space="0" w:color="auto"/>
          </w:divBdr>
        </w:div>
        <w:div w:id="357894476">
          <w:marLeft w:val="0"/>
          <w:marRight w:val="0"/>
          <w:marTop w:val="0"/>
          <w:marBottom w:val="0"/>
          <w:divBdr>
            <w:top w:val="none" w:sz="0" w:space="0" w:color="auto"/>
            <w:left w:val="none" w:sz="0" w:space="0" w:color="auto"/>
            <w:bottom w:val="none" w:sz="0" w:space="0" w:color="auto"/>
            <w:right w:val="none" w:sz="0" w:space="0" w:color="auto"/>
          </w:divBdr>
        </w:div>
        <w:div w:id="733158464">
          <w:marLeft w:val="0"/>
          <w:marRight w:val="0"/>
          <w:marTop w:val="0"/>
          <w:marBottom w:val="0"/>
          <w:divBdr>
            <w:top w:val="none" w:sz="0" w:space="0" w:color="auto"/>
            <w:left w:val="none" w:sz="0" w:space="0" w:color="auto"/>
            <w:bottom w:val="none" w:sz="0" w:space="0" w:color="auto"/>
            <w:right w:val="none" w:sz="0" w:space="0" w:color="auto"/>
          </w:divBdr>
        </w:div>
        <w:div w:id="1540586458">
          <w:marLeft w:val="0"/>
          <w:marRight w:val="0"/>
          <w:marTop w:val="0"/>
          <w:marBottom w:val="0"/>
          <w:divBdr>
            <w:top w:val="none" w:sz="0" w:space="0" w:color="auto"/>
            <w:left w:val="none" w:sz="0" w:space="0" w:color="auto"/>
            <w:bottom w:val="none" w:sz="0" w:space="0" w:color="auto"/>
            <w:right w:val="none" w:sz="0" w:space="0" w:color="auto"/>
          </w:divBdr>
        </w:div>
        <w:div w:id="2026666671">
          <w:marLeft w:val="0"/>
          <w:marRight w:val="0"/>
          <w:marTop w:val="0"/>
          <w:marBottom w:val="0"/>
          <w:divBdr>
            <w:top w:val="none" w:sz="0" w:space="0" w:color="auto"/>
            <w:left w:val="none" w:sz="0" w:space="0" w:color="auto"/>
            <w:bottom w:val="none" w:sz="0" w:space="0" w:color="auto"/>
            <w:right w:val="none" w:sz="0" w:space="0" w:color="auto"/>
          </w:divBdr>
        </w:div>
        <w:div w:id="986085966">
          <w:marLeft w:val="0"/>
          <w:marRight w:val="0"/>
          <w:marTop w:val="0"/>
          <w:marBottom w:val="0"/>
          <w:divBdr>
            <w:top w:val="none" w:sz="0" w:space="0" w:color="auto"/>
            <w:left w:val="none" w:sz="0" w:space="0" w:color="auto"/>
            <w:bottom w:val="none" w:sz="0" w:space="0" w:color="auto"/>
            <w:right w:val="none" w:sz="0" w:space="0" w:color="auto"/>
          </w:divBdr>
        </w:div>
        <w:div w:id="930622820">
          <w:marLeft w:val="0"/>
          <w:marRight w:val="0"/>
          <w:marTop w:val="0"/>
          <w:marBottom w:val="0"/>
          <w:divBdr>
            <w:top w:val="none" w:sz="0" w:space="0" w:color="auto"/>
            <w:left w:val="none" w:sz="0" w:space="0" w:color="auto"/>
            <w:bottom w:val="none" w:sz="0" w:space="0" w:color="auto"/>
            <w:right w:val="none" w:sz="0" w:space="0" w:color="auto"/>
          </w:divBdr>
        </w:div>
        <w:div w:id="2058317741">
          <w:marLeft w:val="0"/>
          <w:marRight w:val="0"/>
          <w:marTop w:val="0"/>
          <w:marBottom w:val="0"/>
          <w:divBdr>
            <w:top w:val="none" w:sz="0" w:space="0" w:color="auto"/>
            <w:left w:val="none" w:sz="0" w:space="0" w:color="auto"/>
            <w:bottom w:val="none" w:sz="0" w:space="0" w:color="auto"/>
            <w:right w:val="none" w:sz="0" w:space="0" w:color="auto"/>
          </w:divBdr>
        </w:div>
        <w:div w:id="1702321334">
          <w:marLeft w:val="0"/>
          <w:marRight w:val="0"/>
          <w:marTop w:val="0"/>
          <w:marBottom w:val="0"/>
          <w:divBdr>
            <w:top w:val="none" w:sz="0" w:space="0" w:color="auto"/>
            <w:left w:val="none" w:sz="0" w:space="0" w:color="auto"/>
            <w:bottom w:val="none" w:sz="0" w:space="0" w:color="auto"/>
            <w:right w:val="none" w:sz="0" w:space="0" w:color="auto"/>
          </w:divBdr>
        </w:div>
        <w:div w:id="1212302687">
          <w:marLeft w:val="0"/>
          <w:marRight w:val="0"/>
          <w:marTop w:val="0"/>
          <w:marBottom w:val="0"/>
          <w:divBdr>
            <w:top w:val="none" w:sz="0" w:space="0" w:color="auto"/>
            <w:left w:val="none" w:sz="0" w:space="0" w:color="auto"/>
            <w:bottom w:val="none" w:sz="0" w:space="0" w:color="auto"/>
            <w:right w:val="none" w:sz="0" w:space="0" w:color="auto"/>
          </w:divBdr>
        </w:div>
        <w:div w:id="1560365014">
          <w:marLeft w:val="0"/>
          <w:marRight w:val="0"/>
          <w:marTop w:val="0"/>
          <w:marBottom w:val="0"/>
          <w:divBdr>
            <w:top w:val="none" w:sz="0" w:space="0" w:color="auto"/>
            <w:left w:val="none" w:sz="0" w:space="0" w:color="auto"/>
            <w:bottom w:val="none" w:sz="0" w:space="0" w:color="auto"/>
            <w:right w:val="none" w:sz="0" w:space="0" w:color="auto"/>
          </w:divBdr>
        </w:div>
        <w:div w:id="1813209943">
          <w:marLeft w:val="0"/>
          <w:marRight w:val="0"/>
          <w:marTop w:val="0"/>
          <w:marBottom w:val="0"/>
          <w:divBdr>
            <w:top w:val="none" w:sz="0" w:space="0" w:color="auto"/>
            <w:left w:val="none" w:sz="0" w:space="0" w:color="auto"/>
            <w:bottom w:val="none" w:sz="0" w:space="0" w:color="auto"/>
            <w:right w:val="none" w:sz="0" w:space="0" w:color="auto"/>
          </w:divBdr>
        </w:div>
        <w:div w:id="889918804">
          <w:marLeft w:val="0"/>
          <w:marRight w:val="0"/>
          <w:marTop w:val="0"/>
          <w:marBottom w:val="0"/>
          <w:divBdr>
            <w:top w:val="none" w:sz="0" w:space="0" w:color="auto"/>
            <w:left w:val="none" w:sz="0" w:space="0" w:color="auto"/>
            <w:bottom w:val="none" w:sz="0" w:space="0" w:color="auto"/>
            <w:right w:val="none" w:sz="0" w:space="0" w:color="auto"/>
          </w:divBdr>
        </w:div>
        <w:div w:id="1064639740">
          <w:marLeft w:val="0"/>
          <w:marRight w:val="0"/>
          <w:marTop w:val="0"/>
          <w:marBottom w:val="0"/>
          <w:divBdr>
            <w:top w:val="none" w:sz="0" w:space="0" w:color="auto"/>
            <w:left w:val="none" w:sz="0" w:space="0" w:color="auto"/>
            <w:bottom w:val="none" w:sz="0" w:space="0" w:color="auto"/>
            <w:right w:val="none" w:sz="0" w:space="0" w:color="auto"/>
          </w:divBdr>
        </w:div>
        <w:div w:id="128132290">
          <w:marLeft w:val="0"/>
          <w:marRight w:val="0"/>
          <w:marTop w:val="0"/>
          <w:marBottom w:val="0"/>
          <w:divBdr>
            <w:top w:val="none" w:sz="0" w:space="0" w:color="auto"/>
            <w:left w:val="none" w:sz="0" w:space="0" w:color="auto"/>
            <w:bottom w:val="none" w:sz="0" w:space="0" w:color="auto"/>
            <w:right w:val="none" w:sz="0" w:space="0" w:color="auto"/>
          </w:divBdr>
        </w:div>
        <w:div w:id="861406856">
          <w:marLeft w:val="0"/>
          <w:marRight w:val="0"/>
          <w:marTop w:val="0"/>
          <w:marBottom w:val="0"/>
          <w:divBdr>
            <w:top w:val="none" w:sz="0" w:space="0" w:color="auto"/>
            <w:left w:val="none" w:sz="0" w:space="0" w:color="auto"/>
            <w:bottom w:val="none" w:sz="0" w:space="0" w:color="auto"/>
            <w:right w:val="none" w:sz="0" w:space="0" w:color="auto"/>
          </w:divBdr>
        </w:div>
        <w:div w:id="448012046">
          <w:marLeft w:val="0"/>
          <w:marRight w:val="0"/>
          <w:marTop w:val="0"/>
          <w:marBottom w:val="0"/>
          <w:divBdr>
            <w:top w:val="none" w:sz="0" w:space="0" w:color="auto"/>
            <w:left w:val="none" w:sz="0" w:space="0" w:color="auto"/>
            <w:bottom w:val="none" w:sz="0" w:space="0" w:color="auto"/>
            <w:right w:val="none" w:sz="0" w:space="0" w:color="auto"/>
          </w:divBdr>
        </w:div>
        <w:div w:id="1641307718">
          <w:marLeft w:val="0"/>
          <w:marRight w:val="0"/>
          <w:marTop w:val="0"/>
          <w:marBottom w:val="0"/>
          <w:divBdr>
            <w:top w:val="none" w:sz="0" w:space="0" w:color="auto"/>
            <w:left w:val="none" w:sz="0" w:space="0" w:color="auto"/>
            <w:bottom w:val="none" w:sz="0" w:space="0" w:color="auto"/>
            <w:right w:val="none" w:sz="0" w:space="0" w:color="auto"/>
          </w:divBdr>
        </w:div>
        <w:div w:id="1520243870">
          <w:marLeft w:val="0"/>
          <w:marRight w:val="0"/>
          <w:marTop w:val="0"/>
          <w:marBottom w:val="0"/>
          <w:divBdr>
            <w:top w:val="none" w:sz="0" w:space="0" w:color="auto"/>
            <w:left w:val="none" w:sz="0" w:space="0" w:color="auto"/>
            <w:bottom w:val="none" w:sz="0" w:space="0" w:color="auto"/>
            <w:right w:val="none" w:sz="0" w:space="0" w:color="auto"/>
          </w:divBdr>
        </w:div>
        <w:div w:id="2093306624">
          <w:marLeft w:val="0"/>
          <w:marRight w:val="0"/>
          <w:marTop w:val="0"/>
          <w:marBottom w:val="0"/>
          <w:divBdr>
            <w:top w:val="none" w:sz="0" w:space="0" w:color="auto"/>
            <w:left w:val="none" w:sz="0" w:space="0" w:color="auto"/>
            <w:bottom w:val="none" w:sz="0" w:space="0" w:color="auto"/>
            <w:right w:val="none" w:sz="0" w:space="0" w:color="auto"/>
          </w:divBdr>
        </w:div>
        <w:div w:id="1289049878">
          <w:marLeft w:val="0"/>
          <w:marRight w:val="0"/>
          <w:marTop w:val="0"/>
          <w:marBottom w:val="0"/>
          <w:divBdr>
            <w:top w:val="none" w:sz="0" w:space="0" w:color="auto"/>
            <w:left w:val="none" w:sz="0" w:space="0" w:color="auto"/>
            <w:bottom w:val="none" w:sz="0" w:space="0" w:color="auto"/>
            <w:right w:val="none" w:sz="0" w:space="0" w:color="auto"/>
          </w:divBdr>
        </w:div>
        <w:div w:id="353925566">
          <w:marLeft w:val="0"/>
          <w:marRight w:val="0"/>
          <w:marTop w:val="0"/>
          <w:marBottom w:val="0"/>
          <w:divBdr>
            <w:top w:val="none" w:sz="0" w:space="0" w:color="auto"/>
            <w:left w:val="none" w:sz="0" w:space="0" w:color="auto"/>
            <w:bottom w:val="none" w:sz="0" w:space="0" w:color="auto"/>
            <w:right w:val="none" w:sz="0" w:space="0" w:color="auto"/>
          </w:divBdr>
        </w:div>
        <w:div w:id="165288670">
          <w:marLeft w:val="0"/>
          <w:marRight w:val="0"/>
          <w:marTop w:val="0"/>
          <w:marBottom w:val="0"/>
          <w:divBdr>
            <w:top w:val="none" w:sz="0" w:space="0" w:color="auto"/>
            <w:left w:val="none" w:sz="0" w:space="0" w:color="auto"/>
            <w:bottom w:val="none" w:sz="0" w:space="0" w:color="auto"/>
            <w:right w:val="none" w:sz="0" w:space="0" w:color="auto"/>
          </w:divBdr>
        </w:div>
        <w:div w:id="1330257195">
          <w:marLeft w:val="0"/>
          <w:marRight w:val="0"/>
          <w:marTop w:val="0"/>
          <w:marBottom w:val="0"/>
          <w:divBdr>
            <w:top w:val="none" w:sz="0" w:space="0" w:color="auto"/>
            <w:left w:val="none" w:sz="0" w:space="0" w:color="auto"/>
            <w:bottom w:val="none" w:sz="0" w:space="0" w:color="auto"/>
            <w:right w:val="none" w:sz="0" w:space="0" w:color="auto"/>
          </w:divBdr>
        </w:div>
        <w:div w:id="136382948">
          <w:marLeft w:val="0"/>
          <w:marRight w:val="0"/>
          <w:marTop w:val="0"/>
          <w:marBottom w:val="0"/>
          <w:divBdr>
            <w:top w:val="none" w:sz="0" w:space="0" w:color="auto"/>
            <w:left w:val="none" w:sz="0" w:space="0" w:color="auto"/>
            <w:bottom w:val="none" w:sz="0" w:space="0" w:color="auto"/>
            <w:right w:val="none" w:sz="0" w:space="0" w:color="auto"/>
          </w:divBdr>
        </w:div>
        <w:div w:id="231086016">
          <w:marLeft w:val="0"/>
          <w:marRight w:val="0"/>
          <w:marTop w:val="0"/>
          <w:marBottom w:val="0"/>
          <w:divBdr>
            <w:top w:val="none" w:sz="0" w:space="0" w:color="auto"/>
            <w:left w:val="none" w:sz="0" w:space="0" w:color="auto"/>
            <w:bottom w:val="none" w:sz="0" w:space="0" w:color="auto"/>
            <w:right w:val="none" w:sz="0" w:space="0" w:color="auto"/>
          </w:divBdr>
        </w:div>
        <w:div w:id="814027723">
          <w:marLeft w:val="0"/>
          <w:marRight w:val="0"/>
          <w:marTop w:val="0"/>
          <w:marBottom w:val="0"/>
          <w:divBdr>
            <w:top w:val="none" w:sz="0" w:space="0" w:color="auto"/>
            <w:left w:val="none" w:sz="0" w:space="0" w:color="auto"/>
            <w:bottom w:val="none" w:sz="0" w:space="0" w:color="auto"/>
            <w:right w:val="none" w:sz="0" w:space="0" w:color="auto"/>
          </w:divBdr>
        </w:div>
        <w:div w:id="1824928990">
          <w:marLeft w:val="0"/>
          <w:marRight w:val="0"/>
          <w:marTop w:val="0"/>
          <w:marBottom w:val="0"/>
          <w:divBdr>
            <w:top w:val="none" w:sz="0" w:space="0" w:color="auto"/>
            <w:left w:val="none" w:sz="0" w:space="0" w:color="auto"/>
            <w:bottom w:val="none" w:sz="0" w:space="0" w:color="auto"/>
            <w:right w:val="none" w:sz="0" w:space="0" w:color="auto"/>
          </w:divBdr>
        </w:div>
        <w:div w:id="1267156969">
          <w:marLeft w:val="0"/>
          <w:marRight w:val="0"/>
          <w:marTop w:val="0"/>
          <w:marBottom w:val="0"/>
          <w:divBdr>
            <w:top w:val="none" w:sz="0" w:space="0" w:color="auto"/>
            <w:left w:val="none" w:sz="0" w:space="0" w:color="auto"/>
            <w:bottom w:val="none" w:sz="0" w:space="0" w:color="auto"/>
            <w:right w:val="none" w:sz="0" w:space="0" w:color="auto"/>
          </w:divBdr>
        </w:div>
        <w:div w:id="1149201615">
          <w:marLeft w:val="0"/>
          <w:marRight w:val="0"/>
          <w:marTop w:val="0"/>
          <w:marBottom w:val="0"/>
          <w:divBdr>
            <w:top w:val="none" w:sz="0" w:space="0" w:color="auto"/>
            <w:left w:val="none" w:sz="0" w:space="0" w:color="auto"/>
            <w:bottom w:val="none" w:sz="0" w:space="0" w:color="auto"/>
            <w:right w:val="none" w:sz="0" w:space="0" w:color="auto"/>
          </w:divBdr>
        </w:div>
        <w:div w:id="1498419951">
          <w:marLeft w:val="0"/>
          <w:marRight w:val="0"/>
          <w:marTop w:val="0"/>
          <w:marBottom w:val="0"/>
          <w:divBdr>
            <w:top w:val="none" w:sz="0" w:space="0" w:color="auto"/>
            <w:left w:val="none" w:sz="0" w:space="0" w:color="auto"/>
            <w:bottom w:val="none" w:sz="0" w:space="0" w:color="auto"/>
            <w:right w:val="none" w:sz="0" w:space="0" w:color="auto"/>
          </w:divBdr>
        </w:div>
        <w:div w:id="1726640550">
          <w:marLeft w:val="0"/>
          <w:marRight w:val="0"/>
          <w:marTop w:val="0"/>
          <w:marBottom w:val="0"/>
          <w:divBdr>
            <w:top w:val="none" w:sz="0" w:space="0" w:color="auto"/>
            <w:left w:val="none" w:sz="0" w:space="0" w:color="auto"/>
            <w:bottom w:val="none" w:sz="0" w:space="0" w:color="auto"/>
            <w:right w:val="none" w:sz="0" w:space="0" w:color="auto"/>
          </w:divBdr>
        </w:div>
        <w:div w:id="493379892">
          <w:marLeft w:val="0"/>
          <w:marRight w:val="0"/>
          <w:marTop w:val="0"/>
          <w:marBottom w:val="0"/>
          <w:divBdr>
            <w:top w:val="none" w:sz="0" w:space="0" w:color="auto"/>
            <w:left w:val="none" w:sz="0" w:space="0" w:color="auto"/>
            <w:bottom w:val="none" w:sz="0" w:space="0" w:color="auto"/>
            <w:right w:val="none" w:sz="0" w:space="0" w:color="auto"/>
          </w:divBdr>
        </w:div>
        <w:div w:id="636643763">
          <w:marLeft w:val="0"/>
          <w:marRight w:val="0"/>
          <w:marTop w:val="0"/>
          <w:marBottom w:val="0"/>
          <w:divBdr>
            <w:top w:val="none" w:sz="0" w:space="0" w:color="auto"/>
            <w:left w:val="none" w:sz="0" w:space="0" w:color="auto"/>
            <w:bottom w:val="none" w:sz="0" w:space="0" w:color="auto"/>
            <w:right w:val="none" w:sz="0" w:space="0" w:color="auto"/>
          </w:divBdr>
        </w:div>
        <w:div w:id="506480101">
          <w:marLeft w:val="0"/>
          <w:marRight w:val="0"/>
          <w:marTop w:val="0"/>
          <w:marBottom w:val="0"/>
          <w:divBdr>
            <w:top w:val="none" w:sz="0" w:space="0" w:color="auto"/>
            <w:left w:val="none" w:sz="0" w:space="0" w:color="auto"/>
            <w:bottom w:val="none" w:sz="0" w:space="0" w:color="auto"/>
            <w:right w:val="none" w:sz="0" w:space="0" w:color="auto"/>
          </w:divBdr>
        </w:div>
        <w:div w:id="2026588102">
          <w:marLeft w:val="0"/>
          <w:marRight w:val="0"/>
          <w:marTop w:val="0"/>
          <w:marBottom w:val="0"/>
          <w:divBdr>
            <w:top w:val="none" w:sz="0" w:space="0" w:color="auto"/>
            <w:left w:val="none" w:sz="0" w:space="0" w:color="auto"/>
            <w:bottom w:val="none" w:sz="0" w:space="0" w:color="auto"/>
            <w:right w:val="none" w:sz="0" w:space="0" w:color="auto"/>
          </w:divBdr>
        </w:div>
        <w:div w:id="496582075">
          <w:marLeft w:val="0"/>
          <w:marRight w:val="0"/>
          <w:marTop w:val="0"/>
          <w:marBottom w:val="0"/>
          <w:divBdr>
            <w:top w:val="none" w:sz="0" w:space="0" w:color="auto"/>
            <w:left w:val="none" w:sz="0" w:space="0" w:color="auto"/>
            <w:bottom w:val="none" w:sz="0" w:space="0" w:color="auto"/>
            <w:right w:val="none" w:sz="0" w:space="0" w:color="auto"/>
          </w:divBdr>
        </w:div>
        <w:div w:id="1092434885">
          <w:marLeft w:val="0"/>
          <w:marRight w:val="0"/>
          <w:marTop w:val="0"/>
          <w:marBottom w:val="0"/>
          <w:divBdr>
            <w:top w:val="none" w:sz="0" w:space="0" w:color="auto"/>
            <w:left w:val="none" w:sz="0" w:space="0" w:color="auto"/>
            <w:bottom w:val="none" w:sz="0" w:space="0" w:color="auto"/>
            <w:right w:val="none" w:sz="0" w:space="0" w:color="auto"/>
          </w:divBdr>
        </w:div>
        <w:div w:id="522863266">
          <w:marLeft w:val="0"/>
          <w:marRight w:val="0"/>
          <w:marTop w:val="0"/>
          <w:marBottom w:val="0"/>
          <w:divBdr>
            <w:top w:val="none" w:sz="0" w:space="0" w:color="auto"/>
            <w:left w:val="none" w:sz="0" w:space="0" w:color="auto"/>
            <w:bottom w:val="none" w:sz="0" w:space="0" w:color="auto"/>
            <w:right w:val="none" w:sz="0" w:space="0" w:color="auto"/>
          </w:divBdr>
        </w:div>
        <w:div w:id="1388795113">
          <w:marLeft w:val="0"/>
          <w:marRight w:val="0"/>
          <w:marTop w:val="0"/>
          <w:marBottom w:val="0"/>
          <w:divBdr>
            <w:top w:val="none" w:sz="0" w:space="0" w:color="auto"/>
            <w:left w:val="none" w:sz="0" w:space="0" w:color="auto"/>
            <w:bottom w:val="none" w:sz="0" w:space="0" w:color="auto"/>
            <w:right w:val="none" w:sz="0" w:space="0" w:color="auto"/>
          </w:divBdr>
        </w:div>
        <w:div w:id="2122022181">
          <w:marLeft w:val="0"/>
          <w:marRight w:val="0"/>
          <w:marTop w:val="0"/>
          <w:marBottom w:val="0"/>
          <w:divBdr>
            <w:top w:val="none" w:sz="0" w:space="0" w:color="auto"/>
            <w:left w:val="none" w:sz="0" w:space="0" w:color="auto"/>
            <w:bottom w:val="none" w:sz="0" w:space="0" w:color="auto"/>
            <w:right w:val="none" w:sz="0" w:space="0" w:color="auto"/>
          </w:divBdr>
        </w:div>
        <w:div w:id="357970842">
          <w:marLeft w:val="0"/>
          <w:marRight w:val="0"/>
          <w:marTop w:val="0"/>
          <w:marBottom w:val="0"/>
          <w:divBdr>
            <w:top w:val="none" w:sz="0" w:space="0" w:color="auto"/>
            <w:left w:val="none" w:sz="0" w:space="0" w:color="auto"/>
            <w:bottom w:val="none" w:sz="0" w:space="0" w:color="auto"/>
            <w:right w:val="none" w:sz="0" w:space="0" w:color="auto"/>
          </w:divBdr>
        </w:div>
        <w:div w:id="655256577">
          <w:marLeft w:val="0"/>
          <w:marRight w:val="0"/>
          <w:marTop w:val="0"/>
          <w:marBottom w:val="0"/>
          <w:divBdr>
            <w:top w:val="none" w:sz="0" w:space="0" w:color="auto"/>
            <w:left w:val="none" w:sz="0" w:space="0" w:color="auto"/>
            <w:bottom w:val="none" w:sz="0" w:space="0" w:color="auto"/>
            <w:right w:val="none" w:sz="0" w:space="0" w:color="auto"/>
          </w:divBdr>
        </w:div>
        <w:div w:id="15231479">
          <w:marLeft w:val="0"/>
          <w:marRight w:val="0"/>
          <w:marTop w:val="0"/>
          <w:marBottom w:val="0"/>
          <w:divBdr>
            <w:top w:val="none" w:sz="0" w:space="0" w:color="auto"/>
            <w:left w:val="none" w:sz="0" w:space="0" w:color="auto"/>
            <w:bottom w:val="none" w:sz="0" w:space="0" w:color="auto"/>
            <w:right w:val="none" w:sz="0" w:space="0" w:color="auto"/>
          </w:divBdr>
        </w:div>
        <w:div w:id="1117607388">
          <w:marLeft w:val="0"/>
          <w:marRight w:val="0"/>
          <w:marTop w:val="0"/>
          <w:marBottom w:val="0"/>
          <w:divBdr>
            <w:top w:val="none" w:sz="0" w:space="0" w:color="auto"/>
            <w:left w:val="none" w:sz="0" w:space="0" w:color="auto"/>
            <w:bottom w:val="none" w:sz="0" w:space="0" w:color="auto"/>
            <w:right w:val="none" w:sz="0" w:space="0" w:color="auto"/>
          </w:divBdr>
        </w:div>
        <w:div w:id="1788619599">
          <w:marLeft w:val="0"/>
          <w:marRight w:val="0"/>
          <w:marTop w:val="0"/>
          <w:marBottom w:val="0"/>
          <w:divBdr>
            <w:top w:val="none" w:sz="0" w:space="0" w:color="auto"/>
            <w:left w:val="none" w:sz="0" w:space="0" w:color="auto"/>
            <w:bottom w:val="none" w:sz="0" w:space="0" w:color="auto"/>
            <w:right w:val="none" w:sz="0" w:space="0" w:color="auto"/>
          </w:divBdr>
        </w:div>
        <w:div w:id="2121294136">
          <w:marLeft w:val="0"/>
          <w:marRight w:val="0"/>
          <w:marTop w:val="0"/>
          <w:marBottom w:val="0"/>
          <w:divBdr>
            <w:top w:val="none" w:sz="0" w:space="0" w:color="auto"/>
            <w:left w:val="none" w:sz="0" w:space="0" w:color="auto"/>
            <w:bottom w:val="none" w:sz="0" w:space="0" w:color="auto"/>
            <w:right w:val="none" w:sz="0" w:space="0" w:color="auto"/>
          </w:divBdr>
        </w:div>
        <w:div w:id="1066494461">
          <w:marLeft w:val="0"/>
          <w:marRight w:val="0"/>
          <w:marTop w:val="0"/>
          <w:marBottom w:val="0"/>
          <w:divBdr>
            <w:top w:val="none" w:sz="0" w:space="0" w:color="auto"/>
            <w:left w:val="none" w:sz="0" w:space="0" w:color="auto"/>
            <w:bottom w:val="none" w:sz="0" w:space="0" w:color="auto"/>
            <w:right w:val="none" w:sz="0" w:space="0" w:color="auto"/>
          </w:divBdr>
        </w:div>
        <w:div w:id="632101777">
          <w:marLeft w:val="0"/>
          <w:marRight w:val="0"/>
          <w:marTop w:val="0"/>
          <w:marBottom w:val="0"/>
          <w:divBdr>
            <w:top w:val="none" w:sz="0" w:space="0" w:color="auto"/>
            <w:left w:val="none" w:sz="0" w:space="0" w:color="auto"/>
            <w:bottom w:val="none" w:sz="0" w:space="0" w:color="auto"/>
            <w:right w:val="none" w:sz="0" w:space="0" w:color="auto"/>
          </w:divBdr>
        </w:div>
        <w:div w:id="114250512">
          <w:marLeft w:val="0"/>
          <w:marRight w:val="0"/>
          <w:marTop w:val="0"/>
          <w:marBottom w:val="0"/>
          <w:divBdr>
            <w:top w:val="none" w:sz="0" w:space="0" w:color="auto"/>
            <w:left w:val="none" w:sz="0" w:space="0" w:color="auto"/>
            <w:bottom w:val="none" w:sz="0" w:space="0" w:color="auto"/>
            <w:right w:val="none" w:sz="0" w:space="0" w:color="auto"/>
          </w:divBdr>
        </w:div>
        <w:div w:id="858275688">
          <w:marLeft w:val="0"/>
          <w:marRight w:val="0"/>
          <w:marTop w:val="0"/>
          <w:marBottom w:val="0"/>
          <w:divBdr>
            <w:top w:val="none" w:sz="0" w:space="0" w:color="auto"/>
            <w:left w:val="none" w:sz="0" w:space="0" w:color="auto"/>
            <w:bottom w:val="none" w:sz="0" w:space="0" w:color="auto"/>
            <w:right w:val="none" w:sz="0" w:space="0" w:color="auto"/>
          </w:divBdr>
        </w:div>
        <w:div w:id="90512019">
          <w:marLeft w:val="0"/>
          <w:marRight w:val="0"/>
          <w:marTop w:val="0"/>
          <w:marBottom w:val="0"/>
          <w:divBdr>
            <w:top w:val="none" w:sz="0" w:space="0" w:color="auto"/>
            <w:left w:val="none" w:sz="0" w:space="0" w:color="auto"/>
            <w:bottom w:val="none" w:sz="0" w:space="0" w:color="auto"/>
            <w:right w:val="none" w:sz="0" w:space="0" w:color="auto"/>
          </w:divBdr>
        </w:div>
        <w:div w:id="2078238484">
          <w:marLeft w:val="0"/>
          <w:marRight w:val="0"/>
          <w:marTop w:val="0"/>
          <w:marBottom w:val="0"/>
          <w:divBdr>
            <w:top w:val="none" w:sz="0" w:space="0" w:color="auto"/>
            <w:left w:val="none" w:sz="0" w:space="0" w:color="auto"/>
            <w:bottom w:val="none" w:sz="0" w:space="0" w:color="auto"/>
            <w:right w:val="none" w:sz="0" w:space="0" w:color="auto"/>
          </w:divBdr>
        </w:div>
        <w:div w:id="604731884">
          <w:marLeft w:val="0"/>
          <w:marRight w:val="0"/>
          <w:marTop w:val="0"/>
          <w:marBottom w:val="0"/>
          <w:divBdr>
            <w:top w:val="none" w:sz="0" w:space="0" w:color="auto"/>
            <w:left w:val="none" w:sz="0" w:space="0" w:color="auto"/>
            <w:bottom w:val="none" w:sz="0" w:space="0" w:color="auto"/>
            <w:right w:val="none" w:sz="0" w:space="0" w:color="auto"/>
          </w:divBdr>
        </w:div>
        <w:div w:id="192891072">
          <w:marLeft w:val="0"/>
          <w:marRight w:val="0"/>
          <w:marTop w:val="0"/>
          <w:marBottom w:val="0"/>
          <w:divBdr>
            <w:top w:val="none" w:sz="0" w:space="0" w:color="auto"/>
            <w:left w:val="none" w:sz="0" w:space="0" w:color="auto"/>
            <w:bottom w:val="none" w:sz="0" w:space="0" w:color="auto"/>
            <w:right w:val="none" w:sz="0" w:space="0" w:color="auto"/>
          </w:divBdr>
        </w:div>
        <w:div w:id="281351720">
          <w:marLeft w:val="0"/>
          <w:marRight w:val="0"/>
          <w:marTop w:val="0"/>
          <w:marBottom w:val="0"/>
          <w:divBdr>
            <w:top w:val="none" w:sz="0" w:space="0" w:color="auto"/>
            <w:left w:val="none" w:sz="0" w:space="0" w:color="auto"/>
            <w:bottom w:val="none" w:sz="0" w:space="0" w:color="auto"/>
            <w:right w:val="none" w:sz="0" w:space="0" w:color="auto"/>
          </w:divBdr>
        </w:div>
        <w:div w:id="2072343608">
          <w:marLeft w:val="0"/>
          <w:marRight w:val="0"/>
          <w:marTop w:val="0"/>
          <w:marBottom w:val="0"/>
          <w:divBdr>
            <w:top w:val="none" w:sz="0" w:space="0" w:color="auto"/>
            <w:left w:val="none" w:sz="0" w:space="0" w:color="auto"/>
            <w:bottom w:val="none" w:sz="0" w:space="0" w:color="auto"/>
            <w:right w:val="none" w:sz="0" w:space="0" w:color="auto"/>
          </w:divBdr>
        </w:div>
        <w:div w:id="976957450">
          <w:marLeft w:val="0"/>
          <w:marRight w:val="0"/>
          <w:marTop w:val="0"/>
          <w:marBottom w:val="0"/>
          <w:divBdr>
            <w:top w:val="none" w:sz="0" w:space="0" w:color="auto"/>
            <w:left w:val="none" w:sz="0" w:space="0" w:color="auto"/>
            <w:bottom w:val="none" w:sz="0" w:space="0" w:color="auto"/>
            <w:right w:val="none" w:sz="0" w:space="0" w:color="auto"/>
          </w:divBdr>
        </w:div>
        <w:div w:id="330450458">
          <w:marLeft w:val="0"/>
          <w:marRight w:val="0"/>
          <w:marTop w:val="0"/>
          <w:marBottom w:val="0"/>
          <w:divBdr>
            <w:top w:val="none" w:sz="0" w:space="0" w:color="auto"/>
            <w:left w:val="none" w:sz="0" w:space="0" w:color="auto"/>
            <w:bottom w:val="none" w:sz="0" w:space="0" w:color="auto"/>
            <w:right w:val="none" w:sz="0" w:space="0" w:color="auto"/>
          </w:divBdr>
        </w:div>
        <w:div w:id="1573538123">
          <w:marLeft w:val="0"/>
          <w:marRight w:val="0"/>
          <w:marTop w:val="0"/>
          <w:marBottom w:val="0"/>
          <w:divBdr>
            <w:top w:val="none" w:sz="0" w:space="0" w:color="auto"/>
            <w:left w:val="none" w:sz="0" w:space="0" w:color="auto"/>
            <w:bottom w:val="none" w:sz="0" w:space="0" w:color="auto"/>
            <w:right w:val="none" w:sz="0" w:space="0" w:color="auto"/>
          </w:divBdr>
        </w:div>
        <w:div w:id="1492139439">
          <w:marLeft w:val="0"/>
          <w:marRight w:val="0"/>
          <w:marTop w:val="0"/>
          <w:marBottom w:val="0"/>
          <w:divBdr>
            <w:top w:val="none" w:sz="0" w:space="0" w:color="auto"/>
            <w:left w:val="none" w:sz="0" w:space="0" w:color="auto"/>
            <w:bottom w:val="none" w:sz="0" w:space="0" w:color="auto"/>
            <w:right w:val="none" w:sz="0" w:space="0" w:color="auto"/>
          </w:divBdr>
        </w:div>
        <w:div w:id="2033021701">
          <w:marLeft w:val="0"/>
          <w:marRight w:val="0"/>
          <w:marTop w:val="0"/>
          <w:marBottom w:val="0"/>
          <w:divBdr>
            <w:top w:val="none" w:sz="0" w:space="0" w:color="auto"/>
            <w:left w:val="none" w:sz="0" w:space="0" w:color="auto"/>
            <w:bottom w:val="none" w:sz="0" w:space="0" w:color="auto"/>
            <w:right w:val="none" w:sz="0" w:space="0" w:color="auto"/>
          </w:divBdr>
        </w:div>
        <w:div w:id="567496699">
          <w:marLeft w:val="0"/>
          <w:marRight w:val="0"/>
          <w:marTop w:val="0"/>
          <w:marBottom w:val="0"/>
          <w:divBdr>
            <w:top w:val="none" w:sz="0" w:space="0" w:color="auto"/>
            <w:left w:val="none" w:sz="0" w:space="0" w:color="auto"/>
            <w:bottom w:val="none" w:sz="0" w:space="0" w:color="auto"/>
            <w:right w:val="none" w:sz="0" w:space="0" w:color="auto"/>
          </w:divBdr>
        </w:div>
        <w:div w:id="1935360456">
          <w:marLeft w:val="0"/>
          <w:marRight w:val="0"/>
          <w:marTop w:val="0"/>
          <w:marBottom w:val="0"/>
          <w:divBdr>
            <w:top w:val="none" w:sz="0" w:space="0" w:color="auto"/>
            <w:left w:val="none" w:sz="0" w:space="0" w:color="auto"/>
            <w:bottom w:val="none" w:sz="0" w:space="0" w:color="auto"/>
            <w:right w:val="none" w:sz="0" w:space="0" w:color="auto"/>
          </w:divBdr>
        </w:div>
        <w:div w:id="1083526029">
          <w:marLeft w:val="0"/>
          <w:marRight w:val="0"/>
          <w:marTop w:val="0"/>
          <w:marBottom w:val="0"/>
          <w:divBdr>
            <w:top w:val="none" w:sz="0" w:space="0" w:color="auto"/>
            <w:left w:val="none" w:sz="0" w:space="0" w:color="auto"/>
            <w:bottom w:val="none" w:sz="0" w:space="0" w:color="auto"/>
            <w:right w:val="none" w:sz="0" w:space="0" w:color="auto"/>
          </w:divBdr>
        </w:div>
        <w:div w:id="172644866">
          <w:marLeft w:val="0"/>
          <w:marRight w:val="0"/>
          <w:marTop w:val="0"/>
          <w:marBottom w:val="0"/>
          <w:divBdr>
            <w:top w:val="none" w:sz="0" w:space="0" w:color="auto"/>
            <w:left w:val="none" w:sz="0" w:space="0" w:color="auto"/>
            <w:bottom w:val="none" w:sz="0" w:space="0" w:color="auto"/>
            <w:right w:val="none" w:sz="0" w:space="0" w:color="auto"/>
          </w:divBdr>
        </w:div>
        <w:div w:id="344674882">
          <w:marLeft w:val="0"/>
          <w:marRight w:val="0"/>
          <w:marTop w:val="0"/>
          <w:marBottom w:val="0"/>
          <w:divBdr>
            <w:top w:val="none" w:sz="0" w:space="0" w:color="auto"/>
            <w:left w:val="none" w:sz="0" w:space="0" w:color="auto"/>
            <w:bottom w:val="none" w:sz="0" w:space="0" w:color="auto"/>
            <w:right w:val="none" w:sz="0" w:space="0" w:color="auto"/>
          </w:divBdr>
        </w:div>
        <w:div w:id="1266888565">
          <w:marLeft w:val="0"/>
          <w:marRight w:val="0"/>
          <w:marTop w:val="0"/>
          <w:marBottom w:val="0"/>
          <w:divBdr>
            <w:top w:val="none" w:sz="0" w:space="0" w:color="auto"/>
            <w:left w:val="none" w:sz="0" w:space="0" w:color="auto"/>
            <w:bottom w:val="none" w:sz="0" w:space="0" w:color="auto"/>
            <w:right w:val="none" w:sz="0" w:space="0" w:color="auto"/>
          </w:divBdr>
        </w:div>
        <w:div w:id="1107388244">
          <w:marLeft w:val="0"/>
          <w:marRight w:val="0"/>
          <w:marTop w:val="0"/>
          <w:marBottom w:val="0"/>
          <w:divBdr>
            <w:top w:val="none" w:sz="0" w:space="0" w:color="auto"/>
            <w:left w:val="none" w:sz="0" w:space="0" w:color="auto"/>
            <w:bottom w:val="none" w:sz="0" w:space="0" w:color="auto"/>
            <w:right w:val="none" w:sz="0" w:space="0" w:color="auto"/>
          </w:divBdr>
        </w:div>
        <w:div w:id="636837116">
          <w:marLeft w:val="0"/>
          <w:marRight w:val="0"/>
          <w:marTop w:val="0"/>
          <w:marBottom w:val="0"/>
          <w:divBdr>
            <w:top w:val="none" w:sz="0" w:space="0" w:color="auto"/>
            <w:left w:val="none" w:sz="0" w:space="0" w:color="auto"/>
            <w:bottom w:val="none" w:sz="0" w:space="0" w:color="auto"/>
            <w:right w:val="none" w:sz="0" w:space="0" w:color="auto"/>
          </w:divBdr>
        </w:div>
        <w:div w:id="1511145036">
          <w:marLeft w:val="0"/>
          <w:marRight w:val="0"/>
          <w:marTop w:val="0"/>
          <w:marBottom w:val="0"/>
          <w:divBdr>
            <w:top w:val="none" w:sz="0" w:space="0" w:color="auto"/>
            <w:left w:val="none" w:sz="0" w:space="0" w:color="auto"/>
            <w:bottom w:val="none" w:sz="0" w:space="0" w:color="auto"/>
            <w:right w:val="none" w:sz="0" w:space="0" w:color="auto"/>
          </w:divBdr>
        </w:div>
        <w:div w:id="158082841">
          <w:marLeft w:val="0"/>
          <w:marRight w:val="0"/>
          <w:marTop w:val="0"/>
          <w:marBottom w:val="0"/>
          <w:divBdr>
            <w:top w:val="none" w:sz="0" w:space="0" w:color="auto"/>
            <w:left w:val="none" w:sz="0" w:space="0" w:color="auto"/>
            <w:bottom w:val="none" w:sz="0" w:space="0" w:color="auto"/>
            <w:right w:val="none" w:sz="0" w:space="0" w:color="auto"/>
          </w:divBdr>
        </w:div>
        <w:div w:id="281231992">
          <w:marLeft w:val="0"/>
          <w:marRight w:val="0"/>
          <w:marTop w:val="0"/>
          <w:marBottom w:val="0"/>
          <w:divBdr>
            <w:top w:val="none" w:sz="0" w:space="0" w:color="auto"/>
            <w:left w:val="none" w:sz="0" w:space="0" w:color="auto"/>
            <w:bottom w:val="none" w:sz="0" w:space="0" w:color="auto"/>
            <w:right w:val="none" w:sz="0" w:space="0" w:color="auto"/>
          </w:divBdr>
        </w:div>
        <w:div w:id="568229410">
          <w:marLeft w:val="0"/>
          <w:marRight w:val="0"/>
          <w:marTop w:val="0"/>
          <w:marBottom w:val="0"/>
          <w:divBdr>
            <w:top w:val="none" w:sz="0" w:space="0" w:color="auto"/>
            <w:left w:val="none" w:sz="0" w:space="0" w:color="auto"/>
            <w:bottom w:val="none" w:sz="0" w:space="0" w:color="auto"/>
            <w:right w:val="none" w:sz="0" w:space="0" w:color="auto"/>
          </w:divBdr>
        </w:div>
        <w:div w:id="175853373">
          <w:marLeft w:val="0"/>
          <w:marRight w:val="0"/>
          <w:marTop w:val="0"/>
          <w:marBottom w:val="0"/>
          <w:divBdr>
            <w:top w:val="none" w:sz="0" w:space="0" w:color="auto"/>
            <w:left w:val="none" w:sz="0" w:space="0" w:color="auto"/>
            <w:bottom w:val="none" w:sz="0" w:space="0" w:color="auto"/>
            <w:right w:val="none" w:sz="0" w:space="0" w:color="auto"/>
          </w:divBdr>
        </w:div>
        <w:div w:id="1893079627">
          <w:marLeft w:val="0"/>
          <w:marRight w:val="0"/>
          <w:marTop w:val="0"/>
          <w:marBottom w:val="0"/>
          <w:divBdr>
            <w:top w:val="none" w:sz="0" w:space="0" w:color="auto"/>
            <w:left w:val="none" w:sz="0" w:space="0" w:color="auto"/>
            <w:bottom w:val="none" w:sz="0" w:space="0" w:color="auto"/>
            <w:right w:val="none" w:sz="0" w:space="0" w:color="auto"/>
          </w:divBdr>
        </w:div>
        <w:div w:id="938442399">
          <w:marLeft w:val="0"/>
          <w:marRight w:val="0"/>
          <w:marTop w:val="0"/>
          <w:marBottom w:val="0"/>
          <w:divBdr>
            <w:top w:val="none" w:sz="0" w:space="0" w:color="auto"/>
            <w:left w:val="none" w:sz="0" w:space="0" w:color="auto"/>
            <w:bottom w:val="none" w:sz="0" w:space="0" w:color="auto"/>
            <w:right w:val="none" w:sz="0" w:space="0" w:color="auto"/>
          </w:divBdr>
        </w:div>
        <w:div w:id="1013729515">
          <w:marLeft w:val="0"/>
          <w:marRight w:val="0"/>
          <w:marTop w:val="0"/>
          <w:marBottom w:val="0"/>
          <w:divBdr>
            <w:top w:val="none" w:sz="0" w:space="0" w:color="auto"/>
            <w:left w:val="none" w:sz="0" w:space="0" w:color="auto"/>
            <w:bottom w:val="none" w:sz="0" w:space="0" w:color="auto"/>
            <w:right w:val="none" w:sz="0" w:space="0" w:color="auto"/>
          </w:divBdr>
        </w:div>
        <w:div w:id="1794052772">
          <w:marLeft w:val="0"/>
          <w:marRight w:val="0"/>
          <w:marTop w:val="0"/>
          <w:marBottom w:val="0"/>
          <w:divBdr>
            <w:top w:val="none" w:sz="0" w:space="0" w:color="auto"/>
            <w:left w:val="none" w:sz="0" w:space="0" w:color="auto"/>
            <w:bottom w:val="none" w:sz="0" w:space="0" w:color="auto"/>
            <w:right w:val="none" w:sz="0" w:space="0" w:color="auto"/>
          </w:divBdr>
        </w:div>
        <w:div w:id="406420134">
          <w:marLeft w:val="0"/>
          <w:marRight w:val="0"/>
          <w:marTop w:val="0"/>
          <w:marBottom w:val="0"/>
          <w:divBdr>
            <w:top w:val="none" w:sz="0" w:space="0" w:color="auto"/>
            <w:left w:val="none" w:sz="0" w:space="0" w:color="auto"/>
            <w:bottom w:val="none" w:sz="0" w:space="0" w:color="auto"/>
            <w:right w:val="none" w:sz="0" w:space="0" w:color="auto"/>
          </w:divBdr>
        </w:div>
        <w:div w:id="1568149906">
          <w:marLeft w:val="0"/>
          <w:marRight w:val="0"/>
          <w:marTop w:val="0"/>
          <w:marBottom w:val="0"/>
          <w:divBdr>
            <w:top w:val="none" w:sz="0" w:space="0" w:color="auto"/>
            <w:left w:val="none" w:sz="0" w:space="0" w:color="auto"/>
            <w:bottom w:val="none" w:sz="0" w:space="0" w:color="auto"/>
            <w:right w:val="none" w:sz="0" w:space="0" w:color="auto"/>
          </w:divBdr>
        </w:div>
        <w:div w:id="455296830">
          <w:marLeft w:val="0"/>
          <w:marRight w:val="0"/>
          <w:marTop w:val="0"/>
          <w:marBottom w:val="0"/>
          <w:divBdr>
            <w:top w:val="none" w:sz="0" w:space="0" w:color="auto"/>
            <w:left w:val="none" w:sz="0" w:space="0" w:color="auto"/>
            <w:bottom w:val="none" w:sz="0" w:space="0" w:color="auto"/>
            <w:right w:val="none" w:sz="0" w:space="0" w:color="auto"/>
          </w:divBdr>
        </w:div>
        <w:div w:id="571693428">
          <w:marLeft w:val="0"/>
          <w:marRight w:val="0"/>
          <w:marTop w:val="0"/>
          <w:marBottom w:val="0"/>
          <w:divBdr>
            <w:top w:val="none" w:sz="0" w:space="0" w:color="auto"/>
            <w:left w:val="none" w:sz="0" w:space="0" w:color="auto"/>
            <w:bottom w:val="none" w:sz="0" w:space="0" w:color="auto"/>
            <w:right w:val="none" w:sz="0" w:space="0" w:color="auto"/>
          </w:divBdr>
        </w:div>
        <w:div w:id="1292058951">
          <w:marLeft w:val="0"/>
          <w:marRight w:val="0"/>
          <w:marTop w:val="0"/>
          <w:marBottom w:val="0"/>
          <w:divBdr>
            <w:top w:val="none" w:sz="0" w:space="0" w:color="auto"/>
            <w:left w:val="none" w:sz="0" w:space="0" w:color="auto"/>
            <w:bottom w:val="none" w:sz="0" w:space="0" w:color="auto"/>
            <w:right w:val="none" w:sz="0" w:space="0" w:color="auto"/>
          </w:divBdr>
        </w:div>
        <w:div w:id="1728793970">
          <w:marLeft w:val="0"/>
          <w:marRight w:val="0"/>
          <w:marTop w:val="0"/>
          <w:marBottom w:val="0"/>
          <w:divBdr>
            <w:top w:val="none" w:sz="0" w:space="0" w:color="auto"/>
            <w:left w:val="none" w:sz="0" w:space="0" w:color="auto"/>
            <w:bottom w:val="none" w:sz="0" w:space="0" w:color="auto"/>
            <w:right w:val="none" w:sz="0" w:space="0" w:color="auto"/>
          </w:divBdr>
        </w:div>
        <w:div w:id="732120124">
          <w:marLeft w:val="0"/>
          <w:marRight w:val="0"/>
          <w:marTop w:val="0"/>
          <w:marBottom w:val="0"/>
          <w:divBdr>
            <w:top w:val="none" w:sz="0" w:space="0" w:color="auto"/>
            <w:left w:val="none" w:sz="0" w:space="0" w:color="auto"/>
            <w:bottom w:val="none" w:sz="0" w:space="0" w:color="auto"/>
            <w:right w:val="none" w:sz="0" w:space="0" w:color="auto"/>
          </w:divBdr>
        </w:div>
        <w:div w:id="1148402467">
          <w:marLeft w:val="0"/>
          <w:marRight w:val="0"/>
          <w:marTop w:val="0"/>
          <w:marBottom w:val="0"/>
          <w:divBdr>
            <w:top w:val="none" w:sz="0" w:space="0" w:color="auto"/>
            <w:left w:val="none" w:sz="0" w:space="0" w:color="auto"/>
            <w:bottom w:val="none" w:sz="0" w:space="0" w:color="auto"/>
            <w:right w:val="none" w:sz="0" w:space="0" w:color="auto"/>
          </w:divBdr>
        </w:div>
        <w:div w:id="1352294555">
          <w:marLeft w:val="0"/>
          <w:marRight w:val="0"/>
          <w:marTop w:val="0"/>
          <w:marBottom w:val="0"/>
          <w:divBdr>
            <w:top w:val="none" w:sz="0" w:space="0" w:color="auto"/>
            <w:left w:val="none" w:sz="0" w:space="0" w:color="auto"/>
            <w:bottom w:val="none" w:sz="0" w:space="0" w:color="auto"/>
            <w:right w:val="none" w:sz="0" w:space="0" w:color="auto"/>
          </w:divBdr>
        </w:div>
        <w:div w:id="1139153245">
          <w:marLeft w:val="0"/>
          <w:marRight w:val="0"/>
          <w:marTop w:val="0"/>
          <w:marBottom w:val="0"/>
          <w:divBdr>
            <w:top w:val="none" w:sz="0" w:space="0" w:color="auto"/>
            <w:left w:val="none" w:sz="0" w:space="0" w:color="auto"/>
            <w:bottom w:val="none" w:sz="0" w:space="0" w:color="auto"/>
            <w:right w:val="none" w:sz="0" w:space="0" w:color="auto"/>
          </w:divBdr>
        </w:div>
        <w:div w:id="331181363">
          <w:marLeft w:val="0"/>
          <w:marRight w:val="0"/>
          <w:marTop w:val="0"/>
          <w:marBottom w:val="0"/>
          <w:divBdr>
            <w:top w:val="none" w:sz="0" w:space="0" w:color="auto"/>
            <w:left w:val="none" w:sz="0" w:space="0" w:color="auto"/>
            <w:bottom w:val="none" w:sz="0" w:space="0" w:color="auto"/>
            <w:right w:val="none" w:sz="0" w:space="0" w:color="auto"/>
          </w:divBdr>
        </w:div>
        <w:div w:id="1514109020">
          <w:marLeft w:val="0"/>
          <w:marRight w:val="0"/>
          <w:marTop w:val="0"/>
          <w:marBottom w:val="0"/>
          <w:divBdr>
            <w:top w:val="none" w:sz="0" w:space="0" w:color="auto"/>
            <w:left w:val="none" w:sz="0" w:space="0" w:color="auto"/>
            <w:bottom w:val="none" w:sz="0" w:space="0" w:color="auto"/>
            <w:right w:val="none" w:sz="0" w:space="0" w:color="auto"/>
          </w:divBdr>
        </w:div>
        <w:div w:id="493843009">
          <w:marLeft w:val="0"/>
          <w:marRight w:val="0"/>
          <w:marTop w:val="0"/>
          <w:marBottom w:val="0"/>
          <w:divBdr>
            <w:top w:val="none" w:sz="0" w:space="0" w:color="auto"/>
            <w:left w:val="none" w:sz="0" w:space="0" w:color="auto"/>
            <w:bottom w:val="none" w:sz="0" w:space="0" w:color="auto"/>
            <w:right w:val="none" w:sz="0" w:space="0" w:color="auto"/>
          </w:divBdr>
        </w:div>
        <w:div w:id="1321620757">
          <w:marLeft w:val="0"/>
          <w:marRight w:val="0"/>
          <w:marTop w:val="0"/>
          <w:marBottom w:val="0"/>
          <w:divBdr>
            <w:top w:val="none" w:sz="0" w:space="0" w:color="auto"/>
            <w:left w:val="none" w:sz="0" w:space="0" w:color="auto"/>
            <w:bottom w:val="none" w:sz="0" w:space="0" w:color="auto"/>
            <w:right w:val="none" w:sz="0" w:space="0" w:color="auto"/>
          </w:divBdr>
        </w:div>
        <w:div w:id="969746062">
          <w:marLeft w:val="0"/>
          <w:marRight w:val="0"/>
          <w:marTop w:val="0"/>
          <w:marBottom w:val="0"/>
          <w:divBdr>
            <w:top w:val="none" w:sz="0" w:space="0" w:color="auto"/>
            <w:left w:val="none" w:sz="0" w:space="0" w:color="auto"/>
            <w:bottom w:val="none" w:sz="0" w:space="0" w:color="auto"/>
            <w:right w:val="none" w:sz="0" w:space="0" w:color="auto"/>
          </w:divBdr>
        </w:div>
        <w:div w:id="729502866">
          <w:marLeft w:val="0"/>
          <w:marRight w:val="0"/>
          <w:marTop w:val="0"/>
          <w:marBottom w:val="0"/>
          <w:divBdr>
            <w:top w:val="none" w:sz="0" w:space="0" w:color="auto"/>
            <w:left w:val="none" w:sz="0" w:space="0" w:color="auto"/>
            <w:bottom w:val="none" w:sz="0" w:space="0" w:color="auto"/>
            <w:right w:val="none" w:sz="0" w:space="0" w:color="auto"/>
          </w:divBdr>
        </w:div>
        <w:div w:id="213542635">
          <w:marLeft w:val="0"/>
          <w:marRight w:val="0"/>
          <w:marTop w:val="0"/>
          <w:marBottom w:val="0"/>
          <w:divBdr>
            <w:top w:val="none" w:sz="0" w:space="0" w:color="auto"/>
            <w:left w:val="none" w:sz="0" w:space="0" w:color="auto"/>
            <w:bottom w:val="none" w:sz="0" w:space="0" w:color="auto"/>
            <w:right w:val="none" w:sz="0" w:space="0" w:color="auto"/>
          </w:divBdr>
        </w:div>
        <w:div w:id="1881357251">
          <w:marLeft w:val="0"/>
          <w:marRight w:val="0"/>
          <w:marTop w:val="0"/>
          <w:marBottom w:val="0"/>
          <w:divBdr>
            <w:top w:val="none" w:sz="0" w:space="0" w:color="auto"/>
            <w:left w:val="none" w:sz="0" w:space="0" w:color="auto"/>
            <w:bottom w:val="none" w:sz="0" w:space="0" w:color="auto"/>
            <w:right w:val="none" w:sz="0" w:space="0" w:color="auto"/>
          </w:divBdr>
        </w:div>
      </w:divsChild>
    </w:div>
    <w:div w:id="1329289530">
      <w:bodyDiv w:val="1"/>
      <w:marLeft w:val="0"/>
      <w:marRight w:val="0"/>
      <w:marTop w:val="0"/>
      <w:marBottom w:val="0"/>
      <w:divBdr>
        <w:top w:val="none" w:sz="0" w:space="0" w:color="auto"/>
        <w:left w:val="none" w:sz="0" w:space="0" w:color="auto"/>
        <w:bottom w:val="none" w:sz="0" w:space="0" w:color="auto"/>
        <w:right w:val="none" w:sz="0" w:space="0" w:color="auto"/>
      </w:divBdr>
      <w:divsChild>
        <w:div w:id="1493447324">
          <w:marLeft w:val="0"/>
          <w:marRight w:val="0"/>
          <w:marTop w:val="0"/>
          <w:marBottom w:val="0"/>
          <w:divBdr>
            <w:top w:val="none" w:sz="0" w:space="0" w:color="auto"/>
            <w:left w:val="none" w:sz="0" w:space="0" w:color="auto"/>
            <w:bottom w:val="none" w:sz="0" w:space="0" w:color="auto"/>
            <w:right w:val="none" w:sz="0" w:space="0" w:color="auto"/>
          </w:divBdr>
          <w:divsChild>
            <w:div w:id="920138948">
              <w:marLeft w:val="0"/>
              <w:marRight w:val="0"/>
              <w:marTop w:val="0"/>
              <w:marBottom w:val="120"/>
              <w:divBdr>
                <w:top w:val="none" w:sz="0" w:space="0" w:color="auto"/>
                <w:left w:val="none" w:sz="0" w:space="0" w:color="auto"/>
                <w:bottom w:val="none" w:sz="0" w:space="0" w:color="auto"/>
                <w:right w:val="none" w:sz="0" w:space="0" w:color="auto"/>
              </w:divBdr>
              <w:divsChild>
                <w:div w:id="43340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4685">
          <w:marLeft w:val="0"/>
          <w:marRight w:val="0"/>
          <w:marTop w:val="0"/>
          <w:marBottom w:val="480"/>
          <w:divBdr>
            <w:top w:val="none" w:sz="0" w:space="0" w:color="auto"/>
            <w:left w:val="none" w:sz="0" w:space="0" w:color="auto"/>
            <w:bottom w:val="single" w:sz="12" w:space="24" w:color="EBEBEB"/>
            <w:right w:val="none" w:sz="0" w:space="0" w:color="auto"/>
          </w:divBdr>
          <w:divsChild>
            <w:div w:id="771391077">
              <w:marLeft w:val="0"/>
              <w:marRight w:val="0"/>
              <w:marTop w:val="0"/>
              <w:marBottom w:val="0"/>
              <w:divBdr>
                <w:top w:val="none" w:sz="0" w:space="0" w:color="auto"/>
                <w:left w:val="none" w:sz="0" w:space="0" w:color="auto"/>
                <w:bottom w:val="none" w:sz="0" w:space="0" w:color="auto"/>
                <w:right w:val="none" w:sz="0" w:space="0" w:color="auto"/>
              </w:divBdr>
              <w:divsChild>
                <w:div w:id="1391804279">
                  <w:marLeft w:val="0"/>
                  <w:marRight w:val="0"/>
                  <w:marTop w:val="0"/>
                  <w:marBottom w:val="0"/>
                  <w:divBdr>
                    <w:top w:val="none" w:sz="0" w:space="0" w:color="auto"/>
                    <w:left w:val="none" w:sz="0" w:space="0" w:color="auto"/>
                    <w:bottom w:val="none" w:sz="0" w:space="0" w:color="auto"/>
                    <w:right w:val="none" w:sz="0" w:space="0" w:color="auto"/>
                  </w:divBdr>
                </w:div>
                <w:div w:id="1256010272">
                  <w:marLeft w:val="0"/>
                  <w:marRight w:val="0"/>
                  <w:marTop w:val="0"/>
                  <w:marBottom w:val="0"/>
                  <w:divBdr>
                    <w:top w:val="none" w:sz="0" w:space="0" w:color="auto"/>
                    <w:left w:val="none" w:sz="0" w:space="0" w:color="auto"/>
                    <w:bottom w:val="none" w:sz="0" w:space="0" w:color="auto"/>
                    <w:right w:val="none" w:sz="0" w:space="0" w:color="auto"/>
                  </w:divBdr>
                </w:div>
                <w:div w:id="2094160582">
                  <w:marLeft w:val="0"/>
                  <w:marRight w:val="0"/>
                  <w:marTop w:val="0"/>
                  <w:marBottom w:val="0"/>
                  <w:divBdr>
                    <w:top w:val="none" w:sz="0" w:space="0" w:color="auto"/>
                    <w:left w:val="none" w:sz="0" w:space="0" w:color="auto"/>
                    <w:bottom w:val="none" w:sz="0" w:space="0" w:color="auto"/>
                    <w:right w:val="none" w:sz="0" w:space="0" w:color="auto"/>
                  </w:divBdr>
                </w:div>
                <w:div w:id="74087991">
                  <w:marLeft w:val="0"/>
                  <w:marRight w:val="0"/>
                  <w:marTop w:val="0"/>
                  <w:marBottom w:val="0"/>
                  <w:divBdr>
                    <w:top w:val="none" w:sz="0" w:space="0" w:color="auto"/>
                    <w:left w:val="none" w:sz="0" w:space="0" w:color="auto"/>
                    <w:bottom w:val="none" w:sz="0" w:space="0" w:color="auto"/>
                    <w:right w:val="none" w:sz="0" w:space="0" w:color="auto"/>
                  </w:divBdr>
                </w:div>
                <w:div w:id="1038705507">
                  <w:marLeft w:val="0"/>
                  <w:marRight w:val="0"/>
                  <w:marTop w:val="0"/>
                  <w:marBottom w:val="0"/>
                  <w:divBdr>
                    <w:top w:val="none" w:sz="0" w:space="0" w:color="auto"/>
                    <w:left w:val="none" w:sz="0" w:space="0" w:color="auto"/>
                    <w:bottom w:val="none" w:sz="0" w:space="0" w:color="auto"/>
                    <w:right w:val="none" w:sz="0" w:space="0" w:color="auto"/>
                  </w:divBdr>
                </w:div>
                <w:div w:id="7998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943234">
          <w:marLeft w:val="0"/>
          <w:marRight w:val="0"/>
          <w:marTop w:val="0"/>
          <w:marBottom w:val="0"/>
          <w:divBdr>
            <w:top w:val="none" w:sz="0" w:space="0" w:color="auto"/>
            <w:left w:val="none" w:sz="0" w:space="0" w:color="auto"/>
            <w:bottom w:val="none" w:sz="0" w:space="0" w:color="auto"/>
            <w:right w:val="none" w:sz="0" w:space="0" w:color="auto"/>
          </w:divBdr>
          <w:divsChild>
            <w:div w:id="1205677419">
              <w:marLeft w:val="0"/>
              <w:marRight w:val="0"/>
              <w:marTop w:val="0"/>
              <w:marBottom w:val="0"/>
              <w:divBdr>
                <w:top w:val="none" w:sz="0" w:space="0" w:color="auto"/>
                <w:left w:val="none" w:sz="0" w:space="0" w:color="auto"/>
                <w:bottom w:val="none" w:sz="0" w:space="0" w:color="auto"/>
                <w:right w:val="none" w:sz="0" w:space="0" w:color="auto"/>
              </w:divBdr>
              <w:divsChild>
                <w:div w:id="1643801843">
                  <w:marLeft w:val="0"/>
                  <w:marRight w:val="0"/>
                  <w:marTop w:val="0"/>
                  <w:marBottom w:val="0"/>
                  <w:divBdr>
                    <w:top w:val="none" w:sz="0" w:space="0" w:color="auto"/>
                    <w:left w:val="none" w:sz="0" w:space="0" w:color="auto"/>
                    <w:bottom w:val="none" w:sz="0" w:space="0" w:color="auto"/>
                    <w:right w:val="none" w:sz="0" w:space="0" w:color="auto"/>
                  </w:divBdr>
                  <w:divsChild>
                    <w:div w:id="641350103">
                      <w:marLeft w:val="0"/>
                      <w:marRight w:val="0"/>
                      <w:marTop w:val="240"/>
                      <w:marBottom w:val="240"/>
                      <w:divBdr>
                        <w:top w:val="single" w:sz="12" w:space="0" w:color="EBEBEB"/>
                        <w:left w:val="none" w:sz="0" w:space="0" w:color="auto"/>
                        <w:bottom w:val="single" w:sz="12" w:space="0" w:color="EBEBEB"/>
                        <w:right w:val="none" w:sz="0" w:space="0" w:color="auto"/>
                      </w:divBdr>
                      <w:divsChild>
                        <w:div w:id="1275564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2637779">
                  <w:marLeft w:val="0"/>
                  <w:marRight w:val="0"/>
                  <w:marTop w:val="0"/>
                  <w:marBottom w:val="0"/>
                  <w:divBdr>
                    <w:top w:val="none" w:sz="0" w:space="0" w:color="auto"/>
                    <w:left w:val="none" w:sz="0" w:space="0" w:color="auto"/>
                    <w:bottom w:val="none" w:sz="0" w:space="0" w:color="auto"/>
                    <w:right w:val="none" w:sz="0" w:space="0" w:color="auto"/>
                  </w:divBdr>
                  <w:divsChild>
                    <w:div w:id="1469127362">
                      <w:marLeft w:val="0"/>
                      <w:marRight w:val="0"/>
                      <w:marTop w:val="240"/>
                      <w:marBottom w:val="240"/>
                      <w:divBdr>
                        <w:top w:val="single" w:sz="12" w:space="0" w:color="EBEBEB"/>
                        <w:left w:val="none" w:sz="0" w:space="0" w:color="auto"/>
                        <w:bottom w:val="single" w:sz="12" w:space="0" w:color="EBEBEB"/>
                        <w:right w:val="none" w:sz="0" w:space="0" w:color="auto"/>
                      </w:divBdr>
                      <w:divsChild>
                        <w:div w:id="11071978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28049956">
                  <w:marLeft w:val="0"/>
                  <w:marRight w:val="0"/>
                  <w:marTop w:val="0"/>
                  <w:marBottom w:val="0"/>
                  <w:divBdr>
                    <w:top w:val="none" w:sz="0" w:space="0" w:color="auto"/>
                    <w:left w:val="none" w:sz="0" w:space="0" w:color="auto"/>
                    <w:bottom w:val="none" w:sz="0" w:space="0" w:color="auto"/>
                    <w:right w:val="none" w:sz="0" w:space="0" w:color="auto"/>
                  </w:divBdr>
                  <w:divsChild>
                    <w:div w:id="1241984993">
                      <w:marLeft w:val="0"/>
                      <w:marRight w:val="0"/>
                      <w:marTop w:val="240"/>
                      <w:marBottom w:val="240"/>
                      <w:divBdr>
                        <w:top w:val="single" w:sz="12" w:space="0" w:color="EBEBEB"/>
                        <w:left w:val="none" w:sz="0" w:space="0" w:color="auto"/>
                        <w:bottom w:val="single" w:sz="12" w:space="0" w:color="EBEBEB"/>
                        <w:right w:val="none" w:sz="0" w:space="0" w:color="auto"/>
                      </w:divBdr>
                      <w:divsChild>
                        <w:div w:id="12341228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4031544">
                  <w:marLeft w:val="0"/>
                  <w:marRight w:val="0"/>
                  <w:marTop w:val="0"/>
                  <w:marBottom w:val="0"/>
                  <w:divBdr>
                    <w:top w:val="none" w:sz="0" w:space="0" w:color="auto"/>
                    <w:left w:val="none" w:sz="0" w:space="0" w:color="auto"/>
                    <w:bottom w:val="none" w:sz="0" w:space="0" w:color="auto"/>
                    <w:right w:val="none" w:sz="0" w:space="0" w:color="auto"/>
                  </w:divBdr>
                </w:div>
                <w:div w:id="1510637557">
                  <w:marLeft w:val="0"/>
                  <w:marRight w:val="0"/>
                  <w:marTop w:val="0"/>
                  <w:marBottom w:val="0"/>
                  <w:divBdr>
                    <w:top w:val="none" w:sz="0" w:space="0" w:color="auto"/>
                    <w:left w:val="none" w:sz="0" w:space="0" w:color="auto"/>
                    <w:bottom w:val="none" w:sz="0" w:space="0" w:color="auto"/>
                    <w:right w:val="none" w:sz="0" w:space="0" w:color="auto"/>
                  </w:divBdr>
                </w:div>
                <w:div w:id="311912410">
                  <w:marLeft w:val="0"/>
                  <w:marRight w:val="0"/>
                  <w:marTop w:val="0"/>
                  <w:marBottom w:val="0"/>
                  <w:divBdr>
                    <w:top w:val="none" w:sz="0" w:space="0" w:color="auto"/>
                    <w:left w:val="none" w:sz="0" w:space="0" w:color="auto"/>
                    <w:bottom w:val="none" w:sz="0" w:space="0" w:color="auto"/>
                    <w:right w:val="none" w:sz="0" w:space="0" w:color="auto"/>
                  </w:divBdr>
                  <w:divsChild>
                    <w:div w:id="1739285675">
                      <w:marLeft w:val="0"/>
                      <w:marRight w:val="0"/>
                      <w:marTop w:val="240"/>
                      <w:marBottom w:val="240"/>
                      <w:divBdr>
                        <w:top w:val="single" w:sz="12" w:space="0" w:color="EBEBEB"/>
                        <w:left w:val="none" w:sz="0" w:space="0" w:color="auto"/>
                        <w:bottom w:val="single" w:sz="12" w:space="0" w:color="EBEBEB"/>
                        <w:right w:val="none" w:sz="0" w:space="0" w:color="auto"/>
                      </w:divBdr>
                      <w:divsChild>
                        <w:div w:id="185056237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1551714418303616?via%3Dihub" TargetMode="External"/><Relationship Id="rId21" Type="http://schemas.openxmlformats.org/officeDocument/2006/relationships/hyperlink" Target="https://0-www-sciencedirect-com.libus.csd.mu.edu/topics/medicine-and-dentistry/dysthymia" TargetMode="External"/><Relationship Id="rId42" Type="http://schemas.openxmlformats.org/officeDocument/2006/relationships/hyperlink" Target="https://0-www-sciencedirect-com.libus.csd.mu.edu/topics/medicine-and-dentistry/six-minute-walk-test" TargetMode="External"/><Relationship Id="rId63" Type="http://schemas.openxmlformats.org/officeDocument/2006/relationships/hyperlink" Target="http://ajot.aotapress.net/content/58/1/54.short" TargetMode="External"/><Relationship Id="rId84" Type="http://schemas.openxmlformats.org/officeDocument/2006/relationships/hyperlink" Target="https://doi.org/10.1123/apaq.29.3.243" TargetMode="External"/><Relationship Id="rId138" Type="http://schemas.openxmlformats.org/officeDocument/2006/relationships/hyperlink" Target="https://www.sciencedirect.com/science/article/pii/S1551714418303616?via%3Dihub" TargetMode="External"/><Relationship Id="rId107" Type="http://schemas.openxmlformats.org/officeDocument/2006/relationships/hyperlink" Target="https://doi.org/10.1002/pri.358" TargetMode="External"/><Relationship Id="rId11" Type="http://schemas.openxmlformats.org/officeDocument/2006/relationships/hyperlink" Target="https://0-www-sciencedirect-com.libus.csd.mu.edu/topics/medicine-and-dentistry/multiple-sclerosis" TargetMode="External"/><Relationship Id="rId32" Type="http://schemas.openxmlformats.org/officeDocument/2006/relationships/hyperlink" Target="https://0-www-sciencedirect-com.libus.csd.mu.edu/topics/medicine-and-dentistry/social-interaction" TargetMode="External"/><Relationship Id="rId37" Type="http://schemas.openxmlformats.org/officeDocument/2006/relationships/hyperlink" Target="https://0-www-sciencedirect-com.libus.csd.mu.edu/topics/medicine-and-dentistry/expanded-disability-status-scale" TargetMode="External"/><Relationship Id="rId53" Type="http://schemas.openxmlformats.org/officeDocument/2006/relationships/hyperlink" Target="https://0-www-sciencedirect-com.libus.csd.mu.edu/topics/medicine-and-dentistry/stretching-exercise" TargetMode="External"/><Relationship Id="rId58" Type="http://schemas.openxmlformats.org/officeDocument/2006/relationships/hyperlink" Target="https://www.sciencedirect.com/science/article/pii/S1551714418303616?via%3Dihub" TargetMode="External"/><Relationship Id="rId74" Type="http://schemas.openxmlformats.org/officeDocument/2006/relationships/hyperlink" Target="https://www.sciencedirect.com/science/article/pii/S1551714418303616?via%3Dihub" TargetMode="External"/><Relationship Id="rId79" Type="http://schemas.openxmlformats.org/officeDocument/2006/relationships/hyperlink" Target="https://doi.org/10.1177/2055217315584838" TargetMode="External"/><Relationship Id="rId102" Type="http://schemas.openxmlformats.org/officeDocument/2006/relationships/hyperlink" Target="https://www.sciencedirect.com/science/article/pii/S1551714418303616?via%3Dihub" TargetMode="External"/><Relationship Id="rId123" Type="http://schemas.openxmlformats.org/officeDocument/2006/relationships/hyperlink" Target="https://www.sciencedirect.com/science/article/pii/S1551714418303616?via%3Dihub" TargetMode="External"/><Relationship Id="rId128" Type="http://schemas.openxmlformats.org/officeDocument/2006/relationships/hyperlink" Target="https://doi.org/10.1177/1352458513519354" TargetMode="External"/><Relationship Id="rId5" Type="http://schemas.openxmlformats.org/officeDocument/2006/relationships/styles" Target="styles.xml"/><Relationship Id="rId90" Type="http://schemas.openxmlformats.org/officeDocument/2006/relationships/hyperlink" Target="https://www.sciencedirect.com/science/article/pii/S1551714418303616?via%3Dihub" TargetMode="External"/><Relationship Id="rId95" Type="http://schemas.openxmlformats.org/officeDocument/2006/relationships/hyperlink" Target="https://doi.org/10.1002/pst.185" TargetMode="External"/><Relationship Id="rId22" Type="http://schemas.openxmlformats.org/officeDocument/2006/relationships/hyperlink" Target="https://0-www-sciencedirect-com.libus.csd.mu.edu/science/article/pii/S1551714418303616" TargetMode="External"/><Relationship Id="rId27" Type="http://schemas.openxmlformats.org/officeDocument/2006/relationships/hyperlink" Target="https://0-www-sciencedirect-com.libus.csd.mu.edu/science/article/pii/S1551714418303616" TargetMode="External"/><Relationship Id="rId43" Type="http://schemas.openxmlformats.org/officeDocument/2006/relationships/hyperlink" Target="https://0-www-sciencedirect-com.libus.csd.mu.edu/topics/medicine-and-dentistry/symbol-digit-modalities-test" TargetMode="External"/><Relationship Id="rId48" Type="http://schemas.openxmlformats.org/officeDocument/2006/relationships/hyperlink" Target="https://0-www-sciencedirect-com.libus.csd.mu.edu/topics/medicine-and-dentistry/graduate-student" TargetMode="External"/><Relationship Id="rId64" Type="http://schemas.openxmlformats.org/officeDocument/2006/relationships/hyperlink" Target="https://www.sciencedirect.com/science/article/pii/S1551714418303616?via%3Dihub" TargetMode="External"/><Relationship Id="rId69" Type="http://schemas.openxmlformats.org/officeDocument/2006/relationships/hyperlink" Target="https://doi.org/10.1371/journal.pone.0065640" TargetMode="External"/><Relationship Id="rId113" Type="http://schemas.openxmlformats.org/officeDocument/2006/relationships/hyperlink" Target="https://www.sciencedirect.com/science/article/pii/S1551714418303616?via%3Dihub" TargetMode="External"/><Relationship Id="rId118" Type="http://schemas.openxmlformats.org/officeDocument/2006/relationships/hyperlink" Target="https://doi.org/10.1093/gerona/63.1.76" TargetMode="External"/><Relationship Id="rId134" Type="http://schemas.openxmlformats.org/officeDocument/2006/relationships/hyperlink" Target="https://www.sciencedirect.com/science/article/pii/S1551714418303616?via%3Dihub" TargetMode="External"/><Relationship Id="rId139" Type="http://schemas.openxmlformats.org/officeDocument/2006/relationships/hyperlink" Target="https://doi.org/10.1186/1471-2288-13-78" TargetMode="External"/><Relationship Id="rId80" Type="http://schemas.openxmlformats.org/officeDocument/2006/relationships/hyperlink" Target="https://www.sciencedirect.com/science/article/pii/S1551714418303616?via%3Dihub" TargetMode="External"/><Relationship Id="rId85" Type="http://schemas.openxmlformats.org/officeDocument/2006/relationships/hyperlink" Target="https://www.sciencedirect.com/science/article/pii/S1551714418303616?via%3Dihub" TargetMode="External"/><Relationship Id="rId12" Type="http://schemas.openxmlformats.org/officeDocument/2006/relationships/hyperlink" Target="https://0-www-sciencedirect-com.libus.csd.mu.edu/topics/medicine-and-dentistry/disease-exacerbation" TargetMode="External"/><Relationship Id="rId17" Type="http://schemas.openxmlformats.org/officeDocument/2006/relationships/hyperlink" Target="https://0-www-sciencedirect-com.libus.csd.mu.edu/topics/medicine-and-dentistry/multiple-sclerosis" TargetMode="External"/><Relationship Id="rId33" Type="http://schemas.openxmlformats.org/officeDocument/2006/relationships/hyperlink" Target="https://0-www-sciencedirect-com.libus.csd.mu.edu/topics/medicine-and-dentistry/stretching-exercise" TargetMode="External"/><Relationship Id="rId38" Type="http://schemas.openxmlformats.org/officeDocument/2006/relationships/hyperlink" Target="https://0-www-sciencedirect-com.libus.csd.mu.edu/topics/medicine-and-dentistry/multiple-sclerosis" TargetMode="External"/><Relationship Id="rId59" Type="http://schemas.openxmlformats.org/officeDocument/2006/relationships/hyperlink" Target="https://doi.org/10.1186/1471-2377-13-73" TargetMode="External"/><Relationship Id="rId103" Type="http://schemas.openxmlformats.org/officeDocument/2006/relationships/hyperlink" Target="https://doi.org/10.1016/j.apmr.2012.02.026" TargetMode="External"/><Relationship Id="rId108" Type="http://schemas.openxmlformats.org/officeDocument/2006/relationships/hyperlink" Target="https://www.sciencedirect.com/science/article/pii/S1551714418303616?via%3Dihub" TargetMode="External"/><Relationship Id="rId124" Type="http://schemas.openxmlformats.org/officeDocument/2006/relationships/hyperlink" Target="https://doi.org/10.1177/1352458513503391" TargetMode="External"/><Relationship Id="rId129" Type="http://schemas.openxmlformats.org/officeDocument/2006/relationships/hyperlink" Target="https://www.sciencedirect.com/science/article/pii/S1551714418303616?via%3Dihub" TargetMode="External"/><Relationship Id="rId54" Type="http://schemas.openxmlformats.org/officeDocument/2006/relationships/hyperlink" Target="https://0-www-sciencedirect-com.libus.csd.mu.edu/topics/medicine-and-dentistry/multiple-sclerosis" TargetMode="External"/><Relationship Id="rId70" Type="http://schemas.openxmlformats.org/officeDocument/2006/relationships/hyperlink" Target="https://www.sciencedirect.com/science/article/pii/S1551714418303616?via%3Dihub" TargetMode="External"/><Relationship Id="rId75" Type="http://schemas.openxmlformats.org/officeDocument/2006/relationships/hyperlink" Target="https://doi.org/10.1038/nrneurol.2012.136" TargetMode="External"/><Relationship Id="rId91" Type="http://schemas.openxmlformats.org/officeDocument/2006/relationships/hyperlink" Target="https://www.sciencedirect.com/science/article/pii/S1551714418303616?via%3Dihub" TargetMode="External"/><Relationship Id="rId96" Type="http://schemas.openxmlformats.org/officeDocument/2006/relationships/hyperlink" Target="https://www.sciencedirect.com/science/article/pii/S1551714418303616?via%3Dihub"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0-www-sciencedirect-com.libus.csd.mu.edu/science/article/pii/S1551714418303616" TargetMode="External"/><Relationship Id="rId28" Type="http://schemas.openxmlformats.org/officeDocument/2006/relationships/hyperlink" Target="https://0-www-sciencedirect-com.libus.csd.mu.edu/science/article/pii/S1551714418303616" TargetMode="External"/><Relationship Id="rId49" Type="http://schemas.openxmlformats.org/officeDocument/2006/relationships/hyperlink" Target="https://0-www-sciencedirect-com.libus.csd.mu.edu/science/article/pii/S1551714418303616" TargetMode="External"/><Relationship Id="rId114" Type="http://schemas.openxmlformats.org/officeDocument/2006/relationships/hyperlink" Target="https://doi.org/10.1234/12345678" TargetMode="External"/><Relationship Id="rId119" Type="http://schemas.openxmlformats.org/officeDocument/2006/relationships/hyperlink" Target="https://www.sciencedirect.com/science/article/pii/S1551714418303616?via%3Dihub" TargetMode="External"/><Relationship Id="rId44" Type="http://schemas.openxmlformats.org/officeDocument/2006/relationships/hyperlink" Target="https://0-www-sciencedirect-com.libus.csd.mu.edu/topics/medicine-and-dentistry/california-verbal-learning-test" TargetMode="External"/><Relationship Id="rId60" Type="http://schemas.openxmlformats.org/officeDocument/2006/relationships/hyperlink" Target="https://www.sciencedirect.com/science/article/pii/S1551714418303616?via%3Dihub" TargetMode="External"/><Relationship Id="rId65" Type="http://schemas.openxmlformats.org/officeDocument/2006/relationships/hyperlink" Target="https://doi.org/10.5014/ajot.63.2.151" TargetMode="External"/><Relationship Id="rId81" Type="http://schemas.openxmlformats.org/officeDocument/2006/relationships/hyperlink" Target="https://www.sciencedirect.com/science/article/pii/S1551714418303616?via%3Dihub" TargetMode="External"/><Relationship Id="rId86" Type="http://schemas.openxmlformats.org/officeDocument/2006/relationships/hyperlink" Target="https://doi.org/10.1080/02701367.2015.1023099" TargetMode="External"/><Relationship Id="rId130" Type="http://schemas.openxmlformats.org/officeDocument/2006/relationships/hyperlink" Target="https://doi.org/10.1016/j.apmr.2015.07.015" TargetMode="External"/><Relationship Id="rId135" Type="http://schemas.openxmlformats.org/officeDocument/2006/relationships/hyperlink" Target="https://doi.org/10.1016/j.jns.2014.05.016" TargetMode="External"/><Relationship Id="rId13" Type="http://schemas.openxmlformats.org/officeDocument/2006/relationships/hyperlink" Target="https://0-www-sciencedirect-com.libus.csd.mu.edu/topics/medicine-and-dentistry/multiple-sclerosis" TargetMode="External"/><Relationship Id="rId18" Type="http://schemas.openxmlformats.org/officeDocument/2006/relationships/hyperlink" Target="https://0-www-sciencedirect-com.libus.csd.mu.edu/topics/medicine-and-dentistry/mild-cognitive-impairment" TargetMode="External"/><Relationship Id="rId39" Type="http://schemas.openxmlformats.org/officeDocument/2006/relationships/image" Target="media/image2.jpeg"/><Relationship Id="rId109" Type="http://schemas.openxmlformats.org/officeDocument/2006/relationships/hyperlink" Target="https://doi.org/http:/www.ncbi.nlm.nih.gov/entrez/query.fcgi?cmd=Retrieve&amp;db=PubMed&amp;dopt=Citation&amp;list_uids=1991946" TargetMode="External"/><Relationship Id="rId34" Type="http://schemas.openxmlformats.org/officeDocument/2006/relationships/hyperlink" Target="https://0-www-sciencedirect-com.libus.csd.mu.edu/topics/medicine-and-dentistry/symbol-digit-modalities-test" TargetMode="External"/><Relationship Id="rId50" Type="http://schemas.openxmlformats.org/officeDocument/2006/relationships/hyperlink" Target="https://0-www-sciencedirect-com.libus.csd.mu.edu/science/article/pii/S1551714418303616" TargetMode="External"/><Relationship Id="rId55" Type="http://schemas.openxmlformats.org/officeDocument/2006/relationships/hyperlink" Target="https://0-www-sciencedirect-com.libus.csd.mu.edu/science/article/pii/S1551714418303616" TargetMode="External"/><Relationship Id="rId76" Type="http://schemas.openxmlformats.org/officeDocument/2006/relationships/hyperlink" Target="https://www.sciencedirect.com/science/article/pii/S1551714418303616?via%3Dihub" TargetMode="External"/><Relationship Id="rId97" Type="http://schemas.openxmlformats.org/officeDocument/2006/relationships/hyperlink" Target="https://doi.org/10.1191/135245899678846168" TargetMode="External"/><Relationship Id="rId104" Type="http://schemas.openxmlformats.org/officeDocument/2006/relationships/hyperlink" Target="https://www.sciencedirect.com/science/article/pii/S1551714418303616?via%3Dihub" TargetMode="External"/><Relationship Id="rId120" Type="http://schemas.openxmlformats.org/officeDocument/2006/relationships/hyperlink" Target="http://www.scielo.br/scielo.php?script=sci_arttext&amp;amp%5Cnpid=S1980-65742014000400454" TargetMode="External"/><Relationship Id="rId125" Type="http://schemas.openxmlformats.org/officeDocument/2006/relationships/hyperlink" Target="https://www.sciencedirect.com/science/article/pii/S1551714418303616?via%3Dihub" TargetMode="External"/><Relationship Id="rId141"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s://doi.org/10.1002/ana.10147" TargetMode="External"/><Relationship Id="rId92" Type="http://schemas.openxmlformats.org/officeDocument/2006/relationships/hyperlink" Target="https://www.sciencedirect.com/science/article/pii/S1551714418303616?via%3Dihub" TargetMode="External"/><Relationship Id="rId2" Type="http://schemas.openxmlformats.org/officeDocument/2006/relationships/customXml" Target="../customXml/item2.xml"/><Relationship Id="rId29" Type="http://schemas.openxmlformats.org/officeDocument/2006/relationships/image" Target="media/image1.jpeg"/><Relationship Id="rId24" Type="http://schemas.openxmlformats.org/officeDocument/2006/relationships/hyperlink" Target="https://0-www-sciencedirect-com.libus.csd.mu.edu/science/article/pii/S1551714418303616" TargetMode="External"/><Relationship Id="rId40" Type="http://schemas.openxmlformats.org/officeDocument/2006/relationships/image" Target="media/image3.jpeg"/><Relationship Id="rId45" Type="http://schemas.openxmlformats.org/officeDocument/2006/relationships/hyperlink" Target="https://0-www-sciencedirect-com.libus.csd.mu.edu/topics/medicine-and-dentistry/visual-memory" TargetMode="External"/><Relationship Id="rId66" Type="http://schemas.openxmlformats.org/officeDocument/2006/relationships/hyperlink" Target="https://www.sciencedirect.com/science/article/pii/S1551714418303616?via%3Dihub" TargetMode="External"/><Relationship Id="rId87" Type="http://schemas.openxmlformats.org/officeDocument/2006/relationships/hyperlink" Target="https://www.sciencedirect.com/science/article/pii/S1551714418303616?via%3Dihub" TargetMode="External"/><Relationship Id="rId110" Type="http://schemas.openxmlformats.org/officeDocument/2006/relationships/hyperlink" Target="https://www.sciencedirect.com/science/article/pii/S1551714418303616?via%3Dihub" TargetMode="External"/><Relationship Id="rId115" Type="http://schemas.openxmlformats.org/officeDocument/2006/relationships/hyperlink" Target="https://www.sciencedirect.com/science/article/pii/S1551714418303616?via%3Dihub" TargetMode="External"/><Relationship Id="rId131" Type="http://schemas.openxmlformats.org/officeDocument/2006/relationships/hyperlink" Target="https://www.sciencedirect.com/science/article/pii/S1551714418303616?via%3Dihub" TargetMode="External"/><Relationship Id="rId136" Type="http://schemas.openxmlformats.org/officeDocument/2006/relationships/hyperlink" Target="https://www.sciencedirect.com/science/article/pii/S1551714418303616?via%3Dihub" TargetMode="External"/><Relationship Id="rId61" Type="http://schemas.openxmlformats.org/officeDocument/2006/relationships/hyperlink" Target="https://doi.org/10.1080/0963828031000122195" TargetMode="External"/><Relationship Id="rId82" Type="http://schemas.openxmlformats.org/officeDocument/2006/relationships/hyperlink" Target="https://doi.org/10.3109/09638280902980928" TargetMode="External"/><Relationship Id="rId19" Type="http://schemas.openxmlformats.org/officeDocument/2006/relationships/hyperlink" Target="https://0-www-sciencedirect-com.libus.csd.mu.edu/topics/medicine-and-dentistry/walking-speed" TargetMode="External"/><Relationship Id="rId14" Type="http://schemas.openxmlformats.org/officeDocument/2006/relationships/hyperlink" Target="https://0-www-sciencedirect-com.libus.csd.mu.edu/topics/medicine-and-dentistry/walking-difficulty" TargetMode="External"/><Relationship Id="rId30" Type="http://schemas.openxmlformats.org/officeDocument/2006/relationships/hyperlink" Target="https://0-www-sciencedirect-com.libus.csd.mu.edu/topics/medicine-and-dentistry/muscle-training" TargetMode="External"/><Relationship Id="rId35" Type="http://schemas.openxmlformats.org/officeDocument/2006/relationships/hyperlink" Target="https://0-www-sciencedirect-com.libus.csd.mu.edu/topics/medicine-and-dentistry/california-verbal-learning-test" TargetMode="External"/><Relationship Id="rId56" Type="http://schemas.openxmlformats.org/officeDocument/2006/relationships/hyperlink" Target="https://www.sciencedirect.com/science/article/pii/S1551714418303616?via%3Dihub" TargetMode="External"/><Relationship Id="rId77" Type="http://schemas.openxmlformats.org/officeDocument/2006/relationships/hyperlink" Target="https://doi.org/10.1249/MSS.0b013e3181a0c95c" TargetMode="External"/><Relationship Id="rId100" Type="http://schemas.openxmlformats.org/officeDocument/2006/relationships/hyperlink" Target="https://www.sciencedirect.com/science/article/pii/S1551714418303616?via%3Dihub" TargetMode="External"/><Relationship Id="rId105" Type="http://schemas.openxmlformats.org/officeDocument/2006/relationships/hyperlink" Target="https://doi.org/10.7224/1537-2073.2014-067" TargetMode="External"/><Relationship Id="rId126" Type="http://schemas.openxmlformats.org/officeDocument/2006/relationships/hyperlink" Target="https://doi.org/10.1177/0269215513501092" TargetMode="External"/><Relationship Id="rId8" Type="http://schemas.openxmlformats.org/officeDocument/2006/relationships/hyperlink" Target="https://doi.org/10.1016/j.cct.2018.09.008" TargetMode="External"/><Relationship Id="rId51" Type="http://schemas.openxmlformats.org/officeDocument/2006/relationships/hyperlink" Target="https://0-www-sciencedirect-com.libus.csd.mu.edu/science/article/pii/S1551714418303616" TargetMode="External"/><Relationship Id="rId72" Type="http://schemas.openxmlformats.org/officeDocument/2006/relationships/hyperlink" Target="https://www.sciencedirect.com/science/article/pii/S1551714418303616?via%3Dihub" TargetMode="External"/><Relationship Id="rId93" Type="http://schemas.openxmlformats.org/officeDocument/2006/relationships/hyperlink" Target="https://doi.org/10.1016/j.archger.2010.04.008" TargetMode="External"/><Relationship Id="rId98" Type="http://schemas.openxmlformats.org/officeDocument/2006/relationships/hyperlink" Target="https://www.sciencedirect.com/science/article/pii/S1551714418303616?via%3Dihub" TargetMode="External"/><Relationship Id="rId121" Type="http://schemas.openxmlformats.org/officeDocument/2006/relationships/hyperlink" Target="https://www.sciencedirect.com/science/article/pii/S1551714418303616?via%3Dihub" TargetMode="External"/><Relationship Id="rId3" Type="http://schemas.openxmlformats.org/officeDocument/2006/relationships/customXml" Target="../customXml/item3.xml"/><Relationship Id="rId25" Type="http://schemas.openxmlformats.org/officeDocument/2006/relationships/hyperlink" Target="https://0-www-sciencedirect-com.libus.csd.mu.edu/science/article/pii/S1551714418303616" TargetMode="External"/><Relationship Id="rId46" Type="http://schemas.openxmlformats.org/officeDocument/2006/relationships/hyperlink" Target="https://0-www-sciencedirect-com.libus.csd.mu.edu/science/article/pii/S1551714418303616" TargetMode="External"/><Relationship Id="rId67" Type="http://schemas.openxmlformats.org/officeDocument/2006/relationships/hyperlink" Target="https://doi.org/10.1080/09638280310001596180" TargetMode="External"/><Relationship Id="rId116" Type="http://schemas.openxmlformats.org/officeDocument/2006/relationships/hyperlink" Target="https://doi.org/10.4172/2167-7182.1000147" TargetMode="External"/><Relationship Id="rId137" Type="http://schemas.openxmlformats.org/officeDocument/2006/relationships/hyperlink" Target="https://doi.org/10.1111/ggi.12011" TargetMode="External"/><Relationship Id="rId20" Type="http://schemas.openxmlformats.org/officeDocument/2006/relationships/hyperlink" Target="https://0-www-sciencedirect-com.libus.csd.mu.edu/topics/medicine-and-dentistry/endurance" TargetMode="External"/><Relationship Id="rId41" Type="http://schemas.openxmlformats.org/officeDocument/2006/relationships/hyperlink" Target="https://0-www-sciencedirect-com.libus.csd.mu.edu/topics/medicine-and-dentistry/timed-up-and-go-test" TargetMode="External"/><Relationship Id="rId62" Type="http://schemas.openxmlformats.org/officeDocument/2006/relationships/hyperlink" Target="https://www.sciencedirect.com/science/article/pii/S1551714418303616?via%3Dihub" TargetMode="External"/><Relationship Id="rId83" Type="http://schemas.openxmlformats.org/officeDocument/2006/relationships/hyperlink" Target="https://www.sciencedirect.com/science/article/pii/S1551714418303616?via%3Dihub" TargetMode="External"/><Relationship Id="rId88" Type="http://schemas.openxmlformats.org/officeDocument/2006/relationships/hyperlink" Target="https://doi.org/10.1016/j.conctc.2017.07.012" TargetMode="External"/><Relationship Id="rId111" Type="http://schemas.openxmlformats.org/officeDocument/2006/relationships/hyperlink" Target="https://doi.org/10.1177/1352458511431076" TargetMode="External"/><Relationship Id="rId132" Type="http://schemas.openxmlformats.org/officeDocument/2006/relationships/hyperlink" Target="https://doi.org/10.1191/1740774504cn032oa" TargetMode="External"/><Relationship Id="rId15" Type="http://schemas.openxmlformats.org/officeDocument/2006/relationships/hyperlink" Target="https://0-www-sciencedirect-com.libus.csd.mu.edu/topics/medicine-and-dentistry/disease-modifying-therapy" TargetMode="External"/><Relationship Id="rId36" Type="http://schemas.openxmlformats.org/officeDocument/2006/relationships/hyperlink" Target="https://0-www-sciencedirect-com.libus.csd.mu.edu/topics/medicine-and-dentistry/expanded-disability-status-scale" TargetMode="External"/><Relationship Id="rId57" Type="http://schemas.openxmlformats.org/officeDocument/2006/relationships/hyperlink" Target="https://doi.org/10.1212/WNL.0b013e3181cf6ec0" TargetMode="External"/><Relationship Id="rId106" Type="http://schemas.openxmlformats.org/officeDocument/2006/relationships/hyperlink" Target="https://www.sciencedirect.com/science/article/pii/S1551714418303616?via%3Dihub" TargetMode="External"/><Relationship Id="rId127" Type="http://schemas.openxmlformats.org/officeDocument/2006/relationships/hyperlink" Target="https://www.sciencedirect.com/science/article/pii/S1551714418303616?via%3Dihub" TargetMode="External"/><Relationship Id="rId10" Type="http://schemas.openxmlformats.org/officeDocument/2006/relationships/hyperlink" Target="https://0-www-sciencedirect-com.libus.csd.mu.edu/topics/medicine-and-dentistry/rehabilitation-engineering" TargetMode="External"/><Relationship Id="rId31" Type="http://schemas.openxmlformats.org/officeDocument/2006/relationships/hyperlink" Target="https://0-www-sciencedirect-com.libus.csd.mu.edu/science/article/pii/S1551714418303616" TargetMode="External"/><Relationship Id="rId52" Type="http://schemas.openxmlformats.org/officeDocument/2006/relationships/hyperlink" Target="https://0-www-sciencedirect-com.libus.csd.mu.edu/topics/medicine-and-dentistry/muscle-training" TargetMode="External"/><Relationship Id="rId73" Type="http://schemas.openxmlformats.org/officeDocument/2006/relationships/hyperlink" Target="https://doi.org/10.1155/2015/451912" TargetMode="External"/><Relationship Id="rId78" Type="http://schemas.openxmlformats.org/officeDocument/2006/relationships/hyperlink" Target="https://www.sciencedirect.com/science/article/pii/S1551714418303616?via%3Dihub" TargetMode="External"/><Relationship Id="rId94" Type="http://schemas.openxmlformats.org/officeDocument/2006/relationships/hyperlink" Target="https://www.sciencedirect.com/science/article/pii/S1551714418303616?via%3Dihub" TargetMode="External"/><Relationship Id="rId99" Type="http://schemas.openxmlformats.org/officeDocument/2006/relationships/hyperlink" Target="https://doi.org/10.1191/135245800678827860" TargetMode="External"/><Relationship Id="rId101" Type="http://schemas.openxmlformats.org/officeDocument/2006/relationships/hyperlink" Target="https://doi.org/10.1177/1352458507082607" TargetMode="External"/><Relationship Id="rId122" Type="http://schemas.openxmlformats.org/officeDocument/2006/relationships/hyperlink" Target="https://doi.org/10.1016/j.cct.2016.11.012"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0-www-sciencedirect-com.libus.csd.mu.edu/science/article/pii/S1551714418303616" TargetMode="External"/><Relationship Id="rId47" Type="http://schemas.openxmlformats.org/officeDocument/2006/relationships/hyperlink" Target="https://0-www-sciencedirect-com.libus.csd.mu.edu/science/article/pii/S1551714418303616" TargetMode="External"/><Relationship Id="rId68" Type="http://schemas.openxmlformats.org/officeDocument/2006/relationships/hyperlink" Target="https://www.sciencedirect.com/science/article/pii/S1551714418303616?via%3Dihub" TargetMode="External"/><Relationship Id="rId89" Type="http://schemas.openxmlformats.org/officeDocument/2006/relationships/hyperlink" Target="https://www.sciencedirect.com/science/article/pii/S1551714418303616?via%3Dihub" TargetMode="External"/><Relationship Id="rId112" Type="http://schemas.openxmlformats.org/officeDocument/2006/relationships/hyperlink" Target="https://www.sciencedirect.com/science/article/pii/S1551714418303616?via%3Dihub" TargetMode="External"/><Relationship Id="rId133" Type="http://schemas.openxmlformats.org/officeDocument/2006/relationships/hyperlink" Target="https://www.sciencedirect.com/science/article/pii/S1551714418303616?via%3Dihub" TargetMode="External"/><Relationship Id="rId16" Type="http://schemas.openxmlformats.org/officeDocument/2006/relationships/hyperlink" Target="https://0-www-sciencedirect-com.libus.csd.mu.edu/topics/medicine-and-dentistry/clinical-fea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831139-EA54-4AFA-80D5-3E47278204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73A5E4-6C15-44D4-993E-1ED26B1D81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34B890-3EF1-42F3-914E-ADA8AD3EEE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17</Pages>
  <Words>11392</Words>
  <Characters>65965</Characters>
  <Application>Microsoft Office Word</Application>
  <DocSecurity>8</DocSecurity>
  <Lines>1534</Lines>
  <Paragraphs>703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2019-10-09T18:02:00Z</dcterms:created>
  <dcterms:modified xsi:type="dcterms:W3CDTF">2019-11-04T19:55:00Z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