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6C954A6D" w:rsidR="000A7622" w:rsidRPr="00C04F25" w:rsidRDefault="009543C7" w:rsidP="00D14423">
      <w:pPr>
        <w:autoSpaceDE w:val="0"/>
        <w:autoSpaceDN w:val="0"/>
        <w:adjustRightInd w:val="0"/>
        <w:rPr>
          <w:rFonts w:cstheme="minorHAnsi"/>
          <w:b/>
          <w:bCs/>
          <w:i/>
          <w:iCs/>
          <w:sz w:val="32"/>
          <w:szCs w:val="32"/>
        </w:rPr>
      </w:pPr>
      <w:r>
        <w:rPr>
          <w:rFonts w:cstheme="minorHAnsi"/>
          <w:b/>
          <w:bCs/>
          <w:i/>
          <w:iCs/>
          <w:sz w:val="32"/>
          <w:szCs w:val="32"/>
        </w:rPr>
        <w:t xml:space="preserve">Physical Therapy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866C02">
        <w:rPr>
          <w:rFonts w:cstheme="minorHAnsi"/>
          <w:b/>
          <w:bCs/>
          <w:i/>
          <w:iCs/>
          <w:sz w:val="32"/>
          <w:szCs w:val="32"/>
        </w:rPr>
        <w:t>Health Sciences</w:t>
      </w:r>
    </w:p>
    <w:bookmarkEnd w:id="1"/>
    <w:p w14:paraId="3E538636" w14:textId="77777777" w:rsidR="000A7622" w:rsidRPr="006F33A4" w:rsidRDefault="000A7622" w:rsidP="00D14423">
      <w:pPr>
        <w:jc w:val="center"/>
        <w:rPr>
          <w:rFonts w:cstheme="minorHAnsi"/>
          <w:b/>
          <w:bCs/>
          <w:i/>
          <w:iCs/>
        </w:rPr>
      </w:pPr>
    </w:p>
    <w:p w14:paraId="25509BF0" w14:textId="3FC0B04E"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 xml:space="preserve">The published version may be accessed by following the link in </w:t>
      </w:r>
      <w:proofErr w:type="spellStart"/>
      <w:r w:rsidRPr="00C04F25">
        <w:rPr>
          <w:rFonts w:cstheme="minorHAnsi"/>
          <w:sz w:val="24"/>
          <w:szCs w:val="24"/>
        </w:rPr>
        <w:t>th</w:t>
      </w:r>
      <w:proofErr w:type="spellEnd"/>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30E1FB33" w:rsidR="000A7622" w:rsidRDefault="00812AD8" w:rsidP="00D14423">
      <w:pPr>
        <w:rPr>
          <w:rFonts w:cstheme="minorHAnsi"/>
          <w:sz w:val="24"/>
          <w:szCs w:val="24"/>
        </w:rPr>
      </w:pPr>
      <w:r>
        <w:rPr>
          <w:rFonts w:cstheme="minorHAnsi"/>
          <w:i/>
          <w:sz w:val="24"/>
          <w:szCs w:val="24"/>
          <w:lang w:val="fr-FR"/>
        </w:rPr>
        <w:t xml:space="preserve">Human </w:t>
      </w:r>
      <w:proofErr w:type="spellStart"/>
      <w:r>
        <w:rPr>
          <w:rFonts w:cstheme="minorHAnsi"/>
          <w:i/>
          <w:sz w:val="24"/>
          <w:szCs w:val="24"/>
          <w:lang w:val="fr-FR"/>
        </w:rPr>
        <w:t>Movement</w:t>
      </w:r>
      <w:proofErr w:type="spellEnd"/>
      <w:r>
        <w:rPr>
          <w:rFonts w:cstheme="minorHAnsi"/>
          <w:i/>
          <w:sz w:val="24"/>
          <w:szCs w:val="24"/>
          <w:lang w:val="fr-FR"/>
        </w:rPr>
        <w:t xml:space="preserve"> Science</w:t>
      </w:r>
      <w:r w:rsidR="000A7622" w:rsidRPr="00C04F25">
        <w:rPr>
          <w:rFonts w:cstheme="minorHAnsi"/>
          <w:sz w:val="24"/>
          <w:szCs w:val="24"/>
          <w:lang w:val="fr-FR"/>
        </w:rPr>
        <w:t xml:space="preserve">, Vol. </w:t>
      </w:r>
      <w:r>
        <w:rPr>
          <w:rFonts w:cstheme="minorHAnsi"/>
          <w:sz w:val="24"/>
          <w:szCs w:val="24"/>
          <w:lang w:val="fr-FR"/>
        </w:rPr>
        <w:t>64</w:t>
      </w:r>
      <w:r w:rsidR="000A7622" w:rsidRPr="00C04F25">
        <w:rPr>
          <w:rFonts w:cstheme="minorHAnsi"/>
          <w:sz w:val="24"/>
          <w:szCs w:val="24"/>
          <w:lang w:val="fr-FR"/>
        </w:rPr>
        <w:t xml:space="preserve"> (</w:t>
      </w:r>
      <w:proofErr w:type="spellStart"/>
      <w:r>
        <w:rPr>
          <w:rFonts w:cstheme="minorHAnsi"/>
          <w:sz w:val="24"/>
          <w:szCs w:val="24"/>
          <w:lang w:val="fr-FR"/>
        </w:rPr>
        <w:t>December</w:t>
      </w:r>
      <w:proofErr w:type="spellEnd"/>
      <w:r>
        <w:rPr>
          <w:rFonts w:cstheme="minorHAnsi"/>
          <w:sz w:val="24"/>
          <w:szCs w:val="24"/>
          <w:lang w:val="fr-FR"/>
        </w:rPr>
        <w:t xml:space="preserve"> 2018</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58-66</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6E24BA">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6E24BA">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the express permission from </w:t>
      </w:r>
      <w:r w:rsidR="006E24BA">
        <w:rPr>
          <w:rFonts w:cstheme="minorHAnsi"/>
          <w:sz w:val="24"/>
          <w:szCs w:val="24"/>
        </w:rPr>
        <w:t>Elsevier</w:t>
      </w:r>
      <w:r w:rsidR="000A7622" w:rsidRPr="00C04F25">
        <w:rPr>
          <w:rFonts w:cstheme="minorHAnsi"/>
          <w:sz w:val="24"/>
          <w:szCs w:val="24"/>
        </w:rPr>
        <w:t xml:space="preserve">. </w:t>
      </w:r>
    </w:p>
    <w:p w14:paraId="63FD0B62" w14:textId="296C986C" w:rsidR="00866C02" w:rsidRPr="00866C02" w:rsidRDefault="00866C02" w:rsidP="00866C02">
      <w:pPr>
        <w:pStyle w:val="Title"/>
      </w:pPr>
      <w:r w:rsidRPr="00866C02">
        <w:t>Identifying Trippers and Non-Trippers Based on Knee Kinematics During Obstacle-Free Walking</w:t>
      </w:r>
    </w:p>
    <w:p w14:paraId="79EC5799" w14:textId="46203922" w:rsidR="00866C02" w:rsidRDefault="00866C02" w:rsidP="00D14423">
      <w:pPr>
        <w:rPr>
          <w:rFonts w:cstheme="minorHAnsi"/>
          <w:sz w:val="24"/>
          <w:szCs w:val="24"/>
        </w:rPr>
      </w:pPr>
    </w:p>
    <w:p w14:paraId="765EE5F5" w14:textId="77777777" w:rsidR="00E87196" w:rsidRPr="00DF4651" w:rsidRDefault="00E87196" w:rsidP="00DF4651">
      <w:pPr>
        <w:pStyle w:val="NoSpacing"/>
        <w:rPr>
          <w:sz w:val="32"/>
          <w:szCs w:val="32"/>
        </w:rPr>
      </w:pPr>
      <w:r w:rsidRPr="00DF4651">
        <w:rPr>
          <w:sz w:val="32"/>
          <w:szCs w:val="32"/>
        </w:rPr>
        <w:t>Lauren C. Benson</w:t>
      </w:r>
    </w:p>
    <w:p w14:paraId="3437F529" w14:textId="18CE3F39" w:rsidR="00E87196" w:rsidRPr="00DF4651" w:rsidRDefault="00E87196" w:rsidP="00DF4651">
      <w:pPr>
        <w:pStyle w:val="NoSpacing"/>
        <w:rPr>
          <w:sz w:val="24"/>
          <w:szCs w:val="24"/>
        </w:rPr>
      </w:pPr>
      <w:r w:rsidRPr="00DF4651">
        <w:rPr>
          <w:sz w:val="24"/>
          <w:szCs w:val="24"/>
        </w:rPr>
        <w:t>University of Wisconsin-Milwaukee, Milwaukee, WI</w:t>
      </w:r>
    </w:p>
    <w:p w14:paraId="61C50700" w14:textId="77777777" w:rsidR="00E87196" w:rsidRPr="00DF4651" w:rsidRDefault="00E87196" w:rsidP="00DF4651">
      <w:pPr>
        <w:pStyle w:val="NoSpacing"/>
        <w:rPr>
          <w:sz w:val="24"/>
          <w:szCs w:val="24"/>
        </w:rPr>
      </w:pPr>
      <w:r w:rsidRPr="00DF4651">
        <w:rPr>
          <w:sz w:val="24"/>
          <w:szCs w:val="24"/>
        </w:rPr>
        <w:t>University of Calgary, Calgary, AB T2N 1N4, Canada.</w:t>
      </w:r>
    </w:p>
    <w:p w14:paraId="6968C716" w14:textId="77777777" w:rsidR="007A6106" w:rsidRPr="00DF4651" w:rsidRDefault="007A6106" w:rsidP="00DF4651">
      <w:pPr>
        <w:pStyle w:val="NoSpacing"/>
        <w:rPr>
          <w:sz w:val="32"/>
          <w:szCs w:val="32"/>
        </w:rPr>
      </w:pPr>
      <w:r w:rsidRPr="00DF4651">
        <w:rPr>
          <w:sz w:val="32"/>
          <w:szCs w:val="32"/>
        </w:rPr>
        <w:t>Stephen C. Cobb</w:t>
      </w:r>
    </w:p>
    <w:p w14:paraId="5D3C9548" w14:textId="25231627" w:rsidR="00866C02" w:rsidRPr="00DF4651" w:rsidRDefault="007A6106" w:rsidP="00DF4651">
      <w:pPr>
        <w:pStyle w:val="NoSpacing"/>
        <w:rPr>
          <w:sz w:val="24"/>
          <w:szCs w:val="24"/>
        </w:rPr>
      </w:pPr>
      <w:r w:rsidRPr="00DF4651">
        <w:rPr>
          <w:sz w:val="24"/>
          <w:szCs w:val="24"/>
        </w:rPr>
        <w:t>University of Wisconsin-Milwaukee, Milwaukee, WI</w:t>
      </w:r>
    </w:p>
    <w:p w14:paraId="251713E5" w14:textId="77777777" w:rsidR="007A6106" w:rsidRPr="00DF4651" w:rsidRDefault="007A6106" w:rsidP="00DF4651">
      <w:pPr>
        <w:pStyle w:val="NoSpacing"/>
        <w:rPr>
          <w:sz w:val="32"/>
          <w:szCs w:val="32"/>
        </w:rPr>
      </w:pPr>
      <w:r w:rsidRPr="00DF4651">
        <w:rPr>
          <w:sz w:val="32"/>
          <w:szCs w:val="32"/>
        </w:rPr>
        <w:t>Allison S. Hyngstrom</w:t>
      </w:r>
    </w:p>
    <w:p w14:paraId="4E15A61E" w14:textId="0162F9AF" w:rsidR="007A6106" w:rsidRPr="00DF4651" w:rsidRDefault="007A6106" w:rsidP="00DF4651">
      <w:pPr>
        <w:pStyle w:val="NoSpacing"/>
        <w:rPr>
          <w:sz w:val="24"/>
          <w:szCs w:val="24"/>
        </w:rPr>
      </w:pPr>
      <w:r w:rsidRPr="00DF4651">
        <w:rPr>
          <w:sz w:val="24"/>
          <w:szCs w:val="24"/>
        </w:rPr>
        <w:t>Marquette University, Milwaukee, WI</w:t>
      </w:r>
    </w:p>
    <w:bookmarkEnd w:id="2"/>
    <w:p w14:paraId="3EC6A134" w14:textId="77777777" w:rsidR="009100DB" w:rsidRPr="00DF4651" w:rsidRDefault="009100DB" w:rsidP="00DF4651">
      <w:pPr>
        <w:pStyle w:val="NoSpacing"/>
        <w:rPr>
          <w:sz w:val="32"/>
          <w:szCs w:val="32"/>
        </w:rPr>
      </w:pPr>
      <w:r w:rsidRPr="00DF4651">
        <w:rPr>
          <w:sz w:val="32"/>
          <w:szCs w:val="32"/>
        </w:rPr>
        <w:t>Kevin G. Keenan</w:t>
      </w:r>
    </w:p>
    <w:p w14:paraId="5BC0075B" w14:textId="43CF01F9" w:rsidR="000A7622" w:rsidRPr="00DF4651" w:rsidRDefault="009100DB" w:rsidP="00DF4651">
      <w:pPr>
        <w:pStyle w:val="NoSpacing"/>
        <w:rPr>
          <w:sz w:val="24"/>
          <w:szCs w:val="24"/>
        </w:rPr>
      </w:pPr>
      <w:r w:rsidRPr="00DF4651">
        <w:rPr>
          <w:sz w:val="24"/>
          <w:szCs w:val="24"/>
        </w:rPr>
        <w:t>University of Wisconsin-Milwaukee, Milwaukee, WI</w:t>
      </w:r>
    </w:p>
    <w:p w14:paraId="7FAD2A22" w14:textId="77777777" w:rsidR="00DF4651" w:rsidRPr="00DF4651" w:rsidRDefault="00DF4651" w:rsidP="00DF4651">
      <w:pPr>
        <w:pStyle w:val="NoSpacing"/>
        <w:rPr>
          <w:sz w:val="32"/>
          <w:szCs w:val="32"/>
        </w:rPr>
      </w:pPr>
      <w:r w:rsidRPr="00DF4651">
        <w:rPr>
          <w:sz w:val="32"/>
          <w:szCs w:val="32"/>
        </w:rPr>
        <w:t>Jake Luo</w:t>
      </w:r>
    </w:p>
    <w:p w14:paraId="31365D1A" w14:textId="77777777" w:rsidR="00DF4651" w:rsidRPr="00DF4651" w:rsidRDefault="00DF4651" w:rsidP="00DF4651">
      <w:pPr>
        <w:pStyle w:val="NoSpacing"/>
        <w:rPr>
          <w:sz w:val="24"/>
          <w:szCs w:val="24"/>
        </w:rPr>
      </w:pPr>
      <w:r w:rsidRPr="00DF4651">
        <w:rPr>
          <w:sz w:val="24"/>
          <w:szCs w:val="24"/>
        </w:rPr>
        <w:t>University of Wisconsin-Milwaukee, Milwaukee, WI</w:t>
      </w:r>
    </w:p>
    <w:p w14:paraId="1075E376" w14:textId="77777777" w:rsidR="00DF4651" w:rsidRPr="00DF4651" w:rsidRDefault="00DF4651" w:rsidP="00DF4651">
      <w:pPr>
        <w:pStyle w:val="NoSpacing"/>
        <w:rPr>
          <w:sz w:val="32"/>
          <w:szCs w:val="32"/>
        </w:rPr>
      </w:pPr>
      <w:r w:rsidRPr="00DF4651">
        <w:rPr>
          <w:sz w:val="32"/>
          <w:szCs w:val="32"/>
        </w:rPr>
        <w:t>Kristian M. O'Connor</w:t>
      </w:r>
    </w:p>
    <w:p w14:paraId="752451F0" w14:textId="4AFDE952" w:rsidR="009100DB" w:rsidRPr="00DF4651" w:rsidRDefault="00DF4651" w:rsidP="00DF4651">
      <w:pPr>
        <w:pStyle w:val="NoSpacing"/>
        <w:rPr>
          <w:sz w:val="24"/>
          <w:szCs w:val="24"/>
        </w:rPr>
      </w:pPr>
      <w:r w:rsidRPr="00DF4651">
        <w:rPr>
          <w:sz w:val="24"/>
          <w:szCs w:val="24"/>
        </w:rPr>
        <w:t>University of Wisconsin-Milwaukee, Milwaukee, WI</w:t>
      </w:r>
    </w:p>
    <w:p w14:paraId="09ECC5B6" w14:textId="77777777" w:rsidR="00DF4651" w:rsidRDefault="00DF4651" w:rsidP="00DF4651">
      <w:pPr>
        <w:rPr>
          <w:rFonts w:cstheme="minorHAnsi"/>
        </w:rPr>
      </w:pPr>
    </w:p>
    <w:p w14:paraId="568180C6" w14:textId="77777777" w:rsidR="005C2246" w:rsidRDefault="005C2246" w:rsidP="00DF4651">
      <w:pPr>
        <w:pStyle w:val="Heading1"/>
        <w:rPr>
          <w:sz w:val="36"/>
          <w:szCs w:val="36"/>
          <w:lang w:val="en"/>
        </w:rPr>
      </w:pPr>
      <w:r>
        <w:rPr>
          <w:lang w:val="en"/>
        </w:rPr>
        <w:lastRenderedPageBreak/>
        <w:t>Abstract</w:t>
      </w:r>
    </w:p>
    <w:p w14:paraId="4135FF1A" w14:textId="77777777" w:rsidR="005C2246" w:rsidRPr="00DF4651" w:rsidRDefault="005C2246" w:rsidP="00DF4651">
      <w:pPr>
        <w:rPr>
          <w:lang w:val="en"/>
        </w:rPr>
      </w:pPr>
      <w:r w:rsidRPr="00DF4651">
        <w:rPr>
          <w:lang w:val="en"/>
        </w:rPr>
        <w:t xml:space="preserve">Trips are a major cause of falls. Sagittal-plane kinematics affect clearance between the foot and </w:t>
      </w:r>
      <w:proofErr w:type="gramStart"/>
      <w:r w:rsidRPr="00DF4651">
        <w:rPr>
          <w:lang w:val="en"/>
        </w:rPr>
        <w:t>obstacles,</w:t>
      </w:r>
      <w:proofErr w:type="gramEnd"/>
      <w:r w:rsidRPr="00DF4651">
        <w:rPr>
          <w:lang w:val="en"/>
        </w:rPr>
        <w:t xml:space="preserve"> however, it is unclear which kinematic measures during obstacle-free walking are associated with avoiding a trip when encountering an obstacle. The purpose of this study was to determine kinematic factors during obstacle-free walking that are related to obstacle avoidance ability. It was expected that successful obstacle avoidance would be associated with greater peak flexion/dorsiflexion and range of motion (ROM), and differences in timing of peak flexion/dorsiflexion during swing of obstacle-free walking for the hip, knee and ankle. Three-dimensional kinematics were recorded as 35 participants (young adults age 18–45 (N = 10), older adults age 65+ without a history of falls (N = 10), older adults age 65+ who had fallen in the last six months (N = 10), and individuals who had experienced a stroke more than six months earlier (N = 5)) walked on a treadmill, under obstacle-free walking conditions with kinematic features calculated for each stride. A separate obstacle avoidance task identified trippers (multiple obstacle contact) and non-trippers. Linear discriminant analysis with sequential feature selection classified trippers and non-trippers based on kinematics during obstacle-free walking. Differences in classification performance and selected features (knee ROM and timing of peak knee flexion during swing) were evaluated between trippers and non-trippers. Non-trippers had greater knee ROM (</w:t>
      </w:r>
      <w:r w:rsidRPr="00DF4651">
        <w:rPr>
          <w:rStyle w:val="Emphasis"/>
          <w:rFonts w:eastAsiaTheme="majorEastAsia"/>
          <w:color w:val="2E2E2E"/>
          <w:lang w:val="en"/>
        </w:rPr>
        <w:t>P</w:t>
      </w:r>
      <w:r w:rsidRPr="00DF4651">
        <w:rPr>
          <w:lang w:val="en"/>
        </w:rPr>
        <w:t> = .001). There was no significant difference in classification performance (</w:t>
      </w:r>
      <w:r w:rsidRPr="00DF4651">
        <w:rPr>
          <w:rStyle w:val="Emphasis"/>
          <w:rFonts w:eastAsiaTheme="majorEastAsia"/>
          <w:color w:val="2E2E2E"/>
          <w:lang w:val="en"/>
        </w:rPr>
        <w:t>P</w:t>
      </w:r>
      <w:r w:rsidRPr="00DF4651">
        <w:rPr>
          <w:lang w:val="en"/>
        </w:rPr>
        <w:t> = .193). Individuals with reduced knee ROM during obstacle-free walking may have greater difficulty avoiding obstacles.</w:t>
      </w:r>
    </w:p>
    <w:p w14:paraId="28945E67" w14:textId="77777777" w:rsidR="005C2246" w:rsidRDefault="005C2246" w:rsidP="00DF4651">
      <w:pPr>
        <w:pStyle w:val="Heading1"/>
        <w:rPr>
          <w:rFonts w:ascii="Times New Roman" w:hAnsi="Times New Roman" w:cs="Times New Roman"/>
        </w:rPr>
      </w:pPr>
      <w:r>
        <w:t>Keywords</w:t>
      </w:r>
    </w:p>
    <w:p w14:paraId="36335369" w14:textId="6D88F502" w:rsidR="005C2246" w:rsidRDefault="005C2246" w:rsidP="00DF4651">
      <w:r>
        <w:t>Falls risk</w:t>
      </w:r>
      <w:r w:rsidR="00DF4651">
        <w:t xml:space="preserve">, </w:t>
      </w:r>
      <w:r>
        <w:t>Tripping</w:t>
      </w:r>
      <w:r w:rsidR="00DF4651">
        <w:t xml:space="preserve">, </w:t>
      </w:r>
      <w:r>
        <w:t>Linear discriminant analysis</w:t>
      </w:r>
      <w:r w:rsidR="00DF4651">
        <w:t xml:space="preserve">, </w:t>
      </w:r>
      <w:r>
        <w:t>Gait analysis</w:t>
      </w:r>
    </w:p>
    <w:p w14:paraId="6A13B94F" w14:textId="77777777" w:rsidR="005C2246" w:rsidRDefault="005C2246" w:rsidP="00DF4651">
      <w:pPr>
        <w:pStyle w:val="Heading1"/>
        <w:rPr>
          <w:sz w:val="36"/>
          <w:szCs w:val="36"/>
        </w:rPr>
      </w:pPr>
      <w:r>
        <w:t>1. Introduction</w:t>
      </w:r>
    </w:p>
    <w:p w14:paraId="11B9078F" w14:textId="77777777" w:rsidR="005C2246" w:rsidRDefault="005C2246" w:rsidP="00DF4651">
      <w:r>
        <w:t>Achieving adequate foot clearance is crucial for preventing trips, one of the greatest causes of falls (</w:t>
      </w:r>
      <w:bookmarkStart w:id="3" w:name="bb0025"/>
      <w:r>
        <w:fldChar w:fldCharType="begin"/>
      </w:r>
      <w:r>
        <w:instrText xml:space="preserve"> HYPERLINK "https://www.sciencedirect.com/science/article/pii/S0167945718303282?via%3Dihub" \l "b0025" </w:instrText>
      </w:r>
      <w:r>
        <w:fldChar w:fldCharType="separate"/>
      </w:r>
      <w:r>
        <w:rPr>
          <w:rStyle w:val="Hyperlink"/>
          <w:rFonts w:eastAsiaTheme="majorEastAsia"/>
          <w:color w:val="0C7DBB"/>
          <w:sz w:val="27"/>
          <w:szCs w:val="27"/>
        </w:rPr>
        <w:t>Berg et al., 1997</w:t>
      </w:r>
      <w:r>
        <w:fldChar w:fldCharType="end"/>
      </w:r>
      <w:bookmarkEnd w:id="3"/>
      <w:r>
        <w:t>, </w:t>
      </w:r>
      <w:bookmarkStart w:id="4" w:name="bb0030"/>
      <w:r>
        <w:fldChar w:fldCharType="begin"/>
      </w:r>
      <w:r>
        <w:instrText xml:space="preserve"> HYPERLINK "https://www.sciencedirect.com/science/article/pii/S0167945718303282?via%3Dihub" \l "b0030" </w:instrText>
      </w:r>
      <w:r>
        <w:fldChar w:fldCharType="separate"/>
      </w:r>
      <w:r>
        <w:rPr>
          <w:rStyle w:val="Hyperlink"/>
          <w:rFonts w:eastAsiaTheme="majorEastAsia"/>
          <w:color w:val="0C7DBB"/>
          <w:sz w:val="27"/>
          <w:szCs w:val="27"/>
        </w:rPr>
        <w:t>Blake et al., 1988</w:t>
      </w:r>
      <w:r>
        <w:fldChar w:fldCharType="end"/>
      </w:r>
      <w:bookmarkEnd w:id="4"/>
      <w:r>
        <w:t>, </w:t>
      </w:r>
      <w:bookmarkStart w:id="5" w:name="bb0130"/>
      <w:proofErr w:type="spellStart"/>
      <w:r>
        <w:fldChar w:fldCharType="begin"/>
      </w:r>
      <w:r>
        <w:instrText xml:space="preserve"> HYPERLINK "https://www.sciencedirect.com/science/article/pii/S0167945718303282?via%3Dihub" \l "b0130" </w:instrText>
      </w:r>
      <w:r>
        <w:fldChar w:fldCharType="separate"/>
      </w:r>
      <w:r>
        <w:rPr>
          <w:rStyle w:val="Hyperlink"/>
          <w:rFonts w:eastAsiaTheme="majorEastAsia"/>
          <w:color w:val="0C7DBB"/>
          <w:sz w:val="27"/>
          <w:szCs w:val="27"/>
        </w:rPr>
        <w:t>Overstall</w:t>
      </w:r>
      <w:proofErr w:type="spellEnd"/>
      <w:r>
        <w:rPr>
          <w:rStyle w:val="Hyperlink"/>
          <w:rFonts w:eastAsiaTheme="majorEastAsia"/>
          <w:color w:val="0C7DBB"/>
          <w:sz w:val="27"/>
          <w:szCs w:val="27"/>
        </w:rPr>
        <w:t xml:space="preserve"> et al., 1977</w:t>
      </w:r>
      <w:r>
        <w:fldChar w:fldCharType="end"/>
      </w:r>
      <w:bookmarkEnd w:id="5"/>
      <w:r>
        <w:t>, </w:t>
      </w:r>
      <w:bookmarkStart w:id="6" w:name="bb0185"/>
      <w:proofErr w:type="spellStart"/>
      <w:r>
        <w:fldChar w:fldCharType="begin"/>
      </w:r>
      <w:r>
        <w:instrText xml:space="preserve"> HYPERLINK "https://www.sciencedirect.com/science/article/pii/S0167945718303282?via%3Dihub" \l "b0185" </w:instrText>
      </w:r>
      <w:r>
        <w:fldChar w:fldCharType="separate"/>
      </w:r>
      <w:r>
        <w:rPr>
          <w:rStyle w:val="Hyperlink"/>
          <w:rFonts w:eastAsiaTheme="majorEastAsia"/>
          <w:color w:val="0C7DBB"/>
          <w:sz w:val="27"/>
          <w:szCs w:val="27"/>
        </w:rPr>
        <w:t>Tuunainen</w:t>
      </w:r>
      <w:proofErr w:type="spellEnd"/>
      <w:r>
        <w:rPr>
          <w:rStyle w:val="Hyperlink"/>
          <w:rFonts w:eastAsiaTheme="majorEastAsia"/>
          <w:color w:val="0C7DBB"/>
          <w:sz w:val="27"/>
          <w:szCs w:val="27"/>
        </w:rPr>
        <w:t xml:space="preserve"> et al., 2014</w:t>
      </w:r>
      <w:r>
        <w:fldChar w:fldCharType="end"/>
      </w:r>
      <w:bookmarkEnd w:id="6"/>
      <w:r>
        <w:t>, </w:t>
      </w:r>
      <w:bookmarkStart w:id="7" w:name="bb0140"/>
      <w:proofErr w:type="spellStart"/>
      <w:r>
        <w:fldChar w:fldCharType="begin"/>
      </w:r>
      <w:r>
        <w:instrText xml:space="preserve"> HYPERLINK "https://www.sciencedirect.com/science/article/pii/S0167945718303282?via%3Dihub" \l "b0140" </w:instrText>
      </w:r>
      <w:r>
        <w:fldChar w:fldCharType="separate"/>
      </w:r>
      <w:r>
        <w:rPr>
          <w:rStyle w:val="Hyperlink"/>
          <w:rFonts w:eastAsiaTheme="majorEastAsia"/>
          <w:color w:val="0C7DBB"/>
          <w:sz w:val="27"/>
          <w:szCs w:val="27"/>
        </w:rPr>
        <w:t>Robinovitch</w:t>
      </w:r>
      <w:proofErr w:type="spellEnd"/>
      <w:r>
        <w:rPr>
          <w:rStyle w:val="Hyperlink"/>
          <w:rFonts w:eastAsiaTheme="majorEastAsia"/>
          <w:color w:val="0C7DBB"/>
          <w:sz w:val="27"/>
          <w:szCs w:val="27"/>
        </w:rPr>
        <w:t xml:space="preserve"> et al., 2013</w:t>
      </w:r>
      <w:r>
        <w:fldChar w:fldCharType="end"/>
      </w:r>
      <w:bookmarkEnd w:id="7"/>
      <w:r>
        <w:t>, </w:t>
      </w:r>
      <w:bookmarkStart w:id="8" w:name="bb0075"/>
      <w:proofErr w:type="spellStart"/>
      <w:r>
        <w:fldChar w:fldCharType="begin"/>
      </w:r>
      <w:r>
        <w:instrText xml:space="preserve"> HYPERLINK "https://www.sciencedirect.com/science/article/pii/S0167945718303282?via%3Dihub" \l "b0075" </w:instrText>
      </w:r>
      <w:r>
        <w:fldChar w:fldCharType="separate"/>
      </w:r>
      <w:r>
        <w:rPr>
          <w:rStyle w:val="Hyperlink"/>
          <w:rFonts w:eastAsiaTheme="majorEastAsia"/>
          <w:color w:val="0C7DBB"/>
          <w:sz w:val="27"/>
          <w:szCs w:val="27"/>
        </w:rPr>
        <w:t>Heijnen</w:t>
      </w:r>
      <w:proofErr w:type="spellEnd"/>
      <w:r>
        <w:rPr>
          <w:rStyle w:val="Hyperlink"/>
          <w:rFonts w:eastAsiaTheme="majorEastAsia"/>
          <w:color w:val="0C7DBB"/>
          <w:sz w:val="27"/>
          <w:szCs w:val="27"/>
        </w:rPr>
        <w:t xml:space="preserve"> and </w:t>
      </w:r>
      <w:proofErr w:type="spellStart"/>
      <w:r>
        <w:rPr>
          <w:rStyle w:val="Hyperlink"/>
          <w:rFonts w:eastAsiaTheme="majorEastAsia"/>
          <w:color w:val="0C7DBB"/>
          <w:sz w:val="27"/>
          <w:szCs w:val="27"/>
        </w:rPr>
        <w:t>Rietdyk</w:t>
      </w:r>
      <w:proofErr w:type="spellEnd"/>
      <w:r>
        <w:rPr>
          <w:rStyle w:val="Hyperlink"/>
          <w:rFonts w:eastAsiaTheme="majorEastAsia"/>
          <w:color w:val="0C7DBB"/>
          <w:sz w:val="27"/>
          <w:szCs w:val="27"/>
        </w:rPr>
        <w:t>, 2016</w:t>
      </w:r>
      <w:r>
        <w:fldChar w:fldCharType="end"/>
      </w:r>
      <w:r>
        <w:t>). Foot clearance can be accounted for by the sagittal plane motion of the lower extremity joints (</w:t>
      </w:r>
      <w:bookmarkStart w:id="9" w:name="bb0205"/>
      <w:r>
        <w:fldChar w:fldCharType="begin"/>
      </w:r>
      <w:r>
        <w:instrText xml:space="preserve"> HYPERLINK "https://www.sciencedirect.com/science/article/pii/S0167945718303282?via%3Dihub" \l "b0205" </w:instrText>
      </w:r>
      <w:r>
        <w:fldChar w:fldCharType="separate"/>
      </w:r>
      <w:r>
        <w:rPr>
          <w:rStyle w:val="Hyperlink"/>
          <w:rFonts w:eastAsiaTheme="majorEastAsia"/>
          <w:color w:val="0C7DBB"/>
          <w:sz w:val="27"/>
          <w:szCs w:val="27"/>
        </w:rPr>
        <w:t>Winter, 1992</w:t>
      </w:r>
      <w:r>
        <w:fldChar w:fldCharType="end"/>
      </w:r>
      <w:r>
        <w:t>). While individuals may employ different strategies to achieve adequate foot clearance (</w:t>
      </w:r>
      <w:bookmarkStart w:id="10" w:name="bb0105"/>
      <w:r>
        <w:fldChar w:fldCharType="begin"/>
      </w:r>
      <w:r>
        <w:instrText xml:space="preserve"> HYPERLINK "https://www.sciencedirect.com/science/article/pii/S0167945718303282?via%3Dihub" \l "b0105" </w:instrText>
      </w:r>
      <w:r>
        <w:fldChar w:fldCharType="separate"/>
      </w:r>
      <w:r>
        <w:rPr>
          <w:rStyle w:val="Hyperlink"/>
          <w:rFonts w:eastAsiaTheme="majorEastAsia"/>
          <w:color w:val="0C7DBB"/>
          <w:sz w:val="27"/>
          <w:szCs w:val="27"/>
        </w:rPr>
        <w:t>Little et al., 2014</w:t>
      </w:r>
      <w:r>
        <w:fldChar w:fldCharType="end"/>
      </w:r>
      <w:r>
        <w:t>, </w:t>
      </w:r>
      <w:bookmarkStart w:id="11" w:name="bb0100"/>
      <w:r>
        <w:fldChar w:fldCharType="begin"/>
      </w:r>
      <w:r>
        <w:instrText xml:space="preserve"> HYPERLINK "https://www.sciencedirect.com/science/article/pii/S0167945718303282?via%3Dihub" \l "b0100" </w:instrText>
      </w:r>
      <w:r>
        <w:fldChar w:fldCharType="separate"/>
      </w:r>
      <w:r>
        <w:rPr>
          <w:rStyle w:val="Hyperlink"/>
          <w:rFonts w:eastAsiaTheme="majorEastAsia"/>
          <w:color w:val="0C7DBB"/>
          <w:sz w:val="27"/>
          <w:szCs w:val="27"/>
        </w:rPr>
        <w:t>Levinger et al., 2012</w:t>
      </w:r>
      <w:r>
        <w:fldChar w:fldCharType="end"/>
      </w:r>
      <w:r>
        <w:t>), each strategy for avoiding an obstacle ultimately relies on the magnitude of lower extremity joint angles and the timing of the joint motion. Since changes in the sagittal plane ankle, knee and hip angles individually affect foot clearance throughout swing phase of gait (</w:t>
      </w:r>
      <w:hyperlink r:id="rId10" w:anchor="b0205" w:history="1">
        <w:r>
          <w:rPr>
            <w:rStyle w:val="Hyperlink"/>
            <w:rFonts w:eastAsiaTheme="majorEastAsia"/>
            <w:color w:val="0C7DBB"/>
            <w:sz w:val="27"/>
            <w:szCs w:val="27"/>
          </w:rPr>
          <w:t>Winter, 1992</w:t>
        </w:r>
      </w:hyperlink>
      <w:r>
        <w:t>, </w:t>
      </w:r>
      <w:bookmarkStart w:id="12" w:name="bb0065"/>
      <w:r>
        <w:fldChar w:fldCharType="begin"/>
      </w:r>
      <w:r>
        <w:instrText xml:space="preserve"> HYPERLINK "https://www.sciencedirect.com/science/article/pii/S0167945718303282?via%3Dihub" \l "b0065" </w:instrText>
      </w:r>
      <w:r>
        <w:fldChar w:fldCharType="separate"/>
      </w:r>
      <w:r>
        <w:rPr>
          <w:rStyle w:val="Hyperlink"/>
          <w:rFonts w:eastAsiaTheme="majorEastAsia"/>
          <w:color w:val="0C7DBB"/>
          <w:sz w:val="27"/>
          <w:szCs w:val="27"/>
        </w:rPr>
        <w:t>Gates et al., 2012</w:t>
      </w:r>
      <w:r>
        <w:fldChar w:fldCharType="end"/>
      </w:r>
      <w:r>
        <w:t>, </w:t>
      </w:r>
      <w:bookmarkStart w:id="13" w:name="bb0160"/>
      <w:r>
        <w:fldChar w:fldCharType="begin"/>
      </w:r>
      <w:r>
        <w:instrText xml:space="preserve"> HYPERLINK "https://www.sciencedirect.com/science/article/pii/S0167945718303282?via%3Dihub" \l "b0160" </w:instrText>
      </w:r>
      <w:r>
        <w:fldChar w:fldCharType="separate"/>
      </w:r>
      <w:r>
        <w:rPr>
          <w:rStyle w:val="Hyperlink"/>
          <w:rFonts w:eastAsiaTheme="majorEastAsia"/>
          <w:color w:val="0C7DBB"/>
          <w:sz w:val="27"/>
          <w:szCs w:val="27"/>
        </w:rPr>
        <w:t>Schulz, 2011</w:t>
      </w:r>
      <w:r>
        <w:fldChar w:fldCharType="end"/>
      </w:r>
      <w:bookmarkEnd w:id="13"/>
      <w:r>
        <w:t>, </w:t>
      </w:r>
      <w:bookmarkStart w:id="14" w:name="bb0165"/>
      <w:r>
        <w:fldChar w:fldCharType="begin"/>
      </w:r>
      <w:r>
        <w:instrText xml:space="preserve"> HYPERLINK "https://www.sciencedirect.com/science/article/pii/S0167945718303282?via%3Dihub" \l "b0165" </w:instrText>
      </w:r>
      <w:r>
        <w:fldChar w:fldCharType="separate"/>
      </w:r>
      <w:r>
        <w:rPr>
          <w:rStyle w:val="Hyperlink"/>
          <w:rFonts w:eastAsiaTheme="majorEastAsia"/>
          <w:color w:val="0C7DBB"/>
          <w:sz w:val="27"/>
          <w:szCs w:val="27"/>
        </w:rPr>
        <w:t>Schulz et al., 2010</w:t>
      </w:r>
      <w:r>
        <w:fldChar w:fldCharType="end"/>
      </w:r>
      <w:r>
        <w:t>, </w:t>
      </w:r>
      <w:bookmarkStart w:id="15" w:name="bb0120"/>
      <w:proofErr w:type="spellStart"/>
      <w:r>
        <w:fldChar w:fldCharType="begin"/>
      </w:r>
      <w:r>
        <w:instrText xml:space="preserve"> HYPERLINK "https://www.sciencedirect.com/science/article/pii/S0167945718303282?via%3Dihub" \l "b0120" </w:instrText>
      </w:r>
      <w:r>
        <w:fldChar w:fldCharType="separate"/>
      </w:r>
      <w:r>
        <w:rPr>
          <w:rStyle w:val="Hyperlink"/>
          <w:rFonts w:eastAsiaTheme="majorEastAsia"/>
          <w:color w:val="0C7DBB"/>
          <w:sz w:val="27"/>
          <w:szCs w:val="27"/>
        </w:rPr>
        <w:t>Moosabhoy</w:t>
      </w:r>
      <w:proofErr w:type="spellEnd"/>
      <w:r>
        <w:rPr>
          <w:rStyle w:val="Hyperlink"/>
          <w:rFonts w:eastAsiaTheme="majorEastAsia"/>
          <w:color w:val="0C7DBB"/>
          <w:sz w:val="27"/>
          <w:szCs w:val="27"/>
        </w:rPr>
        <w:t xml:space="preserve"> and Gard, 2006</w:t>
      </w:r>
      <w:r>
        <w:fldChar w:fldCharType="end"/>
      </w:r>
      <w:r>
        <w:t>, deficits in the magnitude of these joint motions may contribute to an inability to avoid obstacles while walking. Likewise, reduced time to avoid an obstacle, perhaps due to a shorter swing time, shorter distance in the approach between the foot and obstacle, or faster </w:t>
      </w:r>
      <w:hyperlink r:id="rId11" w:tooltip="Learn more about Walking Speed from ScienceDirect's AI-generated Topic Pages" w:history="1">
        <w:r>
          <w:rPr>
            <w:rStyle w:val="Hyperlink"/>
            <w:rFonts w:eastAsiaTheme="majorEastAsia"/>
            <w:color w:val="0C7DBB"/>
            <w:sz w:val="27"/>
            <w:szCs w:val="27"/>
          </w:rPr>
          <w:t>walking speed</w:t>
        </w:r>
      </w:hyperlink>
      <w:r>
        <w:t>, may also result in reduced foot clearance (</w:t>
      </w:r>
      <w:bookmarkStart w:id="16" w:name="bb0050"/>
      <w:r>
        <w:fldChar w:fldCharType="begin"/>
      </w:r>
      <w:r>
        <w:instrText xml:space="preserve"> HYPERLINK "https://www.sciencedirect.com/science/article/pii/S0167945718303282?via%3Dihub" \l "b0050" </w:instrText>
      </w:r>
      <w:r>
        <w:fldChar w:fldCharType="separate"/>
      </w:r>
      <w:r>
        <w:rPr>
          <w:rStyle w:val="Hyperlink"/>
          <w:rFonts w:eastAsiaTheme="majorEastAsia"/>
          <w:color w:val="0C7DBB"/>
          <w:sz w:val="27"/>
          <w:szCs w:val="27"/>
        </w:rPr>
        <w:t xml:space="preserve">Chou and </w:t>
      </w:r>
      <w:proofErr w:type="spellStart"/>
      <w:r>
        <w:rPr>
          <w:rStyle w:val="Hyperlink"/>
          <w:rFonts w:eastAsiaTheme="majorEastAsia"/>
          <w:color w:val="0C7DBB"/>
          <w:sz w:val="27"/>
          <w:szCs w:val="27"/>
        </w:rPr>
        <w:t>Draganich</w:t>
      </w:r>
      <w:proofErr w:type="spellEnd"/>
      <w:r>
        <w:rPr>
          <w:rStyle w:val="Hyperlink"/>
          <w:rFonts w:eastAsiaTheme="majorEastAsia"/>
          <w:color w:val="0C7DBB"/>
          <w:sz w:val="27"/>
          <w:szCs w:val="27"/>
        </w:rPr>
        <w:t>, 1998</w:t>
      </w:r>
      <w:r>
        <w:fldChar w:fldCharType="end"/>
      </w:r>
      <w:r>
        <w:t>). This is particularly relevant if an individual’s gait pattern during obstacle-free walking is not conducive to avoiding obstacles that appear suddenly, such as a previously unseen curb or a pet that darts into the walking path.</w:t>
      </w:r>
    </w:p>
    <w:p w14:paraId="0263B618" w14:textId="77777777" w:rsidR="005C2246" w:rsidRDefault="005C2246" w:rsidP="00DF4651">
      <w:r>
        <w:t>Just as the prevalence of falls increases with age (</w:t>
      </w:r>
      <w:bookmarkStart w:id="17" w:name="bb0180"/>
      <w:r>
        <w:fldChar w:fldCharType="begin"/>
      </w:r>
      <w:r>
        <w:instrText xml:space="preserve"> HYPERLINK "https://www.sciencedirect.com/science/article/pii/S0167945718303282?via%3Dihub" \l "b0180" </w:instrText>
      </w:r>
      <w:r>
        <w:fldChar w:fldCharType="separate"/>
      </w:r>
      <w:r>
        <w:rPr>
          <w:rStyle w:val="Hyperlink"/>
          <w:rFonts w:eastAsiaTheme="majorEastAsia"/>
          <w:color w:val="0C7DBB"/>
          <w:sz w:val="27"/>
          <w:szCs w:val="27"/>
        </w:rPr>
        <w:t xml:space="preserve">Talbot, </w:t>
      </w:r>
      <w:proofErr w:type="spellStart"/>
      <w:r>
        <w:rPr>
          <w:rStyle w:val="Hyperlink"/>
          <w:rFonts w:eastAsiaTheme="majorEastAsia"/>
          <w:color w:val="0C7DBB"/>
          <w:sz w:val="27"/>
          <w:szCs w:val="27"/>
        </w:rPr>
        <w:t>Musiol</w:t>
      </w:r>
      <w:proofErr w:type="spellEnd"/>
      <w:r>
        <w:rPr>
          <w:rStyle w:val="Hyperlink"/>
          <w:rFonts w:eastAsiaTheme="majorEastAsia"/>
          <w:color w:val="0C7DBB"/>
          <w:sz w:val="27"/>
          <w:szCs w:val="27"/>
        </w:rPr>
        <w:t>, Witham, &amp; Metter, 2005</w:t>
      </w:r>
      <w:r>
        <w:fldChar w:fldCharType="end"/>
      </w:r>
      <w:r>
        <w:t>) or disability (</w:t>
      </w:r>
      <w:bookmarkStart w:id="18" w:name="bb0055"/>
      <w:r>
        <w:fldChar w:fldCharType="begin"/>
      </w:r>
      <w:r>
        <w:instrText xml:space="preserve"> HYPERLINK "https://www.sciencedirect.com/science/article/pii/S0167945718303282?via%3Dihub" \l "b0055" </w:instrText>
      </w:r>
      <w:r>
        <w:fldChar w:fldCharType="separate"/>
      </w:r>
      <w:r>
        <w:rPr>
          <w:rStyle w:val="Hyperlink"/>
          <w:rFonts w:eastAsiaTheme="majorEastAsia"/>
          <w:color w:val="0C7DBB"/>
          <w:sz w:val="27"/>
          <w:szCs w:val="27"/>
        </w:rPr>
        <w:t>Forster and Young, 1995</w:t>
      </w:r>
      <w:r>
        <w:fldChar w:fldCharType="end"/>
      </w:r>
      <w:bookmarkEnd w:id="18"/>
      <w:r>
        <w:t>, </w:t>
      </w:r>
      <w:bookmarkStart w:id="19" w:name="bb0190"/>
      <w:r>
        <w:fldChar w:fldCharType="begin"/>
      </w:r>
      <w:r>
        <w:instrText xml:space="preserve"> HYPERLINK "https://www.sciencedirect.com/science/article/pii/S0167945718303282?via%3Dihub" \l "b0190" </w:instrText>
      </w:r>
      <w:r>
        <w:fldChar w:fldCharType="separate"/>
      </w:r>
      <w:r>
        <w:rPr>
          <w:rStyle w:val="Hyperlink"/>
          <w:rFonts w:eastAsiaTheme="majorEastAsia"/>
          <w:color w:val="0C7DBB"/>
          <w:sz w:val="27"/>
          <w:szCs w:val="27"/>
        </w:rPr>
        <w:t>Wagner et al., 2009</w:t>
      </w:r>
      <w:r>
        <w:fldChar w:fldCharType="end"/>
      </w:r>
      <w:bookmarkEnd w:id="19"/>
      <w:r>
        <w:t>, </w:t>
      </w:r>
      <w:bookmarkStart w:id="20" w:name="bb0110"/>
      <w:r>
        <w:fldChar w:fldCharType="begin"/>
      </w:r>
      <w:r>
        <w:instrText xml:space="preserve"> HYPERLINK "https://www.sciencedirect.com/science/article/pii/S0167945718303282?via%3Dihub" \l "b0110" </w:instrText>
      </w:r>
      <w:r>
        <w:fldChar w:fldCharType="separate"/>
      </w:r>
      <w:r>
        <w:rPr>
          <w:rStyle w:val="Hyperlink"/>
          <w:rFonts w:eastAsiaTheme="majorEastAsia"/>
          <w:color w:val="0C7DBB"/>
          <w:sz w:val="27"/>
          <w:szCs w:val="27"/>
        </w:rPr>
        <w:t>Mackintosh et al., 2005</w:t>
      </w:r>
      <w:r>
        <w:fldChar w:fldCharType="end"/>
      </w:r>
      <w:bookmarkEnd w:id="20"/>
      <w:r>
        <w:t>), the risk of tripping is different among certain demographic groups. Healthy young adults reported on average at least one slip or trip per week, with only 5% of those perturbations leading to a fall (</w:t>
      </w:r>
      <w:proofErr w:type="spellStart"/>
      <w:r w:rsidR="006F5636">
        <w:fldChar w:fldCharType="begin"/>
      </w:r>
      <w:r w:rsidR="006F5636">
        <w:instrText xml:space="preserve"> HYPERLINK "https://www.sciencedirect.com/science/article/pii/S0167945718303282?via%3Dihub" \l "b0075" </w:instrText>
      </w:r>
      <w:r w:rsidR="006F5636">
        <w:fldChar w:fldCharType="separate"/>
      </w:r>
      <w:r>
        <w:rPr>
          <w:rStyle w:val="Hyperlink"/>
          <w:rFonts w:eastAsiaTheme="majorEastAsia"/>
          <w:color w:val="0C7DBB"/>
          <w:sz w:val="27"/>
          <w:szCs w:val="27"/>
        </w:rPr>
        <w:t>Heijnen</w:t>
      </w:r>
      <w:proofErr w:type="spellEnd"/>
      <w:r>
        <w:rPr>
          <w:rStyle w:val="Hyperlink"/>
          <w:rFonts w:eastAsiaTheme="majorEastAsia"/>
          <w:color w:val="0C7DBB"/>
          <w:sz w:val="27"/>
          <w:szCs w:val="27"/>
        </w:rPr>
        <w:t xml:space="preserve"> and </w:t>
      </w:r>
      <w:proofErr w:type="spellStart"/>
      <w:r>
        <w:rPr>
          <w:rStyle w:val="Hyperlink"/>
          <w:rFonts w:eastAsiaTheme="majorEastAsia"/>
          <w:color w:val="0C7DBB"/>
          <w:sz w:val="27"/>
          <w:szCs w:val="27"/>
        </w:rPr>
        <w:t>Rietdyk</w:t>
      </w:r>
      <w:proofErr w:type="spellEnd"/>
      <w:r>
        <w:rPr>
          <w:rStyle w:val="Hyperlink"/>
          <w:rFonts w:eastAsiaTheme="majorEastAsia"/>
          <w:color w:val="0C7DBB"/>
          <w:sz w:val="27"/>
          <w:szCs w:val="27"/>
        </w:rPr>
        <w:t>, 2016)</w:t>
      </w:r>
      <w:r w:rsidR="006F5636">
        <w:rPr>
          <w:rStyle w:val="Hyperlink"/>
          <w:rFonts w:eastAsiaTheme="majorEastAsia"/>
          <w:color w:val="0C7DBB"/>
          <w:sz w:val="27"/>
          <w:szCs w:val="27"/>
        </w:rPr>
        <w:fldChar w:fldCharType="end"/>
      </w:r>
      <w:r>
        <w:t>. On the other hand, older adults are more likely to trip than young adults (</w:t>
      </w:r>
      <w:bookmarkStart w:id="21" w:name="bb0060"/>
      <w:r>
        <w:fldChar w:fldCharType="begin"/>
      </w:r>
      <w:r>
        <w:instrText xml:space="preserve"> HYPERLINK "https://www.sciencedirect.com/science/article/pii/S0167945718303282?via%3Dihub" \l "b0060" </w:instrText>
      </w:r>
      <w:r>
        <w:fldChar w:fldCharType="separate"/>
      </w:r>
      <w:r>
        <w:rPr>
          <w:rStyle w:val="Hyperlink"/>
          <w:rFonts w:eastAsiaTheme="majorEastAsia"/>
          <w:color w:val="0C7DBB"/>
          <w:sz w:val="27"/>
          <w:szCs w:val="27"/>
        </w:rPr>
        <w:t>Garman, Franck, Nussbaum, &amp; Madigan, 2015</w:t>
      </w:r>
      <w:r>
        <w:fldChar w:fldCharType="end"/>
      </w:r>
      <w:r>
        <w:t xml:space="preserve">), and have a greater risk of </w:t>
      </w:r>
      <w:proofErr w:type="spellStart"/>
      <w:r>
        <w:t>contacting</w:t>
      </w:r>
      <w:proofErr w:type="spellEnd"/>
      <w:r>
        <w:t xml:space="preserve"> an obstacle while walking, likely related to longer reaction times than young adults (</w:t>
      </w:r>
      <w:bookmarkStart w:id="22" w:name="bb0045"/>
      <w:r>
        <w:fldChar w:fldCharType="begin"/>
      </w:r>
      <w:r>
        <w:instrText xml:space="preserve"> HYPERLINK "https://www.sciencedirect.com/science/article/pii/S0167945718303282?via%3Dihub" \l "b0045" </w:instrText>
      </w:r>
      <w:r>
        <w:fldChar w:fldCharType="separate"/>
      </w:r>
      <w:r>
        <w:rPr>
          <w:rStyle w:val="Hyperlink"/>
          <w:rFonts w:eastAsiaTheme="majorEastAsia"/>
          <w:color w:val="0C7DBB"/>
          <w:sz w:val="27"/>
          <w:szCs w:val="27"/>
        </w:rPr>
        <w:t>Chen, Ashton-Miller, Alexander, &amp; Schultz, 1994</w:t>
      </w:r>
      <w:r>
        <w:fldChar w:fldCharType="end"/>
      </w:r>
      <w:bookmarkEnd w:id="22"/>
      <w:r>
        <w:t>). </w:t>
      </w:r>
      <w:hyperlink r:id="rId12" w:tooltip="Learn more about Apoplexy from ScienceDirect's AI-generated Topic Pages" w:history="1">
        <w:r>
          <w:rPr>
            <w:rStyle w:val="Hyperlink"/>
            <w:rFonts w:eastAsiaTheme="majorEastAsia"/>
            <w:color w:val="0C7DBB"/>
            <w:sz w:val="27"/>
            <w:szCs w:val="27"/>
          </w:rPr>
          <w:t>Stroke</w:t>
        </w:r>
      </w:hyperlink>
      <w:r>
        <w:t> survivors may have </w:t>
      </w:r>
      <w:hyperlink r:id="rId13" w:tooltip="Learn more about Stereotypic Movement Disorder from ScienceDirect's AI-generated Topic Pages" w:history="1">
        <w:r>
          <w:rPr>
            <w:rStyle w:val="Hyperlink"/>
            <w:rFonts w:eastAsiaTheme="majorEastAsia"/>
            <w:color w:val="0C7DBB"/>
            <w:sz w:val="27"/>
            <w:szCs w:val="27"/>
          </w:rPr>
          <w:t>motor impairments</w:t>
        </w:r>
      </w:hyperlink>
      <w:r>
        <w:t> that limit foot clearance during walking (</w:t>
      </w:r>
      <w:bookmarkStart w:id="23" w:name="bb0015"/>
      <w:proofErr w:type="spellStart"/>
      <w:r>
        <w:fldChar w:fldCharType="begin"/>
      </w:r>
      <w:r>
        <w:instrText xml:space="preserve"> HYPERLINK "https://www.sciencedirect.com/science/article/pii/S0167945718303282?via%3Dihub" \l "b0015" </w:instrText>
      </w:r>
      <w:r>
        <w:fldChar w:fldCharType="separate"/>
      </w:r>
      <w:r>
        <w:rPr>
          <w:rStyle w:val="Hyperlink"/>
          <w:rFonts w:eastAsiaTheme="majorEastAsia"/>
          <w:color w:val="0C7DBB"/>
          <w:sz w:val="27"/>
          <w:szCs w:val="27"/>
        </w:rPr>
        <w:t>Batchelor</w:t>
      </w:r>
      <w:proofErr w:type="spellEnd"/>
      <w:r>
        <w:rPr>
          <w:rStyle w:val="Hyperlink"/>
          <w:rFonts w:eastAsiaTheme="majorEastAsia"/>
          <w:color w:val="0C7DBB"/>
          <w:sz w:val="27"/>
          <w:szCs w:val="27"/>
        </w:rPr>
        <w:t>, Mackintosh, Said, &amp; Hill, 2012</w:t>
      </w:r>
      <w:r>
        <w:fldChar w:fldCharType="end"/>
      </w:r>
      <w:r>
        <w:t>). In particular, those who have experienced a stroke have been shown to exhibit less overall limb shortening, with maximal limb shortening occurring later in the gait cycle (</w:t>
      </w:r>
      <w:hyperlink r:id="rId14" w:anchor="b0105" w:history="1">
        <w:r>
          <w:rPr>
            <w:rStyle w:val="Hyperlink"/>
            <w:rFonts w:eastAsiaTheme="majorEastAsia"/>
            <w:color w:val="0C7DBB"/>
            <w:sz w:val="27"/>
            <w:szCs w:val="27"/>
          </w:rPr>
          <w:t xml:space="preserve">Little, </w:t>
        </w:r>
        <w:proofErr w:type="spellStart"/>
        <w:r>
          <w:rPr>
            <w:rStyle w:val="Hyperlink"/>
            <w:rFonts w:eastAsiaTheme="majorEastAsia"/>
            <w:color w:val="0C7DBB"/>
            <w:sz w:val="27"/>
            <w:szCs w:val="27"/>
          </w:rPr>
          <w:t>McGuirk</w:t>
        </w:r>
        <w:proofErr w:type="spellEnd"/>
        <w:r>
          <w:rPr>
            <w:rStyle w:val="Hyperlink"/>
            <w:rFonts w:eastAsiaTheme="majorEastAsia"/>
            <w:color w:val="0C7DBB"/>
            <w:sz w:val="27"/>
            <w:szCs w:val="27"/>
          </w:rPr>
          <w:t>, &amp; Pattern, 2014</w:t>
        </w:r>
      </w:hyperlink>
      <w:r>
        <w:t>). Thus, the </w:t>
      </w:r>
      <w:hyperlink r:id="rId15" w:tooltip="Learn more about Kinematics from ScienceDirect's AI-generated Topic Pages" w:history="1">
        <w:r>
          <w:rPr>
            <w:rStyle w:val="Hyperlink"/>
            <w:rFonts w:eastAsiaTheme="majorEastAsia"/>
            <w:color w:val="0C7DBB"/>
            <w:sz w:val="27"/>
            <w:szCs w:val="27"/>
          </w:rPr>
          <w:t>kinematic</w:t>
        </w:r>
      </w:hyperlink>
      <w:r>
        <w:t> factors that influence obstacle avoidance ability may be related to age or disability status.</w:t>
      </w:r>
    </w:p>
    <w:p w14:paraId="464D7296" w14:textId="77777777" w:rsidR="005C2246" w:rsidRDefault="005C2246" w:rsidP="00DF4651">
      <w:r>
        <w:t>Despite the obvious consequences of inadequate foot clearance and the incidence of trips, it is unclear which factors during obstacle-free walking are specifically related to the ability to avoid obstacles that appear suddenly. These factors may manifest as specific joint kinematics during obstacle-free walking that influence foot clearance in the presence of an obstacle, and these factors may be more pronounced among certain demographic groups. By investigating the walking patterns of stroke survivors as well as older adults with and without a history of falls and young adults, the purpose of this study was to determine the sagittal plane kinematics during obstacle-free walking that are related to the ability to avoid an obstacle that appears suddenly. It was expected that the stroke survivors and older adults with a history of falls would not be able to avoid the obstacle, and participants who were able to avoid an obstacle would have different obstacle-free gait characteristics than those who were not able to avoid the obstacle. In particular, it was projected that successful obstacle avoidance would be associated with greater peak hip and </w:t>
      </w:r>
      <w:hyperlink r:id="rId16" w:tooltip="Learn more about Knee Function from ScienceDirect's AI-generated Topic Pages" w:history="1">
        <w:r>
          <w:rPr>
            <w:rStyle w:val="Hyperlink"/>
            <w:rFonts w:eastAsiaTheme="majorEastAsia"/>
            <w:color w:val="0C7DBB"/>
            <w:sz w:val="27"/>
            <w:szCs w:val="27"/>
          </w:rPr>
          <w:t>knee flexion</w:t>
        </w:r>
      </w:hyperlink>
      <w:r>
        <w:t>, ankle dorsiflexion, and sagittal plane range of motion during swing for the lower extremity joints. Additionally, differences in timing of peak hip and knee flexion and ankle dorsiflexion during swing were expected.</w:t>
      </w:r>
    </w:p>
    <w:p w14:paraId="2431C35B" w14:textId="77777777" w:rsidR="005C2246" w:rsidRDefault="005C2246" w:rsidP="00540B42">
      <w:pPr>
        <w:pStyle w:val="Heading1"/>
        <w:rPr>
          <w:sz w:val="36"/>
          <w:szCs w:val="36"/>
        </w:rPr>
      </w:pPr>
      <w:r>
        <w:t>2. Methods</w:t>
      </w:r>
    </w:p>
    <w:p w14:paraId="242042E4" w14:textId="77777777" w:rsidR="005C2246" w:rsidRDefault="005C2246" w:rsidP="00540B42">
      <w:pPr>
        <w:pStyle w:val="Heading2"/>
      </w:pPr>
      <w:r>
        <w:t>2.1. Participants</w:t>
      </w:r>
    </w:p>
    <w:p w14:paraId="04B2ED96" w14:textId="77777777" w:rsidR="005C2246" w:rsidRDefault="005C2246" w:rsidP="00540B42">
      <w:r>
        <w:t>The study protocol was approved by the University of Wisconsin-Milwaukee Institutional Review Board, and all participants provided informed consent. Thirty-five community-dwelling participants included young adults age 18–45 (N = 10), older adults age 65+ without a history of falls (N = 10), older adults age 65+ who had fallen in the last six months (N = 10), and individuals who had experienced a </w:t>
      </w:r>
      <w:hyperlink r:id="rId17" w:tooltip="Learn more about Apoplexy from ScienceDirect's AI-generated Topic Pages" w:history="1">
        <w:r>
          <w:rPr>
            <w:rStyle w:val="Hyperlink"/>
            <w:rFonts w:eastAsiaTheme="majorEastAsia"/>
            <w:color w:val="0C7DBB"/>
            <w:sz w:val="27"/>
            <w:szCs w:val="27"/>
          </w:rPr>
          <w:t>stroke</w:t>
        </w:r>
      </w:hyperlink>
      <w:r>
        <w:t> more than six months earlier (N = 5) (</w:t>
      </w:r>
      <w:bookmarkStart w:id="24" w:name="bt0005"/>
      <w:r>
        <w:fldChar w:fldCharType="begin"/>
      </w:r>
      <w:r>
        <w:instrText xml:space="preserve"> HYPERLINK "https://www.sciencedirect.com/science/article/pii/S0167945718303282?via%3Dihub" \l "t0005" </w:instrText>
      </w:r>
      <w:r>
        <w:fldChar w:fldCharType="separate"/>
      </w:r>
      <w:r>
        <w:rPr>
          <w:rStyle w:val="Hyperlink"/>
          <w:rFonts w:eastAsiaTheme="majorEastAsia"/>
          <w:color w:val="0C7DBB"/>
          <w:sz w:val="27"/>
          <w:szCs w:val="27"/>
        </w:rPr>
        <w:t>Table 1</w:t>
      </w:r>
      <w:r>
        <w:fldChar w:fldCharType="end"/>
      </w:r>
      <w:bookmarkEnd w:id="24"/>
      <w:r>
        <w:t>). A fall was defined as unintentionally coming to rest on the ground (</w:t>
      </w:r>
      <w:bookmarkStart w:id="25" w:name="bb0170"/>
      <w:proofErr w:type="spellStart"/>
      <w:r>
        <w:fldChar w:fldCharType="begin"/>
      </w:r>
      <w:r>
        <w:instrText xml:space="preserve"> HYPERLINK "https://www.sciencedirect.com/science/article/pii/S0167945718303282?via%3Dihub" \l "b0170" </w:instrText>
      </w:r>
      <w:r>
        <w:fldChar w:fldCharType="separate"/>
      </w:r>
      <w:r>
        <w:rPr>
          <w:rStyle w:val="Hyperlink"/>
          <w:rFonts w:eastAsiaTheme="majorEastAsia"/>
          <w:color w:val="0C7DBB"/>
          <w:sz w:val="27"/>
          <w:szCs w:val="27"/>
        </w:rPr>
        <w:t>Senden</w:t>
      </w:r>
      <w:proofErr w:type="spellEnd"/>
      <w:r>
        <w:rPr>
          <w:rStyle w:val="Hyperlink"/>
          <w:rFonts w:eastAsiaTheme="majorEastAsia"/>
          <w:color w:val="0C7DBB"/>
          <w:sz w:val="27"/>
          <w:szCs w:val="27"/>
        </w:rPr>
        <w:t xml:space="preserve">, </w:t>
      </w:r>
      <w:proofErr w:type="spellStart"/>
      <w:r>
        <w:rPr>
          <w:rStyle w:val="Hyperlink"/>
          <w:rFonts w:eastAsiaTheme="majorEastAsia"/>
          <w:color w:val="0C7DBB"/>
          <w:sz w:val="27"/>
          <w:szCs w:val="27"/>
        </w:rPr>
        <w:t>Savelberg</w:t>
      </w:r>
      <w:proofErr w:type="spellEnd"/>
      <w:r>
        <w:rPr>
          <w:rStyle w:val="Hyperlink"/>
          <w:rFonts w:eastAsiaTheme="majorEastAsia"/>
          <w:color w:val="0C7DBB"/>
          <w:sz w:val="27"/>
          <w:szCs w:val="27"/>
        </w:rPr>
        <w:t xml:space="preserve">, Grimm, </w:t>
      </w:r>
      <w:proofErr w:type="spellStart"/>
      <w:r>
        <w:rPr>
          <w:rStyle w:val="Hyperlink"/>
          <w:rFonts w:eastAsiaTheme="majorEastAsia"/>
          <w:color w:val="0C7DBB"/>
          <w:sz w:val="27"/>
          <w:szCs w:val="27"/>
        </w:rPr>
        <w:t>Heyligers</w:t>
      </w:r>
      <w:proofErr w:type="spellEnd"/>
      <w:r>
        <w:rPr>
          <w:rStyle w:val="Hyperlink"/>
          <w:rFonts w:eastAsiaTheme="majorEastAsia"/>
          <w:color w:val="0C7DBB"/>
          <w:sz w:val="27"/>
          <w:szCs w:val="27"/>
        </w:rPr>
        <w:t>, &amp; Meijer, 2012</w:t>
      </w:r>
      <w:r>
        <w:fldChar w:fldCharType="end"/>
      </w:r>
      <w:bookmarkEnd w:id="25"/>
      <w:r>
        <w:t>). All participants were able to walk without an assistive device for five minutes at a time. Inclusion was limited to participants with a </w:t>
      </w:r>
      <w:hyperlink r:id="rId18" w:tooltip="Learn more about Mini-Mental State Examination Score from ScienceDirect's AI-generated Topic Pages" w:history="1">
        <w:r>
          <w:rPr>
            <w:rStyle w:val="Hyperlink"/>
            <w:rFonts w:eastAsiaTheme="majorEastAsia"/>
            <w:color w:val="0C7DBB"/>
            <w:sz w:val="27"/>
            <w:szCs w:val="27"/>
          </w:rPr>
          <w:t>Mini-Mental State Examination score</w:t>
        </w:r>
      </w:hyperlink>
      <w:r>
        <w:t> greater than 22 (</w:t>
      </w:r>
      <w:bookmarkStart w:id="26" w:name="bb0155"/>
      <w:proofErr w:type="spellStart"/>
      <w:r>
        <w:fldChar w:fldCharType="begin"/>
      </w:r>
      <w:r>
        <w:instrText xml:space="preserve"> HYPERLINK "https://www.sciencedirect.com/science/article/pii/S0167945718303282?via%3Dihub" \l "b0155" </w:instrText>
      </w:r>
      <w:r>
        <w:fldChar w:fldCharType="separate"/>
      </w:r>
      <w:r>
        <w:rPr>
          <w:rStyle w:val="Hyperlink"/>
          <w:rFonts w:eastAsiaTheme="majorEastAsia"/>
          <w:color w:val="0C7DBB"/>
          <w:sz w:val="27"/>
          <w:szCs w:val="27"/>
        </w:rPr>
        <w:t>Savin</w:t>
      </w:r>
      <w:proofErr w:type="spellEnd"/>
      <w:r>
        <w:rPr>
          <w:rStyle w:val="Hyperlink"/>
          <w:rFonts w:eastAsiaTheme="majorEastAsia"/>
          <w:color w:val="0C7DBB"/>
          <w:sz w:val="27"/>
          <w:szCs w:val="27"/>
        </w:rPr>
        <w:t xml:space="preserve">, Morton, &amp; </w:t>
      </w:r>
      <w:proofErr w:type="spellStart"/>
      <w:r>
        <w:rPr>
          <w:rStyle w:val="Hyperlink"/>
          <w:rFonts w:eastAsiaTheme="majorEastAsia"/>
          <w:color w:val="0C7DBB"/>
          <w:sz w:val="27"/>
          <w:szCs w:val="27"/>
        </w:rPr>
        <w:t>Whitall</w:t>
      </w:r>
      <w:proofErr w:type="spellEnd"/>
      <w:r>
        <w:rPr>
          <w:rStyle w:val="Hyperlink"/>
          <w:rFonts w:eastAsiaTheme="majorEastAsia"/>
          <w:color w:val="0C7DBB"/>
          <w:sz w:val="27"/>
          <w:szCs w:val="27"/>
        </w:rPr>
        <w:t>, 2014</w:t>
      </w:r>
      <w:r>
        <w:fldChar w:fldCharType="end"/>
      </w:r>
      <w:bookmarkEnd w:id="26"/>
      <w:r>
        <w:t xml:space="preserve">). The participants with chronic stroke completed the lower extremity sub-scale of the </w:t>
      </w:r>
      <w:proofErr w:type="spellStart"/>
      <w:r>
        <w:t>Fugl</w:t>
      </w:r>
      <w:proofErr w:type="spellEnd"/>
      <w:r>
        <w:t>-Meyer assessment, which has a range of possible scores of 0–34 (</w:t>
      </w:r>
      <w:bookmarkStart w:id="27" w:name="bb0150"/>
      <w:r>
        <w:fldChar w:fldCharType="begin"/>
      </w:r>
      <w:r>
        <w:instrText xml:space="preserve"> HYPERLINK "https://www.sciencedirect.com/science/article/pii/S0167945718303282?via%3Dihub" \l "b0150" </w:instrText>
      </w:r>
      <w:r>
        <w:fldChar w:fldCharType="separate"/>
      </w:r>
      <w:r>
        <w:rPr>
          <w:rStyle w:val="Hyperlink"/>
          <w:rFonts w:eastAsiaTheme="majorEastAsia"/>
          <w:color w:val="0C7DBB"/>
          <w:sz w:val="27"/>
          <w:szCs w:val="27"/>
        </w:rPr>
        <w:t>Sanford et al., 1993</w:t>
      </w:r>
      <w:r>
        <w:fldChar w:fldCharType="end"/>
      </w:r>
      <w:bookmarkEnd w:id="27"/>
      <w:r>
        <w:t>, </w:t>
      </w:r>
      <w:bookmarkStart w:id="28" w:name="bb0175"/>
      <w:r>
        <w:fldChar w:fldCharType="begin"/>
      </w:r>
      <w:r>
        <w:instrText xml:space="preserve"> HYPERLINK "https://www.sciencedirect.com/science/article/pii/S0167945718303282?via%3Dihub" \l "b0175" </w:instrText>
      </w:r>
      <w:r>
        <w:fldChar w:fldCharType="separate"/>
      </w:r>
      <w:r>
        <w:rPr>
          <w:rStyle w:val="Hyperlink"/>
          <w:rFonts w:eastAsiaTheme="majorEastAsia"/>
          <w:color w:val="0C7DBB"/>
          <w:sz w:val="27"/>
          <w:szCs w:val="27"/>
        </w:rPr>
        <w:t>Sullivan et al., 2011</w:t>
      </w:r>
      <w:r>
        <w:fldChar w:fldCharType="end"/>
      </w:r>
      <w:bookmarkEnd w:id="28"/>
      <w:r>
        <w:t>.</w:t>
      </w:r>
    </w:p>
    <w:p w14:paraId="5F515547" w14:textId="77777777" w:rsidR="005C2246" w:rsidRDefault="005C2246" w:rsidP="00540B42">
      <w:pPr>
        <w:pStyle w:val="NormalWeb"/>
        <w:spacing w:before="0" w:beforeAutospacing="0" w:after="0" w:afterAutospacing="0" w:line="330" w:lineRule="atLeast"/>
        <w:ind w:right="360"/>
        <w:rPr>
          <w:color w:val="323232"/>
        </w:rPr>
      </w:pPr>
      <w:r>
        <w:rPr>
          <w:rStyle w:val="label"/>
          <w:color w:val="323232"/>
          <w:sz w:val="21"/>
          <w:szCs w:val="21"/>
        </w:rPr>
        <w:t>Table 1</w:t>
      </w:r>
      <w:r>
        <w:rPr>
          <w:color w:val="323232"/>
        </w:rPr>
        <w:t>. Participant Characteristics.</w:t>
      </w:r>
    </w:p>
    <w:tbl>
      <w:tblPr>
        <w:tblStyle w:val="TableGrid"/>
        <w:tblW w:w="0" w:type="auto"/>
        <w:tblLook w:val="04A0" w:firstRow="1" w:lastRow="0" w:firstColumn="1" w:lastColumn="0" w:noHBand="0" w:noVBand="1"/>
      </w:tblPr>
      <w:tblGrid>
        <w:gridCol w:w="3263"/>
        <w:gridCol w:w="1279"/>
        <w:gridCol w:w="2264"/>
        <w:gridCol w:w="1877"/>
        <w:gridCol w:w="1387"/>
      </w:tblGrid>
      <w:tr w:rsidR="005C2246" w14:paraId="57BFD3F7" w14:textId="77777777" w:rsidTr="00540B42">
        <w:tc>
          <w:tcPr>
            <w:tcW w:w="0" w:type="auto"/>
            <w:hideMark/>
          </w:tcPr>
          <w:p w14:paraId="4E417110" w14:textId="77777777" w:rsidR="005C2246" w:rsidRDefault="005C2246" w:rsidP="00540B42">
            <w:pPr>
              <w:pStyle w:val="NoSpacing"/>
            </w:pPr>
          </w:p>
        </w:tc>
        <w:tc>
          <w:tcPr>
            <w:tcW w:w="0" w:type="auto"/>
            <w:hideMark/>
          </w:tcPr>
          <w:p w14:paraId="3F9B5EB6" w14:textId="77777777" w:rsidR="005C2246" w:rsidRDefault="005C2246" w:rsidP="00540B42">
            <w:pPr>
              <w:pStyle w:val="NoSpacing"/>
              <w:rPr>
                <w:b/>
                <w:bCs/>
                <w:sz w:val="21"/>
                <w:szCs w:val="21"/>
              </w:rPr>
            </w:pPr>
            <w:r>
              <w:rPr>
                <w:b/>
                <w:bCs/>
                <w:sz w:val="21"/>
                <w:szCs w:val="21"/>
              </w:rPr>
              <w:t>Young Adult</w:t>
            </w:r>
          </w:p>
        </w:tc>
        <w:tc>
          <w:tcPr>
            <w:tcW w:w="0" w:type="auto"/>
            <w:hideMark/>
          </w:tcPr>
          <w:p w14:paraId="468D352C" w14:textId="77777777" w:rsidR="005C2246" w:rsidRDefault="005C2246" w:rsidP="00540B42">
            <w:pPr>
              <w:pStyle w:val="NoSpacing"/>
              <w:rPr>
                <w:b/>
                <w:bCs/>
                <w:sz w:val="21"/>
                <w:szCs w:val="21"/>
              </w:rPr>
            </w:pPr>
            <w:r>
              <w:rPr>
                <w:b/>
                <w:bCs/>
                <w:sz w:val="21"/>
                <w:szCs w:val="21"/>
              </w:rPr>
              <w:t>Older Adult – Non-faller</w:t>
            </w:r>
          </w:p>
        </w:tc>
        <w:tc>
          <w:tcPr>
            <w:tcW w:w="0" w:type="auto"/>
            <w:hideMark/>
          </w:tcPr>
          <w:p w14:paraId="323DB6A5" w14:textId="77777777" w:rsidR="005C2246" w:rsidRDefault="005C2246" w:rsidP="00540B42">
            <w:pPr>
              <w:pStyle w:val="NoSpacing"/>
              <w:rPr>
                <w:b/>
                <w:bCs/>
                <w:sz w:val="21"/>
                <w:szCs w:val="21"/>
              </w:rPr>
            </w:pPr>
            <w:r>
              <w:rPr>
                <w:b/>
                <w:bCs/>
                <w:sz w:val="21"/>
                <w:szCs w:val="21"/>
              </w:rPr>
              <w:t>Older Adult – Faller</w:t>
            </w:r>
          </w:p>
        </w:tc>
        <w:tc>
          <w:tcPr>
            <w:tcW w:w="0" w:type="auto"/>
            <w:hideMark/>
          </w:tcPr>
          <w:p w14:paraId="0494B3BC" w14:textId="77777777" w:rsidR="005C2246" w:rsidRDefault="005C2246" w:rsidP="00540B42">
            <w:pPr>
              <w:pStyle w:val="NoSpacing"/>
              <w:rPr>
                <w:b/>
                <w:bCs/>
                <w:sz w:val="21"/>
                <w:szCs w:val="21"/>
              </w:rPr>
            </w:pPr>
            <w:r>
              <w:rPr>
                <w:b/>
                <w:bCs/>
                <w:sz w:val="21"/>
                <w:szCs w:val="21"/>
              </w:rPr>
              <w:t>Stroke</w:t>
            </w:r>
          </w:p>
        </w:tc>
      </w:tr>
      <w:tr w:rsidR="005C2246" w14:paraId="2F2FAB38" w14:textId="77777777" w:rsidTr="00540B42">
        <w:tc>
          <w:tcPr>
            <w:tcW w:w="0" w:type="auto"/>
            <w:hideMark/>
          </w:tcPr>
          <w:p w14:paraId="75338C0F" w14:textId="77777777" w:rsidR="005C2246" w:rsidRDefault="005C2246" w:rsidP="00540B42">
            <w:pPr>
              <w:pStyle w:val="NoSpacing"/>
              <w:rPr>
                <w:b/>
                <w:bCs/>
                <w:sz w:val="21"/>
                <w:szCs w:val="21"/>
              </w:rPr>
            </w:pPr>
            <w:r>
              <w:rPr>
                <w:b/>
                <w:bCs/>
                <w:sz w:val="21"/>
                <w:szCs w:val="21"/>
              </w:rPr>
              <w:t>N</w:t>
            </w:r>
          </w:p>
        </w:tc>
        <w:tc>
          <w:tcPr>
            <w:tcW w:w="0" w:type="auto"/>
            <w:hideMark/>
          </w:tcPr>
          <w:p w14:paraId="559119C7" w14:textId="77777777" w:rsidR="005C2246" w:rsidRDefault="005C2246" w:rsidP="00540B42">
            <w:pPr>
              <w:pStyle w:val="NoSpacing"/>
              <w:rPr>
                <w:sz w:val="21"/>
                <w:szCs w:val="21"/>
              </w:rPr>
            </w:pPr>
            <w:r>
              <w:rPr>
                <w:sz w:val="21"/>
                <w:szCs w:val="21"/>
              </w:rPr>
              <w:t>10</w:t>
            </w:r>
          </w:p>
        </w:tc>
        <w:tc>
          <w:tcPr>
            <w:tcW w:w="0" w:type="auto"/>
            <w:hideMark/>
          </w:tcPr>
          <w:p w14:paraId="3A96CAB9" w14:textId="77777777" w:rsidR="005C2246" w:rsidRDefault="005C2246" w:rsidP="00540B42">
            <w:pPr>
              <w:pStyle w:val="NoSpacing"/>
              <w:rPr>
                <w:sz w:val="21"/>
                <w:szCs w:val="21"/>
              </w:rPr>
            </w:pPr>
            <w:r>
              <w:rPr>
                <w:sz w:val="21"/>
                <w:szCs w:val="21"/>
              </w:rPr>
              <w:t>10</w:t>
            </w:r>
          </w:p>
        </w:tc>
        <w:tc>
          <w:tcPr>
            <w:tcW w:w="0" w:type="auto"/>
            <w:hideMark/>
          </w:tcPr>
          <w:p w14:paraId="45EBF678" w14:textId="77777777" w:rsidR="005C2246" w:rsidRDefault="005C2246" w:rsidP="00540B42">
            <w:pPr>
              <w:pStyle w:val="NoSpacing"/>
              <w:rPr>
                <w:sz w:val="21"/>
                <w:szCs w:val="21"/>
              </w:rPr>
            </w:pPr>
            <w:r>
              <w:rPr>
                <w:sz w:val="21"/>
                <w:szCs w:val="21"/>
              </w:rPr>
              <w:t>10</w:t>
            </w:r>
          </w:p>
        </w:tc>
        <w:tc>
          <w:tcPr>
            <w:tcW w:w="0" w:type="auto"/>
            <w:hideMark/>
          </w:tcPr>
          <w:p w14:paraId="085B3C94" w14:textId="77777777" w:rsidR="005C2246" w:rsidRDefault="005C2246" w:rsidP="00540B42">
            <w:pPr>
              <w:pStyle w:val="NoSpacing"/>
              <w:rPr>
                <w:sz w:val="21"/>
                <w:szCs w:val="21"/>
              </w:rPr>
            </w:pPr>
            <w:r>
              <w:rPr>
                <w:sz w:val="21"/>
                <w:szCs w:val="21"/>
              </w:rPr>
              <w:t>5</w:t>
            </w:r>
          </w:p>
        </w:tc>
      </w:tr>
      <w:tr w:rsidR="005C2246" w14:paraId="60897905" w14:textId="77777777" w:rsidTr="00540B42">
        <w:tc>
          <w:tcPr>
            <w:tcW w:w="0" w:type="auto"/>
            <w:hideMark/>
          </w:tcPr>
          <w:p w14:paraId="52C858B0" w14:textId="77777777" w:rsidR="005C2246" w:rsidRDefault="005C2246" w:rsidP="00540B42">
            <w:pPr>
              <w:pStyle w:val="NoSpacing"/>
              <w:rPr>
                <w:b/>
                <w:bCs/>
                <w:sz w:val="21"/>
                <w:szCs w:val="21"/>
              </w:rPr>
            </w:pPr>
            <w:r>
              <w:rPr>
                <w:b/>
                <w:bCs/>
                <w:sz w:val="21"/>
                <w:szCs w:val="21"/>
              </w:rPr>
              <w:t xml:space="preserve">Age (range), </w:t>
            </w:r>
            <w:proofErr w:type="spellStart"/>
            <w:r>
              <w:rPr>
                <w:b/>
                <w:bCs/>
                <w:sz w:val="21"/>
                <w:szCs w:val="21"/>
              </w:rPr>
              <w:t>yr</w:t>
            </w:r>
            <w:proofErr w:type="spellEnd"/>
          </w:p>
        </w:tc>
        <w:tc>
          <w:tcPr>
            <w:tcW w:w="0" w:type="auto"/>
            <w:hideMark/>
          </w:tcPr>
          <w:p w14:paraId="6AFF2D81" w14:textId="77777777" w:rsidR="005C2246" w:rsidRDefault="005C2246" w:rsidP="00540B42">
            <w:pPr>
              <w:pStyle w:val="NoSpacing"/>
              <w:rPr>
                <w:sz w:val="21"/>
                <w:szCs w:val="21"/>
              </w:rPr>
            </w:pPr>
            <w:r>
              <w:rPr>
                <w:sz w:val="21"/>
                <w:szCs w:val="21"/>
              </w:rPr>
              <w:t>30.5 (22–44)</w:t>
            </w:r>
          </w:p>
        </w:tc>
        <w:tc>
          <w:tcPr>
            <w:tcW w:w="0" w:type="auto"/>
            <w:hideMark/>
          </w:tcPr>
          <w:p w14:paraId="5A819856" w14:textId="77777777" w:rsidR="005C2246" w:rsidRDefault="005C2246" w:rsidP="00540B42">
            <w:pPr>
              <w:pStyle w:val="NoSpacing"/>
              <w:rPr>
                <w:sz w:val="21"/>
                <w:szCs w:val="21"/>
              </w:rPr>
            </w:pPr>
            <w:r>
              <w:rPr>
                <w:sz w:val="21"/>
                <w:szCs w:val="21"/>
              </w:rPr>
              <w:t>71.9 (65–87)</w:t>
            </w:r>
          </w:p>
        </w:tc>
        <w:tc>
          <w:tcPr>
            <w:tcW w:w="0" w:type="auto"/>
            <w:hideMark/>
          </w:tcPr>
          <w:p w14:paraId="38BDF96E" w14:textId="77777777" w:rsidR="005C2246" w:rsidRDefault="005C2246" w:rsidP="00540B42">
            <w:pPr>
              <w:pStyle w:val="NoSpacing"/>
              <w:rPr>
                <w:sz w:val="21"/>
                <w:szCs w:val="21"/>
              </w:rPr>
            </w:pPr>
            <w:r>
              <w:rPr>
                <w:sz w:val="21"/>
                <w:szCs w:val="21"/>
              </w:rPr>
              <w:t>75.3 (66–91)</w:t>
            </w:r>
          </w:p>
        </w:tc>
        <w:tc>
          <w:tcPr>
            <w:tcW w:w="0" w:type="auto"/>
            <w:hideMark/>
          </w:tcPr>
          <w:p w14:paraId="6B16B0CC" w14:textId="77777777" w:rsidR="005C2246" w:rsidRDefault="005C2246" w:rsidP="00540B42">
            <w:pPr>
              <w:pStyle w:val="NoSpacing"/>
              <w:rPr>
                <w:sz w:val="21"/>
                <w:szCs w:val="21"/>
              </w:rPr>
            </w:pPr>
            <w:r>
              <w:rPr>
                <w:sz w:val="21"/>
                <w:szCs w:val="21"/>
              </w:rPr>
              <w:t>61.6 (40–83)</w:t>
            </w:r>
          </w:p>
        </w:tc>
      </w:tr>
      <w:tr w:rsidR="005C2246" w14:paraId="710AF1CF" w14:textId="77777777" w:rsidTr="00540B42">
        <w:tc>
          <w:tcPr>
            <w:tcW w:w="0" w:type="auto"/>
            <w:hideMark/>
          </w:tcPr>
          <w:p w14:paraId="14F498D9" w14:textId="77777777" w:rsidR="005C2246" w:rsidRDefault="005C2246" w:rsidP="00540B42">
            <w:pPr>
              <w:pStyle w:val="NoSpacing"/>
              <w:rPr>
                <w:b/>
                <w:bCs/>
                <w:sz w:val="21"/>
                <w:szCs w:val="21"/>
              </w:rPr>
            </w:pPr>
            <w:r>
              <w:rPr>
                <w:b/>
                <w:bCs/>
                <w:sz w:val="21"/>
                <w:szCs w:val="21"/>
              </w:rPr>
              <w:t>Height (SD), m</w:t>
            </w:r>
          </w:p>
        </w:tc>
        <w:tc>
          <w:tcPr>
            <w:tcW w:w="0" w:type="auto"/>
            <w:hideMark/>
          </w:tcPr>
          <w:p w14:paraId="0698831E" w14:textId="77777777" w:rsidR="005C2246" w:rsidRDefault="005C2246" w:rsidP="00540B42">
            <w:pPr>
              <w:pStyle w:val="NoSpacing"/>
              <w:rPr>
                <w:sz w:val="21"/>
                <w:szCs w:val="21"/>
              </w:rPr>
            </w:pPr>
            <w:r>
              <w:rPr>
                <w:sz w:val="21"/>
                <w:szCs w:val="21"/>
              </w:rPr>
              <w:t>1.74 (0.14)</w:t>
            </w:r>
          </w:p>
        </w:tc>
        <w:tc>
          <w:tcPr>
            <w:tcW w:w="0" w:type="auto"/>
            <w:hideMark/>
          </w:tcPr>
          <w:p w14:paraId="23EAD7EA" w14:textId="77777777" w:rsidR="005C2246" w:rsidRDefault="005C2246" w:rsidP="00540B42">
            <w:pPr>
              <w:pStyle w:val="NoSpacing"/>
              <w:rPr>
                <w:sz w:val="21"/>
                <w:szCs w:val="21"/>
              </w:rPr>
            </w:pPr>
            <w:r>
              <w:rPr>
                <w:sz w:val="21"/>
                <w:szCs w:val="21"/>
              </w:rPr>
              <w:t>1.68 (0.08)</w:t>
            </w:r>
          </w:p>
        </w:tc>
        <w:tc>
          <w:tcPr>
            <w:tcW w:w="0" w:type="auto"/>
            <w:hideMark/>
          </w:tcPr>
          <w:p w14:paraId="0369E076" w14:textId="77777777" w:rsidR="005C2246" w:rsidRDefault="005C2246" w:rsidP="00540B42">
            <w:pPr>
              <w:pStyle w:val="NoSpacing"/>
              <w:rPr>
                <w:sz w:val="21"/>
                <w:szCs w:val="21"/>
              </w:rPr>
            </w:pPr>
            <w:r>
              <w:rPr>
                <w:sz w:val="21"/>
                <w:szCs w:val="21"/>
              </w:rPr>
              <w:t>1.72 (0.12)</w:t>
            </w:r>
          </w:p>
        </w:tc>
        <w:tc>
          <w:tcPr>
            <w:tcW w:w="0" w:type="auto"/>
            <w:hideMark/>
          </w:tcPr>
          <w:p w14:paraId="0FD4C80A" w14:textId="77777777" w:rsidR="005C2246" w:rsidRDefault="005C2246" w:rsidP="00540B42">
            <w:pPr>
              <w:pStyle w:val="NoSpacing"/>
              <w:rPr>
                <w:sz w:val="21"/>
                <w:szCs w:val="21"/>
              </w:rPr>
            </w:pPr>
            <w:r>
              <w:rPr>
                <w:sz w:val="21"/>
                <w:szCs w:val="21"/>
              </w:rPr>
              <w:t>1.68 (0.10)</w:t>
            </w:r>
          </w:p>
        </w:tc>
      </w:tr>
      <w:tr w:rsidR="005C2246" w14:paraId="61A57426" w14:textId="77777777" w:rsidTr="00540B42">
        <w:tc>
          <w:tcPr>
            <w:tcW w:w="0" w:type="auto"/>
            <w:hideMark/>
          </w:tcPr>
          <w:p w14:paraId="4BEB8BA8" w14:textId="77777777" w:rsidR="005C2246" w:rsidRDefault="005C2246" w:rsidP="00540B42">
            <w:pPr>
              <w:pStyle w:val="NoSpacing"/>
              <w:rPr>
                <w:b/>
                <w:bCs/>
                <w:sz w:val="21"/>
                <w:szCs w:val="21"/>
              </w:rPr>
            </w:pPr>
            <w:r>
              <w:rPr>
                <w:b/>
                <w:bCs/>
                <w:sz w:val="21"/>
                <w:szCs w:val="21"/>
              </w:rPr>
              <w:t>Weight (SD), kg</w:t>
            </w:r>
          </w:p>
        </w:tc>
        <w:tc>
          <w:tcPr>
            <w:tcW w:w="0" w:type="auto"/>
            <w:hideMark/>
          </w:tcPr>
          <w:p w14:paraId="265996CE" w14:textId="77777777" w:rsidR="005C2246" w:rsidRDefault="005C2246" w:rsidP="00540B42">
            <w:pPr>
              <w:pStyle w:val="NoSpacing"/>
              <w:rPr>
                <w:sz w:val="21"/>
                <w:szCs w:val="21"/>
              </w:rPr>
            </w:pPr>
            <w:r>
              <w:rPr>
                <w:sz w:val="21"/>
                <w:szCs w:val="21"/>
              </w:rPr>
              <w:t>76.0 (18.1)</w:t>
            </w:r>
          </w:p>
        </w:tc>
        <w:tc>
          <w:tcPr>
            <w:tcW w:w="0" w:type="auto"/>
            <w:hideMark/>
          </w:tcPr>
          <w:p w14:paraId="55FB3074" w14:textId="77777777" w:rsidR="005C2246" w:rsidRDefault="005C2246" w:rsidP="00540B42">
            <w:pPr>
              <w:pStyle w:val="NoSpacing"/>
              <w:rPr>
                <w:sz w:val="21"/>
                <w:szCs w:val="21"/>
              </w:rPr>
            </w:pPr>
            <w:r>
              <w:rPr>
                <w:sz w:val="21"/>
                <w:szCs w:val="21"/>
              </w:rPr>
              <w:t>75.9 (16.2)</w:t>
            </w:r>
          </w:p>
        </w:tc>
        <w:tc>
          <w:tcPr>
            <w:tcW w:w="0" w:type="auto"/>
            <w:hideMark/>
          </w:tcPr>
          <w:p w14:paraId="207EC741" w14:textId="77777777" w:rsidR="005C2246" w:rsidRDefault="005C2246" w:rsidP="00540B42">
            <w:pPr>
              <w:pStyle w:val="NoSpacing"/>
              <w:rPr>
                <w:sz w:val="21"/>
                <w:szCs w:val="21"/>
              </w:rPr>
            </w:pPr>
            <w:r>
              <w:rPr>
                <w:sz w:val="21"/>
                <w:szCs w:val="21"/>
              </w:rPr>
              <w:t>86.3 (23.0)</w:t>
            </w:r>
          </w:p>
        </w:tc>
        <w:tc>
          <w:tcPr>
            <w:tcW w:w="0" w:type="auto"/>
            <w:hideMark/>
          </w:tcPr>
          <w:p w14:paraId="3AAEDEC8" w14:textId="77777777" w:rsidR="005C2246" w:rsidRDefault="005C2246" w:rsidP="00540B42">
            <w:pPr>
              <w:pStyle w:val="NoSpacing"/>
              <w:rPr>
                <w:sz w:val="21"/>
                <w:szCs w:val="21"/>
              </w:rPr>
            </w:pPr>
            <w:r>
              <w:rPr>
                <w:sz w:val="21"/>
                <w:szCs w:val="21"/>
              </w:rPr>
              <w:t>82.6 (13.4)</w:t>
            </w:r>
          </w:p>
        </w:tc>
      </w:tr>
      <w:tr w:rsidR="005C2246" w14:paraId="122A73B1" w14:textId="77777777" w:rsidTr="00540B42">
        <w:tc>
          <w:tcPr>
            <w:tcW w:w="0" w:type="auto"/>
            <w:hideMark/>
          </w:tcPr>
          <w:p w14:paraId="2365B950" w14:textId="77777777" w:rsidR="005C2246" w:rsidRDefault="005C2246" w:rsidP="00540B42">
            <w:pPr>
              <w:pStyle w:val="NoSpacing"/>
              <w:rPr>
                <w:b/>
                <w:bCs/>
                <w:sz w:val="21"/>
                <w:szCs w:val="21"/>
              </w:rPr>
            </w:pPr>
            <w:r>
              <w:rPr>
                <w:b/>
                <w:bCs/>
                <w:sz w:val="21"/>
                <w:szCs w:val="21"/>
              </w:rPr>
              <w:t>Sex</w:t>
            </w:r>
          </w:p>
        </w:tc>
        <w:tc>
          <w:tcPr>
            <w:tcW w:w="0" w:type="auto"/>
            <w:hideMark/>
          </w:tcPr>
          <w:p w14:paraId="1082EDEF" w14:textId="77777777" w:rsidR="005C2246" w:rsidRDefault="005C2246" w:rsidP="00540B42">
            <w:pPr>
              <w:pStyle w:val="NoSpacing"/>
              <w:rPr>
                <w:sz w:val="21"/>
                <w:szCs w:val="21"/>
              </w:rPr>
            </w:pPr>
            <w:r>
              <w:rPr>
                <w:sz w:val="21"/>
                <w:szCs w:val="21"/>
              </w:rPr>
              <w:t>5M, 5F</w:t>
            </w:r>
          </w:p>
        </w:tc>
        <w:tc>
          <w:tcPr>
            <w:tcW w:w="0" w:type="auto"/>
            <w:hideMark/>
          </w:tcPr>
          <w:p w14:paraId="09EEA253" w14:textId="77777777" w:rsidR="005C2246" w:rsidRDefault="005C2246" w:rsidP="00540B42">
            <w:pPr>
              <w:pStyle w:val="NoSpacing"/>
              <w:rPr>
                <w:sz w:val="21"/>
                <w:szCs w:val="21"/>
              </w:rPr>
            </w:pPr>
            <w:r>
              <w:rPr>
                <w:sz w:val="21"/>
                <w:szCs w:val="21"/>
              </w:rPr>
              <w:t>3M, 7F</w:t>
            </w:r>
          </w:p>
        </w:tc>
        <w:tc>
          <w:tcPr>
            <w:tcW w:w="0" w:type="auto"/>
            <w:hideMark/>
          </w:tcPr>
          <w:p w14:paraId="22D5FBFB" w14:textId="77777777" w:rsidR="005C2246" w:rsidRDefault="005C2246" w:rsidP="00540B42">
            <w:pPr>
              <w:pStyle w:val="NoSpacing"/>
              <w:rPr>
                <w:sz w:val="21"/>
                <w:szCs w:val="21"/>
              </w:rPr>
            </w:pPr>
            <w:r>
              <w:rPr>
                <w:sz w:val="21"/>
                <w:szCs w:val="21"/>
              </w:rPr>
              <w:t>5M, 5F</w:t>
            </w:r>
          </w:p>
        </w:tc>
        <w:tc>
          <w:tcPr>
            <w:tcW w:w="0" w:type="auto"/>
            <w:hideMark/>
          </w:tcPr>
          <w:p w14:paraId="06309E02" w14:textId="77777777" w:rsidR="005C2246" w:rsidRDefault="005C2246" w:rsidP="00540B42">
            <w:pPr>
              <w:pStyle w:val="NoSpacing"/>
              <w:rPr>
                <w:sz w:val="21"/>
                <w:szCs w:val="21"/>
              </w:rPr>
            </w:pPr>
            <w:r>
              <w:rPr>
                <w:sz w:val="21"/>
                <w:szCs w:val="21"/>
              </w:rPr>
              <w:t>2M, 3F</w:t>
            </w:r>
          </w:p>
        </w:tc>
      </w:tr>
      <w:tr w:rsidR="005C2246" w14:paraId="17D64D6E" w14:textId="77777777" w:rsidTr="00540B42">
        <w:tc>
          <w:tcPr>
            <w:tcW w:w="0" w:type="auto"/>
            <w:hideMark/>
          </w:tcPr>
          <w:p w14:paraId="01A5134A" w14:textId="77777777" w:rsidR="005C2246" w:rsidRDefault="005C2246" w:rsidP="00540B42">
            <w:pPr>
              <w:pStyle w:val="NoSpacing"/>
              <w:rPr>
                <w:b/>
                <w:bCs/>
                <w:sz w:val="21"/>
                <w:szCs w:val="21"/>
              </w:rPr>
            </w:pPr>
            <w:r>
              <w:rPr>
                <w:b/>
                <w:bCs/>
                <w:sz w:val="21"/>
                <w:szCs w:val="21"/>
              </w:rPr>
              <w:t>Number of Falls 6 Months (range)</w:t>
            </w:r>
          </w:p>
        </w:tc>
        <w:tc>
          <w:tcPr>
            <w:tcW w:w="0" w:type="auto"/>
            <w:hideMark/>
          </w:tcPr>
          <w:p w14:paraId="34E1A406" w14:textId="77777777" w:rsidR="005C2246" w:rsidRDefault="005C2246" w:rsidP="00540B42">
            <w:pPr>
              <w:pStyle w:val="NoSpacing"/>
              <w:rPr>
                <w:sz w:val="21"/>
                <w:szCs w:val="21"/>
              </w:rPr>
            </w:pPr>
            <w:r>
              <w:rPr>
                <w:sz w:val="21"/>
                <w:szCs w:val="21"/>
              </w:rPr>
              <w:t>0.1 (0–1)</w:t>
            </w:r>
          </w:p>
        </w:tc>
        <w:tc>
          <w:tcPr>
            <w:tcW w:w="0" w:type="auto"/>
            <w:hideMark/>
          </w:tcPr>
          <w:p w14:paraId="4F5E3F1D" w14:textId="77777777" w:rsidR="005C2246" w:rsidRDefault="005C2246" w:rsidP="00540B42">
            <w:pPr>
              <w:pStyle w:val="NoSpacing"/>
              <w:rPr>
                <w:sz w:val="21"/>
                <w:szCs w:val="21"/>
              </w:rPr>
            </w:pPr>
            <w:r>
              <w:rPr>
                <w:sz w:val="21"/>
                <w:szCs w:val="21"/>
              </w:rPr>
              <w:t>0</w:t>
            </w:r>
          </w:p>
        </w:tc>
        <w:tc>
          <w:tcPr>
            <w:tcW w:w="0" w:type="auto"/>
            <w:hideMark/>
          </w:tcPr>
          <w:p w14:paraId="6DA82512" w14:textId="77777777" w:rsidR="005C2246" w:rsidRDefault="005C2246" w:rsidP="00540B42">
            <w:pPr>
              <w:pStyle w:val="NoSpacing"/>
              <w:rPr>
                <w:sz w:val="21"/>
                <w:szCs w:val="21"/>
              </w:rPr>
            </w:pPr>
            <w:r>
              <w:rPr>
                <w:sz w:val="21"/>
                <w:szCs w:val="21"/>
              </w:rPr>
              <w:t>1.4 (1–3)</w:t>
            </w:r>
          </w:p>
        </w:tc>
        <w:tc>
          <w:tcPr>
            <w:tcW w:w="0" w:type="auto"/>
            <w:hideMark/>
          </w:tcPr>
          <w:p w14:paraId="66A30A7D" w14:textId="77777777" w:rsidR="005C2246" w:rsidRDefault="005C2246" w:rsidP="00540B42">
            <w:pPr>
              <w:pStyle w:val="NoSpacing"/>
              <w:rPr>
                <w:sz w:val="21"/>
                <w:szCs w:val="21"/>
              </w:rPr>
            </w:pPr>
            <w:r>
              <w:rPr>
                <w:sz w:val="21"/>
                <w:szCs w:val="21"/>
              </w:rPr>
              <w:t>0.4 (0–1)</w:t>
            </w:r>
          </w:p>
        </w:tc>
      </w:tr>
      <w:tr w:rsidR="005C2246" w14:paraId="10E0B24C" w14:textId="77777777" w:rsidTr="00540B42">
        <w:tc>
          <w:tcPr>
            <w:tcW w:w="0" w:type="auto"/>
            <w:hideMark/>
          </w:tcPr>
          <w:p w14:paraId="13653DA5" w14:textId="77777777" w:rsidR="005C2246" w:rsidRDefault="005C2246" w:rsidP="00540B42">
            <w:pPr>
              <w:pStyle w:val="NoSpacing"/>
              <w:rPr>
                <w:b/>
                <w:bCs/>
                <w:sz w:val="21"/>
                <w:szCs w:val="21"/>
              </w:rPr>
            </w:pPr>
            <w:r>
              <w:rPr>
                <w:b/>
                <w:bCs/>
                <w:sz w:val="21"/>
                <w:szCs w:val="21"/>
              </w:rPr>
              <w:t>Mini Mental State Exam (range)</w:t>
            </w:r>
          </w:p>
        </w:tc>
        <w:tc>
          <w:tcPr>
            <w:tcW w:w="0" w:type="auto"/>
            <w:hideMark/>
          </w:tcPr>
          <w:p w14:paraId="2DFA9DC3" w14:textId="77777777" w:rsidR="005C2246" w:rsidRDefault="005C2246" w:rsidP="00540B42">
            <w:pPr>
              <w:pStyle w:val="NoSpacing"/>
              <w:rPr>
                <w:sz w:val="21"/>
                <w:szCs w:val="21"/>
              </w:rPr>
            </w:pPr>
            <w:r>
              <w:rPr>
                <w:sz w:val="21"/>
                <w:szCs w:val="21"/>
              </w:rPr>
              <w:t>29.6 (28–30)</w:t>
            </w:r>
          </w:p>
        </w:tc>
        <w:tc>
          <w:tcPr>
            <w:tcW w:w="0" w:type="auto"/>
            <w:hideMark/>
          </w:tcPr>
          <w:p w14:paraId="02830BE0" w14:textId="77777777" w:rsidR="005C2246" w:rsidRDefault="005C2246" w:rsidP="00540B42">
            <w:pPr>
              <w:pStyle w:val="NoSpacing"/>
              <w:rPr>
                <w:sz w:val="21"/>
                <w:szCs w:val="21"/>
              </w:rPr>
            </w:pPr>
            <w:r>
              <w:rPr>
                <w:sz w:val="21"/>
                <w:szCs w:val="21"/>
              </w:rPr>
              <w:t>29.3 (28–30)</w:t>
            </w:r>
          </w:p>
        </w:tc>
        <w:tc>
          <w:tcPr>
            <w:tcW w:w="0" w:type="auto"/>
            <w:hideMark/>
          </w:tcPr>
          <w:p w14:paraId="786B2F2B" w14:textId="77777777" w:rsidR="005C2246" w:rsidRDefault="005C2246" w:rsidP="00540B42">
            <w:pPr>
              <w:pStyle w:val="NoSpacing"/>
              <w:rPr>
                <w:sz w:val="21"/>
                <w:szCs w:val="21"/>
              </w:rPr>
            </w:pPr>
            <w:r>
              <w:rPr>
                <w:sz w:val="21"/>
                <w:szCs w:val="21"/>
              </w:rPr>
              <w:t>28.6 (27–30)</w:t>
            </w:r>
          </w:p>
        </w:tc>
        <w:tc>
          <w:tcPr>
            <w:tcW w:w="0" w:type="auto"/>
            <w:hideMark/>
          </w:tcPr>
          <w:p w14:paraId="42FD7790" w14:textId="77777777" w:rsidR="005C2246" w:rsidRDefault="005C2246" w:rsidP="00540B42">
            <w:pPr>
              <w:pStyle w:val="NoSpacing"/>
              <w:rPr>
                <w:sz w:val="21"/>
                <w:szCs w:val="21"/>
              </w:rPr>
            </w:pPr>
            <w:r>
              <w:rPr>
                <w:sz w:val="21"/>
                <w:szCs w:val="21"/>
              </w:rPr>
              <w:t>27.6 (24–30)</w:t>
            </w:r>
          </w:p>
        </w:tc>
      </w:tr>
      <w:tr w:rsidR="005C2246" w14:paraId="54E6B211" w14:textId="77777777" w:rsidTr="00540B42">
        <w:tc>
          <w:tcPr>
            <w:tcW w:w="0" w:type="auto"/>
            <w:hideMark/>
          </w:tcPr>
          <w:p w14:paraId="1724BF11" w14:textId="77777777" w:rsidR="005C2246" w:rsidRDefault="005C2246" w:rsidP="00540B42">
            <w:pPr>
              <w:pStyle w:val="NoSpacing"/>
              <w:rPr>
                <w:b/>
                <w:bCs/>
                <w:sz w:val="21"/>
                <w:szCs w:val="21"/>
              </w:rPr>
            </w:pPr>
            <w:r>
              <w:rPr>
                <w:b/>
                <w:bCs/>
                <w:sz w:val="21"/>
                <w:szCs w:val="21"/>
              </w:rPr>
              <w:t xml:space="preserve">LE </w:t>
            </w:r>
            <w:proofErr w:type="spellStart"/>
            <w:r>
              <w:rPr>
                <w:b/>
                <w:bCs/>
                <w:sz w:val="21"/>
                <w:szCs w:val="21"/>
              </w:rPr>
              <w:t>Fugl</w:t>
            </w:r>
            <w:proofErr w:type="spellEnd"/>
            <w:r>
              <w:rPr>
                <w:b/>
                <w:bCs/>
                <w:sz w:val="21"/>
                <w:szCs w:val="21"/>
              </w:rPr>
              <w:t>-Meyer (range)</w:t>
            </w:r>
          </w:p>
        </w:tc>
        <w:tc>
          <w:tcPr>
            <w:tcW w:w="0" w:type="auto"/>
            <w:hideMark/>
          </w:tcPr>
          <w:p w14:paraId="77C29E27" w14:textId="77777777" w:rsidR="005C2246" w:rsidRDefault="005C2246" w:rsidP="00540B42">
            <w:pPr>
              <w:pStyle w:val="NoSpacing"/>
              <w:rPr>
                <w:sz w:val="21"/>
                <w:szCs w:val="21"/>
              </w:rPr>
            </w:pPr>
            <w:r>
              <w:rPr>
                <w:sz w:val="21"/>
                <w:szCs w:val="21"/>
              </w:rPr>
              <w:t>–</w:t>
            </w:r>
          </w:p>
        </w:tc>
        <w:tc>
          <w:tcPr>
            <w:tcW w:w="0" w:type="auto"/>
            <w:hideMark/>
          </w:tcPr>
          <w:p w14:paraId="003A3A1B" w14:textId="77777777" w:rsidR="005C2246" w:rsidRDefault="005C2246" w:rsidP="00540B42">
            <w:pPr>
              <w:pStyle w:val="NoSpacing"/>
              <w:rPr>
                <w:sz w:val="21"/>
                <w:szCs w:val="21"/>
              </w:rPr>
            </w:pPr>
            <w:r>
              <w:rPr>
                <w:sz w:val="21"/>
                <w:szCs w:val="21"/>
              </w:rPr>
              <w:t>–</w:t>
            </w:r>
          </w:p>
        </w:tc>
        <w:tc>
          <w:tcPr>
            <w:tcW w:w="0" w:type="auto"/>
            <w:hideMark/>
          </w:tcPr>
          <w:p w14:paraId="54D3BBB4" w14:textId="77777777" w:rsidR="005C2246" w:rsidRDefault="005C2246" w:rsidP="00540B42">
            <w:pPr>
              <w:pStyle w:val="NoSpacing"/>
              <w:rPr>
                <w:sz w:val="21"/>
                <w:szCs w:val="21"/>
              </w:rPr>
            </w:pPr>
            <w:r>
              <w:rPr>
                <w:sz w:val="21"/>
                <w:szCs w:val="21"/>
              </w:rPr>
              <w:t>–</w:t>
            </w:r>
          </w:p>
        </w:tc>
        <w:tc>
          <w:tcPr>
            <w:tcW w:w="0" w:type="auto"/>
            <w:hideMark/>
          </w:tcPr>
          <w:p w14:paraId="59D4D470" w14:textId="77777777" w:rsidR="005C2246" w:rsidRDefault="005C2246" w:rsidP="00540B42">
            <w:pPr>
              <w:pStyle w:val="NoSpacing"/>
              <w:rPr>
                <w:sz w:val="21"/>
                <w:szCs w:val="21"/>
              </w:rPr>
            </w:pPr>
            <w:r>
              <w:rPr>
                <w:sz w:val="21"/>
                <w:szCs w:val="21"/>
              </w:rPr>
              <w:t>24.6 (17–31)</w:t>
            </w:r>
          </w:p>
        </w:tc>
      </w:tr>
      <w:tr w:rsidR="005C2246" w14:paraId="5CD26725" w14:textId="77777777" w:rsidTr="00540B42">
        <w:tc>
          <w:tcPr>
            <w:tcW w:w="0" w:type="auto"/>
            <w:hideMark/>
          </w:tcPr>
          <w:p w14:paraId="314A06CD" w14:textId="77777777" w:rsidR="005C2246" w:rsidRDefault="005C2246" w:rsidP="00540B42">
            <w:pPr>
              <w:pStyle w:val="NoSpacing"/>
              <w:rPr>
                <w:b/>
                <w:bCs/>
                <w:sz w:val="21"/>
                <w:szCs w:val="21"/>
              </w:rPr>
            </w:pPr>
            <w:r>
              <w:rPr>
                <w:b/>
                <w:bCs/>
                <w:sz w:val="21"/>
                <w:szCs w:val="21"/>
              </w:rPr>
              <w:t>Affected Side</w:t>
            </w:r>
          </w:p>
        </w:tc>
        <w:tc>
          <w:tcPr>
            <w:tcW w:w="0" w:type="auto"/>
            <w:hideMark/>
          </w:tcPr>
          <w:p w14:paraId="7FF3AB07" w14:textId="77777777" w:rsidR="005C2246" w:rsidRDefault="005C2246" w:rsidP="00540B42">
            <w:pPr>
              <w:pStyle w:val="NoSpacing"/>
              <w:rPr>
                <w:sz w:val="21"/>
                <w:szCs w:val="21"/>
              </w:rPr>
            </w:pPr>
            <w:r>
              <w:rPr>
                <w:sz w:val="21"/>
                <w:szCs w:val="21"/>
              </w:rPr>
              <w:t>–</w:t>
            </w:r>
          </w:p>
        </w:tc>
        <w:tc>
          <w:tcPr>
            <w:tcW w:w="0" w:type="auto"/>
            <w:hideMark/>
          </w:tcPr>
          <w:p w14:paraId="41F53377" w14:textId="77777777" w:rsidR="005C2246" w:rsidRDefault="005C2246" w:rsidP="00540B42">
            <w:pPr>
              <w:pStyle w:val="NoSpacing"/>
              <w:rPr>
                <w:sz w:val="21"/>
                <w:szCs w:val="21"/>
              </w:rPr>
            </w:pPr>
            <w:r>
              <w:rPr>
                <w:sz w:val="21"/>
                <w:szCs w:val="21"/>
              </w:rPr>
              <w:t>–</w:t>
            </w:r>
          </w:p>
        </w:tc>
        <w:tc>
          <w:tcPr>
            <w:tcW w:w="0" w:type="auto"/>
            <w:hideMark/>
          </w:tcPr>
          <w:p w14:paraId="76C422E3" w14:textId="77777777" w:rsidR="005C2246" w:rsidRDefault="005C2246" w:rsidP="00540B42">
            <w:pPr>
              <w:pStyle w:val="NoSpacing"/>
              <w:rPr>
                <w:sz w:val="21"/>
                <w:szCs w:val="21"/>
              </w:rPr>
            </w:pPr>
            <w:r>
              <w:rPr>
                <w:sz w:val="21"/>
                <w:szCs w:val="21"/>
              </w:rPr>
              <w:t>–</w:t>
            </w:r>
          </w:p>
        </w:tc>
        <w:tc>
          <w:tcPr>
            <w:tcW w:w="0" w:type="auto"/>
            <w:hideMark/>
          </w:tcPr>
          <w:p w14:paraId="5D7B4351" w14:textId="77777777" w:rsidR="005C2246" w:rsidRDefault="005C2246" w:rsidP="00540B42">
            <w:pPr>
              <w:pStyle w:val="NoSpacing"/>
              <w:rPr>
                <w:sz w:val="21"/>
                <w:szCs w:val="21"/>
              </w:rPr>
            </w:pPr>
            <w:r>
              <w:rPr>
                <w:sz w:val="21"/>
                <w:szCs w:val="21"/>
              </w:rPr>
              <w:t>3 R, 2 L</w:t>
            </w:r>
          </w:p>
        </w:tc>
      </w:tr>
      <w:tr w:rsidR="005C2246" w14:paraId="4095A9CF" w14:textId="77777777" w:rsidTr="00540B42">
        <w:tc>
          <w:tcPr>
            <w:tcW w:w="0" w:type="auto"/>
            <w:hideMark/>
          </w:tcPr>
          <w:p w14:paraId="0ECBE5CA" w14:textId="77777777" w:rsidR="005C2246" w:rsidRDefault="005C2246" w:rsidP="00540B42">
            <w:pPr>
              <w:pStyle w:val="NoSpacing"/>
              <w:rPr>
                <w:b/>
                <w:bCs/>
                <w:sz w:val="21"/>
                <w:szCs w:val="21"/>
              </w:rPr>
            </w:pPr>
            <w:r>
              <w:rPr>
                <w:b/>
                <w:bCs/>
                <w:sz w:val="21"/>
                <w:szCs w:val="21"/>
              </w:rPr>
              <w:t>Type of Stroke</w:t>
            </w:r>
          </w:p>
        </w:tc>
        <w:tc>
          <w:tcPr>
            <w:tcW w:w="0" w:type="auto"/>
            <w:hideMark/>
          </w:tcPr>
          <w:p w14:paraId="3F3B26B6" w14:textId="77777777" w:rsidR="005C2246" w:rsidRDefault="005C2246" w:rsidP="00540B42">
            <w:pPr>
              <w:pStyle w:val="NoSpacing"/>
              <w:rPr>
                <w:sz w:val="21"/>
                <w:szCs w:val="21"/>
              </w:rPr>
            </w:pPr>
            <w:r>
              <w:rPr>
                <w:sz w:val="21"/>
                <w:szCs w:val="21"/>
              </w:rPr>
              <w:t>–</w:t>
            </w:r>
          </w:p>
        </w:tc>
        <w:tc>
          <w:tcPr>
            <w:tcW w:w="0" w:type="auto"/>
            <w:hideMark/>
          </w:tcPr>
          <w:p w14:paraId="5B48F406" w14:textId="77777777" w:rsidR="005C2246" w:rsidRDefault="005C2246" w:rsidP="00540B42">
            <w:pPr>
              <w:pStyle w:val="NoSpacing"/>
              <w:rPr>
                <w:sz w:val="21"/>
                <w:szCs w:val="21"/>
              </w:rPr>
            </w:pPr>
            <w:r>
              <w:rPr>
                <w:sz w:val="21"/>
                <w:szCs w:val="21"/>
              </w:rPr>
              <w:t>–</w:t>
            </w:r>
          </w:p>
        </w:tc>
        <w:tc>
          <w:tcPr>
            <w:tcW w:w="0" w:type="auto"/>
            <w:hideMark/>
          </w:tcPr>
          <w:p w14:paraId="18C67734" w14:textId="77777777" w:rsidR="005C2246" w:rsidRDefault="005C2246" w:rsidP="00540B42">
            <w:pPr>
              <w:pStyle w:val="NoSpacing"/>
              <w:rPr>
                <w:sz w:val="21"/>
                <w:szCs w:val="21"/>
              </w:rPr>
            </w:pPr>
            <w:r>
              <w:rPr>
                <w:sz w:val="21"/>
                <w:szCs w:val="21"/>
              </w:rPr>
              <w:t>–</w:t>
            </w:r>
          </w:p>
        </w:tc>
        <w:tc>
          <w:tcPr>
            <w:tcW w:w="0" w:type="auto"/>
            <w:hideMark/>
          </w:tcPr>
          <w:p w14:paraId="10D7C462" w14:textId="77777777" w:rsidR="005C2246" w:rsidRDefault="005C2246" w:rsidP="00540B42">
            <w:pPr>
              <w:pStyle w:val="NoSpacing"/>
              <w:rPr>
                <w:sz w:val="21"/>
                <w:szCs w:val="21"/>
              </w:rPr>
            </w:pPr>
            <w:r>
              <w:rPr>
                <w:sz w:val="21"/>
                <w:szCs w:val="21"/>
              </w:rPr>
              <w:t>5 ischemic</w:t>
            </w:r>
          </w:p>
        </w:tc>
      </w:tr>
      <w:tr w:rsidR="005C2246" w14:paraId="24D6AFD1" w14:textId="77777777" w:rsidTr="00540B42">
        <w:tc>
          <w:tcPr>
            <w:tcW w:w="0" w:type="auto"/>
            <w:hideMark/>
          </w:tcPr>
          <w:p w14:paraId="48A04B9B" w14:textId="77777777" w:rsidR="005C2246" w:rsidRDefault="005C2246" w:rsidP="00540B42">
            <w:pPr>
              <w:pStyle w:val="NoSpacing"/>
              <w:rPr>
                <w:b/>
                <w:bCs/>
                <w:sz w:val="21"/>
                <w:szCs w:val="21"/>
              </w:rPr>
            </w:pPr>
            <w:r>
              <w:rPr>
                <w:b/>
                <w:bCs/>
                <w:sz w:val="21"/>
                <w:szCs w:val="21"/>
              </w:rPr>
              <w:t xml:space="preserve">Time since stroke onset (range), </w:t>
            </w:r>
            <w:proofErr w:type="spellStart"/>
            <w:r>
              <w:rPr>
                <w:b/>
                <w:bCs/>
                <w:sz w:val="21"/>
                <w:szCs w:val="21"/>
              </w:rPr>
              <w:t>mo</w:t>
            </w:r>
            <w:proofErr w:type="spellEnd"/>
          </w:p>
        </w:tc>
        <w:tc>
          <w:tcPr>
            <w:tcW w:w="0" w:type="auto"/>
            <w:hideMark/>
          </w:tcPr>
          <w:p w14:paraId="4881583E" w14:textId="77777777" w:rsidR="005C2246" w:rsidRDefault="005C2246" w:rsidP="00540B42">
            <w:pPr>
              <w:pStyle w:val="NoSpacing"/>
              <w:rPr>
                <w:sz w:val="21"/>
                <w:szCs w:val="21"/>
              </w:rPr>
            </w:pPr>
            <w:r>
              <w:rPr>
                <w:sz w:val="21"/>
                <w:szCs w:val="21"/>
              </w:rPr>
              <w:t>–</w:t>
            </w:r>
          </w:p>
        </w:tc>
        <w:tc>
          <w:tcPr>
            <w:tcW w:w="0" w:type="auto"/>
            <w:hideMark/>
          </w:tcPr>
          <w:p w14:paraId="252321AF" w14:textId="77777777" w:rsidR="005C2246" w:rsidRDefault="005C2246" w:rsidP="00540B42">
            <w:pPr>
              <w:pStyle w:val="NoSpacing"/>
              <w:rPr>
                <w:sz w:val="21"/>
                <w:szCs w:val="21"/>
              </w:rPr>
            </w:pPr>
            <w:r>
              <w:rPr>
                <w:sz w:val="21"/>
                <w:szCs w:val="21"/>
              </w:rPr>
              <w:t>–</w:t>
            </w:r>
          </w:p>
        </w:tc>
        <w:tc>
          <w:tcPr>
            <w:tcW w:w="0" w:type="auto"/>
            <w:hideMark/>
          </w:tcPr>
          <w:p w14:paraId="4FD00446" w14:textId="77777777" w:rsidR="005C2246" w:rsidRDefault="005C2246" w:rsidP="00540B42">
            <w:pPr>
              <w:pStyle w:val="NoSpacing"/>
              <w:rPr>
                <w:sz w:val="21"/>
                <w:szCs w:val="21"/>
              </w:rPr>
            </w:pPr>
            <w:r>
              <w:rPr>
                <w:sz w:val="21"/>
                <w:szCs w:val="21"/>
              </w:rPr>
              <w:t>–</w:t>
            </w:r>
          </w:p>
        </w:tc>
        <w:tc>
          <w:tcPr>
            <w:tcW w:w="0" w:type="auto"/>
            <w:hideMark/>
          </w:tcPr>
          <w:p w14:paraId="7A40D921" w14:textId="77777777" w:rsidR="005C2246" w:rsidRDefault="005C2246" w:rsidP="00540B42">
            <w:pPr>
              <w:pStyle w:val="NoSpacing"/>
              <w:rPr>
                <w:sz w:val="21"/>
                <w:szCs w:val="21"/>
              </w:rPr>
            </w:pPr>
            <w:r>
              <w:rPr>
                <w:sz w:val="21"/>
                <w:szCs w:val="21"/>
              </w:rPr>
              <w:t>43.2 (10–120)</w:t>
            </w:r>
          </w:p>
        </w:tc>
      </w:tr>
    </w:tbl>
    <w:p w14:paraId="5B239CE5" w14:textId="39F8599F" w:rsidR="005C2246" w:rsidRDefault="005C2246" w:rsidP="00571157">
      <w:pPr>
        <w:pStyle w:val="NoSpacing"/>
      </w:pPr>
      <w:r>
        <w:rPr>
          <w:rStyle w:val="Emphasis"/>
          <w:rFonts w:eastAsiaTheme="majorEastAsia"/>
          <w:color w:val="2E2E2E"/>
          <w:sz w:val="21"/>
          <w:szCs w:val="21"/>
        </w:rPr>
        <w:t>Note.</w:t>
      </w:r>
      <w:r>
        <w:t> SD = standard deviation; LE = lower extremity.</w:t>
      </w:r>
    </w:p>
    <w:p w14:paraId="07930DFE" w14:textId="77777777" w:rsidR="00571157" w:rsidRDefault="00571157" w:rsidP="005C2246">
      <w:pPr>
        <w:pStyle w:val="NormalWeb"/>
        <w:spacing w:before="0" w:beforeAutospacing="0" w:after="0" w:afterAutospacing="0" w:line="390" w:lineRule="atLeast"/>
        <w:rPr>
          <w:color w:val="2E2E2E"/>
          <w:sz w:val="21"/>
          <w:szCs w:val="21"/>
        </w:rPr>
      </w:pPr>
    </w:p>
    <w:p w14:paraId="0046F156" w14:textId="77777777" w:rsidR="005C2246" w:rsidRDefault="005C2246" w:rsidP="00571157">
      <w:pPr>
        <w:pStyle w:val="Heading2"/>
        <w:rPr>
          <w:sz w:val="27"/>
          <w:szCs w:val="27"/>
        </w:rPr>
      </w:pPr>
      <w:r>
        <w:t>2.2. 3D motion capture</w:t>
      </w:r>
    </w:p>
    <w:p w14:paraId="3CA5122F" w14:textId="77777777" w:rsidR="005C2246" w:rsidRDefault="005C2246" w:rsidP="00571157">
      <w:r>
        <w:t>Each participant was provided a pair of standard laboratory shoes (</w:t>
      </w:r>
      <w:proofErr w:type="spellStart"/>
      <w:r>
        <w:t>Saucony</w:t>
      </w:r>
      <w:proofErr w:type="spellEnd"/>
      <w:r>
        <w:t xml:space="preserve"> Jazz, Lexington, MA) and tight-fitting shorts. Retroreflective markers used for motion capture were applied bilaterally to track the motion of the thigh, leg and foot. The tracking markers were placed on the right and left anterior and posterior superior iliac spines, a four-marker plate on the thighs and the legs, and a rigid four-marker cluster attached to the heel counter of the shoes. A standing calibration was recorded with calibration markers on the following bilateral anatomical locations: </w:t>
      </w:r>
      <w:hyperlink r:id="rId19" w:tooltip="Learn more about Greater Trochanter from ScienceDirect's AI-generated Topic Pages" w:history="1">
        <w:r>
          <w:rPr>
            <w:rStyle w:val="Hyperlink"/>
            <w:rFonts w:eastAsiaTheme="majorEastAsia"/>
            <w:color w:val="0C7DBB"/>
            <w:sz w:val="27"/>
            <w:szCs w:val="27"/>
          </w:rPr>
          <w:t>greater trochanter</w:t>
        </w:r>
      </w:hyperlink>
      <w:r>
        <w:t>, lateral and medial femoral epicondyles, malleoli and first and fifth metatarsal heads. Additional calibration markers were placed on the distal end of each shoe and on the second metatarsal head. The location of these markers in the local coordinate system of the foot was used to determine their virtual positions during the movement trials to avoid the risk of the markers falling off during the subsequent obstacle avoidance task. The calibration markers were removed following a three-second standing calibration trial. During all trials, the three-dimensional positions of each marker were continuously collected at 200 Hz with a ten-camera Eagle system (Motion Analysis, Inc., Santa Rosa, CA). These data were filtered using a 4th order, zero-lag, recursive Butterworth filter with a cutoff </w:t>
      </w:r>
      <w:hyperlink r:id="rId20" w:tooltip="Learn more about Dihydrotachysterol from ScienceDirect's AI-generated Topic Pages" w:history="1">
        <w:r>
          <w:rPr>
            <w:rStyle w:val="Hyperlink"/>
            <w:rFonts w:eastAsiaTheme="majorEastAsia"/>
            <w:color w:val="0C7DBB"/>
            <w:sz w:val="27"/>
            <w:szCs w:val="27"/>
          </w:rPr>
          <w:t>at 10</w:t>
        </w:r>
      </w:hyperlink>
      <w:r>
        <w:t> Hz, allowing components of the signal due to walking to be retained while removing noise associated with higher frequency content from the signal (</w:t>
      </w:r>
      <w:bookmarkStart w:id="29" w:name="bb0005"/>
      <w:proofErr w:type="spellStart"/>
      <w:r>
        <w:fldChar w:fldCharType="begin"/>
      </w:r>
      <w:r>
        <w:instrText xml:space="preserve"> HYPERLINK "https://www.sciencedirect.com/science/article/pii/S0167945718303282?via%3Dihub" \l "b0005" </w:instrText>
      </w:r>
      <w:r>
        <w:fldChar w:fldCharType="separate"/>
      </w:r>
      <w:r>
        <w:rPr>
          <w:rStyle w:val="Hyperlink"/>
          <w:rFonts w:eastAsiaTheme="majorEastAsia"/>
          <w:color w:val="0C7DBB"/>
          <w:sz w:val="27"/>
          <w:szCs w:val="27"/>
        </w:rPr>
        <w:t>Angeloni</w:t>
      </w:r>
      <w:proofErr w:type="spellEnd"/>
      <w:r>
        <w:rPr>
          <w:rStyle w:val="Hyperlink"/>
          <w:rFonts w:eastAsiaTheme="majorEastAsia"/>
          <w:color w:val="0C7DBB"/>
          <w:sz w:val="27"/>
          <w:szCs w:val="27"/>
        </w:rPr>
        <w:t xml:space="preserve">, Riley, &amp; </w:t>
      </w:r>
      <w:proofErr w:type="spellStart"/>
      <w:r>
        <w:rPr>
          <w:rStyle w:val="Hyperlink"/>
          <w:rFonts w:eastAsiaTheme="majorEastAsia"/>
          <w:color w:val="0C7DBB"/>
          <w:sz w:val="27"/>
          <w:szCs w:val="27"/>
        </w:rPr>
        <w:t>Krens</w:t>
      </w:r>
      <w:proofErr w:type="spellEnd"/>
      <w:r>
        <w:rPr>
          <w:rStyle w:val="Hyperlink"/>
          <w:rFonts w:eastAsiaTheme="majorEastAsia"/>
          <w:color w:val="0C7DBB"/>
          <w:sz w:val="27"/>
          <w:szCs w:val="27"/>
        </w:rPr>
        <w:t>, 1994)</w:t>
      </w:r>
      <w:r>
        <w:fldChar w:fldCharType="end"/>
      </w:r>
      <w:bookmarkEnd w:id="29"/>
      <w:r>
        <w:t>.</w:t>
      </w:r>
    </w:p>
    <w:p w14:paraId="23B779C8" w14:textId="77777777" w:rsidR="005C2246" w:rsidRDefault="005C2246" w:rsidP="00571157">
      <w:r>
        <w:t>From the calibration trial, the joint center of each hip was established as 25% of the distance between the left and right greater trochanters (</w:t>
      </w:r>
      <w:bookmarkStart w:id="30" w:name="bb0200"/>
      <w:proofErr w:type="spellStart"/>
      <w:r>
        <w:fldChar w:fldCharType="begin"/>
      </w:r>
      <w:r>
        <w:instrText xml:space="preserve"> HYPERLINK "https://www.sciencedirect.com/science/article/pii/S0167945718303282?via%3Dihub" \l "b0200" </w:instrText>
      </w:r>
      <w:r>
        <w:fldChar w:fldCharType="separate"/>
      </w:r>
      <w:r>
        <w:rPr>
          <w:rStyle w:val="Hyperlink"/>
          <w:rFonts w:eastAsiaTheme="majorEastAsia"/>
          <w:color w:val="0C7DBB"/>
          <w:sz w:val="27"/>
          <w:szCs w:val="27"/>
        </w:rPr>
        <w:t>Weinhandl</w:t>
      </w:r>
      <w:proofErr w:type="spellEnd"/>
      <w:r>
        <w:rPr>
          <w:rStyle w:val="Hyperlink"/>
          <w:rFonts w:eastAsiaTheme="majorEastAsia"/>
          <w:color w:val="0C7DBB"/>
          <w:sz w:val="27"/>
          <w:szCs w:val="27"/>
        </w:rPr>
        <w:t xml:space="preserve"> and O'Connor, 2010</w:t>
      </w:r>
      <w:r>
        <w:fldChar w:fldCharType="end"/>
      </w:r>
      <w:bookmarkEnd w:id="30"/>
      <w:r>
        <w:t>), and the knee and ankle joint centers were defined as the midpoint between the lateral and medial femoral epicondyles and malleoli, respectively. Right-handed local coordinate systems were defined for the </w:t>
      </w:r>
      <w:hyperlink r:id="rId21" w:tooltip="Learn more about Pelvis from ScienceDirect's AI-generated Topic Pages" w:history="1">
        <w:r>
          <w:rPr>
            <w:rStyle w:val="Hyperlink"/>
            <w:rFonts w:eastAsiaTheme="majorEastAsia"/>
            <w:color w:val="0C7DBB"/>
            <w:sz w:val="27"/>
            <w:szCs w:val="27"/>
          </w:rPr>
          <w:t>pelvis</w:t>
        </w:r>
      </w:hyperlink>
      <w:r>
        <w:t>, thigh, shank and foot segments as outlined by </w:t>
      </w:r>
      <w:bookmarkStart w:id="31" w:name="bb0210"/>
      <w:r>
        <w:fldChar w:fldCharType="begin"/>
      </w:r>
      <w:r>
        <w:instrText xml:space="preserve"> HYPERLINK "https://www.sciencedirect.com/science/article/pii/S0167945718303282?via%3Dihub" \l "b0210" </w:instrText>
      </w:r>
      <w:r>
        <w:fldChar w:fldCharType="separate"/>
      </w:r>
      <w:r>
        <w:rPr>
          <w:rStyle w:val="Hyperlink"/>
          <w:rFonts w:eastAsiaTheme="majorEastAsia"/>
          <w:color w:val="0C7DBB"/>
          <w:sz w:val="27"/>
          <w:szCs w:val="27"/>
        </w:rPr>
        <w:t>Wu et al. (2002)</w:t>
      </w:r>
      <w:r>
        <w:fldChar w:fldCharType="end"/>
      </w:r>
      <w:r>
        <w:t>. Three-dimensional joint angles at the hip, knee and ankle were calculated using a joint coordinate system approach (</w:t>
      </w:r>
      <w:hyperlink r:id="rId22" w:anchor="b0210" w:history="1">
        <w:r>
          <w:rPr>
            <w:rStyle w:val="Hyperlink"/>
            <w:rFonts w:eastAsiaTheme="majorEastAsia"/>
            <w:color w:val="0C7DBB"/>
            <w:sz w:val="27"/>
            <w:szCs w:val="27"/>
          </w:rPr>
          <w:t>Wu et al., 2002</w:t>
        </w:r>
      </w:hyperlink>
      <w:bookmarkEnd w:id="31"/>
      <w:r>
        <w:t>, </w:t>
      </w:r>
      <w:bookmarkStart w:id="32" w:name="bb0070"/>
      <w:proofErr w:type="spellStart"/>
      <w:r>
        <w:fldChar w:fldCharType="begin"/>
      </w:r>
      <w:r>
        <w:instrText xml:space="preserve"> HYPERLINK "https://www.sciencedirect.com/science/article/pii/S0167945718303282?via%3Dihub" \l "b0070" </w:instrText>
      </w:r>
      <w:r>
        <w:fldChar w:fldCharType="separate"/>
      </w:r>
      <w:r>
        <w:rPr>
          <w:rStyle w:val="Hyperlink"/>
          <w:rFonts w:eastAsiaTheme="majorEastAsia"/>
          <w:color w:val="0C7DBB"/>
          <w:sz w:val="27"/>
          <w:szCs w:val="27"/>
        </w:rPr>
        <w:t>Grood</w:t>
      </w:r>
      <w:proofErr w:type="spellEnd"/>
      <w:r>
        <w:rPr>
          <w:rStyle w:val="Hyperlink"/>
          <w:rFonts w:eastAsiaTheme="majorEastAsia"/>
          <w:color w:val="0C7DBB"/>
          <w:sz w:val="27"/>
          <w:szCs w:val="27"/>
        </w:rPr>
        <w:t xml:space="preserve"> and </w:t>
      </w:r>
      <w:proofErr w:type="spellStart"/>
      <w:r>
        <w:rPr>
          <w:rStyle w:val="Hyperlink"/>
          <w:rFonts w:eastAsiaTheme="majorEastAsia"/>
          <w:color w:val="0C7DBB"/>
          <w:sz w:val="27"/>
          <w:szCs w:val="27"/>
        </w:rPr>
        <w:t>Suntay</w:t>
      </w:r>
      <w:proofErr w:type="spellEnd"/>
      <w:r>
        <w:rPr>
          <w:rStyle w:val="Hyperlink"/>
          <w:rFonts w:eastAsiaTheme="majorEastAsia"/>
          <w:color w:val="0C7DBB"/>
          <w:sz w:val="27"/>
          <w:szCs w:val="27"/>
        </w:rPr>
        <w:t>, 1983</w:t>
      </w:r>
      <w:r>
        <w:fldChar w:fldCharType="end"/>
      </w:r>
      <w:bookmarkEnd w:id="32"/>
      <w:r>
        <w:t>). Processing of the </w:t>
      </w:r>
      <w:hyperlink r:id="rId23" w:tooltip="Learn more about Kinematics from ScienceDirect's AI-generated Topic Pages" w:history="1">
        <w:r>
          <w:rPr>
            <w:rStyle w:val="Hyperlink"/>
            <w:rFonts w:eastAsiaTheme="majorEastAsia"/>
            <w:color w:val="0C7DBB"/>
            <w:sz w:val="27"/>
            <w:szCs w:val="27"/>
          </w:rPr>
          <w:t>kinematic</w:t>
        </w:r>
      </w:hyperlink>
      <w:r>
        <w:t> data was done using Visual 3D software (v5.00.24; C-Motion, Inc., Rockville, MD, USA).</w:t>
      </w:r>
    </w:p>
    <w:p w14:paraId="50C7B450" w14:textId="77777777" w:rsidR="005C2246" w:rsidRDefault="005C2246" w:rsidP="00571157">
      <w:pPr>
        <w:pStyle w:val="Heading2"/>
        <w:rPr>
          <w:sz w:val="27"/>
          <w:szCs w:val="27"/>
        </w:rPr>
      </w:pPr>
      <w:r>
        <w:t>2.3. Walking and obstacle avoidance tasks</w:t>
      </w:r>
    </w:p>
    <w:p w14:paraId="185D45EB" w14:textId="77777777" w:rsidR="005C2246" w:rsidRDefault="005C2246" w:rsidP="00571157">
      <w:r>
        <w:t>Each participant walked at their self-selected walking pace on a treadmill (Precor, C964i, Woodinville, WA, USA). Participants practiced treadmill walking for one minute while no kinematic data were recorded. Participants then walked on the treadmill for one minute and performed a separate treadmill-based obstacle avoidance task. The order of the obstacle-free walking condition and the obstacle avoidance task was randomized, but kinematic data were recorded during both tasks. Participants wore a safety harness that provided no support during walking but prevented the participant from landing on the ground in the case of a fall. Participants were allowed to rest at any point if their perceived exertion was above very light (</w:t>
      </w:r>
      <w:bookmarkStart w:id="33" w:name="bb0035"/>
      <w:r>
        <w:fldChar w:fldCharType="begin"/>
      </w:r>
      <w:r>
        <w:instrText xml:space="preserve"> HYPERLINK "https://www.sciencedirect.com/science/article/pii/S0167945718303282?via%3Dihub" \l "b0035" </w:instrText>
      </w:r>
      <w:r>
        <w:fldChar w:fldCharType="separate"/>
      </w:r>
      <w:r>
        <w:rPr>
          <w:rStyle w:val="Hyperlink"/>
          <w:rFonts w:eastAsiaTheme="majorEastAsia"/>
          <w:color w:val="0C7DBB"/>
          <w:sz w:val="27"/>
          <w:szCs w:val="27"/>
        </w:rPr>
        <w:t>Borg, 1970</w:t>
      </w:r>
      <w:r>
        <w:fldChar w:fldCharType="end"/>
      </w:r>
      <w:bookmarkEnd w:id="33"/>
      <w:r>
        <w:t>).</w:t>
      </w:r>
    </w:p>
    <w:p w14:paraId="4D500E94" w14:textId="77777777" w:rsidR="005C2246" w:rsidRDefault="005C2246" w:rsidP="00571157">
      <w:r>
        <w:t>The obstacle avoidance task consisted of four one-minute periods of treadmill walking where participants were presented with obstacles, which they were instructed to attempt to avoid. The obstacles were lightweight pieces of foam cut to length, width and height dimensions of 20 x 16 × 6 cm (</w:t>
      </w:r>
      <w:proofErr w:type="spellStart"/>
      <w:r>
        <w:t>Airex</w:t>
      </w:r>
      <w:proofErr w:type="spellEnd"/>
      <w:r>
        <w:t xml:space="preserve"> AG, Balance-pad, CH-5643 Sins, Switzerland). Similar to the process outlined by </w:t>
      </w:r>
      <w:bookmarkStart w:id="34" w:name="bb0195"/>
      <w:proofErr w:type="spellStart"/>
      <w:r>
        <w:fldChar w:fldCharType="begin"/>
      </w:r>
      <w:r>
        <w:instrText xml:space="preserve"> HYPERLINK "https://www.sciencedirect.com/science/article/pii/S0167945718303282?via%3Dihub" \l "b0195" </w:instrText>
      </w:r>
      <w:r>
        <w:fldChar w:fldCharType="separate"/>
      </w:r>
      <w:r>
        <w:rPr>
          <w:rStyle w:val="Hyperlink"/>
          <w:rFonts w:eastAsiaTheme="majorEastAsia"/>
          <w:color w:val="0C7DBB"/>
          <w:sz w:val="27"/>
          <w:szCs w:val="27"/>
        </w:rPr>
        <w:t>Weerdesteyn</w:t>
      </w:r>
      <w:proofErr w:type="spellEnd"/>
      <w:r>
        <w:rPr>
          <w:rStyle w:val="Hyperlink"/>
          <w:rFonts w:eastAsiaTheme="majorEastAsia"/>
          <w:color w:val="0C7DBB"/>
          <w:sz w:val="27"/>
          <w:szCs w:val="27"/>
        </w:rPr>
        <w:t xml:space="preserve">, Schillings, van Galen, and </w:t>
      </w:r>
      <w:proofErr w:type="spellStart"/>
      <w:r>
        <w:rPr>
          <w:rStyle w:val="Hyperlink"/>
          <w:rFonts w:eastAsiaTheme="majorEastAsia"/>
          <w:color w:val="0C7DBB"/>
          <w:sz w:val="27"/>
          <w:szCs w:val="27"/>
        </w:rPr>
        <w:t>Duysens</w:t>
      </w:r>
      <w:proofErr w:type="spellEnd"/>
      <w:r>
        <w:rPr>
          <w:rStyle w:val="Hyperlink"/>
          <w:rFonts w:eastAsiaTheme="majorEastAsia"/>
          <w:color w:val="0C7DBB"/>
          <w:sz w:val="27"/>
          <w:szCs w:val="27"/>
        </w:rPr>
        <w:t xml:space="preserve"> (2003)</w:t>
      </w:r>
      <w:r>
        <w:fldChar w:fldCharType="end"/>
      </w:r>
      <w:bookmarkEnd w:id="34"/>
      <w:r>
        <w:t>, at random heel-strike events, the foam was placed by an experimenter on the belt of the treadmill in front of the foot entering stance phase so that the obstacle would have to be avoided in the subsequent swing phase. Considering typical minimal foot clearance for most elderly adults has been reported to be no more than 5 cm (</w:t>
      </w:r>
      <w:bookmarkStart w:id="35" w:name="bb0020"/>
      <w:proofErr w:type="spellStart"/>
      <w:r>
        <w:fldChar w:fldCharType="begin"/>
      </w:r>
      <w:r>
        <w:instrText xml:space="preserve"> HYPERLINK "https://www.sciencedirect.com/science/article/pii/S0167945718303282?via%3Dihub" \l "b0020" </w:instrText>
      </w:r>
      <w:r>
        <w:fldChar w:fldCharType="separate"/>
      </w:r>
      <w:r>
        <w:rPr>
          <w:rStyle w:val="Hyperlink"/>
          <w:rFonts w:eastAsiaTheme="majorEastAsia"/>
          <w:color w:val="0C7DBB"/>
          <w:sz w:val="27"/>
          <w:szCs w:val="27"/>
        </w:rPr>
        <w:t>Begg</w:t>
      </w:r>
      <w:proofErr w:type="spellEnd"/>
      <w:r>
        <w:rPr>
          <w:rStyle w:val="Hyperlink"/>
          <w:rFonts w:eastAsiaTheme="majorEastAsia"/>
          <w:color w:val="0C7DBB"/>
          <w:sz w:val="27"/>
          <w:szCs w:val="27"/>
        </w:rPr>
        <w:t xml:space="preserve">, Best, </w:t>
      </w:r>
      <w:proofErr w:type="spellStart"/>
      <w:r>
        <w:rPr>
          <w:rStyle w:val="Hyperlink"/>
          <w:rFonts w:eastAsiaTheme="majorEastAsia"/>
          <w:color w:val="0C7DBB"/>
          <w:sz w:val="27"/>
          <w:szCs w:val="27"/>
        </w:rPr>
        <w:t>Dell'Oro</w:t>
      </w:r>
      <w:proofErr w:type="spellEnd"/>
      <w:r>
        <w:rPr>
          <w:rStyle w:val="Hyperlink"/>
          <w:rFonts w:eastAsiaTheme="majorEastAsia"/>
          <w:color w:val="0C7DBB"/>
          <w:sz w:val="27"/>
          <w:szCs w:val="27"/>
        </w:rPr>
        <w:t>, &amp; Taylor, 2007</w:t>
      </w:r>
      <w:r>
        <w:fldChar w:fldCharType="end"/>
      </w:r>
      <w:bookmarkEnd w:id="35"/>
      <w:r>
        <w:t>), using a 6-cm obstacle required the participant to react to the object to avoid coming in contact with it. This is also within the range of obstacle heights used in previous studies of obstacle avoidance in stroke survivors (</w:t>
      </w:r>
      <w:bookmarkStart w:id="36" w:name="bb0145"/>
      <w:r>
        <w:fldChar w:fldCharType="begin"/>
      </w:r>
      <w:r>
        <w:instrText xml:space="preserve"> HYPERLINK "https://www.sciencedirect.com/science/article/pii/S0167945718303282?via%3Dihub" \l "b0145" </w:instrText>
      </w:r>
      <w:r>
        <w:fldChar w:fldCharType="separate"/>
      </w:r>
      <w:r>
        <w:rPr>
          <w:rStyle w:val="Hyperlink"/>
          <w:rFonts w:eastAsiaTheme="majorEastAsia"/>
          <w:color w:val="0C7DBB"/>
          <w:sz w:val="27"/>
          <w:szCs w:val="27"/>
        </w:rPr>
        <w:t xml:space="preserve">Said, Goldie, </w:t>
      </w:r>
      <w:proofErr w:type="spellStart"/>
      <w:r>
        <w:rPr>
          <w:rStyle w:val="Hyperlink"/>
          <w:rFonts w:eastAsiaTheme="majorEastAsia"/>
          <w:color w:val="0C7DBB"/>
          <w:sz w:val="27"/>
          <w:szCs w:val="27"/>
        </w:rPr>
        <w:t>Patla</w:t>
      </w:r>
      <w:proofErr w:type="spellEnd"/>
      <w:r>
        <w:rPr>
          <w:rStyle w:val="Hyperlink"/>
          <w:rFonts w:eastAsiaTheme="majorEastAsia"/>
          <w:color w:val="0C7DBB"/>
          <w:sz w:val="27"/>
          <w:szCs w:val="27"/>
        </w:rPr>
        <w:t>, &amp; Sparrow, 2001</w:t>
      </w:r>
      <w:r>
        <w:fldChar w:fldCharType="end"/>
      </w:r>
      <w:bookmarkEnd w:id="36"/>
      <w:r>
        <w:t>). The participant continued to walk on the treadmill until another obstacle was presented, for a total of six obstacles in a one-minute period, and this process was repeated four times for 24 obstacles overall. Although the participants were aware that obstacles would be present, the conditions were designed so that the participants would not know when they would encounter an obstacle. The number of steps between obstacles was randomized, as was the foot (right or left), however, within each period the obstacle was presented on the right side three times and the left side three times. To further ensure that participants were reacting to – and not anticipating – the obstacles, participants completed a concurrent visual dual task that required participants to look straight ahead and not down at their feet or the experimenter placing the obstacles on the treadmill. For the visual task, an arrow appeared on a screen positioned at eye level approximately two meters from the treadmill. The participants reported the direction the arrow was pointing, and a new arrow appeared one second after each response. Participants were not instructed to prioritize either the visual or obstacle avoidance task.</w:t>
      </w:r>
    </w:p>
    <w:p w14:paraId="134C252D" w14:textId="77777777" w:rsidR="005C2246" w:rsidRDefault="005C2246" w:rsidP="00571157">
      <w:r>
        <w:t xml:space="preserve">Once placed on the treadmill belt, the obstacle did not move relative to the treadmill belt unless the participant </w:t>
      </w:r>
      <w:proofErr w:type="gramStart"/>
      <w:r>
        <w:t>came in contact with</w:t>
      </w:r>
      <w:proofErr w:type="gramEnd"/>
      <w:r>
        <w:t xml:space="preserve"> the obstacle. As the obstacle was lightweight foam, contact by the participant’s toe did not result in an actual trip, but rather the obstacle was kicked toward the experimenter who then batted the obstacle out of the way to prevent the participant from having a second exposure to the obstacle. A participant was labeled as a tripper if they </w:t>
      </w:r>
      <w:proofErr w:type="gramStart"/>
      <w:r>
        <w:t>came in contact with</w:t>
      </w:r>
      <w:proofErr w:type="gramEnd"/>
      <w:r>
        <w:t xml:space="preserve"> an obstacle more than once. Non-trippers were participants that </w:t>
      </w:r>
      <w:proofErr w:type="gramStart"/>
      <w:r>
        <w:t>came in contact with</w:t>
      </w:r>
      <w:proofErr w:type="gramEnd"/>
      <w:r>
        <w:t xml:space="preserve"> an obstacle just one or no times. The classification was determined by tracking the location of retroreflective markers attached to the obstacle, and using custom software (</w:t>
      </w:r>
      <w:proofErr w:type="spellStart"/>
      <w:r>
        <w:t>Matlab</w:t>
      </w:r>
      <w:proofErr w:type="spellEnd"/>
      <w:r>
        <w:t xml:space="preserve"> v8.0.0.783, </w:t>
      </w:r>
      <w:proofErr w:type="spellStart"/>
      <w:r>
        <w:t>Mathworks</w:t>
      </w:r>
      <w:proofErr w:type="spellEnd"/>
      <w:r>
        <w:t>, Inc., Natick, MA, USA) to identify any changes in velocity of the markers relative to the treadmill belt speed, as well as the location of the heel and virtual distal shoe markers relative to the position of the obstacle.</w:t>
      </w:r>
    </w:p>
    <w:p w14:paraId="6B3AE7EB" w14:textId="77777777" w:rsidR="005C2246" w:rsidRDefault="005C2246" w:rsidP="00571157">
      <w:pPr>
        <w:pStyle w:val="Heading2"/>
        <w:rPr>
          <w:sz w:val="27"/>
          <w:szCs w:val="27"/>
        </w:rPr>
      </w:pPr>
      <w:r>
        <w:t>2.4. Data processing</w:t>
      </w:r>
    </w:p>
    <w:p w14:paraId="4DE00188" w14:textId="77777777" w:rsidR="005C2246" w:rsidRDefault="005C2246" w:rsidP="00571157">
      <w:r>
        <w:t>For the obstacle-free walking condition only, heel-strike and toe-off events were determined from the location of the heel and virtual second metatarsal markers using the horizontal velocity algorithm (</w:t>
      </w:r>
      <w:bookmarkStart w:id="37" w:name="bb0215"/>
      <w:proofErr w:type="spellStart"/>
      <w:r>
        <w:fldChar w:fldCharType="begin"/>
      </w:r>
      <w:r>
        <w:instrText xml:space="preserve"> HYPERLINK "https://www.sciencedirect.com/science/article/pii/S0167945718303282?via%3Dihub" \l "b0215" </w:instrText>
      </w:r>
      <w:r>
        <w:fldChar w:fldCharType="separate"/>
      </w:r>
      <w:r>
        <w:rPr>
          <w:rStyle w:val="Hyperlink"/>
          <w:rFonts w:eastAsiaTheme="majorEastAsia"/>
          <w:color w:val="0C7DBB"/>
          <w:sz w:val="27"/>
          <w:szCs w:val="27"/>
        </w:rPr>
        <w:t>Zeni</w:t>
      </w:r>
      <w:proofErr w:type="spellEnd"/>
      <w:r>
        <w:rPr>
          <w:rStyle w:val="Hyperlink"/>
          <w:rFonts w:eastAsiaTheme="majorEastAsia"/>
          <w:color w:val="0C7DBB"/>
          <w:sz w:val="27"/>
          <w:szCs w:val="27"/>
        </w:rPr>
        <w:t>, Richards, &amp; Higginson, 2008</w:t>
      </w:r>
      <w:r>
        <w:fldChar w:fldCharType="end"/>
      </w:r>
      <w:bookmarkEnd w:id="37"/>
      <w:r>
        <w:t>). These gait events were used to segment the kinematic data into strides. Only strides from the affected leg of the stroke survivors and a randomly chosen leg of all other participants were used in the analysis. For each stride, a total of nine features were extracted: peak joint angle, time to peak joint angle, and range of motion (ROM) during swing for the sagittal plane motion at the ankle, knee and hip.</w:t>
      </w:r>
    </w:p>
    <w:p w14:paraId="25A78C42" w14:textId="77777777" w:rsidR="005C2246" w:rsidRDefault="005C2246" w:rsidP="00571157">
      <w:pPr>
        <w:pStyle w:val="Heading2"/>
        <w:rPr>
          <w:sz w:val="27"/>
          <w:szCs w:val="27"/>
        </w:rPr>
      </w:pPr>
      <w:r>
        <w:t>2.5. Classification model</w:t>
      </w:r>
    </w:p>
    <w:p w14:paraId="27BC8F41" w14:textId="77777777" w:rsidR="005C2246" w:rsidRDefault="005C2246" w:rsidP="00571157">
      <w:pPr>
        <w:rPr>
          <w:color w:val="2E2E2E"/>
          <w:sz w:val="27"/>
          <w:szCs w:val="27"/>
        </w:rPr>
      </w:pPr>
      <w:r>
        <w:rPr>
          <w:color w:val="2E2E2E"/>
          <w:sz w:val="27"/>
          <w:szCs w:val="27"/>
        </w:rPr>
        <w:t>A Linear </w:t>
      </w:r>
      <w:hyperlink r:id="rId24" w:tooltip="Learn more about Discriminant Analysis from ScienceDirect's AI-generated Topic Pages" w:history="1">
        <w:r>
          <w:rPr>
            <w:rStyle w:val="Hyperlink"/>
            <w:rFonts w:eastAsiaTheme="majorEastAsia"/>
            <w:color w:val="0C7DBB"/>
            <w:sz w:val="27"/>
            <w:szCs w:val="27"/>
          </w:rPr>
          <w:t>Discriminant Analysis</w:t>
        </w:r>
      </w:hyperlink>
      <w:r>
        <w:rPr>
          <w:color w:val="2E2E2E"/>
          <w:sz w:val="27"/>
          <w:szCs w:val="27"/>
        </w:rPr>
        <w:t> (LDA) was applied to the dataset of extracted features for each stride to determine the features that best discriminate between trippers and non-trippers. First, a sequential feature selection method was employed to reduce the number of features included in the LDA. Starting with an empty set, features were added until there was no improvement in prediction for a linear discriminant model that classified trippers and non-trippers, evaluated using 10-fold cross-validation. This process was repeated 10 times, and features that were selected at least once during the feature selection process were retained.</w:t>
      </w:r>
    </w:p>
    <w:p w14:paraId="07D06AD6" w14:textId="77777777" w:rsidR="005C2246" w:rsidRDefault="005C2246" w:rsidP="00571157">
      <w:pPr>
        <w:rPr>
          <w:color w:val="2E2E2E"/>
          <w:sz w:val="27"/>
          <w:szCs w:val="27"/>
        </w:rPr>
      </w:pPr>
      <w:r>
        <w:rPr>
          <w:color w:val="2E2E2E"/>
          <w:sz w:val="27"/>
          <w:szCs w:val="27"/>
        </w:rPr>
        <w:t xml:space="preserve">The full dataset was separated into training and testing datasets, representing approximately 90% and 10% of all strides by all participants, respectively. To prevent overfitting, at any point, all strides of a given participant were in either the training or the testing dataset, not both. The 35 participants were organized into the training and testing datasets similar to a leave-one-out approach, such that the testing dataset included all strides of one tripper with the remaining strides from randomly selected non-trippers (up to approximately 10% of all strides), and the training dataset included all strides from the participants not included in the testing dataset. Pairs of training and testing datasets were generated until each participant was included in exactly one testing dataset. This process was then repeated 10 times, for a total number of folds equal to 10 times the number of trippers. For each fold, </w:t>
      </w:r>
      <w:proofErr w:type="gramStart"/>
      <w:r>
        <w:rPr>
          <w:color w:val="2E2E2E"/>
          <w:sz w:val="27"/>
          <w:szCs w:val="27"/>
        </w:rPr>
        <w:t>a</w:t>
      </w:r>
      <w:proofErr w:type="gramEnd"/>
      <w:r>
        <w:rPr>
          <w:color w:val="2E2E2E"/>
          <w:sz w:val="27"/>
          <w:szCs w:val="27"/>
        </w:rPr>
        <w:t xml:space="preserve"> LDA was applied to the training dataset. The model that was created was then applied to the testing dataset, with performance evaluated by classification accuracy (</w:t>
      </w:r>
      <w:bookmarkStart w:id="38" w:name="bf0005"/>
      <w:r>
        <w:rPr>
          <w:color w:val="2E2E2E"/>
          <w:sz w:val="27"/>
          <w:szCs w:val="27"/>
        </w:rPr>
        <w:fldChar w:fldCharType="begin"/>
      </w:r>
      <w:r>
        <w:rPr>
          <w:color w:val="2E2E2E"/>
          <w:sz w:val="27"/>
          <w:szCs w:val="27"/>
        </w:rPr>
        <w:instrText xml:space="preserve"> HYPERLINK "https://www.sciencedirect.com/science/article/pii/S0167945718303282?via%3Dihub" \l "f0005" </w:instrText>
      </w:r>
      <w:r>
        <w:rPr>
          <w:color w:val="2E2E2E"/>
          <w:sz w:val="27"/>
          <w:szCs w:val="27"/>
        </w:rPr>
        <w:fldChar w:fldCharType="separate"/>
      </w:r>
      <w:r>
        <w:rPr>
          <w:rStyle w:val="Hyperlink"/>
          <w:rFonts w:eastAsiaTheme="majorEastAsia"/>
          <w:color w:val="0C7DBB"/>
          <w:sz w:val="27"/>
          <w:szCs w:val="27"/>
        </w:rPr>
        <w:t>Fig. 1</w:t>
      </w:r>
      <w:r>
        <w:rPr>
          <w:color w:val="2E2E2E"/>
          <w:sz w:val="27"/>
          <w:szCs w:val="27"/>
        </w:rPr>
        <w:fldChar w:fldCharType="end"/>
      </w:r>
      <w:bookmarkEnd w:id="38"/>
      <w:r>
        <w:rPr>
          <w:color w:val="2E2E2E"/>
          <w:sz w:val="27"/>
          <w:szCs w:val="27"/>
        </w:rPr>
        <w:t xml:space="preserve">). The performance was averaged across </w:t>
      </w:r>
      <w:proofErr w:type="gramStart"/>
      <w:r>
        <w:rPr>
          <w:color w:val="2E2E2E"/>
          <w:sz w:val="27"/>
          <w:szCs w:val="27"/>
        </w:rPr>
        <w:t>all of</w:t>
      </w:r>
      <w:proofErr w:type="gramEnd"/>
      <w:r>
        <w:rPr>
          <w:color w:val="2E2E2E"/>
          <w:sz w:val="27"/>
          <w:szCs w:val="27"/>
        </w:rPr>
        <w:t xml:space="preserve"> the folds. Further iterations were performed as the selected features were </w:t>
      </w:r>
      <w:proofErr w:type="gramStart"/>
      <w:r>
        <w:rPr>
          <w:color w:val="2E2E2E"/>
          <w:sz w:val="27"/>
          <w:szCs w:val="27"/>
        </w:rPr>
        <w:t>entered into</w:t>
      </w:r>
      <w:proofErr w:type="gramEnd"/>
      <w:r>
        <w:rPr>
          <w:color w:val="2E2E2E"/>
          <w:sz w:val="27"/>
          <w:szCs w:val="27"/>
        </w:rPr>
        <w:t xml:space="preserve"> the feature set in a stepwise manner, beginning with the feature with the highest selection rate.</w:t>
      </w:r>
    </w:p>
    <w:p w14:paraId="619F4C63" w14:textId="18CB284C" w:rsidR="005C2246" w:rsidRDefault="005C2246" w:rsidP="00C1019F">
      <w:pPr>
        <w:spacing w:after="0" w:line="390" w:lineRule="atLeast"/>
        <w:rPr>
          <w:color w:val="2E2E2E"/>
          <w:sz w:val="27"/>
          <w:szCs w:val="27"/>
        </w:rPr>
      </w:pPr>
      <w:r>
        <w:rPr>
          <w:noProof/>
          <w:color w:val="2E2E2E"/>
          <w:sz w:val="27"/>
          <w:szCs w:val="27"/>
        </w:rPr>
        <w:drawing>
          <wp:inline distT="0" distB="0" distL="0" distR="0" wp14:anchorId="4E42FE78" wp14:editId="50CC66EA">
            <wp:extent cx="2743200" cy="2468880"/>
            <wp:effectExtent l="0" t="0" r="0" b="7620"/>
            <wp:docPr id="3" name="Picture 3" descr="Fig. 1. For each feature set, classification accuracy was determined according to 10 times the number of trippers folds of the following process: a) A testing dataset was created from all strides of one tripper and two or three non-trippers (accounting for approximately 10% of the total number of strides across all participants); b) A training dataset was created from all strides of the remaining trippers and non-trippers not included in the testing dataset (accounting for approximately 90% of the total number of strides across all participants); c) The training dataset was used to train a LDA model to discriminate trippers and non-trippers; d) The testing dataset was applied to the LDA model, with performance evaluated as classification accuracy. This process represents one fold; additional folds were completed until all participants appeared in exactly one testing dataset, and the entire procedure was repeated 10 ti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rs.els-cdn.com/content/image/1-s2.0-S0167945718303282-gr1.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43200" cy="2468880"/>
                    </a:xfrm>
                    <a:prstGeom prst="rect">
                      <a:avLst/>
                    </a:prstGeom>
                    <a:noFill/>
                    <a:ln>
                      <a:noFill/>
                    </a:ln>
                  </pic:spPr>
                </pic:pic>
              </a:graphicData>
            </a:graphic>
          </wp:inline>
        </w:drawing>
      </w:r>
    </w:p>
    <w:p w14:paraId="64A6FDAF" w14:textId="77777777" w:rsidR="005C2246" w:rsidRPr="00C1019F" w:rsidRDefault="005C2246" w:rsidP="00C1019F">
      <w:pPr>
        <w:pStyle w:val="NoSpacing"/>
        <w:rPr>
          <w:sz w:val="20"/>
          <w:szCs w:val="20"/>
        </w:rPr>
      </w:pPr>
      <w:r w:rsidRPr="00C1019F">
        <w:rPr>
          <w:rStyle w:val="label"/>
          <w:color w:val="323232"/>
          <w:sz w:val="20"/>
          <w:szCs w:val="20"/>
        </w:rPr>
        <w:t>Fig. 1</w:t>
      </w:r>
      <w:r w:rsidRPr="00C1019F">
        <w:rPr>
          <w:sz w:val="20"/>
          <w:szCs w:val="20"/>
        </w:rPr>
        <w:t xml:space="preserve">. For each feature set, classification accuracy was determined according to 10 times the number of trippers folds of the following process: a) A testing dataset was created from all strides of one tripper and two or three non-trippers (accounting for approximately 10% of the total number of strides across all participants); b) A training dataset was created from all strides of the remaining trippers and non-trippers not included in the testing dataset (accounting for approximately 90% of the total number of strides across all participants); c) The training dataset was used to train a LDA model to discriminate trippers and non-trippers; d) The testing dataset was applied to the LDA model, with performance evaluated as classification accuracy. This process represents </w:t>
      </w:r>
      <w:proofErr w:type="gramStart"/>
      <w:r w:rsidRPr="00C1019F">
        <w:rPr>
          <w:sz w:val="20"/>
          <w:szCs w:val="20"/>
        </w:rPr>
        <w:t>one fold</w:t>
      </w:r>
      <w:proofErr w:type="gramEnd"/>
      <w:r w:rsidRPr="00C1019F">
        <w:rPr>
          <w:sz w:val="20"/>
          <w:szCs w:val="20"/>
        </w:rPr>
        <w:t>; additional folds were completed until all participants appeared in exactly one testing dataset, and the entire procedure was repeated 10 times.</w:t>
      </w:r>
    </w:p>
    <w:p w14:paraId="755F07E0" w14:textId="77777777" w:rsidR="005C2246" w:rsidRDefault="005C2246" w:rsidP="00C1019F">
      <w:pPr>
        <w:pStyle w:val="Heading2"/>
      </w:pPr>
      <w:r>
        <w:t>2.6. Statistical analysis</w:t>
      </w:r>
    </w:p>
    <w:p w14:paraId="59BE0C64" w14:textId="77777777" w:rsidR="005C2246" w:rsidRDefault="005C2246" w:rsidP="00C1019F">
      <w:r>
        <w:t>Average model performance was compared for each feature set to identify which features resulted in the best discrimination between trippers and non-trippers. Additionally, for the best feature set, determined by classification accuracy, classification accuracy for each individual subject was recorded. Differences in classification accuracy were evaluated across groups and between trippers and non-trippers using a one-way ANOVA. Accompanying ANOVAs were used to determine group differences and differences between trippers and non-trippers for the variables included in the best feature set. For significant (</w:t>
      </w:r>
      <w:r>
        <w:rPr>
          <w:rStyle w:val="Emphasis"/>
          <w:rFonts w:eastAsiaTheme="majorEastAsia"/>
          <w:color w:val="2E2E2E"/>
          <w:sz w:val="27"/>
          <w:szCs w:val="27"/>
        </w:rPr>
        <w:t>P</w:t>
      </w:r>
      <w:r>
        <w:t> &lt; .05) group differences, follow-up tests included all pairwise comparisons, with significance determined at a Bonferroni-adjusted level of α = 0.008. The LDA was implemented using custom software (</w:t>
      </w:r>
      <w:proofErr w:type="spellStart"/>
      <w:r>
        <w:t>Matlab</w:t>
      </w:r>
      <w:proofErr w:type="spellEnd"/>
      <w:r>
        <w:t xml:space="preserve"> v9.1.0.441655, </w:t>
      </w:r>
      <w:proofErr w:type="spellStart"/>
      <w:r>
        <w:t>Mathworks</w:t>
      </w:r>
      <w:proofErr w:type="spellEnd"/>
      <w:r>
        <w:t>, Inc., Natick, MA, USA), and all statistical analyses were done in SPSS (v24.0.0.1; SPSS, Inc., Chicago, IL).</w:t>
      </w:r>
    </w:p>
    <w:p w14:paraId="6AEE4772" w14:textId="77777777" w:rsidR="005C2246" w:rsidRDefault="005C2246" w:rsidP="00C1019F">
      <w:pPr>
        <w:pStyle w:val="Heading1"/>
        <w:rPr>
          <w:sz w:val="36"/>
          <w:szCs w:val="36"/>
        </w:rPr>
      </w:pPr>
      <w:r>
        <w:t>3. Results</w:t>
      </w:r>
    </w:p>
    <w:p w14:paraId="5237C890" w14:textId="77777777" w:rsidR="005C2246" w:rsidRDefault="005C2246" w:rsidP="00C1019F">
      <w:r>
        <w:t>Over the course of the obstacle-free walking condition for all participants, a total of 1580 strides on the affected side (stroke survivors) or randomly chosen leg (all other participants) were recorded. During the obstacle avoidance task, 10 participants (3 older non-fallers, 4 older fallers, and 3 </w:t>
      </w:r>
      <w:hyperlink r:id="rId26" w:tooltip="Learn more about Apoplexy from ScienceDirect's AI-generated Topic Pages" w:history="1">
        <w:r>
          <w:rPr>
            <w:rStyle w:val="Hyperlink"/>
            <w:rFonts w:eastAsiaTheme="majorEastAsia"/>
            <w:color w:val="0C7DBB"/>
            <w:sz w:val="27"/>
            <w:szCs w:val="27"/>
          </w:rPr>
          <w:t>stroke</w:t>
        </w:r>
      </w:hyperlink>
      <w:r>
        <w:t> survivors) were identified as trippers, and the remaining 25 as non-trippers. Of the 10 trippers, only 5 had reported at least one fall in the previous 6 months. Differences between the tripper and non-tripper waveforms for sagittal plane joint angles during obstacle-free walking can be observed visually (</w:t>
      </w:r>
      <w:bookmarkStart w:id="39" w:name="bf0010"/>
      <w:r>
        <w:fldChar w:fldCharType="begin"/>
      </w:r>
      <w:r>
        <w:instrText xml:space="preserve"> HYPERLINK "https://www.sciencedirect.com/science/article/pii/S0167945718303282?via%3Dihub" \l "f0010" </w:instrText>
      </w:r>
      <w:r>
        <w:fldChar w:fldCharType="separate"/>
      </w:r>
      <w:r>
        <w:rPr>
          <w:rStyle w:val="Hyperlink"/>
          <w:rFonts w:eastAsiaTheme="majorEastAsia"/>
          <w:color w:val="0C7DBB"/>
          <w:sz w:val="27"/>
          <w:szCs w:val="27"/>
        </w:rPr>
        <w:t>Fig. 2</w:t>
      </w:r>
      <w:r>
        <w:fldChar w:fldCharType="end"/>
      </w:r>
      <w:bookmarkEnd w:id="39"/>
      <w:r>
        <w:t>). Four features were selected at least once during the feature selection process (</w:t>
      </w:r>
      <w:bookmarkStart w:id="40" w:name="bt0010"/>
      <w:r>
        <w:fldChar w:fldCharType="begin"/>
      </w:r>
      <w:r>
        <w:instrText xml:space="preserve"> HYPERLINK "https://www.sciencedirect.com/science/article/pii/S0167945718303282?via%3Dihub" \l "t0010" </w:instrText>
      </w:r>
      <w:r>
        <w:fldChar w:fldCharType="separate"/>
      </w:r>
      <w:r>
        <w:rPr>
          <w:rStyle w:val="Hyperlink"/>
          <w:rFonts w:eastAsiaTheme="majorEastAsia"/>
          <w:color w:val="0C7DBB"/>
          <w:sz w:val="27"/>
          <w:szCs w:val="27"/>
        </w:rPr>
        <w:t>Table 2</w:t>
      </w:r>
      <w:r>
        <w:fldChar w:fldCharType="end"/>
      </w:r>
      <w:r>
        <w:t>). Therefore, the LDA was evaluated over 100 folds (10 × 10 trippers) for each of four feature sets. As the first two features were added to the feature set, the classification accuracy improved, however, the performance declined when more than two features were included in the feature set (</w:t>
      </w:r>
      <w:bookmarkStart w:id="41" w:name="bt0015"/>
      <w:r>
        <w:fldChar w:fldCharType="begin"/>
      </w:r>
      <w:r>
        <w:instrText xml:space="preserve"> HYPERLINK "https://www.sciencedirect.com/science/article/pii/S0167945718303282?via%3Dihub" \l "t0015" </w:instrText>
      </w:r>
      <w:r>
        <w:fldChar w:fldCharType="separate"/>
      </w:r>
      <w:r>
        <w:rPr>
          <w:rStyle w:val="Hyperlink"/>
          <w:rFonts w:eastAsiaTheme="majorEastAsia"/>
          <w:color w:val="0C7DBB"/>
          <w:sz w:val="27"/>
          <w:szCs w:val="27"/>
        </w:rPr>
        <w:t>Table 3</w:t>
      </w:r>
      <w:r>
        <w:fldChar w:fldCharType="end"/>
      </w:r>
      <w:r>
        <w:t>). The features included in the best feature set were knee ROM during swing and time to peak knee angle during swing.</w:t>
      </w:r>
    </w:p>
    <w:p w14:paraId="411628BC" w14:textId="1B37B3BA" w:rsidR="005C2246" w:rsidRDefault="005C2246" w:rsidP="00C1019F">
      <w:pPr>
        <w:spacing w:after="0" w:line="390" w:lineRule="atLeast"/>
        <w:rPr>
          <w:color w:val="2E2E2E"/>
          <w:sz w:val="27"/>
          <w:szCs w:val="27"/>
        </w:rPr>
      </w:pPr>
      <w:r>
        <w:rPr>
          <w:noProof/>
          <w:color w:val="2E2E2E"/>
          <w:sz w:val="27"/>
          <w:szCs w:val="27"/>
        </w:rPr>
        <w:drawing>
          <wp:inline distT="0" distB="0" distL="0" distR="0" wp14:anchorId="7B292984" wp14:editId="6EA70535">
            <wp:extent cx="2743200" cy="3511296"/>
            <wp:effectExtent l="0" t="0" r="0" b="0"/>
            <wp:docPr id="2" name="Picture 2" descr="Fig. 2. Mean sagittal plane joint angles throughout the gait cycle for trippers (dashed black line) and non-trippers (solid black line). The dashed and solid vertical lines represent toe-off for the trippers and non-trippers, respectively. The tripper and non-tripper waveforms are bracketed by ±1.96 standard deviations of the overall mean (gray lines). Positive angles represent hip flexion, knee extension and ankle dorsiflex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rs.els-cdn.com/content/image/1-s2.0-S0167945718303282-gr2.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743200" cy="3511296"/>
                    </a:xfrm>
                    <a:prstGeom prst="rect">
                      <a:avLst/>
                    </a:prstGeom>
                    <a:noFill/>
                    <a:ln>
                      <a:noFill/>
                    </a:ln>
                  </pic:spPr>
                </pic:pic>
              </a:graphicData>
            </a:graphic>
          </wp:inline>
        </w:drawing>
      </w:r>
    </w:p>
    <w:p w14:paraId="24FCD4A6" w14:textId="0657E7AA" w:rsidR="005C2246" w:rsidRDefault="005C2246" w:rsidP="00C1019F">
      <w:pPr>
        <w:pStyle w:val="NoSpacing"/>
        <w:rPr>
          <w:sz w:val="20"/>
          <w:szCs w:val="20"/>
        </w:rPr>
      </w:pPr>
      <w:r w:rsidRPr="00C1019F">
        <w:rPr>
          <w:rStyle w:val="label"/>
          <w:color w:val="323232"/>
          <w:sz w:val="20"/>
          <w:szCs w:val="20"/>
        </w:rPr>
        <w:t>Fig. 2</w:t>
      </w:r>
      <w:r w:rsidRPr="00C1019F">
        <w:rPr>
          <w:sz w:val="20"/>
          <w:szCs w:val="20"/>
        </w:rPr>
        <w:t>. Mean sagittal plane joint angles throughout the gait cycle for trippers (dashed black line) and non-trippers (solid black line). The dashed and solid vertical lines represent toe-off for the trippers and non-trippers, respectively. The tripper and non-tripper waveforms are bracketed by ±1.96 standard deviations of the overall mean (gray lines). Positive angles represent hip </w:t>
      </w:r>
      <w:hyperlink r:id="rId28" w:tooltip="Learn more about Knee Function from ScienceDirect's AI-generated Topic Pages" w:history="1">
        <w:r w:rsidRPr="00C1019F">
          <w:rPr>
            <w:rStyle w:val="Hyperlink"/>
            <w:rFonts w:eastAsiaTheme="majorEastAsia"/>
            <w:color w:val="0C7DBB"/>
            <w:sz w:val="20"/>
            <w:szCs w:val="20"/>
          </w:rPr>
          <w:t>flexion, knee</w:t>
        </w:r>
      </w:hyperlink>
      <w:r w:rsidRPr="00C1019F">
        <w:rPr>
          <w:sz w:val="20"/>
          <w:szCs w:val="20"/>
        </w:rPr>
        <w:t> extension and ankle dorsiflexion.</w:t>
      </w:r>
    </w:p>
    <w:p w14:paraId="3AA6F697" w14:textId="77777777" w:rsidR="00064089" w:rsidRDefault="00064089" w:rsidP="00064089">
      <w:pPr>
        <w:pStyle w:val="NormalWeb"/>
        <w:spacing w:before="0" w:beforeAutospacing="0" w:after="0" w:afterAutospacing="0" w:line="330" w:lineRule="atLeast"/>
        <w:ind w:right="360"/>
        <w:rPr>
          <w:rStyle w:val="label"/>
          <w:color w:val="323232"/>
          <w:sz w:val="21"/>
          <w:szCs w:val="21"/>
        </w:rPr>
      </w:pPr>
    </w:p>
    <w:p w14:paraId="2602669F" w14:textId="77777777" w:rsidR="00DF245A" w:rsidRDefault="00DF245A">
      <w:pPr>
        <w:rPr>
          <w:rStyle w:val="label"/>
          <w:color w:val="323232"/>
          <w:sz w:val="21"/>
          <w:szCs w:val="21"/>
        </w:rPr>
      </w:pPr>
      <w:r>
        <w:rPr>
          <w:rStyle w:val="label"/>
          <w:color w:val="323232"/>
          <w:sz w:val="21"/>
          <w:szCs w:val="21"/>
        </w:rPr>
        <w:br w:type="page"/>
      </w:r>
    </w:p>
    <w:p w14:paraId="1276B90D" w14:textId="3147AE9C" w:rsidR="005C2246" w:rsidRDefault="005C2246" w:rsidP="00064089">
      <w:pPr>
        <w:pStyle w:val="NoSpacing"/>
      </w:pPr>
      <w:r>
        <w:rPr>
          <w:rStyle w:val="label"/>
          <w:color w:val="323232"/>
          <w:sz w:val="21"/>
          <w:szCs w:val="21"/>
        </w:rPr>
        <w:t>Table 2</w:t>
      </w:r>
      <w:r>
        <w:t>. Features ranked in order of number of times they were selected in the feature selection algorithm.</w:t>
      </w:r>
    </w:p>
    <w:tbl>
      <w:tblPr>
        <w:tblStyle w:val="TableGrid"/>
        <w:tblW w:w="0" w:type="auto"/>
        <w:tblLook w:val="04A0" w:firstRow="1" w:lastRow="0" w:firstColumn="1" w:lastColumn="0" w:noHBand="0" w:noVBand="1"/>
      </w:tblPr>
      <w:tblGrid>
        <w:gridCol w:w="657"/>
        <w:gridCol w:w="2426"/>
      </w:tblGrid>
      <w:tr w:rsidR="005C2246" w14:paraId="0B458C9D" w14:textId="77777777" w:rsidTr="00064089">
        <w:tc>
          <w:tcPr>
            <w:tcW w:w="0" w:type="auto"/>
            <w:hideMark/>
          </w:tcPr>
          <w:p w14:paraId="6FA5EBE8" w14:textId="77777777" w:rsidR="005C2246" w:rsidRDefault="005C2246" w:rsidP="00064089">
            <w:pPr>
              <w:pStyle w:val="NoSpacing"/>
            </w:pPr>
            <w:r>
              <w:t>Rank</w:t>
            </w:r>
          </w:p>
        </w:tc>
        <w:tc>
          <w:tcPr>
            <w:tcW w:w="0" w:type="auto"/>
            <w:hideMark/>
          </w:tcPr>
          <w:p w14:paraId="4B58085C" w14:textId="77777777" w:rsidR="005C2246" w:rsidRDefault="005C2246" w:rsidP="00064089">
            <w:pPr>
              <w:pStyle w:val="NoSpacing"/>
            </w:pPr>
            <w:r>
              <w:t>Feature</w:t>
            </w:r>
          </w:p>
        </w:tc>
      </w:tr>
      <w:tr w:rsidR="005C2246" w14:paraId="0AEBEF90" w14:textId="77777777" w:rsidTr="00064089">
        <w:tc>
          <w:tcPr>
            <w:tcW w:w="0" w:type="auto"/>
            <w:hideMark/>
          </w:tcPr>
          <w:p w14:paraId="063018B0" w14:textId="77777777" w:rsidR="005C2246" w:rsidRDefault="005C2246" w:rsidP="00064089">
            <w:pPr>
              <w:pStyle w:val="NoSpacing"/>
            </w:pPr>
            <w:r>
              <w:t>1</w:t>
            </w:r>
          </w:p>
        </w:tc>
        <w:tc>
          <w:tcPr>
            <w:tcW w:w="0" w:type="auto"/>
            <w:hideMark/>
          </w:tcPr>
          <w:p w14:paraId="7E2FCD82" w14:textId="77777777" w:rsidR="005C2246" w:rsidRDefault="005C2246" w:rsidP="00064089">
            <w:pPr>
              <w:pStyle w:val="NoSpacing"/>
            </w:pPr>
            <w:r>
              <w:t>Knee ROM swing</w:t>
            </w:r>
          </w:p>
        </w:tc>
      </w:tr>
      <w:tr w:rsidR="005C2246" w14:paraId="0895685B" w14:textId="77777777" w:rsidTr="00064089">
        <w:tc>
          <w:tcPr>
            <w:tcW w:w="0" w:type="auto"/>
            <w:hideMark/>
          </w:tcPr>
          <w:p w14:paraId="18521A31" w14:textId="77777777" w:rsidR="005C2246" w:rsidRDefault="005C2246" w:rsidP="00064089">
            <w:pPr>
              <w:pStyle w:val="NoSpacing"/>
            </w:pPr>
            <w:r>
              <w:t>2</w:t>
            </w:r>
          </w:p>
        </w:tc>
        <w:tc>
          <w:tcPr>
            <w:tcW w:w="0" w:type="auto"/>
            <w:hideMark/>
          </w:tcPr>
          <w:p w14:paraId="20C38A17" w14:textId="77777777" w:rsidR="005C2246" w:rsidRDefault="005C2246" w:rsidP="00064089">
            <w:pPr>
              <w:pStyle w:val="NoSpacing"/>
            </w:pPr>
            <w:r>
              <w:t>Time to peak knee swing</w:t>
            </w:r>
          </w:p>
        </w:tc>
      </w:tr>
      <w:tr w:rsidR="005C2246" w14:paraId="692502C2" w14:textId="77777777" w:rsidTr="00064089">
        <w:tc>
          <w:tcPr>
            <w:tcW w:w="0" w:type="auto"/>
            <w:hideMark/>
          </w:tcPr>
          <w:p w14:paraId="66D10FEC" w14:textId="77777777" w:rsidR="005C2246" w:rsidRDefault="005C2246" w:rsidP="00064089">
            <w:pPr>
              <w:pStyle w:val="NoSpacing"/>
            </w:pPr>
            <w:r>
              <w:t>3</w:t>
            </w:r>
          </w:p>
        </w:tc>
        <w:tc>
          <w:tcPr>
            <w:tcW w:w="0" w:type="auto"/>
            <w:hideMark/>
          </w:tcPr>
          <w:p w14:paraId="7D5CB8A8" w14:textId="77777777" w:rsidR="005C2246" w:rsidRDefault="005C2246" w:rsidP="00064089">
            <w:pPr>
              <w:pStyle w:val="NoSpacing"/>
            </w:pPr>
            <w:r>
              <w:t>Ankle ROM swing</w:t>
            </w:r>
          </w:p>
        </w:tc>
      </w:tr>
      <w:tr w:rsidR="005C2246" w14:paraId="6027B2DC" w14:textId="77777777" w:rsidTr="00064089">
        <w:tc>
          <w:tcPr>
            <w:tcW w:w="0" w:type="auto"/>
            <w:hideMark/>
          </w:tcPr>
          <w:p w14:paraId="4BE7C4E3" w14:textId="77777777" w:rsidR="005C2246" w:rsidRDefault="005C2246" w:rsidP="00064089">
            <w:pPr>
              <w:pStyle w:val="NoSpacing"/>
            </w:pPr>
            <w:r>
              <w:t>4</w:t>
            </w:r>
          </w:p>
        </w:tc>
        <w:tc>
          <w:tcPr>
            <w:tcW w:w="0" w:type="auto"/>
            <w:hideMark/>
          </w:tcPr>
          <w:p w14:paraId="15790E56" w14:textId="77777777" w:rsidR="005C2246" w:rsidRDefault="005C2246" w:rsidP="00064089">
            <w:pPr>
              <w:pStyle w:val="NoSpacing"/>
            </w:pPr>
            <w:r>
              <w:t>Time to peak hip swing</w:t>
            </w:r>
          </w:p>
        </w:tc>
      </w:tr>
    </w:tbl>
    <w:p w14:paraId="6E0595E9" w14:textId="77777777" w:rsidR="005C2246" w:rsidRDefault="005C2246" w:rsidP="00C53098">
      <w:r>
        <w:rPr>
          <w:rStyle w:val="label"/>
          <w:color w:val="323232"/>
          <w:sz w:val="21"/>
          <w:szCs w:val="21"/>
        </w:rPr>
        <w:t>Table 3</w:t>
      </w:r>
      <w:r>
        <w:t>. Features included and model performance for each feature set. Features were added in a stepwise manner based on their rank (</w:t>
      </w:r>
      <w:hyperlink r:id="rId29" w:anchor="t0010" w:history="1">
        <w:r>
          <w:rPr>
            <w:rStyle w:val="Hyperlink"/>
            <w:rFonts w:eastAsiaTheme="majorEastAsia"/>
            <w:color w:val="0C7DBB"/>
          </w:rPr>
          <w:t>Table 2</w:t>
        </w:r>
      </w:hyperlink>
      <w:bookmarkEnd w:id="40"/>
      <w:r>
        <w:t>) during the feature selection process. The second feature set, which included the top two ranked features, had the best classification accuracy. Sensitivity represents the proportion of actual trippers correctly identified. Specificity represents the proportion of actual non-trippers correctly identified.</w:t>
      </w:r>
    </w:p>
    <w:tbl>
      <w:tblPr>
        <w:tblStyle w:val="TableGrid"/>
        <w:tblW w:w="0" w:type="auto"/>
        <w:tblLook w:val="04A0" w:firstRow="1" w:lastRow="0" w:firstColumn="1" w:lastColumn="0" w:noHBand="0" w:noVBand="1"/>
      </w:tblPr>
      <w:tblGrid>
        <w:gridCol w:w="1814"/>
        <w:gridCol w:w="1020"/>
        <w:gridCol w:w="1126"/>
        <w:gridCol w:w="1121"/>
      </w:tblGrid>
      <w:tr w:rsidR="005C2246" w14:paraId="17924316" w14:textId="77777777" w:rsidTr="00C53098">
        <w:tc>
          <w:tcPr>
            <w:tcW w:w="0" w:type="auto"/>
            <w:hideMark/>
          </w:tcPr>
          <w:p w14:paraId="6754EC60" w14:textId="77777777" w:rsidR="005C2246" w:rsidRDefault="005C2246" w:rsidP="00C53098">
            <w:pPr>
              <w:pStyle w:val="NoSpacing"/>
            </w:pPr>
            <w:r>
              <w:t>Features Included</w:t>
            </w:r>
          </w:p>
        </w:tc>
        <w:tc>
          <w:tcPr>
            <w:tcW w:w="0" w:type="auto"/>
            <w:hideMark/>
          </w:tcPr>
          <w:p w14:paraId="3FFD0BE5" w14:textId="77777777" w:rsidR="005C2246" w:rsidRDefault="005C2246" w:rsidP="00C53098">
            <w:pPr>
              <w:pStyle w:val="NoSpacing"/>
            </w:pPr>
            <w:r>
              <w:t>Accuracy</w:t>
            </w:r>
          </w:p>
        </w:tc>
        <w:tc>
          <w:tcPr>
            <w:tcW w:w="0" w:type="auto"/>
            <w:hideMark/>
          </w:tcPr>
          <w:p w14:paraId="69BE350B" w14:textId="77777777" w:rsidR="005C2246" w:rsidRDefault="005C2246" w:rsidP="00C53098">
            <w:pPr>
              <w:pStyle w:val="NoSpacing"/>
            </w:pPr>
            <w:r>
              <w:t>Sensitivity</w:t>
            </w:r>
          </w:p>
        </w:tc>
        <w:tc>
          <w:tcPr>
            <w:tcW w:w="0" w:type="auto"/>
            <w:hideMark/>
          </w:tcPr>
          <w:p w14:paraId="4105D391" w14:textId="77777777" w:rsidR="005C2246" w:rsidRDefault="005C2246" w:rsidP="00C53098">
            <w:pPr>
              <w:pStyle w:val="NoSpacing"/>
            </w:pPr>
            <w:r>
              <w:t>Specificity</w:t>
            </w:r>
          </w:p>
        </w:tc>
      </w:tr>
      <w:tr w:rsidR="005C2246" w14:paraId="1B8263C3" w14:textId="77777777" w:rsidTr="00C53098">
        <w:tc>
          <w:tcPr>
            <w:tcW w:w="0" w:type="auto"/>
            <w:hideMark/>
          </w:tcPr>
          <w:p w14:paraId="61245B90" w14:textId="77777777" w:rsidR="005C2246" w:rsidRDefault="005C2246" w:rsidP="00C53098">
            <w:pPr>
              <w:pStyle w:val="NoSpacing"/>
            </w:pPr>
            <w:r>
              <w:t>1</w:t>
            </w:r>
          </w:p>
        </w:tc>
        <w:tc>
          <w:tcPr>
            <w:tcW w:w="0" w:type="auto"/>
            <w:hideMark/>
          </w:tcPr>
          <w:p w14:paraId="4AD98279" w14:textId="77777777" w:rsidR="005C2246" w:rsidRDefault="005C2246" w:rsidP="00C53098">
            <w:pPr>
              <w:pStyle w:val="NoSpacing"/>
            </w:pPr>
            <w:r>
              <w:t>0.917</w:t>
            </w:r>
          </w:p>
        </w:tc>
        <w:tc>
          <w:tcPr>
            <w:tcW w:w="0" w:type="auto"/>
            <w:hideMark/>
          </w:tcPr>
          <w:p w14:paraId="156F29A9" w14:textId="77777777" w:rsidR="005C2246" w:rsidRDefault="005C2246" w:rsidP="00C53098">
            <w:pPr>
              <w:pStyle w:val="NoSpacing"/>
            </w:pPr>
            <w:r>
              <w:t>0.722</w:t>
            </w:r>
          </w:p>
        </w:tc>
        <w:tc>
          <w:tcPr>
            <w:tcW w:w="0" w:type="auto"/>
            <w:hideMark/>
          </w:tcPr>
          <w:p w14:paraId="649DF9BB" w14:textId="77777777" w:rsidR="005C2246" w:rsidRDefault="005C2246" w:rsidP="00C53098">
            <w:pPr>
              <w:pStyle w:val="NoSpacing"/>
            </w:pPr>
            <w:r>
              <w:t>0.960</w:t>
            </w:r>
          </w:p>
        </w:tc>
      </w:tr>
      <w:tr w:rsidR="005C2246" w14:paraId="6E07676E" w14:textId="77777777" w:rsidTr="00C53098">
        <w:tc>
          <w:tcPr>
            <w:tcW w:w="0" w:type="auto"/>
            <w:hideMark/>
          </w:tcPr>
          <w:p w14:paraId="7439E7BC" w14:textId="77777777" w:rsidR="005C2246" w:rsidRDefault="005C2246" w:rsidP="00C53098">
            <w:pPr>
              <w:pStyle w:val="NoSpacing"/>
            </w:pPr>
            <w:r>
              <w:t>1, 2</w:t>
            </w:r>
          </w:p>
        </w:tc>
        <w:tc>
          <w:tcPr>
            <w:tcW w:w="0" w:type="auto"/>
            <w:hideMark/>
          </w:tcPr>
          <w:p w14:paraId="6C7C0477" w14:textId="77777777" w:rsidR="005C2246" w:rsidRDefault="005C2246" w:rsidP="00C53098">
            <w:pPr>
              <w:pStyle w:val="NoSpacing"/>
            </w:pPr>
            <w:r>
              <w:t>0.923</w:t>
            </w:r>
          </w:p>
        </w:tc>
        <w:tc>
          <w:tcPr>
            <w:tcW w:w="0" w:type="auto"/>
            <w:hideMark/>
          </w:tcPr>
          <w:p w14:paraId="6CC43C18" w14:textId="77777777" w:rsidR="005C2246" w:rsidRDefault="005C2246" w:rsidP="00C53098">
            <w:pPr>
              <w:pStyle w:val="NoSpacing"/>
            </w:pPr>
            <w:r>
              <w:t>0.763</w:t>
            </w:r>
          </w:p>
        </w:tc>
        <w:tc>
          <w:tcPr>
            <w:tcW w:w="0" w:type="auto"/>
            <w:hideMark/>
          </w:tcPr>
          <w:p w14:paraId="3F425017" w14:textId="77777777" w:rsidR="005C2246" w:rsidRDefault="005C2246" w:rsidP="00C53098">
            <w:pPr>
              <w:pStyle w:val="NoSpacing"/>
            </w:pPr>
            <w:r>
              <w:t>0.957</w:t>
            </w:r>
          </w:p>
        </w:tc>
      </w:tr>
      <w:tr w:rsidR="005C2246" w14:paraId="69C83B42" w14:textId="77777777" w:rsidTr="00C53098">
        <w:tc>
          <w:tcPr>
            <w:tcW w:w="0" w:type="auto"/>
            <w:hideMark/>
          </w:tcPr>
          <w:p w14:paraId="2D17E870" w14:textId="77777777" w:rsidR="005C2246" w:rsidRDefault="005C2246" w:rsidP="00C53098">
            <w:pPr>
              <w:pStyle w:val="NoSpacing"/>
            </w:pPr>
            <w:r>
              <w:t>1, 2, 3</w:t>
            </w:r>
          </w:p>
        </w:tc>
        <w:tc>
          <w:tcPr>
            <w:tcW w:w="0" w:type="auto"/>
            <w:hideMark/>
          </w:tcPr>
          <w:p w14:paraId="093CE5BC" w14:textId="77777777" w:rsidR="005C2246" w:rsidRDefault="005C2246" w:rsidP="00C53098">
            <w:pPr>
              <w:pStyle w:val="NoSpacing"/>
            </w:pPr>
            <w:r>
              <w:t>0.896</w:t>
            </w:r>
          </w:p>
        </w:tc>
        <w:tc>
          <w:tcPr>
            <w:tcW w:w="0" w:type="auto"/>
            <w:hideMark/>
          </w:tcPr>
          <w:p w14:paraId="004616FF" w14:textId="77777777" w:rsidR="005C2246" w:rsidRDefault="005C2246" w:rsidP="00C53098">
            <w:pPr>
              <w:pStyle w:val="NoSpacing"/>
            </w:pPr>
            <w:r>
              <w:t>0.774</w:t>
            </w:r>
          </w:p>
        </w:tc>
        <w:tc>
          <w:tcPr>
            <w:tcW w:w="0" w:type="auto"/>
            <w:hideMark/>
          </w:tcPr>
          <w:p w14:paraId="1BECE2DF" w14:textId="77777777" w:rsidR="005C2246" w:rsidRDefault="005C2246" w:rsidP="00C53098">
            <w:pPr>
              <w:pStyle w:val="NoSpacing"/>
            </w:pPr>
            <w:r>
              <w:t>0.917</w:t>
            </w:r>
          </w:p>
        </w:tc>
      </w:tr>
      <w:tr w:rsidR="005C2246" w14:paraId="66933F1C" w14:textId="77777777" w:rsidTr="00C53098">
        <w:tc>
          <w:tcPr>
            <w:tcW w:w="0" w:type="auto"/>
            <w:hideMark/>
          </w:tcPr>
          <w:p w14:paraId="41964EAF" w14:textId="77777777" w:rsidR="005C2246" w:rsidRDefault="005C2246" w:rsidP="00C53098">
            <w:pPr>
              <w:pStyle w:val="NoSpacing"/>
            </w:pPr>
            <w:r>
              <w:t>1, 2, 3, 4</w:t>
            </w:r>
          </w:p>
        </w:tc>
        <w:tc>
          <w:tcPr>
            <w:tcW w:w="0" w:type="auto"/>
            <w:hideMark/>
          </w:tcPr>
          <w:p w14:paraId="3E556525" w14:textId="77777777" w:rsidR="005C2246" w:rsidRDefault="005C2246" w:rsidP="00C53098">
            <w:pPr>
              <w:pStyle w:val="NoSpacing"/>
            </w:pPr>
            <w:r>
              <w:t>0.902</w:t>
            </w:r>
          </w:p>
        </w:tc>
        <w:tc>
          <w:tcPr>
            <w:tcW w:w="0" w:type="auto"/>
            <w:hideMark/>
          </w:tcPr>
          <w:p w14:paraId="6D16008C" w14:textId="77777777" w:rsidR="005C2246" w:rsidRDefault="005C2246" w:rsidP="00C53098">
            <w:pPr>
              <w:pStyle w:val="NoSpacing"/>
            </w:pPr>
            <w:r>
              <w:t>0.776</w:t>
            </w:r>
          </w:p>
        </w:tc>
        <w:tc>
          <w:tcPr>
            <w:tcW w:w="0" w:type="auto"/>
            <w:hideMark/>
          </w:tcPr>
          <w:p w14:paraId="001FFF56" w14:textId="77777777" w:rsidR="005C2246" w:rsidRDefault="005C2246" w:rsidP="00C53098">
            <w:pPr>
              <w:pStyle w:val="NoSpacing"/>
            </w:pPr>
            <w:r>
              <w:t>0.926</w:t>
            </w:r>
          </w:p>
        </w:tc>
      </w:tr>
    </w:tbl>
    <w:p w14:paraId="5EC2C09D" w14:textId="77777777" w:rsidR="00C53098" w:rsidRDefault="00C53098" w:rsidP="005C2246">
      <w:pPr>
        <w:pStyle w:val="Heading3"/>
        <w:spacing w:line="390" w:lineRule="atLeast"/>
        <w:rPr>
          <w:color w:val="505050"/>
        </w:rPr>
      </w:pPr>
    </w:p>
    <w:p w14:paraId="39E91035" w14:textId="5DAD5C82" w:rsidR="005C2246" w:rsidRDefault="005C2246" w:rsidP="00C53098">
      <w:pPr>
        <w:pStyle w:val="Heading2"/>
        <w:rPr>
          <w:sz w:val="27"/>
          <w:szCs w:val="27"/>
        </w:rPr>
      </w:pPr>
      <w:r>
        <w:t>3.1. Kinematic differences</w:t>
      </w:r>
    </w:p>
    <w:p w14:paraId="3D1F8CDB" w14:textId="77777777" w:rsidR="005C2246" w:rsidRPr="00DF245A" w:rsidRDefault="005C2246" w:rsidP="00DF245A">
      <w:pPr>
        <w:rPr>
          <w:color w:val="2E2E2E"/>
        </w:rPr>
      </w:pPr>
      <w:r w:rsidRPr="00DF245A">
        <w:rPr>
          <w:color w:val="2E2E2E"/>
        </w:rPr>
        <w:t>When assessing the differences between groups for each of the features in the best feature set, the assumption of </w:t>
      </w:r>
      <w:hyperlink r:id="rId30" w:tooltip="Learn more about Homogeneity from ScienceDirect's AI-generated Topic Pages" w:history="1">
        <w:r w:rsidRPr="00DF245A">
          <w:rPr>
            <w:rStyle w:val="Hyperlink"/>
            <w:rFonts w:eastAsiaTheme="majorEastAsia"/>
            <w:color w:val="0C7DBB"/>
          </w:rPr>
          <w:t>homogeneity</w:t>
        </w:r>
      </w:hyperlink>
      <w:r w:rsidRPr="00DF245A">
        <w:rPr>
          <w:color w:val="2E2E2E"/>
        </w:rPr>
        <w:t> of variance was violated for knee ROM during swing (</w:t>
      </w:r>
      <w:proofErr w:type="spellStart"/>
      <w:r w:rsidRPr="00DF245A">
        <w:rPr>
          <w:color w:val="2E2E2E"/>
        </w:rPr>
        <w:t>Levene</w:t>
      </w:r>
      <w:proofErr w:type="spellEnd"/>
      <w:r w:rsidRPr="00DF245A">
        <w:rPr>
          <w:color w:val="2E2E2E"/>
          <w:vertAlign w:val="subscript"/>
        </w:rPr>
        <w:t>(3,31)</w:t>
      </w:r>
      <w:r w:rsidRPr="00DF245A">
        <w:rPr>
          <w:color w:val="2E2E2E"/>
        </w:rPr>
        <w:t> = 4.322, </w:t>
      </w:r>
      <w:r w:rsidRPr="00DF245A">
        <w:rPr>
          <w:rStyle w:val="Emphasis"/>
          <w:rFonts w:eastAsiaTheme="majorEastAsia"/>
          <w:color w:val="2E2E2E"/>
        </w:rPr>
        <w:t>P</w:t>
      </w:r>
      <w:r w:rsidRPr="00DF245A">
        <w:rPr>
          <w:color w:val="2E2E2E"/>
        </w:rPr>
        <w:t xml:space="preserve"> = .012). While </w:t>
      </w:r>
      <w:proofErr w:type="spellStart"/>
      <w:r w:rsidRPr="00DF245A">
        <w:rPr>
          <w:color w:val="2E2E2E"/>
        </w:rPr>
        <w:t>Levene’s</w:t>
      </w:r>
      <w:proofErr w:type="spellEnd"/>
      <w:r w:rsidRPr="00DF245A">
        <w:rPr>
          <w:color w:val="2E2E2E"/>
        </w:rPr>
        <w:t xml:space="preserve"> test was not significant for time to peak knee angle during swing (</w:t>
      </w:r>
      <w:proofErr w:type="spellStart"/>
      <w:r w:rsidRPr="00DF245A">
        <w:rPr>
          <w:color w:val="2E2E2E"/>
        </w:rPr>
        <w:t>Levene</w:t>
      </w:r>
      <w:proofErr w:type="spellEnd"/>
      <w:r w:rsidRPr="00DF245A">
        <w:rPr>
          <w:color w:val="2E2E2E"/>
          <w:vertAlign w:val="subscript"/>
        </w:rPr>
        <w:t>(3,31)</w:t>
      </w:r>
      <w:r w:rsidRPr="00DF245A">
        <w:rPr>
          <w:color w:val="2E2E2E"/>
        </w:rPr>
        <w:t> = 2.526, </w:t>
      </w:r>
      <w:r w:rsidRPr="00DF245A">
        <w:rPr>
          <w:rStyle w:val="Emphasis"/>
          <w:rFonts w:eastAsiaTheme="majorEastAsia"/>
          <w:color w:val="2E2E2E"/>
        </w:rPr>
        <w:t>P</w:t>
      </w:r>
      <w:r w:rsidRPr="00DF245A">
        <w:rPr>
          <w:color w:val="2E2E2E"/>
        </w:rPr>
        <w:t> = .076), when comparing the group with the greatest variance to the group with the least variance for each of the variables, there was a high ratio (&gt;4) of variances. Therefore, Brown-Forsythe F tests were run and there were significant group differences in knee ROM (F</w:t>
      </w:r>
      <w:r w:rsidRPr="00DF245A">
        <w:rPr>
          <w:color w:val="2E2E2E"/>
          <w:vertAlign w:val="subscript"/>
        </w:rPr>
        <w:t>(3,12.493)</w:t>
      </w:r>
      <w:r w:rsidRPr="00DF245A">
        <w:rPr>
          <w:color w:val="2E2E2E"/>
        </w:rPr>
        <w:t> = 4.360, </w:t>
      </w:r>
      <w:r w:rsidRPr="00DF245A">
        <w:rPr>
          <w:rStyle w:val="Emphasis"/>
          <w:rFonts w:eastAsiaTheme="majorEastAsia"/>
          <w:color w:val="2E2E2E"/>
        </w:rPr>
        <w:t>P</w:t>
      </w:r>
      <w:r w:rsidRPr="00DF245A">
        <w:rPr>
          <w:color w:val="2E2E2E"/>
        </w:rPr>
        <w:t> = .026) but no significant group differences in timing of the peak knee angle during swing (F</w:t>
      </w:r>
      <w:r w:rsidRPr="00DF245A">
        <w:rPr>
          <w:color w:val="2E2E2E"/>
          <w:vertAlign w:val="subscript"/>
        </w:rPr>
        <w:t>(3,9.469)</w:t>
      </w:r>
      <w:r w:rsidRPr="00DF245A">
        <w:rPr>
          <w:color w:val="2E2E2E"/>
        </w:rPr>
        <w:t> = 1.610, </w:t>
      </w:r>
      <w:r w:rsidRPr="00DF245A">
        <w:rPr>
          <w:rStyle w:val="Emphasis"/>
          <w:rFonts w:eastAsiaTheme="majorEastAsia"/>
          <w:color w:val="2E2E2E"/>
        </w:rPr>
        <w:t>P</w:t>
      </w:r>
      <w:r w:rsidRPr="00DF245A">
        <w:rPr>
          <w:color w:val="2E2E2E"/>
        </w:rPr>
        <w:t> = .252). Pairwise comparisons indicated that the young participants had significantly greater knee ROM than the stroke survivors (</w:t>
      </w:r>
      <w:bookmarkStart w:id="42" w:name="bf0015"/>
      <w:r w:rsidRPr="00DF245A">
        <w:rPr>
          <w:color w:val="2E2E2E"/>
        </w:rPr>
        <w:fldChar w:fldCharType="begin"/>
      </w:r>
      <w:r w:rsidRPr="00DF245A">
        <w:rPr>
          <w:color w:val="2E2E2E"/>
        </w:rPr>
        <w:instrText xml:space="preserve"> HYPERLINK "https://www.sciencedirect.com/science/article/pii/S0167945718303282?via%3Dihub" \l "f0015" </w:instrText>
      </w:r>
      <w:r w:rsidRPr="00DF245A">
        <w:rPr>
          <w:color w:val="2E2E2E"/>
        </w:rPr>
        <w:fldChar w:fldCharType="separate"/>
      </w:r>
      <w:r w:rsidRPr="00DF245A">
        <w:rPr>
          <w:rStyle w:val="Hyperlink"/>
          <w:rFonts w:eastAsiaTheme="majorEastAsia"/>
          <w:color w:val="0C7DBB"/>
        </w:rPr>
        <w:t>Fig. 3</w:t>
      </w:r>
      <w:r w:rsidRPr="00DF245A">
        <w:rPr>
          <w:color w:val="2E2E2E"/>
        </w:rPr>
        <w:fldChar w:fldCharType="end"/>
      </w:r>
      <w:bookmarkEnd w:id="42"/>
      <w:r w:rsidRPr="00DF245A">
        <w:rPr>
          <w:color w:val="2E2E2E"/>
        </w:rPr>
        <w:t>). During the comparison between trippers and non-trippers for the features in the best feature set, the assumption of homogeneity of variance was violated for time to peak knee angle during swing (</w:t>
      </w:r>
      <w:proofErr w:type="spellStart"/>
      <w:proofErr w:type="gramStart"/>
      <w:r w:rsidRPr="00DF245A">
        <w:rPr>
          <w:color w:val="2E2E2E"/>
        </w:rPr>
        <w:t>Levene</w:t>
      </w:r>
      <w:proofErr w:type="spellEnd"/>
      <w:r w:rsidRPr="00DF245A">
        <w:rPr>
          <w:color w:val="2E2E2E"/>
          <w:vertAlign w:val="subscript"/>
        </w:rPr>
        <w:t>(</w:t>
      </w:r>
      <w:proofErr w:type="gramEnd"/>
      <w:r w:rsidRPr="00DF245A">
        <w:rPr>
          <w:color w:val="2E2E2E"/>
          <w:vertAlign w:val="subscript"/>
        </w:rPr>
        <w:t>3,31)</w:t>
      </w:r>
      <w:r w:rsidRPr="00DF245A">
        <w:rPr>
          <w:color w:val="2E2E2E"/>
        </w:rPr>
        <w:t> = 9.039, </w:t>
      </w:r>
      <w:r w:rsidRPr="00DF245A">
        <w:rPr>
          <w:rStyle w:val="Emphasis"/>
          <w:rFonts w:eastAsiaTheme="majorEastAsia"/>
          <w:color w:val="2E2E2E"/>
        </w:rPr>
        <w:t>P</w:t>
      </w:r>
      <w:r w:rsidRPr="00DF245A">
        <w:rPr>
          <w:color w:val="2E2E2E"/>
        </w:rPr>
        <w:t> = .005). Results of the Brown-Forsythe F tests indicated that non-trippers (M = 60.0, SD = 10.6 degrees) had greater knee range of motion than trippers (M = 35.8, SD = 15.5 degrees; F</w:t>
      </w:r>
      <w:r w:rsidRPr="00DF245A">
        <w:rPr>
          <w:color w:val="2E2E2E"/>
          <w:vertAlign w:val="subscript"/>
        </w:rPr>
        <w:t>(1,12.479)</w:t>
      </w:r>
      <w:r w:rsidRPr="00DF245A">
        <w:rPr>
          <w:color w:val="2E2E2E"/>
        </w:rPr>
        <w:t> = 20.327, </w:t>
      </w:r>
      <w:r w:rsidRPr="00DF245A">
        <w:rPr>
          <w:rStyle w:val="Emphasis"/>
          <w:rFonts w:eastAsiaTheme="majorEastAsia"/>
          <w:color w:val="2E2E2E"/>
        </w:rPr>
        <w:t>P</w:t>
      </w:r>
      <w:r w:rsidRPr="00DF245A">
        <w:rPr>
          <w:color w:val="2E2E2E"/>
        </w:rPr>
        <w:t> = .001), but there were no significant differences between trippers (M = 77.7, SD = 4.7 percent stride) and non-trippers (M = 76.1, SD = 2.1 percent stride) in timing of the peak knee angle during swing (F</w:t>
      </w:r>
      <w:r w:rsidRPr="00DF245A">
        <w:rPr>
          <w:color w:val="2E2E2E"/>
          <w:vertAlign w:val="subscript"/>
        </w:rPr>
        <w:t>(1,10.476)</w:t>
      </w:r>
      <w:r w:rsidRPr="00DF245A">
        <w:rPr>
          <w:color w:val="2E2E2E"/>
        </w:rPr>
        <w:t> = 1.125, </w:t>
      </w:r>
      <w:r w:rsidRPr="00DF245A">
        <w:rPr>
          <w:rStyle w:val="Emphasis"/>
          <w:rFonts w:eastAsiaTheme="majorEastAsia"/>
          <w:color w:val="2E2E2E"/>
        </w:rPr>
        <w:t>P</w:t>
      </w:r>
      <w:r w:rsidRPr="00DF245A">
        <w:rPr>
          <w:color w:val="2E2E2E"/>
        </w:rPr>
        <w:t> = .313).</w:t>
      </w:r>
    </w:p>
    <w:p w14:paraId="7E6B91F6" w14:textId="31DF33C8" w:rsidR="005C2246" w:rsidRDefault="005C2246" w:rsidP="00DF245A">
      <w:pPr>
        <w:spacing w:after="0" w:line="390" w:lineRule="atLeast"/>
        <w:rPr>
          <w:color w:val="2E2E2E"/>
          <w:sz w:val="27"/>
          <w:szCs w:val="27"/>
        </w:rPr>
      </w:pPr>
      <w:r>
        <w:rPr>
          <w:noProof/>
          <w:color w:val="2E2E2E"/>
          <w:sz w:val="27"/>
          <w:szCs w:val="27"/>
        </w:rPr>
        <w:drawing>
          <wp:inline distT="0" distB="0" distL="0" distR="0" wp14:anchorId="752AAAAE" wp14:editId="2A416490">
            <wp:extent cx="3171825" cy="1571625"/>
            <wp:effectExtent l="0" t="0" r="9525" b="9525"/>
            <wp:docPr id="1" name="Picture 1" descr="Fig. 3. Knee range of motion during swing for each group. *Significant difference between groups at the Bonferroni-adjusted α = 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rs.els-cdn.com/content/image/1-s2.0-S0167945718303282-gr3.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171825" cy="1571625"/>
                    </a:xfrm>
                    <a:prstGeom prst="rect">
                      <a:avLst/>
                    </a:prstGeom>
                    <a:noFill/>
                    <a:ln>
                      <a:noFill/>
                    </a:ln>
                  </pic:spPr>
                </pic:pic>
              </a:graphicData>
            </a:graphic>
          </wp:inline>
        </w:drawing>
      </w:r>
    </w:p>
    <w:p w14:paraId="022B9D22" w14:textId="77777777" w:rsidR="005C2246" w:rsidRDefault="005C2246" w:rsidP="00DF245A">
      <w:pPr>
        <w:pStyle w:val="NoSpacing"/>
      </w:pPr>
      <w:r>
        <w:rPr>
          <w:rStyle w:val="label"/>
          <w:color w:val="323232"/>
        </w:rPr>
        <w:t>Fig. 3</w:t>
      </w:r>
      <w:r>
        <w:t>. Knee range of motion during swing for each group. </w:t>
      </w:r>
      <w:r>
        <w:rPr>
          <w:sz w:val="18"/>
          <w:szCs w:val="18"/>
          <w:vertAlign w:val="superscript"/>
        </w:rPr>
        <w:t>*</w:t>
      </w:r>
      <w:r>
        <w:t>Significant difference between groups at the Bonferroni-adjusted α = 0.008.</w:t>
      </w:r>
    </w:p>
    <w:p w14:paraId="5E37CBC2" w14:textId="77777777" w:rsidR="005C2246" w:rsidRDefault="005C2246" w:rsidP="00DF245A">
      <w:pPr>
        <w:pStyle w:val="Heading2"/>
      </w:pPr>
      <w:r>
        <w:t>3.2. Model performance</w:t>
      </w:r>
    </w:p>
    <w:p w14:paraId="1D90CA57" w14:textId="77777777" w:rsidR="005C2246" w:rsidRPr="00DF245A" w:rsidRDefault="005C2246" w:rsidP="00DF245A">
      <w:pPr>
        <w:rPr>
          <w:color w:val="2E2E2E"/>
        </w:rPr>
      </w:pPr>
      <w:r w:rsidRPr="00DF245A">
        <w:rPr>
          <w:color w:val="2E2E2E"/>
        </w:rPr>
        <w:t>Overall, a LDA using knee ROM and timing of peak </w:t>
      </w:r>
      <w:hyperlink r:id="rId32" w:tooltip="Learn more about Knee Function from ScienceDirect's AI-generated Topic Pages" w:history="1">
        <w:r w:rsidRPr="00DF245A">
          <w:rPr>
            <w:rStyle w:val="Hyperlink"/>
            <w:rFonts w:eastAsiaTheme="majorEastAsia"/>
            <w:color w:val="0C7DBB"/>
          </w:rPr>
          <w:t>knee flexion</w:t>
        </w:r>
      </w:hyperlink>
      <w:r w:rsidRPr="00DF245A">
        <w:rPr>
          <w:color w:val="2E2E2E"/>
        </w:rPr>
        <w:t> during swing classified all strides with 92.3% accuracy. The proportion of actual trippers correctly classified (sensitivity) was 0.763, and the proportion of actual non-trippers correctly classified (specificity) was 0.957 (</w:t>
      </w:r>
      <w:hyperlink r:id="rId33" w:anchor="t0015" w:history="1">
        <w:r w:rsidRPr="00DF245A">
          <w:rPr>
            <w:rStyle w:val="Hyperlink"/>
            <w:rFonts w:eastAsiaTheme="majorEastAsia"/>
            <w:color w:val="0C7DBB"/>
          </w:rPr>
          <w:t>Table 3</w:t>
        </w:r>
      </w:hyperlink>
      <w:bookmarkEnd w:id="41"/>
      <w:r w:rsidRPr="00DF245A">
        <w:rPr>
          <w:color w:val="2E2E2E"/>
        </w:rPr>
        <w:t>). The strides for all but four individuals were classified with accuracy ranging from 83.4 to 100% (</w:t>
      </w:r>
      <w:bookmarkStart w:id="43" w:name="bt0020"/>
      <w:r w:rsidRPr="00DF245A">
        <w:rPr>
          <w:color w:val="2E2E2E"/>
        </w:rPr>
        <w:fldChar w:fldCharType="begin"/>
      </w:r>
      <w:r w:rsidRPr="00DF245A">
        <w:rPr>
          <w:color w:val="2E2E2E"/>
        </w:rPr>
        <w:instrText xml:space="preserve"> HYPERLINK "https://www.sciencedirect.com/science/article/pii/S0167945718303282?via%3Dihub" \l "t0020" </w:instrText>
      </w:r>
      <w:r w:rsidRPr="00DF245A">
        <w:rPr>
          <w:color w:val="2E2E2E"/>
        </w:rPr>
        <w:fldChar w:fldCharType="separate"/>
      </w:r>
      <w:r w:rsidRPr="00DF245A">
        <w:rPr>
          <w:rStyle w:val="Hyperlink"/>
          <w:rFonts w:eastAsiaTheme="majorEastAsia"/>
          <w:color w:val="0C7DBB"/>
        </w:rPr>
        <w:t>Table 4</w:t>
      </w:r>
      <w:r w:rsidRPr="00DF245A">
        <w:rPr>
          <w:color w:val="2E2E2E"/>
        </w:rPr>
        <w:fldChar w:fldCharType="end"/>
      </w:r>
      <w:r w:rsidRPr="00DF245A">
        <w:rPr>
          <w:color w:val="2E2E2E"/>
        </w:rPr>
        <w:t>). Four individuals within the older faller group had very poor classification accuracy (&lt;50%). The assumption of homogeneity of variance was violated, particularly because the variance in the stroke survivor group was zero (all strides of all stroke survivors were correctly classified). Despite the unequal variances, a Brown-Forsythe F test could not be used to assess group differences in classification performance due to the zero variance of the stroke survivor group. Therefore, a one-way ANOVA indicated significant differences between groups (F</w:t>
      </w:r>
      <w:r w:rsidRPr="00DF245A">
        <w:rPr>
          <w:color w:val="2E2E2E"/>
          <w:vertAlign w:val="subscript"/>
        </w:rPr>
        <w:t>(3,31)</w:t>
      </w:r>
      <w:r w:rsidRPr="00DF245A">
        <w:rPr>
          <w:color w:val="2E2E2E"/>
        </w:rPr>
        <w:t> = 5.016, </w:t>
      </w:r>
      <w:r w:rsidRPr="00DF245A">
        <w:rPr>
          <w:rStyle w:val="Emphasis"/>
          <w:rFonts w:eastAsiaTheme="majorEastAsia"/>
          <w:color w:val="2E2E2E"/>
        </w:rPr>
        <w:t>P</w:t>
      </w:r>
      <w:r w:rsidRPr="00DF245A">
        <w:rPr>
          <w:color w:val="2E2E2E"/>
        </w:rPr>
        <w:t> = .006), and pairwise comparisons indicated that classification accuracy for the older faller group was significantly lower than the young adult and older non-faller groups after the Bonferroni correction of α = 0.008 (</w:t>
      </w:r>
      <w:hyperlink r:id="rId34" w:anchor="t0020" w:history="1">
        <w:r w:rsidRPr="00DF245A">
          <w:rPr>
            <w:rStyle w:val="Hyperlink"/>
            <w:rFonts w:eastAsiaTheme="majorEastAsia"/>
            <w:color w:val="0C7DBB"/>
          </w:rPr>
          <w:t>Table 4</w:t>
        </w:r>
      </w:hyperlink>
      <w:r w:rsidRPr="00DF245A">
        <w:rPr>
          <w:color w:val="2E2E2E"/>
        </w:rPr>
        <w:t>). Results of a Brown-Forsythe F test indicated there was no significant difference (</w:t>
      </w:r>
      <w:proofErr w:type="gramStart"/>
      <w:r w:rsidRPr="00DF245A">
        <w:rPr>
          <w:color w:val="2E2E2E"/>
        </w:rPr>
        <w:t>F</w:t>
      </w:r>
      <w:r w:rsidRPr="00DF245A">
        <w:rPr>
          <w:color w:val="2E2E2E"/>
          <w:vertAlign w:val="subscript"/>
        </w:rPr>
        <w:t>(</w:t>
      </w:r>
      <w:proofErr w:type="gramEnd"/>
      <w:r w:rsidRPr="00DF245A">
        <w:rPr>
          <w:color w:val="2E2E2E"/>
          <w:vertAlign w:val="subscript"/>
        </w:rPr>
        <w:t>1,10.932)</w:t>
      </w:r>
      <w:r w:rsidRPr="00DF245A">
        <w:rPr>
          <w:color w:val="2E2E2E"/>
        </w:rPr>
        <w:t> = 1.925, </w:t>
      </w:r>
      <w:r w:rsidRPr="00DF245A">
        <w:rPr>
          <w:rStyle w:val="Emphasis"/>
          <w:rFonts w:eastAsiaTheme="majorEastAsia"/>
          <w:color w:val="2E2E2E"/>
        </w:rPr>
        <w:t>P</w:t>
      </w:r>
      <w:r w:rsidRPr="00DF245A">
        <w:rPr>
          <w:color w:val="2E2E2E"/>
        </w:rPr>
        <w:t> = .193) in classification performance between trippers (M = 76.3, SD = 39.3 percent) and non-trippers (M = 94.4, SD = 20.1 percent).</w:t>
      </w:r>
    </w:p>
    <w:p w14:paraId="56AF358F" w14:textId="77777777" w:rsidR="005C2246" w:rsidRDefault="005C2246" w:rsidP="00DF245A">
      <w:pPr>
        <w:pStyle w:val="NoSpacing"/>
      </w:pPr>
      <w:r>
        <w:rPr>
          <w:rStyle w:val="label"/>
          <w:color w:val="323232"/>
          <w:sz w:val="21"/>
          <w:szCs w:val="21"/>
        </w:rPr>
        <w:t>Table 4</w:t>
      </w:r>
      <w:r>
        <w:t xml:space="preserve">. Average model performance for each individual. Participants are organized according to their </w:t>
      </w:r>
      <w:proofErr w:type="gramStart"/>
      <w:r>
        <w:t>group, and</w:t>
      </w:r>
      <w:proofErr w:type="gramEnd"/>
      <w:r>
        <w:t xml:space="preserve"> sorted from best classification accuracy to worst within groups.</w:t>
      </w:r>
    </w:p>
    <w:tbl>
      <w:tblPr>
        <w:tblStyle w:val="TableGrid"/>
        <w:tblW w:w="5000" w:type="pct"/>
        <w:tblLayout w:type="fixed"/>
        <w:tblLook w:val="04A0" w:firstRow="1" w:lastRow="0" w:firstColumn="1" w:lastColumn="0" w:noHBand="0" w:noVBand="1"/>
      </w:tblPr>
      <w:tblGrid>
        <w:gridCol w:w="894"/>
        <w:gridCol w:w="860"/>
        <w:gridCol w:w="874"/>
        <w:gridCol w:w="787"/>
        <w:gridCol w:w="989"/>
        <w:gridCol w:w="731"/>
        <w:gridCol w:w="800"/>
        <w:gridCol w:w="900"/>
        <w:gridCol w:w="767"/>
        <w:gridCol w:w="852"/>
        <w:gridCol w:w="810"/>
        <w:gridCol w:w="806"/>
      </w:tblGrid>
      <w:tr w:rsidR="006F5636" w:rsidRPr="00FB0075" w14:paraId="056B8F62" w14:textId="77777777" w:rsidTr="006F5636">
        <w:tc>
          <w:tcPr>
            <w:tcW w:w="444" w:type="pct"/>
            <w:hideMark/>
          </w:tcPr>
          <w:p w14:paraId="420D5DFA" w14:textId="77777777" w:rsidR="00DF245A" w:rsidRPr="00FB0075" w:rsidRDefault="00DF245A" w:rsidP="00DF245A">
            <w:pPr>
              <w:pStyle w:val="NoSpacing"/>
              <w:rPr>
                <w:sz w:val="20"/>
                <w:szCs w:val="20"/>
              </w:rPr>
            </w:pPr>
            <w:r w:rsidRPr="00FB0075">
              <w:rPr>
                <w:sz w:val="20"/>
                <w:szCs w:val="20"/>
              </w:rPr>
              <w:t>Young</w:t>
            </w:r>
          </w:p>
        </w:tc>
        <w:tc>
          <w:tcPr>
            <w:tcW w:w="427" w:type="pct"/>
          </w:tcPr>
          <w:p w14:paraId="15DB09ED" w14:textId="77777777" w:rsidR="00DF245A" w:rsidRPr="00FB0075" w:rsidRDefault="00DF245A" w:rsidP="00DF245A">
            <w:pPr>
              <w:pStyle w:val="NoSpacing"/>
              <w:rPr>
                <w:sz w:val="20"/>
                <w:szCs w:val="20"/>
              </w:rPr>
            </w:pPr>
          </w:p>
        </w:tc>
        <w:tc>
          <w:tcPr>
            <w:tcW w:w="434" w:type="pct"/>
          </w:tcPr>
          <w:p w14:paraId="1AA69381" w14:textId="61C79E36" w:rsidR="00DF245A" w:rsidRPr="00FB0075" w:rsidRDefault="00DF245A" w:rsidP="00DF245A">
            <w:pPr>
              <w:pStyle w:val="NoSpacing"/>
              <w:rPr>
                <w:sz w:val="20"/>
                <w:szCs w:val="20"/>
              </w:rPr>
            </w:pPr>
          </w:p>
        </w:tc>
        <w:tc>
          <w:tcPr>
            <w:tcW w:w="391" w:type="pct"/>
            <w:hideMark/>
          </w:tcPr>
          <w:p w14:paraId="7126AE49" w14:textId="77777777" w:rsidR="00DF245A" w:rsidRPr="00FB0075" w:rsidRDefault="00DF245A" w:rsidP="00DF245A">
            <w:pPr>
              <w:pStyle w:val="NoSpacing"/>
              <w:rPr>
                <w:sz w:val="20"/>
                <w:szCs w:val="20"/>
              </w:rPr>
            </w:pPr>
            <w:r w:rsidRPr="00FB0075">
              <w:rPr>
                <w:sz w:val="20"/>
                <w:szCs w:val="20"/>
              </w:rPr>
              <w:t>Older Non-fallers</w:t>
            </w:r>
          </w:p>
        </w:tc>
        <w:tc>
          <w:tcPr>
            <w:tcW w:w="491" w:type="pct"/>
          </w:tcPr>
          <w:p w14:paraId="73F92213" w14:textId="77777777" w:rsidR="00DF245A" w:rsidRPr="00FB0075" w:rsidRDefault="00DF245A" w:rsidP="00DF245A">
            <w:pPr>
              <w:pStyle w:val="NoSpacing"/>
              <w:rPr>
                <w:sz w:val="20"/>
                <w:szCs w:val="20"/>
              </w:rPr>
            </w:pPr>
          </w:p>
        </w:tc>
        <w:tc>
          <w:tcPr>
            <w:tcW w:w="363" w:type="pct"/>
          </w:tcPr>
          <w:p w14:paraId="03758C91" w14:textId="29E5D4EF" w:rsidR="00DF245A" w:rsidRPr="00FB0075" w:rsidRDefault="00DF245A" w:rsidP="00DF245A">
            <w:pPr>
              <w:pStyle w:val="NoSpacing"/>
              <w:rPr>
                <w:sz w:val="20"/>
                <w:szCs w:val="20"/>
              </w:rPr>
            </w:pPr>
          </w:p>
        </w:tc>
        <w:tc>
          <w:tcPr>
            <w:tcW w:w="397" w:type="pct"/>
            <w:hideMark/>
          </w:tcPr>
          <w:p w14:paraId="21E63D54" w14:textId="77777777" w:rsidR="00DF245A" w:rsidRPr="00FB0075" w:rsidRDefault="00DF245A" w:rsidP="00DF245A">
            <w:pPr>
              <w:pStyle w:val="NoSpacing"/>
              <w:rPr>
                <w:sz w:val="20"/>
                <w:szCs w:val="20"/>
              </w:rPr>
            </w:pPr>
            <w:r w:rsidRPr="00FB0075">
              <w:rPr>
                <w:sz w:val="20"/>
                <w:szCs w:val="20"/>
              </w:rPr>
              <w:t>Older Fallers</w:t>
            </w:r>
          </w:p>
        </w:tc>
        <w:tc>
          <w:tcPr>
            <w:tcW w:w="447" w:type="pct"/>
          </w:tcPr>
          <w:p w14:paraId="18CB7EFC" w14:textId="77777777" w:rsidR="00DF245A" w:rsidRPr="00FB0075" w:rsidRDefault="00DF245A" w:rsidP="00DF245A">
            <w:pPr>
              <w:pStyle w:val="NoSpacing"/>
              <w:rPr>
                <w:sz w:val="20"/>
                <w:szCs w:val="20"/>
              </w:rPr>
            </w:pPr>
          </w:p>
        </w:tc>
        <w:tc>
          <w:tcPr>
            <w:tcW w:w="381" w:type="pct"/>
          </w:tcPr>
          <w:p w14:paraId="4F9E3BD7" w14:textId="4FFC6CC9" w:rsidR="00DF245A" w:rsidRPr="00FB0075" w:rsidRDefault="00DF245A" w:rsidP="00DF245A">
            <w:pPr>
              <w:pStyle w:val="NoSpacing"/>
              <w:rPr>
                <w:sz w:val="20"/>
                <w:szCs w:val="20"/>
              </w:rPr>
            </w:pPr>
          </w:p>
        </w:tc>
        <w:tc>
          <w:tcPr>
            <w:tcW w:w="423" w:type="pct"/>
            <w:hideMark/>
          </w:tcPr>
          <w:p w14:paraId="5209F9B1" w14:textId="77777777" w:rsidR="00DF245A" w:rsidRPr="00FB0075" w:rsidRDefault="00DF245A" w:rsidP="00DF245A">
            <w:pPr>
              <w:pStyle w:val="NoSpacing"/>
              <w:rPr>
                <w:sz w:val="20"/>
                <w:szCs w:val="20"/>
              </w:rPr>
            </w:pPr>
            <w:r w:rsidRPr="00FB0075">
              <w:rPr>
                <w:sz w:val="20"/>
                <w:szCs w:val="20"/>
              </w:rPr>
              <w:t>Stroke</w:t>
            </w:r>
          </w:p>
        </w:tc>
        <w:tc>
          <w:tcPr>
            <w:tcW w:w="402" w:type="pct"/>
          </w:tcPr>
          <w:p w14:paraId="63BCCB8C" w14:textId="77777777" w:rsidR="00DF245A" w:rsidRPr="00FB0075" w:rsidRDefault="00DF245A" w:rsidP="00DF245A">
            <w:pPr>
              <w:pStyle w:val="NoSpacing"/>
              <w:rPr>
                <w:sz w:val="20"/>
                <w:szCs w:val="20"/>
              </w:rPr>
            </w:pPr>
          </w:p>
        </w:tc>
        <w:tc>
          <w:tcPr>
            <w:tcW w:w="400" w:type="pct"/>
          </w:tcPr>
          <w:p w14:paraId="046A848C" w14:textId="6EE7EA07" w:rsidR="00DF245A" w:rsidRPr="00FB0075" w:rsidRDefault="00DF245A" w:rsidP="00DF245A">
            <w:pPr>
              <w:pStyle w:val="NoSpacing"/>
              <w:rPr>
                <w:sz w:val="20"/>
                <w:szCs w:val="20"/>
              </w:rPr>
            </w:pPr>
          </w:p>
        </w:tc>
      </w:tr>
      <w:tr w:rsidR="006F5636" w:rsidRPr="00FB0075" w14:paraId="0D330F1B" w14:textId="77777777" w:rsidTr="006F5636">
        <w:tc>
          <w:tcPr>
            <w:tcW w:w="444" w:type="pct"/>
            <w:hideMark/>
          </w:tcPr>
          <w:p w14:paraId="0A684FA3" w14:textId="77777777" w:rsidR="005C2246" w:rsidRPr="00FB0075" w:rsidRDefault="005C2246" w:rsidP="00DF245A">
            <w:pPr>
              <w:pStyle w:val="NoSpacing"/>
              <w:rPr>
                <w:sz w:val="20"/>
                <w:szCs w:val="20"/>
              </w:rPr>
            </w:pPr>
            <w:r w:rsidRPr="00FB0075">
              <w:rPr>
                <w:sz w:val="20"/>
                <w:szCs w:val="20"/>
              </w:rPr>
              <w:t>Participant</w:t>
            </w:r>
          </w:p>
        </w:tc>
        <w:tc>
          <w:tcPr>
            <w:tcW w:w="427" w:type="pct"/>
            <w:hideMark/>
          </w:tcPr>
          <w:p w14:paraId="5EC3DA0F" w14:textId="77777777" w:rsidR="005C2246" w:rsidRPr="00FB0075" w:rsidRDefault="005C2246" w:rsidP="00DF245A">
            <w:pPr>
              <w:pStyle w:val="NoSpacing"/>
              <w:rPr>
                <w:sz w:val="20"/>
                <w:szCs w:val="20"/>
              </w:rPr>
            </w:pPr>
            <w:r w:rsidRPr="00FB0075">
              <w:rPr>
                <w:sz w:val="20"/>
                <w:szCs w:val="20"/>
              </w:rPr>
              <w:t>T/NT</w:t>
            </w:r>
          </w:p>
        </w:tc>
        <w:tc>
          <w:tcPr>
            <w:tcW w:w="434" w:type="pct"/>
            <w:hideMark/>
          </w:tcPr>
          <w:p w14:paraId="1A9153FC" w14:textId="77777777" w:rsidR="005C2246" w:rsidRPr="00FB0075" w:rsidRDefault="005C2246" w:rsidP="00DF245A">
            <w:pPr>
              <w:pStyle w:val="NoSpacing"/>
              <w:rPr>
                <w:sz w:val="20"/>
                <w:szCs w:val="20"/>
              </w:rPr>
            </w:pPr>
            <w:r w:rsidRPr="00FB0075">
              <w:rPr>
                <w:sz w:val="20"/>
                <w:szCs w:val="20"/>
              </w:rPr>
              <w:t>Accuracy</w:t>
            </w:r>
          </w:p>
        </w:tc>
        <w:tc>
          <w:tcPr>
            <w:tcW w:w="391" w:type="pct"/>
            <w:hideMark/>
          </w:tcPr>
          <w:p w14:paraId="544F988D" w14:textId="77777777" w:rsidR="005C2246" w:rsidRPr="00FB0075" w:rsidRDefault="005C2246" w:rsidP="00DF245A">
            <w:pPr>
              <w:pStyle w:val="NoSpacing"/>
              <w:rPr>
                <w:sz w:val="20"/>
                <w:szCs w:val="20"/>
              </w:rPr>
            </w:pPr>
            <w:r w:rsidRPr="00FB0075">
              <w:rPr>
                <w:sz w:val="20"/>
                <w:szCs w:val="20"/>
              </w:rPr>
              <w:t>Participant</w:t>
            </w:r>
          </w:p>
        </w:tc>
        <w:tc>
          <w:tcPr>
            <w:tcW w:w="491" w:type="pct"/>
            <w:hideMark/>
          </w:tcPr>
          <w:p w14:paraId="0C9C474C" w14:textId="77777777" w:rsidR="005C2246" w:rsidRPr="00FB0075" w:rsidRDefault="005C2246" w:rsidP="00DF245A">
            <w:pPr>
              <w:pStyle w:val="NoSpacing"/>
              <w:rPr>
                <w:sz w:val="20"/>
                <w:szCs w:val="20"/>
              </w:rPr>
            </w:pPr>
            <w:r w:rsidRPr="00FB0075">
              <w:rPr>
                <w:sz w:val="20"/>
                <w:szCs w:val="20"/>
              </w:rPr>
              <w:t>T/NT</w:t>
            </w:r>
          </w:p>
        </w:tc>
        <w:tc>
          <w:tcPr>
            <w:tcW w:w="363" w:type="pct"/>
            <w:hideMark/>
          </w:tcPr>
          <w:p w14:paraId="6267DB91" w14:textId="77777777" w:rsidR="005C2246" w:rsidRPr="00FB0075" w:rsidRDefault="005C2246" w:rsidP="00DF245A">
            <w:pPr>
              <w:pStyle w:val="NoSpacing"/>
              <w:rPr>
                <w:sz w:val="20"/>
                <w:szCs w:val="20"/>
              </w:rPr>
            </w:pPr>
            <w:r w:rsidRPr="00FB0075">
              <w:rPr>
                <w:sz w:val="20"/>
                <w:szCs w:val="20"/>
              </w:rPr>
              <w:t>Accuracy</w:t>
            </w:r>
          </w:p>
        </w:tc>
        <w:tc>
          <w:tcPr>
            <w:tcW w:w="397" w:type="pct"/>
            <w:hideMark/>
          </w:tcPr>
          <w:p w14:paraId="455F22EA" w14:textId="77777777" w:rsidR="005C2246" w:rsidRPr="00FB0075" w:rsidRDefault="005C2246" w:rsidP="00DF245A">
            <w:pPr>
              <w:pStyle w:val="NoSpacing"/>
              <w:rPr>
                <w:sz w:val="20"/>
                <w:szCs w:val="20"/>
              </w:rPr>
            </w:pPr>
            <w:r w:rsidRPr="00FB0075">
              <w:rPr>
                <w:sz w:val="20"/>
                <w:szCs w:val="20"/>
              </w:rPr>
              <w:t>Participant</w:t>
            </w:r>
          </w:p>
        </w:tc>
        <w:tc>
          <w:tcPr>
            <w:tcW w:w="447" w:type="pct"/>
            <w:hideMark/>
          </w:tcPr>
          <w:p w14:paraId="6DCB51A8" w14:textId="77777777" w:rsidR="005C2246" w:rsidRPr="00FB0075" w:rsidRDefault="005C2246" w:rsidP="00DF245A">
            <w:pPr>
              <w:pStyle w:val="NoSpacing"/>
              <w:rPr>
                <w:sz w:val="20"/>
                <w:szCs w:val="20"/>
              </w:rPr>
            </w:pPr>
            <w:r w:rsidRPr="00FB0075">
              <w:rPr>
                <w:sz w:val="20"/>
                <w:szCs w:val="20"/>
              </w:rPr>
              <w:t>T/NT</w:t>
            </w:r>
          </w:p>
        </w:tc>
        <w:tc>
          <w:tcPr>
            <w:tcW w:w="381" w:type="pct"/>
            <w:hideMark/>
          </w:tcPr>
          <w:p w14:paraId="2C089464" w14:textId="77777777" w:rsidR="005C2246" w:rsidRPr="00FB0075" w:rsidRDefault="005C2246" w:rsidP="00DF245A">
            <w:pPr>
              <w:pStyle w:val="NoSpacing"/>
              <w:rPr>
                <w:sz w:val="20"/>
                <w:szCs w:val="20"/>
              </w:rPr>
            </w:pPr>
            <w:r w:rsidRPr="00FB0075">
              <w:rPr>
                <w:sz w:val="20"/>
                <w:szCs w:val="20"/>
              </w:rPr>
              <w:t>Accuracy</w:t>
            </w:r>
          </w:p>
        </w:tc>
        <w:tc>
          <w:tcPr>
            <w:tcW w:w="423" w:type="pct"/>
            <w:hideMark/>
          </w:tcPr>
          <w:p w14:paraId="60318BA1" w14:textId="77777777" w:rsidR="005C2246" w:rsidRPr="00FB0075" w:rsidRDefault="005C2246" w:rsidP="00DF245A">
            <w:pPr>
              <w:pStyle w:val="NoSpacing"/>
              <w:rPr>
                <w:sz w:val="20"/>
                <w:szCs w:val="20"/>
              </w:rPr>
            </w:pPr>
            <w:r w:rsidRPr="00FB0075">
              <w:rPr>
                <w:sz w:val="20"/>
                <w:szCs w:val="20"/>
              </w:rPr>
              <w:t>Participant</w:t>
            </w:r>
          </w:p>
        </w:tc>
        <w:tc>
          <w:tcPr>
            <w:tcW w:w="402" w:type="pct"/>
            <w:hideMark/>
          </w:tcPr>
          <w:p w14:paraId="67C68E61" w14:textId="77777777" w:rsidR="005C2246" w:rsidRPr="00FB0075" w:rsidRDefault="005C2246" w:rsidP="00DF245A">
            <w:pPr>
              <w:pStyle w:val="NoSpacing"/>
              <w:rPr>
                <w:sz w:val="20"/>
                <w:szCs w:val="20"/>
              </w:rPr>
            </w:pPr>
            <w:r w:rsidRPr="00FB0075">
              <w:rPr>
                <w:sz w:val="20"/>
                <w:szCs w:val="20"/>
              </w:rPr>
              <w:t>T/NT</w:t>
            </w:r>
          </w:p>
        </w:tc>
        <w:tc>
          <w:tcPr>
            <w:tcW w:w="400" w:type="pct"/>
            <w:hideMark/>
          </w:tcPr>
          <w:p w14:paraId="475118D9" w14:textId="77777777" w:rsidR="005C2246" w:rsidRPr="00FB0075" w:rsidRDefault="005C2246" w:rsidP="00DF245A">
            <w:pPr>
              <w:pStyle w:val="NoSpacing"/>
              <w:rPr>
                <w:sz w:val="20"/>
                <w:szCs w:val="20"/>
              </w:rPr>
            </w:pPr>
            <w:r w:rsidRPr="00FB0075">
              <w:rPr>
                <w:sz w:val="20"/>
                <w:szCs w:val="20"/>
              </w:rPr>
              <w:t>Accuracy</w:t>
            </w:r>
          </w:p>
        </w:tc>
      </w:tr>
      <w:tr w:rsidR="006F5636" w:rsidRPr="00FB0075" w14:paraId="0F8FEE9D" w14:textId="77777777" w:rsidTr="006F5636">
        <w:tc>
          <w:tcPr>
            <w:tcW w:w="444" w:type="pct"/>
            <w:hideMark/>
          </w:tcPr>
          <w:p w14:paraId="7AD74337" w14:textId="77777777" w:rsidR="005C2246" w:rsidRPr="00FB0075" w:rsidRDefault="005C2246" w:rsidP="00DF245A">
            <w:pPr>
              <w:pStyle w:val="NoSpacing"/>
              <w:rPr>
                <w:sz w:val="20"/>
                <w:szCs w:val="20"/>
              </w:rPr>
            </w:pPr>
            <w:r w:rsidRPr="00FB0075">
              <w:rPr>
                <w:sz w:val="20"/>
                <w:szCs w:val="20"/>
              </w:rPr>
              <w:t>Y1</w:t>
            </w:r>
          </w:p>
        </w:tc>
        <w:tc>
          <w:tcPr>
            <w:tcW w:w="427" w:type="pct"/>
            <w:hideMark/>
          </w:tcPr>
          <w:p w14:paraId="2F3A8EF7" w14:textId="77777777" w:rsidR="005C2246" w:rsidRPr="00FB0075" w:rsidRDefault="005C2246" w:rsidP="00DF245A">
            <w:pPr>
              <w:pStyle w:val="NoSpacing"/>
              <w:rPr>
                <w:sz w:val="20"/>
                <w:szCs w:val="20"/>
              </w:rPr>
            </w:pPr>
            <w:r w:rsidRPr="00FB0075">
              <w:rPr>
                <w:sz w:val="20"/>
                <w:szCs w:val="20"/>
              </w:rPr>
              <w:t>NT</w:t>
            </w:r>
          </w:p>
        </w:tc>
        <w:tc>
          <w:tcPr>
            <w:tcW w:w="434" w:type="pct"/>
            <w:hideMark/>
          </w:tcPr>
          <w:p w14:paraId="748B687A" w14:textId="77777777" w:rsidR="005C2246" w:rsidRPr="00FB0075" w:rsidRDefault="005C2246" w:rsidP="00DF245A">
            <w:pPr>
              <w:pStyle w:val="NoSpacing"/>
              <w:rPr>
                <w:sz w:val="20"/>
                <w:szCs w:val="20"/>
              </w:rPr>
            </w:pPr>
            <w:r w:rsidRPr="00FB0075">
              <w:rPr>
                <w:sz w:val="20"/>
                <w:szCs w:val="20"/>
              </w:rPr>
              <w:t>1.000</w:t>
            </w:r>
          </w:p>
        </w:tc>
        <w:tc>
          <w:tcPr>
            <w:tcW w:w="391" w:type="pct"/>
            <w:hideMark/>
          </w:tcPr>
          <w:p w14:paraId="23340CDA" w14:textId="77777777" w:rsidR="005C2246" w:rsidRPr="00FB0075" w:rsidRDefault="005C2246" w:rsidP="00DF245A">
            <w:pPr>
              <w:pStyle w:val="NoSpacing"/>
              <w:rPr>
                <w:sz w:val="20"/>
                <w:szCs w:val="20"/>
              </w:rPr>
            </w:pPr>
            <w:r w:rsidRPr="00FB0075">
              <w:rPr>
                <w:sz w:val="20"/>
                <w:szCs w:val="20"/>
              </w:rPr>
              <w:t>ON1</w:t>
            </w:r>
          </w:p>
        </w:tc>
        <w:tc>
          <w:tcPr>
            <w:tcW w:w="491" w:type="pct"/>
            <w:hideMark/>
          </w:tcPr>
          <w:p w14:paraId="1EDDDCD7" w14:textId="77777777" w:rsidR="005C2246" w:rsidRPr="00FB0075" w:rsidRDefault="005C2246" w:rsidP="00DF245A">
            <w:pPr>
              <w:pStyle w:val="NoSpacing"/>
              <w:rPr>
                <w:sz w:val="20"/>
                <w:szCs w:val="20"/>
              </w:rPr>
            </w:pPr>
            <w:r w:rsidRPr="00FB0075">
              <w:rPr>
                <w:sz w:val="20"/>
                <w:szCs w:val="20"/>
              </w:rPr>
              <w:t>T</w:t>
            </w:r>
          </w:p>
        </w:tc>
        <w:tc>
          <w:tcPr>
            <w:tcW w:w="363" w:type="pct"/>
            <w:hideMark/>
          </w:tcPr>
          <w:p w14:paraId="406DEF2F" w14:textId="77777777" w:rsidR="005C2246" w:rsidRPr="00FB0075" w:rsidRDefault="005C2246" w:rsidP="00DF245A">
            <w:pPr>
              <w:pStyle w:val="NoSpacing"/>
              <w:rPr>
                <w:sz w:val="20"/>
                <w:szCs w:val="20"/>
              </w:rPr>
            </w:pPr>
            <w:r w:rsidRPr="00FB0075">
              <w:rPr>
                <w:sz w:val="20"/>
                <w:szCs w:val="20"/>
              </w:rPr>
              <w:t>1.000</w:t>
            </w:r>
          </w:p>
        </w:tc>
        <w:tc>
          <w:tcPr>
            <w:tcW w:w="397" w:type="pct"/>
            <w:hideMark/>
          </w:tcPr>
          <w:p w14:paraId="547DB810" w14:textId="77777777" w:rsidR="005C2246" w:rsidRPr="00FB0075" w:rsidRDefault="005C2246" w:rsidP="00DF245A">
            <w:pPr>
              <w:pStyle w:val="NoSpacing"/>
              <w:rPr>
                <w:sz w:val="20"/>
                <w:szCs w:val="20"/>
              </w:rPr>
            </w:pPr>
            <w:r w:rsidRPr="00FB0075">
              <w:rPr>
                <w:sz w:val="20"/>
                <w:szCs w:val="20"/>
              </w:rPr>
              <w:t>OF1</w:t>
            </w:r>
          </w:p>
        </w:tc>
        <w:tc>
          <w:tcPr>
            <w:tcW w:w="447" w:type="pct"/>
            <w:hideMark/>
          </w:tcPr>
          <w:p w14:paraId="760B1D6B" w14:textId="77777777" w:rsidR="005C2246" w:rsidRPr="00FB0075" w:rsidRDefault="005C2246" w:rsidP="00DF245A">
            <w:pPr>
              <w:pStyle w:val="NoSpacing"/>
              <w:rPr>
                <w:sz w:val="20"/>
                <w:szCs w:val="20"/>
              </w:rPr>
            </w:pPr>
            <w:r w:rsidRPr="00FB0075">
              <w:rPr>
                <w:sz w:val="20"/>
                <w:szCs w:val="20"/>
              </w:rPr>
              <w:t>T</w:t>
            </w:r>
          </w:p>
        </w:tc>
        <w:tc>
          <w:tcPr>
            <w:tcW w:w="381" w:type="pct"/>
            <w:hideMark/>
          </w:tcPr>
          <w:p w14:paraId="23748962" w14:textId="77777777" w:rsidR="005C2246" w:rsidRPr="00FB0075" w:rsidRDefault="005C2246" w:rsidP="00DF245A">
            <w:pPr>
              <w:pStyle w:val="NoSpacing"/>
              <w:rPr>
                <w:sz w:val="20"/>
                <w:szCs w:val="20"/>
              </w:rPr>
            </w:pPr>
            <w:r w:rsidRPr="00FB0075">
              <w:rPr>
                <w:sz w:val="20"/>
                <w:szCs w:val="20"/>
              </w:rPr>
              <w:t>1.000</w:t>
            </w:r>
          </w:p>
        </w:tc>
        <w:tc>
          <w:tcPr>
            <w:tcW w:w="423" w:type="pct"/>
            <w:hideMark/>
          </w:tcPr>
          <w:p w14:paraId="48C743A7" w14:textId="77777777" w:rsidR="005C2246" w:rsidRPr="00FB0075" w:rsidRDefault="005C2246" w:rsidP="00DF245A">
            <w:pPr>
              <w:pStyle w:val="NoSpacing"/>
              <w:rPr>
                <w:sz w:val="20"/>
                <w:szCs w:val="20"/>
              </w:rPr>
            </w:pPr>
            <w:r w:rsidRPr="00FB0075">
              <w:rPr>
                <w:sz w:val="20"/>
                <w:szCs w:val="20"/>
              </w:rPr>
              <w:t>S1</w:t>
            </w:r>
          </w:p>
        </w:tc>
        <w:tc>
          <w:tcPr>
            <w:tcW w:w="402" w:type="pct"/>
            <w:hideMark/>
          </w:tcPr>
          <w:p w14:paraId="1F7B2959" w14:textId="77777777" w:rsidR="005C2246" w:rsidRPr="00FB0075" w:rsidRDefault="005C2246" w:rsidP="00DF245A">
            <w:pPr>
              <w:pStyle w:val="NoSpacing"/>
              <w:rPr>
                <w:sz w:val="20"/>
                <w:szCs w:val="20"/>
              </w:rPr>
            </w:pPr>
            <w:r w:rsidRPr="00FB0075">
              <w:rPr>
                <w:sz w:val="20"/>
                <w:szCs w:val="20"/>
              </w:rPr>
              <w:t>T</w:t>
            </w:r>
          </w:p>
        </w:tc>
        <w:tc>
          <w:tcPr>
            <w:tcW w:w="400" w:type="pct"/>
            <w:hideMark/>
          </w:tcPr>
          <w:p w14:paraId="52EE0057" w14:textId="77777777" w:rsidR="005C2246" w:rsidRPr="00FB0075" w:rsidRDefault="005C2246" w:rsidP="00DF245A">
            <w:pPr>
              <w:pStyle w:val="NoSpacing"/>
              <w:rPr>
                <w:sz w:val="20"/>
                <w:szCs w:val="20"/>
              </w:rPr>
            </w:pPr>
            <w:r w:rsidRPr="00FB0075">
              <w:rPr>
                <w:sz w:val="20"/>
                <w:szCs w:val="20"/>
              </w:rPr>
              <w:t>1.000</w:t>
            </w:r>
          </w:p>
        </w:tc>
      </w:tr>
      <w:tr w:rsidR="006F5636" w:rsidRPr="00FB0075" w14:paraId="24FE0DC0" w14:textId="77777777" w:rsidTr="006F5636">
        <w:tc>
          <w:tcPr>
            <w:tcW w:w="444" w:type="pct"/>
            <w:hideMark/>
          </w:tcPr>
          <w:p w14:paraId="1FC1AAD2" w14:textId="77777777" w:rsidR="005C2246" w:rsidRPr="00FB0075" w:rsidRDefault="005C2246" w:rsidP="00DF245A">
            <w:pPr>
              <w:pStyle w:val="NoSpacing"/>
              <w:rPr>
                <w:sz w:val="20"/>
                <w:szCs w:val="20"/>
              </w:rPr>
            </w:pPr>
            <w:r w:rsidRPr="00FB0075">
              <w:rPr>
                <w:sz w:val="20"/>
                <w:szCs w:val="20"/>
              </w:rPr>
              <w:t>Y2</w:t>
            </w:r>
          </w:p>
        </w:tc>
        <w:tc>
          <w:tcPr>
            <w:tcW w:w="427" w:type="pct"/>
            <w:hideMark/>
          </w:tcPr>
          <w:p w14:paraId="63C2ED17" w14:textId="77777777" w:rsidR="005C2246" w:rsidRPr="00FB0075" w:rsidRDefault="005C2246" w:rsidP="00DF245A">
            <w:pPr>
              <w:pStyle w:val="NoSpacing"/>
              <w:rPr>
                <w:sz w:val="20"/>
                <w:szCs w:val="20"/>
              </w:rPr>
            </w:pPr>
            <w:r w:rsidRPr="00FB0075">
              <w:rPr>
                <w:sz w:val="20"/>
                <w:szCs w:val="20"/>
              </w:rPr>
              <w:t>NT</w:t>
            </w:r>
          </w:p>
        </w:tc>
        <w:tc>
          <w:tcPr>
            <w:tcW w:w="434" w:type="pct"/>
            <w:hideMark/>
          </w:tcPr>
          <w:p w14:paraId="480E6B0A" w14:textId="77777777" w:rsidR="005C2246" w:rsidRPr="00FB0075" w:rsidRDefault="005C2246" w:rsidP="00DF245A">
            <w:pPr>
              <w:pStyle w:val="NoSpacing"/>
              <w:rPr>
                <w:sz w:val="20"/>
                <w:szCs w:val="20"/>
              </w:rPr>
            </w:pPr>
            <w:r w:rsidRPr="00FB0075">
              <w:rPr>
                <w:sz w:val="20"/>
                <w:szCs w:val="20"/>
              </w:rPr>
              <w:t>1.000</w:t>
            </w:r>
          </w:p>
        </w:tc>
        <w:tc>
          <w:tcPr>
            <w:tcW w:w="391" w:type="pct"/>
            <w:hideMark/>
          </w:tcPr>
          <w:p w14:paraId="6C2D36BF" w14:textId="77777777" w:rsidR="005C2246" w:rsidRPr="00FB0075" w:rsidRDefault="005C2246" w:rsidP="00DF245A">
            <w:pPr>
              <w:pStyle w:val="NoSpacing"/>
              <w:rPr>
                <w:sz w:val="20"/>
                <w:szCs w:val="20"/>
              </w:rPr>
            </w:pPr>
            <w:r w:rsidRPr="00FB0075">
              <w:rPr>
                <w:sz w:val="20"/>
                <w:szCs w:val="20"/>
              </w:rPr>
              <w:t>ON2</w:t>
            </w:r>
          </w:p>
        </w:tc>
        <w:tc>
          <w:tcPr>
            <w:tcW w:w="491" w:type="pct"/>
            <w:hideMark/>
          </w:tcPr>
          <w:p w14:paraId="1D9A2E9B" w14:textId="77777777" w:rsidR="005C2246" w:rsidRPr="00FB0075" w:rsidRDefault="005C2246" w:rsidP="00DF245A">
            <w:pPr>
              <w:pStyle w:val="NoSpacing"/>
              <w:rPr>
                <w:sz w:val="20"/>
                <w:szCs w:val="20"/>
              </w:rPr>
            </w:pPr>
            <w:r w:rsidRPr="00FB0075">
              <w:rPr>
                <w:sz w:val="20"/>
                <w:szCs w:val="20"/>
              </w:rPr>
              <w:t>T</w:t>
            </w:r>
          </w:p>
        </w:tc>
        <w:tc>
          <w:tcPr>
            <w:tcW w:w="363" w:type="pct"/>
            <w:hideMark/>
          </w:tcPr>
          <w:p w14:paraId="3EFAB578" w14:textId="77777777" w:rsidR="005C2246" w:rsidRPr="00FB0075" w:rsidRDefault="005C2246" w:rsidP="00DF245A">
            <w:pPr>
              <w:pStyle w:val="NoSpacing"/>
              <w:rPr>
                <w:sz w:val="20"/>
                <w:szCs w:val="20"/>
              </w:rPr>
            </w:pPr>
            <w:r w:rsidRPr="00FB0075">
              <w:rPr>
                <w:sz w:val="20"/>
                <w:szCs w:val="20"/>
              </w:rPr>
              <w:t>1.000</w:t>
            </w:r>
          </w:p>
        </w:tc>
        <w:tc>
          <w:tcPr>
            <w:tcW w:w="397" w:type="pct"/>
            <w:hideMark/>
          </w:tcPr>
          <w:p w14:paraId="3310892C" w14:textId="77777777" w:rsidR="005C2246" w:rsidRPr="00FB0075" w:rsidRDefault="005C2246" w:rsidP="00DF245A">
            <w:pPr>
              <w:pStyle w:val="NoSpacing"/>
              <w:rPr>
                <w:sz w:val="20"/>
                <w:szCs w:val="20"/>
              </w:rPr>
            </w:pPr>
            <w:r w:rsidRPr="00FB0075">
              <w:rPr>
                <w:sz w:val="20"/>
                <w:szCs w:val="20"/>
              </w:rPr>
              <w:t>OF2</w:t>
            </w:r>
          </w:p>
        </w:tc>
        <w:tc>
          <w:tcPr>
            <w:tcW w:w="447" w:type="pct"/>
            <w:hideMark/>
          </w:tcPr>
          <w:p w14:paraId="1C6B28E4" w14:textId="77777777" w:rsidR="005C2246" w:rsidRPr="00FB0075" w:rsidRDefault="005C2246" w:rsidP="00DF245A">
            <w:pPr>
              <w:pStyle w:val="NoSpacing"/>
              <w:rPr>
                <w:sz w:val="20"/>
                <w:szCs w:val="20"/>
              </w:rPr>
            </w:pPr>
            <w:r w:rsidRPr="00FB0075">
              <w:rPr>
                <w:sz w:val="20"/>
                <w:szCs w:val="20"/>
              </w:rPr>
              <w:t>NT</w:t>
            </w:r>
          </w:p>
        </w:tc>
        <w:tc>
          <w:tcPr>
            <w:tcW w:w="381" w:type="pct"/>
            <w:hideMark/>
          </w:tcPr>
          <w:p w14:paraId="560C6661" w14:textId="77777777" w:rsidR="005C2246" w:rsidRPr="00FB0075" w:rsidRDefault="005C2246" w:rsidP="00DF245A">
            <w:pPr>
              <w:pStyle w:val="NoSpacing"/>
              <w:rPr>
                <w:sz w:val="20"/>
                <w:szCs w:val="20"/>
              </w:rPr>
            </w:pPr>
            <w:r w:rsidRPr="00FB0075">
              <w:rPr>
                <w:sz w:val="20"/>
                <w:szCs w:val="20"/>
              </w:rPr>
              <w:t>1.000</w:t>
            </w:r>
          </w:p>
        </w:tc>
        <w:tc>
          <w:tcPr>
            <w:tcW w:w="423" w:type="pct"/>
            <w:hideMark/>
          </w:tcPr>
          <w:p w14:paraId="34C06FE1" w14:textId="77777777" w:rsidR="005C2246" w:rsidRPr="00FB0075" w:rsidRDefault="005C2246" w:rsidP="00DF245A">
            <w:pPr>
              <w:pStyle w:val="NoSpacing"/>
              <w:rPr>
                <w:sz w:val="20"/>
                <w:szCs w:val="20"/>
              </w:rPr>
            </w:pPr>
            <w:r w:rsidRPr="00FB0075">
              <w:rPr>
                <w:sz w:val="20"/>
                <w:szCs w:val="20"/>
              </w:rPr>
              <w:t>S2</w:t>
            </w:r>
          </w:p>
        </w:tc>
        <w:tc>
          <w:tcPr>
            <w:tcW w:w="402" w:type="pct"/>
            <w:hideMark/>
          </w:tcPr>
          <w:p w14:paraId="5590E001" w14:textId="77777777" w:rsidR="005C2246" w:rsidRPr="00FB0075" w:rsidRDefault="005C2246" w:rsidP="00DF245A">
            <w:pPr>
              <w:pStyle w:val="NoSpacing"/>
              <w:rPr>
                <w:sz w:val="20"/>
                <w:szCs w:val="20"/>
              </w:rPr>
            </w:pPr>
            <w:r w:rsidRPr="00FB0075">
              <w:rPr>
                <w:sz w:val="20"/>
                <w:szCs w:val="20"/>
              </w:rPr>
              <w:t>T</w:t>
            </w:r>
          </w:p>
        </w:tc>
        <w:tc>
          <w:tcPr>
            <w:tcW w:w="400" w:type="pct"/>
            <w:hideMark/>
          </w:tcPr>
          <w:p w14:paraId="31EE7B54" w14:textId="77777777" w:rsidR="005C2246" w:rsidRPr="00FB0075" w:rsidRDefault="005C2246" w:rsidP="00DF245A">
            <w:pPr>
              <w:pStyle w:val="NoSpacing"/>
              <w:rPr>
                <w:sz w:val="20"/>
                <w:szCs w:val="20"/>
              </w:rPr>
            </w:pPr>
            <w:r w:rsidRPr="00FB0075">
              <w:rPr>
                <w:sz w:val="20"/>
                <w:szCs w:val="20"/>
              </w:rPr>
              <w:t>1.000</w:t>
            </w:r>
          </w:p>
        </w:tc>
      </w:tr>
      <w:tr w:rsidR="006F5636" w:rsidRPr="00FB0075" w14:paraId="49D8D57E" w14:textId="77777777" w:rsidTr="006F5636">
        <w:tc>
          <w:tcPr>
            <w:tcW w:w="444" w:type="pct"/>
            <w:hideMark/>
          </w:tcPr>
          <w:p w14:paraId="4162361F" w14:textId="77777777" w:rsidR="005C2246" w:rsidRPr="00FB0075" w:rsidRDefault="005C2246" w:rsidP="00DF245A">
            <w:pPr>
              <w:pStyle w:val="NoSpacing"/>
              <w:rPr>
                <w:sz w:val="20"/>
                <w:szCs w:val="20"/>
              </w:rPr>
            </w:pPr>
            <w:r w:rsidRPr="00FB0075">
              <w:rPr>
                <w:sz w:val="20"/>
                <w:szCs w:val="20"/>
              </w:rPr>
              <w:t>Y3</w:t>
            </w:r>
          </w:p>
        </w:tc>
        <w:tc>
          <w:tcPr>
            <w:tcW w:w="427" w:type="pct"/>
            <w:hideMark/>
          </w:tcPr>
          <w:p w14:paraId="6FC32604" w14:textId="77777777" w:rsidR="005C2246" w:rsidRPr="00FB0075" w:rsidRDefault="005C2246" w:rsidP="00DF245A">
            <w:pPr>
              <w:pStyle w:val="NoSpacing"/>
              <w:rPr>
                <w:sz w:val="20"/>
                <w:szCs w:val="20"/>
              </w:rPr>
            </w:pPr>
            <w:r w:rsidRPr="00FB0075">
              <w:rPr>
                <w:sz w:val="20"/>
                <w:szCs w:val="20"/>
              </w:rPr>
              <w:t>NT</w:t>
            </w:r>
          </w:p>
        </w:tc>
        <w:tc>
          <w:tcPr>
            <w:tcW w:w="434" w:type="pct"/>
            <w:hideMark/>
          </w:tcPr>
          <w:p w14:paraId="2C9650BB" w14:textId="77777777" w:rsidR="005C2246" w:rsidRPr="00FB0075" w:rsidRDefault="005C2246" w:rsidP="00DF245A">
            <w:pPr>
              <w:pStyle w:val="NoSpacing"/>
              <w:rPr>
                <w:sz w:val="20"/>
                <w:szCs w:val="20"/>
              </w:rPr>
            </w:pPr>
            <w:r w:rsidRPr="00FB0075">
              <w:rPr>
                <w:sz w:val="20"/>
                <w:szCs w:val="20"/>
              </w:rPr>
              <w:t>1.000</w:t>
            </w:r>
          </w:p>
        </w:tc>
        <w:tc>
          <w:tcPr>
            <w:tcW w:w="391" w:type="pct"/>
            <w:hideMark/>
          </w:tcPr>
          <w:p w14:paraId="1DA3D15B" w14:textId="77777777" w:rsidR="005C2246" w:rsidRPr="00FB0075" w:rsidRDefault="005C2246" w:rsidP="00DF245A">
            <w:pPr>
              <w:pStyle w:val="NoSpacing"/>
              <w:rPr>
                <w:sz w:val="20"/>
                <w:szCs w:val="20"/>
              </w:rPr>
            </w:pPr>
            <w:r w:rsidRPr="00FB0075">
              <w:rPr>
                <w:sz w:val="20"/>
                <w:szCs w:val="20"/>
              </w:rPr>
              <w:t>ON3</w:t>
            </w:r>
          </w:p>
        </w:tc>
        <w:tc>
          <w:tcPr>
            <w:tcW w:w="491" w:type="pct"/>
            <w:hideMark/>
          </w:tcPr>
          <w:p w14:paraId="30A3451C" w14:textId="77777777" w:rsidR="005C2246" w:rsidRPr="00FB0075" w:rsidRDefault="005C2246" w:rsidP="00DF245A">
            <w:pPr>
              <w:pStyle w:val="NoSpacing"/>
              <w:rPr>
                <w:sz w:val="20"/>
                <w:szCs w:val="20"/>
              </w:rPr>
            </w:pPr>
            <w:r w:rsidRPr="00FB0075">
              <w:rPr>
                <w:sz w:val="20"/>
                <w:szCs w:val="20"/>
              </w:rPr>
              <w:t>T</w:t>
            </w:r>
          </w:p>
        </w:tc>
        <w:tc>
          <w:tcPr>
            <w:tcW w:w="363" w:type="pct"/>
            <w:hideMark/>
          </w:tcPr>
          <w:p w14:paraId="029F0DBB" w14:textId="77777777" w:rsidR="005C2246" w:rsidRPr="00FB0075" w:rsidRDefault="005C2246" w:rsidP="00DF245A">
            <w:pPr>
              <w:pStyle w:val="NoSpacing"/>
              <w:rPr>
                <w:sz w:val="20"/>
                <w:szCs w:val="20"/>
              </w:rPr>
            </w:pPr>
            <w:r w:rsidRPr="00FB0075">
              <w:rPr>
                <w:sz w:val="20"/>
                <w:szCs w:val="20"/>
              </w:rPr>
              <w:t>1.000</w:t>
            </w:r>
          </w:p>
        </w:tc>
        <w:tc>
          <w:tcPr>
            <w:tcW w:w="397" w:type="pct"/>
            <w:hideMark/>
          </w:tcPr>
          <w:p w14:paraId="2ADE6825" w14:textId="77777777" w:rsidR="005C2246" w:rsidRPr="00FB0075" w:rsidRDefault="005C2246" w:rsidP="00DF245A">
            <w:pPr>
              <w:pStyle w:val="NoSpacing"/>
              <w:rPr>
                <w:sz w:val="20"/>
                <w:szCs w:val="20"/>
              </w:rPr>
            </w:pPr>
            <w:r w:rsidRPr="00FB0075">
              <w:rPr>
                <w:sz w:val="20"/>
                <w:szCs w:val="20"/>
              </w:rPr>
              <w:t>OF3</w:t>
            </w:r>
          </w:p>
        </w:tc>
        <w:tc>
          <w:tcPr>
            <w:tcW w:w="447" w:type="pct"/>
            <w:hideMark/>
          </w:tcPr>
          <w:p w14:paraId="314E298A" w14:textId="77777777" w:rsidR="005C2246" w:rsidRPr="00FB0075" w:rsidRDefault="005C2246" w:rsidP="00DF245A">
            <w:pPr>
              <w:pStyle w:val="NoSpacing"/>
              <w:rPr>
                <w:sz w:val="20"/>
                <w:szCs w:val="20"/>
              </w:rPr>
            </w:pPr>
            <w:r w:rsidRPr="00FB0075">
              <w:rPr>
                <w:sz w:val="20"/>
                <w:szCs w:val="20"/>
              </w:rPr>
              <w:t>NT</w:t>
            </w:r>
          </w:p>
        </w:tc>
        <w:tc>
          <w:tcPr>
            <w:tcW w:w="381" w:type="pct"/>
            <w:hideMark/>
          </w:tcPr>
          <w:p w14:paraId="1E9C524D" w14:textId="77777777" w:rsidR="005C2246" w:rsidRPr="00FB0075" w:rsidRDefault="005C2246" w:rsidP="00DF245A">
            <w:pPr>
              <w:pStyle w:val="NoSpacing"/>
              <w:rPr>
                <w:sz w:val="20"/>
                <w:szCs w:val="20"/>
              </w:rPr>
            </w:pPr>
            <w:r w:rsidRPr="00FB0075">
              <w:rPr>
                <w:sz w:val="20"/>
                <w:szCs w:val="20"/>
              </w:rPr>
              <w:t>1.000</w:t>
            </w:r>
          </w:p>
        </w:tc>
        <w:tc>
          <w:tcPr>
            <w:tcW w:w="423" w:type="pct"/>
            <w:hideMark/>
          </w:tcPr>
          <w:p w14:paraId="6E0E0C2B" w14:textId="77777777" w:rsidR="005C2246" w:rsidRPr="00FB0075" w:rsidRDefault="005C2246" w:rsidP="00DF245A">
            <w:pPr>
              <w:pStyle w:val="NoSpacing"/>
              <w:rPr>
                <w:sz w:val="20"/>
                <w:szCs w:val="20"/>
              </w:rPr>
            </w:pPr>
            <w:r w:rsidRPr="00FB0075">
              <w:rPr>
                <w:sz w:val="20"/>
                <w:szCs w:val="20"/>
              </w:rPr>
              <w:t>S3</w:t>
            </w:r>
          </w:p>
        </w:tc>
        <w:tc>
          <w:tcPr>
            <w:tcW w:w="402" w:type="pct"/>
            <w:hideMark/>
          </w:tcPr>
          <w:p w14:paraId="2BF5B04E" w14:textId="77777777" w:rsidR="005C2246" w:rsidRPr="00FB0075" w:rsidRDefault="005C2246" w:rsidP="00DF245A">
            <w:pPr>
              <w:pStyle w:val="NoSpacing"/>
              <w:rPr>
                <w:sz w:val="20"/>
                <w:szCs w:val="20"/>
              </w:rPr>
            </w:pPr>
            <w:r w:rsidRPr="00FB0075">
              <w:rPr>
                <w:sz w:val="20"/>
                <w:szCs w:val="20"/>
              </w:rPr>
              <w:t>T</w:t>
            </w:r>
          </w:p>
        </w:tc>
        <w:tc>
          <w:tcPr>
            <w:tcW w:w="400" w:type="pct"/>
            <w:hideMark/>
          </w:tcPr>
          <w:p w14:paraId="0B795C5B" w14:textId="77777777" w:rsidR="005C2246" w:rsidRPr="00FB0075" w:rsidRDefault="005C2246" w:rsidP="00DF245A">
            <w:pPr>
              <w:pStyle w:val="NoSpacing"/>
              <w:rPr>
                <w:sz w:val="20"/>
                <w:szCs w:val="20"/>
              </w:rPr>
            </w:pPr>
            <w:r w:rsidRPr="00FB0075">
              <w:rPr>
                <w:sz w:val="20"/>
                <w:szCs w:val="20"/>
              </w:rPr>
              <w:t>1.000</w:t>
            </w:r>
          </w:p>
        </w:tc>
      </w:tr>
      <w:tr w:rsidR="006F5636" w:rsidRPr="00FB0075" w14:paraId="0196D6BC" w14:textId="77777777" w:rsidTr="006F5636">
        <w:tc>
          <w:tcPr>
            <w:tcW w:w="444" w:type="pct"/>
            <w:hideMark/>
          </w:tcPr>
          <w:p w14:paraId="1E8312B9" w14:textId="77777777" w:rsidR="005C2246" w:rsidRPr="00FB0075" w:rsidRDefault="005C2246" w:rsidP="00DF245A">
            <w:pPr>
              <w:pStyle w:val="NoSpacing"/>
              <w:rPr>
                <w:sz w:val="20"/>
                <w:szCs w:val="20"/>
              </w:rPr>
            </w:pPr>
            <w:r w:rsidRPr="00FB0075">
              <w:rPr>
                <w:sz w:val="20"/>
                <w:szCs w:val="20"/>
              </w:rPr>
              <w:t>Y4</w:t>
            </w:r>
          </w:p>
        </w:tc>
        <w:tc>
          <w:tcPr>
            <w:tcW w:w="427" w:type="pct"/>
            <w:hideMark/>
          </w:tcPr>
          <w:p w14:paraId="257215C8" w14:textId="77777777" w:rsidR="005C2246" w:rsidRPr="00FB0075" w:rsidRDefault="005C2246" w:rsidP="00DF245A">
            <w:pPr>
              <w:pStyle w:val="NoSpacing"/>
              <w:rPr>
                <w:sz w:val="20"/>
                <w:szCs w:val="20"/>
              </w:rPr>
            </w:pPr>
            <w:r w:rsidRPr="00FB0075">
              <w:rPr>
                <w:sz w:val="20"/>
                <w:szCs w:val="20"/>
              </w:rPr>
              <w:t>NT</w:t>
            </w:r>
          </w:p>
        </w:tc>
        <w:tc>
          <w:tcPr>
            <w:tcW w:w="434" w:type="pct"/>
            <w:hideMark/>
          </w:tcPr>
          <w:p w14:paraId="24BA5394" w14:textId="77777777" w:rsidR="005C2246" w:rsidRPr="00FB0075" w:rsidRDefault="005C2246" w:rsidP="00DF245A">
            <w:pPr>
              <w:pStyle w:val="NoSpacing"/>
              <w:rPr>
                <w:sz w:val="20"/>
                <w:szCs w:val="20"/>
              </w:rPr>
            </w:pPr>
            <w:r w:rsidRPr="00FB0075">
              <w:rPr>
                <w:sz w:val="20"/>
                <w:szCs w:val="20"/>
              </w:rPr>
              <w:t>1.000</w:t>
            </w:r>
          </w:p>
        </w:tc>
        <w:tc>
          <w:tcPr>
            <w:tcW w:w="391" w:type="pct"/>
            <w:hideMark/>
          </w:tcPr>
          <w:p w14:paraId="1B2517E7" w14:textId="77777777" w:rsidR="005C2246" w:rsidRPr="00FB0075" w:rsidRDefault="005C2246" w:rsidP="00DF245A">
            <w:pPr>
              <w:pStyle w:val="NoSpacing"/>
              <w:rPr>
                <w:sz w:val="20"/>
                <w:szCs w:val="20"/>
              </w:rPr>
            </w:pPr>
            <w:r w:rsidRPr="00FB0075">
              <w:rPr>
                <w:sz w:val="20"/>
                <w:szCs w:val="20"/>
              </w:rPr>
              <w:t>ON4</w:t>
            </w:r>
          </w:p>
        </w:tc>
        <w:tc>
          <w:tcPr>
            <w:tcW w:w="491" w:type="pct"/>
            <w:hideMark/>
          </w:tcPr>
          <w:p w14:paraId="7912C92A" w14:textId="77777777" w:rsidR="005C2246" w:rsidRPr="00FB0075" w:rsidRDefault="005C2246" w:rsidP="00DF245A">
            <w:pPr>
              <w:pStyle w:val="NoSpacing"/>
              <w:rPr>
                <w:sz w:val="20"/>
                <w:szCs w:val="20"/>
              </w:rPr>
            </w:pPr>
            <w:r w:rsidRPr="00FB0075">
              <w:rPr>
                <w:sz w:val="20"/>
                <w:szCs w:val="20"/>
              </w:rPr>
              <w:t>NT</w:t>
            </w:r>
          </w:p>
        </w:tc>
        <w:tc>
          <w:tcPr>
            <w:tcW w:w="363" w:type="pct"/>
            <w:hideMark/>
          </w:tcPr>
          <w:p w14:paraId="60BC3EB3" w14:textId="77777777" w:rsidR="005C2246" w:rsidRPr="00FB0075" w:rsidRDefault="005C2246" w:rsidP="00DF245A">
            <w:pPr>
              <w:pStyle w:val="NoSpacing"/>
              <w:rPr>
                <w:sz w:val="20"/>
                <w:szCs w:val="20"/>
              </w:rPr>
            </w:pPr>
            <w:r w:rsidRPr="00FB0075">
              <w:rPr>
                <w:sz w:val="20"/>
                <w:szCs w:val="20"/>
              </w:rPr>
              <w:t>1.000</w:t>
            </w:r>
          </w:p>
        </w:tc>
        <w:tc>
          <w:tcPr>
            <w:tcW w:w="397" w:type="pct"/>
            <w:hideMark/>
          </w:tcPr>
          <w:p w14:paraId="30BE4F57" w14:textId="77777777" w:rsidR="005C2246" w:rsidRPr="00FB0075" w:rsidRDefault="005C2246" w:rsidP="00DF245A">
            <w:pPr>
              <w:pStyle w:val="NoSpacing"/>
              <w:rPr>
                <w:sz w:val="20"/>
                <w:szCs w:val="20"/>
              </w:rPr>
            </w:pPr>
            <w:r w:rsidRPr="00FB0075">
              <w:rPr>
                <w:sz w:val="20"/>
                <w:szCs w:val="20"/>
              </w:rPr>
              <w:t>OF4</w:t>
            </w:r>
          </w:p>
        </w:tc>
        <w:tc>
          <w:tcPr>
            <w:tcW w:w="447" w:type="pct"/>
            <w:hideMark/>
          </w:tcPr>
          <w:p w14:paraId="0FF68F2E" w14:textId="77777777" w:rsidR="005C2246" w:rsidRPr="00FB0075" w:rsidRDefault="005C2246" w:rsidP="00DF245A">
            <w:pPr>
              <w:pStyle w:val="NoSpacing"/>
              <w:rPr>
                <w:sz w:val="20"/>
                <w:szCs w:val="20"/>
              </w:rPr>
            </w:pPr>
            <w:r w:rsidRPr="00FB0075">
              <w:rPr>
                <w:sz w:val="20"/>
                <w:szCs w:val="20"/>
              </w:rPr>
              <w:t>NT</w:t>
            </w:r>
          </w:p>
        </w:tc>
        <w:tc>
          <w:tcPr>
            <w:tcW w:w="381" w:type="pct"/>
            <w:hideMark/>
          </w:tcPr>
          <w:p w14:paraId="00DF91A2" w14:textId="77777777" w:rsidR="005C2246" w:rsidRPr="00FB0075" w:rsidRDefault="005C2246" w:rsidP="00DF245A">
            <w:pPr>
              <w:pStyle w:val="NoSpacing"/>
              <w:rPr>
                <w:sz w:val="20"/>
                <w:szCs w:val="20"/>
              </w:rPr>
            </w:pPr>
            <w:r w:rsidRPr="00FB0075">
              <w:rPr>
                <w:sz w:val="20"/>
                <w:szCs w:val="20"/>
              </w:rPr>
              <w:t>1.000</w:t>
            </w:r>
          </w:p>
        </w:tc>
        <w:tc>
          <w:tcPr>
            <w:tcW w:w="423" w:type="pct"/>
            <w:hideMark/>
          </w:tcPr>
          <w:p w14:paraId="1BE2B6FD" w14:textId="77777777" w:rsidR="005C2246" w:rsidRPr="00FB0075" w:rsidRDefault="005C2246" w:rsidP="00DF245A">
            <w:pPr>
              <w:pStyle w:val="NoSpacing"/>
              <w:rPr>
                <w:sz w:val="20"/>
                <w:szCs w:val="20"/>
              </w:rPr>
            </w:pPr>
            <w:r w:rsidRPr="00FB0075">
              <w:rPr>
                <w:sz w:val="20"/>
                <w:szCs w:val="20"/>
              </w:rPr>
              <w:t>S4</w:t>
            </w:r>
          </w:p>
        </w:tc>
        <w:tc>
          <w:tcPr>
            <w:tcW w:w="402" w:type="pct"/>
            <w:hideMark/>
          </w:tcPr>
          <w:p w14:paraId="6392D828" w14:textId="77777777" w:rsidR="005C2246" w:rsidRPr="00FB0075" w:rsidRDefault="005C2246" w:rsidP="00DF245A">
            <w:pPr>
              <w:pStyle w:val="NoSpacing"/>
              <w:rPr>
                <w:sz w:val="20"/>
                <w:szCs w:val="20"/>
              </w:rPr>
            </w:pPr>
            <w:r w:rsidRPr="00FB0075">
              <w:rPr>
                <w:sz w:val="20"/>
                <w:szCs w:val="20"/>
              </w:rPr>
              <w:t>NT</w:t>
            </w:r>
          </w:p>
        </w:tc>
        <w:tc>
          <w:tcPr>
            <w:tcW w:w="400" w:type="pct"/>
            <w:hideMark/>
          </w:tcPr>
          <w:p w14:paraId="137B707B" w14:textId="77777777" w:rsidR="005C2246" w:rsidRPr="00FB0075" w:rsidRDefault="005C2246" w:rsidP="00DF245A">
            <w:pPr>
              <w:pStyle w:val="NoSpacing"/>
              <w:rPr>
                <w:sz w:val="20"/>
                <w:szCs w:val="20"/>
              </w:rPr>
            </w:pPr>
            <w:r w:rsidRPr="00FB0075">
              <w:rPr>
                <w:sz w:val="20"/>
                <w:szCs w:val="20"/>
              </w:rPr>
              <w:t>1.000</w:t>
            </w:r>
          </w:p>
        </w:tc>
      </w:tr>
      <w:tr w:rsidR="006F5636" w:rsidRPr="00FB0075" w14:paraId="6B145020" w14:textId="77777777" w:rsidTr="006F5636">
        <w:tc>
          <w:tcPr>
            <w:tcW w:w="444" w:type="pct"/>
            <w:hideMark/>
          </w:tcPr>
          <w:p w14:paraId="12B898AE" w14:textId="77777777" w:rsidR="005C2246" w:rsidRPr="00FB0075" w:rsidRDefault="005C2246" w:rsidP="00DF245A">
            <w:pPr>
              <w:pStyle w:val="NoSpacing"/>
              <w:rPr>
                <w:sz w:val="20"/>
                <w:szCs w:val="20"/>
              </w:rPr>
            </w:pPr>
            <w:r w:rsidRPr="00FB0075">
              <w:rPr>
                <w:sz w:val="20"/>
                <w:szCs w:val="20"/>
              </w:rPr>
              <w:t>Y5</w:t>
            </w:r>
          </w:p>
        </w:tc>
        <w:tc>
          <w:tcPr>
            <w:tcW w:w="427" w:type="pct"/>
            <w:hideMark/>
          </w:tcPr>
          <w:p w14:paraId="4EC60F65" w14:textId="77777777" w:rsidR="005C2246" w:rsidRPr="00FB0075" w:rsidRDefault="005C2246" w:rsidP="00DF245A">
            <w:pPr>
              <w:pStyle w:val="NoSpacing"/>
              <w:rPr>
                <w:sz w:val="20"/>
                <w:szCs w:val="20"/>
              </w:rPr>
            </w:pPr>
            <w:r w:rsidRPr="00FB0075">
              <w:rPr>
                <w:sz w:val="20"/>
                <w:szCs w:val="20"/>
              </w:rPr>
              <w:t>NT</w:t>
            </w:r>
          </w:p>
        </w:tc>
        <w:tc>
          <w:tcPr>
            <w:tcW w:w="434" w:type="pct"/>
            <w:hideMark/>
          </w:tcPr>
          <w:p w14:paraId="1F498646" w14:textId="77777777" w:rsidR="005C2246" w:rsidRPr="00FB0075" w:rsidRDefault="005C2246" w:rsidP="00DF245A">
            <w:pPr>
              <w:pStyle w:val="NoSpacing"/>
              <w:rPr>
                <w:sz w:val="20"/>
                <w:szCs w:val="20"/>
              </w:rPr>
            </w:pPr>
            <w:r w:rsidRPr="00FB0075">
              <w:rPr>
                <w:sz w:val="20"/>
                <w:szCs w:val="20"/>
              </w:rPr>
              <w:t>1.000</w:t>
            </w:r>
          </w:p>
        </w:tc>
        <w:tc>
          <w:tcPr>
            <w:tcW w:w="391" w:type="pct"/>
            <w:hideMark/>
          </w:tcPr>
          <w:p w14:paraId="62B0EEDD" w14:textId="77777777" w:rsidR="005C2246" w:rsidRPr="00FB0075" w:rsidRDefault="005C2246" w:rsidP="00DF245A">
            <w:pPr>
              <w:pStyle w:val="NoSpacing"/>
              <w:rPr>
                <w:sz w:val="20"/>
                <w:szCs w:val="20"/>
              </w:rPr>
            </w:pPr>
            <w:r w:rsidRPr="00FB0075">
              <w:rPr>
                <w:sz w:val="20"/>
                <w:szCs w:val="20"/>
              </w:rPr>
              <w:t>ON5</w:t>
            </w:r>
          </w:p>
        </w:tc>
        <w:tc>
          <w:tcPr>
            <w:tcW w:w="491" w:type="pct"/>
            <w:hideMark/>
          </w:tcPr>
          <w:p w14:paraId="38C88068" w14:textId="77777777" w:rsidR="005C2246" w:rsidRPr="00FB0075" w:rsidRDefault="005C2246" w:rsidP="00DF245A">
            <w:pPr>
              <w:pStyle w:val="NoSpacing"/>
              <w:rPr>
                <w:sz w:val="20"/>
                <w:szCs w:val="20"/>
              </w:rPr>
            </w:pPr>
            <w:r w:rsidRPr="00FB0075">
              <w:rPr>
                <w:sz w:val="20"/>
                <w:szCs w:val="20"/>
              </w:rPr>
              <w:t>NT</w:t>
            </w:r>
          </w:p>
        </w:tc>
        <w:tc>
          <w:tcPr>
            <w:tcW w:w="363" w:type="pct"/>
            <w:hideMark/>
          </w:tcPr>
          <w:p w14:paraId="7EF2F3BD" w14:textId="77777777" w:rsidR="005C2246" w:rsidRPr="00FB0075" w:rsidRDefault="005C2246" w:rsidP="00DF245A">
            <w:pPr>
              <w:pStyle w:val="NoSpacing"/>
              <w:rPr>
                <w:sz w:val="20"/>
                <w:szCs w:val="20"/>
              </w:rPr>
            </w:pPr>
            <w:r w:rsidRPr="00FB0075">
              <w:rPr>
                <w:sz w:val="20"/>
                <w:szCs w:val="20"/>
              </w:rPr>
              <w:t>1.000</w:t>
            </w:r>
          </w:p>
        </w:tc>
        <w:tc>
          <w:tcPr>
            <w:tcW w:w="397" w:type="pct"/>
            <w:hideMark/>
          </w:tcPr>
          <w:p w14:paraId="497D9152" w14:textId="77777777" w:rsidR="005C2246" w:rsidRPr="00FB0075" w:rsidRDefault="005C2246" w:rsidP="00DF245A">
            <w:pPr>
              <w:pStyle w:val="NoSpacing"/>
              <w:rPr>
                <w:sz w:val="20"/>
                <w:szCs w:val="20"/>
              </w:rPr>
            </w:pPr>
            <w:r w:rsidRPr="00FB0075">
              <w:rPr>
                <w:sz w:val="20"/>
                <w:szCs w:val="20"/>
              </w:rPr>
              <w:t>OF5</w:t>
            </w:r>
          </w:p>
        </w:tc>
        <w:tc>
          <w:tcPr>
            <w:tcW w:w="447" w:type="pct"/>
            <w:hideMark/>
          </w:tcPr>
          <w:p w14:paraId="713CD3C6" w14:textId="77777777" w:rsidR="005C2246" w:rsidRPr="00FB0075" w:rsidRDefault="005C2246" w:rsidP="00DF245A">
            <w:pPr>
              <w:pStyle w:val="NoSpacing"/>
              <w:rPr>
                <w:sz w:val="20"/>
                <w:szCs w:val="20"/>
              </w:rPr>
            </w:pPr>
            <w:r w:rsidRPr="00FB0075">
              <w:rPr>
                <w:sz w:val="20"/>
                <w:szCs w:val="20"/>
              </w:rPr>
              <w:t>NT</w:t>
            </w:r>
          </w:p>
        </w:tc>
        <w:tc>
          <w:tcPr>
            <w:tcW w:w="381" w:type="pct"/>
            <w:hideMark/>
          </w:tcPr>
          <w:p w14:paraId="45953CBA" w14:textId="77777777" w:rsidR="005C2246" w:rsidRPr="00FB0075" w:rsidRDefault="005C2246" w:rsidP="00DF245A">
            <w:pPr>
              <w:pStyle w:val="NoSpacing"/>
              <w:rPr>
                <w:sz w:val="20"/>
                <w:szCs w:val="20"/>
              </w:rPr>
            </w:pPr>
            <w:r w:rsidRPr="00FB0075">
              <w:rPr>
                <w:sz w:val="20"/>
                <w:szCs w:val="20"/>
              </w:rPr>
              <w:t>1.000</w:t>
            </w:r>
          </w:p>
        </w:tc>
        <w:tc>
          <w:tcPr>
            <w:tcW w:w="423" w:type="pct"/>
            <w:hideMark/>
          </w:tcPr>
          <w:p w14:paraId="094797B2" w14:textId="77777777" w:rsidR="005C2246" w:rsidRPr="00FB0075" w:rsidRDefault="005C2246" w:rsidP="00DF245A">
            <w:pPr>
              <w:pStyle w:val="NoSpacing"/>
              <w:rPr>
                <w:sz w:val="20"/>
                <w:szCs w:val="20"/>
              </w:rPr>
            </w:pPr>
            <w:r w:rsidRPr="00FB0075">
              <w:rPr>
                <w:sz w:val="20"/>
                <w:szCs w:val="20"/>
              </w:rPr>
              <w:t>S5</w:t>
            </w:r>
          </w:p>
        </w:tc>
        <w:tc>
          <w:tcPr>
            <w:tcW w:w="402" w:type="pct"/>
            <w:hideMark/>
          </w:tcPr>
          <w:p w14:paraId="1A933F43" w14:textId="77777777" w:rsidR="005C2246" w:rsidRPr="00FB0075" w:rsidRDefault="005C2246" w:rsidP="00DF245A">
            <w:pPr>
              <w:pStyle w:val="NoSpacing"/>
              <w:rPr>
                <w:sz w:val="20"/>
                <w:szCs w:val="20"/>
              </w:rPr>
            </w:pPr>
            <w:r w:rsidRPr="00FB0075">
              <w:rPr>
                <w:sz w:val="20"/>
                <w:szCs w:val="20"/>
              </w:rPr>
              <w:t>NT</w:t>
            </w:r>
          </w:p>
        </w:tc>
        <w:tc>
          <w:tcPr>
            <w:tcW w:w="400" w:type="pct"/>
            <w:hideMark/>
          </w:tcPr>
          <w:p w14:paraId="1DEEBEA4" w14:textId="77777777" w:rsidR="005C2246" w:rsidRPr="00FB0075" w:rsidRDefault="005C2246" w:rsidP="00DF245A">
            <w:pPr>
              <w:pStyle w:val="NoSpacing"/>
              <w:rPr>
                <w:sz w:val="20"/>
                <w:szCs w:val="20"/>
              </w:rPr>
            </w:pPr>
            <w:r w:rsidRPr="00FB0075">
              <w:rPr>
                <w:sz w:val="20"/>
                <w:szCs w:val="20"/>
              </w:rPr>
              <w:t>1.000</w:t>
            </w:r>
          </w:p>
        </w:tc>
      </w:tr>
      <w:tr w:rsidR="006F5636" w:rsidRPr="00FB0075" w14:paraId="59DB5E7A" w14:textId="77777777" w:rsidTr="006F5636">
        <w:tc>
          <w:tcPr>
            <w:tcW w:w="444" w:type="pct"/>
            <w:hideMark/>
          </w:tcPr>
          <w:p w14:paraId="0552BE76" w14:textId="77777777" w:rsidR="005C2246" w:rsidRPr="00FB0075" w:rsidRDefault="005C2246" w:rsidP="00DF245A">
            <w:pPr>
              <w:pStyle w:val="NoSpacing"/>
              <w:rPr>
                <w:sz w:val="20"/>
                <w:szCs w:val="20"/>
              </w:rPr>
            </w:pPr>
            <w:r w:rsidRPr="00FB0075">
              <w:rPr>
                <w:sz w:val="20"/>
                <w:szCs w:val="20"/>
              </w:rPr>
              <w:t>Y6</w:t>
            </w:r>
          </w:p>
        </w:tc>
        <w:tc>
          <w:tcPr>
            <w:tcW w:w="427" w:type="pct"/>
            <w:hideMark/>
          </w:tcPr>
          <w:p w14:paraId="52615875" w14:textId="77777777" w:rsidR="005C2246" w:rsidRPr="00FB0075" w:rsidRDefault="005C2246" w:rsidP="00DF245A">
            <w:pPr>
              <w:pStyle w:val="NoSpacing"/>
              <w:rPr>
                <w:sz w:val="20"/>
                <w:szCs w:val="20"/>
              </w:rPr>
            </w:pPr>
            <w:r w:rsidRPr="00FB0075">
              <w:rPr>
                <w:sz w:val="20"/>
                <w:szCs w:val="20"/>
              </w:rPr>
              <w:t>NT</w:t>
            </w:r>
          </w:p>
        </w:tc>
        <w:tc>
          <w:tcPr>
            <w:tcW w:w="434" w:type="pct"/>
            <w:hideMark/>
          </w:tcPr>
          <w:p w14:paraId="7B8B650E" w14:textId="77777777" w:rsidR="005C2246" w:rsidRPr="00FB0075" w:rsidRDefault="005C2246" w:rsidP="00DF245A">
            <w:pPr>
              <w:pStyle w:val="NoSpacing"/>
              <w:rPr>
                <w:sz w:val="20"/>
                <w:szCs w:val="20"/>
              </w:rPr>
            </w:pPr>
            <w:r w:rsidRPr="00FB0075">
              <w:rPr>
                <w:sz w:val="20"/>
                <w:szCs w:val="20"/>
              </w:rPr>
              <w:t>1.000</w:t>
            </w:r>
          </w:p>
        </w:tc>
        <w:tc>
          <w:tcPr>
            <w:tcW w:w="391" w:type="pct"/>
            <w:hideMark/>
          </w:tcPr>
          <w:p w14:paraId="2DB0C126" w14:textId="77777777" w:rsidR="005C2246" w:rsidRPr="00FB0075" w:rsidRDefault="005C2246" w:rsidP="00DF245A">
            <w:pPr>
              <w:pStyle w:val="NoSpacing"/>
              <w:rPr>
                <w:sz w:val="20"/>
                <w:szCs w:val="20"/>
              </w:rPr>
            </w:pPr>
            <w:r w:rsidRPr="00FB0075">
              <w:rPr>
                <w:sz w:val="20"/>
                <w:szCs w:val="20"/>
              </w:rPr>
              <w:t>ON6</w:t>
            </w:r>
          </w:p>
        </w:tc>
        <w:tc>
          <w:tcPr>
            <w:tcW w:w="491" w:type="pct"/>
            <w:hideMark/>
          </w:tcPr>
          <w:p w14:paraId="70EE9A68" w14:textId="77777777" w:rsidR="005C2246" w:rsidRPr="00FB0075" w:rsidRDefault="005C2246" w:rsidP="00DF245A">
            <w:pPr>
              <w:pStyle w:val="NoSpacing"/>
              <w:rPr>
                <w:sz w:val="20"/>
                <w:szCs w:val="20"/>
              </w:rPr>
            </w:pPr>
            <w:r w:rsidRPr="00FB0075">
              <w:rPr>
                <w:sz w:val="20"/>
                <w:szCs w:val="20"/>
              </w:rPr>
              <w:t>NT</w:t>
            </w:r>
          </w:p>
        </w:tc>
        <w:tc>
          <w:tcPr>
            <w:tcW w:w="363" w:type="pct"/>
            <w:hideMark/>
          </w:tcPr>
          <w:p w14:paraId="0CA66C30" w14:textId="77777777" w:rsidR="005C2246" w:rsidRPr="00FB0075" w:rsidRDefault="005C2246" w:rsidP="00DF245A">
            <w:pPr>
              <w:pStyle w:val="NoSpacing"/>
              <w:rPr>
                <w:sz w:val="20"/>
                <w:szCs w:val="20"/>
              </w:rPr>
            </w:pPr>
            <w:r w:rsidRPr="00FB0075">
              <w:rPr>
                <w:sz w:val="20"/>
                <w:szCs w:val="20"/>
              </w:rPr>
              <w:t>1.000</w:t>
            </w:r>
          </w:p>
        </w:tc>
        <w:tc>
          <w:tcPr>
            <w:tcW w:w="397" w:type="pct"/>
            <w:hideMark/>
          </w:tcPr>
          <w:p w14:paraId="67913032" w14:textId="77777777" w:rsidR="005C2246" w:rsidRPr="00FB0075" w:rsidRDefault="005C2246" w:rsidP="00DF245A">
            <w:pPr>
              <w:pStyle w:val="NoSpacing"/>
              <w:rPr>
                <w:sz w:val="20"/>
                <w:szCs w:val="20"/>
              </w:rPr>
            </w:pPr>
            <w:r w:rsidRPr="00FB0075">
              <w:rPr>
                <w:sz w:val="20"/>
                <w:szCs w:val="20"/>
              </w:rPr>
              <w:t>OF6</w:t>
            </w:r>
          </w:p>
        </w:tc>
        <w:tc>
          <w:tcPr>
            <w:tcW w:w="447" w:type="pct"/>
            <w:hideMark/>
          </w:tcPr>
          <w:p w14:paraId="47F2E84C" w14:textId="77777777" w:rsidR="005C2246" w:rsidRPr="00FB0075" w:rsidRDefault="005C2246" w:rsidP="00DF245A">
            <w:pPr>
              <w:pStyle w:val="NoSpacing"/>
              <w:rPr>
                <w:sz w:val="20"/>
                <w:szCs w:val="20"/>
              </w:rPr>
            </w:pPr>
            <w:r w:rsidRPr="00FB0075">
              <w:rPr>
                <w:sz w:val="20"/>
                <w:szCs w:val="20"/>
              </w:rPr>
              <w:t>NT</w:t>
            </w:r>
          </w:p>
        </w:tc>
        <w:tc>
          <w:tcPr>
            <w:tcW w:w="381" w:type="pct"/>
            <w:hideMark/>
          </w:tcPr>
          <w:p w14:paraId="4CC6884C" w14:textId="77777777" w:rsidR="005C2246" w:rsidRPr="00FB0075" w:rsidRDefault="005C2246" w:rsidP="00DF245A">
            <w:pPr>
              <w:pStyle w:val="NoSpacing"/>
              <w:rPr>
                <w:sz w:val="20"/>
                <w:szCs w:val="20"/>
              </w:rPr>
            </w:pPr>
            <w:r w:rsidRPr="00FB0075">
              <w:rPr>
                <w:sz w:val="20"/>
                <w:szCs w:val="20"/>
              </w:rPr>
              <w:t>0.834</w:t>
            </w:r>
          </w:p>
        </w:tc>
        <w:tc>
          <w:tcPr>
            <w:tcW w:w="423" w:type="pct"/>
            <w:hideMark/>
          </w:tcPr>
          <w:p w14:paraId="77679988" w14:textId="77777777" w:rsidR="005C2246" w:rsidRPr="00FB0075" w:rsidRDefault="005C2246" w:rsidP="00DF245A">
            <w:pPr>
              <w:pStyle w:val="NoSpacing"/>
              <w:rPr>
                <w:sz w:val="20"/>
                <w:szCs w:val="20"/>
              </w:rPr>
            </w:pPr>
          </w:p>
        </w:tc>
        <w:tc>
          <w:tcPr>
            <w:tcW w:w="402" w:type="pct"/>
            <w:hideMark/>
          </w:tcPr>
          <w:p w14:paraId="5C79F303" w14:textId="77777777" w:rsidR="005C2246" w:rsidRPr="00FB0075" w:rsidRDefault="005C2246" w:rsidP="00DF245A">
            <w:pPr>
              <w:pStyle w:val="NoSpacing"/>
              <w:rPr>
                <w:sz w:val="20"/>
                <w:szCs w:val="20"/>
              </w:rPr>
            </w:pPr>
          </w:p>
        </w:tc>
        <w:tc>
          <w:tcPr>
            <w:tcW w:w="400" w:type="pct"/>
            <w:hideMark/>
          </w:tcPr>
          <w:p w14:paraId="4D6C96A0" w14:textId="77777777" w:rsidR="005C2246" w:rsidRPr="00FB0075" w:rsidRDefault="005C2246" w:rsidP="00DF245A">
            <w:pPr>
              <w:pStyle w:val="NoSpacing"/>
              <w:rPr>
                <w:sz w:val="20"/>
                <w:szCs w:val="20"/>
              </w:rPr>
            </w:pPr>
          </w:p>
        </w:tc>
      </w:tr>
      <w:tr w:rsidR="006F5636" w:rsidRPr="00FB0075" w14:paraId="28B0F536" w14:textId="77777777" w:rsidTr="006F5636">
        <w:tc>
          <w:tcPr>
            <w:tcW w:w="444" w:type="pct"/>
            <w:hideMark/>
          </w:tcPr>
          <w:p w14:paraId="4FC44CCE" w14:textId="77777777" w:rsidR="005C2246" w:rsidRPr="00FB0075" w:rsidRDefault="005C2246" w:rsidP="00DF245A">
            <w:pPr>
              <w:pStyle w:val="NoSpacing"/>
              <w:rPr>
                <w:sz w:val="20"/>
                <w:szCs w:val="20"/>
              </w:rPr>
            </w:pPr>
            <w:r w:rsidRPr="00FB0075">
              <w:rPr>
                <w:sz w:val="20"/>
                <w:szCs w:val="20"/>
              </w:rPr>
              <w:t>Y7</w:t>
            </w:r>
          </w:p>
        </w:tc>
        <w:tc>
          <w:tcPr>
            <w:tcW w:w="427" w:type="pct"/>
            <w:hideMark/>
          </w:tcPr>
          <w:p w14:paraId="38C3568D" w14:textId="77777777" w:rsidR="005C2246" w:rsidRPr="00FB0075" w:rsidRDefault="005C2246" w:rsidP="00DF245A">
            <w:pPr>
              <w:pStyle w:val="NoSpacing"/>
              <w:rPr>
                <w:sz w:val="20"/>
                <w:szCs w:val="20"/>
              </w:rPr>
            </w:pPr>
            <w:r w:rsidRPr="00FB0075">
              <w:rPr>
                <w:sz w:val="20"/>
                <w:szCs w:val="20"/>
              </w:rPr>
              <w:t>NT</w:t>
            </w:r>
          </w:p>
        </w:tc>
        <w:tc>
          <w:tcPr>
            <w:tcW w:w="434" w:type="pct"/>
            <w:hideMark/>
          </w:tcPr>
          <w:p w14:paraId="38DC1F4A" w14:textId="77777777" w:rsidR="005C2246" w:rsidRPr="00FB0075" w:rsidRDefault="005C2246" w:rsidP="00DF245A">
            <w:pPr>
              <w:pStyle w:val="NoSpacing"/>
              <w:rPr>
                <w:sz w:val="20"/>
                <w:szCs w:val="20"/>
              </w:rPr>
            </w:pPr>
            <w:r w:rsidRPr="00FB0075">
              <w:rPr>
                <w:sz w:val="20"/>
                <w:szCs w:val="20"/>
              </w:rPr>
              <w:t>1.000</w:t>
            </w:r>
          </w:p>
        </w:tc>
        <w:tc>
          <w:tcPr>
            <w:tcW w:w="391" w:type="pct"/>
            <w:hideMark/>
          </w:tcPr>
          <w:p w14:paraId="6FA918F8" w14:textId="77777777" w:rsidR="005C2246" w:rsidRPr="00FB0075" w:rsidRDefault="005C2246" w:rsidP="00DF245A">
            <w:pPr>
              <w:pStyle w:val="NoSpacing"/>
              <w:rPr>
                <w:sz w:val="20"/>
                <w:szCs w:val="20"/>
              </w:rPr>
            </w:pPr>
            <w:r w:rsidRPr="00FB0075">
              <w:rPr>
                <w:sz w:val="20"/>
                <w:szCs w:val="20"/>
              </w:rPr>
              <w:t>ON7</w:t>
            </w:r>
          </w:p>
        </w:tc>
        <w:tc>
          <w:tcPr>
            <w:tcW w:w="491" w:type="pct"/>
            <w:hideMark/>
          </w:tcPr>
          <w:p w14:paraId="452FE00C" w14:textId="77777777" w:rsidR="005C2246" w:rsidRPr="00FB0075" w:rsidRDefault="005C2246" w:rsidP="00DF245A">
            <w:pPr>
              <w:pStyle w:val="NoSpacing"/>
              <w:rPr>
                <w:sz w:val="20"/>
                <w:szCs w:val="20"/>
              </w:rPr>
            </w:pPr>
            <w:r w:rsidRPr="00FB0075">
              <w:rPr>
                <w:sz w:val="20"/>
                <w:szCs w:val="20"/>
              </w:rPr>
              <w:t>NT</w:t>
            </w:r>
          </w:p>
        </w:tc>
        <w:tc>
          <w:tcPr>
            <w:tcW w:w="363" w:type="pct"/>
            <w:hideMark/>
          </w:tcPr>
          <w:p w14:paraId="58B3133C" w14:textId="77777777" w:rsidR="005C2246" w:rsidRPr="00FB0075" w:rsidRDefault="005C2246" w:rsidP="00DF245A">
            <w:pPr>
              <w:pStyle w:val="NoSpacing"/>
              <w:rPr>
                <w:sz w:val="20"/>
                <w:szCs w:val="20"/>
              </w:rPr>
            </w:pPr>
            <w:r w:rsidRPr="00FB0075">
              <w:rPr>
                <w:sz w:val="20"/>
                <w:szCs w:val="20"/>
              </w:rPr>
              <w:t>1.000</w:t>
            </w:r>
          </w:p>
        </w:tc>
        <w:tc>
          <w:tcPr>
            <w:tcW w:w="397" w:type="pct"/>
            <w:hideMark/>
          </w:tcPr>
          <w:p w14:paraId="68F5CDB2" w14:textId="77777777" w:rsidR="005C2246" w:rsidRPr="00FB0075" w:rsidRDefault="005C2246" w:rsidP="00DF245A">
            <w:pPr>
              <w:pStyle w:val="NoSpacing"/>
              <w:rPr>
                <w:sz w:val="20"/>
                <w:szCs w:val="20"/>
              </w:rPr>
            </w:pPr>
            <w:r w:rsidRPr="00FB0075">
              <w:rPr>
                <w:sz w:val="20"/>
                <w:szCs w:val="20"/>
              </w:rPr>
              <w:t>OF7</w:t>
            </w:r>
          </w:p>
        </w:tc>
        <w:tc>
          <w:tcPr>
            <w:tcW w:w="447" w:type="pct"/>
            <w:hideMark/>
          </w:tcPr>
          <w:p w14:paraId="38E10AE5" w14:textId="77777777" w:rsidR="005C2246" w:rsidRPr="00FB0075" w:rsidRDefault="005C2246" w:rsidP="00DF245A">
            <w:pPr>
              <w:pStyle w:val="NoSpacing"/>
              <w:rPr>
                <w:sz w:val="20"/>
                <w:szCs w:val="20"/>
              </w:rPr>
            </w:pPr>
            <w:r w:rsidRPr="00FB0075">
              <w:rPr>
                <w:sz w:val="20"/>
                <w:szCs w:val="20"/>
              </w:rPr>
              <w:t>T</w:t>
            </w:r>
          </w:p>
        </w:tc>
        <w:tc>
          <w:tcPr>
            <w:tcW w:w="381" w:type="pct"/>
            <w:hideMark/>
          </w:tcPr>
          <w:p w14:paraId="2C6BB5E1" w14:textId="77777777" w:rsidR="005C2246" w:rsidRPr="00FB0075" w:rsidRDefault="005C2246" w:rsidP="00DF245A">
            <w:pPr>
              <w:pStyle w:val="NoSpacing"/>
              <w:rPr>
                <w:sz w:val="20"/>
                <w:szCs w:val="20"/>
              </w:rPr>
            </w:pPr>
            <w:r w:rsidRPr="00FB0075">
              <w:rPr>
                <w:sz w:val="20"/>
                <w:szCs w:val="20"/>
              </w:rPr>
              <w:t>0.400</w:t>
            </w:r>
          </w:p>
        </w:tc>
        <w:tc>
          <w:tcPr>
            <w:tcW w:w="423" w:type="pct"/>
            <w:hideMark/>
          </w:tcPr>
          <w:p w14:paraId="3B2D458A" w14:textId="77777777" w:rsidR="005C2246" w:rsidRPr="00FB0075" w:rsidRDefault="005C2246" w:rsidP="00DF245A">
            <w:pPr>
              <w:pStyle w:val="NoSpacing"/>
              <w:rPr>
                <w:sz w:val="20"/>
                <w:szCs w:val="20"/>
              </w:rPr>
            </w:pPr>
          </w:p>
        </w:tc>
        <w:tc>
          <w:tcPr>
            <w:tcW w:w="402" w:type="pct"/>
            <w:hideMark/>
          </w:tcPr>
          <w:p w14:paraId="52D19FF0" w14:textId="77777777" w:rsidR="005C2246" w:rsidRPr="00FB0075" w:rsidRDefault="005C2246" w:rsidP="00DF245A">
            <w:pPr>
              <w:pStyle w:val="NoSpacing"/>
              <w:rPr>
                <w:sz w:val="20"/>
                <w:szCs w:val="20"/>
              </w:rPr>
            </w:pPr>
          </w:p>
        </w:tc>
        <w:tc>
          <w:tcPr>
            <w:tcW w:w="400" w:type="pct"/>
            <w:hideMark/>
          </w:tcPr>
          <w:p w14:paraId="4EF1AE1A" w14:textId="77777777" w:rsidR="005C2246" w:rsidRPr="00FB0075" w:rsidRDefault="005C2246" w:rsidP="00DF245A">
            <w:pPr>
              <w:pStyle w:val="NoSpacing"/>
              <w:rPr>
                <w:sz w:val="20"/>
                <w:szCs w:val="20"/>
              </w:rPr>
            </w:pPr>
          </w:p>
        </w:tc>
      </w:tr>
      <w:tr w:rsidR="006F5636" w:rsidRPr="00FB0075" w14:paraId="784055A7" w14:textId="77777777" w:rsidTr="006F5636">
        <w:tc>
          <w:tcPr>
            <w:tcW w:w="444" w:type="pct"/>
            <w:hideMark/>
          </w:tcPr>
          <w:p w14:paraId="27BBE353" w14:textId="77777777" w:rsidR="005C2246" w:rsidRPr="00FB0075" w:rsidRDefault="005C2246" w:rsidP="00DF245A">
            <w:pPr>
              <w:pStyle w:val="NoSpacing"/>
              <w:rPr>
                <w:sz w:val="20"/>
                <w:szCs w:val="20"/>
              </w:rPr>
            </w:pPr>
            <w:r w:rsidRPr="00FB0075">
              <w:rPr>
                <w:sz w:val="20"/>
                <w:szCs w:val="20"/>
              </w:rPr>
              <w:t>Y8</w:t>
            </w:r>
          </w:p>
        </w:tc>
        <w:tc>
          <w:tcPr>
            <w:tcW w:w="427" w:type="pct"/>
            <w:hideMark/>
          </w:tcPr>
          <w:p w14:paraId="6E0C9E4C" w14:textId="77777777" w:rsidR="005C2246" w:rsidRPr="00FB0075" w:rsidRDefault="005C2246" w:rsidP="00DF245A">
            <w:pPr>
              <w:pStyle w:val="NoSpacing"/>
              <w:rPr>
                <w:sz w:val="20"/>
                <w:szCs w:val="20"/>
              </w:rPr>
            </w:pPr>
            <w:r w:rsidRPr="00FB0075">
              <w:rPr>
                <w:sz w:val="20"/>
                <w:szCs w:val="20"/>
              </w:rPr>
              <w:t>NT</w:t>
            </w:r>
          </w:p>
        </w:tc>
        <w:tc>
          <w:tcPr>
            <w:tcW w:w="434" w:type="pct"/>
            <w:hideMark/>
          </w:tcPr>
          <w:p w14:paraId="7521BDD2" w14:textId="77777777" w:rsidR="005C2246" w:rsidRPr="00FB0075" w:rsidRDefault="005C2246" w:rsidP="00DF245A">
            <w:pPr>
              <w:pStyle w:val="NoSpacing"/>
              <w:rPr>
                <w:sz w:val="20"/>
                <w:szCs w:val="20"/>
              </w:rPr>
            </w:pPr>
            <w:r w:rsidRPr="00FB0075">
              <w:rPr>
                <w:sz w:val="20"/>
                <w:szCs w:val="20"/>
              </w:rPr>
              <w:t>1.000</w:t>
            </w:r>
          </w:p>
        </w:tc>
        <w:tc>
          <w:tcPr>
            <w:tcW w:w="391" w:type="pct"/>
            <w:hideMark/>
          </w:tcPr>
          <w:p w14:paraId="2A7C1701" w14:textId="77777777" w:rsidR="005C2246" w:rsidRPr="00FB0075" w:rsidRDefault="005C2246" w:rsidP="00DF245A">
            <w:pPr>
              <w:pStyle w:val="NoSpacing"/>
              <w:rPr>
                <w:sz w:val="20"/>
                <w:szCs w:val="20"/>
              </w:rPr>
            </w:pPr>
            <w:r w:rsidRPr="00FB0075">
              <w:rPr>
                <w:sz w:val="20"/>
                <w:szCs w:val="20"/>
              </w:rPr>
              <w:t>ON8</w:t>
            </w:r>
          </w:p>
        </w:tc>
        <w:tc>
          <w:tcPr>
            <w:tcW w:w="491" w:type="pct"/>
            <w:hideMark/>
          </w:tcPr>
          <w:p w14:paraId="758B429F" w14:textId="77777777" w:rsidR="005C2246" w:rsidRPr="00FB0075" w:rsidRDefault="005C2246" w:rsidP="00DF245A">
            <w:pPr>
              <w:pStyle w:val="NoSpacing"/>
              <w:rPr>
                <w:sz w:val="20"/>
                <w:szCs w:val="20"/>
              </w:rPr>
            </w:pPr>
            <w:r w:rsidRPr="00FB0075">
              <w:rPr>
                <w:sz w:val="20"/>
                <w:szCs w:val="20"/>
              </w:rPr>
              <w:t>NT</w:t>
            </w:r>
          </w:p>
        </w:tc>
        <w:tc>
          <w:tcPr>
            <w:tcW w:w="363" w:type="pct"/>
            <w:hideMark/>
          </w:tcPr>
          <w:p w14:paraId="7A87D5FA" w14:textId="77777777" w:rsidR="005C2246" w:rsidRPr="00FB0075" w:rsidRDefault="005C2246" w:rsidP="00DF245A">
            <w:pPr>
              <w:pStyle w:val="NoSpacing"/>
              <w:rPr>
                <w:sz w:val="20"/>
                <w:szCs w:val="20"/>
              </w:rPr>
            </w:pPr>
            <w:r w:rsidRPr="00FB0075">
              <w:rPr>
                <w:sz w:val="20"/>
                <w:szCs w:val="20"/>
              </w:rPr>
              <w:t>0.988</w:t>
            </w:r>
          </w:p>
        </w:tc>
        <w:tc>
          <w:tcPr>
            <w:tcW w:w="397" w:type="pct"/>
            <w:hideMark/>
          </w:tcPr>
          <w:p w14:paraId="4828E0B7" w14:textId="77777777" w:rsidR="005C2246" w:rsidRPr="00FB0075" w:rsidRDefault="005C2246" w:rsidP="00DF245A">
            <w:pPr>
              <w:pStyle w:val="NoSpacing"/>
              <w:rPr>
                <w:sz w:val="20"/>
                <w:szCs w:val="20"/>
              </w:rPr>
            </w:pPr>
            <w:r w:rsidRPr="00FB0075">
              <w:rPr>
                <w:sz w:val="20"/>
                <w:szCs w:val="20"/>
              </w:rPr>
              <w:t>OF8</w:t>
            </w:r>
          </w:p>
        </w:tc>
        <w:tc>
          <w:tcPr>
            <w:tcW w:w="447" w:type="pct"/>
            <w:hideMark/>
          </w:tcPr>
          <w:p w14:paraId="6341A0EC" w14:textId="77777777" w:rsidR="005C2246" w:rsidRPr="00FB0075" w:rsidRDefault="005C2246" w:rsidP="00DF245A">
            <w:pPr>
              <w:pStyle w:val="NoSpacing"/>
              <w:rPr>
                <w:sz w:val="20"/>
                <w:szCs w:val="20"/>
              </w:rPr>
            </w:pPr>
            <w:r w:rsidRPr="00FB0075">
              <w:rPr>
                <w:sz w:val="20"/>
                <w:szCs w:val="20"/>
              </w:rPr>
              <w:t>T</w:t>
            </w:r>
          </w:p>
        </w:tc>
        <w:tc>
          <w:tcPr>
            <w:tcW w:w="381" w:type="pct"/>
            <w:hideMark/>
          </w:tcPr>
          <w:p w14:paraId="67C772C5" w14:textId="77777777" w:rsidR="005C2246" w:rsidRPr="00FB0075" w:rsidRDefault="005C2246" w:rsidP="00DF245A">
            <w:pPr>
              <w:pStyle w:val="NoSpacing"/>
              <w:rPr>
                <w:sz w:val="20"/>
                <w:szCs w:val="20"/>
              </w:rPr>
            </w:pPr>
            <w:r w:rsidRPr="00FB0075">
              <w:rPr>
                <w:sz w:val="20"/>
                <w:szCs w:val="20"/>
              </w:rPr>
              <w:t>0.228</w:t>
            </w:r>
          </w:p>
        </w:tc>
        <w:tc>
          <w:tcPr>
            <w:tcW w:w="423" w:type="pct"/>
            <w:hideMark/>
          </w:tcPr>
          <w:p w14:paraId="698AE520" w14:textId="77777777" w:rsidR="005C2246" w:rsidRPr="00FB0075" w:rsidRDefault="005C2246" w:rsidP="00DF245A">
            <w:pPr>
              <w:pStyle w:val="NoSpacing"/>
              <w:rPr>
                <w:sz w:val="20"/>
                <w:szCs w:val="20"/>
              </w:rPr>
            </w:pPr>
          </w:p>
        </w:tc>
        <w:tc>
          <w:tcPr>
            <w:tcW w:w="402" w:type="pct"/>
            <w:hideMark/>
          </w:tcPr>
          <w:p w14:paraId="1084FC9B" w14:textId="77777777" w:rsidR="005C2246" w:rsidRPr="00FB0075" w:rsidRDefault="005C2246" w:rsidP="00DF245A">
            <w:pPr>
              <w:pStyle w:val="NoSpacing"/>
              <w:rPr>
                <w:sz w:val="20"/>
                <w:szCs w:val="20"/>
              </w:rPr>
            </w:pPr>
          </w:p>
        </w:tc>
        <w:tc>
          <w:tcPr>
            <w:tcW w:w="400" w:type="pct"/>
            <w:hideMark/>
          </w:tcPr>
          <w:p w14:paraId="58DB8313" w14:textId="77777777" w:rsidR="005C2246" w:rsidRPr="00FB0075" w:rsidRDefault="005C2246" w:rsidP="00DF245A">
            <w:pPr>
              <w:pStyle w:val="NoSpacing"/>
              <w:rPr>
                <w:sz w:val="20"/>
                <w:szCs w:val="20"/>
              </w:rPr>
            </w:pPr>
          </w:p>
        </w:tc>
      </w:tr>
      <w:tr w:rsidR="006F5636" w:rsidRPr="00FB0075" w14:paraId="7623F5E9" w14:textId="77777777" w:rsidTr="006F5636">
        <w:tc>
          <w:tcPr>
            <w:tcW w:w="444" w:type="pct"/>
            <w:hideMark/>
          </w:tcPr>
          <w:p w14:paraId="5722DB22" w14:textId="77777777" w:rsidR="005C2246" w:rsidRPr="00FB0075" w:rsidRDefault="005C2246" w:rsidP="00DF245A">
            <w:pPr>
              <w:pStyle w:val="NoSpacing"/>
              <w:rPr>
                <w:sz w:val="20"/>
                <w:szCs w:val="20"/>
              </w:rPr>
            </w:pPr>
            <w:r w:rsidRPr="00FB0075">
              <w:rPr>
                <w:sz w:val="20"/>
                <w:szCs w:val="20"/>
              </w:rPr>
              <w:t>Y9</w:t>
            </w:r>
          </w:p>
        </w:tc>
        <w:tc>
          <w:tcPr>
            <w:tcW w:w="427" w:type="pct"/>
            <w:hideMark/>
          </w:tcPr>
          <w:p w14:paraId="6F3D7DBE" w14:textId="77777777" w:rsidR="005C2246" w:rsidRPr="00FB0075" w:rsidRDefault="005C2246" w:rsidP="00DF245A">
            <w:pPr>
              <w:pStyle w:val="NoSpacing"/>
              <w:rPr>
                <w:sz w:val="20"/>
                <w:szCs w:val="20"/>
              </w:rPr>
            </w:pPr>
            <w:r w:rsidRPr="00FB0075">
              <w:rPr>
                <w:sz w:val="20"/>
                <w:szCs w:val="20"/>
              </w:rPr>
              <w:t>NT</w:t>
            </w:r>
          </w:p>
        </w:tc>
        <w:tc>
          <w:tcPr>
            <w:tcW w:w="434" w:type="pct"/>
            <w:hideMark/>
          </w:tcPr>
          <w:p w14:paraId="250DCC6C" w14:textId="77777777" w:rsidR="005C2246" w:rsidRPr="00FB0075" w:rsidRDefault="005C2246" w:rsidP="00DF245A">
            <w:pPr>
              <w:pStyle w:val="NoSpacing"/>
              <w:rPr>
                <w:sz w:val="20"/>
                <w:szCs w:val="20"/>
              </w:rPr>
            </w:pPr>
            <w:r w:rsidRPr="00FB0075">
              <w:rPr>
                <w:sz w:val="20"/>
                <w:szCs w:val="20"/>
              </w:rPr>
              <w:t>1.000</w:t>
            </w:r>
          </w:p>
        </w:tc>
        <w:tc>
          <w:tcPr>
            <w:tcW w:w="391" w:type="pct"/>
            <w:hideMark/>
          </w:tcPr>
          <w:p w14:paraId="1D682261" w14:textId="77777777" w:rsidR="005C2246" w:rsidRPr="00FB0075" w:rsidRDefault="005C2246" w:rsidP="00DF245A">
            <w:pPr>
              <w:pStyle w:val="NoSpacing"/>
              <w:rPr>
                <w:sz w:val="20"/>
                <w:szCs w:val="20"/>
              </w:rPr>
            </w:pPr>
            <w:r w:rsidRPr="00FB0075">
              <w:rPr>
                <w:sz w:val="20"/>
                <w:szCs w:val="20"/>
              </w:rPr>
              <w:t>ON9</w:t>
            </w:r>
          </w:p>
        </w:tc>
        <w:tc>
          <w:tcPr>
            <w:tcW w:w="491" w:type="pct"/>
            <w:hideMark/>
          </w:tcPr>
          <w:p w14:paraId="3EFBA03B" w14:textId="77777777" w:rsidR="005C2246" w:rsidRPr="00FB0075" w:rsidRDefault="005C2246" w:rsidP="00DF245A">
            <w:pPr>
              <w:pStyle w:val="NoSpacing"/>
              <w:rPr>
                <w:sz w:val="20"/>
                <w:szCs w:val="20"/>
              </w:rPr>
            </w:pPr>
            <w:r w:rsidRPr="00FB0075">
              <w:rPr>
                <w:sz w:val="20"/>
                <w:szCs w:val="20"/>
              </w:rPr>
              <w:t>NT</w:t>
            </w:r>
          </w:p>
        </w:tc>
        <w:tc>
          <w:tcPr>
            <w:tcW w:w="363" w:type="pct"/>
            <w:hideMark/>
          </w:tcPr>
          <w:p w14:paraId="563ECBBA" w14:textId="77777777" w:rsidR="005C2246" w:rsidRPr="00FB0075" w:rsidRDefault="005C2246" w:rsidP="00DF245A">
            <w:pPr>
              <w:pStyle w:val="NoSpacing"/>
              <w:rPr>
                <w:sz w:val="20"/>
                <w:szCs w:val="20"/>
              </w:rPr>
            </w:pPr>
            <w:r w:rsidRPr="00FB0075">
              <w:rPr>
                <w:sz w:val="20"/>
                <w:szCs w:val="20"/>
              </w:rPr>
              <w:t>0.978</w:t>
            </w:r>
          </w:p>
        </w:tc>
        <w:tc>
          <w:tcPr>
            <w:tcW w:w="397" w:type="pct"/>
            <w:hideMark/>
          </w:tcPr>
          <w:p w14:paraId="421A85AC" w14:textId="77777777" w:rsidR="005C2246" w:rsidRPr="00FB0075" w:rsidRDefault="005C2246" w:rsidP="00DF245A">
            <w:pPr>
              <w:pStyle w:val="NoSpacing"/>
              <w:rPr>
                <w:sz w:val="20"/>
                <w:szCs w:val="20"/>
              </w:rPr>
            </w:pPr>
            <w:r w:rsidRPr="00FB0075">
              <w:rPr>
                <w:sz w:val="20"/>
                <w:szCs w:val="20"/>
              </w:rPr>
              <w:t>OF9</w:t>
            </w:r>
          </w:p>
        </w:tc>
        <w:tc>
          <w:tcPr>
            <w:tcW w:w="447" w:type="pct"/>
            <w:hideMark/>
          </w:tcPr>
          <w:p w14:paraId="0E86EEEE" w14:textId="77777777" w:rsidR="005C2246" w:rsidRPr="00FB0075" w:rsidRDefault="005C2246" w:rsidP="00DF245A">
            <w:pPr>
              <w:pStyle w:val="NoSpacing"/>
              <w:rPr>
                <w:sz w:val="20"/>
                <w:szCs w:val="20"/>
              </w:rPr>
            </w:pPr>
            <w:r w:rsidRPr="00FB0075">
              <w:rPr>
                <w:sz w:val="20"/>
                <w:szCs w:val="20"/>
              </w:rPr>
              <w:t>T</w:t>
            </w:r>
          </w:p>
        </w:tc>
        <w:tc>
          <w:tcPr>
            <w:tcW w:w="381" w:type="pct"/>
            <w:hideMark/>
          </w:tcPr>
          <w:p w14:paraId="6988D2F6" w14:textId="77777777" w:rsidR="005C2246" w:rsidRPr="00FB0075" w:rsidRDefault="005C2246" w:rsidP="00DF245A">
            <w:pPr>
              <w:pStyle w:val="NoSpacing"/>
              <w:rPr>
                <w:sz w:val="20"/>
                <w:szCs w:val="20"/>
              </w:rPr>
            </w:pPr>
            <w:r w:rsidRPr="00FB0075">
              <w:rPr>
                <w:sz w:val="20"/>
                <w:szCs w:val="20"/>
              </w:rPr>
              <w:t>0.000</w:t>
            </w:r>
          </w:p>
        </w:tc>
        <w:tc>
          <w:tcPr>
            <w:tcW w:w="423" w:type="pct"/>
            <w:hideMark/>
          </w:tcPr>
          <w:p w14:paraId="4112118A" w14:textId="77777777" w:rsidR="005C2246" w:rsidRPr="00FB0075" w:rsidRDefault="005C2246" w:rsidP="00DF245A">
            <w:pPr>
              <w:pStyle w:val="NoSpacing"/>
              <w:rPr>
                <w:sz w:val="20"/>
                <w:szCs w:val="20"/>
              </w:rPr>
            </w:pPr>
          </w:p>
        </w:tc>
        <w:tc>
          <w:tcPr>
            <w:tcW w:w="402" w:type="pct"/>
            <w:hideMark/>
          </w:tcPr>
          <w:p w14:paraId="6D37C3BB" w14:textId="77777777" w:rsidR="005C2246" w:rsidRPr="00FB0075" w:rsidRDefault="005C2246" w:rsidP="00DF245A">
            <w:pPr>
              <w:pStyle w:val="NoSpacing"/>
              <w:rPr>
                <w:sz w:val="20"/>
                <w:szCs w:val="20"/>
              </w:rPr>
            </w:pPr>
          </w:p>
        </w:tc>
        <w:tc>
          <w:tcPr>
            <w:tcW w:w="400" w:type="pct"/>
            <w:hideMark/>
          </w:tcPr>
          <w:p w14:paraId="0F5CCCA8" w14:textId="77777777" w:rsidR="005C2246" w:rsidRPr="00FB0075" w:rsidRDefault="005C2246" w:rsidP="00DF245A">
            <w:pPr>
              <w:pStyle w:val="NoSpacing"/>
              <w:rPr>
                <w:sz w:val="20"/>
                <w:szCs w:val="20"/>
              </w:rPr>
            </w:pPr>
          </w:p>
        </w:tc>
      </w:tr>
      <w:tr w:rsidR="006F5636" w:rsidRPr="00FB0075" w14:paraId="2A6AAC67" w14:textId="77777777" w:rsidTr="006F5636">
        <w:tc>
          <w:tcPr>
            <w:tcW w:w="444" w:type="pct"/>
            <w:hideMark/>
          </w:tcPr>
          <w:p w14:paraId="5C9DE447" w14:textId="77777777" w:rsidR="005C2246" w:rsidRPr="00FB0075" w:rsidRDefault="005C2246" w:rsidP="00DF245A">
            <w:pPr>
              <w:pStyle w:val="NoSpacing"/>
              <w:rPr>
                <w:sz w:val="20"/>
                <w:szCs w:val="20"/>
              </w:rPr>
            </w:pPr>
            <w:r w:rsidRPr="00FB0075">
              <w:rPr>
                <w:sz w:val="20"/>
                <w:szCs w:val="20"/>
              </w:rPr>
              <w:t>Y10</w:t>
            </w:r>
          </w:p>
        </w:tc>
        <w:tc>
          <w:tcPr>
            <w:tcW w:w="427" w:type="pct"/>
            <w:hideMark/>
          </w:tcPr>
          <w:p w14:paraId="304B62B8" w14:textId="77777777" w:rsidR="005C2246" w:rsidRPr="00FB0075" w:rsidRDefault="005C2246" w:rsidP="00DF245A">
            <w:pPr>
              <w:pStyle w:val="NoSpacing"/>
              <w:rPr>
                <w:sz w:val="20"/>
                <w:szCs w:val="20"/>
              </w:rPr>
            </w:pPr>
            <w:r w:rsidRPr="00FB0075">
              <w:rPr>
                <w:sz w:val="20"/>
                <w:szCs w:val="20"/>
              </w:rPr>
              <w:t>NT</w:t>
            </w:r>
          </w:p>
        </w:tc>
        <w:tc>
          <w:tcPr>
            <w:tcW w:w="434" w:type="pct"/>
            <w:hideMark/>
          </w:tcPr>
          <w:p w14:paraId="5716E809" w14:textId="77777777" w:rsidR="005C2246" w:rsidRPr="00FB0075" w:rsidRDefault="005C2246" w:rsidP="00DF245A">
            <w:pPr>
              <w:pStyle w:val="NoSpacing"/>
              <w:rPr>
                <w:sz w:val="20"/>
                <w:szCs w:val="20"/>
              </w:rPr>
            </w:pPr>
            <w:r w:rsidRPr="00FB0075">
              <w:rPr>
                <w:sz w:val="20"/>
                <w:szCs w:val="20"/>
              </w:rPr>
              <w:t>0.894</w:t>
            </w:r>
          </w:p>
        </w:tc>
        <w:tc>
          <w:tcPr>
            <w:tcW w:w="391" w:type="pct"/>
            <w:hideMark/>
          </w:tcPr>
          <w:p w14:paraId="24D08E24" w14:textId="77777777" w:rsidR="005C2246" w:rsidRPr="00FB0075" w:rsidRDefault="005C2246" w:rsidP="00DF245A">
            <w:pPr>
              <w:pStyle w:val="NoSpacing"/>
              <w:rPr>
                <w:sz w:val="20"/>
                <w:szCs w:val="20"/>
              </w:rPr>
            </w:pPr>
            <w:r w:rsidRPr="00FB0075">
              <w:rPr>
                <w:sz w:val="20"/>
                <w:szCs w:val="20"/>
              </w:rPr>
              <w:t>ON10</w:t>
            </w:r>
          </w:p>
        </w:tc>
        <w:tc>
          <w:tcPr>
            <w:tcW w:w="491" w:type="pct"/>
            <w:hideMark/>
          </w:tcPr>
          <w:p w14:paraId="6FE9D1FE" w14:textId="77777777" w:rsidR="005C2246" w:rsidRPr="00FB0075" w:rsidRDefault="005C2246" w:rsidP="00DF245A">
            <w:pPr>
              <w:pStyle w:val="NoSpacing"/>
              <w:rPr>
                <w:sz w:val="20"/>
                <w:szCs w:val="20"/>
              </w:rPr>
            </w:pPr>
            <w:r w:rsidRPr="00FB0075">
              <w:rPr>
                <w:sz w:val="20"/>
                <w:szCs w:val="20"/>
              </w:rPr>
              <w:t>NT</w:t>
            </w:r>
          </w:p>
        </w:tc>
        <w:tc>
          <w:tcPr>
            <w:tcW w:w="363" w:type="pct"/>
            <w:hideMark/>
          </w:tcPr>
          <w:p w14:paraId="7829F215" w14:textId="77777777" w:rsidR="005C2246" w:rsidRPr="00FB0075" w:rsidRDefault="005C2246" w:rsidP="00DF245A">
            <w:pPr>
              <w:pStyle w:val="NoSpacing"/>
              <w:rPr>
                <w:sz w:val="20"/>
                <w:szCs w:val="20"/>
              </w:rPr>
            </w:pPr>
            <w:r w:rsidRPr="00FB0075">
              <w:rPr>
                <w:sz w:val="20"/>
                <w:szCs w:val="20"/>
              </w:rPr>
              <w:t>0.913</w:t>
            </w:r>
          </w:p>
        </w:tc>
        <w:tc>
          <w:tcPr>
            <w:tcW w:w="397" w:type="pct"/>
            <w:hideMark/>
          </w:tcPr>
          <w:p w14:paraId="7C3916B9" w14:textId="77777777" w:rsidR="005C2246" w:rsidRPr="00FB0075" w:rsidRDefault="005C2246" w:rsidP="00DF245A">
            <w:pPr>
              <w:pStyle w:val="NoSpacing"/>
              <w:rPr>
                <w:sz w:val="20"/>
                <w:szCs w:val="20"/>
              </w:rPr>
            </w:pPr>
            <w:r w:rsidRPr="00FB0075">
              <w:rPr>
                <w:sz w:val="20"/>
                <w:szCs w:val="20"/>
              </w:rPr>
              <w:t>OF10</w:t>
            </w:r>
          </w:p>
        </w:tc>
        <w:tc>
          <w:tcPr>
            <w:tcW w:w="447" w:type="pct"/>
            <w:hideMark/>
          </w:tcPr>
          <w:p w14:paraId="3529A43B" w14:textId="77777777" w:rsidR="005C2246" w:rsidRPr="00FB0075" w:rsidRDefault="005C2246" w:rsidP="00DF245A">
            <w:pPr>
              <w:pStyle w:val="NoSpacing"/>
              <w:rPr>
                <w:sz w:val="20"/>
                <w:szCs w:val="20"/>
              </w:rPr>
            </w:pPr>
            <w:r w:rsidRPr="00FB0075">
              <w:rPr>
                <w:sz w:val="20"/>
                <w:szCs w:val="20"/>
              </w:rPr>
              <w:t>NT</w:t>
            </w:r>
          </w:p>
        </w:tc>
        <w:tc>
          <w:tcPr>
            <w:tcW w:w="381" w:type="pct"/>
            <w:hideMark/>
          </w:tcPr>
          <w:p w14:paraId="198E2A00" w14:textId="77777777" w:rsidR="005C2246" w:rsidRPr="00FB0075" w:rsidRDefault="005C2246" w:rsidP="00DF245A">
            <w:pPr>
              <w:pStyle w:val="NoSpacing"/>
              <w:rPr>
                <w:sz w:val="20"/>
                <w:szCs w:val="20"/>
              </w:rPr>
            </w:pPr>
            <w:r w:rsidRPr="00FB0075">
              <w:rPr>
                <w:sz w:val="20"/>
                <w:szCs w:val="20"/>
              </w:rPr>
              <w:t>0.000</w:t>
            </w:r>
          </w:p>
        </w:tc>
        <w:tc>
          <w:tcPr>
            <w:tcW w:w="423" w:type="pct"/>
            <w:hideMark/>
          </w:tcPr>
          <w:p w14:paraId="7DEE0F2C" w14:textId="77777777" w:rsidR="005C2246" w:rsidRPr="00FB0075" w:rsidRDefault="005C2246" w:rsidP="00DF245A">
            <w:pPr>
              <w:pStyle w:val="NoSpacing"/>
              <w:rPr>
                <w:sz w:val="20"/>
                <w:szCs w:val="20"/>
              </w:rPr>
            </w:pPr>
          </w:p>
        </w:tc>
        <w:tc>
          <w:tcPr>
            <w:tcW w:w="402" w:type="pct"/>
            <w:hideMark/>
          </w:tcPr>
          <w:p w14:paraId="30C90EA2" w14:textId="77777777" w:rsidR="005C2246" w:rsidRPr="00FB0075" w:rsidRDefault="005C2246" w:rsidP="00DF245A">
            <w:pPr>
              <w:pStyle w:val="NoSpacing"/>
              <w:rPr>
                <w:sz w:val="20"/>
                <w:szCs w:val="20"/>
              </w:rPr>
            </w:pPr>
          </w:p>
        </w:tc>
        <w:tc>
          <w:tcPr>
            <w:tcW w:w="400" w:type="pct"/>
            <w:hideMark/>
          </w:tcPr>
          <w:p w14:paraId="2C433C3D" w14:textId="77777777" w:rsidR="005C2246" w:rsidRPr="00FB0075" w:rsidRDefault="005C2246" w:rsidP="00DF245A">
            <w:pPr>
              <w:pStyle w:val="NoSpacing"/>
              <w:rPr>
                <w:sz w:val="20"/>
                <w:szCs w:val="20"/>
              </w:rPr>
            </w:pPr>
          </w:p>
        </w:tc>
      </w:tr>
      <w:tr w:rsidR="00772FEA" w:rsidRPr="00FB0075" w14:paraId="260E76E4" w14:textId="77777777" w:rsidTr="006F5636">
        <w:tc>
          <w:tcPr>
            <w:tcW w:w="444" w:type="pct"/>
            <w:hideMark/>
          </w:tcPr>
          <w:p w14:paraId="5964C6C1" w14:textId="77777777" w:rsidR="00772FEA" w:rsidRPr="00FB0075" w:rsidRDefault="00772FEA" w:rsidP="00DF245A">
            <w:pPr>
              <w:pStyle w:val="NoSpacing"/>
              <w:rPr>
                <w:sz w:val="20"/>
                <w:szCs w:val="20"/>
              </w:rPr>
            </w:pPr>
            <w:r w:rsidRPr="00FB0075">
              <w:rPr>
                <w:sz w:val="20"/>
                <w:szCs w:val="20"/>
              </w:rPr>
              <w:t>Mean (SD)</w:t>
            </w:r>
          </w:p>
        </w:tc>
        <w:tc>
          <w:tcPr>
            <w:tcW w:w="427" w:type="pct"/>
            <w:hideMark/>
          </w:tcPr>
          <w:p w14:paraId="1DDE6F2E" w14:textId="77777777" w:rsidR="00772FEA" w:rsidRPr="00FB0075" w:rsidRDefault="00772FEA" w:rsidP="00DF245A">
            <w:pPr>
              <w:pStyle w:val="NoSpacing"/>
              <w:rPr>
                <w:sz w:val="20"/>
                <w:szCs w:val="20"/>
              </w:rPr>
            </w:pPr>
            <w:r w:rsidRPr="00FB0075">
              <w:rPr>
                <w:sz w:val="20"/>
                <w:szCs w:val="20"/>
              </w:rPr>
              <w:t>0.989 (0.034)</w:t>
            </w:r>
          </w:p>
        </w:tc>
        <w:tc>
          <w:tcPr>
            <w:tcW w:w="434" w:type="pct"/>
          </w:tcPr>
          <w:p w14:paraId="0A29C411" w14:textId="602F9E72" w:rsidR="00772FEA" w:rsidRPr="00FB0075" w:rsidRDefault="00772FEA" w:rsidP="00DF245A">
            <w:pPr>
              <w:pStyle w:val="NoSpacing"/>
              <w:rPr>
                <w:sz w:val="20"/>
                <w:szCs w:val="20"/>
              </w:rPr>
            </w:pPr>
          </w:p>
        </w:tc>
        <w:tc>
          <w:tcPr>
            <w:tcW w:w="391" w:type="pct"/>
            <w:hideMark/>
          </w:tcPr>
          <w:p w14:paraId="7F536D81" w14:textId="77777777" w:rsidR="00772FEA" w:rsidRPr="00FB0075" w:rsidRDefault="00772FEA" w:rsidP="00DF245A">
            <w:pPr>
              <w:pStyle w:val="NoSpacing"/>
              <w:rPr>
                <w:sz w:val="20"/>
                <w:szCs w:val="20"/>
              </w:rPr>
            </w:pPr>
          </w:p>
        </w:tc>
        <w:tc>
          <w:tcPr>
            <w:tcW w:w="491" w:type="pct"/>
            <w:hideMark/>
          </w:tcPr>
          <w:p w14:paraId="54A34A48" w14:textId="77777777" w:rsidR="00772FEA" w:rsidRPr="00FB0075" w:rsidRDefault="00772FEA" w:rsidP="00DF245A">
            <w:pPr>
              <w:pStyle w:val="NoSpacing"/>
              <w:rPr>
                <w:sz w:val="20"/>
                <w:szCs w:val="20"/>
              </w:rPr>
            </w:pPr>
            <w:r w:rsidRPr="00FB0075">
              <w:rPr>
                <w:sz w:val="20"/>
                <w:szCs w:val="20"/>
              </w:rPr>
              <w:t>0.988 (0.028)</w:t>
            </w:r>
          </w:p>
        </w:tc>
        <w:tc>
          <w:tcPr>
            <w:tcW w:w="363" w:type="pct"/>
          </w:tcPr>
          <w:p w14:paraId="3E9CE9F2" w14:textId="112F0A1A" w:rsidR="00772FEA" w:rsidRPr="00FB0075" w:rsidRDefault="00772FEA" w:rsidP="00DF245A">
            <w:pPr>
              <w:pStyle w:val="NoSpacing"/>
              <w:rPr>
                <w:sz w:val="20"/>
                <w:szCs w:val="20"/>
              </w:rPr>
            </w:pPr>
          </w:p>
        </w:tc>
        <w:tc>
          <w:tcPr>
            <w:tcW w:w="397" w:type="pct"/>
            <w:hideMark/>
          </w:tcPr>
          <w:p w14:paraId="24C7BAF6" w14:textId="77777777" w:rsidR="00772FEA" w:rsidRPr="00FB0075" w:rsidRDefault="00772FEA" w:rsidP="00DF245A">
            <w:pPr>
              <w:pStyle w:val="NoSpacing"/>
              <w:rPr>
                <w:sz w:val="20"/>
                <w:szCs w:val="20"/>
              </w:rPr>
            </w:pPr>
          </w:p>
        </w:tc>
        <w:tc>
          <w:tcPr>
            <w:tcW w:w="447" w:type="pct"/>
            <w:hideMark/>
          </w:tcPr>
          <w:p w14:paraId="6C75BDEF" w14:textId="77777777" w:rsidR="00772FEA" w:rsidRPr="00FB0075" w:rsidRDefault="00772FEA" w:rsidP="00DF245A">
            <w:pPr>
              <w:pStyle w:val="NoSpacing"/>
              <w:rPr>
                <w:sz w:val="20"/>
                <w:szCs w:val="20"/>
              </w:rPr>
            </w:pPr>
            <w:r w:rsidRPr="00FB0075">
              <w:rPr>
                <w:sz w:val="20"/>
                <w:szCs w:val="20"/>
              </w:rPr>
              <w:t>0.646 (0.439)</w:t>
            </w:r>
          </w:p>
        </w:tc>
        <w:tc>
          <w:tcPr>
            <w:tcW w:w="381" w:type="pct"/>
          </w:tcPr>
          <w:p w14:paraId="1D5C453D" w14:textId="7AA37969" w:rsidR="00772FEA" w:rsidRPr="00FB0075" w:rsidRDefault="00772FEA" w:rsidP="00DF245A">
            <w:pPr>
              <w:pStyle w:val="NoSpacing"/>
              <w:rPr>
                <w:sz w:val="20"/>
                <w:szCs w:val="20"/>
              </w:rPr>
            </w:pPr>
          </w:p>
        </w:tc>
        <w:tc>
          <w:tcPr>
            <w:tcW w:w="423" w:type="pct"/>
            <w:hideMark/>
          </w:tcPr>
          <w:p w14:paraId="77D8EEC7" w14:textId="77777777" w:rsidR="00772FEA" w:rsidRPr="00FB0075" w:rsidRDefault="00772FEA" w:rsidP="00DF245A">
            <w:pPr>
              <w:pStyle w:val="NoSpacing"/>
              <w:rPr>
                <w:sz w:val="20"/>
                <w:szCs w:val="20"/>
              </w:rPr>
            </w:pPr>
          </w:p>
        </w:tc>
        <w:tc>
          <w:tcPr>
            <w:tcW w:w="402" w:type="pct"/>
            <w:hideMark/>
          </w:tcPr>
          <w:p w14:paraId="27F3A4AF" w14:textId="77777777" w:rsidR="00772FEA" w:rsidRPr="00FB0075" w:rsidRDefault="00772FEA" w:rsidP="00DF245A">
            <w:pPr>
              <w:pStyle w:val="NoSpacing"/>
              <w:rPr>
                <w:sz w:val="20"/>
                <w:szCs w:val="20"/>
              </w:rPr>
            </w:pPr>
            <w:r w:rsidRPr="00FB0075">
              <w:rPr>
                <w:sz w:val="20"/>
                <w:szCs w:val="20"/>
              </w:rPr>
              <w:t>1.000 (0.000)</w:t>
            </w:r>
          </w:p>
        </w:tc>
        <w:tc>
          <w:tcPr>
            <w:tcW w:w="400" w:type="pct"/>
          </w:tcPr>
          <w:p w14:paraId="584D3C48" w14:textId="0E81E324" w:rsidR="00772FEA" w:rsidRPr="00FB0075" w:rsidRDefault="00772FEA" w:rsidP="00DF245A">
            <w:pPr>
              <w:pStyle w:val="NoSpacing"/>
              <w:rPr>
                <w:sz w:val="20"/>
                <w:szCs w:val="20"/>
              </w:rPr>
            </w:pPr>
          </w:p>
        </w:tc>
      </w:tr>
    </w:tbl>
    <w:p w14:paraId="13F3CF6A" w14:textId="77777777" w:rsidR="005C2246" w:rsidRDefault="005C2246" w:rsidP="00DF245A">
      <w:pPr>
        <w:pStyle w:val="NoSpacing"/>
      </w:pPr>
      <w:r>
        <w:rPr>
          <w:rStyle w:val="Emphasis"/>
          <w:rFonts w:eastAsiaTheme="majorEastAsia"/>
          <w:color w:val="2E2E2E"/>
          <w:sz w:val="21"/>
          <w:szCs w:val="21"/>
        </w:rPr>
        <w:t>Note:</w:t>
      </w:r>
      <w:r>
        <w:t> T = tripper; NT = non-tripper.</w:t>
      </w:r>
    </w:p>
    <w:p w14:paraId="0B68CD09" w14:textId="77777777" w:rsidR="005C2246" w:rsidRDefault="005C2246" w:rsidP="00DF245A">
      <w:pPr>
        <w:pStyle w:val="Heading1"/>
        <w:rPr>
          <w:sz w:val="36"/>
          <w:szCs w:val="36"/>
        </w:rPr>
      </w:pPr>
      <w:r>
        <w:t>4. Discussion</w:t>
      </w:r>
    </w:p>
    <w:p w14:paraId="4E8E763C" w14:textId="77777777" w:rsidR="005C2246" w:rsidRPr="00DF245A" w:rsidRDefault="005C2246" w:rsidP="00DF245A">
      <w:r w:rsidRPr="00DF245A">
        <w:t xml:space="preserve">Participants were identified as trippers or non-trippers based on an obstacle avoidance task. Trippers came in contact with the </w:t>
      </w:r>
      <w:proofErr w:type="gramStart"/>
      <w:r w:rsidRPr="00DF245A">
        <w:t>obstacles</w:t>
      </w:r>
      <w:proofErr w:type="gramEnd"/>
      <w:r w:rsidRPr="00DF245A">
        <w:t xml:space="preserve"> multiple times, suggesting that their walking pattern was not adequate for reacting to and avoiding obstacles. The identification of trippers and non-trippers did not necessarily correspond with the participants’ </w:t>
      </w:r>
      <w:hyperlink r:id="rId35" w:tooltip="Learn more about Recorded History from ScienceDirect's AI-generated Topic Pages" w:history="1">
        <w:r w:rsidRPr="00DF245A">
          <w:rPr>
            <w:rStyle w:val="Hyperlink"/>
            <w:rFonts w:eastAsiaTheme="majorEastAsia"/>
            <w:color w:val="0C7DBB"/>
          </w:rPr>
          <w:t>recorded history</w:t>
        </w:r>
      </w:hyperlink>
      <w:r w:rsidRPr="00DF245A">
        <w:t> of falls, as falls recorded in the previous six months may have been due to causes other than trips. Due to differences in the prevalence of falls and risk of tripping among demographic groups (</w:t>
      </w:r>
      <w:proofErr w:type="spellStart"/>
      <w:r w:rsidR="006F5636" w:rsidRPr="00DF245A">
        <w:fldChar w:fldCharType="begin"/>
      </w:r>
      <w:r w:rsidR="006F5636" w:rsidRPr="00DF245A">
        <w:instrText xml:space="preserve"> HYPERLINK "https://www.sciencedirect.com/science/article/pii/S0167945718303282?via%3Dihub" \l "b0075" </w:instrText>
      </w:r>
      <w:r w:rsidR="006F5636" w:rsidRPr="00DF245A">
        <w:fldChar w:fldCharType="separate"/>
      </w:r>
      <w:r w:rsidRPr="00DF245A">
        <w:rPr>
          <w:rStyle w:val="Hyperlink"/>
          <w:rFonts w:eastAsiaTheme="majorEastAsia"/>
          <w:color w:val="0C7DBB"/>
        </w:rPr>
        <w:t>Heijnen</w:t>
      </w:r>
      <w:proofErr w:type="spellEnd"/>
      <w:r w:rsidRPr="00DF245A">
        <w:rPr>
          <w:rStyle w:val="Hyperlink"/>
          <w:rFonts w:eastAsiaTheme="majorEastAsia"/>
          <w:color w:val="0C7DBB"/>
        </w:rPr>
        <w:t xml:space="preserve"> and </w:t>
      </w:r>
      <w:proofErr w:type="spellStart"/>
      <w:r w:rsidRPr="00DF245A">
        <w:rPr>
          <w:rStyle w:val="Hyperlink"/>
          <w:rFonts w:eastAsiaTheme="majorEastAsia"/>
          <w:color w:val="0C7DBB"/>
        </w:rPr>
        <w:t>Rietdyk</w:t>
      </w:r>
      <w:proofErr w:type="spellEnd"/>
      <w:r w:rsidRPr="00DF245A">
        <w:rPr>
          <w:rStyle w:val="Hyperlink"/>
          <w:rFonts w:eastAsiaTheme="majorEastAsia"/>
          <w:color w:val="0C7DBB"/>
        </w:rPr>
        <w:t>, 2016</w:t>
      </w:r>
      <w:r w:rsidR="006F5636" w:rsidRPr="00DF245A">
        <w:rPr>
          <w:rStyle w:val="Hyperlink"/>
          <w:rFonts w:eastAsiaTheme="majorEastAsia"/>
          <w:color w:val="0C7DBB"/>
        </w:rPr>
        <w:fldChar w:fldCharType="end"/>
      </w:r>
      <w:bookmarkEnd w:id="8"/>
      <w:r w:rsidRPr="00DF245A">
        <w:t>, </w:t>
      </w:r>
      <w:hyperlink r:id="rId36" w:anchor="b0180" w:history="1">
        <w:r w:rsidRPr="00DF245A">
          <w:rPr>
            <w:rStyle w:val="Hyperlink"/>
            <w:rFonts w:eastAsiaTheme="majorEastAsia"/>
            <w:color w:val="0C7DBB"/>
          </w:rPr>
          <w:t>Talbot et al., 2005</w:t>
        </w:r>
      </w:hyperlink>
      <w:bookmarkEnd w:id="17"/>
      <w:r w:rsidRPr="00DF245A">
        <w:t>, </w:t>
      </w:r>
      <w:hyperlink r:id="rId37" w:anchor="b0060" w:history="1">
        <w:r w:rsidRPr="00DF245A">
          <w:rPr>
            <w:rStyle w:val="Hyperlink"/>
            <w:rFonts w:eastAsiaTheme="majorEastAsia"/>
            <w:color w:val="0C7DBB"/>
          </w:rPr>
          <w:t>Garman et al., 2015</w:t>
        </w:r>
      </w:hyperlink>
      <w:bookmarkEnd w:id="21"/>
      <w:r w:rsidRPr="00DF245A">
        <w:t>, </w:t>
      </w:r>
      <w:proofErr w:type="spellStart"/>
      <w:r w:rsidR="006F5636" w:rsidRPr="00DF245A">
        <w:fldChar w:fldCharType="begin"/>
      </w:r>
      <w:r w:rsidR="006F5636" w:rsidRPr="00DF245A">
        <w:instrText xml:space="preserve"> HYPERLINK "https://www.sciencedirect.com/science/article/pii/S0167945718303282?via%3Dihub" \l "b0015" </w:instrText>
      </w:r>
      <w:r w:rsidR="006F5636" w:rsidRPr="00DF245A">
        <w:fldChar w:fldCharType="separate"/>
      </w:r>
      <w:r w:rsidRPr="00DF245A">
        <w:rPr>
          <w:rStyle w:val="Hyperlink"/>
          <w:rFonts w:eastAsiaTheme="majorEastAsia"/>
          <w:color w:val="0C7DBB"/>
        </w:rPr>
        <w:t>Batchelor</w:t>
      </w:r>
      <w:proofErr w:type="spellEnd"/>
      <w:r w:rsidRPr="00DF245A">
        <w:rPr>
          <w:rStyle w:val="Hyperlink"/>
          <w:rFonts w:eastAsiaTheme="majorEastAsia"/>
          <w:color w:val="0C7DBB"/>
        </w:rPr>
        <w:t xml:space="preserve"> et al., 2012</w:t>
      </w:r>
      <w:r w:rsidR="006F5636" w:rsidRPr="00DF245A">
        <w:rPr>
          <w:rStyle w:val="Hyperlink"/>
          <w:rFonts w:eastAsiaTheme="majorEastAsia"/>
          <w:color w:val="0C7DBB"/>
        </w:rPr>
        <w:fldChar w:fldCharType="end"/>
      </w:r>
      <w:bookmarkEnd w:id="23"/>
      <w:r w:rsidRPr="00DF245A">
        <w:t>), it was expected that older adults with a history of falls and </w:t>
      </w:r>
      <w:hyperlink r:id="rId38" w:tooltip="Learn more about Apoplexy from ScienceDirect's AI-generated Topic Pages" w:history="1">
        <w:r w:rsidRPr="00DF245A">
          <w:rPr>
            <w:rStyle w:val="Hyperlink"/>
            <w:rFonts w:eastAsiaTheme="majorEastAsia"/>
            <w:color w:val="0C7DBB"/>
          </w:rPr>
          <w:t>stroke</w:t>
        </w:r>
      </w:hyperlink>
      <w:r w:rsidRPr="00DF245A">
        <w:t> survivors would not be able to avoid the obstacles, yet less than 50% of these participants were trippers. Therefore, the ability to predict trippers and non-trippers cannot be accurately determined based on a history of falls or stroke.</w:t>
      </w:r>
    </w:p>
    <w:p w14:paraId="4A5ABCD4" w14:textId="77777777" w:rsidR="005C2246" w:rsidRDefault="005C2246" w:rsidP="00DF245A">
      <w:pPr>
        <w:pStyle w:val="Heading2"/>
        <w:rPr>
          <w:sz w:val="27"/>
          <w:szCs w:val="27"/>
        </w:rPr>
      </w:pPr>
      <w:r>
        <w:t>4.1. Kinematic differences</w:t>
      </w:r>
    </w:p>
    <w:p w14:paraId="160AF379" w14:textId="77777777" w:rsidR="005C2246" w:rsidRPr="00DF245A" w:rsidRDefault="005C2246" w:rsidP="00DF245A">
      <w:pPr>
        <w:rPr>
          <w:color w:val="2E2E2E"/>
        </w:rPr>
      </w:pPr>
      <w:r w:rsidRPr="00DF245A">
        <w:rPr>
          <w:color w:val="2E2E2E"/>
        </w:rPr>
        <w:t>The </w:t>
      </w:r>
      <w:hyperlink r:id="rId39" w:tooltip="Learn more about Kinematics from ScienceDirect's AI-generated Topic Pages" w:history="1">
        <w:r w:rsidRPr="00DF245A">
          <w:rPr>
            <w:rStyle w:val="Hyperlink"/>
            <w:rFonts w:eastAsiaTheme="majorEastAsia"/>
            <w:color w:val="0C7DBB"/>
          </w:rPr>
          <w:t>kinematic</w:t>
        </w:r>
      </w:hyperlink>
      <w:r w:rsidRPr="00DF245A">
        <w:rPr>
          <w:color w:val="2E2E2E"/>
        </w:rPr>
        <w:t> features during obstacle-free walking that best discriminated between trippers and non-trippers were knee ROM and timing of peak </w:t>
      </w:r>
      <w:hyperlink r:id="rId40" w:tooltip="Learn more about Knee Function from ScienceDirect's AI-generated Topic Pages" w:history="1">
        <w:r w:rsidRPr="00DF245A">
          <w:rPr>
            <w:rStyle w:val="Hyperlink"/>
            <w:rFonts w:eastAsiaTheme="majorEastAsia"/>
            <w:color w:val="0C7DBB"/>
          </w:rPr>
          <w:t>knee flexion</w:t>
        </w:r>
      </w:hyperlink>
      <w:r w:rsidRPr="00DF245A">
        <w:rPr>
          <w:color w:val="2E2E2E"/>
        </w:rPr>
        <w:t> during swing, with trippers exhibiting a significantly smaller knee ROM than non-trippers. Reduced knee ROM indicates that an individual may not be able to achieve adequate foot clearance when reacting to an obstacle. While there were no significant differences between trippers and non-trippers in timing of peak knee flexion during swing, including this variable in the model improved the ability to distinguish between trippers and non-trippers using kinematic variables. This result is consistent with the findings of </w:t>
      </w:r>
      <w:hyperlink r:id="rId41" w:anchor="b0050" w:history="1">
        <w:r w:rsidRPr="00DF245A">
          <w:rPr>
            <w:rStyle w:val="Hyperlink"/>
            <w:rFonts w:eastAsiaTheme="majorEastAsia"/>
            <w:color w:val="0C7DBB"/>
          </w:rPr>
          <w:t xml:space="preserve">Chou and </w:t>
        </w:r>
        <w:proofErr w:type="spellStart"/>
        <w:r w:rsidRPr="00DF245A">
          <w:rPr>
            <w:rStyle w:val="Hyperlink"/>
            <w:rFonts w:eastAsiaTheme="majorEastAsia"/>
            <w:color w:val="0C7DBB"/>
          </w:rPr>
          <w:t>Draganich</w:t>
        </w:r>
        <w:proofErr w:type="spellEnd"/>
        <w:r w:rsidRPr="00DF245A">
          <w:rPr>
            <w:rStyle w:val="Hyperlink"/>
            <w:rFonts w:eastAsiaTheme="majorEastAsia"/>
            <w:color w:val="0C7DBB"/>
          </w:rPr>
          <w:t xml:space="preserve"> (1998)</w:t>
        </w:r>
      </w:hyperlink>
      <w:bookmarkEnd w:id="16"/>
      <w:r w:rsidRPr="00DF245A">
        <w:rPr>
          <w:color w:val="2E2E2E"/>
        </w:rPr>
        <w:t>, who showed that greater </w:t>
      </w:r>
      <w:hyperlink r:id="rId42" w:tooltip="Learn more about Angular Velocity from ScienceDirect's AI-generated Topic Pages" w:history="1">
        <w:r w:rsidRPr="00DF245A">
          <w:rPr>
            <w:rStyle w:val="Hyperlink"/>
            <w:rFonts w:eastAsiaTheme="majorEastAsia"/>
            <w:color w:val="0C7DBB"/>
          </w:rPr>
          <w:t>angular velocity</w:t>
        </w:r>
      </w:hyperlink>
      <w:r w:rsidRPr="00DF245A">
        <w:rPr>
          <w:color w:val="2E2E2E"/>
        </w:rPr>
        <w:t> of the knee is required to avoid obstacle contact, as faster knee angular velocity means a shorter time to peak knee flexion, and more time to react to the obstacle.</w:t>
      </w:r>
    </w:p>
    <w:p w14:paraId="3D2B365C" w14:textId="77777777" w:rsidR="005C2246" w:rsidRPr="00DF245A" w:rsidRDefault="005C2246" w:rsidP="00DF245A">
      <w:pPr>
        <w:rPr>
          <w:color w:val="2E2E2E"/>
        </w:rPr>
      </w:pPr>
      <w:r w:rsidRPr="00DF245A">
        <w:rPr>
          <w:color w:val="2E2E2E"/>
        </w:rPr>
        <w:t>Sagittal plane ROM and timing of peak joint angles were examined for the ankle, knee and hip because of the relationship between sagittal plane joint motion and foot clearance. Gait adaptations to accommodate varying walking surfaces (</w:t>
      </w:r>
      <w:hyperlink r:id="rId43" w:anchor="b0065" w:history="1">
        <w:r w:rsidRPr="00DF245A">
          <w:rPr>
            <w:rStyle w:val="Hyperlink"/>
            <w:rFonts w:eastAsiaTheme="majorEastAsia"/>
            <w:color w:val="0C7DBB"/>
          </w:rPr>
          <w:t xml:space="preserve">Gates, Wilken, Scott, </w:t>
        </w:r>
        <w:proofErr w:type="spellStart"/>
        <w:r w:rsidRPr="00DF245A">
          <w:rPr>
            <w:rStyle w:val="Hyperlink"/>
            <w:rFonts w:eastAsiaTheme="majorEastAsia"/>
            <w:color w:val="0C7DBB"/>
          </w:rPr>
          <w:t>Sinitski</w:t>
        </w:r>
        <w:proofErr w:type="spellEnd"/>
        <w:r w:rsidRPr="00DF245A">
          <w:rPr>
            <w:rStyle w:val="Hyperlink"/>
            <w:rFonts w:eastAsiaTheme="majorEastAsia"/>
            <w:color w:val="0C7DBB"/>
          </w:rPr>
          <w:t xml:space="preserve">, &amp; </w:t>
        </w:r>
        <w:proofErr w:type="spellStart"/>
        <w:r w:rsidRPr="00DF245A">
          <w:rPr>
            <w:rStyle w:val="Hyperlink"/>
            <w:rFonts w:eastAsiaTheme="majorEastAsia"/>
            <w:color w:val="0C7DBB"/>
          </w:rPr>
          <w:t>Dingwell</w:t>
        </w:r>
        <w:proofErr w:type="spellEnd"/>
        <w:r w:rsidRPr="00DF245A">
          <w:rPr>
            <w:rStyle w:val="Hyperlink"/>
            <w:rFonts w:eastAsiaTheme="majorEastAsia"/>
            <w:color w:val="0C7DBB"/>
          </w:rPr>
          <w:t>, 2012</w:t>
        </w:r>
      </w:hyperlink>
      <w:bookmarkEnd w:id="12"/>
      <w:r w:rsidRPr="00DF245A">
        <w:rPr>
          <w:color w:val="2E2E2E"/>
        </w:rPr>
        <w:t>) and perform everyday tasks while walking (</w:t>
      </w:r>
      <w:hyperlink r:id="rId44" w:anchor="b0165" w:history="1">
        <w:r w:rsidRPr="00DF245A">
          <w:rPr>
            <w:rStyle w:val="Hyperlink"/>
            <w:rFonts w:eastAsiaTheme="majorEastAsia"/>
            <w:color w:val="0C7DBB"/>
          </w:rPr>
          <w:t>Schulz, Lloyd, &amp; Lee, 2010</w:t>
        </w:r>
      </w:hyperlink>
      <w:bookmarkEnd w:id="14"/>
      <w:r w:rsidRPr="00DF245A">
        <w:rPr>
          <w:color w:val="2E2E2E"/>
        </w:rPr>
        <w:t>) include concurrent changes in joint kinematics and foot clearance height, and a physiological range of joint angles at the ankle, knee and hip could independently account for the variability observed in foot clearance (</w:t>
      </w:r>
      <w:hyperlink r:id="rId45" w:anchor="b0205" w:history="1">
        <w:r w:rsidRPr="00DF245A">
          <w:rPr>
            <w:rStyle w:val="Hyperlink"/>
            <w:rFonts w:eastAsiaTheme="majorEastAsia"/>
            <w:color w:val="0C7DBB"/>
          </w:rPr>
          <w:t>Winter, 1992)</w:t>
        </w:r>
      </w:hyperlink>
      <w:bookmarkEnd w:id="9"/>
      <w:r w:rsidRPr="00DF245A">
        <w:rPr>
          <w:color w:val="2E2E2E"/>
        </w:rPr>
        <w:t>. Previous studies have examined how the sagittal plane motion of the lower extremity joints influences foot clearance. </w:t>
      </w:r>
      <w:proofErr w:type="spellStart"/>
      <w:r w:rsidR="006F5636" w:rsidRPr="00DF245A">
        <w:fldChar w:fldCharType="begin"/>
      </w:r>
      <w:r w:rsidR="006F5636" w:rsidRPr="00DF245A">
        <w:instrText xml:space="preserve"> HYPERLINK "https://www.sciencedirect.com/science/article/pii/S0167945718303282?via%3Dihub" \l "b0120" </w:instrText>
      </w:r>
      <w:r w:rsidR="006F5636" w:rsidRPr="00DF245A">
        <w:fldChar w:fldCharType="separate"/>
      </w:r>
      <w:r w:rsidRPr="00DF245A">
        <w:rPr>
          <w:rStyle w:val="Hyperlink"/>
          <w:rFonts w:eastAsiaTheme="majorEastAsia"/>
          <w:color w:val="0C7DBB"/>
        </w:rPr>
        <w:t>Moosabhoy</w:t>
      </w:r>
      <w:proofErr w:type="spellEnd"/>
      <w:r w:rsidRPr="00DF245A">
        <w:rPr>
          <w:rStyle w:val="Hyperlink"/>
          <w:rFonts w:eastAsiaTheme="majorEastAsia"/>
          <w:color w:val="0C7DBB"/>
        </w:rPr>
        <w:t xml:space="preserve"> and Gard (2006)</w:t>
      </w:r>
      <w:r w:rsidR="006F5636" w:rsidRPr="00DF245A">
        <w:rPr>
          <w:rStyle w:val="Hyperlink"/>
          <w:rFonts w:eastAsiaTheme="majorEastAsia"/>
          <w:color w:val="0C7DBB"/>
        </w:rPr>
        <w:fldChar w:fldCharType="end"/>
      </w:r>
      <w:bookmarkEnd w:id="15"/>
      <w:r w:rsidRPr="00DF245A">
        <w:rPr>
          <w:color w:val="2E2E2E"/>
        </w:rPr>
        <w:t> developed a theoretical model which suggested that ankle dorsiflexion has a greater effect on foot clearance during mid-swing than knee or hip flexion, while knee and hip flexion have the greatest effect on foot clearance at the beginning and end of swing phase of healthy gait. More recently, </w:t>
      </w:r>
      <w:hyperlink r:id="rId46" w:anchor="b0105" w:history="1">
        <w:r w:rsidRPr="00DF245A">
          <w:rPr>
            <w:rStyle w:val="Hyperlink"/>
            <w:rFonts w:eastAsiaTheme="majorEastAsia"/>
            <w:color w:val="0C7DBB"/>
          </w:rPr>
          <w:t>Little et al. (2014)</w:t>
        </w:r>
      </w:hyperlink>
      <w:bookmarkEnd w:id="10"/>
      <w:r w:rsidRPr="00DF245A">
        <w:rPr>
          <w:color w:val="2E2E2E"/>
        </w:rPr>
        <w:t> found that among stroke survivors, the knee has the greatest influence on foot clearance and limb shortening at the lowest trajectory of the toe, regardless of the time during swing. Discrepancies may be attributed to the fact that different populations may use different strategies to achieve adequate foot clearance (</w:t>
      </w:r>
      <w:hyperlink r:id="rId47" w:anchor="b0100" w:history="1">
        <w:r w:rsidRPr="00DF245A">
          <w:rPr>
            <w:rStyle w:val="Hyperlink"/>
            <w:rFonts w:eastAsiaTheme="majorEastAsia"/>
            <w:color w:val="0C7DBB"/>
          </w:rPr>
          <w:t>Levinger et al., 2012</w:t>
        </w:r>
      </w:hyperlink>
      <w:bookmarkEnd w:id="11"/>
      <w:r w:rsidRPr="00DF245A">
        <w:rPr>
          <w:color w:val="2E2E2E"/>
        </w:rPr>
        <w:t>). While the achievement of adequate foot clearance relies on contributions from all of the joints in the lower extremity, in this study, greater knee ROM and the timing of peak knee flexion in the stride cycle were the variables that best identified those able to avoid obstacles while walking.</w:t>
      </w:r>
    </w:p>
    <w:p w14:paraId="3DD13340" w14:textId="77777777" w:rsidR="005C2246" w:rsidRDefault="005C2246" w:rsidP="00DF245A">
      <w:pPr>
        <w:pStyle w:val="Heading2"/>
        <w:rPr>
          <w:sz w:val="27"/>
          <w:szCs w:val="27"/>
        </w:rPr>
      </w:pPr>
      <w:r>
        <w:t>4.2. Model performance</w:t>
      </w:r>
    </w:p>
    <w:p w14:paraId="1DA7F133" w14:textId="77777777" w:rsidR="005C2246" w:rsidRPr="00DF245A" w:rsidRDefault="005C2246" w:rsidP="00DF245A">
      <w:r w:rsidRPr="00DF245A">
        <w:t>The group differences in classification accuracy show that the LDA performance was significantly better for the young and older non-faller groups than the older faller group. This is likely due to the very poor classification accuracy for four members of the older faller group: one who was a non-tripper, and the other three trippers. Of these two scenarios, the misclassification of the trippers (OF7, OF8 and OF9 in </w:t>
      </w:r>
      <w:hyperlink r:id="rId48" w:anchor="t0020" w:history="1">
        <w:r w:rsidRPr="00DF245A">
          <w:rPr>
            <w:rStyle w:val="Hyperlink"/>
            <w:rFonts w:eastAsiaTheme="majorEastAsia"/>
            <w:color w:val="0C7DBB"/>
          </w:rPr>
          <w:t>Table 4</w:t>
        </w:r>
      </w:hyperlink>
      <w:bookmarkEnd w:id="43"/>
      <w:r w:rsidRPr="00DF245A">
        <w:t>) is the most concerning, as these individuals appeared to walk like non-trippers, but were unable to avoid the obstacles. These misclassifications are represented in the low sensitivity, or proportion of actual trippers correctly classified. Therefore, for some individuals – and perhaps those with a history of falls in particular – the risk of tripping would be identified by other factors besides knee kinematics. Additionally, while knee kinematic measures were able to identify most individuals at risk for tripping, a trip does not occur every time that someone walks, and falls may occur due to events other than tripping. Therefore, it would be beneficial to detect gait characteristics such as limited ROM and risk factors for other types of falls in real-time as part of a falls-prevention program.</w:t>
      </w:r>
    </w:p>
    <w:p w14:paraId="4EDCE7ED" w14:textId="77777777" w:rsidR="005C2246" w:rsidRDefault="005C2246" w:rsidP="00DF245A">
      <w:pPr>
        <w:pStyle w:val="Heading2"/>
        <w:rPr>
          <w:sz w:val="27"/>
          <w:szCs w:val="27"/>
        </w:rPr>
      </w:pPr>
      <w:r>
        <w:t>4.3. Limitations</w:t>
      </w:r>
    </w:p>
    <w:p w14:paraId="0BBA43FF" w14:textId="77777777" w:rsidR="005C2246" w:rsidRPr="00DF245A" w:rsidRDefault="005C2246" w:rsidP="00DF245A">
      <w:r w:rsidRPr="00DF245A">
        <w:t xml:space="preserve">Three limitations to this study are acknowledged. First, the number of participants, particularly in the stroke survivor group, was small. The stroke group was expected to be the most susceptible to tripping, and effect of the small stroke group was magnified as two of the five stroke survivors were non-trippers. The second limitation is that based on the study design, all participants were relatively </w:t>
      </w:r>
      <w:proofErr w:type="gramStart"/>
      <w:r w:rsidRPr="00DF245A">
        <w:t>high-functioning</w:t>
      </w:r>
      <w:proofErr w:type="gramEnd"/>
      <w:r w:rsidRPr="00DF245A">
        <w:t>, with the ability to walk without assistance for at least five minutes. Taken together, having a small group of high-functioning participants suggests that it would be difficult to identify gait kinematics related to the risk of tripping, yet, using knee ROM and time to peak knee flexion during swing, it was possible to distinguish trippers and non-trippers with 92.3% accuracy. Nevertheless, additional factors may be helpful in determining the risk of tripping. Therefore, the third limitation is that other independent variables – such as </w:t>
      </w:r>
      <w:hyperlink r:id="rId49" w:tooltip="Learn more about Walking Speed from ScienceDirect's AI-generated Topic Pages" w:history="1">
        <w:r w:rsidRPr="00DF245A">
          <w:rPr>
            <w:rStyle w:val="Hyperlink"/>
            <w:rFonts w:eastAsiaTheme="majorEastAsia"/>
            <w:color w:val="0C7DBB"/>
          </w:rPr>
          <w:t>walking speed</w:t>
        </w:r>
      </w:hyperlink>
      <w:r w:rsidRPr="00DF245A">
        <w:t>, available ROM, kinematic variability, strength, reaction time, and balance – were not included in the model. The potential effects of some of these factors are discussed below.</w:t>
      </w:r>
    </w:p>
    <w:p w14:paraId="03CF3966" w14:textId="77777777" w:rsidR="005C2246" w:rsidRPr="00DF245A" w:rsidRDefault="005C2246" w:rsidP="00DF245A">
      <w:r w:rsidRPr="00DF245A">
        <w:t>Some of the kinematic differences between participants may be attributed to the effects of walking at a slower speed. Walking at a slower than normal speed has been shown to result in a decrease in peak knee flexion (</w:t>
      </w:r>
      <w:bookmarkStart w:id="44" w:name="bb0085"/>
      <w:proofErr w:type="spellStart"/>
      <w:r w:rsidRPr="00DF245A">
        <w:fldChar w:fldCharType="begin"/>
      </w:r>
      <w:r w:rsidRPr="00DF245A">
        <w:instrText xml:space="preserve"> HYPERLINK "https://www.sciencedirect.com/science/article/pii/S0167945718303282?via%3Dihub" \l "b0085" </w:instrText>
      </w:r>
      <w:r w:rsidRPr="00DF245A">
        <w:fldChar w:fldCharType="separate"/>
      </w:r>
      <w:r w:rsidRPr="00DF245A">
        <w:rPr>
          <w:rStyle w:val="Hyperlink"/>
          <w:rFonts w:eastAsiaTheme="majorEastAsia"/>
          <w:color w:val="0C7DBB"/>
        </w:rPr>
        <w:t>Kirtley</w:t>
      </w:r>
      <w:proofErr w:type="spellEnd"/>
      <w:r w:rsidRPr="00DF245A">
        <w:rPr>
          <w:rStyle w:val="Hyperlink"/>
          <w:rFonts w:eastAsiaTheme="majorEastAsia"/>
          <w:color w:val="0C7DBB"/>
        </w:rPr>
        <w:t>, 2006</w:t>
      </w:r>
      <w:r w:rsidRPr="00DF245A">
        <w:fldChar w:fldCharType="end"/>
      </w:r>
      <w:bookmarkEnd w:id="44"/>
      <w:r w:rsidRPr="00DF245A">
        <w:t>, </w:t>
      </w:r>
      <w:bookmarkStart w:id="45" w:name="bb0090"/>
      <w:r w:rsidRPr="00DF245A">
        <w:fldChar w:fldCharType="begin"/>
      </w:r>
      <w:r w:rsidRPr="00DF245A">
        <w:instrText xml:space="preserve"> HYPERLINK "https://www.sciencedirect.com/science/article/pii/S0167945718303282?via%3Dihub" \l "b0090" </w:instrText>
      </w:r>
      <w:r w:rsidRPr="00DF245A">
        <w:fldChar w:fldCharType="separate"/>
      </w:r>
      <w:r w:rsidRPr="00DF245A">
        <w:rPr>
          <w:rStyle w:val="Hyperlink"/>
          <w:rFonts w:eastAsiaTheme="majorEastAsia"/>
          <w:color w:val="0C7DBB"/>
        </w:rPr>
        <w:t>Kwon et al., 2014</w:t>
      </w:r>
      <w:r w:rsidRPr="00DF245A">
        <w:fldChar w:fldCharType="end"/>
      </w:r>
      <w:bookmarkEnd w:id="45"/>
      <w:r w:rsidRPr="00DF245A">
        <w:t>), and is a common characteristic of gait for older adults or stroke survivors who fear they may be at risk for falling (</w:t>
      </w:r>
      <w:bookmarkStart w:id="46" w:name="bb0135"/>
      <w:r w:rsidRPr="00DF245A">
        <w:fldChar w:fldCharType="begin"/>
      </w:r>
      <w:r w:rsidRPr="00DF245A">
        <w:instrText xml:space="preserve"> HYPERLINK "https://www.sciencedirect.com/science/article/pii/S0167945718303282?via%3Dihub" \l "b0135" </w:instrText>
      </w:r>
      <w:r w:rsidRPr="00DF245A">
        <w:fldChar w:fldCharType="separate"/>
      </w:r>
      <w:r w:rsidRPr="00DF245A">
        <w:rPr>
          <w:rStyle w:val="Hyperlink"/>
          <w:rFonts w:eastAsiaTheme="majorEastAsia"/>
          <w:color w:val="0C7DBB"/>
        </w:rPr>
        <w:t xml:space="preserve">Park and </w:t>
      </w:r>
      <w:proofErr w:type="spellStart"/>
      <w:r w:rsidRPr="00DF245A">
        <w:rPr>
          <w:rStyle w:val="Hyperlink"/>
          <w:rFonts w:eastAsiaTheme="majorEastAsia"/>
          <w:color w:val="0C7DBB"/>
        </w:rPr>
        <w:t>Yoo</w:t>
      </w:r>
      <w:proofErr w:type="spellEnd"/>
      <w:r w:rsidRPr="00DF245A">
        <w:rPr>
          <w:rStyle w:val="Hyperlink"/>
          <w:rFonts w:eastAsiaTheme="majorEastAsia"/>
          <w:color w:val="0C7DBB"/>
        </w:rPr>
        <w:t>, 2014</w:t>
      </w:r>
      <w:r w:rsidRPr="00DF245A">
        <w:fldChar w:fldCharType="end"/>
      </w:r>
      <w:bookmarkEnd w:id="46"/>
      <w:r w:rsidRPr="00DF245A">
        <w:t>, </w:t>
      </w:r>
      <w:bookmarkStart w:id="47" w:name="bb0115"/>
      <w:r w:rsidRPr="00DF245A">
        <w:fldChar w:fldCharType="begin"/>
      </w:r>
      <w:r w:rsidRPr="00DF245A">
        <w:instrText xml:space="preserve"> HYPERLINK "https://www.sciencedirect.com/science/article/pii/S0167945718303282?via%3Dihub" \l "b0115" </w:instrText>
      </w:r>
      <w:r w:rsidRPr="00DF245A">
        <w:fldChar w:fldCharType="separate"/>
      </w:r>
      <w:r w:rsidRPr="00DF245A">
        <w:rPr>
          <w:rStyle w:val="Hyperlink"/>
          <w:rFonts w:eastAsiaTheme="majorEastAsia"/>
          <w:color w:val="0C7DBB"/>
        </w:rPr>
        <w:t>Maki, 1997</w:t>
      </w:r>
      <w:r w:rsidRPr="00DF245A">
        <w:fldChar w:fldCharType="end"/>
      </w:r>
      <w:bookmarkEnd w:id="47"/>
      <w:r w:rsidRPr="00DF245A">
        <w:t>). In this </w:t>
      </w:r>
      <w:hyperlink r:id="rId50" w:tooltip="Learn more about Study Participant from ScienceDirect's AI-generated Topic Pages" w:history="1">
        <w:r w:rsidRPr="00DF245A">
          <w:rPr>
            <w:rStyle w:val="Hyperlink"/>
            <w:rFonts w:eastAsiaTheme="majorEastAsia"/>
            <w:color w:val="0C7DBB"/>
          </w:rPr>
          <w:t>study, participants</w:t>
        </w:r>
      </w:hyperlink>
      <w:r w:rsidRPr="00DF245A">
        <w:t> walked at a self-selected speed, and non-trippers walked faster than trippers (</w:t>
      </w:r>
      <w:r w:rsidRPr="00DF245A">
        <w:rPr>
          <w:rStyle w:val="Emphasis"/>
          <w:rFonts w:eastAsiaTheme="majorEastAsia"/>
          <w:color w:val="2E2E2E"/>
        </w:rPr>
        <w:t>P</w:t>
      </w:r>
      <w:r w:rsidRPr="00DF245A">
        <w:t xml:space="preserve"> &lt; .001). This </w:t>
      </w:r>
      <w:proofErr w:type="gramStart"/>
      <w:r w:rsidRPr="00DF245A">
        <w:t>is in contrast to</w:t>
      </w:r>
      <w:proofErr w:type="gramEnd"/>
      <w:r w:rsidRPr="00DF245A">
        <w:t xml:space="preserve"> the expectation that a faster walking speed corresponding with less reaction time to avoid the obstacles might translate into a greater risk of tripping. Nevertheless, to ensure that the kinematic differences observed between trippers and non-trippers were not simply a function of the speed difference (</w:t>
      </w:r>
      <w:bookmarkStart w:id="48" w:name="bb0095"/>
      <w:proofErr w:type="spellStart"/>
      <w:r w:rsidRPr="00DF245A">
        <w:fldChar w:fldCharType="begin"/>
      </w:r>
      <w:r w:rsidRPr="00DF245A">
        <w:instrText xml:space="preserve"> HYPERLINK "https://www.sciencedirect.com/science/article/pii/S0167945718303282?via%3Dihub" \l "b0095" </w:instrText>
      </w:r>
      <w:r w:rsidRPr="00DF245A">
        <w:fldChar w:fldCharType="separate"/>
      </w:r>
      <w:r w:rsidRPr="00DF245A">
        <w:rPr>
          <w:rStyle w:val="Hyperlink"/>
          <w:rFonts w:eastAsiaTheme="majorEastAsia"/>
          <w:color w:val="0C7DBB"/>
        </w:rPr>
        <w:t>Lelas</w:t>
      </w:r>
      <w:proofErr w:type="spellEnd"/>
      <w:r w:rsidRPr="00DF245A">
        <w:rPr>
          <w:rStyle w:val="Hyperlink"/>
          <w:rFonts w:eastAsiaTheme="majorEastAsia"/>
          <w:color w:val="0C7DBB"/>
        </w:rPr>
        <w:t>, Merriman, Riley, &amp; Kerrigan, 2003</w:t>
      </w:r>
      <w:r w:rsidRPr="00DF245A">
        <w:fldChar w:fldCharType="end"/>
      </w:r>
      <w:bookmarkEnd w:id="48"/>
      <w:r w:rsidRPr="00DF245A">
        <w:t xml:space="preserve">), a </w:t>
      </w:r>
      <w:proofErr w:type="spellStart"/>
      <w:r w:rsidRPr="00DF245A">
        <w:t>posthoc</w:t>
      </w:r>
      <w:proofErr w:type="spellEnd"/>
      <w:r w:rsidRPr="00DF245A">
        <w:t xml:space="preserve"> analysis was performed using </w:t>
      </w:r>
      <w:hyperlink r:id="rId51" w:tooltip="Learn more about Linear Regression Analysis from ScienceDirect's AI-generated Topic Pages" w:history="1">
        <w:r w:rsidRPr="00DF245A">
          <w:rPr>
            <w:rStyle w:val="Hyperlink"/>
            <w:rFonts w:eastAsiaTheme="majorEastAsia"/>
            <w:color w:val="0C7DBB"/>
          </w:rPr>
          <w:t>linear regression</w:t>
        </w:r>
      </w:hyperlink>
      <w:r w:rsidRPr="00DF245A">
        <w:t xml:space="preserve"> across all participants to predict knee ROM and timing of peak knee flexion during swing from speed. Speed accounted for 63.7% of the variance in knee ROM, and 12.2% of the variance in timing of peak knee flexion during swing. While the relationship between speed and knee ROM is strong, speed does not account for </w:t>
      </w:r>
      <w:proofErr w:type="gramStart"/>
      <w:r w:rsidRPr="00DF245A">
        <w:t>all of</w:t>
      </w:r>
      <w:proofErr w:type="gramEnd"/>
      <w:r w:rsidRPr="00DF245A">
        <w:t xml:space="preserve"> the variation in either of the variables, indicating that other factors contribute to the kinematic differences between trippers and non-trippers.</w:t>
      </w:r>
    </w:p>
    <w:p w14:paraId="3FD9B487" w14:textId="77777777" w:rsidR="005C2246" w:rsidRPr="00DF245A" w:rsidRDefault="005C2246" w:rsidP="00DF245A">
      <w:r w:rsidRPr="00DF245A">
        <w:t>It is possible that the trippers had a physical limitation in their ability to produce knee flexion, although this was not measured statically. The stroke participants were expected to have this limitation in their affected leg (</w:t>
      </w:r>
      <w:bookmarkStart w:id="49" w:name="bb0010"/>
      <w:r w:rsidRPr="00DF245A">
        <w:fldChar w:fldCharType="begin"/>
      </w:r>
      <w:r w:rsidRPr="00DF245A">
        <w:instrText xml:space="preserve"> HYPERLINK "https://www.sciencedirect.com/science/article/pii/S0167945718303282?via%3Dihub" \l "b0010" </w:instrText>
      </w:r>
      <w:r w:rsidRPr="00DF245A">
        <w:fldChar w:fldCharType="separate"/>
      </w:r>
      <w:r w:rsidRPr="00DF245A">
        <w:rPr>
          <w:rStyle w:val="Hyperlink"/>
          <w:rFonts w:eastAsiaTheme="majorEastAsia"/>
          <w:color w:val="0C7DBB"/>
        </w:rPr>
        <w:t>Balaban and Tok, 2014</w:t>
      </w:r>
      <w:r w:rsidRPr="00DF245A">
        <w:fldChar w:fldCharType="end"/>
      </w:r>
      <w:bookmarkEnd w:id="49"/>
      <w:r w:rsidRPr="00DF245A">
        <w:t>, </w:t>
      </w:r>
      <w:bookmarkStart w:id="50" w:name="bb0125"/>
      <w:r w:rsidRPr="00DF245A">
        <w:fldChar w:fldCharType="begin"/>
      </w:r>
      <w:r w:rsidRPr="00DF245A">
        <w:instrText xml:space="preserve"> HYPERLINK "https://www.sciencedirect.com/science/article/pii/S0167945718303282?via%3Dihub" \l "b0125" </w:instrText>
      </w:r>
      <w:r w:rsidRPr="00DF245A">
        <w:fldChar w:fldCharType="separate"/>
      </w:r>
      <w:r w:rsidRPr="00DF245A">
        <w:rPr>
          <w:rStyle w:val="Hyperlink"/>
          <w:rFonts w:eastAsiaTheme="majorEastAsia"/>
          <w:color w:val="0C7DBB"/>
        </w:rPr>
        <w:t>Olney and Richards, 1996</w:t>
      </w:r>
      <w:r w:rsidRPr="00DF245A">
        <w:fldChar w:fldCharType="end"/>
      </w:r>
      <w:bookmarkEnd w:id="50"/>
      <w:r w:rsidRPr="00DF245A">
        <w:t>), and in fact had a lower knee ROM during swing than the young adult group. Some older adults were also expected to have limited knee ROM (</w:t>
      </w:r>
      <w:bookmarkStart w:id="51" w:name="bb0080"/>
      <w:r w:rsidRPr="00DF245A">
        <w:fldChar w:fldCharType="begin"/>
      </w:r>
      <w:r w:rsidRPr="00DF245A">
        <w:instrText xml:space="preserve"> HYPERLINK "https://www.sciencedirect.com/science/article/pii/S0167945718303282?via%3Dihub" \l "b0080" </w:instrText>
      </w:r>
      <w:r w:rsidRPr="00DF245A">
        <w:fldChar w:fldCharType="separate"/>
      </w:r>
      <w:r w:rsidRPr="00DF245A">
        <w:rPr>
          <w:rStyle w:val="Hyperlink"/>
          <w:rFonts w:eastAsiaTheme="majorEastAsia"/>
          <w:color w:val="0C7DBB"/>
        </w:rPr>
        <w:t>Kerrigan, Todd, Della Croce, Lipsitz, &amp; Collins, 1998</w:t>
      </w:r>
      <w:r w:rsidRPr="00DF245A">
        <w:fldChar w:fldCharType="end"/>
      </w:r>
      <w:bookmarkEnd w:id="51"/>
      <w:r w:rsidRPr="00DF245A">
        <w:t>), as the available ROM at the hip, knee and ankle has been reported to be lower in older adults than younger adults (</w:t>
      </w:r>
      <w:bookmarkStart w:id="52" w:name="bb0040"/>
      <w:r w:rsidRPr="00DF245A">
        <w:fldChar w:fldCharType="begin"/>
      </w:r>
      <w:r w:rsidRPr="00DF245A">
        <w:instrText xml:space="preserve"> HYPERLINK "https://www.sciencedirect.com/science/article/pii/S0167945718303282?via%3Dihub" \l "b0040" </w:instrText>
      </w:r>
      <w:r w:rsidRPr="00DF245A">
        <w:fldChar w:fldCharType="separate"/>
      </w:r>
      <w:r w:rsidRPr="00DF245A">
        <w:rPr>
          <w:rStyle w:val="Hyperlink"/>
          <w:rFonts w:eastAsiaTheme="majorEastAsia"/>
          <w:color w:val="0C7DBB"/>
        </w:rPr>
        <w:t>Chen, Ashton-Miller, Alexander, &amp; Schultz, 1991</w:t>
      </w:r>
      <w:r w:rsidRPr="00DF245A">
        <w:fldChar w:fldCharType="end"/>
      </w:r>
      <w:r w:rsidRPr="00DF245A">
        <w:t>). However, while there was a trend for a lower knee ROM during walking among both older adult groups compared to the young adults, consistent with other findings (</w:t>
      </w:r>
      <w:hyperlink r:id="rId52" w:anchor="b0040" w:history="1">
        <w:r w:rsidRPr="00DF245A">
          <w:rPr>
            <w:rStyle w:val="Hyperlink"/>
            <w:rFonts w:eastAsiaTheme="majorEastAsia"/>
            <w:color w:val="0C7DBB"/>
          </w:rPr>
          <w:t>Chen et al., 1991</w:t>
        </w:r>
      </w:hyperlink>
      <w:bookmarkEnd w:id="52"/>
      <w:r w:rsidRPr="00DF245A">
        <w:t xml:space="preserve">), these differences were not significant. It appears lower knee ROM during swing occurred for the older adults in the faller and non-faller groups that were unable to avoid the obstacle while walking. Although it was not significant by itself, an individual with a delay in the peak knee angle combined with a low swing-phase knee ROM during obstacle-free walking may not be able to react to an obstacle, which could result in a trip. Other factors such as kinematic variability, balance, strength and reaction time may also contribute to the inability to avoid an </w:t>
      </w:r>
      <w:proofErr w:type="gramStart"/>
      <w:r w:rsidRPr="00DF245A">
        <w:t>obstacle, or</w:t>
      </w:r>
      <w:proofErr w:type="gramEnd"/>
      <w:r w:rsidRPr="00DF245A">
        <w:t xml:space="preserve"> have manifestations in the observed kinematic differences between trippers and non-trippers. </w:t>
      </w:r>
      <w:proofErr w:type="gramStart"/>
      <w:r w:rsidRPr="00DF245A">
        <w:t>In particular, it</w:t>
      </w:r>
      <w:proofErr w:type="gramEnd"/>
      <w:r w:rsidRPr="00DF245A">
        <w:t xml:space="preserve"> is possible that the introduction of the dual task influenced the ability of participants to react to the obstacles and may not be representative of their real-world obstacle avoidance ability. Therefore, interventions designed to improve the ability to avoid obstacles may need to address multiple factors and not simply the kinematic differences between trippers and non-trippers. However, the potential role of these other factors was beyond the scope of this investigation.</w:t>
      </w:r>
    </w:p>
    <w:p w14:paraId="1DEF7AE8" w14:textId="77777777" w:rsidR="005C2246" w:rsidRDefault="005C2246" w:rsidP="00DF245A">
      <w:pPr>
        <w:pStyle w:val="Heading1"/>
        <w:rPr>
          <w:sz w:val="36"/>
          <w:szCs w:val="36"/>
        </w:rPr>
      </w:pPr>
      <w:r>
        <w:t>5. Conclusion</w:t>
      </w:r>
    </w:p>
    <w:p w14:paraId="074AE449" w14:textId="77777777" w:rsidR="005C2246" w:rsidRPr="00DF245A" w:rsidRDefault="005C2246" w:rsidP="00DF245A">
      <w:pPr>
        <w:rPr>
          <w:color w:val="2E2E2E"/>
        </w:rPr>
      </w:pPr>
      <w:r w:rsidRPr="00DF245A">
        <w:rPr>
          <w:color w:val="2E2E2E"/>
        </w:rPr>
        <w:t>In conclusion, individuals with reduced sagittal plane knee ROM combined with a delay in peak </w:t>
      </w:r>
      <w:hyperlink r:id="rId53" w:tooltip="Learn more about Knee Function from ScienceDirect's AI-generated Topic Pages" w:history="1">
        <w:r w:rsidRPr="00DF245A">
          <w:rPr>
            <w:rStyle w:val="Hyperlink"/>
            <w:rFonts w:eastAsiaTheme="majorEastAsia"/>
            <w:color w:val="0C7DBB"/>
          </w:rPr>
          <w:t>knee flexion</w:t>
        </w:r>
      </w:hyperlink>
      <w:r w:rsidRPr="00DF245A">
        <w:rPr>
          <w:color w:val="2E2E2E"/>
        </w:rPr>
        <w:t> in swing during obstacle-free walking may not be able to react to an obstacle that appears suddenly, which could result in a trip.</w:t>
      </w:r>
    </w:p>
    <w:p w14:paraId="5F247B5E" w14:textId="77777777" w:rsidR="005C2246" w:rsidRDefault="005C2246" w:rsidP="00DF245A">
      <w:pPr>
        <w:pStyle w:val="Heading1"/>
        <w:rPr>
          <w:sz w:val="36"/>
          <w:szCs w:val="36"/>
        </w:rPr>
      </w:pPr>
      <w:r>
        <w:t>Acknowledgements</w:t>
      </w:r>
    </w:p>
    <w:p w14:paraId="159D9D7E" w14:textId="77777777" w:rsidR="005C2246" w:rsidRPr="00DF245A" w:rsidRDefault="005C2246" w:rsidP="00DF245A">
      <w:pPr>
        <w:rPr>
          <w:color w:val="2E2E2E"/>
        </w:rPr>
      </w:pPr>
      <w:r w:rsidRPr="00DF245A">
        <w:rPr>
          <w:color w:val="2E2E2E"/>
        </w:rPr>
        <w:t xml:space="preserve">The authors thank Barbara </w:t>
      </w:r>
      <w:proofErr w:type="spellStart"/>
      <w:r w:rsidRPr="00DF245A">
        <w:rPr>
          <w:color w:val="2E2E2E"/>
        </w:rPr>
        <w:t>Safarovic</w:t>
      </w:r>
      <w:proofErr w:type="spellEnd"/>
      <w:r w:rsidRPr="00DF245A">
        <w:rPr>
          <w:color w:val="2E2E2E"/>
        </w:rPr>
        <w:t xml:space="preserve"> and Thomas Gus </w:t>
      </w:r>
      <w:proofErr w:type="spellStart"/>
      <w:r w:rsidRPr="00DF245A">
        <w:rPr>
          <w:color w:val="2E2E2E"/>
        </w:rPr>
        <w:t>Almonroeder</w:t>
      </w:r>
      <w:proofErr w:type="spellEnd"/>
      <w:r w:rsidRPr="00DF245A">
        <w:rPr>
          <w:color w:val="2E2E2E"/>
        </w:rPr>
        <w:t>, PT, </w:t>
      </w:r>
      <w:hyperlink r:id="rId54" w:tooltip="Learn more about Doctor of Philosophy from ScienceDirect's AI-generated Topic Pages" w:history="1">
        <w:r w:rsidRPr="00DF245A">
          <w:rPr>
            <w:rStyle w:val="Hyperlink"/>
            <w:rFonts w:eastAsiaTheme="majorEastAsia"/>
            <w:color w:val="0C7DBB"/>
          </w:rPr>
          <w:t>PhD</w:t>
        </w:r>
      </w:hyperlink>
      <w:r w:rsidRPr="00DF245A">
        <w:rPr>
          <w:color w:val="2E2E2E"/>
        </w:rPr>
        <w:t> for their assistance with data collection, and Alexander Morgan, Alexandra Johnson, Stacey Benson, Hope Benson and Thomas Benson for their assistance with data processing.</w:t>
      </w:r>
    </w:p>
    <w:p w14:paraId="5AAFA42B" w14:textId="77777777" w:rsidR="005C2246" w:rsidRDefault="005C2246" w:rsidP="00DF245A">
      <w:pPr>
        <w:pStyle w:val="Heading1"/>
        <w:rPr>
          <w:sz w:val="36"/>
          <w:szCs w:val="36"/>
        </w:rPr>
      </w:pPr>
      <w:r>
        <w:t>Funding sources</w:t>
      </w:r>
    </w:p>
    <w:p w14:paraId="1F39E4B5" w14:textId="77777777" w:rsidR="005C2246" w:rsidRPr="00DF245A" w:rsidRDefault="005C2246" w:rsidP="00DF245A">
      <w:pPr>
        <w:rPr>
          <w:color w:val="2E2E2E"/>
        </w:rPr>
      </w:pPr>
      <w:r w:rsidRPr="00DF245A">
        <w:rPr>
          <w:color w:val="2E2E2E"/>
        </w:rPr>
        <w:t>This work was supported by the International Society of </w:t>
      </w:r>
      <w:hyperlink r:id="rId55" w:tooltip="Learn more about Biophysics from ScienceDirect's AI-generated Topic Pages" w:history="1">
        <w:r w:rsidRPr="00DF245A">
          <w:rPr>
            <w:rStyle w:val="Hyperlink"/>
            <w:rFonts w:eastAsiaTheme="majorEastAsia"/>
            <w:color w:val="0C7DBB"/>
          </w:rPr>
          <w:t>Biomechanics</w:t>
        </w:r>
      </w:hyperlink>
      <w:r w:rsidRPr="00DF245A">
        <w:rPr>
          <w:color w:val="2E2E2E"/>
        </w:rPr>
        <w:t> Matching Dissertation Grant and the University of Wisconsin-Milwaukee Student Research Grant. The sponsors had no role in the study design; in the collection, analysis and interpretation of data; in the writing of the manuscript; or in the decision to submit the manuscript for publication.</w:t>
      </w:r>
    </w:p>
    <w:p w14:paraId="0B07BA7D" w14:textId="77777777" w:rsidR="005C2246" w:rsidRDefault="005C2246" w:rsidP="00DF245A">
      <w:pPr>
        <w:pStyle w:val="Heading1"/>
        <w:rPr>
          <w:sz w:val="36"/>
          <w:szCs w:val="36"/>
        </w:rPr>
      </w:pPr>
      <w:r>
        <w:t>Conflicts of interest</w:t>
      </w:r>
    </w:p>
    <w:p w14:paraId="428A12DE" w14:textId="77777777" w:rsidR="005C2246" w:rsidRDefault="005C2246" w:rsidP="00DF245A">
      <w:r>
        <w:t>None.</w:t>
      </w:r>
    </w:p>
    <w:p w14:paraId="4602B719" w14:textId="77777777" w:rsidR="005C2246" w:rsidRDefault="005C2246" w:rsidP="00DF245A">
      <w:pPr>
        <w:pStyle w:val="Heading1"/>
        <w:rPr>
          <w:sz w:val="36"/>
          <w:szCs w:val="36"/>
        </w:rPr>
      </w:pPr>
      <w:r>
        <w:t>References</w:t>
      </w:r>
    </w:p>
    <w:p w14:paraId="6A34C8B2" w14:textId="0CDA3177" w:rsidR="005C2246" w:rsidRPr="005633B4" w:rsidRDefault="00994465" w:rsidP="00D76566">
      <w:pPr>
        <w:pStyle w:val="NoSpacing"/>
        <w:ind w:left="630" w:hanging="630"/>
      </w:pPr>
      <w:hyperlink r:id="rId56" w:anchor="bb0005" w:history="1">
        <w:proofErr w:type="spellStart"/>
        <w:r w:rsidR="005C2246" w:rsidRPr="005633B4">
          <w:rPr>
            <w:rStyle w:val="Hyperlink"/>
            <w:color w:val="0C7DBB"/>
          </w:rPr>
          <w:t>Angeloni</w:t>
        </w:r>
        <w:proofErr w:type="spellEnd"/>
        <w:r w:rsidR="005C2246" w:rsidRPr="005633B4">
          <w:rPr>
            <w:rStyle w:val="Hyperlink"/>
            <w:color w:val="0C7DBB"/>
          </w:rPr>
          <w:t xml:space="preserve"> et al., 1994</w:t>
        </w:r>
      </w:hyperlink>
      <w:r w:rsidR="00D76566">
        <w:rPr>
          <w:rStyle w:val="Hyperlink"/>
          <w:color w:val="0C7DBB"/>
        </w:rPr>
        <w:t xml:space="preserve"> </w:t>
      </w:r>
      <w:r w:rsidR="005C2246" w:rsidRPr="005633B4">
        <w:t>C. </w:t>
      </w:r>
      <w:proofErr w:type="spellStart"/>
      <w:r w:rsidR="005C2246" w:rsidRPr="005633B4">
        <w:t>Angeloni</w:t>
      </w:r>
      <w:proofErr w:type="spellEnd"/>
      <w:r w:rsidR="005C2246" w:rsidRPr="005633B4">
        <w:t>, P.O. Riley, D.E. Krebs</w:t>
      </w:r>
      <w:r w:rsidR="00D76566">
        <w:t xml:space="preserve"> </w:t>
      </w:r>
      <w:r w:rsidR="005C2246" w:rsidRPr="005633B4">
        <w:rPr>
          <w:rStyle w:val="Strong"/>
        </w:rPr>
        <w:t xml:space="preserve">Frequency content of </w:t>
      </w:r>
      <w:proofErr w:type="gramStart"/>
      <w:r w:rsidR="005C2246" w:rsidRPr="005633B4">
        <w:rPr>
          <w:rStyle w:val="Strong"/>
        </w:rPr>
        <w:t>whole body</w:t>
      </w:r>
      <w:proofErr w:type="gramEnd"/>
      <w:r w:rsidR="005C2246" w:rsidRPr="005633B4">
        <w:rPr>
          <w:rStyle w:val="Strong"/>
        </w:rPr>
        <w:t xml:space="preserve"> gait kinematic data</w:t>
      </w:r>
    </w:p>
    <w:p w14:paraId="06044596" w14:textId="77777777" w:rsidR="005C2246" w:rsidRPr="005633B4" w:rsidRDefault="005C2246" w:rsidP="00D76566">
      <w:pPr>
        <w:pStyle w:val="NoSpacing"/>
        <w:ind w:left="630" w:hanging="630"/>
        <w:rPr>
          <w:color w:val="323232"/>
        </w:rPr>
      </w:pPr>
      <w:r w:rsidRPr="005633B4">
        <w:rPr>
          <w:color w:val="323232"/>
        </w:rPr>
        <w:t>IEEE Transactions on Rehabilitation Engineering, 21 (1994), pp. 40-46</w:t>
      </w:r>
    </w:p>
    <w:p w14:paraId="10BA6AA6" w14:textId="29A84839" w:rsidR="005C2246" w:rsidRPr="005633B4" w:rsidRDefault="00994465" w:rsidP="00D76566">
      <w:pPr>
        <w:pStyle w:val="NoSpacing"/>
        <w:ind w:left="630" w:hanging="630"/>
      </w:pPr>
      <w:hyperlink r:id="rId57" w:anchor="bb0010" w:history="1">
        <w:r w:rsidR="005C2246" w:rsidRPr="005633B4">
          <w:rPr>
            <w:rStyle w:val="Hyperlink"/>
            <w:color w:val="0C7DBB"/>
          </w:rPr>
          <w:t>Balaban and Tok, 2014</w:t>
        </w:r>
      </w:hyperlink>
      <w:r w:rsidR="00D76566">
        <w:rPr>
          <w:rStyle w:val="Hyperlink"/>
          <w:color w:val="0C7DBB"/>
        </w:rPr>
        <w:t xml:space="preserve"> </w:t>
      </w:r>
      <w:r w:rsidR="005C2246" w:rsidRPr="005633B4">
        <w:t>B. Balaban, F. Tok</w:t>
      </w:r>
      <w:r w:rsidR="00D76566">
        <w:t xml:space="preserve"> </w:t>
      </w:r>
      <w:r w:rsidR="005C2246" w:rsidRPr="005633B4">
        <w:rPr>
          <w:rStyle w:val="Strong"/>
        </w:rPr>
        <w:t>Gait Disturbances in patients with stroke</w:t>
      </w:r>
    </w:p>
    <w:p w14:paraId="5A9A2A89" w14:textId="77777777" w:rsidR="005C2246" w:rsidRPr="005633B4" w:rsidRDefault="005C2246" w:rsidP="00D76566">
      <w:pPr>
        <w:pStyle w:val="NoSpacing"/>
        <w:ind w:left="630" w:hanging="630"/>
        <w:rPr>
          <w:color w:val="323232"/>
        </w:rPr>
      </w:pPr>
      <w:proofErr w:type="spellStart"/>
      <w:r w:rsidRPr="005633B4">
        <w:rPr>
          <w:color w:val="323232"/>
        </w:rPr>
        <w:t>Pm&amp;R</w:t>
      </w:r>
      <w:proofErr w:type="spellEnd"/>
      <w:r w:rsidRPr="005633B4">
        <w:rPr>
          <w:color w:val="323232"/>
        </w:rPr>
        <w:t>, 67 (2014), pp. 635-642</w:t>
      </w:r>
    </w:p>
    <w:p w14:paraId="619EB0AC" w14:textId="5B432E7C" w:rsidR="005C2246" w:rsidRPr="005633B4" w:rsidRDefault="00994465" w:rsidP="00D76566">
      <w:pPr>
        <w:pStyle w:val="NoSpacing"/>
        <w:ind w:left="630" w:hanging="630"/>
      </w:pPr>
      <w:hyperlink r:id="rId58" w:anchor="bb0015" w:history="1">
        <w:proofErr w:type="spellStart"/>
        <w:r w:rsidR="005C2246" w:rsidRPr="005633B4">
          <w:rPr>
            <w:rStyle w:val="Hyperlink"/>
            <w:color w:val="0C7DBB"/>
          </w:rPr>
          <w:t>Batchelor</w:t>
        </w:r>
        <w:proofErr w:type="spellEnd"/>
        <w:r w:rsidR="005C2246" w:rsidRPr="005633B4">
          <w:rPr>
            <w:rStyle w:val="Hyperlink"/>
            <w:color w:val="0C7DBB"/>
          </w:rPr>
          <w:t xml:space="preserve"> et al., 2012</w:t>
        </w:r>
      </w:hyperlink>
      <w:r w:rsidR="00D76566">
        <w:rPr>
          <w:rStyle w:val="Hyperlink"/>
          <w:color w:val="0C7DBB"/>
        </w:rPr>
        <w:t xml:space="preserve"> </w:t>
      </w:r>
      <w:r w:rsidR="005C2246" w:rsidRPr="005633B4">
        <w:t>F.A. </w:t>
      </w:r>
      <w:proofErr w:type="spellStart"/>
      <w:r w:rsidR="005C2246" w:rsidRPr="005633B4">
        <w:t>Batchelor</w:t>
      </w:r>
      <w:proofErr w:type="spellEnd"/>
      <w:r w:rsidR="005C2246" w:rsidRPr="005633B4">
        <w:t>, S.F. Mackintosh, C.M. Said, K.D. Hill</w:t>
      </w:r>
      <w:r w:rsidR="00D76566">
        <w:t xml:space="preserve"> </w:t>
      </w:r>
      <w:r w:rsidR="005C2246" w:rsidRPr="005633B4">
        <w:rPr>
          <w:rStyle w:val="Strong"/>
        </w:rPr>
        <w:t>Falls after stroke</w:t>
      </w:r>
    </w:p>
    <w:p w14:paraId="1FEC9831" w14:textId="77777777" w:rsidR="005C2246" w:rsidRPr="005633B4" w:rsidRDefault="005C2246" w:rsidP="00D76566">
      <w:pPr>
        <w:pStyle w:val="NoSpacing"/>
        <w:ind w:left="630" w:hanging="630"/>
        <w:rPr>
          <w:color w:val="323232"/>
        </w:rPr>
      </w:pPr>
      <w:r w:rsidRPr="005633B4">
        <w:rPr>
          <w:color w:val="323232"/>
        </w:rPr>
        <w:t>International Journal of Stroke, 76 (2012), pp. 482-490</w:t>
      </w:r>
    </w:p>
    <w:p w14:paraId="125FDD35" w14:textId="446645AB" w:rsidR="005C2246" w:rsidRPr="005633B4" w:rsidRDefault="00994465" w:rsidP="005633B4">
      <w:pPr>
        <w:pStyle w:val="NoSpacing"/>
        <w:ind w:left="720" w:hanging="720"/>
        <w:rPr>
          <w:color w:val="323232"/>
        </w:rPr>
      </w:pPr>
      <w:hyperlink r:id="rId59" w:anchor="bb0020" w:history="1">
        <w:proofErr w:type="spellStart"/>
        <w:r w:rsidR="005C2246" w:rsidRPr="005633B4">
          <w:rPr>
            <w:rStyle w:val="Hyperlink"/>
            <w:color w:val="0C7DBB"/>
          </w:rPr>
          <w:t>Begg</w:t>
        </w:r>
        <w:proofErr w:type="spellEnd"/>
        <w:r w:rsidR="005C2246" w:rsidRPr="005633B4">
          <w:rPr>
            <w:rStyle w:val="Hyperlink"/>
            <w:color w:val="0C7DBB"/>
          </w:rPr>
          <w:t xml:space="preserve"> et al., 2007</w:t>
        </w:r>
      </w:hyperlink>
      <w:r w:rsidR="00D76566">
        <w:rPr>
          <w:rStyle w:val="Hyperlink"/>
          <w:color w:val="0C7DBB"/>
        </w:rPr>
        <w:t xml:space="preserve"> </w:t>
      </w:r>
      <w:r w:rsidR="005C2246" w:rsidRPr="005633B4">
        <w:t>R.K. </w:t>
      </w:r>
      <w:proofErr w:type="spellStart"/>
      <w:r w:rsidR="005C2246" w:rsidRPr="005633B4">
        <w:t>Begg</w:t>
      </w:r>
      <w:proofErr w:type="spellEnd"/>
      <w:r w:rsidR="005C2246" w:rsidRPr="005633B4">
        <w:t>, R. Best, L. </w:t>
      </w:r>
      <w:proofErr w:type="spellStart"/>
      <w:r w:rsidR="005C2246" w:rsidRPr="005633B4">
        <w:t>Dell'Oro</w:t>
      </w:r>
      <w:proofErr w:type="spellEnd"/>
      <w:r w:rsidR="005C2246" w:rsidRPr="005633B4">
        <w:t>, S. Taylor</w:t>
      </w:r>
      <w:r w:rsidR="00D76566">
        <w:t xml:space="preserve"> </w:t>
      </w:r>
      <w:r w:rsidR="005C2246" w:rsidRPr="005633B4">
        <w:rPr>
          <w:rStyle w:val="Strong"/>
        </w:rPr>
        <w:t xml:space="preserve">Minimum foot clearance during walking: Strategies for the </w:t>
      </w:r>
      <w:proofErr w:type="spellStart"/>
      <w:r w:rsidR="005C2246" w:rsidRPr="005633B4">
        <w:rPr>
          <w:rStyle w:val="Strong"/>
        </w:rPr>
        <w:t>minimisation</w:t>
      </w:r>
      <w:proofErr w:type="spellEnd"/>
      <w:r w:rsidR="005C2246" w:rsidRPr="005633B4">
        <w:rPr>
          <w:rStyle w:val="Strong"/>
        </w:rPr>
        <w:t xml:space="preserve"> of trip-related falls</w:t>
      </w:r>
      <w:r w:rsidR="00D76566">
        <w:rPr>
          <w:rStyle w:val="Strong"/>
        </w:rPr>
        <w:t xml:space="preserve"> </w:t>
      </w:r>
      <w:r w:rsidR="005C2246" w:rsidRPr="005633B4">
        <w:rPr>
          <w:color w:val="323232"/>
        </w:rPr>
        <w:t>Gait Posture, 252 (2007), pp. 191-198</w:t>
      </w:r>
    </w:p>
    <w:p w14:paraId="538CE866" w14:textId="58523455" w:rsidR="005C2246" w:rsidRPr="005633B4" w:rsidRDefault="00994465" w:rsidP="005633B4">
      <w:pPr>
        <w:pStyle w:val="NoSpacing"/>
        <w:ind w:left="720" w:hanging="720"/>
        <w:rPr>
          <w:color w:val="323232"/>
        </w:rPr>
      </w:pPr>
      <w:hyperlink r:id="rId60" w:anchor="bb0025" w:history="1">
        <w:r w:rsidR="005C2246" w:rsidRPr="005633B4">
          <w:rPr>
            <w:rStyle w:val="Hyperlink"/>
            <w:color w:val="0C7DBB"/>
          </w:rPr>
          <w:t>Berg et al., 1997</w:t>
        </w:r>
      </w:hyperlink>
      <w:r w:rsidR="00D76566">
        <w:rPr>
          <w:rStyle w:val="Hyperlink"/>
          <w:color w:val="0C7DBB"/>
        </w:rPr>
        <w:t xml:space="preserve"> </w:t>
      </w:r>
      <w:r w:rsidR="005C2246" w:rsidRPr="005633B4">
        <w:t>W.P. Berg, H.M. Alessio, E.M. Mills, C. Tong</w:t>
      </w:r>
      <w:r w:rsidR="00D76566">
        <w:t xml:space="preserve"> </w:t>
      </w:r>
      <w:r w:rsidR="005C2246" w:rsidRPr="005633B4">
        <w:rPr>
          <w:rStyle w:val="Strong"/>
        </w:rPr>
        <w:t>Circumstances and consequences of falls in independent community-dwelling older adults</w:t>
      </w:r>
      <w:r w:rsidR="00D76566">
        <w:rPr>
          <w:rStyle w:val="Strong"/>
        </w:rPr>
        <w:t xml:space="preserve"> </w:t>
      </w:r>
      <w:r w:rsidR="005C2246" w:rsidRPr="005633B4">
        <w:rPr>
          <w:color w:val="323232"/>
        </w:rPr>
        <w:t>Age and Ageing, 264 (1997), pp. 261-268</w:t>
      </w:r>
    </w:p>
    <w:p w14:paraId="56336B7E" w14:textId="476884DE" w:rsidR="005C2246" w:rsidRPr="005633B4" w:rsidRDefault="00994465" w:rsidP="005633B4">
      <w:pPr>
        <w:pStyle w:val="NoSpacing"/>
        <w:ind w:left="720" w:hanging="720"/>
        <w:rPr>
          <w:color w:val="323232"/>
        </w:rPr>
      </w:pPr>
      <w:hyperlink r:id="rId61" w:anchor="bb0030" w:history="1">
        <w:r w:rsidR="005C2246" w:rsidRPr="005633B4">
          <w:rPr>
            <w:rStyle w:val="Hyperlink"/>
            <w:color w:val="0C7DBB"/>
          </w:rPr>
          <w:t>Blake et al., 1988</w:t>
        </w:r>
      </w:hyperlink>
      <w:r w:rsidR="00D76566">
        <w:rPr>
          <w:rStyle w:val="Hyperlink"/>
          <w:color w:val="0C7DBB"/>
        </w:rPr>
        <w:t xml:space="preserve"> </w:t>
      </w:r>
      <w:r w:rsidR="005C2246" w:rsidRPr="005633B4">
        <w:t>A.J. Blake, K. Morgan, M.J. Bendall, H. Dallosso, S.B.J. Ebrahim, T.H.D. Arie, ..., E.J. Bassey</w:t>
      </w:r>
      <w:r w:rsidR="00D76566">
        <w:t xml:space="preserve"> </w:t>
      </w:r>
      <w:r w:rsidR="005C2246" w:rsidRPr="005633B4">
        <w:rPr>
          <w:rStyle w:val="Strong"/>
        </w:rPr>
        <w:t>Falls by elderly people at home – Prevalence and associated factors</w:t>
      </w:r>
      <w:r w:rsidR="00D76566">
        <w:rPr>
          <w:rStyle w:val="Strong"/>
        </w:rPr>
        <w:t xml:space="preserve"> </w:t>
      </w:r>
      <w:r w:rsidR="005C2246" w:rsidRPr="005633B4">
        <w:rPr>
          <w:color w:val="323232"/>
        </w:rPr>
        <w:t>Age and Ageing, 176 (1988), pp. 365-372</w:t>
      </w:r>
    </w:p>
    <w:p w14:paraId="064F57A8" w14:textId="40763869" w:rsidR="005C2246" w:rsidRPr="005633B4" w:rsidRDefault="00994465" w:rsidP="005633B4">
      <w:pPr>
        <w:pStyle w:val="NoSpacing"/>
        <w:ind w:left="720" w:hanging="720"/>
        <w:rPr>
          <w:color w:val="323232"/>
        </w:rPr>
      </w:pPr>
      <w:hyperlink r:id="rId62" w:anchor="bb0035" w:history="1">
        <w:r w:rsidR="005C2246" w:rsidRPr="005633B4">
          <w:rPr>
            <w:rStyle w:val="Hyperlink"/>
            <w:color w:val="0C7DBB"/>
          </w:rPr>
          <w:t>Borg, 1970</w:t>
        </w:r>
      </w:hyperlink>
      <w:r w:rsidR="00D76566">
        <w:rPr>
          <w:rStyle w:val="Hyperlink"/>
          <w:color w:val="0C7DBB"/>
        </w:rPr>
        <w:t xml:space="preserve"> </w:t>
      </w:r>
      <w:r w:rsidR="005C2246" w:rsidRPr="005633B4">
        <w:t>G. Borg</w:t>
      </w:r>
      <w:r w:rsidR="00D76566">
        <w:t xml:space="preserve"> </w:t>
      </w:r>
      <w:r w:rsidR="005C2246" w:rsidRPr="005633B4">
        <w:rPr>
          <w:rStyle w:val="Strong"/>
        </w:rPr>
        <w:t>Perceived exertion as an indicator of somatic stress</w:t>
      </w:r>
      <w:r w:rsidR="00D76566">
        <w:rPr>
          <w:rStyle w:val="Strong"/>
        </w:rPr>
        <w:t xml:space="preserve"> </w:t>
      </w:r>
      <w:r w:rsidR="005C2246" w:rsidRPr="005633B4">
        <w:rPr>
          <w:color w:val="323232"/>
        </w:rPr>
        <w:t>Scandinavian Journal of Rehabilitation Medicine, 22 (1970), pp. 92-98</w:t>
      </w:r>
    </w:p>
    <w:p w14:paraId="298C3EE0" w14:textId="47B4C543" w:rsidR="005C2246" w:rsidRPr="005633B4" w:rsidRDefault="00994465" w:rsidP="005633B4">
      <w:pPr>
        <w:pStyle w:val="NoSpacing"/>
        <w:ind w:left="720" w:hanging="720"/>
        <w:rPr>
          <w:color w:val="323232"/>
        </w:rPr>
      </w:pPr>
      <w:hyperlink r:id="rId63" w:anchor="bb0040" w:history="1">
        <w:r w:rsidR="005C2246" w:rsidRPr="005633B4">
          <w:rPr>
            <w:rStyle w:val="Hyperlink"/>
            <w:color w:val="0C7DBB"/>
          </w:rPr>
          <w:t>Chen et al., 1991</w:t>
        </w:r>
      </w:hyperlink>
      <w:r w:rsidR="00D76566">
        <w:rPr>
          <w:rStyle w:val="Hyperlink"/>
          <w:color w:val="0C7DBB"/>
        </w:rPr>
        <w:t xml:space="preserve"> </w:t>
      </w:r>
      <w:r w:rsidR="005C2246" w:rsidRPr="005633B4">
        <w:t>H.C. Chen, J.A. Ashton-Miller, N.B. Alexander, A.B. Schultz</w:t>
      </w:r>
      <w:r w:rsidR="00D76566">
        <w:t xml:space="preserve"> </w:t>
      </w:r>
      <w:r w:rsidR="005C2246" w:rsidRPr="005633B4">
        <w:rPr>
          <w:rStyle w:val="Strong"/>
        </w:rPr>
        <w:t>Stepping over obstacles: Gait patterns of healthy young and old adults</w:t>
      </w:r>
      <w:r w:rsidR="00D76566">
        <w:rPr>
          <w:rStyle w:val="Strong"/>
        </w:rPr>
        <w:t xml:space="preserve"> </w:t>
      </w:r>
      <w:r w:rsidR="005C2246" w:rsidRPr="005633B4">
        <w:rPr>
          <w:color w:val="323232"/>
        </w:rPr>
        <w:t>Journal of Gerontology, 466 (1991), pp. M196-M203</w:t>
      </w:r>
    </w:p>
    <w:p w14:paraId="1291D962" w14:textId="0CCD0345" w:rsidR="005C2246" w:rsidRPr="005633B4" w:rsidRDefault="00994465" w:rsidP="005633B4">
      <w:pPr>
        <w:pStyle w:val="NoSpacing"/>
        <w:ind w:left="720" w:hanging="720"/>
        <w:rPr>
          <w:color w:val="323232"/>
        </w:rPr>
      </w:pPr>
      <w:hyperlink r:id="rId64" w:anchor="bb0045" w:history="1">
        <w:r w:rsidR="005C2246" w:rsidRPr="005633B4">
          <w:rPr>
            <w:rStyle w:val="Hyperlink"/>
            <w:color w:val="0C7DBB"/>
          </w:rPr>
          <w:t>Chen et al., 1994</w:t>
        </w:r>
      </w:hyperlink>
      <w:r w:rsidR="00D76566">
        <w:rPr>
          <w:rStyle w:val="Hyperlink"/>
          <w:color w:val="0C7DBB"/>
        </w:rPr>
        <w:t xml:space="preserve"> </w:t>
      </w:r>
      <w:r w:rsidR="005C2246" w:rsidRPr="005633B4">
        <w:t>H. Chen, J.A. Ashton-Miller, N.B. Alexander, A.B. Schultz</w:t>
      </w:r>
      <w:r w:rsidR="00D76566">
        <w:t xml:space="preserve"> </w:t>
      </w:r>
      <w:r w:rsidR="005C2246" w:rsidRPr="005633B4">
        <w:rPr>
          <w:rStyle w:val="Strong"/>
        </w:rPr>
        <w:t>Effects of age and available response time on ability to step over an obstacle</w:t>
      </w:r>
      <w:r w:rsidR="00D76566">
        <w:rPr>
          <w:rStyle w:val="Strong"/>
        </w:rPr>
        <w:t xml:space="preserve"> </w:t>
      </w:r>
      <w:r w:rsidR="005C2246" w:rsidRPr="005633B4">
        <w:rPr>
          <w:color w:val="323232"/>
        </w:rPr>
        <w:t>Journal of Gerontology, 495 (1994), pp. M227-M233</w:t>
      </w:r>
    </w:p>
    <w:p w14:paraId="399880C1" w14:textId="13B11078" w:rsidR="005C2246" w:rsidRPr="005633B4" w:rsidRDefault="00994465" w:rsidP="005633B4">
      <w:pPr>
        <w:pStyle w:val="NoSpacing"/>
        <w:ind w:left="720" w:hanging="720"/>
        <w:rPr>
          <w:color w:val="323232"/>
        </w:rPr>
      </w:pPr>
      <w:hyperlink r:id="rId65" w:anchor="bb0050" w:history="1">
        <w:r w:rsidR="005C2246" w:rsidRPr="005633B4">
          <w:rPr>
            <w:rStyle w:val="Hyperlink"/>
            <w:color w:val="0C7DBB"/>
          </w:rPr>
          <w:t xml:space="preserve">Chou and </w:t>
        </w:r>
        <w:proofErr w:type="spellStart"/>
        <w:r w:rsidR="005C2246" w:rsidRPr="005633B4">
          <w:rPr>
            <w:rStyle w:val="Hyperlink"/>
            <w:color w:val="0C7DBB"/>
          </w:rPr>
          <w:t>Draganich</w:t>
        </w:r>
        <w:proofErr w:type="spellEnd"/>
        <w:r w:rsidR="005C2246" w:rsidRPr="005633B4">
          <w:rPr>
            <w:rStyle w:val="Hyperlink"/>
            <w:color w:val="0C7DBB"/>
          </w:rPr>
          <w:t>, 1998</w:t>
        </w:r>
      </w:hyperlink>
      <w:r w:rsidR="00D76566">
        <w:rPr>
          <w:rStyle w:val="Hyperlink"/>
          <w:color w:val="0C7DBB"/>
        </w:rPr>
        <w:t xml:space="preserve"> </w:t>
      </w:r>
      <w:r w:rsidR="005C2246" w:rsidRPr="005633B4">
        <w:t>L. Chou, L.F. </w:t>
      </w:r>
      <w:proofErr w:type="spellStart"/>
      <w:r w:rsidR="005C2246" w:rsidRPr="005633B4">
        <w:t>Draganich</w:t>
      </w:r>
      <w:proofErr w:type="spellEnd"/>
      <w:r w:rsidR="00D76566">
        <w:t xml:space="preserve"> </w:t>
      </w:r>
      <w:r w:rsidR="005C2246" w:rsidRPr="005633B4">
        <w:rPr>
          <w:rStyle w:val="Strong"/>
        </w:rPr>
        <w:t>Placing the trailing foot closer to an obstacle reduces flexion of the hip, knee, and ankle to increase the risk of tripping</w:t>
      </w:r>
      <w:r w:rsidR="00D76566">
        <w:rPr>
          <w:rStyle w:val="Strong"/>
        </w:rPr>
        <w:t xml:space="preserve"> </w:t>
      </w:r>
      <w:r w:rsidR="005C2246" w:rsidRPr="005633B4">
        <w:rPr>
          <w:color w:val="323232"/>
        </w:rPr>
        <w:t>Journal of Biomechanics, 318 (1998), pp. 685-691</w:t>
      </w:r>
    </w:p>
    <w:p w14:paraId="12B81296" w14:textId="4F266AB1" w:rsidR="005C2246" w:rsidRPr="005633B4" w:rsidRDefault="00994465" w:rsidP="005633B4">
      <w:pPr>
        <w:pStyle w:val="NoSpacing"/>
        <w:ind w:left="720" w:hanging="720"/>
        <w:rPr>
          <w:color w:val="323232"/>
        </w:rPr>
      </w:pPr>
      <w:hyperlink r:id="rId66" w:anchor="bb0055" w:history="1">
        <w:r w:rsidR="005C2246" w:rsidRPr="005633B4">
          <w:rPr>
            <w:rStyle w:val="Hyperlink"/>
            <w:color w:val="0C7DBB"/>
          </w:rPr>
          <w:t>Forster and Young, 1995</w:t>
        </w:r>
      </w:hyperlink>
      <w:r w:rsidR="00D76566">
        <w:rPr>
          <w:rStyle w:val="Hyperlink"/>
          <w:color w:val="0C7DBB"/>
        </w:rPr>
        <w:t xml:space="preserve"> </w:t>
      </w:r>
      <w:r w:rsidR="005C2246" w:rsidRPr="005633B4">
        <w:t>A. Forster, J. Young</w:t>
      </w:r>
      <w:r w:rsidR="00D76566">
        <w:t xml:space="preserve"> </w:t>
      </w:r>
      <w:r w:rsidR="005C2246" w:rsidRPr="005633B4">
        <w:rPr>
          <w:rStyle w:val="Strong"/>
        </w:rPr>
        <w:t>Incidence and consequences of falls due to stroke – A systematic inquiry</w:t>
      </w:r>
      <w:r w:rsidR="00D76566">
        <w:rPr>
          <w:rStyle w:val="Strong"/>
        </w:rPr>
        <w:t xml:space="preserve"> </w:t>
      </w:r>
      <w:r w:rsidR="005C2246" w:rsidRPr="005633B4">
        <w:rPr>
          <w:color w:val="323232"/>
        </w:rPr>
        <w:t>British Medical Journal, 3116997 (1995), pp. 83-86</w:t>
      </w:r>
    </w:p>
    <w:p w14:paraId="4D94D041" w14:textId="32313EA2" w:rsidR="005C2246" w:rsidRPr="005633B4" w:rsidRDefault="00994465" w:rsidP="005633B4">
      <w:pPr>
        <w:pStyle w:val="NoSpacing"/>
        <w:ind w:left="720" w:hanging="720"/>
        <w:rPr>
          <w:color w:val="323232"/>
        </w:rPr>
      </w:pPr>
      <w:hyperlink r:id="rId67" w:anchor="bb0060" w:history="1">
        <w:r w:rsidR="005C2246" w:rsidRPr="005633B4">
          <w:rPr>
            <w:rStyle w:val="Hyperlink"/>
            <w:color w:val="0C7DBB"/>
          </w:rPr>
          <w:t>Garman et al., 2015</w:t>
        </w:r>
      </w:hyperlink>
      <w:r w:rsidR="00D76566">
        <w:rPr>
          <w:rStyle w:val="Hyperlink"/>
          <w:color w:val="0C7DBB"/>
        </w:rPr>
        <w:t xml:space="preserve"> </w:t>
      </w:r>
      <w:r w:rsidR="005C2246" w:rsidRPr="005633B4">
        <w:t>C.R. Garman, C.T. Franck, M.A. Nussbaum, M.L. Madigan</w:t>
      </w:r>
      <w:r w:rsidR="00D76566">
        <w:t xml:space="preserve"> </w:t>
      </w:r>
      <w:r w:rsidR="005C2246" w:rsidRPr="005633B4">
        <w:rPr>
          <w:rStyle w:val="Strong"/>
        </w:rPr>
        <w:t>A bootstrapping method to assess the influence of age, obesity, gender, and gait speed on probability of tripping as a function of obstacle height</w:t>
      </w:r>
      <w:r w:rsidR="00D76566">
        <w:rPr>
          <w:rStyle w:val="Strong"/>
        </w:rPr>
        <w:t xml:space="preserve"> </w:t>
      </w:r>
      <w:r w:rsidR="005C2246" w:rsidRPr="005633B4">
        <w:rPr>
          <w:color w:val="323232"/>
        </w:rPr>
        <w:t>Journal of Biomechanics, 486 (2015), pp. 1229-1232</w:t>
      </w:r>
    </w:p>
    <w:p w14:paraId="49CA64F5" w14:textId="6994FB39" w:rsidR="005C2246" w:rsidRPr="005633B4" w:rsidRDefault="00994465" w:rsidP="005633B4">
      <w:pPr>
        <w:pStyle w:val="NoSpacing"/>
        <w:ind w:left="720" w:hanging="720"/>
        <w:rPr>
          <w:color w:val="323232"/>
        </w:rPr>
      </w:pPr>
      <w:hyperlink r:id="rId68" w:anchor="bb0065" w:history="1">
        <w:r w:rsidR="005C2246" w:rsidRPr="005633B4">
          <w:rPr>
            <w:rStyle w:val="Hyperlink"/>
            <w:color w:val="0C7DBB"/>
          </w:rPr>
          <w:t>Gates et al., 2012</w:t>
        </w:r>
      </w:hyperlink>
      <w:r w:rsidR="00D76566">
        <w:rPr>
          <w:rStyle w:val="Hyperlink"/>
          <w:color w:val="0C7DBB"/>
        </w:rPr>
        <w:t xml:space="preserve"> </w:t>
      </w:r>
      <w:r w:rsidR="005C2246" w:rsidRPr="005633B4">
        <w:t>D.H. Gates, J.M. Wilken, S.J. Scott, E.H. </w:t>
      </w:r>
      <w:proofErr w:type="spellStart"/>
      <w:r w:rsidR="005C2246" w:rsidRPr="005633B4">
        <w:t>Sinitski</w:t>
      </w:r>
      <w:proofErr w:type="spellEnd"/>
      <w:r w:rsidR="005C2246" w:rsidRPr="005633B4">
        <w:t>, J.B. </w:t>
      </w:r>
      <w:proofErr w:type="spellStart"/>
      <w:r w:rsidR="005C2246" w:rsidRPr="005633B4">
        <w:t>Dingwell</w:t>
      </w:r>
      <w:proofErr w:type="spellEnd"/>
      <w:r w:rsidR="00D76566">
        <w:t xml:space="preserve"> </w:t>
      </w:r>
      <w:r w:rsidR="005C2246" w:rsidRPr="005633B4">
        <w:rPr>
          <w:rStyle w:val="Strong"/>
        </w:rPr>
        <w:t>Kinematic strategies for walking across a destabilizing rock surface</w:t>
      </w:r>
      <w:r w:rsidR="00D76566">
        <w:rPr>
          <w:rStyle w:val="Strong"/>
        </w:rPr>
        <w:t xml:space="preserve"> </w:t>
      </w:r>
      <w:r w:rsidR="005C2246" w:rsidRPr="005633B4">
        <w:rPr>
          <w:color w:val="323232"/>
        </w:rPr>
        <w:t>Gait Posture, 351 (2012), pp. 36-42</w:t>
      </w:r>
    </w:p>
    <w:p w14:paraId="3B22D262" w14:textId="27BF2E94" w:rsidR="005C2246" w:rsidRPr="005633B4" w:rsidRDefault="00994465" w:rsidP="005633B4">
      <w:pPr>
        <w:pStyle w:val="NoSpacing"/>
        <w:ind w:left="720" w:hanging="720"/>
        <w:rPr>
          <w:color w:val="323232"/>
        </w:rPr>
      </w:pPr>
      <w:hyperlink r:id="rId69" w:anchor="bb0070" w:history="1">
        <w:proofErr w:type="spellStart"/>
        <w:r w:rsidR="005C2246" w:rsidRPr="005633B4">
          <w:rPr>
            <w:rStyle w:val="Hyperlink"/>
            <w:color w:val="0C7DBB"/>
          </w:rPr>
          <w:t>Grood</w:t>
        </w:r>
        <w:proofErr w:type="spellEnd"/>
        <w:r w:rsidR="005C2246" w:rsidRPr="005633B4">
          <w:rPr>
            <w:rStyle w:val="Hyperlink"/>
            <w:color w:val="0C7DBB"/>
          </w:rPr>
          <w:t xml:space="preserve"> and </w:t>
        </w:r>
        <w:proofErr w:type="spellStart"/>
        <w:r w:rsidR="005C2246" w:rsidRPr="005633B4">
          <w:rPr>
            <w:rStyle w:val="Hyperlink"/>
            <w:color w:val="0C7DBB"/>
          </w:rPr>
          <w:t>Suntay</w:t>
        </w:r>
        <w:proofErr w:type="spellEnd"/>
        <w:r w:rsidR="005C2246" w:rsidRPr="005633B4">
          <w:rPr>
            <w:rStyle w:val="Hyperlink"/>
            <w:color w:val="0C7DBB"/>
          </w:rPr>
          <w:t>, 1983</w:t>
        </w:r>
      </w:hyperlink>
      <w:r w:rsidR="00D76566">
        <w:rPr>
          <w:rStyle w:val="Hyperlink"/>
          <w:color w:val="0C7DBB"/>
        </w:rPr>
        <w:t xml:space="preserve"> </w:t>
      </w:r>
      <w:r w:rsidR="005C2246" w:rsidRPr="005633B4">
        <w:t>E.S. </w:t>
      </w:r>
      <w:proofErr w:type="spellStart"/>
      <w:r w:rsidR="005C2246" w:rsidRPr="005633B4">
        <w:t>Grood</w:t>
      </w:r>
      <w:proofErr w:type="spellEnd"/>
      <w:r w:rsidR="005C2246" w:rsidRPr="005633B4">
        <w:t>, W.J. </w:t>
      </w:r>
      <w:proofErr w:type="spellStart"/>
      <w:r w:rsidR="005C2246" w:rsidRPr="005633B4">
        <w:t>Suntay</w:t>
      </w:r>
      <w:proofErr w:type="spellEnd"/>
      <w:r w:rsidR="00D76566">
        <w:t xml:space="preserve"> </w:t>
      </w:r>
      <w:r w:rsidR="005C2246" w:rsidRPr="005633B4">
        <w:rPr>
          <w:rStyle w:val="Strong"/>
        </w:rPr>
        <w:t>A joint coordinate system for the clinical description of three-dimensional motions: Application to the knee</w:t>
      </w:r>
      <w:r w:rsidR="00D76566">
        <w:rPr>
          <w:rStyle w:val="Strong"/>
        </w:rPr>
        <w:t xml:space="preserve"> </w:t>
      </w:r>
      <w:r w:rsidR="005C2246" w:rsidRPr="005633B4">
        <w:rPr>
          <w:color w:val="323232"/>
        </w:rPr>
        <w:t>Journal of Biomechanical Engineering, 1052 (1983), pp. 136-144</w:t>
      </w:r>
    </w:p>
    <w:p w14:paraId="7777CD3F" w14:textId="08BB3794" w:rsidR="005C2246" w:rsidRPr="005633B4" w:rsidRDefault="00994465" w:rsidP="005633B4">
      <w:pPr>
        <w:pStyle w:val="NoSpacing"/>
        <w:ind w:left="720" w:hanging="720"/>
        <w:rPr>
          <w:color w:val="323232"/>
        </w:rPr>
      </w:pPr>
      <w:hyperlink r:id="rId70" w:anchor="bb0075" w:history="1">
        <w:proofErr w:type="spellStart"/>
        <w:r w:rsidR="005C2246" w:rsidRPr="005633B4">
          <w:rPr>
            <w:rStyle w:val="Hyperlink"/>
            <w:color w:val="0C7DBB"/>
          </w:rPr>
          <w:t>Heijnen</w:t>
        </w:r>
        <w:proofErr w:type="spellEnd"/>
        <w:r w:rsidR="005C2246" w:rsidRPr="005633B4">
          <w:rPr>
            <w:rStyle w:val="Hyperlink"/>
            <w:color w:val="0C7DBB"/>
          </w:rPr>
          <w:t xml:space="preserve"> and </w:t>
        </w:r>
        <w:proofErr w:type="spellStart"/>
        <w:r w:rsidR="005C2246" w:rsidRPr="005633B4">
          <w:rPr>
            <w:rStyle w:val="Hyperlink"/>
            <w:color w:val="0C7DBB"/>
          </w:rPr>
          <w:t>Rietdyk</w:t>
        </w:r>
        <w:proofErr w:type="spellEnd"/>
        <w:r w:rsidR="005C2246" w:rsidRPr="005633B4">
          <w:rPr>
            <w:rStyle w:val="Hyperlink"/>
            <w:color w:val="0C7DBB"/>
          </w:rPr>
          <w:t>, 2016</w:t>
        </w:r>
      </w:hyperlink>
      <w:r w:rsidR="00D76566">
        <w:rPr>
          <w:rStyle w:val="Hyperlink"/>
          <w:color w:val="0C7DBB"/>
        </w:rPr>
        <w:t xml:space="preserve"> </w:t>
      </w:r>
      <w:r w:rsidR="005C2246" w:rsidRPr="005633B4">
        <w:t>M.J.H. </w:t>
      </w:r>
      <w:proofErr w:type="spellStart"/>
      <w:r w:rsidR="005C2246" w:rsidRPr="005633B4">
        <w:t>Heijnen</w:t>
      </w:r>
      <w:proofErr w:type="spellEnd"/>
      <w:r w:rsidR="005C2246" w:rsidRPr="005633B4">
        <w:t>, S. </w:t>
      </w:r>
      <w:proofErr w:type="spellStart"/>
      <w:r w:rsidR="005C2246" w:rsidRPr="005633B4">
        <w:t>Rietdyk</w:t>
      </w:r>
      <w:proofErr w:type="spellEnd"/>
      <w:r w:rsidR="00D76566">
        <w:t xml:space="preserve"> </w:t>
      </w:r>
      <w:r w:rsidR="005C2246" w:rsidRPr="005633B4">
        <w:rPr>
          <w:rStyle w:val="Strong"/>
        </w:rPr>
        <w:t>Falls in young adults: Perceived causes and environmental factors assessed with a daily online survey</w:t>
      </w:r>
      <w:r w:rsidR="00D76566">
        <w:rPr>
          <w:rStyle w:val="Strong"/>
        </w:rPr>
        <w:t xml:space="preserve"> </w:t>
      </w:r>
      <w:r w:rsidR="005C2246" w:rsidRPr="005633B4">
        <w:rPr>
          <w:color w:val="323232"/>
        </w:rPr>
        <w:t>Human Movement Science, 46 (2016), pp. 86-95</w:t>
      </w:r>
    </w:p>
    <w:p w14:paraId="0FB1B9A4" w14:textId="2FCE4A9A" w:rsidR="005C2246" w:rsidRPr="005633B4" w:rsidRDefault="00994465" w:rsidP="005633B4">
      <w:pPr>
        <w:pStyle w:val="NoSpacing"/>
        <w:ind w:left="720" w:hanging="720"/>
        <w:rPr>
          <w:color w:val="323232"/>
        </w:rPr>
      </w:pPr>
      <w:hyperlink r:id="rId71" w:anchor="bb0080" w:history="1">
        <w:r w:rsidR="005C2246" w:rsidRPr="005633B4">
          <w:rPr>
            <w:rStyle w:val="Hyperlink"/>
            <w:color w:val="0C7DBB"/>
          </w:rPr>
          <w:t>Kerrigan et al., 1998</w:t>
        </w:r>
      </w:hyperlink>
      <w:r w:rsidR="00D76566">
        <w:rPr>
          <w:rStyle w:val="Hyperlink"/>
          <w:color w:val="0C7DBB"/>
        </w:rPr>
        <w:t xml:space="preserve"> </w:t>
      </w:r>
      <w:r w:rsidR="005C2246" w:rsidRPr="005633B4">
        <w:t>D.C. Kerrigan, M.K. Todd, U. Della Croce, L.A. Lipsitz, J.J. Collins</w:t>
      </w:r>
      <w:r w:rsidR="00D76566">
        <w:t xml:space="preserve"> </w:t>
      </w:r>
      <w:r w:rsidR="005C2246" w:rsidRPr="005633B4">
        <w:rPr>
          <w:rStyle w:val="Strong"/>
        </w:rPr>
        <w:t>Biomechanical gait alterations independent of speed in the healthy elderly: Evidence for specific limiting impairments</w:t>
      </w:r>
      <w:r w:rsidR="00D76566">
        <w:rPr>
          <w:rStyle w:val="Strong"/>
        </w:rPr>
        <w:t xml:space="preserve"> </w:t>
      </w:r>
      <w:r w:rsidR="005C2246" w:rsidRPr="005633B4">
        <w:rPr>
          <w:color w:val="323232"/>
        </w:rPr>
        <w:t>Archives of Physical Medicine and Rehabilitation, 793 (1998), pp. 317-322</w:t>
      </w:r>
    </w:p>
    <w:p w14:paraId="100E6B20" w14:textId="143A9662" w:rsidR="005C2246" w:rsidRPr="005633B4" w:rsidRDefault="00994465" w:rsidP="005633B4">
      <w:pPr>
        <w:pStyle w:val="NoSpacing"/>
        <w:ind w:left="720" w:hanging="720"/>
        <w:rPr>
          <w:color w:val="323232"/>
        </w:rPr>
      </w:pPr>
      <w:hyperlink r:id="rId72" w:anchor="bb0085" w:history="1">
        <w:proofErr w:type="spellStart"/>
        <w:r w:rsidR="005C2246" w:rsidRPr="005633B4">
          <w:rPr>
            <w:rStyle w:val="Hyperlink"/>
            <w:color w:val="0C7DBB"/>
          </w:rPr>
          <w:t>Kirtley</w:t>
        </w:r>
        <w:proofErr w:type="spellEnd"/>
        <w:r w:rsidR="005C2246" w:rsidRPr="005633B4">
          <w:rPr>
            <w:rStyle w:val="Hyperlink"/>
            <w:color w:val="0C7DBB"/>
          </w:rPr>
          <w:t>, 2006</w:t>
        </w:r>
      </w:hyperlink>
      <w:r w:rsidR="00D76566">
        <w:rPr>
          <w:rStyle w:val="Hyperlink"/>
          <w:color w:val="0C7DBB"/>
        </w:rPr>
        <w:t xml:space="preserve"> </w:t>
      </w:r>
      <w:r w:rsidR="005C2246" w:rsidRPr="005633B4">
        <w:t>C. </w:t>
      </w:r>
      <w:proofErr w:type="spellStart"/>
      <w:r w:rsidR="005C2246" w:rsidRPr="005633B4">
        <w:t>Kirtley</w:t>
      </w:r>
      <w:proofErr w:type="spellEnd"/>
      <w:r w:rsidR="00D76566">
        <w:t xml:space="preserve"> </w:t>
      </w:r>
      <w:r w:rsidR="005C2246" w:rsidRPr="005633B4">
        <w:rPr>
          <w:rStyle w:val="Strong"/>
        </w:rPr>
        <w:t>Clinical gait analysis theory and practice</w:t>
      </w:r>
      <w:r w:rsidR="00D76566">
        <w:rPr>
          <w:rStyle w:val="Strong"/>
        </w:rPr>
        <w:t xml:space="preserve"> </w:t>
      </w:r>
      <w:r w:rsidR="005C2246" w:rsidRPr="005633B4">
        <w:rPr>
          <w:color w:val="323232"/>
        </w:rPr>
        <w:t>Elsevier, Philadelphia, PA (2006)</w:t>
      </w:r>
    </w:p>
    <w:p w14:paraId="0D3C3598" w14:textId="30FC4562" w:rsidR="005C2246" w:rsidRPr="005633B4" w:rsidRDefault="00994465" w:rsidP="005633B4">
      <w:pPr>
        <w:pStyle w:val="NoSpacing"/>
        <w:ind w:left="720" w:hanging="720"/>
        <w:rPr>
          <w:color w:val="323232"/>
        </w:rPr>
      </w:pPr>
      <w:hyperlink r:id="rId73" w:anchor="bb0090" w:history="1">
        <w:r w:rsidR="005C2246" w:rsidRPr="005633B4">
          <w:rPr>
            <w:rStyle w:val="Hyperlink"/>
            <w:color w:val="0C7DBB"/>
          </w:rPr>
          <w:t>Kwon et al., 2014</w:t>
        </w:r>
      </w:hyperlink>
      <w:r w:rsidR="00D76566">
        <w:rPr>
          <w:rStyle w:val="Hyperlink"/>
          <w:color w:val="0C7DBB"/>
        </w:rPr>
        <w:t xml:space="preserve"> </w:t>
      </w:r>
      <w:r w:rsidR="005C2246" w:rsidRPr="005633B4">
        <w:t>J.W. Kwon, S.M. Son, N.K. Lee</w:t>
      </w:r>
      <w:r w:rsidR="00D76566">
        <w:t xml:space="preserve"> </w:t>
      </w:r>
      <w:r w:rsidR="005C2246" w:rsidRPr="005633B4">
        <w:rPr>
          <w:rStyle w:val="Strong"/>
        </w:rPr>
        <w:t>Changes of kinematic parameters of lower extremities with gait speed: A 3D motion analysis study</w:t>
      </w:r>
      <w:r w:rsidR="00D76566">
        <w:rPr>
          <w:rStyle w:val="Strong"/>
        </w:rPr>
        <w:t xml:space="preserve"> </w:t>
      </w:r>
      <w:r w:rsidR="005C2246" w:rsidRPr="005633B4">
        <w:rPr>
          <w:color w:val="323232"/>
        </w:rPr>
        <w:t>Journal of Physical Therapy Science, 272 (2014), pp. 477-479</w:t>
      </w:r>
    </w:p>
    <w:p w14:paraId="78F57148" w14:textId="0A75DF77" w:rsidR="005C2246" w:rsidRPr="005633B4" w:rsidRDefault="00994465" w:rsidP="005633B4">
      <w:pPr>
        <w:pStyle w:val="NoSpacing"/>
        <w:ind w:left="720" w:hanging="720"/>
        <w:rPr>
          <w:color w:val="323232"/>
        </w:rPr>
      </w:pPr>
      <w:hyperlink r:id="rId74" w:anchor="bb0095" w:history="1">
        <w:proofErr w:type="spellStart"/>
        <w:r w:rsidR="005C2246" w:rsidRPr="005633B4">
          <w:rPr>
            <w:rStyle w:val="Hyperlink"/>
            <w:color w:val="0C7DBB"/>
          </w:rPr>
          <w:t>Lelas</w:t>
        </w:r>
        <w:proofErr w:type="spellEnd"/>
        <w:r w:rsidR="005C2246" w:rsidRPr="005633B4">
          <w:rPr>
            <w:rStyle w:val="Hyperlink"/>
            <w:color w:val="0C7DBB"/>
          </w:rPr>
          <w:t xml:space="preserve"> et al., 2003</w:t>
        </w:r>
      </w:hyperlink>
      <w:r w:rsidR="00D76566">
        <w:rPr>
          <w:rStyle w:val="Hyperlink"/>
          <w:color w:val="0C7DBB"/>
        </w:rPr>
        <w:t xml:space="preserve"> </w:t>
      </w:r>
      <w:r w:rsidR="005C2246" w:rsidRPr="005633B4">
        <w:t>J.L. </w:t>
      </w:r>
      <w:proofErr w:type="spellStart"/>
      <w:r w:rsidR="005C2246" w:rsidRPr="005633B4">
        <w:t>Lelas</w:t>
      </w:r>
      <w:proofErr w:type="spellEnd"/>
      <w:r w:rsidR="005C2246" w:rsidRPr="005633B4">
        <w:t>, G.J. Merriman, P.O. Riley, D.C. Kerrigan</w:t>
      </w:r>
      <w:r w:rsidR="00D76566">
        <w:t xml:space="preserve"> </w:t>
      </w:r>
      <w:r w:rsidR="005C2246" w:rsidRPr="005633B4">
        <w:rPr>
          <w:rStyle w:val="Strong"/>
        </w:rPr>
        <w:t>Predicting peak kinematic and kinetic parameters from gait speed</w:t>
      </w:r>
      <w:r w:rsidR="00D76566">
        <w:rPr>
          <w:rStyle w:val="Strong"/>
        </w:rPr>
        <w:t xml:space="preserve"> </w:t>
      </w:r>
      <w:r w:rsidR="005C2246" w:rsidRPr="005633B4">
        <w:rPr>
          <w:color w:val="323232"/>
        </w:rPr>
        <w:t>Gait Posture, 172 (2003), pp. 106-112</w:t>
      </w:r>
    </w:p>
    <w:p w14:paraId="7A760863" w14:textId="5D62D95E" w:rsidR="005C2246" w:rsidRPr="005633B4" w:rsidRDefault="00994465" w:rsidP="005633B4">
      <w:pPr>
        <w:pStyle w:val="NoSpacing"/>
        <w:ind w:left="720" w:hanging="720"/>
        <w:rPr>
          <w:color w:val="323232"/>
        </w:rPr>
      </w:pPr>
      <w:hyperlink r:id="rId75" w:anchor="bb0100" w:history="1">
        <w:r w:rsidR="005C2246" w:rsidRPr="005633B4">
          <w:rPr>
            <w:rStyle w:val="Hyperlink"/>
            <w:color w:val="0C7DBB"/>
          </w:rPr>
          <w:t>Levinger et al., 2012</w:t>
        </w:r>
      </w:hyperlink>
      <w:r w:rsidR="00D76566">
        <w:rPr>
          <w:rStyle w:val="Hyperlink"/>
          <w:color w:val="0C7DBB"/>
        </w:rPr>
        <w:t xml:space="preserve"> </w:t>
      </w:r>
      <w:r w:rsidR="005C2246" w:rsidRPr="005633B4">
        <w:t>P. Levinger, D.T.H. Lai, H.B. Menz, A.D. Morrow, J.A. Feller, J.R. Bartlett, ..., R.K. </w:t>
      </w:r>
      <w:proofErr w:type="spellStart"/>
      <w:r w:rsidR="005C2246" w:rsidRPr="005633B4">
        <w:t>Begg</w:t>
      </w:r>
      <w:proofErr w:type="spellEnd"/>
      <w:r w:rsidR="00D76566">
        <w:t xml:space="preserve"> </w:t>
      </w:r>
      <w:r w:rsidR="005C2246" w:rsidRPr="005633B4">
        <w:rPr>
          <w:rStyle w:val="Strong"/>
        </w:rPr>
        <w:t>Swing limb mechanics and minimum toe clearance in people with knee osteoarthritis</w:t>
      </w:r>
      <w:r w:rsidR="00D76566">
        <w:rPr>
          <w:rStyle w:val="Strong"/>
        </w:rPr>
        <w:t xml:space="preserve"> </w:t>
      </w:r>
      <w:r w:rsidR="005C2246" w:rsidRPr="005633B4">
        <w:rPr>
          <w:color w:val="323232"/>
        </w:rPr>
        <w:t>Gait Posture, 352 (2012), pp. 277-281</w:t>
      </w:r>
    </w:p>
    <w:p w14:paraId="204F78EF" w14:textId="52E46861" w:rsidR="005C2246" w:rsidRPr="005633B4" w:rsidRDefault="00994465" w:rsidP="005633B4">
      <w:pPr>
        <w:pStyle w:val="NoSpacing"/>
        <w:ind w:left="720" w:hanging="720"/>
        <w:rPr>
          <w:color w:val="323232"/>
        </w:rPr>
      </w:pPr>
      <w:hyperlink r:id="rId76" w:anchor="bb0105" w:history="1">
        <w:r w:rsidR="005C2246" w:rsidRPr="005633B4">
          <w:rPr>
            <w:rStyle w:val="Hyperlink"/>
            <w:color w:val="0C7DBB"/>
          </w:rPr>
          <w:t>Little et al., 2014</w:t>
        </w:r>
      </w:hyperlink>
      <w:r w:rsidR="00D76566">
        <w:rPr>
          <w:rStyle w:val="Hyperlink"/>
          <w:color w:val="0C7DBB"/>
        </w:rPr>
        <w:t xml:space="preserve"> </w:t>
      </w:r>
      <w:r w:rsidR="005C2246" w:rsidRPr="005633B4">
        <w:t>V.L. Little, T.E. </w:t>
      </w:r>
      <w:proofErr w:type="spellStart"/>
      <w:r w:rsidR="005C2246" w:rsidRPr="005633B4">
        <w:t>McGuirk</w:t>
      </w:r>
      <w:proofErr w:type="spellEnd"/>
      <w:r w:rsidR="005C2246" w:rsidRPr="005633B4">
        <w:t>, C. Patten</w:t>
      </w:r>
      <w:r w:rsidR="00D76566">
        <w:t xml:space="preserve"> </w:t>
      </w:r>
      <w:r w:rsidR="005C2246" w:rsidRPr="005633B4">
        <w:rPr>
          <w:rStyle w:val="Strong"/>
        </w:rPr>
        <w:t>Impaired limb shortening following stroke: What's in a name?</w:t>
      </w:r>
      <w:r w:rsidR="00D76566">
        <w:rPr>
          <w:rStyle w:val="Strong"/>
        </w:rPr>
        <w:t xml:space="preserve"> </w:t>
      </w:r>
      <w:proofErr w:type="spellStart"/>
      <w:r w:rsidR="005C2246" w:rsidRPr="005633B4">
        <w:rPr>
          <w:color w:val="323232"/>
        </w:rPr>
        <w:t>PLoS</w:t>
      </w:r>
      <w:proofErr w:type="spellEnd"/>
      <w:r w:rsidR="005C2246" w:rsidRPr="005633B4">
        <w:rPr>
          <w:color w:val="323232"/>
        </w:rPr>
        <w:t xml:space="preserve"> One, 910 (2014), Article e110140</w:t>
      </w:r>
    </w:p>
    <w:p w14:paraId="32869F51" w14:textId="5FE301BC" w:rsidR="005C2246" w:rsidRPr="005633B4" w:rsidRDefault="00994465" w:rsidP="005633B4">
      <w:pPr>
        <w:pStyle w:val="NoSpacing"/>
        <w:ind w:left="720" w:hanging="720"/>
        <w:rPr>
          <w:color w:val="323232"/>
        </w:rPr>
      </w:pPr>
      <w:hyperlink r:id="rId77" w:anchor="bb0110" w:history="1">
        <w:r w:rsidR="005C2246" w:rsidRPr="005633B4">
          <w:rPr>
            <w:rStyle w:val="Hyperlink"/>
            <w:color w:val="0C7DBB"/>
          </w:rPr>
          <w:t>Mackintosh et al., 2005</w:t>
        </w:r>
      </w:hyperlink>
      <w:r w:rsidR="00D76566">
        <w:rPr>
          <w:rStyle w:val="Hyperlink"/>
          <w:color w:val="0C7DBB"/>
        </w:rPr>
        <w:t xml:space="preserve"> </w:t>
      </w:r>
      <w:r w:rsidR="005C2246" w:rsidRPr="005633B4">
        <w:t>S.F.H. Mackintosh, K. Hill, K.J. Dodd, P. Goldie, E. </w:t>
      </w:r>
      <w:proofErr w:type="spellStart"/>
      <w:r w:rsidR="005C2246" w:rsidRPr="005633B4">
        <w:t>Culham</w:t>
      </w:r>
      <w:proofErr w:type="spellEnd"/>
      <w:r w:rsidR="00893C86">
        <w:t xml:space="preserve"> </w:t>
      </w:r>
      <w:r w:rsidR="005C2246" w:rsidRPr="005633B4">
        <w:rPr>
          <w:rStyle w:val="Strong"/>
        </w:rPr>
        <w:t>Falls and injury prevention should be part of every stroke rehabilitation plan</w:t>
      </w:r>
      <w:r w:rsidR="00893C86">
        <w:rPr>
          <w:rStyle w:val="Strong"/>
        </w:rPr>
        <w:t xml:space="preserve"> </w:t>
      </w:r>
      <w:r w:rsidR="005C2246" w:rsidRPr="005633B4">
        <w:rPr>
          <w:color w:val="323232"/>
        </w:rPr>
        <w:t>Clinical Rehabilitation, 194 (2005), pp. 441-451</w:t>
      </w:r>
    </w:p>
    <w:p w14:paraId="509BC822" w14:textId="6B147443" w:rsidR="005C2246" w:rsidRPr="005633B4" w:rsidRDefault="00994465" w:rsidP="005633B4">
      <w:pPr>
        <w:pStyle w:val="NoSpacing"/>
        <w:ind w:left="720" w:hanging="720"/>
        <w:rPr>
          <w:color w:val="323232"/>
        </w:rPr>
      </w:pPr>
      <w:hyperlink r:id="rId78" w:anchor="bb0115" w:history="1">
        <w:r w:rsidR="005C2246" w:rsidRPr="005633B4">
          <w:rPr>
            <w:rStyle w:val="Hyperlink"/>
            <w:color w:val="0C7DBB"/>
          </w:rPr>
          <w:t>Maki, 1997</w:t>
        </w:r>
      </w:hyperlink>
      <w:r w:rsidR="00893C86">
        <w:rPr>
          <w:rStyle w:val="Hyperlink"/>
          <w:color w:val="0C7DBB"/>
        </w:rPr>
        <w:t xml:space="preserve"> </w:t>
      </w:r>
      <w:r w:rsidR="005C2246" w:rsidRPr="005633B4">
        <w:t>B.E. Maki</w:t>
      </w:r>
      <w:r w:rsidR="00893C86">
        <w:t xml:space="preserve"> </w:t>
      </w:r>
      <w:r w:rsidR="005C2246" w:rsidRPr="005633B4">
        <w:rPr>
          <w:rStyle w:val="Strong"/>
        </w:rPr>
        <w:t>Gait changes in older adults: Predictors of falls or indicators of fear?</w:t>
      </w:r>
      <w:r w:rsidR="00893C86">
        <w:rPr>
          <w:rStyle w:val="Strong"/>
        </w:rPr>
        <w:t xml:space="preserve"> </w:t>
      </w:r>
      <w:r w:rsidR="005C2246" w:rsidRPr="005633B4">
        <w:rPr>
          <w:color w:val="323232"/>
        </w:rPr>
        <w:t>Journal of the American Geriatrics Society, 453 (1997), pp. 313-320</w:t>
      </w:r>
    </w:p>
    <w:p w14:paraId="7CF4A8A8" w14:textId="0AC3A325" w:rsidR="005C2246" w:rsidRPr="005633B4" w:rsidRDefault="00994465" w:rsidP="005633B4">
      <w:pPr>
        <w:pStyle w:val="NoSpacing"/>
        <w:ind w:left="720" w:hanging="720"/>
        <w:rPr>
          <w:color w:val="323232"/>
        </w:rPr>
      </w:pPr>
      <w:hyperlink r:id="rId79" w:anchor="bb0120" w:history="1">
        <w:proofErr w:type="spellStart"/>
        <w:r w:rsidR="005C2246" w:rsidRPr="005633B4">
          <w:rPr>
            <w:rStyle w:val="Hyperlink"/>
            <w:color w:val="0C7DBB"/>
          </w:rPr>
          <w:t>Moosabhoy</w:t>
        </w:r>
        <w:proofErr w:type="spellEnd"/>
        <w:r w:rsidR="005C2246" w:rsidRPr="005633B4">
          <w:rPr>
            <w:rStyle w:val="Hyperlink"/>
            <w:color w:val="0C7DBB"/>
          </w:rPr>
          <w:t xml:space="preserve"> and Gard, 2006</w:t>
        </w:r>
      </w:hyperlink>
      <w:r w:rsidR="00893C86">
        <w:rPr>
          <w:rStyle w:val="Hyperlink"/>
          <w:color w:val="0C7DBB"/>
        </w:rPr>
        <w:t xml:space="preserve"> </w:t>
      </w:r>
      <w:r w:rsidR="005C2246" w:rsidRPr="005633B4">
        <w:t>M.A. </w:t>
      </w:r>
      <w:proofErr w:type="spellStart"/>
      <w:r w:rsidR="005C2246" w:rsidRPr="005633B4">
        <w:t>Moosabhoy</w:t>
      </w:r>
      <w:proofErr w:type="spellEnd"/>
      <w:r w:rsidR="005C2246" w:rsidRPr="005633B4">
        <w:t>, S.A. Gard</w:t>
      </w:r>
      <w:r w:rsidR="00893C86">
        <w:t xml:space="preserve"> </w:t>
      </w:r>
      <w:r w:rsidR="005C2246" w:rsidRPr="005633B4">
        <w:rPr>
          <w:rStyle w:val="Strong"/>
        </w:rPr>
        <w:t>Methodology for determining the sensitivity of swing leg toe clearance and leg length to swing leg joint angles during gait</w:t>
      </w:r>
      <w:r w:rsidR="00893C86">
        <w:rPr>
          <w:rStyle w:val="Strong"/>
        </w:rPr>
        <w:t xml:space="preserve"> </w:t>
      </w:r>
      <w:proofErr w:type="spellStart"/>
      <w:r w:rsidR="005C2246" w:rsidRPr="005633B4">
        <w:rPr>
          <w:color w:val="323232"/>
        </w:rPr>
        <w:t>Gait</w:t>
      </w:r>
      <w:proofErr w:type="spellEnd"/>
      <w:r w:rsidR="005C2246" w:rsidRPr="005633B4">
        <w:rPr>
          <w:color w:val="323232"/>
        </w:rPr>
        <w:t xml:space="preserve"> Posture, 244 (2006), pp. 493-501</w:t>
      </w:r>
    </w:p>
    <w:p w14:paraId="3C9B9140" w14:textId="0B9692A2" w:rsidR="005C2246" w:rsidRPr="005633B4" w:rsidRDefault="00994465" w:rsidP="005633B4">
      <w:pPr>
        <w:pStyle w:val="NoSpacing"/>
        <w:ind w:left="720" w:hanging="720"/>
        <w:rPr>
          <w:color w:val="323232"/>
        </w:rPr>
      </w:pPr>
      <w:hyperlink r:id="rId80" w:anchor="bb0125" w:history="1">
        <w:r w:rsidR="005C2246" w:rsidRPr="005633B4">
          <w:rPr>
            <w:rStyle w:val="Hyperlink"/>
            <w:color w:val="0C7DBB"/>
          </w:rPr>
          <w:t>Olney and Richards, 1996</w:t>
        </w:r>
      </w:hyperlink>
      <w:r w:rsidR="00893C86">
        <w:rPr>
          <w:rStyle w:val="Hyperlink"/>
          <w:color w:val="0C7DBB"/>
        </w:rPr>
        <w:t xml:space="preserve"> </w:t>
      </w:r>
      <w:r w:rsidR="005C2246" w:rsidRPr="005633B4">
        <w:t>S.J. Olney, C. Richards</w:t>
      </w:r>
      <w:r w:rsidR="00893C86">
        <w:t xml:space="preserve"> </w:t>
      </w:r>
      <w:r w:rsidR="005C2246" w:rsidRPr="005633B4">
        <w:rPr>
          <w:rStyle w:val="Strong"/>
        </w:rPr>
        <w:t>Hemiparetic gait following stroke. Part I: Characteristics</w:t>
      </w:r>
      <w:r w:rsidR="00893C86">
        <w:rPr>
          <w:rStyle w:val="Strong"/>
        </w:rPr>
        <w:t xml:space="preserve"> </w:t>
      </w:r>
      <w:r w:rsidR="005C2246" w:rsidRPr="005633B4">
        <w:rPr>
          <w:color w:val="323232"/>
        </w:rPr>
        <w:t>Gait Posture, 42 (1996), pp. 136-148</w:t>
      </w:r>
    </w:p>
    <w:p w14:paraId="018A7D05" w14:textId="4F5D31BB" w:rsidR="005C2246" w:rsidRPr="005633B4" w:rsidRDefault="00994465" w:rsidP="005633B4">
      <w:pPr>
        <w:pStyle w:val="NoSpacing"/>
        <w:ind w:left="720" w:hanging="720"/>
        <w:rPr>
          <w:color w:val="323232"/>
        </w:rPr>
      </w:pPr>
      <w:hyperlink r:id="rId81" w:anchor="bb0130" w:history="1">
        <w:proofErr w:type="spellStart"/>
        <w:r w:rsidR="005C2246" w:rsidRPr="005633B4">
          <w:rPr>
            <w:rStyle w:val="Hyperlink"/>
            <w:color w:val="0C7DBB"/>
          </w:rPr>
          <w:t>Overstall</w:t>
        </w:r>
        <w:proofErr w:type="spellEnd"/>
        <w:r w:rsidR="005C2246" w:rsidRPr="005633B4">
          <w:rPr>
            <w:rStyle w:val="Hyperlink"/>
            <w:color w:val="0C7DBB"/>
          </w:rPr>
          <w:t xml:space="preserve"> et al., 1977</w:t>
        </w:r>
      </w:hyperlink>
      <w:r w:rsidR="00893C86">
        <w:rPr>
          <w:rStyle w:val="Hyperlink"/>
          <w:color w:val="0C7DBB"/>
        </w:rPr>
        <w:t xml:space="preserve"> </w:t>
      </w:r>
      <w:r w:rsidR="005C2246" w:rsidRPr="005633B4">
        <w:t>P.W. </w:t>
      </w:r>
      <w:proofErr w:type="spellStart"/>
      <w:r w:rsidR="005C2246" w:rsidRPr="005633B4">
        <w:t>Overstall</w:t>
      </w:r>
      <w:proofErr w:type="spellEnd"/>
      <w:r w:rsidR="005C2246" w:rsidRPr="005633B4">
        <w:t>, A.N. Exton-Smith, F.J. </w:t>
      </w:r>
      <w:proofErr w:type="spellStart"/>
      <w:r w:rsidR="005C2246" w:rsidRPr="005633B4">
        <w:t>Imms</w:t>
      </w:r>
      <w:proofErr w:type="spellEnd"/>
      <w:r w:rsidR="005C2246" w:rsidRPr="005633B4">
        <w:t>, A.L. Johnson</w:t>
      </w:r>
      <w:r w:rsidR="00893C86">
        <w:t xml:space="preserve"> </w:t>
      </w:r>
      <w:r w:rsidR="005C2246" w:rsidRPr="005633B4">
        <w:rPr>
          <w:rStyle w:val="Strong"/>
        </w:rPr>
        <w:t>Falls in the elderly related to postural imbalance</w:t>
      </w:r>
      <w:r w:rsidR="00893C86">
        <w:rPr>
          <w:rStyle w:val="Strong"/>
        </w:rPr>
        <w:t xml:space="preserve"> </w:t>
      </w:r>
      <w:r w:rsidR="005C2246" w:rsidRPr="005633B4">
        <w:rPr>
          <w:color w:val="323232"/>
        </w:rPr>
        <w:t>British Medical Journal, 16056 (1977), pp. 261-264</w:t>
      </w:r>
    </w:p>
    <w:p w14:paraId="43A538A7" w14:textId="3F28E52D" w:rsidR="005C2246" w:rsidRPr="005633B4" w:rsidRDefault="00994465" w:rsidP="005633B4">
      <w:pPr>
        <w:pStyle w:val="NoSpacing"/>
        <w:ind w:left="720" w:hanging="720"/>
        <w:rPr>
          <w:color w:val="323232"/>
        </w:rPr>
      </w:pPr>
      <w:hyperlink r:id="rId82" w:anchor="bb0135" w:history="1">
        <w:r w:rsidR="005C2246" w:rsidRPr="005633B4">
          <w:rPr>
            <w:rStyle w:val="Hyperlink"/>
            <w:color w:val="0C7DBB"/>
          </w:rPr>
          <w:t xml:space="preserve">Park and </w:t>
        </w:r>
        <w:proofErr w:type="spellStart"/>
        <w:r w:rsidR="005C2246" w:rsidRPr="005633B4">
          <w:rPr>
            <w:rStyle w:val="Hyperlink"/>
            <w:color w:val="0C7DBB"/>
          </w:rPr>
          <w:t>Yoo</w:t>
        </w:r>
        <w:proofErr w:type="spellEnd"/>
        <w:r w:rsidR="005C2246" w:rsidRPr="005633B4">
          <w:rPr>
            <w:rStyle w:val="Hyperlink"/>
            <w:color w:val="0C7DBB"/>
          </w:rPr>
          <w:t>, 2014</w:t>
        </w:r>
      </w:hyperlink>
      <w:r w:rsidR="00893C86">
        <w:rPr>
          <w:rStyle w:val="Hyperlink"/>
          <w:color w:val="0C7DBB"/>
        </w:rPr>
        <w:t xml:space="preserve"> </w:t>
      </w:r>
      <w:r w:rsidR="005C2246" w:rsidRPr="005633B4">
        <w:t>J. Park, I. </w:t>
      </w:r>
      <w:proofErr w:type="spellStart"/>
      <w:r w:rsidR="005C2246" w:rsidRPr="005633B4">
        <w:t>Yoo</w:t>
      </w:r>
      <w:proofErr w:type="spellEnd"/>
      <w:r w:rsidR="00893C86">
        <w:t xml:space="preserve"> </w:t>
      </w:r>
      <w:r w:rsidR="005C2246" w:rsidRPr="005633B4">
        <w:rPr>
          <w:rStyle w:val="Strong"/>
        </w:rPr>
        <w:t>Relationships of stroke patients' gait parameters with fear of falling</w:t>
      </w:r>
      <w:r w:rsidR="00893C86">
        <w:rPr>
          <w:rStyle w:val="Strong"/>
        </w:rPr>
        <w:t xml:space="preserve"> </w:t>
      </w:r>
      <w:r w:rsidR="005C2246" w:rsidRPr="005633B4">
        <w:rPr>
          <w:color w:val="323232"/>
        </w:rPr>
        <w:t>Journal of Physical Therapy Science, 2612 (2014), pp. 1883-1884</w:t>
      </w:r>
    </w:p>
    <w:p w14:paraId="021191F1" w14:textId="1F173471" w:rsidR="005C2246" w:rsidRPr="005633B4" w:rsidRDefault="00994465" w:rsidP="005633B4">
      <w:pPr>
        <w:pStyle w:val="NoSpacing"/>
        <w:ind w:left="720" w:hanging="720"/>
        <w:rPr>
          <w:color w:val="323232"/>
        </w:rPr>
      </w:pPr>
      <w:hyperlink r:id="rId83" w:anchor="bb0140" w:history="1">
        <w:proofErr w:type="spellStart"/>
        <w:r w:rsidR="005C2246" w:rsidRPr="005633B4">
          <w:rPr>
            <w:rStyle w:val="Hyperlink"/>
            <w:color w:val="0C7DBB"/>
          </w:rPr>
          <w:t>Robinovitch</w:t>
        </w:r>
        <w:proofErr w:type="spellEnd"/>
        <w:r w:rsidR="005C2246" w:rsidRPr="005633B4">
          <w:rPr>
            <w:rStyle w:val="Hyperlink"/>
            <w:color w:val="0C7DBB"/>
          </w:rPr>
          <w:t xml:space="preserve"> et al., 2013</w:t>
        </w:r>
      </w:hyperlink>
      <w:r w:rsidR="00893C86">
        <w:rPr>
          <w:rStyle w:val="Hyperlink"/>
          <w:color w:val="0C7DBB"/>
        </w:rPr>
        <w:t xml:space="preserve"> </w:t>
      </w:r>
      <w:r w:rsidR="005C2246" w:rsidRPr="005633B4">
        <w:t>S.N. Robinovitch, F. Feldman, Y. Yang, R. Schonnop, P.M. Leung, T. Sarraf, ..., M. </w:t>
      </w:r>
      <w:proofErr w:type="spellStart"/>
      <w:r w:rsidR="005C2246" w:rsidRPr="005633B4">
        <w:t>Loughin</w:t>
      </w:r>
      <w:proofErr w:type="spellEnd"/>
      <w:r w:rsidR="00893C86">
        <w:t xml:space="preserve"> </w:t>
      </w:r>
      <w:r w:rsidR="005C2246" w:rsidRPr="005633B4">
        <w:rPr>
          <w:rStyle w:val="Strong"/>
        </w:rPr>
        <w:t>Video capture of the circumstances of falls in elderly people residing in long-term care: An observational study</w:t>
      </w:r>
      <w:r w:rsidR="00893C86">
        <w:rPr>
          <w:rStyle w:val="Strong"/>
        </w:rPr>
        <w:t xml:space="preserve"> </w:t>
      </w:r>
      <w:r w:rsidR="005C2246" w:rsidRPr="005633B4">
        <w:rPr>
          <w:color w:val="323232"/>
        </w:rPr>
        <w:t>Lancet, 3819860 (2013), pp. 47-54</w:t>
      </w:r>
    </w:p>
    <w:p w14:paraId="796FB16C" w14:textId="6AA77055" w:rsidR="005C2246" w:rsidRPr="005633B4" w:rsidRDefault="00994465" w:rsidP="005633B4">
      <w:pPr>
        <w:pStyle w:val="NoSpacing"/>
        <w:ind w:left="720" w:hanging="720"/>
        <w:rPr>
          <w:color w:val="323232"/>
        </w:rPr>
      </w:pPr>
      <w:hyperlink r:id="rId84" w:anchor="bb0145" w:history="1">
        <w:r w:rsidR="005C2246" w:rsidRPr="005633B4">
          <w:rPr>
            <w:rStyle w:val="Hyperlink"/>
            <w:color w:val="0C7DBB"/>
          </w:rPr>
          <w:t>Said et al., 2001</w:t>
        </w:r>
      </w:hyperlink>
      <w:r w:rsidR="00893C86">
        <w:rPr>
          <w:rStyle w:val="Hyperlink"/>
          <w:color w:val="0C7DBB"/>
        </w:rPr>
        <w:t xml:space="preserve"> </w:t>
      </w:r>
      <w:r w:rsidR="005C2246" w:rsidRPr="005633B4">
        <w:t>C.M. Said, P.A. Goldie, A.E. </w:t>
      </w:r>
      <w:proofErr w:type="spellStart"/>
      <w:r w:rsidR="005C2246" w:rsidRPr="005633B4">
        <w:t>Patla</w:t>
      </w:r>
      <w:proofErr w:type="spellEnd"/>
      <w:r w:rsidR="005C2246" w:rsidRPr="005633B4">
        <w:t>, W.A. Sparrow</w:t>
      </w:r>
      <w:r w:rsidR="00893C86">
        <w:t xml:space="preserve"> </w:t>
      </w:r>
      <w:r w:rsidR="005C2246" w:rsidRPr="005633B4">
        <w:rPr>
          <w:rStyle w:val="Strong"/>
        </w:rPr>
        <w:t>Effect of stroke on step characteristics of obstacle crossing</w:t>
      </w:r>
      <w:r w:rsidR="00893C86">
        <w:rPr>
          <w:rStyle w:val="Strong"/>
        </w:rPr>
        <w:t xml:space="preserve"> </w:t>
      </w:r>
      <w:r w:rsidR="005C2246" w:rsidRPr="005633B4">
        <w:rPr>
          <w:color w:val="323232"/>
        </w:rPr>
        <w:t>Archives of Physical Medicine and Rehabilitation, 8212 (2001), pp. 1712-1719</w:t>
      </w:r>
    </w:p>
    <w:p w14:paraId="3A65D183" w14:textId="5250F668" w:rsidR="005C2246" w:rsidRPr="005633B4" w:rsidRDefault="00994465" w:rsidP="005633B4">
      <w:pPr>
        <w:pStyle w:val="NoSpacing"/>
        <w:ind w:left="720" w:hanging="720"/>
        <w:rPr>
          <w:color w:val="323232"/>
        </w:rPr>
      </w:pPr>
      <w:hyperlink r:id="rId85" w:anchor="bb0150" w:history="1">
        <w:r w:rsidR="005C2246" w:rsidRPr="005633B4">
          <w:rPr>
            <w:rStyle w:val="Hyperlink"/>
            <w:color w:val="0C7DBB"/>
          </w:rPr>
          <w:t>Sanford et al., 1993</w:t>
        </w:r>
      </w:hyperlink>
      <w:r w:rsidR="00893C86">
        <w:rPr>
          <w:rStyle w:val="Hyperlink"/>
          <w:color w:val="0C7DBB"/>
        </w:rPr>
        <w:t xml:space="preserve"> </w:t>
      </w:r>
      <w:r w:rsidR="005C2246" w:rsidRPr="005633B4">
        <w:t>J. Sanford, J. Moreland, L.R. Swanson, P.W. Stratford, C. </w:t>
      </w:r>
      <w:proofErr w:type="spellStart"/>
      <w:r w:rsidR="005C2246" w:rsidRPr="005633B4">
        <w:t>Gowland</w:t>
      </w:r>
      <w:proofErr w:type="spellEnd"/>
      <w:r w:rsidR="00893C86">
        <w:t xml:space="preserve"> </w:t>
      </w:r>
      <w:r w:rsidR="005C2246" w:rsidRPr="005633B4">
        <w:rPr>
          <w:rStyle w:val="Strong"/>
        </w:rPr>
        <w:t xml:space="preserve">Reliability of the </w:t>
      </w:r>
      <w:proofErr w:type="spellStart"/>
      <w:r w:rsidR="005C2246" w:rsidRPr="005633B4">
        <w:rPr>
          <w:rStyle w:val="Strong"/>
        </w:rPr>
        <w:t>Fugl</w:t>
      </w:r>
      <w:proofErr w:type="spellEnd"/>
      <w:r w:rsidR="005C2246" w:rsidRPr="005633B4">
        <w:rPr>
          <w:rStyle w:val="Strong"/>
        </w:rPr>
        <w:t>-Meyer assessment for testing motor-performance in patients following stroke</w:t>
      </w:r>
      <w:r w:rsidR="00893C86">
        <w:rPr>
          <w:rStyle w:val="Strong"/>
        </w:rPr>
        <w:t xml:space="preserve"> </w:t>
      </w:r>
      <w:r w:rsidR="005C2246" w:rsidRPr="005633B4">
        <w:rPr>
          <w:color w:val="323232"/>
        </w:rPr>
        <w:t>Physical Therapy, 737 (1993), pp. 447-454</w:t>
      </w:r>
    </w:p>
    <w:p w14:paraId="30BBDA78" w14:textId="369645E2" w:rsidR="005C2246" w:rsidRPr="005633B4" w:rsidRDefault="00994465" w:rsidP="005633B4">
      <w:pPr>
        <w:pStyle w:val="NoSpacing"/>
        <w:ind w:left="720" w:hanging="720"/>
        <w:rPr>
          <w:color w:val="323232"/>
        </w:rPr>
      </w:pPr>
      <w:hyperlink r:id="rId86" w:anchor="bb0155" w:history="1">
        <w:proofErr w:type="spellStart"/>
        <w:r w:rsidR="005C2246" w:rsidRPr="005633B4">
          <w:rPr>
            <w:rStyle w:val="Hyperlink"/>
            <w:color w:val="0C7DBB"/>
          </w:rPr>
          <w:t>Savin</w:t>
        </w:r>
        <w:proofErr w:type="spellEnd"/>
        <w:r w:rsidR="005C2246" w:rsidRPr="005633B4">
          <w:rPr>
            <w:rStyle w:val="Hyperlink"/>
            <w:color w:val="0C7DBB"/>
          </w:rPr>
          <w:t xml:space="preserve"> et al., 2014</w:t>
        </w:r>
      </w:hyperlink>
      <w:r w:rsidR="00893C86">
        <w:rPr>
          <w:rStyle w:val="Hyperlink"/>
          <w:color w:val="0C7DBB"/>
        </w:rPr>
        <w:t xml:space="preserve"> </w:t>
      </w:r>
      <w:r w:rsidR="005C2246" w:rsidRPr="005633B4">
        <w:t>D.N. </w:t>
      </w:r>
      <w:proofErr w:type="spellStart"/>
      <w:r w:rsidR="005C2246" w:rsidRPr="005633B4">
        <w:t>Savin</w:t>
      </w:r>
      <w:proofErr w:type="spellEnd"/>
      <w:r w:rsidR="005C2246" w:rsidRPr="005633B4">
        <w:t>, S.M. Morton, J. </w:t>
      </w:r>
      <w:proofErr w:type="spellStart"/>
      <w:r w:rsidR="005C2246" w:rsidRPr="005633B4">
        <w:t>Whitall</w:t>
      </w:r>
      <w:proofErr w:type="spellEnd"/>
      <w:r w:rsidR="00893C86">
        <w:t xml:space="preserve"> </w:t>
      </w:r>
      <w:r w:rsidR="005C2246" w:rsidRPr="005633B4">
        <w:rPr>
          <w:rStyle w:val="Strong"/>
        </w:rPr>
        <w:t xml:space="preserve">Generalization of improved step length symmetry from treadmill to </w:t>
      </w:r>
      <w:proofErr w:type="spellStart"/>
      <w:r w:rsidR="005C2246" w:rsidRPr="005633B4">
        <w:rPr>
          <w:rStyle w:val="Strong"/>
        </w:rPr>
        <w:t>overground</w:t>
      </w:r>
      <w:proofErr w:type="spellEnd"/>
      <w:r w:rsidR="005C2246" w:rsidRPr="005633B4">
        <w:rPr>
          <w:rStyle w:val="Strong"/>
        </w:rPr>
        <w:t xml:space="preserve"> walking in persons with stroke and hemiparesis</w:t>
      </w:r>
      <w:r w:rsidR="00893C86">
        <w:rPr>
          <w:rStyle w:val="Strong"/>
        </w:rPr>
        <w:t xml:space="preserve"> </w:t>
      </w:r>
      <w:r w:rsidR="005C2246" w:rsidRPr="005633B4">
        <w:rPr>
          <w:color w:val="323232"/>
        </w:rPr>
        <w:t>Clinical Neurophysiology, 1255 (2014), pp. 1012-1020</w:t>
      </w:r>
    </w:p>
    <w:p w14:paraId="6219CC90" w14:textId="36E45AED" w:rsidR="005C2246" w:rsidRPr="005633B4" w:rsidRDefault="00994465" w:rsidP="005633B4">
      <w:pPr>
        <w:pStyle w:val="NoSpacing"/>
        <w:ind w:left="720" w:hanging="720"/>
        <w:rPr>
          <w:color w:val="323232"/>
        </w:rPr>
      </w:pPr>
      <w:hyperlink r:id="rId87" w:anchor="bb0160" w:history="1">
        <w:r w:rsidR="005C2246" w:rsidRPr="005633B4">
          <w:rPr>
            <w:rStyle w:val="Hyperlink"/>
            <w:color w:val="0C7DBB"/>
          </w:rPr>
          <w:t>Schulz, 2011</w:t>
        </w:r>
      </w:hyperlink>
      <w:r w:rsidR="00893C86">
        <w:rPr>
          <w:rStyle w:val="Hyperlink"/>
          <w:color w:val="0C7DBB"/>
        </w:rPr>
        <w:t xml:space="preserve"> </w:t>
      </w:r>
      <w:r w:rsidR="005C2246" w:rsidRPr="005633B4">
        <w:t>B.W. Schulz</w:t>
      </w:r>
      <w:r w:rsidR="00893C86">
        <w:t xml:space="preserve"> </w:t>
      </w:r>
      <w:r w:rsidR="005C2246" w:rsidRPr="005633B4">
        <w:rPr>
          <w:rStyle w:val="Strong"/>
        </w:rPr>
        <w:t>Minimum toe clearance adaptations to floor surface irregularity and gait speed</w:t>
      </w:r>
      <w:r w:rsidR="00893C86">
        <w:rPr>
          <w:rStyle w:val="Strong"/>
        </w:rPr>
        <w:t xml:space="preserve"> </w:t>
      </w:r>
      <w:r w:rsidR="005C2246" w:rsidRPr="005633B4">
        <w:rPr>
          <w:color w:val="323232"/>
        </w:rPr>
        <w:t>Journal of Biomechanics, 447 (2011), pp. 1277-1284</w:t>
      </w:r>
    </w:p>
    <w:p w14:paraId="1A8FC947" w14:textId="01CAC24F" w:rsidR="005C2246" w:rsidRPr="005633B4" w:rsidRDefault="00994465" w:rsidP="005633B4">
      <w:pPr>
        <w:pStyle w:val="NoSpacing"/>
        <w:ind w:left="720" w:hanging="720"/>
        <w:rPr>
          <w:color w:val="323232"/>
        </w:rPr>
      </w:pPr>
      <w:hyperlink r:id="rId88" w:anchor="bb0165" w:history="1">
        <w:r w:rsidR="005C2246" w:rsidRPr="005633B4">
          <w:rPr>
            <w:rStyle w:val="Hyperlink"/>
            <w:color w:val="0C7DBB"/>
          </w:rPr>
          <w:t>Schulz et al., 2010</w:t>
        </w:r>
      </w:hyperlink>
      <w:r w:rsidR="00893C86">
        <w:rPr>
          <w:rStyle w:val="Hyperlink"/>
          <w:color w:val="0C7DBB"/>
        </w:rPr>
        <w:t xml:space="preserve"> </w:t>
      </w:r>
      <w:r w:rsidR="005C2246" w:rsidRPr="005633B4">
        <w:t>B.W. Schulz, J.D. Lloyd, W.E. Lee III</w:t>
      </w:r>
      <w:r w:rsidR="00893C86">
        <w:t xml:space="preserve"> </w:t>
      </w:r>
      <w:r w:rsidR="005C2246" w:rsidRPr="005633B4">
        <w:rPr>
          <w:rStyle w:val="Strong"/>
        </w:rPr>
        <w:t xml:space="preserve">The effects of everyday concurrent tasks on </w:t>
      </w:r>
      <w:proofErr w:type="spellStart"/>
      <w:r w:rsidR="005C2246" w:rsidRPr="005633B4">
        <w:rPr>
          <w:rStyle w:val="Strong"/>
        </w:rPr>
        <w:t>overground</w:t>
      </w:r>
      <w:proofErr w:type="spellEnd"/>
      <w:r w:rsidR="005C2246" w:rsidRPr="005633B4">
        <w:rPr>
          <w:rStyle w:val="Strong"/>
        </w:rPr>
        <w:t xml:space="preserve"> minimum toe clearance and gait parameters</w:t>
      </w:r>
      <w:r w:rsidR="00893C86">
        <w:rPr>
          <w:rStyle w:val="Strong"/>
        </w:rPr>
        <w:t xml:space="preserve"> </w:t>
      </w:r>
      <w:r w:rsidR="005C2246" w:rsidRPr="005633B4">
        <w:rPr>
          <w:color w:val="323232"/>
        </w:rPr>
        <w:t>Gait Posture, 321 (2010), pp. 18-22</w:t>
      </w:r>
    </w:p>
    <w:p w14:paraId="2ACF743B" w14:textId="52C18999" w:rsidR="005C2246" w:rsidRPr="005633B4" w:rsidRDefault="00994465" w:rsidP="005633B4">
      <w:pPr>
        <w:pStyle w:val="NoSpacing"/>
        <w:ind w:left="720" w:hanging="720"/>
        <w:rPr>
          <w:color w:val="323232"/>
        </w:rPr>
      </w:pPr>
      <w:hyperlink r:id="rId89" w:anchor="bb0170" w:history="1">
        <w:proofErr w:type="spellStart"/>
        <w:r w:rsidR="005C2246" w:rsidRPr="005633B4">
          <w:rPr>
            <w:rStyle w:val="Hyperlink"/>
            <w:color w:val="0C7DBB"/>
          </w:rPr>
          <w:t>Senden</w:t>
        </w:r>
        <w:proofErr w:type="spellEnd"/>
        <w:r w:rsidR="005C2246" w:rsidRPr="005633B4">
          <w:rPr>
            <w:rStyle w:val="Hyperlink"/>
            <w:color w:val="0C7DBB"/>
          </w:rPr>
          <w:t xml:space="preserve"> et al., 2012</w:t>
        </w:r>
      </w:hyperlink>
      <w:r w:rsidR="00893C86">
        <w:rPr>
          <w:rStyle w:val="Hyperlink"/>
          <w:color w:val="0C7DBB"/>
        </w:rPr>
        <w:t xml:space="preserve"> </w:t>
      </w:r>
      <w:r w:rsidR="005C2246" w:rsidRPr="005633B4">
        <w:t>R. Senden, H.H.C.M. Savelberg, B. Grimm, I.C. Heyligers, K. Meijer</w:t>
      </w:r>
      <w:r w:rsidR="00893C86">
        <w:t xml:space="preserve"> </w:t>
      </w:r>
      <w:r w:rsidR="005C2246" w:rsidRPr="005633B4">
        <w:rPr>
          <w:rStyle w:val="Strong"/>
        </w:rPr>
        <w:t>Accelerometry-based gait analysis, an additional objective approach to screen subjects at risk for falling</w:t>
      </w:r>
      <w:r w:rsidR="00893C86">
        <w:rPr>
          <w:rStyle w:val="Strong"/>
        </w:rPr>
        <w:t xml:space="preserve"> </w:t>
      </w:r>
      <w:r w:rsidR="005C2246" w:rsidRPr="005633B4">
        <w:rPr>
          <w:color w:val="323232"/>
        </w:rPr>
        <w:t>Gait Posture, 362 (2012), pp. 296-300</w:t>
      </w:r>
    </w:p>
    <w:p w14:paraId="61F592C2" w14:textId="70A8A9D8" w:rsidR="005C2246" w:rsidRPr="005633B4" w:rsidRDefault="00994465" w:rsidP="005633B4">
      <w:pPr>
        <w:pStyle w:val="NoSpacing"/>
        <w:ind w:left="720" w:hanging="720"/>
        <w:rPr>
          <w:color w:val="323232"/>
        </w:rPr>
      </w:pPr>
      <w:hyperlink r:id="rId90" w:anchor="bb0175" w:history="1">
        <w:r w:rsidR="005C2246" w:rsidRPr="005633B4">
          <w:rPr>
            <w:rStyle w:val="Hyperlink"/>
            <w:color w:val="0C7DBB"/>
          </w:rPr>
          <w:t>Sullivan et al., 2011</w:t>
        </w:r>
      </w:hyperlink>
      <w:r w:rsidR="00893C86">
        <w:rPr>
          <w:rStyle w:val="Hyperlink"/>
          <w:color w:val="0C7DBB"/>
        </w:rPr>
        <w:t xml:space="preserve"> </w:t>
      </w:r>
      <w:r w:rsidR="005C2246" w:rsidRPr="005633B4">
        <w:t>K.J. Sullivan, J.K. Tilson, S.Y. Cen, D.K. Rose, J. Hershberg, A. Correa, ..., P.W. Duncan</w:t>
      </w:r>
      <w:r w:rsidR="00893C86">
        <w:t xml:space="preserve"> </w:t>
      </w:r>
      <w:proofErr w:type="spellStart"/>
      <w:r w:rsidR="005C2246" w:rsidRPr="005633B4">
        <w:rPr>
          <w:rStyle w:val="Strong"/>
        </w:rPr>
        <w:t>Fugl</w:t>
      </w:r>
      <w:proofErr w:type="spellEnd"/>
      <w:r w:rsidR="005C2246" w:rsidRPr="005633B4">
        <w:rPr>
          <w:rStyle w:val="Strong"/>
        </w:rPr>
        <w:t>-Meyer assessment of sensorimotor function after stroke: Standardized training procedure for clinical practice and clinical trials</w:t>
      </w:r>
      <w:r w:rsidR="00893C86">
        <w:rPr>
          <w:rStyle w:val="Strong"/>
        </w:rPr>
        <w:t xml:space="preserve"> </w:t>
      </w:r>
      <w:r w:rsidR="005C2246" w:rsidRPr="005633B4">
        <w:rPr>
          <w:color w:val="323232"/>
        </w:rPr>
        <w:t>Stroke, 422 (2011), pp. 427-432</w:t>
      </w:r>
    </w:p>
    <w:p w14:paraId="69BD94E5" w14:textId="61C421A8" w:rsidR="005C2246" w:rsidRPr="005633B4" w:rsidRDefault="00994465" w:rsidP="005633B4">
      <w:pPr>
        <w:pStyle w:val="NoSpacing"/>
        <w:ind w:left="720" w:hanging="720"/>
        <w:rPr>
          <w:color w:val="323232"/>
        </w:rPr>
      </w:pPr>
      <w:hyperlink r:id="rId91" w:anchor="bb0180" w:history="1">
        <w:r w:rsidR="005C2246" w:rsidRPr="005633B4">
          <w:rPr>
            <w:rStyle w:val="Hyperlink"/>
            <w:color w:val="0C7DBB"/>
          </w:rPr>
          <w:t>Talbot et al., 2005</w:t>
        </w:r>
      </w:hyperlink>
      <w:r w:rsidR="00893C86">
        <w:rPr>
          <w:rStyle w:val="Hyperlink"/>
          <w:color w:val="0C7DBB"/>
        </w:rPr>
        <w:t xml:space="preserve"> </w:t>
      </w:r>
      <w:r w:rsidR="005C2246" w:rsidRPr="005633B4">
        <w:t>L.A. Talbot, R.J. </w:t>
      </w:r>
      <w:proofErr w:type="spellStart"/>
      <w:r w:rsidR="005C2246" w:rsidRPr="005633B4">
        <w:t>Musiol</w:t>
      </w:r>
      <w:proofErr w:type="spellEnd"/>
      <w:r w:rsidR="005C2246" w:rsidRPr="005633B4">
        <w:t>, E.K. Witham, E.J. Metter</w:t>
      </w:r>
      <w:r w:rsidR="00893C86">
        <w:t xml:space="preserve"> </w:t>
      </w:r>
      <w:r w:rsidR="005C2246" w:rsidRPr="005633B4">
        <w:rPr>
          <w:rStyle w:val="Strong"/>
        </w:rPr>
        <w:t>Falls in young, middle-aged and older community dwelling adults: Perceived cause, environmental factors and injury</w:t>
      </w:r>
      <w:r w:rsidR="00893C86">
        <w:rPr>
          <w:rStyle w:val="Strong"/>
        </w:rPr>
        <w:t xml:space="preserve"> </w:t>
      </w:r>
      <w:r w:rsidR="005C2246" w:rsidRPr="005633B4">
        <w:rPr>
          <w:color w:val="323232"/>
        </w:rPr>
        <w:t>BMC Public Health, 5 (2005), p. 86</w:t>
      </w:r>
    </w:p>
    <w:p w14:paraId="601B990F" w14:textId="31AC969F" w:rsidR="005C2246" w:rsidRPr="005633B4" w:rsidRDefault="00994465" w:rsidP="005633B4">
      <w:pPr>
        <w:pStyle w:val="NoSpacing"/>
        <w:ind w:left="720" w:hanging="720"/>
        <w:rPr>
          <w:color w:val="323232"/>
        </w:rPr>
      </w:pPr>
      <w:hyperlink r:id="rId92" w:anchor="bb0185" w:history="1">
        <w:proofErr w:type="spellStart"/>
        <w:r w:rsidR="005C2246" w:rsidRPr="005633B4">
          <w:rPr>
            <w:rStyle w:val="Hyperlink"/>
            <w:color w:val="0C7DBB"/>
          </w:rPr>
          <w:t>Tuunainen</w:t>
        </w:r>
        <w:proofErr w:type="spellEnd"/>
        <w:r w:rsidR="005C2246" w:rsidRPr="005633B4">
          <w:rPr>
            <w:rStyle w:val="Hyperlink"/>
            <w:color w:val="0C7DBB"/>
          </w:rPr>
          <w:t xml:space="preserve"> et al., 2014</w:t>
        </w:r>
      </w:hyperlink>
      <w:r w:rsidR="00893C86">
        <w:rPr>
          <w:rStyle w:val="Hyperlink"/>
          <w:color w:val="0C7DBB"/>
        </w:rPr>
        <w:t xml:space="preserve"> </w:t>
      </w:r>
      <w:r w:rsidR="005C2246" w:rsidRPr="005633B4">
        <w:t>E. </w:t>
      </w:r>
      <w:proofErr w:type="spellStart"/>
      <w:r w:rsidR="005C2246" w:rsidRPr="005633B4">
        <w:t>Tuunainen</w:t>
      </w:r>
      <w:proofErr w:type="spellEnd"/>
      <w:r w:rsidR="005C2246" w:rsidRPr="005633B4">
        <w:t>, J. </w:t>
      </w:r>
      <w:proofErr w:type="spellStart"/>
      <w:r w:rsidR="005C2246" w:rsidRPr="005633B4">
        <w:t>Rasku</w:t>
      </w:r>
      <w:proofErr w:type="spellEnd"/>
      <w:r w:rsidR="005C2246" w:rsidRPr="005633B4">
        <w:t>, P. </w:t>
      </w:r>
      <w:proofErr w:type="spellStart"/>
      <w:r w:rsidR="005C2246" w:rsidRPr="005633B4">
        <w:t>Jantti</w:t>
      </w:r>
      <w:proofErr w:type="spellEnd"/>
      <w:r w:rsidR="005C2246" w:rsidRPr="005633B4">
        <w:t>, I. </w:t>
      </w:r>
      <w:proofErr w:type="spellStart"/>
      <w:r w:rsidR="005C2246" w:rsidRPr="005633B4">
        <w:t>Pyykko</w:t>
      </w:r>
      <w:proofErr w:type="spellEnd"/>
      <w:r w:rsidR="00893C86">
        <w:t xml:space="preserve"> </w:t>
      </w:r>
      <w:r w:rsidR="005C2246" w:rsidRPr="005633B4">
        <w:rPr>
          <w:rStyle w:val="Strong"/>
        </w:rPr>
        <w:t>Risk factors of falls in community dwelling active elderly</w:t>
      </w:r>
      <w:r w:rsidR="00893C86">
        <w:rPr>
          <w:rStyle w:val="Strong"/>
        </w:rPr>
        <w:t xml:space="preserve"> </w:t>
      </w:r>
      <w:r w:rsidR="005C2246" w:rsidRPr="005633B4">
        <w:rPr>
          <w:color w:val="323232"/>
        </w:rPr>
        <w:t>Auris, Nasus, Larynx, 411 (2014), pp. 10-16</w:t>
      </w:r>
    </w:p>
    <w:p w14:paraId="393622EB" w14:textId="0BA6056E" w:rsidR="005C2246" w:rsidRPr="005633B4" w:rsidRDefault="00994465" w:rsidP="005633B4">
      <w:pPr>
        <w:pStyle w:val="NoSpacing"/>
        <w:ind w:left="720" w:hanging="720"/>
        <w:rPr>
          <w:color w:val="323232"/>
        </w:rPr>
      </w:pPr>
      <w:hyperlink r:id="rId93" w:anchor="bb0190" w:history="1">
        <w:r w:rsidR="005C2246" w:rsidRPr="005633B4">
          <w:rPr>
            <w:rStyle w:val="Hyperlink"/>
            <w:color w:val="0C7DBB"/>
          </w:rPr>
          <w:t>Wagner et al., 2009</w:t>
        </w:r>
      </w:hyperlink>
      <w:r w:rsidR="00893C86">
        <w:rPr>
          <w:rStyle w:val="Hyperlink"/>
          <w:color w:val="0C7DBB"/>
        </w:rPr>
        <w:t xml:space="preserve"> </w:t>
      </w:r>
      <w:r w:rsidR="005C2246" w:rsidRPr="005633B4">
        <w:t>L.M. Wagner, V.L. Phillips, A.E. Hunsaker, P.G. </w:t>
      </w:r>
      <w:proofErr w:type="spellStart"/>
      <w:r w:rsidR="005C2246" w:rsidRPr="005633B4">
        <w:t>Forducey</w:t>
      </w:r>
      <w:proofErr w:type="spellEnd"/>
      <w:r w:rsidR="00893C86">
        <w:t xml:space="preserve"> </w:t>
      </w:r>
      <w:r w:rsidR="005C2246" w:rsidRPr="005633B4">
        <w:rPr>
          <w:rStyle w:val="Strong"/>
        </w:rPr>
        <w:t>Falls among community-residing stroke survivors following inpatient rehabilitation: A descriptive analysis of longitudinal data</w:t>
      </w:r>
      <w:r w:rsidR="00893C86">
        <w:rPr>
          <w:rStyle w:val="Strong"/>
        </w:rPr>
        <w:t xml:space="preserve"> </w:t>
      </w:r>
      <w:r w:rsidR="005C2246" w:rsidRPr="005633B4">
        <w:rPr>
          <w:color w:val="323232"/>
        </w:rPr>
        <w:t>BMC Geriatrics, 9 (2009), pp. 46-55</w:t>
      </w:r>
    </w:p>
    <w:p w14:paraId="01BAF621" w14:textId="7A62D6D5" w:rsidR="005C2246" w:rsidRPr="005633B4" w:rsidRDefault="00994465" w:rsidP="005633B4">
      <w:pPr>
        <w:pStyle w:val="NoSpacing"/>
        <w:ind w:left="720" w:hanging="720"/>
        <w:rPr>
          <w:color w:val="323232"/>
        </w:rPr>
      </w:pPr>
      <w:hyperlink r:id="rId94" w:anchor="bb0195" w:history="1">
        <w:proofErr w:type="spellStart"/>
        <w:r w:rsidR="005C2246" w:rsidRPr="005633B4">
          <w:rPr>
            <w:rStyle w:val="Hyperlink"/>
            <w:color w:val="0C7DBB"/>
          </w:rPr>
          <w:t>Weerdesteyn</w:t>
        </w:r>
        <w:proofErr w:type="spellEnd"/>
        <w:r w:rsidR="005C2246" w:rsidRPr="005633B4">
          <w:rPr>
            <w:rStyle w:val="Hyperlink"/>
            <w:color w:val="0C7DBB"/>
          </w:rPr>
          <w:t xml:space="preserve"> et al., 2003</w:t>
        </w:r>
      </w:hyperlink>
      <w:r w:rsidR="00893C86">
        <w:rPr>
          <w:rStyle w:val="Hyperlink"/>
          <w:color w:val="0C7DBB"/>
        </w:rPr>
        <w:t xml:space="preserve"> </w:t>
      </w:r>
      <w:r w:rsidR="005C2246" w:rsidRPr="005633B4">
        <w:t>V. </w:t>
      </w:r>
      <w:proofErr w:type="spellStart"/>
      <w:r w:rsidR="005C2246" w:rsidRPr="005633B4">
        <w:t>Weerdesteyn</w:t>
      </w:r>
      <w:proofErr w:type="spellEnd"/>
      <w:r w:rsidR="005C2246" w:rsidRPr="005633B4">
        <w:t>, A.M. Schillings, G.P. van Galen, J. </w:t>
      </w:r>
      <w:proofErr w:type="spellStart"/>
      <w:r w:rsidR="005C2246" w:rsidRPr="005633B4">
        <w:t>Duysens</w:t>
      </w:r>
      <w:proofErr w:type="spellEnd"/>
      <w:r w:rsidR="00893C86">
        <w:t xml:space="preserve"> </w:t>
      </w:r>
      <w:r w:rsidR="005C2246" w:rsidRPr="005633B4">
        <w:rPr>
          <w:rStyle w:val="Strong"/>
        </w:rPr>
        <w:t>Distraction affects the performance of obstacle avoidance during walking</w:t>
      </w:r>
      <w:r w:rsidR="00893C86">
        <w:rPr>
          <w:rStyle w:val="Strong"/>
        </w:rPr>
        <w:t xml:space="preserve"> </w:t>
      </w:r>
      <w:r w:rsidR="005C2246" w:rsidRPr="005633B4">
        <w:rPr>
          <w:color w:val="323232"/>
        </w:rPr>
        <w:t>Journal of Motor Behavior, 351 (2003), pp. 53-63</w:t>
      </w:r>
    </w:p>
    <w:p w14:paraId="6CE74C22" w14:textId="2C72D56E" w:rsidR="005C2246" w:rsidRPr="005633B4" w:rsidRDefault="00994465" w:rsidP="005633B4">
      <w:pPr>
        <w:pStyle w:val="NoSpacing"/>
        <w:ind w:left="720" w:hanging="720"/>
        <w:rPr>
          <w:color w:val="323232"/>
        </w:rPr>
      </w:pPr>
      <w:hyperlink r:id="rId95" w:anchor="bb0200" w:history="1">
        <w:proofErr w:type="spellStart"/>
        <w:r w:rsidR="005C2246" w:rsidRPr="005633B4">
          <w:rPr>
            <w:rStyle w:val="Hyperlink"/>
            <w:color w:val="0C7DBB"/>
          </w:rPr>
          <w:t>Weinhandl</w:t>
        </w:r>
        <w:proofErr w:type="spellEnd"/>
        <w:r w:rsidR="005C2246" w:rsidRPr="005633B4">
          <w:rPr>
            <w:rStyle w:val="Hyperlink"/>
            <w:color w:val="0C7DBB"/>
          </w:rPr>
          <w:t xml:space="preserve"> and O'Connor, 2010</w:t>
        </w:r>
      </w:hyperlink>
      <w:r w:rsidR="00893C86">
        <w:rPr>
          <w:rStyle w:val="Hyperlink"/>
          <w:color w:val="0C7DBB"/>
        </w:rPr>
        <w:t xml:space="preserve"> </w:t>
      </w:r>
      <w:r w:rsidR="005C2246" w:rsidRPr="005633B4">
        <w:t>J.T. </w:t>
      </w:r>
      <w:proofErr w:type="spellStart"/>
      <w:r w:rsidR="005C2246" w:rsidRPr="005633B4">
        <w:t>Weinhandl</w:t>
      </w:r>
      <w:proofErr w:type="spellEnd"/>
      <w:r w:rsidR="005C2246" w:rsidRPr="005633B4">
        <w:t>, K.M. O'Connor</w:t>
      </w:r>
      <w:r w:rsidR="00893C86">
        <w:t xml:space="preserve"> </w:t>
      </w:r>
      <w:r w:rsidR="005C2246" w:rsidRPr="005633B4">
        <w:rPr>
          <w:rStyle w:val="Strong"/>
        </w:rPr>
        <w:t>Assessment of a greater trochanter-based method of locating the hip joint center</w:t>
      </w:r>
      <w:r w:rsidR="00893C86">
        <w:rPr>
          <w:rStyle w:val="Strong"/>
        </w:rPr>
        <w:t xml:space="preserve"> </w:t>
      </w:r>
      <w:r w:rsidR="005C2246" w:rsidRPr="005633B4">
        <w:rPr>
          <w:color w:val="323232"/>
        </w:rPr>
        <w:t>Journal of Biomechanics, 4313 (2010), pp. 2633-2636</w:t>
      </w:r>
    </w:p>
    <w:p w14:paraId="2B9BD68C" w14:textId="2B712189" w:rsidR="005C2246" w:rsidRPr="005633B4" w:rsidRDefault="00994465" w:rsidP="005633B4">
      <w:pPr>
        <w:pStyle w:val="NoSpacing"/>
        <w:ind w:left="720" w:hanging="720"/>
        <w:rPr>
          <w:color w:val="323232"/>
        </w:rPr>
      </w:pPr>
      <w:hyperlink r:id="rId96" w:anchor="bb0205" w:history="1">
        <w:r w:rsidR="005C2246" w:rsidRPr="005633B4">
          <w:rPr>
            <w:rStyle w:val="Hyperlink"/>
            <w:color w:val="0C7DBB"/>
          </w:rPr>
          <w:t>Winter, 1992</w:t>
        </w:r>
      </w:hyperlink>
      <w:r w:rsidR="00893C86">
        <w:rPr>
          <w:rStyle w:val="Hyperlink"/>
          <w:color w:val="0C7DBB"/>
        </w:rPr>
        <w:t xml:space="preserve"> </w:t>
      </w:r>
      <w:r w:rsidR="005C2246" w:rsidRPr="005633B4">
        <w:t>D.A. Winter</w:t>
      </w:r>
      <w:r w:rsidR="00893C86">
        <w:t xml:space="preserve"> </w:t>
      </w:r>
      <w:r w:rsidR="005C2246" w:rsidRPr="005633B4">
        <w:rPr>
          <w:rStyle w:val="Strong"/>
        </w:rPr>
        <w:t>Foot trajectory in human gait – A precise and multifactorial motor control task</w:t>
      </w:r>
      <w:r w:rsidR="00893C86">
        <w:rPr>
          <w:rStyle w:val="Strong"/>
        </w:rPr>
        <w:t xml:space="preserve"> </w:t>
      </w:r>
      <w:r w:rsidR="005C2246" w:rsidRPr="005633B4">
        <w:rPr>
          <w:color w:val="323232"/>
        </w:rPr>
        <w:t>Physical Therapy, 721 (1992), pp. 45-53</w:t>
      </w:r>
    </w:p>
    <w:p w14:paraId="6FD05740" w14:textId="6310BA69" w:rsidR="005C2246" w:rsidRPr="005633B4" w:rsidRDefault="00994465" w:rsidP="005633B4">
      <w:pPr>
        <w:pStyle w:val="NoSpacing"/>
        <w:ind w:left="720" w:hanging="720"/>
        <w:rPr>
          <w:color w:val="323232"/>
        </w:rPr>
      </w:pPr>
      <w:hyperlink r:id="rId97" w:anchor="bb0210" w:history="1">
        <w:r w:rsidR="005C2246" w:rsidRPr="005633B4">
          <w:rPr>
            <w:rStyle w:val="Hyperlink"/>
            <w:color w:val="0C7DBB"/>
          </w:rPr>
          <w:t>Wu et al., 2002</w:t>
        </w:r>
      </w:hyperlink>
      <w:r w:rsidR="00893C86">
        <w:rPr>
          <w:rStyle w:val="Hyperlink"/>
          <w:color w:val="0C7DBB"/>
        </w:rPr>
        <w:t xml:space="preserve"> </w:t>
      </w:r>
      <w:r w:rsidR="005C2246" w:rsidRPr="005633B4">
        <w:t>G. Wu, S. Siegler, P. Allard, C. Kirtley, A. Leardini, D. Rosenbaum, ..., I. Stokes</w:t>
      </w:r>
      <w:r w:rsidR="00893C86">
        <w:t xml:space="preserve"> </w:t>
      </w:r>
      <w:r w:rsidR="005C2246" w:rsidRPr="005633B4">
        <w:rPr>
          <w:rStyle w:val="Strong"/>
        </w:rPr>
        <w:t>ISB recommendations on definitions of joint coordinate system of various joints for the reporting of human joint motion - part I: Ankle, hip, and spine</w:t>
      </w:r>
      <w:r w:rsidR="00893C86">
        <w:rPr>
          <w:rStyle w:val="Strong"/>
        </w:rPr>
        <w:t xml:space="preserve"> </w:t>
      </w:r>
      <w:r w:rsidR="005C2246" w:rsidRPr="005633B4">
        <w:rPr>
          <w:color w:val="323232"/>
        </w:rPr>
        <w:t>Journal of Biomechanics, 35 (2002), pp. 543-548</w:t>
      </w:r>
    </w:p>
    <w:p w14:paraId="076F61F0" w14:textId="2BB7F317" w:rsidR="005C2246" w:rsidRPr="005633B4" w:rsidRDefault="00994465" w:rsidP="005633B4">
      <w:pPr>
        <w:pStyle w:val="NoSpacing"/>
        <w:ind w:left="720" w:hanging="720"/>
        <w:rPr>
          <w:color w:val="323232"/>
        </w:rPr>
      </w:pPr>
      <w:hyperlink r:id="rId98" w:anchor="bb0215" w:history="1">
        <w:proofErr w:type="spellStart"/>
        <w:r w:rsidR="005C2246" w:rsidRPr="005633B4">
          <w:rPr>
            <w:rStyle w:val="Hyperlink"/>
            <w:color w:val="0C7DBB"/>
          </w:rPr>
          <w:t>Zeni</w:t>
        </w:r>
        <w:proofErr w:type="spellEnd"/>
        <w:r w:rsidR="005C2246" w:rsidRPr="005633B4">
          <w:rPr>
            <w:rStyle w:val="Hyperlink"/>
            <w:color w:val="0C7DBB"/>
          </w:rPr>
          <w:t xml:space="preserve"> et al., 2008</w:t>
        </w:r>
      </w:hyperlink>
      <w:r w:rsidR="00893C86">
        <w:rPr>
          <w:rStyle w:val="Hyperlink"/>
          <w:color w:val="0C7DBB"/>
        </w:rPr>
        <w:t xml:space="preserve"> </w:t>
      </w:r>
      <w:r w:rsidR="005C2246" w:rsidRPr="005633B4">
        <w:t>J.A. </w:t>
      </w:r>
      <w:proofErr w:type="spellStart"/>
      <w:r w:rsidR="005C2246" w:rsidRPr="005633B4">
        <w:t>Zeni</w:t>
      </w:r>
      <w:proofErr w:type="spellEnd"/>
      <w:r w:rsidR="005C2246" w:rsidRPr="005633B4">
        <w:t> Jr., J.G. Richards, J.S. Higginson</w:t>
      </w:r>
      <w:r w:rsidR="00893C86">
        <w:t xml:space="preserve"> </w:t>
      </w:r>
      <w:r w:rsidR="005C2246" w:rsidRPr="005633B4">
        <w:rPr>
          <w:rStyle w:val="Strong"/>
        </w:rPr>
        <w:t xml:space="preserve">Two simple methods for determining gait events during treadmill and </w:t>
      </w:r>
      <w:proofErr w:type="spellStart"/>
      <w:r w:rsidR="005C2246" w:rsidRPr="005633B4">
        <w:rPr>
          <w:rStyle w:val="Strong"/>
        </w:rPr>
        <w:t>overground</w:t>
      </w:r>
      <w:proofErr w:type="spellEnd"/>
      <w:r w:rsidR="005C2246" w:rsidRPr="005633B4">
        <w:rPr>
          <w:rStyle w:val="Strong"/>
        </w:rPr>
        <w:t xml:space="preserve"> walking using kinematic data</w:t>
      </w:r>
      <w:r w:rsidR="00893C86">
        <w:rPr>
          <w:rStyle w:val="Strong"/>
        </w:rPr>
        <w:t xml:space="preserve"> </w:t>
      </w:r>
      <w:r w:rsidR="005C2246" w:rsidRPr="005633B4">
        <w:rPr>
          <w:color w:val="323232"/>
        </w:rPr>
        <w:t>Gait Posture, 274 (2008)</w:t>
      </w:r>
    </w:p>
    <w:p w14:paraId="5C9FA21D" w14:textId="1513D19A" w:rsidR="00617C12" w:rsidRPr="005633B4" w:rsidRDefault="00617C12" w:rsidP="005633B4">
      <w:pPr>
        <w:pStyle w:val="NoSpacing"/>
        <w:ind w:left="720" w:hanging="720"/>
        <w:rPr>
          <w:rFonts w:cstheme="minorHAnsi"/>
        </w:rPr>
      </w:pPr>
    </w:p>
    <w:sectPr w:rsidR="00617C12" w:rsidRPr="005633B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F02CE"/>
    <w:multiLevelType w:val="multilevel"/>
    <w:tmpl w:val="99A6FB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527E36"/>
    <w:multiLevelType w:val="multilevel"/>
    <w:tmpl w:val="65607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694767"/>
    <w:multiLevelType w:val="multilevel"/>
    <w:tmpl w:val="F6000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1937516"/>
    <w:multiLevelType w:val="multilevel"/>
    <w:tmpl w:val="5F0A70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iOm1B8CBc75LREHtfrlWvoeVcwaUbkY6Rwv+7+z1MZyARSbxABDPEUE6W/jEq0bs7tcXzrArFPcDd4fqeF6EwQ==" w:salt="lgzcZF8IS73Ay8tOn8CQ+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089"/>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0B42"/>
    <w:rsid w:val="00543C22"/>
    <w:rsid w:val="0054405B"/>
    <w:rsid w:val="005445DC"/>
    <w:rsid w:val="0054567F"/>
    <w:rsid w:val="00546B44"/>
    <w:rsid w:val="00553291"/>
    <w:rsid w:val="005546FF"/>
    <w:rsid w:val="00556B72"/>
    <w:rsid w:val="005605E4"/>
    <w:rsid w:val="005633B4"/>
    <w:rsid w:val="00563D7B"/>
    <w:rsid w:val="00563E3B"/>
    <w:rsid w:val="005643C8"/>
    <w:rsid w:val="005673D1"/>
    <w:rsid w:val="00570F38"/>
    <w:rsid w:val="00571157"/>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2246"/>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4BA"/>
    <w:rsid w:val="006E2996"/>
    <w:rsid w:val="006E2EEC"/>
    <w:rsid w:val="006E471E"/>
    <w:rsid w:val="006E4859"/>
    <w:rsid w:val="006F24E3"/>
    <w:rsid w:val="006F5636"/>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2FEA"/>
    <w:rsid w:val="00776E56"/>
    <w:rsid w:val="00781619"/>
    <w:rsid w:val="0079146B"/>
    <w:rsid w:val="00791DD5"/>
    <w:rsid w:val="00796875"/>
    <w:rsid w:val="0079756E"/>
    <w:rsid w:val="007A1233"/>
    <w:rsid w:val="007A258F"/>
    <w:rsid w:val="007A3B3A"/>
    <w:rsid w:val="007A6106"/>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2AD8"/>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66C02"/>
    <w:rsid w:val="00870BA1"/>
    <w:rsid w:val="00873CDE"/>
    <w:rsid w:val="00874421"/>
    <w:rsid w:val="00875997"/>
    <w:rsid w:val="0087796C"/>
    <w:rsid w:val="00880932"/>
    <w:rsid w:val="008825B5"/>
    <w:rsid w:val="00885E74"/>
    <w:rsid w:val="00886B14"/>
    <w:rsid w:val="008927F4"/>
    <w:rsid w:val="00893B58"/>
    <w:rsid w:val="00893C86"/>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00D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3C7"/>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9446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019F"/>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098"/>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6566"/>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245A"/>
    <w:rsid w:val="00DF4651"/>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87196"/>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75"/>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5C2246"/>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5C2246"/>
    <w:rPr>
      <w:color w:val="800080"/>
      <w:u w:val="single"/>
    </w:rPr>
  </w:style>
  <w:style w:type="paragraph" w:customStyle="1" w:styleId="previous">
    <w:name w:val="previous"/>
    <w:basedOn w:val="Normal"/>
    <w:rsid w:val="005C224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5C2246"/>
  </w:style>
  <w:style w:type="character" w:customStyle="1" w:styleId="extra-detail-1">
    <w:name w:val="extra-detail-1"/>
    <w:basedOn w:val="DefaultParagraphFont"/>
    <w:rsid w:val="005C2246"/>
  </w:style>
  <w:style w:type="character" w:customStyle="1" w:styleId="extra-detail-2">
    <w:name w:val="extra-detail-2"/>
    <w:basedOn w:val="DefaultParagraphFont"/>
    <w:rsid w:val="005C2246"/>
  </w:style>
  <w:style w:type="paragraph" w:customStyle="1" w:styleId="next">
    <w:name w:val="next"/>
    <w:basedOn w:val="Normal"/>
    <w:rsid w:val="005C224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5C2246"/>
  </w:style>
  <w:style w:type="character" w:customStyle="1" w:styleId="label">
    <w:name w:val="label"/>
    <w:basedOn w:val="DefaultParagraphFont"/>
    <w:rsid w:val="005C2246"/>
  </w:style>
  <w:style w:type="paragraph" w:customStyle="1" w:styleId="legend">
    <w:name w:val="legend"/>
    <w:basedOn w:val="Normal"/>
    <w:rsid w:val="005C224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5C2246"/>
  </w:style>
  <w:style w:type="character" w:styleId="UnresolvedMention">
    <w:name w:val="Unresolved Mention"/>
    <w:basedOn w:val="DefaultParagraphFont"/>
    <w:uiPriority w:val="99"/>
    <w:semiHidden/>
    <w:unhideWhenUsed/>
    <w:rsid w:val="00E871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341787213">
      <w:bodyDiv w:val="1"/>
      <w:marLeft w:val="0"/>
      <w:marRight w:val="0"/>
      <w:marTop w:val="0"/>
      <w:marBottom w:val="0"/>
      <w:divBdr>
        <w:top w:val="none" w:sz="0" w:space="0" w:color="auto"/>
        <w:left w:val="none" w:sz="0" w:space="0" w:color="auto"/>
        <w:bottom w:val="none" w:sz="0" w:space="0" w:color="auto"/>
        <w:right w:val="none" w:sz="0" w:space="0" w:color="auto"/>
      </w:divBdr>
      <w:divsChild>
        <w:div w:id="1565794439">
          <w:marLeft w:val="0"/>
          <w:marRight w:val="0"/>
          <w:marTop w:val="0"/>
          <w:marBottom w:val="0"/>
          <w:divBdr>
            <w:top w:val="none" w:sz="0" w:space="0" w:color="auto"/>
            <w:left w:val="none" w:sz="0" w:space="0" w:color="auto"/>
            <w:bottom w:val="none" w:sz="0" w:space="0" w:color="auto"/>
            <w:right w:val="none" w:sz="0" w:space="0" w:color="auto"/>
          </w:divBdr>
        </w:div>
        <w:div w:id="1774472472">
          <w:marLeft w:val="0"/>
          <w:marRight w:val="0"/>
          <w:marTop w:val="240"/>
          <w:marBottom w:val="120"/>
          <w:divBdr>
            <w:top w:val="none" w:sz="0" w:space="0" w:color="auto"/>
            <w:left w:val="none" w:sz="0" w:space="0" w:color="auto"/>
            <w:bottom w:val="none" w:sz="0" w:space="0" w:color="auto"/>
            <w:right w:val="none" w:sz="0" w:space="0" w:color="auto"/>
          </w:divBdr>
        </w:div>
        <w:div w:id="536623585">
          <w:marLeft w:val="0"/>
          <w:marRight w:val="0"/>
          <w:marTop w:val="240"/>
          <w:marBottom w:val="120"/>
          <w:divBdr>
            <w:top w:val="none" w:sz="0" w:space="0" w:color="auto"/>
            <w:left w:val="none" w:sz="0" w:space="0" w:color="auto"/>
            <w:bottom w:val="none" w:sz="0" w:space="0" w:color="auto"/>
            <w:right w:val="none" w:sz="0" w:space="0" w:color="auto"/>
          </w:divBdr>
        </w:div>
      </w:divsChild>
    </w:div>
    <w:div w:id="415790884">
      <w:bodyDiv w:val="1"/>
      <w:marLeft w:val="0"/>
      <w:marRight w:val="0"/>
      <w:marTop w:val="0"/>
      <w:marBottom w:val="0"/>
      <w:divBdr>
        <w:top w:val="none" w:sz="0" w:space="0" w:color="auto"/>
        <w:left w:val="none" w:sz="0" w:space="0" w:color="auto"/>
        <w:bottom w:val="none" w:sz="0" w:space="0" w:color="auto"/>
        <w:right w:val="none" w:sz="0" w:space="0" w:color="auto"/>
      </w:divBdr>
      <w:divsChild>
        <w:div w:id="1705641060">
          <w:marLeft w:val="0"/>
          <w:marRight w:val="0"/>
          <w:marTop w:val="0"/>
          <w:marBottom w:val="0"/>
          <w:divBdr>
            <w:top w:val="none" w:sz="0" w:space="0" w:color="auto"/>
            <w:left w:val="none" w:sz="0" w:space="0" w:color="auto"/>
            <w:bottom w:val="none" w:sz="0" w:space="0" w:color="auto"/>
            <w:right w:val="none" w:sz="0" w:space="0" w:color="auto"/>
          </w:divBdr>
        </w:div>
        <w:div w:id="2015303906">
          <w:marLeft w:val="0"/>
          <w:marRight w:val="0"/>
          <w:marTop w:val="240"/>
          <w:marBottom w:val="120"/>
          <w:divBdr>
            <w:top w:val="none" w:sz="0" w:space="0" w:color="auto"/>
            <w:left w:val="none" w:sz="0" w:space="0" w:color="auto"/>
            <w:bottom w:val="none" w:sz="0" w:space="0" w:color="auto"/>
            <w:right w:val="none" w:sz="0" w:space="0" w:color="auto"/>
          </w:divBdr>
        </w:div>
      </w:divsChild>
    </w:div>
    <w:div w:id="743917202">
      <w:bodyDiv w:val="1"/>
      <w:marLeft w:val="0"/>
      <w:marRight w:val="0"/>
      <w:marTop w:val="0"/>
      <w:marBottom w:val="0"/>
      <w:divBdr>
        <w:top w:val="none" w:sz="0" w:space="0" w:color="auto"/>
        <w:left w:val="none" w:sz="0" w:space="0" w:color="auto"/>
        <w:bottom w:val="none" w:sz="0" w:space="0" w:color="auto"/>
        <w:right w:val="none" w:sz="0" w:space="0" w:color="auto"/>
      </w:divBdr>
    </w:div>
    <w:div w:id="833498973">
      <w:bodyDiv w:val="1"/>
      <w:marLeft w:val="0"/>
      <w:marRight w:val="0"/>
      <w:marTop w:val="0"/>
      <w:marBottom w:val="0"/>
      <w:divBdr>
        <w:top w:val="none" w:sz="0" w:space="0" w:color="auto"/>
        <w:left w:val="none" w:sz="0" w:space="0" w:color="auto"/>
        <w:bottom w:val="none" w:sz="0" w:space="0" w:color="auto"/>
        <w:right w:val="none" w:sz="0" w:space="0" w:color="auto"/>
      </w:divBdr>
      <w:divsChild>
        <w:div w:id="184025730">
          <w:marLeft w:val="0"/>
          <w:marRight w:val="0"/>
          <w:marTop w:val="0"/>
          <w:marBottom w:val="0"/>
          <w:divBdr>
            <w:top w:val="none" w:sz="0" w:space="0" w:color="auto"/>
            <w:left w:val="none" w:sz="0" w:space="0" w:color="auto"/>
            <w:bottom w:val="none" w:sz="0" w:space="0" w:color="auto"/>
            <w:right w:val="none" w:sz="0" w:space="0" w:color="auto"/>
          </w:divBdr>
        </w:div>
        <w:div w:id="1099644557">
          <w:marLeft w:val="0"/>
          <w:marRight w:val="0"/>
          <w:marTop w:val="240"/>
          <w:marBottom w:val="120"/>
          <w:divBdr>
            <w:top w:val="none" w:sz="0" w:space="0" w:color="auto"/>
            <w:left w:val="none" w:sz="0" w:space="0" w:color="auto"/>
            <w:bottom w:val="none" w:sz="0" w:space="0" w:color="auto"/>
            <w:right w:val="none" w:sz="0" w:space="0" w:color="auto"/>
          </w:divBdr>
        </w:div>
      </w:divsChild>
    </w:div>
    <w:div w:id="1249584638">
      <w:bodyDiv w:val="1"/>
      <w:marLeft w:val="0"/>
      <w:marRight w:val="0"/>
      <w:marTop w:val="0"/>
      <w:marBottom w:val="0"/>
      <w:divBdr>
        <w:top w:val="none" w:sz="0" w:space="0" w:color="auto"/>
        <w:left w:val="none" w:sz="0" w:space="0" w:color="auto"/>
        <w:bottom w:val="none" w:sz="0" w:space="0" w:color="auto"/>
        <w:right w:val="none" w:sz="0" w:space="0" w:color="auto"/>
      </w:divBdr>
      <w:divsChild>
        <w:div w:id="580919132">
          <w:marLeft w:val="0"/>
          <w:marRight w:val="0"/>
          <w:marTop w:val="0"/>
          <w:marBottom w:val="0"/>
          <w:divBdr>
            <w:top w:val="none" w:sz="0" w:space="0" w:color="auto"/>
            <w:left w:val="none" w:sz="0" w:space="0" w:color="auto"/>
            <w:bottom w:val="none" w:sz="0" w:space="0" w:color="auto"/>
            <w:right w:val="none" w:sz="0" w:space="0" w:color="auto"/>
          </w:divBdr>
        </w:div>
        <w:div w:id="819033726">
          <w:marLeft w:val="0"/>
          <w:marRight w:val="0"/>
          <w:marTop w:val="240"/>
          <w:marBottom w:val="120"/>
          <w:divBdr>
            <w:top w:val="none" w:sz="0" w:space="0" w:color="auto"/>
            <w:left w:val="none" w:sz="0" w:space="0" w:color="auto"/>
            <w:bottom w:val="none" w:sz="0" w:space="0" w:color="auto"/>
            <w:right w:val="none" w:sz="0" w:space="0" w:color="auto"/>
          </w:divBdr>
        </w:div>
        <w:div w:id="1931741196">
          <w:marLeft w:val="0"/>
          <w:marRight w:val="0"/>
          <w:marTop w:val="240"/>
          <w:marBottom w:val="120"/>
          <w:divBdr>
            <w:top w:val="none" w:sz="0" w:space="0" w:color="auto"/>
            <w:left w:val="none" w:sz="0" w:space="0" w:color="auto"/>
            <w:bottom w:val="none" w:sz="0" w:space="0" w:color="auto"/>
            <w:right w:val="none" w:sz="0" w:space="0" w:color="auto"/>
          </w:divBdr>
        </w:div>
      </w:divsChild>
    </w:div>
    <w:div w:id="1387215492">
      <w:bodyDiv w:val="1"/>
      <w:marLeft w:val="0"/>
      <w:marRight w:val="0"/>
      <w:marTop w:val="0"/>
      <w:marBottom w:val="0"/>
      <w:divBdr>
        <w:top w:val="none" w:sz="0" w:space="0" w:color="auto"/>
        <w:left w:val="none" w:sz="0" w:space="0" w:color="auto"/>
        <w:bottom w:val="none" w:sz="0" w:space="0" w:color="auto"/>
        <w:right w:val="none" w:sz="0" w:space="0" w:color="auto"/>
      </w:divBdr>
      <w:divsChild>
        <w:div w:id="2101828586">
          <w:marLeft w:val="0"/>
          <w:marRight w:val="0"/>
          <w:marTop w:val="0"/>
          <w:marBottom w:val="0"/>
          <w:divBdr>
            <w:top w:val="none" w:sz="0" w:space="0" w:color="auto"/>
            <w:left w:val="none" w:sz="0" w:space="0" w:color="auto"/>
            <w:bottom w:val="none" w:sz="0" w:space="0" w:color="auto"/>
            <w:right w:val="none" w:sz="0" w:space="0" w:color="auto"/>
          </w:divBdr>
          <w:divsChild>
            <w:div w:id="629047269">
              <w:marLeft w:val="0"/>
              <w:marRight w:val="0"/>
              <w:marTop w:val="0"/>
              <w:marBottom w:val="120"/>
              <w:divBdr>
                <w:top w:val="none" w:sz="0" w:space="0" w:color="auto"/>
                <w:left w:val="none" w:sz="0" w:space="0" w:color="auto"/>
                <w:bottom w:val="none" w:sz="0" w:space="0" w:color="auto"/>
                <w:right w:val="none" w:sz="0" w:space="0" w:color="auto"/>
              </w:divBdr>
              <w:divsChild>
                <w:div w:id="766389912">
                  <w:marLeft w:val="0"/>
                  <w:marRight w:val="0"/>
                  <w:marTop w:val="0"/>
                  <w:marBottom w:val="0"/>
                  <w:divBdr>
                    <w:top w:val="none" w:sz="0" w:space="0" w:color="auto"/>
                    <w:left w:val="none" w:sz="0" w:space="0" w:color="auto"/>
                    <w:bottom w:val="none" w:sz="0" w:space="0" w:color="auto"/>
                    <w:right w:val="none" w:sz="0" w:space="0" w:color="auto"/>
                  </w:divBdr>
                </w:div>
              </w:divsChild>
            </w:div>
            <w:div w:id="1262303202">
              <w:marLeft w:val="0"/>
              <w:marRight w:val="0"/>
              <w:marTop w:val="0"/>
              <w:marBottom w:val="120"/>
              <w:divBdr>
                <w:top w:val="none" w:sz="0" w:space="0" w:color="auto"/>
                <w:left w:val="none" w:sz="0" w:space="0" w:color="auto"/>
                <w:bottom w:val="none" w:sz="0" w:space="0" w:color="auto"/>
                <w:right w:val="none" w:sz="0" w:space="0" w:color="auto"/>
              </w:divBdr>
              <w:divsChild>
                <w:div w:id="53288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168871">
          <w:marLeft w:val="0"/>
          <w:marRight w:val="0"/>
          <w:marTop w:val="0"/>
          <w:marBottom w:val="480"/>
          <w:divBdr>
            <w:top w:val="none" w:sz="0" w:space="0" w:color="auto"/>
            <w:left w:val="none" w:sz="0" w:space="0" w:color="auto"/>
            <w:bottom w:val="single" w:sz="12" w:space="24" w:color="EBEBEB"/>
            <w:right w:val="none" w:sz="0" w:space="0" w:color="auto"/>
          </w:divBdr>
          <w:divsChild>
            <w:div w:id="511533048">
              <w:marLeft w:val="0"/>
              <w:marRight w:val="0"/>
              <w:marTop w:val="0"/>
              <w:marBottom w:val="0"/>
              <w:divBdr>
                <w:top w:val="none" w:sz="0" w:space="0" w:color="auto"/>
                <w:left w:val="none" w:sz="0" w:space="0" w:color="auto"/>
                <w:bottom w:val="none" w:sz="0" w:space="0" w:color="auto"/>
                <w:right w:val="none" w:sz="0" w:space="0" w:color="auto"/>
              </w:divBdr>
              <w:divsChild>
                <w:div w:id="1725518835">
                  <w:marLeft w:val="0"/>
                  <w:marRight w:val="0"/>
                  <w:marTop w:val="0"/>
                  <w:marBottom w:val="0"/>
                  <w:divBdr>
                    <w:top w:val="none" w:sz="0" w:space="0" w:color="auto"/>
                    <w:left w:val="none" w:sz="0" w:space="0" w:color="auto"/>
                    <w:bottom w:val="none" w:sz="0" w:space="0" w:color="auto"/>
                    <w:right w:val="none" w:sz="0" w:space="0" w:color="auto"/>
                  </w:divBdr>
                </w:div>
                <w:div w:id="645745865">
                  <w:marLeft w:val="0"/>
                  <w:marRight w:val="0"/>
                  <w:marTop w:val="0"/>
                  <w:marBottom w:val="0"/>
                  <w:divBdr>
                    <w:top w:val="none" w:sz="0" w:space="0" w:color="auto"/>
                    <w:left w:val="none" w:sz="0" w:space="0" w:color="auto"/>
                    <w:bottom w:val="none" w:sz="0" w:space="0" w:color="auto"/>
                    <w:right w:val="none" w:sz="0" w:space="0" w:color="auto"/>
                  </w:divBdr>
                </w:div>
                <w:div w:id="1306665808">
                  <w:marLeft w:val="0"/>
                  <w:marRight w:val="0"/>
                  <w:marTop w:val="0"/>
                  <w:marBottom w:val="0"/>
                  <w:divBdr>
                    <w:top w:val="none" w:sz="0" w:space="0" w:color="auto"/>
                    <w:left w:val="none" w:sz="0" w:space="0" w:color="auto"/>
                    <w:bottom w:val="none" w:sz="0" w:space="0" w:color="auto"/>
                    <w:right w:val="none" w:sz="0" w:space="0" w:color="auto"/>
                  </w:divBdr>
                </w:div>
                <w:div w:id="9812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993545">
          <w:marLeft w:val="0"/>
          <w:marRight w:val="0"/>
          <w:marTop w:val="0"/>
          <w:marBottom w:val="0"/>
          <w:divBdr>
            <w:top w:val="none" w:sz="0" w:space="0" w:color="auto"/>
            <w:left w:val="none" w:sz="0" w:space="0" w:color="auto"/>
            <w:bottom w:val="none" w:sz="0" w:space="0" w:color="auto"/>
            <w:right w:val="none" w:sz="0" w:space="0" w:color="auto"/>
          </w:divBdr>
          <w:divsChild>
            <w:div w:id="1856579151">
              <w:marLeft w:val="0"/>
              <w:marRight w:val="0"/>
              <w:marTop w:val="0"/>
              <w:marBottom w:val="0"/>
              <w:divBdr>
                <w:top w:val="none" w:sz="0" w:space="0" w:color="auto"/>
                <w:left w:val="none" w:sz="0" w:space="0" w:color="auto"/>
                <w:bottom w:val="none" w:sz="0" w:space="0" w:color="auto"/>
                <w:right w:val="none" w:sz="0" w:space="0" w:color="auto"/>
              </w:divBdr>
              <w:divsChild>
                <w:div w:id="835148388">
                  <w:marLeft w:val="0"/>
                  <w:marRight w:val="0"/>
                  <w:marTop w:val="0"/>
                  <w:marBottom w:val="0"/>
                  <w:divBdr>
                    <w:top w:val="none" w:sz="0" w:space="0" w:color="auto"/>
                    <w:left w:val="none" w:sz="0" w:space="0" w:color="auto"/>
                    <w:bottom w:val="none" w:sz="0" w:space="0" w:color="auto"/>
                    <w:right w:val="none" w:sz="0" w:space="0" w:color="auto"/>
                  </w:divBdr>
                  <w:divsChild>
                    <w:div w:id="429543421">
                      <w:marLeft w:val="0"/>
                      <w:marRight w:val="0"/>
                      <w:marTop w:val="240"/>
                      <w:marBottom w:val="240"/>
                      <w:divBdr>
                        <w:top w:val="single" w:sz="12" w:space="0" w:color="EBEBEB"/>
                        <w:left w:val="none" w:sz="0" w:space="0" w:color="auto"/>
                        <w:bottom w:val="single" w:sz="12" w:space="0" w:color="EBEBEB"/>
                        <w:right w:val="none" w:sz="0" w:space="0" w:color="auto"/>
                      </w:divBdr>
                      <w:divsChild>
                        <w:div w:id="1930809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51618804">
                  <w:marLeft w:val="0"/>
                  <w:marRight w:val="0"/>
                  <w:marTop w:val="0"/>
                  <w:marBottom w:val="0"/>
                  <w:divBdr>
                    <w:top w:val="none" w:sz="0" w:space="0" w:color="auto"/>
                    <w:left w:val="none" w:sz="0" w:space="0" w:color="auto"/>
                    <w:bottom w:val="none" w:sz="0" w:space="0" w:color="auto"/>
                    <w:right w:val="none" w:sz="0" w:space="0" w:color="auto"/>
                  </w:divBdr>
                </w:div>
                <w:div w:id="705907158">
                  <w:marLeft w:val="0"/>
                  <w:marRight w:val="0"/>
                  <w:marTop w:val="0"/>
                  <w:marBottom w:val="0"/>
                  <w:divBdr>
                    <w:top w:val="none" w:sz="0" w:space="0" w:color="auto"/>
                    <w:left w:val="none" w:sz="0" w:space="0" w:color="auto"/>
                    <w:bottom w:val="none" w:sz="0" w:space="0" w:color="auto"/>
                    <w:right w:val="none" w:sz="0" w:space="0" w:color="auto"/>
                  </w:divBdr>
                  <w:divsChild>
                    <w:div w:id="1039932153">
                      <w:marLeft w:val="0"/>
                      <w:marRight w:val="0"/>
                      <w:marTop w:val="240"/>
                      <w:marBottom w:val="240"/>
                      <w:divBdr>
                        <w:top w:val="single" w:sz="12" w:space="0" w:color="EBEBEB"/>
                        <w:left w:val="none" w:sz="0" w:space="0" w:color="auto"/>
                        <w:bottom w:val="single" w:sz="12" w:space="0" w:color="EBEBEB"/>
                        <w:right w:val="none" w:sz="0" w:space="0" w:color="auto"/>
                      </w:divBdr>
                      <w:divsChild>
                        <w:div w:id="64114191">
                          <w:marLeft w:val="0"/>
                          <w:marRight w:val="0"/>
                          <w:marTop w:val="240"/>
                          <w:marBottom w:val="240"/>
                          <w:divBdr>
                            <w:top w:val="none" w:sz="0" w:space="0" w:color="auto"/>
                            <w:left w:val="none" w:sz="0" w:space="0" w:color="auto"/>
                            <w:bottom w:val="none" w:sz="0" w:space="0" w:color="auto"/>
                            <w:right w:val="none" w:sz="0" w:space="0" w:color="auto"/>
                          </w:divBdr>
                        </w:div>
                      </w:divsChild>
                    </w:div>
                    <w:div w:id="1742873430">
                      <w:marLeft w:val="0"/>
                      <w:marRight w:val="0"/>
                      <w:marTop w:val="240"/>
                      <w:marBottom w:val="240"/>
                      <w:divBdr>
                        <w:top w:val="single" w:sz="12" w:space="0" w:color="EBEBEB"/>
                        <w:left w:val="none" w:sz="0" w:space="0" w:color="auto"/>
                        <w:bottom w:val="single" w:sz="12" w:space="0" w:color="EBEBEB"/>
                        <w:right w:val="none" w:sz="0" w:space="0" w:color="auto"/>
                      </w:divBdr>
                      <w:divsChild>
                        <w:div w:id="16386118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83313535">
                  <w:marLeft w:val="0"/>
                  <w:marRight w:val="0"/>
                  <w:marTop w:val="0"/>
                  <w:marBottom w:val="0"/>
                  <w:divBdr>
                    <w:top w:val="none" w:sz="0" w:space="0" w:color="auto"/>
                    <w:left w:val="none" w:sz="0" w:space="0" w:color="auto"/>
                    <w:bottom w:val="none" w:sz="0" w:space="0" w:color="auto"/>
                    <w:right w:val="none" w:sz="0" w:space="0" w:color="auto"/>
                  </w:divBdr>
                </w:div>
                <w:div w:id="1531992754">
                  <w:marLeft w:val="0"/>
                  <w:marRight w:val="0"/>
                  <w:marTop w:val="0"/>
                  <w:marBottom w:val="0"/>
                  <w:divBdr>
                    <w:top w:val="none" w:sz="0" w:space="0" w:color="auto"/>
                    <w:left w:val="none" w:sz="0" w:space="0" w:color="auto"/>
                    <w:bottom w:val="none" w:sz="0" w:space="0" w:color="auto"/>
                    <w:right w:val="none" w:sz="0" w:space="0" w:color="auto"/>
                  </w:divBdr>
                  <w:divsChild>
                    <w:div w:id="1456875802">
                      <w:marLeft w:val="0"/>
                      <w:marRight w:val="0"/>
                      <w:marTop w:val="240"/>
                      <w:marBottom w:val="240"/>
                      <w:divBdr>
                        <w:top w:val="single" w:sz="12" w:space="0" w:color="EBEBEB"/>
                        <w:left w:val="none" w:sz="0" w:space="0" w:color="auto"/>
                        <w:bottom w:val="single" w:sz="12" w:space="0" w:color="EBEBEB"/>
                        <w:right w:val="none" w:sz="0" w:space="0" w:color="auto"/>
                      </w:divBdr>
                      <w:divsChild>
                        <w:div w:id="174463999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97877735">
          <w:marLeft w:val="0"/>
          <w:marRight w:val="0"/>
          <w:marTop w:val="0"/>
          <w:marBottom w:val="0"/>
          <w:divBdr>
            <w:top w:val="none" w:sz="0" w:space="0" w:color="auto"/>
            <w:left w:val="none" w:sz="0" w:space="0" w:color="auto"/>
            <w:bottom w:val="none" w:sz="0" w:space="0" w:color="auto"/>
            <w:right w:val="none" w:sz="0" w:space="0" w:color="auto"/>
          </w:divBdr>
        </w:div>
        <w:div w:id="1938057424">
          <w:marLeft w:val="0"/>
          <w:marRight w:val="0"/>
          <w:marTop w:val="0"/>
          <w:marBottom w:val="0"/>
          <w:divBdr>
            <w:top w:val="none" w:sz="0" w:space="0" w:color="auto"/>
            <w:left w:val="none" w:sz="0" w:space="0" w:color="auto"/>
            <w:bottom w:val="none" w:sz="0" w:space="0" w:color="auto"/>
            <w:right w:val="none" w:sz="0" w:space="0" w:color="auto"/>
          </w:divBdr>
        </w:div>
        <w:div w:id="342636403">
          <w:marLeft w:val="0"/>
          <w:marRight w:val="0"/>
          <w:marTop w:val="0"/>
          <w:marBottom w:val="0"/>
          <w:divBdr>
            <w:top w:val="none" w:sz="0" w:space="0" w:color="auto"/>
            <w:left w:val="none" w:sz="0" w:space="0" w:color="auto"/>
            <w:bottom w:val="none" w:sz="0" w:space="0" w:color="auto"/>
            <w:right w:val="none" w:sz="0" w:space="0" w:color="auto"/>
          </w:divBdr>
        </w:div>
        <w:div w:id="1183545514">
          <w:marLeft w:val="0"/>
          <w:marRight w:val="0"/>
          <w:marTop w:val="0"/>
          <w:marBottom w:val="0"/>
          <w:divBdr>
            <w:top w:val="none" w:sz="0" w:space="0" w:color="auto"/>
            <w:left w:val="none" w:sz="0" w:space="0" w:color="auto"/>
            <w:bottom w:val="none" w:sz="0" w:space="0" w:color="auto"/>
            <w:right w:val="none" w:sz="0" w:space="0" w:color="auto"/>
          </w:divBdr>
        </w:div>
        <w:div w:id="779641314">
          <w:marLeft w:val="0"/>
          <w:marRight w:val="0"/>
          <w:marTop w:val="0"/>
          <w:marBottom w:val="0"/>
          <w:divBdr>
            <w:top w:val="none" w:sz="0" w:space="0" w:color="auto"/>
            <w:left w:val="none" w:sz="0" w:space="0" w:color="auto"/>
            <w:bottom w:val="none" w:sz="0" w:space="0" w:color="auto"/>
            <w:right w:val="none" w:sz="0" w:space="0" w:color="auto"/>
          </w:divBdr>
        </w:div>
        <w:div w:id="979069560">
          <w:marLeft w:val="0"/>
          <w:marRight w:val="0"/>
          <w:marTop w:val="0"/>
          <w:marBottom w:val="0"/>
          <w:divBdr>
            <w:top w:val="none" w:sz="0" w:space="0" w:color="auto"/>
            <w:left w:val="none" w:sz="0" w:space="0" w:color="auto"/>
            <w:bottom w:val="none" w:sz="0" w:space="0" w:color="auto"/>
            <w:right w:val="none" w:sz="0" w:space="0" w:color="auto"/>
          </w:divBdr>
        </w:div>
        <w:div w:id="658583879">
          <w:marLeft w:val="0"/>
          <w:marRight w:val="0"/>
          <w:marTop w:val="0"/>
          <w:marBottom w:val="0"/>
          <w:divBdr>
            <w:top w:val="none" w:sz="0" w:space="0" w:color="auto"/>
            <w:left w:val="none" w:sz="0" w:space="0" w:color="auto"/>
            <w:bottom w:val="none" w:sz="0" w:space="0" w:color="auto"/>
            <w:right w:val="none" w:sz="0" w:space="0" w:color="auto"/>
          </w:divBdr>
        </w:div>
        <w:div w:id="335887735">
          <w:marLeft w:val="0"/>
          <w:marRight w:val="0"/>
          <w:marTop w:val="0"/>
          <w:marBottom w:val="0"/>
          <w:divBdr>
            <w:top w:val="none" w:sz="0" w:space="0" w:color="auto"/>
            <w:left w:val="none" w:sz="0" w:space="0" w:color="auto"/>
            <w:bottom w:val="none" w:sz="0" w:space="0" w:color="auto"/>
            <w:right w:val="none" w:sz="0" w:space="0" w:color="auto"/>
          </w:divBdr>
        </w:div>
        <w:div w:id="651299057">
          <w:marLeft w:val="0"/>
          <w:marRight w:val="0"/>
          <w:marTop w:val="0"/>
          <w:marBottom w:val="0"/>
          <w:divBdr>
            <w:top w:val="none" w:sz="0" w:space="0" w:color="auto"/>
            <w:left w:val="none" w:sz="0" w:space="0" w:color="auto"/>
            <w:bottom w:val="none" w:sz="0" w:space="0" w:color="auto"/>
            <w:right w:val="none" w:sz="0" w:space="0" w:color="auto"/>
          </w:divBdr>
        </w:div>
        <w:div w:id="486677575">
          <w:marLeft w:val="0"/>
          <w:marRight w:val="0"/>
          <w:marTop w:val="0"/>
          <w:marBottom w:val="0"/>
          <w:divBdr>
            <w:top w:val="none" w:sz="0" w:space="0" w:color="auto"/>
            <w:left w:val="none" w:sz="0" w:space="0" w:color="auto"/>
            <w:bottom w:val="none" w:sz="0" w:space="0" w:color="auto"/>
            <w:right w:val="none" w:sz="0" w:space="0" w:color="auto"/>
          </w:divBdr>
        </w:div>
        <w:div w:id="1597136266">
          <w:marLeft w:val="0"/>
          <w:marRight w:val="0"/>
          <w:marTop w:val="0"/>
          <w:marBottom w:val="0"/>
          <w:divBdr>
            <w:top w:val="none" w:sz="0" w:space="0" w:color="auto"/>
            <w:left w:val="none" w:sz="0" w:space="0" w:color="auto"/>
            <w:bottom w:val="none" w:sz="0" w:space="0" w:color="auto"/>
            <w:right w:val="none" w:sz="0" w:space="0" w:color="auto"/>
          </w:divBdr>
        </w:div>
        <w:div w:id="605505354">
          <w:marLeft w:val="0"/>
          <w:marRight w:val="0"/>
          <w:marTop w:val="0"/>
          <w:marBottom w:val="0"/>
          <w:divBdr>
            <w:top w:val="none" w:sz="0" w:space="0" w:color="auto"/>
            <w:left w:val="none" w:sz="0" w:space="0" w:color="auto"/>
            <w:bottom w:val="none" w:sz="0" w:space="0" w:color="auto"/>
            <w:right w:val="none" w:sz="0" w:space="0" w:color="auto"/>
          </w:divBdr>
        </w:div>
        <w:div w:id="1819881150">
          <w:marLeft w:val="0"/>
          <w:marRight w:val="0"/>
          <w:marTop w:val="0"/>
          <w:marBottom w:val="0"/>
          <w:divBdr>
            <w:top w:val="none" w:sz="0" w:space="0" w:color="auto"/>
            <w:left w:val="none" w:sz="0" w:space="0" w:color="auto"/>
            <w:bottom w:val="none" w:sz="0" w:space="0" w:color="auto"/>
            <w:right w:val="none" w:sz="0" w:space="0" w:color="auto"/>
          </w:divBdr>
        </w:div>
        <w:div w:id="1187720487">
          <w:marLeft w:val="0"/>
          <w:marRight w:val="0"/>
          <w:marTop w:val="0"/>
          <w:marBottom w:val="0"/>
          <w:divBdr>
            <w:top w:val="none" w:sz="0" w:space="0" w:color="auto"/>
            <w:left w:val="none" w:sz="0" w:space="0" w:color="auto"/>
            <w:bottom w:val="none" w:sz="0" w:space="0" w:color="auto"/>
            <w:right w:val="none" w:sz="0" w:space="0" w:color="auto"/>
          </w:divBdr>
        </w:div>
        <w:div w:id="1222986746">
          <w:marLeft w:val="0"/>
          <w:marRight w:val="0"/>
          <w:marTop w:val="0"/>
          <w:marBottom w:val="0"/>
          <w:divBdr>
            <w:top w:val="none" w:sz="0" w:space="0" w:color="auto"/>
            <w:left w:val="none" w:sz="0" w:space="0" w:color="auto"/>
            <w:bottom w:val="none" w:sz="0" w:space="0" w:color="auto"/>
            <w:right w:val="none" w:sz="0" w:space="0" w:color="auto"/>
          </w:divBdr>
        </w:div>
        <w:div w:id="1149130971">
          <w:marLeft w:val="0"/>
          <w:marRight w:val="0"/>
          <w:marTop w:val="0"/>
          <w:marBottom w:val="0"/>
          <w:divBdr>
            <w:top w:val="none" w:sz="0" w:space="0" w:color="auto"/>
            <w:left w:val="none" w:sz="0" w:space="0" w:color="auto"/>
            <w:bottom w:val="none" w:sz="0" w:space="0" w:color="auto"/>
            <w:right w:val="none" w:sz="0" w:space="0" w:color="auto"/>
          </w:divBdr>
        </w:div>
        <w:div w:id="1682052684">
          <w:marLeft w:val="0"/>
          <w:marRight w:val="0"/>
          <w:marTop w:val="0"/>
          <w:marBottom w:val="0"/>
          <w:divBdr>
            <w:top w:val="none" w:sz="0" w:space="0" w:color="auto"/>
            <w:left w:val="none" w:sz="0" w:space="0" w:color="auto"/>
            <w:bottom w:val="none" w:sz="0" w:space="0" w:color="auto"/>
            <w:right w:val="none" w:sz="0" w:space="0" w:color="auto"/>
          </w:divBdr>
        </w:div>
        <w:div w:id="1561095082">
          <w:marLeft w:val="0"/>
          <w:marRight w:val="0"/>
          <w:marTop w:val="0"/>
          <w:marBottom w:val="0"/>
          <w:divBdr>
            <w:top w:val="none" w:sz="0" w:space="0" w:color="auto"/>
            <w:left w:val="none" w:sz="0" w:space="0" w:color="auto"/>
            <w:bottom w:val="none" w:sz="0" w:space="0" w:color="auto"/>
            <w:right w:val="none" w:sz="0" w:space="0" w:color="auto"/>
          </w:divBdr>
        </w:div>
        <w:div w:id="70279722">
          <w:marLeft w:val="0"/>
          <w:marRight w:val="0"/>
          <w:marTop w:val="0"/>
          <w:marBottom w:val="0"/>
          <w:divBdr>
            <w:top w:val="none" w:sz="0" w:space="0" w:color="auto"/>
            <w:left w:val="none" w:sz="0" w:space="0" w:color="auto"/>
            <w:bottom w:val="none" w:sz="0" w:space="0" w:color="auto"/>
            <w:right w:val="none" w:sz="0" w:space="0" w:color="auto"/>
          </w:divBdr>
        </w:div>
        <w:div w:id="487597863">
          <w:marLeft w:val="0"/>
          <w:marRight w:val="0"/>
          <w:marTop w:val="0"/>
          <w:marBottom w:val="0"/>
          <w:divBdr>
            <w:top w:val="none" w:sz="0" w:space="0" w:color="auto"/>
            <w:left w:val="none" w:sz="0" w:space="0" w:color="auto"/>
            <w:bottom w:val="none" w:sz="0" w:space="0" w:color="auto"/>
            <w:right w:val="none" w:sz="0" w:space="0" w:color="auto"/>
          </w:divBdr>
        </w:div>
        <w:div w:id="583300761">
          <w:marLeft w:val="0"/>
          <w:marRight w:val="0"/>
          <w:marTop w:val="0"/>
          <w:marBottom w:val="0"/>
          <w:divBdr>
            <w:top w:val="none" w:sz="0" w:space="0" w:color="auto"/>
            <w:left w:val="none" w:sz="0" w:space="0" w:color="auto"/>
            <w:bottom w:val="none" w:sz="0" w:space="0" w:color="auto"/>
            <w:right w:val="none" w:sz="0" w:space="0" w:color="auto"/>
          </w:divBdr>
        </w:div>
        <w:div w:id="2129929278">
          <w:marLeft w:val="0"/>
          <w:marRight w:val="0"/>
          <w:marTop w:val="0"/>
          <w:marBottom w:val="0"/>
          <w:divBdr>
            <w:top w:val="none" w:sz="0" w:space="0" w:color="auto"/>
            <w:left w:val="none" w:sz="0" w:space="0" w:color="auto"/>
            <w:bottom w:val="none" w:sz="0" w:space="0" w:color="auto"/>
            <w:right w:val="none" w:sz="0" w:space="0" w:color="auto"/>
          </w:divBdr>
        </w:div>
        <w:div w:id="1825125068">
          <w:marLeft w:val="0"/>
          <w:marRight w:val="0"/>
          <w:marTop w:val="0"/>
          <w:marBottom w:val="0"/>
          <w:divBdr>
            <w:top w:val="none" w:sz="0" w:space="0" w:color="auto"/>
            <w:left w:val="none" w:sz="0" w:space="0" w:color="auto"/>
            <w:bottom w:val="none" w:sz="0" w:space="0" w:color="auto"/>
            <w:right w:val="none" w:sz="0" w:space="0" w:color="auto"/>
          </w:divBdr>
        </w:div>
        <w:div w:id="1326743135">
          <w:marLeft w:val="0"/>
          <w:marRight w:val="0"/>
          <w:marTop w:val="0"/>
          <w:marBottom w:val="0"/>
          <w:divBdr>
            <w:top w:val="none" w:sz="0" w:space="0" w:color="auto"/>
            <w:left w:val="none" w:sz="0" w:space="0" w:color="auto"/>
            <w:bottom w:val="none" w:sz="0" w:space="0" w:color="auto"/>
            <w:right w:val="none" w:sz="0" w:space="0" w:color="auto"/>
          </w:divBdr>
        </w:div>
        <w:div w:id="489638450">
          <w:marLeft w:val="0"/>
          <w:marRight w:val="0"/>
          <w:marTop w:val="0"/>
          <w:marBottom w:val="0"/>
          <w:divBdr>
            <w:top w:val="none" w:sz="0" w:space="0" w:color="auto"/>
            <w:left w:val="none" w:sz="0" w:space="0" w:color="auto"/>
            <w:bottom w:val="none" w:sz="0" w:space="0" w:color="auto"/>
            <w:right w:val="none" w:sz="0" w:space="0" w:color="auto"/>
          </w:divBdr>
        </w:div>
        <w:div w:id="2110151214">
          <w:marLeft w:val="0"/>
          <w:marRight w:val="0"/>
          <w:marTop w:val="0"/>
          <w:marBottom w:val="0"/>
          <w:divBdr>
            <w:top w:val="none" w:sz="0" w:space="0" w:color="auto"/>
            <w:left w:val="none" w:sz="0" w:space="0" w:color="auto"/>
            <w:bottom w:val="none" w:sz="0" w:space="0" w:color="auto"/>
            <w:right w:val="none" w:sz="0" w:space="0" w:color="auto"/>
          </w:divBdr>
        </w:div>
        <w:div w:id="1196698416">
          <w:marLeft w:val="0"/>
          <w:marRight w:val="0"/>
          <w:marTop w:val="0"/>
          <w:marBottom w:val="0"/>
          <w:divBdr>
            <w:top w:val="none" w:sz="0" w:space="0" w:color="auto"/>
            <w:left w:val="none" w:sz="0" w:space="0" w:color="auto"/>
            <w:bottom w:val="none" w:sz="0" w:space="0" w:color="auto"/>
            <w:right w:val="none" w:sz="0" w:space="0" w:color="auto"/>
          </w:divBdr>
        </w:div>
        <w:div w:id="1993286561">
          <w:marLeft w:val="0"/>
          <w:marRight w:val="0"/>
          <w:marTop w:val="0"/>
          <w:marBottom w:val="0"/>
          <w:divBdr>
            <w:top w:val="none" w:sz="0" w:space="0" w:color="auto"/>
            <w:left w:val="none" w:sz="0" w:space="0" w:color="auto"/>
            <w:bottom w:val="none" w:sz="0" w:space="0" w:color="auto"/>
            <w:right w:val="none" w:sz="0" w:space="0" w:color="auto"/>
          </w:divBdr>
        </w:div>
        <w:div w:id="1758597150">
          <w:marLeft w:val="0"/>
          <w:marRight w:val="0"/>
          <w:marTop w:val="0"/>
          <w:marBottom w:val="0"/>
          <w:divBdr>
            <w:top w:val="none" w:sz="0" w:space="0" w:color="auto"/>
            <w:left w:val="none" w:sz="0" w:space="0" w:color="auto"/>
            <w:bottom w:val="none" w:sz="0" w:space="0" w:color="auto"/>
            <w:right w:val="none" w:sz="0" w:space="0" w:color="auto"/>
          </w:divBdr>
        </w:div>
        <w:div w:id="1786928368">
          <w:marLeft w:val="0"/>
          <w:marRight w:val="0"/>
          <w:marTop w:val="0"/>
          <w:marBottom w:val="0"/>
          <w:divBdr>
            <w:top w:val="none" w:sz="0" w:space="0" w:color="auto"/>
            <w:left w:val="none" w:sz="0" w:space="0" w:color="auto"/>
            <w:bottom w:val="none" w:sz="0" w:space="0" w:color="auto"/>
            <w:right w:val="none" w:sz="0" w:space="0" w:color="auto"/>
          </w:divBdr>
        </w:div>
        <w:div w:id="2089844286">
          <w:marLeft w:val="0"/>
          <w:marRight w:val="0"/>
          <w:marTop w:val="0"/>
          <w:marBottom w:val="0"/>
          <w:divBdr>
            <w:top w:val="none" w:sz="0" w:space="0" w:color="auto"/>
            <w:left w:val="none" w:sz="0" w:space="0" w:color="auto"/>
            <w:bottom w:val="none" w:sz="0" w:space="0" w:color="auto"/>
            <w:right w:val="none" w:sz="0" w:space="0" w:color="auto"/>
          </w:divBdr>
        </w:div>
        <w:div w:id="767038803">
          <w:marLeft w:val="0"/>
          <w:marRight w:val="0"/>
          <w:marTop w:val="0"/>
          <w:marBottom w:val="0"/>
          <w:divBdr>
            <w:top w:val="none" w:sz="0" w:space="0" w:color="auto"/>
            <w:left w:val="none" w:sz="0" w:space="0" w:color="auto"/>
            <w:bottom w:val="none" w:sz="0" w:space="0" w:color="auto"/>
            <w:right w:val="none" w:sz="0" w:space="0" w:color="auto"/>
          </w:divBdr>
        </w:div>
        <w:div w:id="672417687">
          <w:marLeft w:val="0"/>
          <w:marRight w:val="0"/>
          <w:marTop w:val="0"/>
          <w:marBottom w:val="0"/>
          <w:divBdr>
            <w:top w:val="none" w:sz="0" w:space="0" w:color="auto"/>
            <w:left w:val="none" w:sz="0" w:space="0" w:color="auto"/>
            <w:bottom w:val="none" w:sz="0" w:space="0" w:color="auto"/>
            <w:right w:val="none" w:sz="0" w:space="0" w:color="auto"/>
          </w:divBdr>
        </w:div>
        <w:div w:id="252279913">
          <w:marLeft w:val="0"/>
          <w:marRight w:val="0"/>
          <w:marTop w:val="0"/>
          <w:marBottom w:val="0"/>
          <w:divBdr>
            <w:top w:val="none" w:sz="0" w:space="0" w:color="auto"/>
            <w:left w:val="none" w:sz="0" w:space="0" w:color="auto"/>
            <w:bottom w:val="none" w:sz="0" w:space="0" w:color="auto"/>
            <w:right w:val="none" w:sz="0" w:space="0" w:color="auto"/>
          </w:divBdr>
        </w:div>
        <w:div w:id="1820414979">
          <w:marLeft w:val="0"/>
          <w:marRight w:val="0"/>
          <w:marTop w:val="0"/>
          <w:marBottom w:val="0"/>
          <w:divBdr>
            <w:top w:val="none" w:sz="0" w:space="0" w:color="auto"/>
            <w:left w:val="none" w:sz="0" w:space="0" w:color="auto"/>
            <w:bottom w:val="none" w:sz="0" w:space="0" w:color="auto"/>
            <w:right w:val="none" w:sz="0" w:space="0" w:color="auto"/>
          </w:divBdr>
        </w:div>
        <w:div w:id="232008426">
          <w:marLeft w:val="0"/>
          <w:marRight w:val="0"/>
          <w:marTop w:val="0"/>
          <w:marBottom w:val="0"/>
          <w:divBdr>
            <w:top w:val="none" w:sz="0" w:space="0" w:color="auto"/>
            <w:left w:val="none" w:sz="0" w:space="0" w:color="auto"/>
            <w:bottom w:val="none" w:sz="0" w:space="0" w:color="auto"/>
            <w:right w:val="none" w:sz="0" w:space="0" w:color="auto"/>
          </w:divBdr>
        </w:div>
        <w:div w:id="1723359764">
          <w:marLeft w:val="0"/>
          <w:marRight w:val="0"/>
          <w:marTop w:val="0"/>
          <w:marBottom w:val="0"/>
          <w:divBdr>
            <w:top w:val="none" w:sz="0" w:space="0" w:color="auto"/>
            <w:left w:val="none" w:sz="0" w:space="0" w:color="auto"/>
            <w:bottom w:val="none" w:sz="0" w:space="0" w:color="auto"/>
            <w:right w:val="none" w:sz="0" w:space="0" w:color="auto"/>
          </w:divBdr>
        </w:div>
        <w:div w:id="1064378920">
          <w:marLeft w:val="0"/>
          <w:marRight w:val="0"/>
          <w:marTop w:val="0"/>
          <w:marBottom w:val="0"/>
          <w:divBdr>
            <w:top w:val="none" w:sz="0" w:space="0" w:color="auto"/>
            <w:left w:val="none" w:sz="0" w:space="0" w:color="auto"/>
            <w:bottom w:val="none" w:sz="0" w:space="0" w:color="auto"/>
            <w:right w:val="none" w:sz="0" w:space="0" w:color="auto"/>
          </w:divBdr>
        </w:div>
        <w:div w:id="1676034608">
          <w:marLeft w:val="0"/>
          <w:marRight w:val="0"/>
          <w:marTop w:val="0"/>
          <w:marBottom w:val="0"/>
          <w:divBdr>
            <w:top w:val="none" w:sz="0" w:space="0" w:color="auto"/>
            <w:left w:val="none" w:sz="0" w:space="0" w:color="auto"/>
            <w:bottom w:val="none" w:sz="0" w:space="0" w:color="auto"/>
            <w:right w:val="none" w:sz="0" w:space="0" w:color="auto"/>
          </w:divBdr>
        </w:div>
        <w:div w:id="982075230">
          <w:marLeft w:val="0"/>
          <w:marRight w:val="0"/>
          <w:marTop w:val="0"/>
          <w:marBottom w:val="0"/>
          <w:divBdr>
            <w:top w:val="none" w:sz="0" w:space="0" w:color="auto"/>
            <w:left w:val="none" w:sz="0" w:space="0" w:color="auto"/>
            <w:bottom w:val="none" w:sz="0" w:space="0" w:color="auto"/>
            <w:right w:val="none" w:sz="0" w:space="0" w:color="auto"/>
          </w:divBdr>
        </w:div>
        <w:div w:id="1970503370">
          <w:marLeft w:val="0"/>
          <w:marRight w:val="0"/>
          <w:marTop w:val="0"/>
          <w:marBottom w:val="0"/>
          <w:divBdr>
            <w:top w:val="none" w:sz="0" w:space="0" w:color="auto"/>
            <w:left w:val="none" w:sz="0" w:space="0" w:color="auto"/>
            <w:bottom w:val="none" w:sz="0" w:space="0" w:color="auto"/>
            <w:right w:val="none" w:sz="0" w:space="0" w:color="auto"/>
          </w:divBdr>
        </w:div>
        <w:div w:id="1050113198">
          <w:marLeft w:val="0"/>
          <w:marRight w:val="0"/>
          <w:marTop w:val="0"/>
          <w:marBottom w:val="0"/>
          <w:divBdr>
            <w:top w:val="none" w:sz="0" w:space="0" w:color="auto"/>
            <w:left w:val="none" w:sz="0" w:space="0" w:color="auto"/>
            <w:bottom w:val="none" w:sz="0" w:space="0" w:color="auto"/>
            <w:right w:val="none" w:sz="0" w:space="0" w:color="auto"/>
          </w:divBdr>
        </w:div>
        <w:div w:id="1878005438">
          <w:marLeft w:val="0"/>
          <w:marRight w:val="0"/>
          <w:marTop w:val="0"/>
          <w:marBottom w:val="0"/>
          <w:divBdr>
            <w:top w:val="none" w:sz="0" w:space="0" w:color="auto"/>
            <w:left w:val="none" w:sz="0" w:space="0" w:color="auto"/>
            <w:bottom w:val="none" w:sz="0" w:space="0" w:color="auto"/>
            <w:right w:val="none" w:sz="0" w:space="0" w:color="auto"/>
          </w:divBdr>
        </w:div>
        <w:div w:id="383529454">
          <w:marLeft w:val="0"/>
          <w:marRight w:val="0"/>
          <w:marTop w:val="0"/>
          <w:marBottom w:val="0"/>
          <w:divBdr>
            <w:top w:val="none" w:sz="0" w:space="0" w:color="auto"/>
            <w:left w:val="none" w:sz="0" w:space="0" w:color="auto"/>
            <w:bottom w:val="none" w:sz="0" w:space="0" w:color="auto"/>
            <w:right w:val="none" w:sz="0" w:space="0" w:color="auto"/>
          </w:divBdr>
        </w:div>
        <w:div w:id="494497080">
          <w:marLeft w:val="0"/>
          <w:marRight w:val="0"/>
          <w:marTop w:val="0"/>
          <w:marBottom w:val="0"/>
          <w:divBdr>
            <w:top w:val="none" w:sz="0" w:space="0" w:color="auto"/>
            <w:left w:val="none" w:sz="0" w:space="0" w:color="auto"/>
            <w:bottom w:val="none" w:sz="0" w:space="0" w:color="auto"/>
            <w:right w:val="none" w:sz="0" w:space="0" w:color="auto"/>
          </w:divBdr>
        </w:div>
        <w:div w:id="380834643">
          <w:marLeft w:val="0"/>
          <w:marRight w:val="0"/>
          <w:marTop w:val="0"/>
          <w:marBottom w:val="0"/>
          <w:divBdr>
            <w:top w:val="none" w:sz="0" w:space="0" w:color="auto"/>
            <w:left w:val="none" w:sz="0" w:space="0" w:color="auto"/>
            <w:bottom w:val="none" w:sz="0" w:space="0" w:color="auto"/>
            <w:right w:val="none" w:sz="0" w:space="0" w:color="auto"/>
          </w:divBdr>
        </w:div>
        <w:div w:id="1870560336">
          <w:marLeft w:val="0"/>
          <w:marRight w:val="0"/>
          <w:marTop w:val="0"/>
          <w:marBottom w:val="0"/>
          <w:divBdr>
            <w:top w:val="none" w:sz="0" w:space="0" w:color="auto"/>
            <w:left w:val="none" w:sz="0" w:space="0" w:color="auto"/>
            <w:bottom w:val="none" w:sz="0" w:space="0" w:color="auto"/>
            <w:right w:val="none" w:sz="0" w:space="0" w:color="auto"/>
          </w:divBdr>
        </w:div>
        <w:div w:id="977219936">
          <w:marLeft w:val="0"/>
          <w:marRight w:val="0"/>
          <w:marTop w:val="0"/>
          <w:marBottom w:val="0"/>
          <w:divBdr>
            <w:top w:val="none" w:sz="0" w:space="0" w:color="auto"/>
            <w:left w:val="none" w:sz="0" w:space="0" w:color="auto"/>
            <w:bottom w:val="none" w:sz="0" w:space="0" w:color="auto"/>
            <w:right w:val="none" w:sz="0" w:space="0" w:color="auto"/>
          </w:divBdr>
        </w:div>
        <w:div w:id="1256479282">
          <w:marLeft w:val="0"/>
          <w:marRight w:val="0"/>
          <w:marTop w:val="0"/>
          <w:marBottom w:val="0"/>
          <w:divBdr>
            <w:top w:val="none" w:sz="0" w:space="0" w:color="auto"/>
            <w:left w:val="none" w:sz="0" w:space="0" w:color="auto"/>
            <w:bottom w:val="none" w:sz="0" w:space="0" w:color="auto"/>
            <w:right w:val="none" w:sz="0" w:space="0" w:color="auto"/>
          </w:divBdr>
        </w:div>
        <w:div w:id="1106123641">
          <w:marLeft w:val="0"/>
          <w:marRight w:val="0"/>
          <w:marTop w:val="0"/>
          <w:marBottom w:val="0"/>
          <w:divBdr>
            <w:top w:val="none" w:sz="0" w:space="0" w:color="auto"/>
            <w:left w:val="none" w:sz="0" w:space="0" w:color="auto"/>
            <w:bottom w:val="none" w:sz="0" w:space="0" w:color="auto"/>
            <w:right w:val="none" w:sz="0" w:space="0" w:color="auto"/>
          </w:divBdr>
        </w:div>
        <w:div w:id="1940940823">
          <w:marLeft w:val="0"/>
          <w:marRight w:val="0"/>
          <w:marTop w:val="0"/>
          <w:marBottom w:val="0"/>
          <w:divBdr>
            <w:top w:val="none" w:sz="0" w:space="0" w:color="auto"/>
            <w:left w:val="none" w:sz="0" w:space="0" w:color="auto"/>
            <w:bottom w:val="none" w:sz="0" w:space="0" w:color="auto"/>
            <w:right w:val="none" w:sz="0" w:space="0" w:color="auto"/>
          </w:divBdr>
        </w:div>
        <w:div w:id="1639068370">
          <w:marLeft w:val="0"/>
          <w:marRight w:val="0"/>
          <w:marTop w:val="0"/>
          <w:marBottom w:val="0"/>
          <w:divBdr>
            <w:top w:val="none" w:sz="0" w:space="0" w:color="auto"/>
            <w:left w:val="none" w:sz="0" w:space="0" w:color="auto"/>
            <w:bottom w:val="none" w:sz="0" w:space="0" w:color="auto"/>
            <w:right w:val="none" w:sz="0" w:space="0" w:color="auto"/>
          </w:divBdr>
        </w:div>
        <w:div w:id="744186754">
          <w:marLeft w:val="0"/>
          <w:marRight w:val="0"/>
          <w:marTop w:val="0"/>
          <w:marBottom w:val="0"/>
          <w:divBdr>
            <w:top w:val="none" w:sz="0" w:space="0" w:color="auto"/>
            <w:left w:val="none" w:sz="0" w:space="0" w:color="auto"/>
            <w:bottom w:val="none" w:sz="0" w:space="0" w:color="auto"/>
            <w:right w:val="none" w:sz="0" w:space="0" w:color="auto"/>
          </w:divBdr>
        </w:div>
        <w:div w:id="305088967">
          <w:marLeft w:val="0"/>
          <w:marRight w:val="0"/>
          <w:marTop w:val="0"/>
          <w:marBottom w:val="0"/>
          <w:divBdr>
            <w:top w:val="none" w:sz="0" w:space="0" w:color="auto"/>
            <w:left w:val="none" w:sz="0" w:space="0" w:color="auto"/>
            <w:bottom w:val="none" w:sz="0" w:space="0" w:color="auto"/>
            <w:right w:val="none" w:sz="0" w:space="0" w:color="auto"/>
          </w:divBdr>
        </w:div>
        <w:div w:id="1988237391">
          <w:marLeft w:val="0"/>
          <w:marRight w:val="0"/>
          <w:marTop w:val="0"/>
          <w:marBottom w:val="0"/>
          <w:divBdr>
            <w:top w:val="none" w:sz="0" w:space="0" w:color="auto"/>
            <w:left w:val="none" w:sz="0" w:space="0" w:color="auto"/>
            <w:bottom w:val="none" w:sz="0" w:space="0" w:color="auto"/>
            <w:right w:val="none" w:sz="0" w:space="0" w:color="auto"/>
          </w:divBdr>
        </w:div>
        <w:div w:id="269751054">
          <w:marLeft w:val="0"/>
          <w:marRight w:val="0"/>
          <w:marTop w:val="0"/>
          <w:marBottom w:val="0"/>
          <w:divBdr>
            <w:top w:val="none" w:sz="0" w:space="0" w:color="auto"/>
            <w:left w:val="none" w:sz="0" w:space="0" w:color="auto"/>
            <w:bottom w:val="none" w:sz="0" w:space="0" w:color="auto"/>
            <w:right w:val="none" w:sz="0" w:space="0" w:color="auto"/>
          </w:divBdr>
        </w:div>
        <w:div w:id="468939486">
          <w:marLeft w:val="0"/>
          <w:marRight w:val="0"/>
          <w:marTop w:val="0"/>
          <w:marBottom w:val="0"/>
          <w:divBdr>
            <w:top w:val="none" w:sz="0" w:space="0" w:color="auto"/>
            <w:left w:val="none" w:sz="0" w:space="0" w:color="auto"/>
            <w:bottom w:val="none" w:sz="0" w:space="0" w:color="auto"/>
            <w:right w:val="none" w:sz="0" w:space="0" w:color="auto"/>
          </w:divBdr>
        </w:div>
        <w:div w:id="1224756638">
          <w:marLeft w:val="0"/>
          <w:marRight w:val="0"/>
          <w:marTop w:val="0"/>
          <w:marBottom w:val="0"/>
          <w:divBdr>
            <w:top w:val="none" w:sz="0" w:space="0" w:color="auto"/>
            <w:left w:val="none" w:sz="0" w:space="0" w:color="auto"/>
            <w:bottom w:val="none" w:sz="0" w:space="0" w:color="auto"/>
            <w:right w:val="none" w:sz="0" w:space="0" w:color="auto"/>
          </w:divBdr>
        </w:div>
        <w:div w:id="1108502573">
          <w:marLeft w:val="0"/>
          <w:marRight w:val="0"/>
          <w:marTop w:val="0"/>
          <w:marBottom w:val="0"/>
          <w:divBdr>
            <w:top w:val="none" w:sz="0" w:space="0" w:color="auto"/>
            <w:left w:val="none" w:sz="0" w:space="0" w:color="auto"/>
            <w:bottom w:val="none" w:sz="0" w:space="0" w:color="auto"/>
            <w:right w:val="none" w:sz="0" w:space="0" w:color="auto"/>
          </w:divBdr>
        </w:div>
        <w:div w:id="778179794">
          <w:marLeft w:val="0"/>
          <w:marRight w:val="0"/>
          <w:marTop w:val="0"/>
          <w:marBottom w:val="0"/>
          <w:divBdr>
            <w:top w:val="none" w:sz="0" w:space="0" w:color="auto"/>
            <w:left w:val="none" w:sz="0" w:space="0" w:color="auto"/>
            <w:bottom w:val="none" w:sz="0" w:space="0" w:color="auto"/>
            <w:right w:val="none" w:sz="0" w:space="0" w:color="auto"/>
          </w:divBdr>
        </w:div>
        <w:div w:id="1382942755">
          <w:marLeft w:val="0"/>
          <w:marRight w:val="0"/>
          <w:marTop w:val="0"/>
          <w:marBottom w:val="0"/>
          <w:divBdr>
            <w:top w:val="none" w:sz="0" w:space="0" w:color="auto"/>
            <w:left w:val="none" w:sz="0" w:space="0" w:color="auto"/>
            <w:bottom w:val="none" w:sz="0" w:space="0" w:color="auto"/>
            <w:right w:val="none" w:sz="0" w:space="0" w:color="auto"/>
          </w:divBdr>
        </w:div>
        <w:div w:id="816147918">
          <w:marLeft w:val="0"/>
          <w:marRight w:val="0"/>
          <w:marTop w:val="0"/>
          <w:marBottom w:val="0"/>
          <w:divBdr>
            <w:top w:val="none" w:sz="0" w:space="0" w:color="auto"/>
            <w:left w:val="none" w:sz="0" w:space="0" w:color="auto"/>
            <w:bottom w:val="none" w:sz="0" w:space="0" w:color="auto"/>
            <w:right w:val="none" w:sz="0" w:space="0" w:color="auto"/>
          </w:divBdr>
        </w:div>
        <w:div w:id="760301172">
          <w:marLeft w:val="0"/>
          <w:marRight w:val="0"/>
          <w:marTop w:val="0"/>
          <w:marBottom w:val="0"/>
          <w:divBdr>
            <w:top w:val="none" w:sz="0" w:space="0" w:color="auto"/>
            <w:left w:val="none" w:sz="0" w:space="0" w:color="auto"/>
            <w:bottom w:val="none" w:sz="0" w:space="0" w:color="auto"/>
            <w:right w:val="none" w:sz="0" w:space="0" w:color="auto"/>
          </w:divBdr>
        </w:div>
        <w:div w:id="1824466268">
          <w:marLeft w:val="0"/>
          <w:marRight w:val="0"/>
          <w:marTop w:val="0"/>
          <w:marBottom w:val="0"/>
          <w:divBdr>
            <w:top w:val="none" w:sz="0" w:space="0" w:color="auto"/>
            <w:left w:val="none" w:sz="0" w:space="0" w:color="auto"/>
            <w:bottom w:val="none" w:sz="0" w:space="0" w:color="auto"/>
            <w:right w:val="none" w:sz="0" w:space="0" w:color="auto"/>
          </w:divBdr>
        </w:div>
        <w:div w:id="1228490715">
          <w:marLeft w:val="0"/>
          <w:marRight w:val="0"/>
          <w:marTop w:val="0"/>
          <w:marBottom w:val="0"/>
          <w:divBdr>
            <w:top w:val="none" w:sz="0" w:space="0" w:color="auto"/>
            <w:left w:val="none" w:sz="0" w:space="0" w:color="auto"/>
            <w:bottom w:val="none" w:sz="0" w:space="0" w:color="auto"/>
            <w:right w:val="none" w:sz="0" w:space="0" w:color="auto"/>
          </w:divBdr>
        </w:div>
        <w:div w:id="788233983">
          <w:marLeft w:val="0"/>
          <w:marRight w:val="0"/>
          <w:marTop w:val="0"/>
          <w:marBottom w:val="0"/>
          <w:divBdr>
            <w:top w:val="none" w:sz="0" w:space="0" w:color="auto"/>
            <w:left w:val="none" w:sz="0" w:space="0" w:color="auto"/>
            <w:bottom w:val="none" w:sz="0" w:space="0" w:color="auto"/>
            <w:right w:val="none" w:sz="0" w:space="0" w:color="auto"/>
          </w:divBdr>
        </w:div>
        <w:div w:id="450436941">
          <w:marLeft w:val="0"/>
          <w:marRight w:val="0"/>
          <w:marTop w:val="0"/>
          <w:marBottom w:val="0"/>
          <w:divBdr>
            <w:top w:val="none" w:sz="0" w:space="0" w:color="auto"/>
            <w:left w:val="none" w:sz="0" w:space="0" w:color="auto"/>
            <w:bottom w:val="none" w:sz="0" w:space="0" w:color="auto"/>
            <w:right w:val="none" w:sz="0" w:space="0" w:color="auto"/>
          </w:divBdr>
        </w:div>
        <w:div w:id="1699626306">
          <w:marLeft w:val="0"/>
          <w:marRight w:val="0"/>
          <w:marTop w:val="0"/>
          <w:marBottom w:val="0"/>
          <w:divBdr>
            <w:top w:val="none" w:sz="0" w:space="0" w:color="auto"/>
            <w:left w:val="none" w:sz="0" w:space="0" w:color="auto"/>
            <w:bottom w:val="none" w:sz="0" w:space="0" w:color="auto"/>
            <w:right w:val="none" w:sz="0" w:space="0" w:color="auto"/>
          </w:divBdr>
        </w:div>
        <w:div w:id="904489115">
          <w:marLeft w:val="0"/>
          <w:marRight w:val="0"/>
          <w:marTop w:val="0"/>
          <w:marBottom w:val="0"/>
          <w:divBdr>
            <w:top w:val="none" w:sz="0" w:space="0" w:color="auto"/>
            <w:left w:val="none" w:sz="0" w:space="0" w:color="auto"/>
            <w:bottom w:val="none" w:sz="0" w:space="0" w:color="auto"/>
            <w:right w:val="none" w:sz="0" w:space="0" w:color="auto"/>
          </w:divBdr>
        </w:div>
        <w:div w:id="508563342">
          <w:marLeft w:val="0"/>
          <w:marRight w:val="0"/>
          <w:marTop w:val="0"/>
          <w:marBottom w:val="0"/>
          <w:divBdr>
            <w:top w:val="none" w:sz="0" w:space="0" w:color="auto"/>
            <w:left w:val="none" w:sz="0" w:space="0" w:color="auto"/>
            <w:bottom w:val="none" w:sz="0" w:space="0" w:color="auto"/>
            <w:right w:val="none" w:sz="0" w:space="0" w:color="auto"/>
          </w:divBdr>
        </w:div>
        <w:div w:id="1153790823">
          <w:marLeft w:val="0"/>
          <w:marRight w:val="0"/>
          <w:marTop w:val="0"/>
          <w:marBottom w:val="0"/>
          <w:divBdr>
            <w:top w:val="none" w:sz="0" w:space="0" w:color="auto"/>
            <w:left w:val="none" w:sz="0" w:space="0" w:color="auto"/>
            <w:bottom w:val="none" w:sz="0" w:space="0" w:color="auto"/>
            <w:right w:val="none" w:sz="0" w:space="0" w:color="auto"/>
          </w:divBdr>
        </w:div>
        <w:div w:id="1817605910">
          <w:marLeft w:val="0"/>
          <w:marRight w:val="0"/>
          <w:marTop w:val="0"/>
          <w:marBottom w:val="0"/>
          <w:divBdr>
            <w:top w:val="none" w:sz="0" w:space="0" w:color="auto"/>
            <w:left w:val="none" w:sz="0" w:space="0" w:color="auto"/>
            <w:bottom w:val="none" w:sz="0" w:space="0" w:color="auto"/>
            <w:right w:val="none" w:sz="0" w:space="0" w:color="auto"/>
          </w:divBdr>
        </w:div>
        <w:div w:id="1122575585">
          <w:marLeft w:val="0"/>
          <w:marRight w:val="0"/>
          <w:marTop w:val="0"/>
          <w:marBottom w:val="0"/>
          <w:divBdr>
            <w:top w:val="none" w:sz="0" w:space="0" w:color="auto"/>
            <w:left w:val="none" w:sz="0" w:space="0" w:color="auto"/>
            <w:bottom w:val="none" w:sz="0" w:space="0" w:color="auto"/>
            <w:right w:val="none" w:sz="0" w:space="0" w:color="auto"/>
          </w:divBdr>
        </w:div>
        <w:div w:id="1348410417">
          <w:marLeft w:val="0"/>
          <w:marRight w:val="0"/>
          <w:marTop w:val="0"/>
          <w:marBottom w:val="0"/>
          <w:divBdr>
            <w:top w:val="none" w:sz="0" w:space="0" w:color="auto"/>
            <w:left w:val="none" w:sz="0" w:space="0" w:color="auto"/>
            <w:bottom w:val="none" w:sz="0" w:space="0" w:color="auto"/>
            <w:right w:val="none" w:sz="0" w:space="0" w:color="auto"/>
          </w:divBdr>
        </w:div>
        <w:div w:id="425658950">
          <w:marLeft w:val="0"/>
          <w:marRight w:val="0"/>
          <w:marTop w:val="0"/>
          <w:marBottom w:val="0"/>
          <w:divBdr>
            <w:top w:val="none" w:sz="0" w:space="0" w:color="auto"/>
            <w:left w:val="none" w:sz="0" w:space="0" w:color="auto"/>
            <w:bottom w:val="none" w:sz="0" w:space="0" w:color="auto"/>
            <w:right w:val="none" w:sz="0" w:space="0" w:color="auto"/>
          </w:divBdr>
        </w:div>
        <w:div w:id="802581689">
          <w:marLeft w:val="0"/>
          <w:marRight w:val="0"/>
          <w:marTop w:val="0"/>
          <w:marBottom w:val="0"/>
          <w:divBdr>
            <w:top w:val="none" w:sz="0" w:space="0" w:color="auto"/>
            <w:left w:val="none" w:sz="0" w:space="0" w:color="auto"/>
            <w:bottom w:val="none" w:sz="0" w:space="0" w:color="auto"/>
            <w:right w:val="none" w:sz="0" w:space="0" w:color="auto"/>
          </w:divBdr>
        </w:div>
        <w:div w:id="629019787">
          <w:marLeft w:val="0"/>
          <w:marRight w:val="0"/>
          <w:marTop w:val="0"/>
          <w:marBottom w:val="0"/>
          <w:divBdr>
            <w:top w:val="none" w:sz="0" w:space="0" w:color="auto"/>
            <w:left w:val="none" w:sz="0" w:space="0" w:color="auto"/>
            <w:bottom w:val="none" w:sz="0" w:space="0" w:color="auto"/>
            <w:right w:val="none" w:sz="0" w:space="0" w:color="auto"/>
          </w:divBdr>
        </w:div>
        <w:div w:id="694498836">
          <w:marLeft w:val="0"/>
          <w:marRight w:val="0"/>
          <w:marTop w:val="0"/>
          <w:marBottom w:val="0"/>
          <w:divBdr>
            <w:top w:val="none" w:sz="0" w:space="0" w:color="auto"/>
            <w:left w:val="none" w:sz="0" w:space="0" w:color="auto"/>
            <w:bottom w:val="none" w:sz="0" w:space="0" w:color="auto"/>
            <w:right w:val="none" w:sz="0" w:space="0" w:color="auto"/>
          </w:divBdr>
        </w:div>
        <w:div w:id="770930523">
          <w:marLeft w:val="0"/>
          <w:marRight w:val="0"/>
          <w:marTop w:val="0"/>
          <w:marBottom w:val="0"/>
          <w:divBdr>
            <w:top w:val="none" w:sz="0" w:space="0" w:color="auto"/>
            <w:left w:val="none" w:sz="0" w:space="0" w:color="auto"/>
            <w:bottom w:val="none" w:sz="0" w:space="0" w:color="auto"/>
            <w:right w:val="none" w:sz="0" w:space="0" w:color="auto"/>
          </w:divBdr>
        </w:div>
        <w:div w:id="2130514868">
          <w:marLeft w:val="0"/>
          <w:marRight w:val="0"/>
          <w:marTop w:val="0"/>
          <w:marBottom w:val="0"/>
          <w:divBdr>
            <w:top w:val="none" w:sz="0" w:space="0" w:color="auto"/>
            <w:left w:val="none" w:sz="0" w:space="0" w:color="auto"/>
            <w:bottom w:val="none" w:sz="0" w:space="0" w:color="auto"/>
            <w:right w:val="none" w:sz="0" w:space="0" w:color="auto"/>
          </w:divBdr>
        </w:div>
        <w:div w:id="1647978941">
          <w:marLeft w:val="0"/>
          <w:marRight w:val="0"/>
          <w:marTop w:val="0"/>
          <w:marBottom w:val="0"/>
          <w:divBdr>
            <w:top w:val="none" w:sz="0" w:space="0" w:color="auto"/>
            <w:left w:val="none" w:sz="0" w:space="0" w:color="auto"/>
            <w:bottom w:val="none" w:sz="0" w:space="0" w:color="auto"/>
            <w:right w:val="none" w:sz="0" w:space="0" w:color="auto"/>
          </w:divBdr>
        </w:div>
        <w:div w:id="1304240021">
          <w:marLeft w:val="0"/>
          <w:marRight w:val="0"/>
          <w:marTop w:val="0"/>
          <w:marBottom w:val="0"/>
          <w:divBdr>
            <w:top w:val="none" w:sz="0" w:space="0" w:color="auto"/>
            <w:left w:val="none" w:sz="0" w:space="0" w:color="auto"/>
            <w:bottom w:val="none" w:sz="0" w:space="0" w:color="auto"/>
            <w:right w:val="none" w:sz="0" w:space="0" w:color="auto"/>
          </w:divBdr>
        </w:div>
        <w:div w:id="839395095">
          <w:marLeft w:val="0"/>
          <w:marRight w:val="0"/>
          <w:marTop w:val="0"/>
          <w:marBottom w:val="0"/>
          <w:divBdr>
            <w:top w:val="none" w:sz="0" w:space="0" w:color="auto"/>
            <w:left w:val="none" w:sz="0" w:space="0" w:color="auto"/>
            <w:bottom w:val="none" w:sz="0" w:space="0" w:color="auto"/>
            <w:right w:val="none" w:sz="0" w:space="0" w:color="auto"/>
          </w:divBdr>
        </w:div>
        <w:div w:id="676152359">
          <w:marLeft w:val="0"/>
          <w:marRight w:val="0"/>
          <w:marTop w:val="0"/>
          <w:marBottom w:val="0"/>
          <w:divBdr>
            <w:top w:val="none" w:sz="0" w:space="0" w:color="auto"/>
            <w:left w:val="none" w:sz="0" w:space="0" w:color="auto"/>
            <w:bottom w:val="none" w:sz="0" w:space="0" w:color="auto"/>
            <w:right w:val="none" w:sz="0" w:space="0" w:color="auto"/>
          </w:divBdr>
        </w:div>
        <w:div w:id="722945813">
          <w:marLeft w:val="0"/>
          <w:marRight w:val="0"/>
          <w:marTop w:val="0"/>
          <w:marBottom w:val="0"/>
          <w:divBdr>
            <w:top w:val="none" w:sz="0" w:space="0" w:color="auto"/>
            <w:left w:val="none" w:sz="0" w:space="0" w:color="auto"/>
            <w:bottom w:val="none" w:sz="0" w:space="0" w:color="auto"/>
            <w:right w:val="none" w:sz="0" w:space="0" w:color="auto"/>
          </w:divBdr>
        </w:div>
        <w:div w:id="164634314">
          <w:marLeft w:val="0"/>
          <w:marRight w:val="0"/>
          <w:marTop w:val="0"/>
          <w:marBottom w:val="0"/>
          <w:divBdr>
            <w:top w:val="none" w:sz="0" w:space="0" w:color="auto"/>
            <w:left w:val="none" w:sz="0" w:space="0" w:color="auto"/>
            <w:bottom w:val="none" w:sz="0" w:space="0" w:color="auto"/>
            <w:right w:val="none" w:sz="0" w:space="0" w:color="auto"/>
          </w:divBdr>
        </w:div>
        <w:div w:id="876548678">
          <w:marLeft w:val="0"/>
          <w:marRight w:val="0"/>
          <w:marTop w:val="0"/>
          <w:marBottom w:val="0"/>
          <w:divBdr>
            <w:top w:val="none" w:sz="0" w:space="0" w:color="auto"/>
            <w:left w:val="none" w:sz="0" w:space="0" w:color="auto"/>
            <w:bottom w:val="none" w:sz="0" w:space="0" w:color="auto"/>
            <w:right w:val="none" w:sz="0" w:space="0" w:color="auto"/>
          </w:divBdr>
        </w:div>
        <w:div w:id="451245184">
          <w:marLeft w:val="0"/>
          <w:marRight w:val="0"/>
          <w:marTop w:val="0"/>
          <w:marBottom w:val="0"/>
          <w:divBdr>
            <w:top w:val="none" w:sz="0" w:space="0" w:color="auto"/>
            <w:left w:val="none" w:sz="0" w:space="0" w:color="auto"/>
            <w:bottom w:val="none" w:sz="0" w:space="0" w:color="auto"/>
            <w:right w:val="none" w:sz="0" w:space="0" w:color="auto"/>
          </w:divBdr>
        </w:div>
        <w:div w:id="169489661">
          <w:marLeft w:val="0"/>
          <w:marRight w:val="0"/>
          <w:marTop w:val="0"/>
          <w:marBottom w:val="0"/>
          <w:divBdr>
            <w:top w:val="none" w:sz="0" w:space="0" w:color="auto"/>
            <w:left w:val="none" w:sz="0" w:space="0" w:color="auto"/>
            <w:bottom w:val="none" w:sz="0" w:space="0" w:color="auto"/>
            <w:right w:val="none" w:sz="0" w:space="0" w:color="auto"/>
          </w:divBdr>
        </w:div>
        <w:div w:id="1427190832">
          <w:marLeft w:val="0"/>
          <w:marRight w:val="0"/>
          <w:marTop w:val="0"/>
          <w:marBottom w:val="0"/>
          <w:divBdr>
            <w:top w:val="none" w:sz="0" w:space="0" w:color="auto"/>
            <w:left w:val="none" w:sz="0" w:space="0" w:color="auto"/>
            <w:bottom w:val="none" w:sz="0" w:space="0" w:color="auto"/>
            <w:right w:val="none" w:sz="0" w:space="0" w:color="auto"/>
          </w:divBdr>
        </w:div>
        <w:div w:id="977032194">
          <w:marLeft w:val="0"/>
          <w:marRight w:val="0"/>
          <w:marTop w:val="0"/>
          <w:marBottom w:val="0"/>
          <w:divBdr>
            <w:top w:val="none" w:sz="0" w:space="0" w:color="auto"/>
            <w:left w:val="none" w:sz="0" w:space="0" w:color="auto"/>
            <w:bottom w:val="none" w:sz="0" w:space="0" w:color="auto"/>
            <w:right w:val="none" w:sz="0" w:space="0" w:color="auto"/>
          </w:divBdr>
        </w:div>
        <w:div w:id="1986855251">
          <w:marLeft w:val="0"/>
          <w:marRight w:val="0"/>
          <w:marTop w:val="0"/>
          <w:marBottom w:val="0"/>
          <w:divBdr>
            <w:top w:val="none" w:sz="0" w:space="0" w:color="auto"/>
            <w:left w:val="none" w:sz="0" w:space="0" w:color="auto"/>
            <w:bottom w:val="none" w:sz="0" w:space="0" w:color="auto"/>
            <w:right w:val="none" w:sz="0" w:space="0" w:color="auto"/>
          </w:divBdr>
        </w:div>
        <w:div w:id="1680425542">
          <w:marLeft w:val="0"/>
          <w:marRight w:val="0"/>
          <w:marTop w:val="0"/>
          <w:marBottom w:val="0"/>
          <w:divBdr>
            <w:top w:val="none" w:sz="0" w:space="0" w:color="auto"/>
            <w:left w:val="none" w:sz="0" w:space="0" w:color="auto"/>
            <w:bottom w:val="none" w:sz="0" w:space="0" w:color="auto"/>
            <w:right w:val="none" w:sz="0" w:space="0" w:color="auto"/>
          </w:divBdr>
        </w:div>
        <w:div w:id="428238768">
          <w:marLeft w:val="0"/>
          <w:marRight w:val="0"/>
          <w:marTop w:val="0"/>
          <w:marBottom w:val="0"/>
          <w:divBdr>
            <w:top w:val="none" w:sz="0" w:space="0" w:color="auto"/>
            <w:left w:val="none" w:sz="0" w:space="0" w:color="auto"/>
            <w:bottom w:val="none" w:sz="0" w:space="0" w:color="auto"/>
            <w:right w:val="none" w:sz="0" w:space="0" w:color="auto"/>
          </w:divBdr>
        </w:div>
        <w:div w:id="1675962196">
          <w:marLeft w:val="0"/>
          <w:marRight w:val="0"/>
          <w:marTop w:val="0"/>
          <w:marBottom w:val="0"/>
          <w:divBdr>
            <w:top w:val="none" w:sz="0" w:space="0" w:color="auto"/>
            <w:left w:val="none" w:sz="0" w:space="0" w:color="auto"/>
            <w:bottom w:val="none" w:sz="0" w:space="0" w:color="auto"/>
            <w:right w:val="none" w:sz="0" w:space="0" w:color="auto"/>
          </w:divBdr>
        </w:div>
        <w:div w:id="1107702575">
          <w:marLeft w:val="0"/>
          <w:marRight w:val="0"/>
          <w:marTop w:val="0"/>
          <w:marBottom w:val="0"/>
          <w:divBdr>
            <w:top w:val="none" w:sz="0" w:space="0" w:color="auto"/>
            <w:left w:val="none" w:sz="0" w:space="0" w:color="auto"/>
            <w:bottom w:val="none" w:sz="0" w:space="0" w:color="auto"/>
            <w:right w:val="none" w:sz="0" w:space="0" w:color="auto"/>
          </w:divBdr>
        </w:div>
        <w:div w:id="505246157">
          <w:marLeft w:val="0"/>
          <w:marRight w:val="0"/>
          <w:marTop w:val="0"/>
          <w:marBottom w:val="0"/>
          <w:divBdr>
            <w:top w:val="none" w:sz="0" w:space="0" w:color="auto"/>
            <w:left w:val="none" w:sz="0" w:space="0" w:color="auto"/>
            <w:bottom w:val="none" w:sz="0" w:space="0" w:color="auto"/>
            <w:right w:val="none" w:sz="0" w:space="0" w:color="auto"/>
          </w:divBdr>
        </w:div>
        <w:div w:id="2036612662">
          <w:marLeft w:val="0"/>
          <w:marRight w:val="0"/>
          <w:marTop w:val="0"/>
          <w:marBottom w:val="0"/>
          <w:divBdr>
            <w:top w:val="none" w:sz="0" w:space="0" w:color="auto"/>
            <w:left w:val="none" w:sz="0" w:space="0" w:color="auto"/>
            <w:bottom w:val="none" w:sz="0" w:space="0" w:color="auto"/>
            <w:right w:val="none" w:sz="0" w:space="0" w:color="auto"/>
          </w:divBdr>
        </w:div>
        <w:div w:id="667367675">
          <w:marLeft w:val="0"/>
          <w:marRight w:val="0"/>
          <w:marTop w:val="0"/>
          <w:marBottom w:val="0"/>
          <w:divBdr>
            <w:top w:val="none" w:sz="0" w:space="0" w:color="auto"/>
            <w:left w:val="none" w:sz="0" w:space="0" w:color="auto"/>
            <w:bottom w:val="none" w:sz="0" w:space="0" w:color="auto"/>
            <w:right w:val="none" w:sz="0" w:space="0" w:color="auto"/>
          </w:divBdr>
        </w:div>
        <w:div w:id="174730088">
          <w:marLeft w:val="0"/>
          <w:marRight w:val="0"/>
          <w:marTop w:val="0"/>
          <w:marBottom w:val="0"/>
          <w:divBdr>
            <w:top w:val="none" w:sz="0" w:space="0" w:color="auto"/>
            <w:left w:val="none" w:sz="0" w:space="0" w:color="auto"/>
            <w:bottom w:val="none" w:sz="0" w:space="0" w:color="auto"/>
            <w:right w:val="none" w:sz="0" w:space="0" w:color="auto"/>
          </w:divBdr>
        </w:div>
        <w:div w:id="1379745865">
          <w:marLeft w:val="0"/>
          <w:marRight w:val="0"/>
          <w:marTop w:val="0"/>
          <w:marBottom w:val="0"/>
          <w:divBdr>
            <w:top w:val="none" w:sz="0" w:space="0" w:color="auto"/>
            <w:left w:val="none" w:sz="0" w:space="0" w:color="auto"/>
            <w:bottom w:val="none" w:sz="0" w:space="0" w:color="auto"/>
            <w:right w:val="none" w:sz="0" w:space="0" w:color="auto"/>
          </w:divBdr>
        </w:div>
        <w:div w:id="1217552413">
          <w:marLeft w:val="0"/>
          <w:marRight w:val="0"/>
          <w:marTop w:val="0"/>
          <w:marBottom w:val="0"/>
          <w:divBdr>
            <w:top w:val="none" w:sz="0" w:space="0" w:color="auto"/>
            <w:left w:val="none" w:sz="0" w:space="0" w:color="auto"/>
            <w:bottom w:val="none" w:sz="0" w:space="0" w:color="auto"/>
            <w:right w:val="none" w:sz="0" w:space="0" w:color="auto"/>
          </w:divBdr>
        </w:div>
        <w:div w:id="1548252607">
          <w:marLeft w:val="0"/>
          <w:marRight w:val="0"/>
          <w:marTop w:val="0"/>
          <w:marBottom w:val="0"/>
          <w:divBdr>
            <w:top w:val="none" w:sz="0" w:space="0" w:color="auto"/>
            <w:left w:val="none" w:sz="0" w:space="0" w:color="auto"/>
            <w:bottom w:val="none" w:sz="0" w:space="0" w:color="auto"/>
            <w:right w:val="none" w:sz="0" w:space="0" w:color="auto"/>
          </w:divBdr>
        </w:div>
        <w:div w:id="1256745683">
          <w:marLeft w:val="0"/>
          <w:marRight w:val="0"/>
          <w:marTop w:val="0"/>
          <w:marBottom w:val="0"/>
          <w:divBdr>
            <w:top w:val="none" w:sz="0" w:space="0" w:color="auto"/>
            <w:left w:val="none" w:sz="0" w:space="0" w:color="auto"/>
            <w:bottom w:val="none" w:sz="0" w:space="0" w:color="auto"/>
            <w:right w:val="none" w:sz="0" w:space="0" w:color="auto"/>
          </w:divBdr>
        </w:div>
        <w:div w:id="1037002204">
          <w:marLeft w:val="0"/>
          <w:marRight w:val="0"/>
          <w:marTop w:val="0"/>
          <w:marBottom w:val="0"/>
          <w:divBdr>
            <w:top w:val="none" w:sz="0" w:space="0" w:color="auto"/>
            <w:left w:val="none" w:sz="0" w:space="0" w:color="auto"/>
            <w:bottom w:val="none" w:sz="0" w:space="0" w:color="auto"/>
            <w:right w:val="none" w:sz="0" w:space="0" w:color="auto"/>
          </w:divBdr>
        </w:div>
        <w:div w:id="1390808222">
          <w:marLeft w:val="0"/>
          <w:marRight w:val="0"/>
          <w:marTop w:val="0"/>
          <w:marBottom w:val="0"/>
          <w:divBdr>
            <w:top w:val="none" w:sz="0" w:space="0" w:color="auto"/>
            <w:left w:val="none" w:sz="0" w:space="0" w:color="auto"/>
            <w:bottom w:val="none" w:sz="0" w:space="0" w:color="auto"/>
            <w:right w:val="none" w:sz="0" w:space="0" w:color="auto"/>
          </w:divBdr>
        </w:div>
        <w:div w:id="321736948">
          <w:marLeft w:val="0"/>
          <w:marRight w:val="0"/>
          <w:marTop w:val="0"/>
          <w:marBottom w:val="0"/>
          <w:divBdr>
            <w:top w:val="none" w:sz="0" w:space="0" w:color="auto"/>
            <w:left w:val="none" w:sz="0" w:space="0" w:color="auto"/>
            <w:bottom w:val="none" w:sz="0" w:space="0" w:color="auto"/>
            <w:right w:val="none" w:sz="0" w:space="0" w:color="auto"/>
          </w:divBdr>
        </w:div>
        <w:div w:id="1062170344">
          <w:marLeft w:val="0"/>
          <w:marRight w:val="0"/>
          <w:marTop w:val="0"/>
          <w:marBottom w:val="0"/>
          <w:divBdr>
            <w:top w:val="none" w:sz="0" w:space="0" w:color="auto"/>
            <w:left w:val="none" w:sz="0" w:space="0" w:color="auto"/>
            <w:bottom w:val="none" w:sz="0" w:space="0" w:color="auto"/>
            <w:right w:val="none" w:sz="0" w:space="0" w:color="auto"/>
          </w:divBdr>
        </w:div>
        <w:div w:id="1939562228">
          <w:marLeft w:val="0"/>
          <w:marRight w:val="0"/>
          <w:marTop w:val="0"/>
          <w:marBottom w:val="0"/>
          <w:divBdr>
            <w:top w:val="none" w:sz="0" w:space="0" w:color="auto"/>
            <w:left w:val="none" w:sz="0" w:space="0" w:color="auto"/>
            <w:bottom w:val="none" w:sz="0" w:space="0" w:color="auto"/>
            <w:right w:val="none" w:sz="0" w:space="0" w:color="auto"/>
          </w:divBdr>
        </w:div>
        <w:div w:id="1710301339">
          <w:marLeft w:val="0"/>
          <w:marRight w:val="0"/>
          <w:marTop w:val="0"/>
          <w:marBottom w:val="0"/>
          <w:divBdr>
            <w:top w:val="none" w:sz="0" w:space="0" w:color="auto"/>
            <w:left w:val="none" w:sz="0" w:space="0" w:color="auto"/>
            <w:bottom w:val="none" w:sz="0" w:space="0" w:color="auto"/>
            <w:right w:val="none" w:sz="0" w:space="0" w:color="auto"/>
          </w:divBdr>
        </w:div>
        <w:div w:id="1697655934">
          <w:marLeft w:val="0"/>
          <w:marRight w:val="0"/>
          <w:marTop w:val="0"/>
          <w:marBottom w:val="0"/>
          <w:divBdr>
            <w:top w:val="none" w:sz="0" w:space="0" w:color="auto"/>
            <w:left w:val="none" w:sz="0" w:space="0" w:color="auto"/>
            <w:bottom w:val="none" w:sz="0" w:space="0" w:color="auto"/>
            <w:right w:val="none" w:sz="0" w:space="0" w:color="auto"/>
          </w:divBdr>
        </w:div>
        <w:div w:id="1942565742">
          <w:marLeft w:val="0"/>
          <w:marRight w:val="0"/>
          <w:marTop w:val="0"/>
          <w:marBottom w:val="0"/>
          <w:divBdr>
            <w:top w:val="none" w:sz="0" w:space="0" w:color="auto"/>
            <w:left w:val="none" w:sz="0" w:space="0" w:color="auto"/>
            <w:bottom w:val="none" w:sz="0" w:space="0" w:color="auto"/>
            <w:right w:val="none" w:sz="0" w:space="0" w:color="auto"/>
          </w:divBdr>
        </w:div>
        <w:div w:id="748768411">
          <w:marLeft w:val="0"/>
          <w:marRight w:val="0"/>
          <w:marTop w:val="0"/>
          <w:marBottom w:val="0"/>
          <w:divBdr>
            <w:top w:val="none" w:sz="0" w:space="0" w:color="auto"/>
            <w:left w:val="none" w:sz="0" w:space="0" w:color="auto"/>
            <w:bottom w:val="none" w:sz="0" w:space="0" w:color="auto"/>
            <w:right w:val="none" w:sz="0" w:space="0" w:color="auto"/>
          </w:divBdr>
        </w:div>
        <w:div w:id="1895769745">
          <w:marLeft w:val="0"/>
          <w:marRight w:val="0"/>
          <w:marTop w:val="0"/>
          <w:marBottom w:val="0"/>
          <w:divBdr>
            <w:top w:val="none" w:sz="0" w:space="0" w:color="auto"/>
            <w:left w:val="none" w:sz="0" w:space="0" w:color="auto"/>
            <w:bottom w:val="none" w:sz="0" w:space="0" w:color="auto"/>
            <w:right w:val="none" w:sz="0" w:space="0" w:color="auto"/>
          </w:divBdr>
        </w:div>
        <w:div w:id="741753151">
          <w:marLeft w:val="0"/>
          <w:marRight w:val="0"/>
          <w:marTop w:val="0"/>
          <w:marBottom w:val="0"/>
          <w:divBdr>
            <w:top w:val="none" w:sz="0" w:space="0" w:color="auto"/>
            <w:left w:val="none" w:sz="0" w:space="0" w:color="auto"/>
            <w:bottom w:val="none" w:sz="0" w:space="0" w:color="auto"/>
            <w:right w:val="none" w:sz="0" w:space="0" w:color="auto"/>
          </w:divBdr>
        </w:div>
        <w:div w:id="953948297">
          <w:marLeft w:val="0"/>
          <w:marRight w:val="0"/>
          <w:marTop w:val="0"/>
          <w:marBottom w:val="0"/>
          <w:divBdr>
            <w:top w:val="none" w:sz="0" w:space="0" w:color="auto"/>
            <w:left w:val="none" w:sz="0" w:space="0" w:color="auto"/>
            <w:bottom w:val="none" w:sz="0" w:space="0" w:color="auto"/>
            <w:right w:val="none" w:sz="0" w:space="0" w:color="auto"/>
          </w:divBdr>
        </w:div>
        <w:div w:id="1302345549">
          <w:marLeft w:val="0"/>
          <w:marRight w:val="0"/>
          <w:marTop w:val="0"/>
          <w:marBottom w:val="0"/>
          <w:divBdr>
            <w:top w:val="none" w:sz="0" w:space="0" w:color="auto"/>
            <w:left w:val="none" w:sz="0" w:space="0" w:color="auto"/>
            <w:bottom w:val="none" w:sz="0" w:space="0" w:color="auto"/>
            <w:right w:val="none" w:sz="0" w:space="0" w:color="auto"/>
          </w:divBdr>
        </w:div>
        <w:div w:id="649748952">
          <w:marLeft w:val="0"/>
          <w:marRight w:val="0"/>
          <w:marTop w:val="0"/>
          <w:marBottom w:val="0"/>
          <w:divBdr>
            <w:top w:val="none" w:sz="0" w:space="0" w:color="auto"/>
            <w:left w:val="none" w:sz="0" w:space="0" w:color="auto"/>
            <w:bottom w:val="none" w:sz="0" w:space="0" w:color="auto"/>
            <w:right w:val="none" w:sz="0" w:space="0" w:color="auto"/>
          </w:divBdr>
        </w:div>
        <w:div w:id="1184981890">
          <w:marLeft w:val="0"/>
          <w:marRight w:val="0"/>
          <w:marTop w:val="0"/>
          <w:marBottom w:val="0"/>
          <w:divBdr>
            <w:top w:val="none" w:sz="0" w:space="0" w:color="auto"/>
            <w:left w:val="none" w:sz="0" w:space="0" w:color="auto"/>
            <w:bottom w:val="none" w:sz="0" w:space="0" w:color="auto"/>
            <w:right w:val="none" w:sz="0" w:space="0" w:color="auto"/>
          </w:divBdr>
        </w:div>
        <w:div w:id="544566763">
          <w:marLeft w:val="0"/>
          <w:marRight w:val="0"/>
          <w:marTop w:val="0"/>
          <w:marBottom w:val="0"/>
          <w:divBdr>
            <w:top w:val="none" w:sz="0" w:space="0" w:color="auto"/>
            <w:left w:val="none" w:sz="0" w:space="0" w:color="auto"/>
            <w:bottom w:val="none" w:sz="0" w:space="0" w:color="auto"/>
            <w:right w:val="none" w:sz="0" w:space="0" w:color="auto"/>
          </w:divBdr>
        </w:div>
        <w:div w:id="2008051755">
          <w:marLeft w:val="0"/>
          <w:marRight w:val="0"/>
          <w:marTop w:val="0"/>
          <w:marBottom w:val="0"/>
          <w:divBdr>
            <w:top w:val="none" w:sz="0" w:space="0" w:color="auto"/>
            <w:left w:val="none" w:sz="0" w:space="0" w:color="auto"/>
            <w:bottom w:val="none" w:sz="0" w:space="0" w:color="auto"/>
            <w:right w:val="none" w:sz="0" w:space="0" w:color="auto"/>
          </w:divBdr>
        </w:div>
        <w:div w:id="1256137114">
          <w:marLeft w:val="0"/>
          <w:marRight w:val="0"/>
          <w:marTop w:val="0"/>
          <w:marBottom w:val="0"/>
          <w:divBdr>
            <w:top w:val="none" w:sz="0" w:space="0" w:color="auto"/>
            <w:left w:val="none" w:sz="0" w:space="0" w:color="auto"/>
            <w:bottom w:val="none" w:sz="0" w:space="0" w:color="auto"/>
            <w:right w:val="none" w:sz="0" w:space="0" w:color="auto"/>
          </w:divBdr>
        </w:div>
        <w:div w:id="758334618">
          <w:marLeft w:val="0"/>
          <w:marRight w:val="0"/>
          <w:marTop w:val="0"/>
          <w:marBottom w:val="0"/>
          <w:divBdr>
            <w:top w:val="none" w:sz="0" w:space="0" w:color="auto"/>
            <w:left w:val="none" w:sz="0" w:space="0" w:color="auto"/>
            <w:bottom w:val="none" w:sz="0" w:space="0" w:color="auto"/>
            <w:right w:val="none" w:sz="0" w:space="0" w:color="auto"/>
          </w:divBdr>
        </w:div>
        <w:div w:id="1757751134">
          <w:marLeft w:val="0"/>
          <w:marRight w:val="0"/>
          <w:marTop w:val="0"/>
          <w:marBottom w:val="0"/>
          <w:divBdr>
            <w:top w:val="none" w:sz="0" w:space="0" w:color="auto"/>
            <w:left w:val="none" w:sz="0" w:space="0" w:color="auto"/>
            <w:bottom w:val="none" w:sz="0" w:space="0" w:color="auto"/>
            <w:right w:val="none" w:sz="0" w:space="0" w:color="auto"/>
          </w:divBdr>
        </w:div>
        <w:div w:id="1317489737">
          <w:marLeft w:val="0"/>
          <w:marRight w:val="0"/>
          <w:marTop w:val="0"/>
          <w:marBottom w:val="0"/>
          <w:divBdr>
            <w:top w:val="none" w:sz="0" w:space="0" w:color="auto"/>
            <w:left w:val="none" w:sz="0" w:space="0" w:color="auto"/>
            <w:bottom w:val="none" w:sz="0" w:space="0" w:color="auto"/>
            <w:right w:val="none" w:sz="0" w:space="0" w:color="auto"/>
          </w:divBdr>
        </w:div>
        <w:div w:id="517891436">
          <w:marLeft w:val="0"/>
          <w:marRight w:val="0"/>
          <w:marTop w:val="0"/>
          <w:marBottom w:val="0"/>
          <w:divBdr>
            <w:top w:val="none" w:sz="0" w:space="0" w:color="auto"/>
            <w:left w:val="none" w:sz="0" w:space="0" w:color="auto"/>
            <w:bottom w:val="none" w:sz="0" w:space="0" w:color="auto"/>
            <w:right w:val="none" w:sz="0" w:space="0" w:color="auto"/>
          </w:divBdr>
        </w:div>
        <w:div w:id="2118670359">
          <w:marLeft w:val="0"/>
          <w:marRight w:val="0"/>
          <w:marTop w:val="0"/>
          <w:marBottom w:val="0"/>
          <w:divBdr>
            <w:top w:val="none" w:sz="0" w:space="0" w:color="auto"/>
            <w:left w:val="none" w:sz="0" w:space="0" w:color="auto"/>
            <w:bottom w:val="none" w:sz="0" w:space="0" w:color="auto"/>
            <w:right w:val="none" w:sz="0" w:space="0" w:color="auto"/>
          </w:divBdr>
        </w:div>
        <w:div w:id="13577977">
          <w:marLeft w:val="0"/>
          <w:marRight w:val="0"/>
          <w:marTop w:val="0"/>
          <w:marBottom w:val="0"/>
          <w:divBdr>
            <w:top w:val="none" w:sz="0" w:space="0" w:color="auto"/>
            <w:left w:val="none" w:sz="0" w:space="0" w:color="auto"/>
            <w:bottom w:val="none" w:sz="0" w:space="0" w:color="auto"/>
            <w:right w:val="none" w:sz="0" w:space="0" w:color="auto"/>
          </w:divBdr>
        </w:div>
        <w:div w:id="688944158">
          <w:marLeft w:val="0"/>
          <w:marRight w:val="0"/>
          <w:marTop w:val="0"/>
          <w:marBottom w:val="0"/>
          <w:divBdr>
            <w:top w:val="none" w:sz="0" w:space="0" w:color="auto"/>
            <w:left w:val="none" w:sz="0" w:space="0" w:color="auto"/>
            <w:bottom w:val="none" w:sz="0" w:space="0" w:color="auto"/>
            <w:right w:val="none" w:sz="0" w:space="0" w:color="auto"/>
          </w:divBdr>
        </w:div>
        <w:div w:id="13234653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ciencedirect.com/topics/medicine-and-dentistry/apoplexy" TargetMode="External"/><Relationship Id="rId21" Type="http://schemas.openxmlformats.org/officeDocument/2006/relationships/hyperlink" Target="https://www.sciencedirect.com/topics/medicine-and-dentistry/pelvis" TargetMode="External"/><Relationship Id="rId42" Type="http://schemas.openxmlformats.org/officeDocument/2006/relationships/hyperlink" Target="https://www.sciencedirect.com/topics/neuroscience/angular-velocity" TargetMode="External"/><Relationship Id="rId47" Type="http://schemas.openxmlformats.org/officeDocument/2006/relationships/hyperlink" Target="https://www.sciencedirect.com/science/article/pii/S0167945718303282?via%3Dihub" TargetMode="External"/><Relationship Id="rId63" Type="http://schemas.openxmlformats.org/officeDocument/2006/relationships/hyperlink" Target="https://www.sciencedirect.com/science/article/pii/S0167945718303282?via%3Dihub" TargetMode="External"/><Relationship Id="rId68" Type="http://schemas.openxmlformats.org/officeDocument/2006/relationships/hyperlink" Target="https://www.sciencedirect.com/science/article/pii/S0167945718303282?via%3Dihub" TargetMode="External"/><Relationship Id="rId84" Type="http://schemas.openxmlformats.org/officeDocument/2006/relationships/hyperlink" Target="https://www.sciencedirect.com/science/article/pii/S0167945718303282?via%3Dihub" TargetMode="External"/><Relationship Id="rId89" Type="http://schemas.openxmlformats.org/officeDocument/2006/relationships/hyperlink" Target="https://www.sciencedirect.com/science/article/pii/S0167945718303282?via%3Dihub" TargetMode="External"/><Relationship Id="rId16" Type="http://schemas.openxmlformats.org/officeDocument/2006/relationships/hyperlink" Target="https://www.sciencedirect.com/topics/medicine-and-dentistry/knee-function" TargetMode="External"/><Relationship Id="rId11" Type="http://schemas.openxmlformats.org/officeDocument/2006/relationships/hyperlink" Target="https://www.sciencedirect.com/topics/medicine-and-dentistry/walking-speed" TargetMode="External"/><Relationship Id="rId32" Type="http://schemas.openxmlformats.org/officeDocument/2006/relationships/hyperlink" Target="https://www.sciencedirect.com/topics/medicine-and-dentistry/knee-function" TargetMode="External"/><Relationship Id="rId37" Type="http://schemas.openxmlformats.org/officeDocument/2006/relationships/hyperlink" Target="https://www.sciencedirect.com/science/article/pii/S0167945718303282?via%3Dihub" TargetMode="External"/><Relationship Id="rId53" Type="http://schemas.openxmlformats.org/officeDocument/2006/relationships/hyperlink" Target="https://www.sciencedirect.com/topics/medicine-and-dentistry/knee-function" TargetMode="External"/><Relationship Id="rId58" Type="http://schemas.openxmlformats.org/officeDocument/2006/relationships/hyperlink" Target="https://www.sciencedirect.com/science/article/pii/S0167945718303282?via%3Dihub" TargetMode="External"/><Relationship Id="rId74" Type="http://schemas.openxmlformats.org/officeDocument/2006/relationships/hyperlink" Target="https://www.sciencedirect.com/science/article/pii/S0167945718303282?via%3Dihub" TargetMode="External"/><Relationship Id="rId79" Type="http://schemas.openxmlformats.org/officeDocument/2006/relationships/hyperlink" Target="https://www.sciencedirect.com/science/article/pii/S0167945718303282?via%3Dihub" TargetMode="External"/><Relationship Id="rId5" Type="http://schemas.openxmlformats.org/officeDocument/2006/relationships/styles" Target="styles.xml"/><Relationship Id="rId90" Type="http://schemas.openxmlformats.org/officeDocument/2006/relationships/hyperlink" Target="https://www.sciencedirect.com/science/article/pii/S0167945718303282?via%3Dihub" TargetMode="External"/><Relationship Id="rId95" Type="http://schemas.openxmlformats.org/officeDocument/2006/relationships/hyperlink" Target="https://www.sciencedirect.com/science/article/pii/S0167945718303282?via%3Dihub" TargetMode="External"/><Relationship Id="rId22" Type="http://schemas.openxmlformats.org/officeDocument/2006/relationships/hyperlink" Target="https://www.sciencedirect.com/science/article/pii/S0167945718303282?via%3Dihub" TargetMode="External"/><Relationship Id="rId27" Type="http://schemas.openxmlformats.org/officeDocument/2006/relationships/image" Target="media/image2.jpeg"/><Relationship Id="rId43" Type="http://schemas.openxmlformats.org/officeDocument/2006/relationships/hyperlink" Target="https://www.sciencedirect.com/science/article/pii/S0167945718303282?via%3Dihub" TargetMode="External"/><Relationship Id="rId48" Type="http://schemas.openxmlformats.org/officeDocument/2006/relationships/hyperlink" Target="https://www.sciencedirect.com/science/article/pii/S0167945718303282?via%3Dihub" TargetMode="External"/><Relationship Id="rId64" Type="http://schemas.openxmlformats.org/officeDocument/2006/relationships/hyperlink" Target="https://www.sciencedirect.com/science/article/pii/S0167945718303282?via%3Dihub" TargetMode="External"/><Relationship Id="rId69" Type="http://schemas.openxmlformats.org/officeDocument/2006/relationships/hyperlink" Target="https://www.sciencedirect.com/science/article/pii/S0167945718303282?via%3Dihub" TargetMode="External"/><Relationship Id="rId80" Type="http://schemas.openxmlformats.org/officeDocument/2006/relationships/hyperlink" Target="https://www.sciencedirect.com/science/article/pii/S0167945718303282?via%3Dihub" TargetMode="External"/><Relationship Id="rId85" Type="http://schemas.openxmlformats.org/officeDocument/2006/relationships/hyperlink" Target="https://www.sciencedirect.com/science/article/pii/S0167945718303282?via%3Dihub" TargetMode="External"/><Relationship Id="rId3" Type="http://schemas.openxmlformats.org/officeDocument/2006/relationships/customXml" Target="../customXml/item3.xml"/><Relationship Id="rId12" Type="http://schemas.openxmlformats.org/officeDocument/2006/relationships/hyperlink" Target="https://www.sciencedirect.com/topics/medicine-and-dentistry/apoplexy" TargetMode="External"/><Relationship Id="rId17" Type="http://schemas.openxmlformats.org/officeDocument/2006/relationships/hyperlink" Target="https://www.sciencedirect.com/topics/medicine-and-dentistry/apoplexy" TargetMode="External"/><Relationship Id="rId25" Type="http://schemas.openxmlformats.org/officeDocument/2006/relationships/image" Target="media/image1.jpeg"/><Relationship Id="rId33" Type="http://schemas.openxmlformats.org/officeDocument/2006/relationships/hyperlink" Target="https://www.sciencedirect.com/science/article/pii/S0167945718303282?via%3Dihub" TargetMode="External"/><Relationship Id="rId38" Type="http://schemas.openxmlformats.org/officeDocument/2006/relationships/hyperlink" Target="https://www.sciencedirect.com/topics/medicine-and-dentistry/apoplexy" TargetMode="External"/><Relationship Id="rId46" Type="http://schemas.openxmlformats.org/officeDocument/2006/relationships/hyperlink" Target="https://www.sciencedirect.com/science/article/pii/S0167945718303282?via%3Dihub" TargetMode="External"/><Relationship Id="rId59" Type="http://schemas.openxmlformats.org/officeDocument/2006/relationships/hyperlink" Target="https://www.sciencedirect.com/science/article/pii/S0167945718303282?via%3Dihub" TargetMode="External"/><Relationship Id="rId67" Type="http://schemas.openxmlformats.org/officeDocument/2006/relationships/hyperlink" Target="https://www.sciencedirect.com/science/article/pii/S0167945718303282?via%3Dihub" TargetMode="External"/><Relationship Id="rId20" Type="http://schemas.openxmlformats.org/officeDocument/2006/relationships/hyperlink" Target="https://www.sciencedirect.com/topics/medicine-and-dentistry/dihydrotachysterol" TargetMode="External"/><Relationship Id="rId41" Type="http://schemas.openxmlformats.org/officeDocument/2006/relationships/hyperlink" Target="https://www.sciencedirect.com/science/article/pii/S0167945718303282?via%3Dihub" TargetMode="External"/><Relationship Id="rId54" Type="http://schemas.openxmlformats.org/officeDocument/2006/relationships/hyperlink" Target="https://www.sciencedirect.com/topics/medicine-and-dentistry/doctor-of-philosophy" TargetMode="External"/><Relationship Id="rId62" Type="http://schemas.openxmlformats.org/officeDocument/2006/relationships/hyperlink" Target="https://www.sciencedirect.com/science/article/pii/S0167945718303282?via%3Dihub" TargetMode="External"/><Relationship Id="rId70" Type="http://schemas.openxmlformats.org/officeDocument/2006/relationships/hyperlink" Target="https://www.sciencedirect.com/science/article/pii/S0167945718303282?via%3Dihub" TargetMode="External"/><Relationship Id="rId75" Type="http://schemas.openxmlformats.org/officeDocument/2006/relationships/hyperlink" Target="https://www.sciencedirect.com/science/article/pii/S0167945718303282?via%3Dihub" TargetMode="External"/><Relationship Id="rId83" Type="http://schemas.openxmlformats.org/officeDocument/2006/relationships/hyperlink" Target="https://www.sciencedirect.com/science/article/pii/S0167945718303282?via%3Dihub" TargetMode="External"/><Relationship Id="rId88" Type="http://schemas.openxmlformats.org/officeDocument/2006/relationships/hyperlink" Target="https://www.sciencedirect.com/science/article/pii/S0167945718303282?via%3Dihub" TargetMode="External"/><Relationship Id="rId91" Type="http://schemas.openxmlformats.org/officeDocument/2006/relationships/hyperlink" Target="https://www.sciencedirect.com/science/article/pii/S0167945718303282?via%3Dihub" TargetMode="External"/><Relationship Id="rId96" Type="http://schemas.openxmlformats.org/officeDocument/2006/relationships/hyperlink" Target="https://www.sciencedirect.com/science/article/pii/S0167945718303282?via%3Dihub"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sciencedirect.com/topics/neuroscience/kinematics" TargetMode="External"/><Relationship Id="rId23" Type="http://schemas.openxmlformats.org/officeDocument/2006/relationships/hyperlink" Target="https://www.sciencedirect.com/topics/neuroscience/kinematics" TargetMode="External"/><Relationship Id="rId28" Type="http://schemas.openxmlformats.org/officeDocument/2006/relationships/hyperlink" Target="https://www.sciencedirect.com/topics/medicine-and-dentistry/knee-function" TargetMode="External"/><Relationship Id="rId36" Type="http://schemas.openxmlformats.org/officeDocument/2006/relationships/hyperlink" Target="https://www.sciencedirect.com/science/article/pii/S0167945718303282?via%3Dihub" TargetMode="External"/><Relationship Id="rId49" Type="http://schemas.openxmlformats.org/officeDocument/2006/relationships/hyperlink" Target="https://www.sciencedirect.com/topics/medicine-and-dentistry/walking-speed" TargetMode="External"/><Relationship Id="rId57" Type="http://schemas.openxmlformats.org/officeDocument/2006/relationships/hyperlink" Target="https://www.sciencedirect.com/science/article/pii/S0167945718303282?via%3Dihub" TargetMode="External"/><Relationship Id="rId10" Type="http://schemas.openxmlformats.org/officeDocument/2006/relationships/hyperlink" Target="https://www.sciencedirect.com/science/article/pii/S0167945718303282?via%3Dihub" TargetMode="External"/><Relationship Id="rId31" Type="http://schemas.openxmlformats.org/officeDocument/2006/relationships/image" Target="media/image3.jpeg"/><Relationship Id="rId44" Type="http://schemas.openxmlformats.org/officeDocument/2006/relationships/hyperlink" Target="https://www.sciencedirect.com/science/article/pii/S0167945718303282?via%3Dihub" TargetMode="External"/><Relationship Id="rId52" Type="http://schemas.openxmlformats.org/officeDocument/2006/relationships/hyperlink" Target="https://www.sciencedirect.com/science/article/pii/S0167945718303282?via%3Dihub" TargetMode="External"/><Relationship Id="rId60" Type="http://schemas.openxmlformats.org/officeDocument/2006/relationships/hyperlink" Target="https://www.sciencedirect.com/science/article/pii/S0167945718303282?via%3Dihub" TargetMode="External"/><Relationship Id="rId65" Type="http://schemas.openxmlformats.org/officeDocument/2006/relationships/hyperlink" Target="https://www.sciencedirect.com/science/article/pii/S0167945718303282?via%3Dihub" TargetMode="External"/><Relationship Id="rId73" Type="http://schemas.openxmlformats.org/officeDocument/2006/relationships/hyperlink" Target="https://www.sciencedirect.com/science/article/pii/S0167945718303282?via%3Dihub" TargetMode="External"/><Relationship Id="rId78" Type="http://schemas.openxmlformats.org/officeDocument/2006/relationships/hyperlink" Target="https://www.sciencedirect.com/science/article/pii/S0167945718303282?via%3Dihub" TargetMode="External"/><Relationship Id="rId81" Type="http://schemas.openxmlformats.org/officeDocument/2006/relationships/hyperlink" Target="https://www.sciencedirect.com/science/article/pii/S0167945718303282?via%3Dihub" TargetMode="External"/><Relationship Id="rId86" Type="http://schemas.openxmlformats.org/officeDocument/2006/relationships/hyperlink" Target="https://www.sciencedirect.com/science/article/pii/S0167945718303282?via%3Dihub" TargetMode="External"/><Relationship Id="rId94" Type="http://schemas.openxmlformats.org/officeDocument/2006/relationships/hyperlink" Target="https://www.sciencedirect.com/science/article/pii/S0167945718303282?via%3Dihub" TargetMode="External"/><Relationship Id="rId9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www.sciencedirect.com/topics/medicine-and-dentistry/stereotypic-movement-disorder" TargetMode="External"/><Relationship Id="rId18" Type="http://schemas.openxmlformats.org/officeDocument/2006/relationships/hyperlink" Target="https://www.sciencedirect.com/topics/medicine-and-dentistry/mini-mental-state-examination-score" TargetMode="External"/><Relationship Id="rId39" Type="http://schemas.openxmlformats.org/officeDocument/2006/relationships/hyperlink" Target="https://www.sciencedirect.com/topics/neuroscience/kinematics" TargetMode="External"/><Relationship Id="rId34" Type="http://schemas.openxmlformats.org/officeDocument/2006/relationships/hyperlink" Target="https://www.sciencedirect.com/science/article/pii/S0167945718303282?via%3Dihub" TargetMode="External"/><Relationship Id="rId50" Type="http://schemas.openxmlformats.org/officeDocument/2006/relationships/hyperlink" Target="https://www.sciencedirect.com/topics/medicine-and-dentistry/study-participant" TargetMode="External"/><Relationship Id="rId55" Type="http://schemas.openxmlformats.org/officeDocument/2006/relationships/hyperlink" Target="https://www.sciencedirect.com/topics/social-sciences/biophysics" TargetMode="External"/><Relationship Id="rId76" Type="http://schemas.openxmlformats.org/officeDocument/2006/relationships/hyperlink" Target="https://www.sciencedirect.com/science/article/pii/S0167945718303282?via%3Dihub" TargetMode="External"/><Relationship Id="rId97" Type="http://schemas.openxmlformats.org/officeDocument/2006/relationships/hyperlink" Target="https://www.sciencedirect.com/science/article/pii/S0167945718303282?via%3Dihub" TargetMode="External"/><Relationship Id="rId7" Type="http://schemas.openxmlformats.org/officeDocument/2006/relationships/webSettings" Target="webSettings.xml"/><Relationship Id="rId71" Type="http://schemas.openxmlformats.org/officeDocument/2006/relationships/hyperlink" Target="https://www.sciencedirect.com/science/article/pii/S0167945718303282?via%3Dihub" TargetMode="External"/><Relationship Id="rId92" Type="http://schemas.openxmlformats.org/officeDocument/2006/relationships/hyperlink" Target="https://www.sciencedirect.com/science/article/pii/S0167945718303282?via%3Dihub" TargetMode="External"/><Relationship Id="rId2" Type="http://schemas.openxmlformats.org/officeDocument/2006/relationships/customXml" Target="../customXml/item2.xml"/><Relationship Id="rId29" Type="http://schemas.openxmlformats.org/officeDocument/2006/relationships/hyperlink" Target="https://www.sciencedirect.com/science/article/pii/S0167945718303282?via%3Dihub" TargetMode="External"/><Relationship Id="rId24" Type="http://schemas.openxmlformats.org/officeDocument/2006/relationships/hyperlink" Target="https://www.sciencedirect.com/topics/medicine-and-dentistry/discriminant-analysis" TargetMode="External"/><Relationship Id="rId40" Type="http://schemas.openxmlformats.org/officeDocument/2006/relationships/hyperlink" Target="https://www.sciencedirect.com/topics/medicine-and-dentistry/knee-function" TargetMode="External"/><Relationship Id="rId45" Type="http://schemas.openxmlformats.org/officeDocument/2006/relationships/hyperlink" Target="https://www.sciencedirect.com/science/article/pii/S0167945718303282?via%3Dihub" TargetMode="External"/><Relationship Id="rId66" Type="http://schemas.openxmlformats.org/officeDocument/2006/relationships/hyperlink" Target="https://www.sciencedirect.com/science/article/pii/S0167945718303282?via%3Dihub" TargetMode="External"/><Relationship Id="rId87" Type="http://schemas.openxmlformats.org/officeDocument/2006/relationships/hyperlink" Target="https://www.sciencedirect.com/science/article/pii/S0167945718303282?via%3Dihub" TargetMode="External"/><Relationship Id="rId61" Type="http://schemas.openxmlformats.org/officeDocument/2006/relationships/hyperlink" Target="https://www.sciencedirect.com/science/article/pii/S0167945718303282?via%3Dihub" TargetMode="External"/><Relationship Id="rId82" Type="http://schemas.openxmlformats.org/officeDocument/2006/relationships/hyperlink" Target="https://www.sciencedirect.com/science/article/pii/S0167945718303282?via%3Dihub" TargetMode="External"/><Relationship Id="rId19" Type="http://schemas.openxmlformats.org/officeDocument/2006/relationships/hyperlink" Target="https://www.sciencedirect.com/topics/medicine-and-dentistry/greater-trochanter" TargetMode="External"/><Relationship Id="rId14" Type="http://schemas.openxmlformats.org/officeDocument/2006/relationships/hyperlink" Target="https://www.sciencedirect.com/science/article/pii/S0167945718303282?via%3Dihub" TargetMode="External"/><Relationship Id="rId30" Type="http://schemas.openxmlformats.org/officeDocument/2006/relationships/hyperlink" Target="https://www.sciencedirect.com/topics/social-sciences/homogeneity" TargetMode="External"/><Relationship Id="rId35" Type="http://schemas.openxmlformats.org/officeDocument/2006/relationships/hyperlink" Target="https://www.sciencedirect.com/topics/social-sciences/recorded-history" TargetMode="External"/><Relationship Id="rId56" Type="http://schemas.openxmlformats.org/officeDocument/2006/relationships/hyperlink" Target="https://www.sciencedirect.com/science/article/pii/S0167945718303282?via%3Dihub" TargetMode="External"/><Relationship Id="rId77" Type="http://schemas.openxmlformats.org/officeDocument/2006/relationships/hyperlink" Target="https://www.sciencedirect.com/science/article/pii/S0167945718303282?via%3Dihub" TargetMode="External"/><Relationship Id="rId100" Type="http://schemas.openxmlformats.org/officeDocument/2006/relationships/theme" Target="theme/theme1.xml"/><Relationship Id="rId8" Type="http://schemas.openxmlformats.org/officeDocument/2006/relationships/hyperlink" Target="https://doi.org/10.1016/j.humov.2018.09.009" TargetMode="External"/><Relationship Id="rId51" Type="http://schemas.openxmlformats.org/officeDocument/2006/relationships/hyperlink" Target="https://www.sciencedirect.com/topics/medicine-and-dentistry/linear-regression-analysis" TargetMode="External"/><Relationship Id="rId72" Type="http://schemas.openxmlformats.org/officeDocument/2006/relationships/hyperlink" Target="https://www.sciencedirect.com/science/article/pii/S0167945718303282?via%3Dihub" TargetMode="External"/><Relationship Id="rId93" Type="http://schemas.openxmlformats.org/officeDocument/2006/relationships/hyperlink" Target="https://www.sciencedirect.com/science/article/pii/S0167945718303282?via%3Dihub" TargetMode="External"/><Relationship Id="rId98" Type="http://schemas.openxmlformats.org/officeDocument/2006/relationships/hyperlink" Target="https://www.sciencedirect.com/science/article/pii/S0167945718303282?via%3Dihu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86E8EF-C81A-4025-9D51-68BBA626A61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E111BDC-BE14-4216-A980-17702D1F5E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09972F-9FEF-437D-9B3D-D7ED3CCEA8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14</Pages>
  <Words>9503</Words>
  <Characters>52367</Characters>
  <Application>Microsoft Office Word</Application>
  <DocSecurity>8</DocSecurity>
  <Lines>1047</Lines>
  <Paragraphs>528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25</cp:revision>
  <dcterms:created xsi:type="dcterms:W3CDTF">2019-09-24T15:33:00Z</dcterms:created>
  <dcterms:modified xsi:type="dcterms:W3CDTF">2019-10-03T17:59:00Z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