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21B96" w:rsidRDefault="000A7622" w:rsidP="000A7622">
      <w:pPr>
        <w:pStyle w:val="Default"/>
        <w:rPr>
          <w:rFonts w:asciiTheme="minorHAnsi" w:hAnsiTheme="minorHAnsi" w:cstheme="minorHAnsi"/>
          <w:sz w:val="22"/>
          <w:szCs w:val="22"/>
        </w:rPr>
      </w:pPr>
    </w:p>
    <w:p w14:paraId="2538F7F5" w14:textId="77777777" w:rsidR="000A7622" w:rsidRPr="00721B96"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21B96">
        <w:rPr>
          <w:rFonts w:cstheme="minorHAnsi"/>
          <w:b/>
          <w:bCs/>
          <w:color w:val="316192"/>
          <w:sz w:val="28"/>
          <w:szCs w:val="26"/>
        </w:rPr>
        <w:t>Marqu</w:t>
      </w:r>
      <w:bookmarkStart w:id="2" w:name="_GoBack"/>
      <w:bookmarkEnd w:id="2"/>
      <w:r w:rsidRPr="00721B96">
        <w:rPr>
          <w:rFonts w:cstheme="minorHAnsi"/>
          <w:b/>
          <w:bCs/>
          <w:color w:val="316192"/>
          <w:sz w:val="28"/>
          <w:szCs w:val="26"/>
        </w:rPr>
        <w:t>ette University</w:t>
      </w:r>
    </w:p>
    <w:p w14:paraId="158D4B9F" w14:textId="77777777" w:rsidR="000A7622" w:rsidRPr="00721B96" w:rsidRDefault="000A7622" w:rsidP="00D14423">
      <w:pPr>
        <w:autoSpaceDE w:val="0"/>
        <w:autoSpaceDN w:val="0"/>
        <w:adjustRightInd w:val="0"/>
        <w:rPr>
          <w:rFonts w:cstheme="minorHAnsi"/>
          <w:b/>
          <w:bCs/>
          <w:color w:val="316192"/>
          <w:sz w:val="40"/>
          <w:szCs w:val="36"/>
        </w:rPr>
      </w:pPr>
      <w:r w:rsidRPr="00721B96">
        <w:rPr>
          <w:rFonts w:cstheme="minorHAnsi"/>
          <w:b/>
          <w:bCs/>
          <w:color w:val="316192"/>
          <w:sz w:val="40"/>
          <w:szCs w:val="36"/>
        </w:rPr>
        <w:t>e-Publications@Marquette</w:t>
      </w:r>
    </w:p>
    <w:p w14:paraId="689ACF87" w14:textId="77777777" w:rsidR="000A7622" w:rsidRPr="00721B96" w:rsidRDefault="000A7622" w:rsidP="00D14423">
      <w:pPr>
        <w:autoSpaceDE w:val="0"/>
        <w:autoSpaceDN w:val="0"/>
        <w:adjustRightInd w:val="0"/>
        <w:rPr>
          <w:rFonts w:cstheme="minorHAnsi"/>
          <w:b/>
          <w:bCs/>
          <w:i/>
          <w:iCs/>
        </w:rPr>
      </w:pPr>
    </w:p>
    <w:p w14:paraId="161853CC" w14:textId="21BFB33C" w:rsidR="000A7622" w:rsidRPr="00721B96" w:rsidRDefault="008D2B62" w:rsidP="00D14423">
      <w:pPr>
        <w:autoSpaceDE w:val="0"/>
        <w:autoSpaceDN w:val="0"/>
        <w:adjustRightInd w:val="0"/>
        <w:rPr>
          <w:rFonts w:cstheme="minorHAnsi"/>
          <w:b/>
          <w:bCs/>
          <w:i/>
          <w:iCs/>
          <w:sz w:val="32"/>
          <w:szCs w:val="32"/>
        </w:rPr>
      </w:pPr>
      <w:r w:rsidRPr="00721B96">
        <w:rPr>
          <w:rFonts w:cstheme="minorHAnsi"/>
          <w:b/>
          <w:bCs/>
          <w:i/>
          <w:iCs/>
          <w:sz w:val="32"/>
          <w:szCs w:val="32"/>
        </w:rPr>
        <w:t xml:space="preserve">Physical Therapy </w:t>
      </w:r>
      <w:r w:rsidR="000A7622" w:rsidRPr="00721B96">
        <w:rPr>
          <w:rFonts w:cstheme="minorHAnsi"/>
          <w:b/>
          <w:bCs/>
          <w:i/>
          <w:iCs/>
          <w:sz w:val="32"/>
          <w:szCs w:val="32"/>
        </w:rPr>
        <w:t>Faculty Research and Publications/</w:t>
      </w:r>
      <w:r w:rsidR="009732A9" w:rsidRPr="00721B96">
        <w:rPr>
          <w:rFonts w:cstheme="minorHAnsi"/>
          <w:b/>
          <w:bCs/>
          <w:i/>
          <w:iCs/>
          <w:sz w:val="32"/>
          <w:szCs w:val="32"/>
        </w:rPr>
        <w:t xml:space="preserve">College of </w:t>
      </w:r>
      <w:r w:rsidRPr="00721B96">
        <w:rPr>
          <w:rFonts w:cstheme="minorHAnsi"/>
          <w:b/>
          <w:bCs/>
          <w:i/>
          <w:iCs/>
          <w:sz w:val="32"/>
          <w:szCs w:val="32"/>
        </w:rPr>
        <w:t>Health Sciences</w:t>
      </w:r>
    </w:p>
    <w:bookmarkEnd w:id="0"/>
    <w:p w14:paraId="3E538636" w14:textId="77777777" w:rsidR="000A7622" w:rsidRPr="00721B96" w:rsidRDefault="000A7622" w:rsidP="00D14423">
      <w:pPr>
        <w:jc w:val="center"/>
        <w:rPr>
          <w:rFonts w:cstheme="minorHAnsi"/>
          <w:b/>
          <w:bCs/>
          <w:i/>
          <w:iCs/>
        </w:rPr>
      </w:pPr>
    </w:p>
    <w:p w14:paraId="25509BF0" w14:textId="30FE69F1" w:rsidR="000A7622" w:rsidRPr="00721B96" w:rsidRDefault="000A7622" w:rsidP="00D14423">
      <w:pPr>
        <w:jc w:val="center"/>
        <w:rPr>
          <w:rFonts w:cstheme="minorHAnsi"/>
          <w:sz w:val="24"/>
          <w:szCs w:val="24"/>
        </w:rPr>
      </w:pPr>
      <w:r w:rsidRPr="00721B96">
        <w:rPr>
          <w:rFonts w:cstheme="minorHAnsi"/>
          <w:b/>
          <w:bCs/>
          <w:i/>
          <w:iCs/>
          <w:sz w:val="24"/>
          <w:szCs w:val="24"/>
        </w:rPr>
        <w:t xml:space="preserve">This paper is NOT THE PUBLISHED VERSION; </w:t>
      </w:r>
      <w:r w:rsidRPr="00721B96">
        <w:rPr>
          <w:rFonts w:cstheme="minorHAnsi"/>
          <w:b/>
          <w:bCs/>
          <w:sz w:val="24"/>
          <w:szCs w:val="24"/>
        </w:rPr>
        <w:t xml:space="preserve">but the author’s final, peer-reviewed manuscript. </w:t>
      </w:r>
      <w:r w:rsidRPr="00721B96">
        <w:rPr>
          <w:rFonts w:cstheme="minorHAnsi"/>
          <w:sz w:val="24"/>
          <w:szCs w:val="24"/>
        </w:rPr>
        <w:t>The published version may be accessed by following the link in th</w:t>
      </w:r>
      <w:r w:rsidR="006073C7" w:rsidRPr="00721B96">
        <w:rPr>
          <w:rFonts w:cstheme="minorHAnsi"/>
          <w:sz w:val="24"/>
          <w:szCs w:val="24"/>
        </w:rPr>
        <w:t>e</w:t>
      </w:r>
      <w:r w:rsidRPr="00721B96">
        <w:rPr>
          <w:rFonts w:cstheme="minorHAnsi"/>
          <w:sz w:val="24"/>
          <w:szCs w:val="24"/>
        </w:rPr>
        <w:t xml:space="preserve"> citation below.</w:t>
      </w:r>
    </w:p>
    <w:p w14:paraId="207B0342" w14:textId="77777777" w:rsidR="000A7622" w:rsidRPr="00721B96" w:rsidRDefault="000A7622" w:rsidP="00D14423">
      <w:pPr>
        <w:jc w:val="center"/>
        <w:rPr>
          <w:rFonts w:cstheme="minorHAnsi"/>
          <w:sz w:val="24"/>
          <w:szCs w:val="24"/>
        </w:rPr>
      </w:pPr>
    </w:p>
    <w:p w14:paraId="2A38AFE1" w14:textId="5CF21212" w:rsidR="000A7622" w:rsidRPr="00721B96" w:rsidRDefault="005D2EAA" w:rsidP="00D14423">
      <w:pPr>
        <w:rPr>
          <w:rFonts w:cstheme="minorHAnsi"/>
          <w:sz w:val="24"/>
          <w:szCs w:val="24"/>
        </w:rPr>
      </w:pPr>
      <w:r w:rsidRPr="00721B96">
        <w:rPr>
          <w:rFonts w:cstheme="minorHAnsi"/>
          <w:i/>
          <w:sz w:val="24"/>
          <w:szCs w:val="24"/>
        </w:rPr>
        <w:t>Frontiers in Physiology</w:t>
      </w:r>
      <w:r w:rsidR="000A7622" w:rsidRPr="00721B96">
        <w:rPr>
          <w:rFonts w:cstheme="minorHAnsi"/>
          <w:sz w:val="24"/>
          <w:szCs w:val="24"/>
          <w:lang w:val="fr-FR"/>
        </w:rPr>
        <w:t>, (</w:t>
      </w:r>
      <w:r w:rsidR="005A169A" w:rsidRPr="00721B96">
        <w:rPr>
          <w:rFonts w:cstheme="minorHAnsi"/>
          <w:sz w:val="24"/>
          <w:szCs w:val="24"/>
          <w:lang w:val="fr-FR"/>
        </w:rPr>
        <w:t>March 26, 201</w:t>
      </w:r>
      <w:r w:rsidR="002A4B43" w:rsidRPr="00721B96">
        <w:rPr>
          <w:rFonts w:cstheme="minorHAnsi"/>
          <w:sz w:val="24"/>
          <w:szCs w:val="24"/>
          <w:lang w:val="fr-FR"/>
        </w:rPr>
        <w:t>9</w:t>
      </w:r>
      <w:r w:rsidR="000A7622" w:rsidRPr="00721B96">
        <w:rPr>
          <w:rFonts w:cstheme="minorHAnsi"/>
          <w:sz w:val="24"/>
          <w:szCs w:val="24"/>
          <w:lang w:val="fr-FR"/>
        </w:rPr>
        <w:t xml:space="preserve">). </w:t>
      </w:r>
      <w:hyperlink r:id="rId8" w:history="1">
        <w:r w:rsidR="000A7622" w:rsidRPr="00721B96">
          <w:rPr>
            <w:rFonts w:cstheme="minorHAnsi"/>
            <w:color w:val="0563C1" w:themeColor="hyperlink"/>
            <w:sz w:val="24"/>
            <w:szCs w:val="24"/>
            <w:u w:val="single"/>
            <w:lang w:val="fr-FR"/>
          </w:rPr>
          <w:t>DOI</w:t>
        </w:r>
      </w:hyperlink>
      <w:r w:rsidR="000A7622" w:rsidRPr="00721B96">
        <w:rPr>
          <w:rFonts w:cstheme="minorHAnsi"/>
          <w:sz w:val="24"/>
          <w:szCs w:val="24"/>
          <w:lang w:val="fr-FR"/>
        </w:rPr>
        <w:t xml:space="preserve">. </w:t>
      </w:r>
      <w:r w:rsidR="000A7622" w:rsidRPr="00721B96">
        <w:rPr>
          <w:rFonts w:cstheme="minorHAnsi"/>
          <w:sz w:val="24"/>
          <w:szCs w:val="24"/>
        </w:rPr>
        <w:t xml:space="preserve">This article is </w:t>
      </w:r>
      <w:r w:rsidR="009E28C4" w:rsidRPr="00721B96">
        <w:rPr>
          <w:rFonts w:cstheme="minorHAnsi"/>
          <w:sz w:val="24"/>
          <w:szCs w:val="24"/>
        </w:rPr>
        <w:t xml:space="preserve">© 2019 Deering, </w:t>
      </w:r>
      <w:proofErr w:type="spellStart"/>
      <w:r w:rsidR="009E28C4" w:rsidRPr="00721B96">
        <w:rPr>
          <w:rFonts w:cstheme="minorHAnsi"/>
          <w:sz w:val="24"/>
          <w:szCs w:val="24"/>
        </w:rPr>
        <w:t>Pashibin</w:t>
      </w:r>
      <w:proofErr w:type="spellEnd"/>
      <w:r w:rsidR="009E28C4" w:rsidRPr="00721B96">
        <w:rPr>
          <w:rFonts w:cstheme="minorHAnsi"/>
          <w:sz w:val="24"/>
          <w:szCs w:val="24"/>
        </w:rPr>
        <w:t>, Cruz, Hunter and Hoeger Bement. This is an open-access article distributed under the terms of the </w:t>
      </w:r>
      <w:hyperlink r:id="rId9" w:tgtFrame="_blank" w:history="1">
        <w:r w:rsidR="009E28C4" w:rsidRPr="00721B96">
          <w:rPr>
            <w:rStyle w:val="Hyperlink"/>
            <w:rFonts w:cstheme="minorHAnsi"/>
            <w:b/>
            <w:bCs/>
            <w:sz w:val="24"/>
            <w:szCs w:val="24"/>
          </w:rPr>
          <w:t>Creative Commons Attribution License (CC BY)</w:t>
        </w:r>
      </w:hyperlink>
      <w:r w:rsidR="009E28C4" w:rsidRPr="00721B96">
        <w:rPr>
          <w:rFonts w:cstheme="minorHAnsi"/>
          <w:sz w:val="24"/>
          <w:szCs w:val="24"/>
        </w:rPr>
        <w:t>.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 P</w:t>
      </w:r>
      <w:r w:rsidR="000A7622" w:rsidRPr="00721B96">
        <w:rPr>
          <w:rFonts w:cstheme="minorHAnsi"/>
          <w:sz w:val="24"/>
          <w:szCs w:val="24"/>
        </w:rPr>
        <w:t xml:space="preserve">ermission has been granted for this version to appear in </w:t>
      </w:r>
      <w:hyperlink r:id="rId10" w:history="1">
        <w:r w:rsidR="000A7622" w:rsidRPr="00721B96">
          <w:rPr>
            <w:rFonts w:cstheme="minorHAnsi"/>
            <w:color w:val="0563C1" w:themeColor="hyperlink"/>
            <w:sz w:val="24"/>
            <w:szCs w:val="24"/>
            <w:u w:val="single"/>
          </w:rPr>
          <w:t>e-Publications@Marquette</w:t>
        </w:r>
      </w:hyperlink>
      <w:r w:rsidR="000A7622" w:rsidRPr="00721B96">
        <w:rPr>
          <w:rFonts w:cstheme="minorHAnsi"/>
          <w:sz w:val="24"/>
          <w:szCs w:val="24"/>
        </w:rPr>
        <w:t xml:space="preserve">. </w:t>
      </w:r>
    </w:p>
    <w:bookmarkEnd w:id="1"/>
    <w:p w14:paraId="5BF6C8A5" w14:textId="041394A7" w:rsidR="00A64DE7" w:rsidRPr="00721B96" w:rsidRDefault="00A64DE7" w:rsidP="000A7622">
      <w:pPr>
        <w:rPr>
          <w:rFonts w:cstheme="minorHAnsi"/>
        </w:rPr>
      </w:pPr>
    </w:p>
    <w:p w14:paraId="44D2D0A4" w14:textId="603E42F8" w:rsidR="004E3ECF" w:rsidRPr="00721B96" w:rsidRDefault="004E3ECF" w:rsidP="00721B96">
      <w:pPr>
        <w:pStyle w:val="Title"/>
        <w:rPr>
          <w:rFonts w:asciiTheme="minorHAnsi" w:hAnsiTheme="minorHAnsi" w:cstheme="minorHAnsi"/>
        </w:rPr>
      </w:pPr>
      <w:r w:rsidRPr="00721B96">
        <w:rPr>
          <w:rFonts w:asciiTheme="minorHAnsi" w:hAnsiTheme="minorHAnsi" w:cstheme="minorHAnsi"/>
        </w:rPr>
        <w:t>Fatiguing Trunk Flexor Exercise Decreases Pain Sensitivity in Postpartum Women</w:t>
      </w:r>
    </w:p>
    <w:p w14:paraId="4F9C0174" w14:textId="2EF0A56B" w:rsidR="004E3ECF" w:rsidRPr="00721B96" w:rsidRDefault="004E3ECF" w:rsidP="004E3ECF">
      <w:pPr>
        <w:rPr>
          <w:rFonts w:cstheme="minorHAnsi"/>
        </w:rPr>
      </w:pPr>
    </w:p>
    <w:p w14:paraId="58038278" w14:textId="69EDD147" w:rsidR="009E28C4" w:rsidRPr="00721B96" w:rsidRDefault="005C0C36" w:rsidP="00F80604">
      <w:pPr>
        <w:pStyle w:val="NoSpacing"/>
        <w:rPr>
          <w:rFonts w:cstheme="minorHAnsi"/>
          <w:sz w:val="32"/>
          <w:szCs w:val="32"/>
        </w:rPr>
      </w:pPr>
      <w:r w:rsidRPr="00721B96">
        <w:rPr>
          <w:rFonts w:cstheme="minorHAnsi"/>
          <w:sz w:val="32"/>
          <w:szCs w:val="32"/>
        </w:rPr>
        <w:t>Rita Deering</w:t>
      </w:r>
    </w:p>
    <w:p w14:paraId="534C9B8A" w14:textId="155AF730" w:rsidR="00E95602" w:rsidRPr="00721B96" w:rsidRDefault="00E95602" w:rsidP="00F80604">
      <w:pPr>
        <w:pStyle w:val="NoSpacing"/>
        <w:rPr>
          <w:rFonts w:cstheme="minorHAnsi"/>
          <w:sz w:val="24"/>
          <w:szCs w:val="24"/>
        </w:rPr>
      </w:pPr>
      <w:r w:rsidRPr="00721B96">
        <w:rPr>
          <w:rFonts w:cstheme="minorHAnsi"/>
          <w:sz w:val="24"/>
          <w:szCs w:val="24"/>
        </w:rPr>
        <w:t>Department of Physical Therapy, Marquette University, Milwaukee, WI</w:t>
      </w:r>
    </w:p>
    <w:p w14:paraId="3CF7EA74" w14:textId="5530077A" w:rsidR="00E95602" w:rsidRPr="00721B96" w:rsidRDefault="00E95602" w:rsidP="00F80604">
      <w:pPr>
        <w:pStyle w:val="NoSpacing"/>
        <w:rPr>
          <w:rFonts w:cstheme="minorHAnsi"/>
          <w:sz w:val="24"/>
          <w:szCs w:val="24"/>
        </w:rPr>
      </w:pPr>
      <w:r w:rsidRPr="00721B96">
        <w:rPr>
          <w:rFonts w:cstheme="minorHAnsi"/>
          <w:sz w:val="24"/>
          <w:szCs w:val="24"/>
        </w:rPr>
        <w:t>William S. Middleton Veterans Hospital, Madison, WI</w:t>
      </w:r>
    </w:p>
    <w:p w14:paraId="638279C4" w14:textId="33DF7B66" w:rsidR="009E28C4" w:rsidRPr="00721B96" w:rsidRDefault="00E95602" w:rsidP="00F80604">
      <w:pPr>
        <w:pStyle w:val="NoSpacing"/>
        <w:rPr>
          <w:rFonts w:cstheme="minorHAnsi"/>
          <w:sz w:val="24"/>
          <w:szCs w:val="24"/>
        </w:rPr>
      </w:pPr>
      <w:r w:rsidRPr="00721B96">
        <w:rPr>
          <w:rFonts w:cstheme="minorHAnsi"/>
          <w:sz w:val="24"/>
          <w:szCs w:val="24"/>
        </w:rPr>
        <w:t>Department of Orthopedics and Rehabilitation, School of Medicine and Public Health, University of Wisconsin-Madison, Madison, WI</w:t>
      </w:r>
    </w:p>
    <w:p w14:paraId="49836871" w14:textId="77777777" w:rsidR="009E28C4" w:rsidRPr="00721B96" w:rsidRDefault="005C0C36" w:rsidP="00F80604">
      <w:pPr>
        <w:pStyle w:val="NoSpacing"/>
        <w:rPr>
          <w:rFonts w:cstheme="minorHAnsi"/>
          <w:sz w:val="32"/>
          <w:szCs w:val="32"/>
        </w:rPr>
      </w:pPr>
      <w:r w:rsidRPr="00721B96">
        <w:rPr>
          <w:rFonts w:cstheme="minorHAnsi"/>
          <w:sz w:val="32"/>
          <w:szCs w:val="32"/>
        </w:rPr>
        <w:t xml:space="preserve">Tatyana </w:t>
      </w:r>
      <w:proofErr w:type="spellStart"/>
      <w:r w:rsidRPr="00721B96">
        <w:rPr>
          <w:rFonts w:cstheme="minorHAnsi"/>
          <w:sz w:val="32"/>
          <w:szCs w:val="32"/>
        </w:rPr>
        <w:t>Pashibin</w:t>
      </w:r>
      <w:proofErr w:type="spellEnd"/>
    </w:p>
    <w:p w14:paraId="344C3083" w14:textId="67980C4F" w:rsidR="009E28C4" w:rsidRPr="00721B96" w:rsidRDefault="00E95602" w:rsidP="00F80604">
      <w:pPr>
        <w:pStyle w:val="NoSpacing"/>
        <w:rPr>
          <w:rFonts w:cstheme="minorHAnsi"/>
          <w:sz w:val="24"/>
          <w:szCs w:val="24"/>
        </w:rPr>
      </w:pPr>
      <w:r w:rsidRPr="00721B96">
        <w:rPr>
          <w:rFonts w:cstheme="minorHAnsi"/>
          <w:sz w:val="24"/>
          <w:szCs w:val="24"/>
        </w:rPr>
        <w:t>Department of Physical Therapy, Marquette University, Milwaukee, WI</w:t>
      </w:r>
    </w:p>
    <w:p w14:paraId="003A2FD4" w14:textId="77777777" w:rsidR="009E28C4" w:rsidRPr="00721B96" w:rsidRDefault="005C0C36" w:rsidP="00F80604">
      <w:pPr>
        <w:pStyle w:val="NoSpacing"/>
        <w:rPr>
          <w:rFonts w:cstheme="minorHAnsi"/>
          <w:sz w:val="32"/>
          <w:szCs w:val="32"/>
        </w:rPr>
      </w:pPr>
      <w:r w:rsidRPr="00721B96">
        <w:rPr>
          <w:rFonts w:cstheme="minorHAnsi"/>
          <w:sz w:val="32"/>
          <w:szCs w:val="32"/>
        </w:rPr>
        <w:t>Meredith Cruz</w:t>
      </w:r>
    </w:p>
    <w:p w14:paraId="4681FD92" w14:textId="024676ED" w:rsidR="009E28C4" w:rsidRPr="00721B96" w:rsidRDefault="00F80604" w:rsidP="00F80604">
      <w:pPr>
        <w:pStyle w:val="NoSpacing"/>
        <w:rPr>
          <w:rFonts w:cstheme="minorHAnsi"/>
          <w:sz w:val="24"/>
          <w:szCs w:val="24"/>
        </w:rPr>
      </w:pPr>
      <w:r w:rsidRPr="00721B96">
        <w:rPr>
          <w:rFonts w:cstheme="minorHAnsi"/>
          <w:sz w:val="24"/>
          <w:szCs w:val="24"/>
        </w:rPr>
        <w:t>Department of Obstetrics and Gynecology, Medical College of Wisconsin, Milwaukee, WI</w:t>
      </w:r>
    </w:p>
    <w:p w14:paraId="5CF5AB70" w14:textId="77777777" w:rsidR="009E28C4" w:rsidRPr="00721B96" w:rsidRDefault="005C0C36" w:rsidP="00F80604">
      <w:pPr>
        <w:pStyle w:val="NoSpacing"/>
        <w:rPr>
          <w:rFonts w:cstheme="minorHAnsi"/>
          <w:sz w:val="32"/>
          <w:szCs w:val="32"/>
        </w:rPr>
      </w:pPr>
      <w:r w:rsidRPr="00721B96">
        <w:rPr>
          <w:rFonts w:cstheme="minorHAnsi"/>
          <w:sz w:val="32"/>
          <w:szCs w:val="32"/>
        </w:rPr>
        <w:t>Sandra K. Hunter</w:t>
      </w:r>
    </w:p>
    <w:p w14:paraId="5065D7EC" w14:textId="1255141C" w:rsidR="009E28C4" w:rsidRPr="00721B96" w:rsidRDefault="00F80604" w:rsidP="00F80604">
      <w:pPr>
        <w:pStyle w:val="NoSpacing"/>
        <w:rPr>
          <w:rFonts w:cstheme="minorHAnsi"/>
          <w:sz w:val="24"/>
          <w:szCs w:val="24"/>
        </w:rPr>
      </w:pPr>
      <w:r w:rsidRPr="00721B96">
        <w:rPr>
          <w:rFonts w:cstheme="minorHAnsi"/>
          <w:sz w:val="24"/>
          <w:szCs w:val="24"/>
        </w:rPr>
        <w:t>Department of Physical Therapy, Marquette University, Milwaukee, WI</w:t>
      </w:r>
    </w:p>
    <w:p w14:paraId="6880A9CB" w14:textId="64F121B4" w:rsidR="005C0C36" w:rsidRPr="00721B96" w:rsidRDefault="005C0C36" w:rsidP="00F80604">
      <w:pPr>
        <w:pStyle w:val="NoSpacing"/>
        <w:rPr>
          <w:rFonts w:cstheme="minorHAnsi"/>
          <w:sz w:val="32"/>
          <w:szCs w:val="32"/>
        </w:rPr>
      </w:pPr>
      <w:r w:rsidRPr="00721B96">
        <w:rPr>
          <w:rFonts w:cstheme="minorHAnsi"/>
          <w:sz w:val="32"/>
          <w:szCs w:val="32"/>
        </w:rPr>
        <w:t>Marie Hoeger Bement</w:t>
      </w:r>
    </w:p>
    <w:p w14:paraId="11A6E4B0" w14:textId="0919F535" w:rsidR="00F80604" w:rsidRPr="00721B96" w:rsidRDefault="00F80604" w:rsidP="00F80604">
      <w:pPr>
        <w:pStyle w:val="NoSpacing"/>
        <w:rPr>
          <w:rFonts w:cstheme="minorHAnsi"/>
          <w:sz w:val="24"/>
          <w:szCs w:val="24"/>
        </w:rPr>
      </w:pPr>
      <w:r w:rsidRPr="00721B96">
        <w:rPr>
          <w:rFonts w:cstheme="minorHAnsi"/>
          <w:sz w:val="24"/>
          <w:szCs w:val="24"/>
        </w:rPr>
        <w:lastRenderedPageBreak/>
        <w:t>Department of Physical Therapy, Marquette University, Milwaukee, WI</w:t>
      </w:r>
    </w:p>
    <w:p w14:paraId="43E0A415" w14:textId="77777777" w:rsidR="00F80604" w:rsidRPr="00721B96" w:rsidRDefault="00F80604" w:rsidP="005C0C36">
      <w:pPr>
        <w:rPr>
          <w:rFonts w:cstheme="minorHAnsi"/>
          <w:b/>
          <w:bCs/>
        </w:rPr>
      </w:pPr>
    </w:p>
    <w:p w14:paraId="36C1522A" w14:textId="21D93E0A" w:rsidR="004E3ECF" w:rsidRPr="00721B96" w:rsidRDefault="00F80604" w:rsidP="00F80604">
      <w:pPr>
        <w:pStyle w:val="Heading1"/>
        <w:rPr>
          <w:rFonts w:asciiTheme="minorHAnsi" w:hAnsiTheme="minorHAnsi" w:cstheme="minorHAnsi"/>
        </w:rPr>
      </w:pPr>
      <w:r w:rsidRPr="00721B96">
        <w:rPr>
          <w:rFonts w:asciiTheme="minorHAnsi" w:hAnsiTheme="minorHAnsi" w:cstheme="minorHAnsi"/>
        </w:rPr>
        <w:t>Abstract</w:t>
      </w:r>
    </w:p>
    <w:p w14:paraId="1005FE07" w14:textId="77777777" w:rsidR="00F31560" w:rsidRPr="00721B96" w:rsidRDefault="004E3ECF" w:rsidP="004E3ECF">
      <w:pPr>
        <w:rPr>
          <w:rFonts w:cstheme="minorHAnsi"/>
        </w:rPr>
      </w:pPr>
      <w:r w:rsidRPr="00721B96">
        <w:rPr>
          <w:rFonts w:cstheme="minorHAnsi"/>
          <w:b/>
          <w:bCs/>
        </w:rPr>
        <w:t>Background:</w:t>
      </w:r>
      <w:r w:rsidRPr="00721B96">
        <w:rPr>
          <w:rFonts w:cstheme="minorHAnsi"/>
        </w:rPr>
        <w:t xml:space="preserve"> Low back pain (LBP) is common in the general population and among postpartum women. Abdominal muscle exercise is often used to treat LBP, but it is unknown if fatiguing abdominal muscle exercise can produce exercise-induced hypoalgesia (EIH). </w:t>
      </w:r>
    </w:p>
    <w:p w14:paraId="7A88EC68" w14:textId="71E241DF" w:rsidR="00F31560" w:rsidRPr="00721B96" w:rsidRDefault="004E3ECF" w:rsidP="004E3ECF">
      <w:pPr>
        <w:rPr>
          <w:rFonts w:cstheme="minorHAnsi"/>
        </w:rPr>
      </w:pPr>
      <w:r w:rsidRPr="00721B96">
        <w:rPr>
          <w:rFonts w:cstheme="minorHAnsi"/>
          <w:b/>
          <w:bCs/>
        </w:rPr>
        <w:t>Objectives:</w:t>
      </w:r>
      <w:r w:rsidRPr="00721B96">
        <w:rPr>
          <w:rFonts w:cstheme="minorHAnsi"/>
        </w:rPr>
        <w:t xml:space="preserve"> To assess pressure pain thresholds (PPTs) at rest and following fatiguing trunk flexor exercise (EIH) in (1) nulligravid and postpartum women to evaluate the impact of pregnancy and childbirth and (2) nulligravid women and men to examine sex differences. </w:t>
      </w:r>
    </w:p>
    <w:p w14:paraId="7D4539CB" w14:textId="77777777" w:rsidR="00F31560" w:rsidRPr="00721B96" w:rsidRDefault="004E3ECF" w:rsidP="004E3ECF">
      <w:pPr>
        <w:rPr>
          <w:rFonts w:cstheme="minorHAnsi"/>
        </w:rPr>
      </w:pPr>
      <w:r w:rsidRPr="00721B96">
        <w:rPr>
          <w:rFonts w:cstheme="minorHAnsi"/>
          <w:b/>
          <w:bCs/>
        </w:rPr>
        <w:t>Methods:</w:t>
      </w:r>
      <w:r w:rsidRPr="00721B96">
        <w:rPr>
          <w:rFonts w:cstheme="minorHAnsi"/>
        </w:rPr>
        <w:t xml:space="preserve"> Seventy healthy adults (31 postpartum women, 23 nulligravid women, 16 men) participated. Postpartum and nulligravid women were tested twice (16–18 weeks apart) to identify changes in EIH with postpartum recovery. PPTs were measured at the nailbed and superior rectus abdominis before and after exercise to investigate systemic and local EIH, respectively. Rectus abdominis muscle thickness was assessed with ultrasound. </w:t>
      </w:r>
    </w:p>
    <w:p w14:paraId="1CE84C0B" w14:textId="50EF0951" w:rsidR="00F31560" w:rsidRPr="00721B96" w:rsidRDefault="004E3ECF" w:rsidP="004E3ECF">
      <w:pPr>
        <w:rPr>
          <w:rFonts w:cstheme="minorHAnsi"/>
        </w:rPr>
      </w:pPr>
      <w:r w:rsidRPr="00721B96">
        <w:rPr>
          <w:rFonts w:cstheme="minorHAnsi"/>
        </w:rPr>
        <w:t xml:space="preserve">Results: Postpartum women reported lower PPTs than nulligravid women at the abdomen (p &lt; 0.05) whereas postpartum women had lower PPTs at the nailbed during the first session only. Men reported higher nailbed PPTs (p = 0.047) and similar PPTs at the abdomen than women (p = 0.294). All groups demonstrated EIH at the abdomen (p &lt; 0.05). Systemic EIH was absent in postpartum and nulligravid women (p &gt; 0.05), while men demonstrated hyperalgesia. Local EIH was positively associated with muscle thickness for men and women, which was not significant at the second timepoint. </w:t>
      </w:r>
    </w:p>
    <w:p w14:paraId="02A8EF4A" w14:textId="25F0AB4C" w:rsidR="00F31560" w:rsidRPr="00721B96" w:rsidRDefault="004E3ECF" w:rsidP="004E3ECF">
      <w:pPr>
        <w:rPr>
          <w:rFonts w:cstheme="minorHAnsi"/>
        </w:rPr>
      </w:pPr>
      <w:r w:rsidRPr="00721B96">
        <w:rPr>
          <w:rFonts w:cstheme="minorHAnsi"/>
          <w:b/>
          <w:bCs/>
        </w:rPr>
        <w:t>Limitations:</w:t>
      </w:r>
      <w:r w:rsidRPr="00721B96">
        <w:rPr>
          <w:rFonts w:cstheme="minorHAnsi"/>
        </w:rPr>
        <w:t xml:space="preserve"> Acute exercise response may not reflect changes that occur with exercise training. </w:t>
      </w:r>
    </w:p>
    <w:p w14:paraId="2A5B4BD9" w14:textId="63C72AFD" w:rsidR="004E3ECF" w:rsidRPr="00721B96" w:rsidRDefault="004E3ECF" w:rsidP="004E3ECF">
      <w:pPr>
        <w:rPr>
          <w:rFonts w:cstheme="minorHAnsi"/>
        </w:rPr>
      </w:pPr>
      <w:r w:rsidRPr="00721B96">
        <w:rPr>
          <w:rFonts w:cstheme="minorHAnsi"/>
          <w:b/>
          <w:bCs/>
        </w:rPr>
        <w:t>Conclusion:</w:t>
      </w:r>
      <w:r w:rsidRPr="00721B96">
        <w:rPr>
          <w:rFonts w:cstheme="minorHAnsi"/>
        </w:rPr>
        <w:t xml:space="preserve"> Fatiguing trunk flexor exercise produced local EIH for all groups including postpartum and nulligravid women. Clinically, trunk exercises may be useful for acute pain relief for clinical populations that are characterized by pain and/or weakness in the abdominal region muscles in populations with abdominal pain syndromes.</w:t>
      </w:r>
    </w:p>
    <w:p w14:paraId="6AC90AB1" w14:textId="3DAC1FE3" w:rsidR="00F31560" w:rsidRPr="00721B96" w:rsidRDefault="00F31560" w:rsidP="004E3ECF">
      <w:pPr>
        <w:rPr>
          <w:rFonts w:cstheme="minorHAnsi"/>
        </w:rPr>
      </w:pPr>
    </w:p>
    <w:p w14:paraId="0F501D69" w14:textId="47B59CD0" w:rsidR="00F31560" w:rsidRPr="00721B96" w:rsidRDefault="00F31560" w:rsidP="00F31560">
      <w:pPr>
        <w:pStyle w:val="Heading1"/>
        <w:rPr>
          <w:rFonts w:asciiTheme="minorHAnsi" w:hAnsiTheme="minorHAnsi" w:cstheme="minorHAnsi"/>
        </w:rPr>
      </w:pPr>
      <w:r w:rsidRPr="00721B96">
        <w:rPr>
          <w:rFonts w:asciiTheme="minorHAnsi" w:hAnsiTheme="minorHAnsi" w:cstheme="minorHAnsi"/>
        </w:rPr>
        <w:t>INTRODUCTION</w:t>
      </w:r>
    </w:p>
    <w:p w14:paraId="6467273E" w14:textId="77777777" w:rsidR="00BE1AAC" w:rsidRPr="00721B96" w:rsidRDefault="00BE1AAC" w:rsidP="00F31560">
      <w:pPr>
        <w:rPr>
          <w:rFonts w:cstheme="minorHAnsi"/>
        </w:rPr>
      </w:pPr>
      <w:r w:rsidRPr="00721B96">
        <w:rPr>
          <w:rFonts w:cstheme="minorHAnsi"/>
        </w:rPr>
        <w:t xml:space="preserve">Approximately 30% of adults in the United States experience chronic pain, with the low back being the most commonly reported location (Johannes et al., 2010). Low back pain (LBP) has also been identified as the leading cause of years lived with disability globally (Vos et al., 2012), and women are more likely than men to experience chronic LBP that impacts activities of daily living (Chenot et al., 2008). In addition, LBP frequently occurs with pregnancy, with approximately 75% of pregnant women reporting low back and/or pelvic girdle pain (Wang et al., 2004; Wu et al., 2004). Roughly one out of four women with LBP during pregnancy will continue to have pain after childbirth (Albert et al., 2000; Robinson et al., 2010), and up to 20% of these women have pain that interferes with performance of activities of daily living 3 years after childbirth (Albert et al., 2001; Norén et al., 2002). Furthermore, prolonged pain can lead to central sensitization, which is an increased responsiveness of nociceptive neurons in the central nervous system (International Association for the Study of Pain), making early management of pain an important factor in the prevention of chronic pain syndromes and disability. </w:t>
      </w:r>
    </w:p>
    <w:p w14:paraId="4346C6BB" w14:textId="77777777" w:rsidR="007B6604" w:rsidRPr="00721B96" w:rsidRDefault="00BE1AAC" w:rsidP="00F31560">
      <w:pPr>
        <w:rPr>
          <w:rFonts w:cstheme="minorHAnsi"/>
        </w:rPr>
      </w:pPr>
      <w:r w:rsidRPr="00721B96">
        <w:rPr>
          <w:rFonts w:cstheme="minorHAnsi"/>
        </w:rPr>
        <w:t xml:space="preserve">Several studies have identified impaired function of the abdominal muscles in individuals with back pain. Smidt et al. (1983) found that individuals with LBP demonstrated lower isometric and isokinetic trunk flexion torques </w:t>
      </w:r>
      <w:r w:rsidRPr="00721B96">
        <w:rPr>
          <w:rFonts w:cstheme="minorHAnsi"/>
        </w:rPr>
        <w:lastRenderedPageBreak/>
        <w:t xml:space="preserve">and were more susceptible to muscle fatigue of the abdominals compared with individuals without LBP. Postpartum women have been shown to have lower isometric trunk flexion strength and increased fatigability of both the trunk flexor muscles and lumbopelvic stabilizing muscles up to 26 weeks postpartum as compared to women who have never been pregnant (Deering et al., 2018a,b), which may contribute to LBP in this population. In postpartum women, increased inter-recti distance, suggesting compromised fascial integrity, has also been associated with low back and pelvic pain (Parker and Millar, 2008). These findings suggest that dysfunction of the abdominal muscles may play a role in the etiology of LBP, with rehabilitation implications including the response to exercise. </w:t>
      </w:r>
    </w:p>
    <w:p w14:paraId="7444A17B" w14:textId="77777777" w:rsidR="007B6604" w:rsidRPr="00721B96" w:rsidRDefault="00BE1AAC" w:rsidP="00F31560">
      <w:pPr>
        <w:rPr>
          <w:rFonts w:cstheme="minorHAnsi"/>
        </w:rPr>
      </w:pPr>
      <w:r w:rsidRPr="00721B96">
        <w:rPr>
          <w:rFonts w:cstheme="minorHAnsi"/>
        </w:rPr>
        <w:t xml:space="preserve">Pain can also lead to fear avoidance behaviors leading to further reductions in physical activity levels and muscle weakness; perpetuating a cycle of weakness, instability, pain, and reduced movement (Gutke et al., 2011). In contrast, exercise has been shown to be a non-pharmacologic intervention to decrease pain sensitivity in healthy individuals and patient populations (Naugle et al., 2012). The reduction in pain perception following exercise is known as exerciseinduced hypoalgesia (EIH). Pressure pain thresholds (PPTs), which are the minimum intensity of a stimulus that is perceived as painful, are frequently used to assess EIH; an increase in PPTs following exercise is indicative of EIH (Hoeger Bement et al., 2008; Naugle et al., 2012). </w:t>
      </w:r>
    </w:p>
    <w:p w14:paraId="1D4DBAD8" w14:textId="13EFA2F9" w:rsidR="00F31560" w:rsidRPr="00721B96" w:rsidRDefault="00BE1AAC" w:rsidP="00F31560">
      <w:pPr>
        <w:rPr>
          <w:rFonts w:cstheme="minorHAnsi"/>
        </w:rPr>
      </w:pPr>
      <w:r w:rsidRPr="00721B96">
        <w:rPr>
          <w:rFonts w:cstheme="minorHAnsi"/>
        </w:rPr>
        <w:t>EIH can occur locally at the exercising muscle as well as systemically at more distal sites such as the nail bed. The magnitude of EIH is dependent upon both the intensity and duration of exercise (Hoeger Bement et al., 2008; Naugle et al., 2012); greater pain relief occurs with fatiguing contractions</w:t>
      </w:r>
      <w:r w:rsidR="007B6604" w:rsidRPr="00721B96">
        <w:rPr>
          <w:rFonts w:cstheme="minorHAnsi"/>
        </w:rPr>
        <w:t xml:space="preserve"> (Hoeger Bement et al., 2008). Emerging evidence also shows that women may experience greater EIH than men, although this may be due to differences in baseline (pre-exercise) pain (Koltyn et al., 2001; Lemley et al., 2016).</w:t>
      </w:r>
    </w:p>
    <w:p w14:paraId="6B4BE92B" w14:textId="5E90B0C0" w:rsidR="007B6604" w:rsidRPr="00721B96" w:rsidRDefault="00F6066E" w:rsidP="00F31560">
      <w:pPr>
        <w:rPr>
          <w:rFonts w:cstheme="minorHAnsi"/>
        </w:rPr>
      </w:pPr>
      <w:r w:rsidRPr="00721B96">
        <w:rPr>
          <w:rFonts w:cstheme="minorHAnsi"/>
        </w:rPr>
        <w:t>Because postpartum women are at high risk of LBP and have low strength and endurance of the abdominal muscles compared with nulligravid women (Deering et al., 2018a,b), and as abdominal muscle exercise is typically used in the treatment of LBP for both men and women (Richardson et al., 1999; Hodges, 2003; Bastiaenen et al., 2004; Koumantakis et al., 2005; Pennick, 2007; Vleeming et al., 2008; Liddle and Pennick, 2015), we evaluated PPTs before and after fatiguing exercise of the trunk flexor muscles in (1) postpartum and nulligravid women (controls) to examine the impact of pregnancy and childbirth on pain thresholds and EIH, and (2) healthy men and nulligravid women to examine potential sex differences in pain thresholds and EIH (Koltyn et al., 2001) following abdominal muscle exercise. Postpartum and nulligravid women were tested twice, during the initial (8–10 weeks) postpartum period and followup (24–26 weeks) postpartum period, to determine if pain perception and response to exercise changes with the length of the postpartum period. The initial testing time point (8–10 weeks postpartum) was chosen due to many women in the United States receiving only 6–8 weeks of maternity leave (Vahratian and Johnson, 2009). Women who delivered vaginally or via Cesarean delivery were included, as both delivery methods are associated with some degree of pain and inflammation, whether from perineal/pelvic floor muscle injury or pelvic joint trauma from vaginal birth or surgical pain from Cesarean delivery, which can activate nociceptors (Chimenti et al., 2018). We hypothesized that (1) postpartum women would report lower resting PPTs than nulligravid women, and that both groups would demonstrate an increase in PPTs following fatiguing exercise (EIH) and (2) women would report lower PPTs at rest than men, and that both men and women would demonstrate EIH.</w:t>
      </w:r>
    </w:p>
    <w:p w14:paraId="6FD99F06" w14:textId="641FFAED" w:rsidR="00F6066E" w:rsidRPr="00721B96" w:rsidRDefault="00783585" w:rsidP="00783585">
      <w:pPr>
        <w:pStyle w:val="Heading1"/>
        <w:rPr>
          <w:rFonts w:asciiTheme="minorHAnsi" w:hAnsiTheme="minorHAnsi" w:cstheme="minorHAnsi"/>
        </w:rPr>
      </w:pPr>
      <w:r w:rsidRPr="00721B96">
        <w:rPr>
          <w:rFonts w:asciiTheme="minorHAnsi" w:hAnsiTheme="minorHAnsi" w:cstheme="minorHAnsi"/>
        </w:rPr>
        <w:t>MATERIALS AND METHODS</w:t>
      </w:r>
    </w:p>
    <w:p w14:paraId="39EA54BA" w14:textId="67D110BC" w:rsidR="00783585" w:rsidRPr="00721B96" w:rsidRDefault="00614E4B" w:rsidP="00783585">
      <w:pPr>
        <w:rPr>
          <w:rFonts w:cstheme="minorHAnsi"/>
        </w:rPr>
      </w:pPr>
      <w:r w:rsidRPr="00721B96">
        <w:rPr>
          <w:rFonts w:cstheme="minorHAnsi"/>
        </w:rPr>
        <w:t xml:space="preserve">Seventy healthy adults participated in the study. To examine the impact of pregnancy and childbirth on pain perception and EIH in response to abdominal muscle exercise (protocol 1), 31 postpartum women and 22 nulligravid women participated. To examine potential sex differences (protocol 2), 16 men and 19 women participated. Eighteen women participated in both protocols. During protocol 1, postpartum women were tested twice at the initial postpartum period (between 8 and 10 weeks) and follow-up at 24–26 weeks </w:t>
      </w:r>
      <w:r w:rsidRPr="00721B96">
        <w:rPr>
          <w:rFonts w:cstheme="minorHAnsi"/>
        </w:rPr>
        <w:lastRenderedPageBreak/>
        <w:t>postpartum. Nulligravid women were tested, similarly, at two timepoints, separated by 16–18 weeks to match the testing time points of the postpartum women.</w:t>
      </w:r>
    </w:p>
    <w:p w14:paraId="1CD87048" w14:textId="44A4F657" w:rsidR="00614E4B" w:rsidRPr="00721B96" w:rsidRDefault="00474350" w:rsidP="00783585">
      <w:pPr>
        <w:rPr>
          <w:rFonts w:cstheme="minorHAnsi"/>
        </w:rPr>
      </w:pPr>
      <w:r w:rsidRPr="00721B96">
        <w:rPr>
          <w:rFonts w:cstheme="minorHAnsi"/>
        </w:rPr>
        <w:t>For protocol 1, 27 women between 8 and 10 weeks postpartum (31.2 ± 5.2 years; Vaginal delivery n = 17, Cesarean delivery n = 10) and 14 nulligravid women (25.8 ± 5.3 years) completed the initial time point of testing. At the follow up time point (24–26 weeks postpartum), 26 postpartum women (31.4 ± 4.8 years; Vaginal delivery n = 15, Cesarean delivery n = 11) and 14 nulligravid women (25.8 ± 6.1 years) completed the protocol. Twenty-two postpartum women (vaginal delivery n = 14, Cesarean delivery n = 8) and six nulligravid women completed both time points.</w:t>
      </w:r>
    </w:p>
    <w:p w14:paraId="078B469E" w14:textId="48238C48" w:rsidR="00474350" w:rsidRPr="00721B96" w:rsidRDefault="008D30F3" w:rsidP="008D30F3">
      <w:pPr>
        <w:pStyle w:val="Heading2"/>
        <w:rPr>
          <w:rFonts w:asciiTheme="minorHAnsi" w:hAnsiTheme="minorHAnsi" w:cstheme="minorHAnsi"/>
        </w:rPr>
      </w:pPr>
      <w:r w:rsidRPr="00721B96">
        <w:rPr>
          <w:rFonts w:asciiTheme="minorHAnsi" w:hAnsiTheme="minorHAnsi" w:cstheme="minorHAnsi"/>
        </w:rPr>
        <w:t>Protocol Overview</w:t>
      </w:r>
    </w:p>
    <w:p w14:paraId="16C97FC6" w14:textId="60D16E00" w:rsidR="008D30F3" w:rsidRPr="00721B96" w:rsidRDefault="006320D2" w:rsidP="008D30F3">
      <w:pPr>
        <w:rPr>
          <w:rFonts w:cstheme="minorHAnsi"/>
        </w:rPr>
      </w:pPr>
      <w:r w:rsidRPr="00721B96">
        <w:rPr>
          <w:rFonts w:cstheme="minorHAnsi"/>
        </w:rPr>
        <w:t>All participants completed two experimental sessions at each time point of testing. Thus, participants in protocol 1 completed four experimental sessions (initial and follow-up postpartum period), whereas participants in protocol 2 completed two experimental sessions. The two protocols were identical except for minor deviations as outlined in the methods. During session one for both protocols, participants were familiarized to the pressure algometer (AlgoMed) at the nailbed of the left middle finger, completed ultrasound imaging of the abdominal muscles, and measurements of height and weight. Participants from protocol one also underwent assessment of PPTs at the lower abdomen (see PPT section for details).</w:t>
      </w:r>
    </w:p>
    <w:p w14:paraId="5D75F05B" w14:textId="11B61B15" w:rsidR="006320D2" w:rsidRPr="00721B96" w:rsidRDefault="006E1F2F" w:rsidP="008D30F3">
      <w:pPr>
        <w:rPr>
          <w:rFonts w:cstheme="minorHAnsi"/>
        </w:rPr>
      </w:pPr>
      <w:r w:rsidRPr="00721B96">
        <w:rPr>
          <w:rFonts w:cstheme="minorHAnsi"/>
        </w:rPr>
        <w:t>During session two for both protocols, participants completed multiple questionnaires (Physical Activity Questionnaire, Oswestry Disability Index, McGill Short Form Pain Questionnaire, Pain Catastrophizing Survey, and the Fear Avoidance Beliefs Questionnaire) and performed the fatiguing trunk flexor exercise protocol. PPTs were measured before and after the exercise protocol at the left superior rectus abdominis muscle (to assess EIH local to the exercising muscle) and nailbed (to assess systemic EIH). The study was approved by the Institutional Review Boards at Marquette University and the Medical College of Wisconsin, and the Office of Clinical Research and Innovative Care Compliance at Froedtert Hospital. All participants provided written informed consent prior to study enrollment.</w:t>
      </w:r>
    </w:p>
    <w:p w14:paraId="1239B78B" w14:textId="25BE494B" w:rsidR="006E1F2F" w:rsidRPr="00721B96" w:rsidRDefault="004B2256" w:rsidP="004B2256">
      <w:pPr>
        <w:pStyle w:val="Heading2"/>
        <w:rPr>
          <w:rFonts w:asciiTheme="minorHAnsi" w:hAnsiTheme="minorHAnsi" w:cstheme="minorHAnsi"/>
        </w:rPr>
      </w:pPr>
      <w:r w:rsidRPr="00721B96">
        <w:rPr>
          <w:rFonts w:asciiTheme="minorHAnsi" w:hAnsiTheme="minorHAnsi" w:cstheme="minorHAnsi"/>
        </w:rPr>
        <w:t>Fatiguing Trunk Flexor Exercise</w:t>
      </w:r>
    </w:p>
    <w:p w14:paraId="100E7CD8" w14:textId="14D268D6" w:rsidR="004B2256" w:rsidRPr="00721B96" w:rsidRDefault="003A6ECE" w:rsidP="004B2256">
      <w:pPr>
        <w:rPr>
          <w:rFonts w:cstheme="minorHAnsi"/>
        </w:rPr>
      </w:pPr>
      <w:r w:rsidRPr="00721B96">
        <w:rPr>
          <w:rFonts w:cstheme="minorHAnsi"/>
        </w:rPr>
        <w:t>Participants performed an intermittent isometric fatiguing trunk flexion task while seated upright in the Biodex dynamometer (Biodex Medical, Shirley, NY, United States). Trunk flexion maximal voluntary contractions (MVC) were performed prior to initiating the exercise protocol to determine maximal strength. At least three MVCs were performed, with a minimum of 1 min of rest between contractions, until two contractions were within 5% of each other to ensure true MVCs were obtained. The highest MVC was used to calculate the exercise intensity. The exercise protocol involved performance of trunk flexion contractions at 50% of MVC for 6 s with 4 s rest between contractions and 1 MVC every minute and at task failure (Deering et al., 2017). Task failure was defined as submaximal torque less than the 50% MVC target line for 3 s of the 6 s contraction or MVC strength less than or equal to 50% of baseline MVC.</w:t>
      </w:r>
    </w:p>
    <w:p w14:paraId="0D2206FA" w14:textId="7AD14EA0" w:rsidR="003A6ECE" w:rsidRPr="00721B96" w:rsidRDefault="00262934" w:rsidP="00262934">
      <w:pPr>
        <w:pStyle w:val="Heading2"/>
        <w:rPr>
          <w:rFonts w:asciiTheme="minorHAnsi" w:hAnsiTheme="minorHAnsi" w:cstheme="minorHAnsi"/>
        </w:rPr>
      </w:pPr>
      <w:r w:rsidRPr="00721B96">
        <w:rPr>
          <w:rFonts w:asciiTheme="minorHAnsi" w:hAnsiTheme="minorHAnsi" w:cstheme="minorHAnsi"/>
        </w:rPr>
        <w:t>Pressure Pain Thresholds (PPTs)</w:t>
      </w:r>
    </w:p>
    <w:p w14:paraId="71210D86" w14:textId="77777777" w:rsidR="009719E2" w:rsidRPr="00721B96" w:rsidRDefault="00BF5D2C" w:rsidP="00F60C3C">
      <w:pPr>
        <w:rPr>
          <w:rFonts w:cstheme="minorHAnsi"/>
        </w:rPr>
      </w:pPr>
      <w:r w:rsidRPr="00721B96">
        <w:rPr>
          <w:rFonts w:cstheme="minorHAnsi"/>
        </w:rPr>
        <w:t>PPTs were assessed using a computerized pressure algometer with a 1 cm2 rubber tip (Medoc Ltd., Yishai, Israel). PPTs were performed, before and within 5 min after the trunk flexor fatiguing exercise protocol while reclined in the Biodex dynamometer, at the nailbed of the left middle finger and at the left upper rectus abdominis (5 cm above and 2 cm lateral to the</w:t>
      </w:r>
      <w:r w:rsidR="009719E2" w:rsidRPr="00721B96">
        <w:rPr>
          <w:rFonts w:cstheme="minorHAnsi"/>
        </w:rPr>
        <w:t xml:space="preserve">umbilicus). Three trials were performed at each site with an interstimulus interval of 10 s at a rate of 10 kPa/s. Participants were instructed to press a timing device “as soon as pressure changes to pain.” While testing the abdominal muscle site, participants received the same instructions with the added instruction to breathe normally and not to press their abdomen out against the algometer. Pain thresholds were recorded for all three trials and averaged. Change in PPT was quantified in </w:t>
      </w:r>
      <w:r w:rsidR="009719E2" w:rsidRPr="00721B96">
        <w:rPr>
          <w:rFonts w:cstheme="minorHAnsi"/>
        </w:rPr>
        <w:lastRenderedPageBreak/>
        <w:t>absolute (postexercise PPT minus pre-exercise PPT) and relative [(post-exercise PPT minus pre-exercise PPT)/pre-exercise PPT] values.</w:t>
      </w:r>
    </w:p>
    <w:p w14:paraId="4C6AE0D3" w14:textId="77777777" w:rsidR="009719E2" w:rsidRPr="00721B96" w:rsidRDefault="009719E2" w:rsidP="00F60C3C">
      <w:pPr>
        <w:rPr>
          <w:rFonts w:cstheme="minorHAnsi"/>
        </w:rPr>
      </w:pPr>
      <w:r w:rsidRPr="00721B96">
        <w:rPr>
          <w:rFonts w:cstheme="minorHAnsi"/>
        </w:rPr>
        <w:t>For protocol 1, PPTs were also performed at the lower abdomen (during first session). Postpartum women who underwent Cesarean delivery were tested at the midpoint of their surgical scar, and all women in this group did have a Pfannenstiel (transverse) incision. Postpartum women who experienced a vaginal delivery and nulligravid women were tested in the midline of the abdomen, where a Pfannenstiel incision would be performed (approximately two finger widths above the pubic symphysis) (Mathai and Hofmeyr, 2007). Three PPT trials were performed and averaged.</w:t>
      </w:r>
    </w:p>
    <w:p w14:paraId="4AC24311" w14:textId="4027F9ED" w:rsidR="00F60C3C" w:rsidRPr="00721B96" w:rsidRDefault="009719E2" w:rsidP="009719E2">
      <w:pPr>
        <w:pStyle w:val="Heading2"/>
        <w:rPr>
          <w:rFonts w:asciiTheme="minorHAnsi" w:hAnsiTheme="minorHAnsi" w:cstheme="minorHAnsi"/>
        </w:rPr>
      </w:pPr>
      <w:r w:rsidRPr="00721B96">
        <w:rPr>
          <w:rFonts w:asciiTheme="minorHAnsi" w:hAnsiTheme="minorHAnsi" w:cstheme="minorHAnsi"/>
        </w:rPr>
        <w:t>Ultrasound Imaging of the Abdominal Muscles</w:t>
      </w:r>
    </w:p>
    <w:p w14:paraId="74D24C1F" w14:textId="58ABDA6E" w:rsidR="007B6604" w:rsidRPr="00721B96" w:rsidRDefault="0095447A" w:rsidP="00F31560">
      <w:pPr>
        <w:rPr>
          <w:rFonts w:cstheme="minorHAnsi"/>
        </w:rPr>
      </w:pPr>
      <w:r w:rsidRPr="00721B96">
        <w:rPr>
          <w:rFonts w:cstheme="minorHAnsi"/>
        </w:rPr>
        <w:t>Muscle thickness measurements of the right rectus abdominis were recorded at 2.5 cm above the umbilicus with a GE vivid e ultrasound machine (GE Healthcare, Little Chalfont, United Kingdom; 8LRS transducer). The full width of the rectus abdominis was scanned and the measurement was taken in the region that visually appeared to be the thickest at end expiration (Teyhen et al., 2007; Deering et al., 2017, 2018</w:t>
      </w:r>
      <w:proofErr w:type="gramStart"/>
      <w:r w:rsidRPr="00721B96">
        <w:rPr>
          <w:rFonts w:cstheme="minorHAnsi"/>
        </w:rPr>
        <w:t>a,b</w:t>
      </w:r>
      <w:proofErr w:type="gramEnd"/>
      <w:r w:rsidRPr="00721B96">
        <w:rPr>
          <w:rFonts w:cstheme="minorHAnsi"/>
        </w:rPr>
        <w:t>).</w:t>
      </w:r>
    </w:p>
    <w:p w14:paraId="53E785ED" w14:textId="75D54C3C" w:rsidR="0095447A" w:rsidRPr="00721B96" w:rsidRDefault="0095447A" w:rsidP="0095447A">
      <w:pPr>
        <w:pStyle w:val="Heading2"/>
        <w:rPr>
          <w:rFonts w:asciiTheme="minorHAnsi" w:hAnsiTheme="minorHAnsi" w:cstheme="minorHAnsi"/>
        </w:rPr>
      </w:pPr>
      <w:r w:rsidRPr="00721B96">
        <w:rPr>
          <w:rFonts w:asciiTheme="minorHAnsi" w:hAnsiTheme="minorHAnsi" w:cstheme="minorHAnsi"/>
        </w:rPr>
        <w:t>Questionnaires: Pain and Fear Avoidance</w:t>
      </w:r>
    </w:p>
    <w:p w14:paraId="12DA8253" w14:textId="77D72AC4" w:rsidR="0095447A" w:rsidRPr="00721B96" w:rsidRDefault="0095447A" w:rsidP="0095447A">
      <w:pPr>
        <w:rPr>
          <w:rFonts w:cstheme="minorHAnsi"/>
        </w:rPr>
      </w:pPr>
      <w:r w:rsidRPr="00721B96">
        <w:rPr>
          <w:rFonts w:cstheme="minorHAnsi"/>
        </w:rPr>
        <w:t>Pain assessments included McGill Short Form Pain Questionnaire (Melzack, 1987), Pain Catastrophizing Scale (Osman et al., 1997, 2000), and the Fear Avoidance Beliefs Questionnaire (Waddell et al., 1993). LBP related disability was assessed with the Oswestry Disability Index (Fairbank et al., 1980; Fairbank and Pynsent, 2000; Fairbank, 2014).</w:t>
      </w:r>
    </w:p>
    <w:p w14:paraId="14909FF3" w14:textId="50D00063" w:rsidR="0095447A" w:rsidRPr="00721B96" w:rsidRDefault="00A47CBD" w:rsidP="00A47CBD">
      <w:pPr>
        <w:pStyle w:val="Heading2"/>
        <w:rPr>
          <w:rFonts w:asciiTheme="minorHAnsi" w:hAnsiTheme="minorHAnsi" w:cstheme="minorHAnsi"/>
        </w:rPr>
      </w:pPr>
      <w:r w:rsidRPr="00721B96">
        <w:rPr>
          <w:rFonts w:asciiTheme="minorHAnsi" w:hAnsiTheme="minorHAnsi" w:cstheme="minorHAnsi"/>
        </w:rPr>
        <w:t>Physical Activity</w:t>
      </w:r>
    </w:p>
    <w:p w14:paraId="252AAD28" w14:textId="77777777" w:rsidR="00A47CBD" w:rsidRPr="00721B96" w:rsidRDefault="00A47CBD" w:rsidP="00A47CBD">
      <w:pPr>
        <w:rPr>
          <w:rFonts w:cstheme="minorHAnsi"/>
        </w:rPr>
      </w:pPr>
      <w:r w:rsidRPr="00721B96">
        <w:rPr>
          <w:rFonts w:cstheme="minorHAnsi"/>
        </w:rPr>
        <w:t xml:space="preserve">Physical activity at the time of testing was quantified with triaxial accelerometers (ActiGraph) worn around the waist for 4 days, inclusive of 2 weekend days. Average minutes of moderate intensity physical activity per day was calculated with ActiLife software. </w:t>
      </w:r>
    </w:p>
    <w:p w14:paraId="56ABB7F8" w14:textId="71419DF6" w:rsidR="00A47CBD" w:rsidRPr="00721B96" w:rsidRDefault="00A47CBD" w:rsidP="00A47CBD">
      <w:pPr>
        <w:rPr>
          <w:rFonts w:cstheme="minorHAnsi"/>
        </w:rPr>
      </w:pPr>
      <w:r w:rsidRPr="00721B96">
        <w:rPr>
          <w:rFonts w:cstheme="minorHAnsi"/>
        </w:rPr>
        <w:t>Participants also completed a Physical Activity Questionnaire to estimate physical activity, represented as metabolic equivalents per hour per week, over the previous 12 months (Kriska et al., 1990; Deering et al., 2017).</w:t>
      </w:r>
    </w:p>
    <w:p w14:paraId="7D55DCAD" w14:textId="7159242F" w:rsidR="00A47CBD" w:rsidRPr="00721B96" w:rsidRDefault="0042551D" w:rsidP="0042551D">
      <w:pPr>
        <w:pStyle w:val="Heading2"/>
        <w:rPr>
          <w:rFonts w:asciiTheme="minorHAnsi" w:hAnsiTheme="minorHAnsi" w:cstheme="minorHAnsi"/>
        </w:rPr>
      </w:pPr>
      <w:r w:rsidRPr="00721B96">
        <w:rPr>
          <w:rFonts w:asciiTheme="minorHAnsi" w:hAnsiTheme="minorHAnsi" w:cstheme="minorHAnsi"/>
        </w:rPr>
        <w:t>Statistical Analysis</w:t>
      </w:r>
    </w:p>
    <w:p w14:paraId="7E3A8DF3" w14:textId="0DBD65D4" w:rsidR="004E3ECF" w:rsidRPr="00721B96" w:rsidRDefault="0042551D" w:rsidP="000A7622">
      <w:pPr>
        <w:rPr>
          <w:rFonts w:cstheme="minorHAnsi"/>
        </w:rPr>
      </w:pPr>
      <w:r w:rsidRPr="00721B96">
        <w:rPr>
          <w:rFonts w:cstheme="minorHAnsi"/>
        </w:rPr>
        <w:t>Power analysis was conducted using G Power software, which indicated the need for 18 subjects per group to achieve 95% power with alpha level of 0.05. Independent t-tests compared subject characteristics and baseline PPTs between groups (postpartum and nulligravid) and sexes. Questionnaires with ordinal scales were compared between groups and sexes using the Mann– Whitney U-test. Change in PPTs following the exercise protocol were analyzed with repeated measures analysis of variance (ANOVA) over time (pre-post exercise) with group (postpartum vs. nulligravid) or sex as a between-subject factor. Correlation analysis between change in PPTs (post-pre) at the rectus abdominis muscle and muscle thickness was conducted with Spearman’s rho non-parametric correlation due to non-normal distribution of ultrasound data. Pearson correlation was used to explore the relationship between baseline pain and pain response to exercise at both the nailbed and the abdomen. Significance was identified at p &lt; 0.05. Data is presented in the text and tables as means ± standard deviation (SD).</w:t>
      </w:r>
    </w:p>
    <w:p w14:paraId="35F83AA7" w14:textId="278B7EED" w:rsidR="0042551D" w:rsidRPr="00721B96" w:rsidRDefault="008D3540" w:rsidP="008D3540">
      <w:pPr>
        <w:pStyle w:val="Heading1"/>
        <w:rPr>
          <w:rFonts w:asciiTheme="minorHAnsi" w:hAnsiTheme="minorHAnsi" w:cstheme="minorHAnsi"/>
        </w:rPr>
      </w:pPr>
      <w:r w:rsidRPr="00721B96">
        <w:rPr>
          <w:rFonts w:asciiTheme="minorHAnsi" w:hAnsiTheme="minorHAnsi" w:cstheme="minorHAnsi"/>
        </w:rPr>
        <w:t>RESULTS</w:t>
      </w:r>
    </w:p>
    <w:p w14:paraId="2D9109B7" w14:textId="682A63C8" w:rsidR="008D3540" w:rsidRPr="00721B96" w:rsidRDefault="008D3540" w:rsidP="008D3540">
      <w:pPr>
        <w:pStyle w:val="Heading2"/>
        <w:rPr>
          <w:rFonts w:asciiTheme="minorHAnsi" w:hAnsiTheme="minorHAnsi" w:cstheme="minorHAnsi"/>
        </w:rPr>
      </w:pPr>
      <w:r w:rsidRPr="00721B96">
        <w:rPr>
          <w:rFonts w:asciiTheme="minorHAnsi" w:hAnsiTheme="minorHAnsi" w:cstheme="minorHAnsi"/>
        </w:rPr>
        <w:t>Protocol One: Postpartum and Nulligravid Women</w:t>
      </w:r>
    </w:p>
    <w:p w14:paraId="3D42D1E3" w14:textId="635D186D" w:rsidR="0014085F" w:rsidRPr="00721B96" w:rsidRDefault="0014085F" w:rsidP="0014085F">
      <w:pPr>
        <w:rPr>
          <w:rFonts w:cstheme="minorHAnsi"/>
        </w:rPr>
      </w:pPr>
      <w:r w:rsidRPr="00721B96">
        <w:rPr>
          <w:rFonts w:cstheme="minorHAnsi"/>
        </w:rPr>
        <w:t>Subject characteristics, including weight, body mass index (BMI), trunk flexor strength and fatigability, and physical activity levels are presented in Table 1.</w:t>
      </w:r>
    </w:p>
    <w:p w14:paraId="057F04D0" w14:textId="0A3E2A32" w:rsidR="0014085F" w:rsidRPr="00721B96" w:rsidRDefault="00A17859" w:rsidP="00A17859">
      <w:pPr>
        <w:pStyle w:val="Heading3"/>
        <w:rPr>
          <w:rFonts w:asciiTheme="minorHAnsi" w:hAnsiTheme="minorHAnsi" w:cstheme="minorHAnsi"/>
        </w:rPr>
      </w:pPr>
      <w:r w:rsidRPr="00721B96">
        <w:rPr>
          <w:rFonts w:asciiTheme="minorHAnsi" w:hAnsiTheme="minorHAnsi" w:cstheme="minorHAnsi"/>
        </w:rPr>
        <w:lastRenderedPageBreak/>
        <w:t>Pfannenstiel Site PPTs (Experimental Session 1)</w:t>
      </w:r>
    </w:p>
    <w:p w14:paraId="0DE57A29" w14:textId="11C19F6F" w:rsidR="00A17859" w:rsidRPr="00721B96" w:rsidRDefault="001A3157" w:rsidP="00A17859">
      <w:pPr>
        <w:rPr>
          <w:rFonts w:cstheme="minorHAnsi"/>
        </w:rPr>
      </w:pPr>
      <w:r w:rsidRPr="00721B96">
        <w:rPr>
          <w:rFonts w:cstheme="minorHAnsi"/>
        </w:rPr>
        <w:t>No difference was noted in Pfannenstiel site PPTs between women who had a vaginal delivery and women who had a Cesarean delivery at 8–10 weeks postpartum (127.4 ± 53.2 vs. 103.8 ± 44.7, respectively, p = 0.251) or 24–26 weeks postpartum (112.3 ± 52.7 vs. 110.3 ± 46.5, respectively, p = 0.922), so both groups were combined. At the initial time point (8–10 weeks postpartum), postpartum women were more sensitive to pain (i.e., lower PPTs) than nulligravid women at the pfannenstiel site (p &lt; 0.001; Table 2). At the follow up timepoint (24–26 weeks postpartum), postpartum women continued to demonstrate heightened sensitivity to pain at the pfannenstiel site (p = 0.001; Table 2).</w:t>
      </w:r>
    </w:p>
    <w:p w14:paraId="4C0E2F21" w14:textId="22AD9E8E" w:rsidR="001A3157" w:rsidRPr="00721B96" w:rsidRDefault="001A3157" w:rsidP="001A3157">
      <w:pPr>
        <w:pStyle w:val="Heading3"/>
        <w:rPr>
          <w:rFonts w:asciiTheme="minorHAnsi" w:hAnsiTheme="minorHAnsi" w:cstheme="minorHAnsi"/>
        </w:rPr>
      </w:pPr>
      <w:r w:rsidRPr="00721B96">
        <w:rPr>
          <w:rFonts w:asciiTheme="minorHAnsi" w:hAnsiTheme="minorHAnsi" w:cstheme="minorHAnsi"/>
        </w:rPr>
        <w:t>Baseline PPTs Prior to Fatiguing Trunk Flexor Exercise (Experimental Session 2)</w:t>
      </w:r>
    </w:p>
    <w:p w14:paraId="79A85F8F" w14:textId="70E61445" w:rsidR="001A3157" w:rsidRPr="00721B96" w:rsidRDefault="008A33D4" w:rsidP="001A3157">
      <w:pPr>
        <w:rPr>
          <w:rFonts w:cstheme="minorHAnsi"/>
        </w:rPr>
      </w:pPr>
      <w:r w:rsidRPr="00721B96">
        <w:rPr>
          <w:rFonts w:cstheme="minorHAnsi"/>
        </w:rPr>
        <w:t>There was no difference in baseline PPTs between women who had a vaginal delivery and women who had a Cesarean delivery at 8–10 weeks postpartum (NAILBED: 169.2 ± 87.5 vs. 221.1 ± 129.4, respectively, p = 0.225; SUPERIOR RECTUS ABDOMINIS: 117.2 ± 55.7 vs. 140.1 ± 74.1, respectively, p = 0.371) or 24–26 weeks postpartum (NAILBED: 157.9 ± 89.9 vs. 235.9 ± 114.3, respectively, p = 0.063; SUPERIOR RECTUS ABDOMINIS: 101.0 ± 41.2 vs. 134.5 ± 65.9, respectively, p = 0.124), so both groups were combined. At the initial timepoint, postpartum women had lower PPTs than nulligravid women at the nailbed (p = 0.026; Table 2) and the superior rectus abdominis site (p = 0.031; Table 2). By 26 weeks postpartum, there was no difference in baseline pain at the nailbed between postpartum and nulligravid women (p = 0.326; Table 2), but postpartum women continued to be more sensitive to pain at the superior rectus abdominis site (p = 0.027; Table 2) compared with the nulligravid women.</w:t>
      </w:r>
    </w:p>
    <w:p w14:paraId="58C16F03" w14:textId="77777777" w:rsidR="00F14AFE" w:rsidRPr="00721B96" w:rsidRDefault="00F14AFE" w:rsidP="00F14AFE">
      <w:pPr>
        <w:rPr>
          <w:rStyle w:val="Heading4Char"/>
          <w:rFonts w:asciiTheme="minorHAnsi" w:hAnsiTheme="minorHAnsi" w:cstheme="minorHAnsi"/>
        </w:rPr>
      </w:pPr>
    </w:p>
    <w:p w14:paraId="45A49CD8" w14:textId="0EA7DC77" w:rsidR="008A33D4" w:rsidRPr="00721B96" w:rsidRDefault="00887C9E" w:rsidP="00F14AFE">
      <w:pPr>
        <w:rPr>
          <w:rFonts w:cstheme="minorHAnsi"/>
        </w:rPr>
      </w:pPr>
      <w:r w:rsidRPr="00721B96">
        <w:rPr>
          <w:rStyle w:val="Heading4Char"/>
          <w:rFonts w:asciiTheme="minorHAnsi" w:hAnsiTheme="minorHAnsi" w:cstheme="minorHAnsi"/>
          <w:b/>
          <w:bCs/>
        </w:rPr>
        <w:t>Table 1:</w:t>
      </w:r>
      <w:r w:rsidR="00866603" w:rsidRPr="00721B96">
        <w:rPr>
          <w:rFonts w:cstheme="minorHAnsi"/>
        </w:rPr>
        <w:t xml:space="preserve"> Subject characteristics: nulligravid and postpartum</w:t>
      </w:r>
    </w:p>
    <w:p w14:paraId="47F616C1" w14:textId="0FCC9F42" w:rsidR="008A33D4" w:rsidRPr="00721B96" w:rsidRDefault="008A33D4" w:rsidP="001A3157">
      <w:pPr>
        <w:rPr>
          <w:rFonts w:cstheme="minorHAnsi"/>
        </w:rPr>
      </w:pPr>
      <w:r w:rsidRPr="00721B96">
        <w:rPr>
          <w:rFonts w:cstheme="minorHAnsi"/>
          <w:noProof/>
        </w:rPr>
        <w:drawing>
          <wp:inline distT="0" distB="0" distL="0" distR="0" wp14:anchorId="35C1F561" wp14:editId="2A5E1C11">
            <wp:extent cx="5542103" cy="3258185"/>
            <wp:effectExtent l="0" t="0" r="1905" b="0"/>
            <wp:docPr id="1" name="Picture 1" descr="Table 2: Experimental pain perce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46688" cy="3260881"/>
                    </a:xfrm>
                    <a:prstGeom prst="rect">
                      <a:avLst/>
                    </a:prstGeom>
                    <a:noFill/>
                    <a:ln>
                      <a:noFill/>
                    </a:ln>
                  </pic:spPr>
                </pic:pic>
              </a:graphicData>
            </a:graphic>
          </wp:inline>
        </w:drawing>
      </w:r>
    </w:p>
    <w:p w14:paraId="1827542A" w14:textId="67C60C6C" w:rsidR="003C2899" w:rsidRDefault="003C2899" w:rsidP="003C2899">
      <w:pPr>
        <w:rPr>
          <w:rFonts w:cstheme="minorHAnsi"/>
        </w:rPr>
      </w:pPr>
      <w:r w:rsidRPr="003C2899">
        <w:rPr>
          <w:rFonts w:cstheme="minorHAnsi"/>
        </w:rPr>
        <w:t>TABLE 1 | Subject characteristics: nulligravid and postpartum.</w:t>
      </w:r>
    </w:p>
    <w:tbl>
      <w:tblPr>
        <w:tblStyle w:val="TableGrid"/>
        <w:tblW w:w="0" w:type="auto"/>
        <w:tblLook w:val="04A0" w:firstRow="1" w:lastRow="0" w:firstColumn="1" w:lastColumn="0" w:noHBand="0" w:noVBand="1"/>
      </w:tblPr>
      <w:tblGrid>
        <w:gridCol w:w="3109"/>
        <w:gridCol w:w="1878"/>
        <w:gridCol w:w="1527"/>
        <w:gridCol w:w="2029"/>
        <w:gridCol w:w="1527"/>
      </w:tblGrid>
      <w:tr w:rsidR="003C2899" w14:paraId="3A24BC45" w14:textId="77777777" w:rsidTr="00AD52BB">
        <w:tc>
          <w:tcPr>
            <w:tcW w:w="0" w:type="auto"/>
          </w:tcPr>
          <w:p w14:paraId="6946BD5A" w14:textId="77777777" w:rsidR="003C2899" w:rsidRDefault="003C2899" w:rsidP="003C2899">
            <w:pPr>
              <w:rPr>
                <w:rFonts w:cstheme="minorHAnsi"/>
              </w:rPr>
            </w:pPr>
          </w:p>
        </w:tc>
        <w:tc>
          <w:tcPr>
            <w:tcW w:w="0" w:type="auto"/>
          </w:tcPr>
          <w:p w14:paraId="59DB1291" w14:textId="2E04E940" w:rsidR="003C2899" w:rsidRDefault="00BB0085" w:rsidP="00BB0085">
            <w:pPr>
              <w:rPr>
                <w:rFonts w:cstheme="minorHAnsi"/>
              </w:rPr>
            </w:pPr>
            <w:r w:rsidRPr="00BB0085">
              <w:rPr>
                <w:rFonts w:cstheme="minorHAnsi"/>
              </w:rPr>
              <w:t>Initial (8–10 weeks postpartum)</w:t>
            </w:r>
          </w:p>
        </w:tc>
        <w:tc>
          <w:tcPr>
            <w:tcW w:w="0" w:type="auto"/>
          </w:tcPr>
          <w:p w14:paraId="44641B98" w14:textId="77777777" w:rsidR="003C2899" w:rsidRDefault="003C2899" w:rsidP="003C2899">
            <w:pPr>
              <w:rPr>
                <w:rFonts w:cstheme="minorHAnsi"/>
              </w:rPr>
            </w:pPr>
          </w:p>
        </w:tc>
        <w:tc>
          <w:tcPr>
            <w:tcW w:w="0" w:type="auto"/>
          </w:tcPr>
          <w:p w14:paraId="4F8364AB" w14:textId="41F2CC22" w:rsidR="003C2899" w:rsidRDefault="00AA4175" w:rsidP="00AA4175">
            <w:pPr>
              <w:rPr>
                <w:rFonts w:cstheme="minorHAnsi"/>
              </w:rPr>
            </w:pPr>
            <w:r w:rsidRPr="00AA4175">
              <w:rPr>
                <w:rFonts w:cstheme="minorHAnsi"/>
              </w:rPr>
              <w:t>Follow up (24–26 weeks postpartum)</w:t>
            </w:r>
          </w:p>
        </w:tc>
        <w:tc>
          <w:tcPr>
            <w:tcW w:w="0" w:type="auto"/>
          </w:tcPr>
          <w:p w14:paraId="7EB9D4C6" w14:textId="77777777" w:rsidR="003C2899" w:rsidRDefault="003C2899" w:rsidP="003C2899">
            <w:pPr>
              <w:rPr>
                <w:rFonts w:cstheme="minorHAnsi"/>
              </w:rPr>
            </w:pPr>
          </w:p>
        </w:tc>
      </w:tr>
      <w:tr w:rsidR="003C2899" w14:paraId="5BFF0141" w14:textId="77777777" w:rsidTr="00AD52BB">
        <w:tc>
          <w:tcPr>
            <w:tcW w:w="0" w:type="auto"/>
          </w:tcPr>
          <w:p w14:paraId="2E578526" w14:textId="77777777" w:rsidR="003C2899" w:rsidRDefault="003C2899" w:rsidP="003C2899">
            <w:pPr>
              <w:rPr>
                <w:rFonts w:cstheme="minorHAnsi"/>
              </w:rPr>
            </w:pPr>
          </w:p>
        </w:tc>
        <w:tc>
          <w:tcPr>
            <w:tcW w:w="0" w:type="auto"/>
          </w:tcPr>
          <w:p w14:paraId="6E9BD3BA" w14:textId="4FCD63B4" w:rsidR="003C2899" w:rsidRDefault="00AA4175" w:rsidP="003C2899">
            <w:pPr>
              <w:rPr>
                <w:rFonts w:cstheme="minorHAnsi"/>
              </w:rPr>
            </w:pPr>
            <w:r w:rsidRPr="00AA4175">
              <w:rPr>
                <w:rFonts w:cstheme="minorHAnsi"/>
              </w:rPr>
              <w:t>Nulligravid (n = 14)</w:t>
            </w:r>
          </w:p>
        </w:tc>
        <w:tc>
          <w:tcPr>
            <w:tcW w:w="0" w:type="auto"/>
          </w:tcPr>
          <w:p w14:paraId="6B166700" w14:textId="490384DA" w:rsidR="003C2899" w:rsidRDefault="00C62AB0" w:rsidP="00C62AB0">
            <w:pPr>
              <w:rPr>
                <w:rFonts w:cstheme="minorHAnsi"/>
              </w:rPr>
            </w:pPr>
            <w:r w:rsidRPr="00C62AB0">
              <w:rPr>
                <w:rFonts w:cstheme="minorHAnsi"/>
              </w:rPr>
              <w:t>Postpartum (n = 27)</w:t>
            </w:r>
          </w:p>
        </w:tc>
        <w:tc>
          <w:tcPr>
            <w:tcW w:w="0" w:type="auto"/>
          </w:tcPr>
          <w:p w14:paraId="557A6282" w14:textId="5120F088" w:rsidR="003C2899" w:rsidRDefault="00C62AB0" w:rsidP="00C62AB0">
            <w:pPr>
              <w:rPr>
                <w:rFonts w:cstheme="minorHAnsi"/>
              </w:rPr>
            </w:pPr>
            <w:r w:rsidRPr="00C62AB0">
              <w:rPr>
                <w:rFonts w:cstheme="minorHAnsi"/>
              </w:rPr>
              <w:t>Nulligravid (n = 14)</w:t>
            </w:r>
          </w:p>
        </w:tc>
        <w:tc>
          <w:tcPr>
            <w:tcW w:w="0" w:type="auto"/>
          </w:tcPr>
          <w:p w14:paraId="53220AA3" w14:textId="56D18FC0" w:rsidR="003C2899" w:rsidRDefault="00C62AB0" w:rsidP="00C62AB0">
            <w:pPr>
              <w:rPr>
                <w:rFonts w:cstheme="minorHAnsi"/>
              </w:rPr>
            </w:pPr>
            <w:r w:rsidRPr="00C62AB0">
              <w:rPr>
                <w:rFonts w:cstheme="minorHAnsi"/>
              </w:rPr>
              <w:t>Postpartum (n = 26)</w:t>
            </w:r>
          </w:p>
        </w:tc>
      </w:tr>
      <w:tr w:rsidR="003C2899" w14:paraId="4C879C80" w14:textId="77777777" w:rsidTr="00AD52BB">
        <w:tc>
          <w:tcPr>
            <w:tcW w:w="0" w:type="auto"/>
          </w:tcPr>
          <w:p w14:paraId="60E005FC" w14:textId="5991C22C" w:rsidR="003C2899" w:rsidRDefault="00C460BA" w:rsidP="00C460BA">
            <w:pPr>
              <w:rPr>
                <w:rFonts w:cstheme="minorHAnsi"/>
              </w:rPr>
            </w:pPr>
            <w:r w:rsidRPr="00C460BA">
              <w:rPr>
                <w:rFonts w:cstheme="minorHAnsi"/>
              </w:rPr>
              <w:t>Age (</w:t>
            </w:r>
            <w:proofErr w:type="gramStart"/>
            <w:r w:rsidRPr="00C460BA">
              <w:rPr>
                <w:rFonts w:cstheme="minorHAnsi"/>
              </w:rPr>
              <w:t xml:space="preserve">years)   </w:t>
            </w:r>
            <w:proofErr w:type="gramEnd"/>
            <w:r w:rsidRPr="00C460BA">
              <w:rPr>
                <w:rFonts w:cstheme="minorHAnsi"/>
              </w:rPr>
              <w:t xml:space="preserve">                </w:t>
            </w:r>
          </w:p>
        </w:tc>
        <w:tc>
          <w:tcPr>
            <w:tcW w:w="0" w:type="auto"/>
          </w:tcPr>
          <w:p w14:paraId="0D52798E" w14:textId="11D2BD02" w:rsidR="003C2899" w:rsidRDefault="00C460BA" w:rsidP="009A00A4">
            <w:pPr>
              <w:rPr>
                <w:rFonts w:cstheme="minorHAnsi"/>
              </w:rPr>
            </w:pPr>
            <w:r w:rsidRPr="00C460BA">
              <w:rPr>
                <w:rFonts w:cstheme="minorHAnsi"/>
              </w:rPr>
              <w:t xml:space="preserve">25.8 ± 5.3 </w:t>
            </w:r>
          </w:p>
        </w:tc>
        <w:tc>
          <w:tcPr>
            <w:tcW w:w="0" w:type="auto"/>
          </w:tcPr>
          <w:p w14:paraId="300DEA5E" w14:textId="39731A5E" w:rsidR="003C2899" w:rsidRDefault="00C460BA" w:rsidP="003C2899">
            <w:pPr>
              <w:rPr>
                <w:rFonts w:cstheme="minorHAnsi"/>
              </w:rPr>
            </w:pPr>
            <w:r w:rsidRPr="00C460BA">
              <w:rPr>
                <w:rFonts w:cstheme="minorHAnsi"/>
              </w:rPr>
              <w:t>31.2 ± 5.2</w:t>
            </w:r>
            <w:r w:rsidRPr="00C460BA">
              <w:rPr>
                <w:rFonts w:ascii="Cambria Math" w:hAnsi="Cambria Math" w:cs="Cambria Math"/>
              </w:rPr>
              <w:t>∗</w:t>
            </w:r>
            <w:r w:rsidRPr="00C460BA">
              <w:rPr>
                <w:rFonts w:cstheme="minorHAnsi"/>
              </w:rPr>
              <w:t xml:space="preserve">                         </w:t>
            </w:r>
          </w:p>
        </w:tc>
        <w:tc>
          <w:tcPr>
            <w:tcW w:w="0" w:type="auto"/>
          </w:tcPr>
          <w:p w14:paraId="20E4F151" w14:textId="07E65DCE" w:rsidR="003C2899" w:rsidRDefault="003E2D00" w:rsidP="009A00A4">
            <w:pPr>
              <w:rPr>
                <w:rFonts w:cstheme="minorHAnsi"/>
              </w:rPr>
            </w:pPr>
            <w:r w:rsidRPr="00C460BA">
              <w:rPr>
                <w:rFonts w:cstheme="minorHAnsi"/>
              </w:rPr>
              <w:t xml:space="preserve">25.8 </w:t>
            </w:r>
            <w:r w:rsidRPr="00C460BA">
              <w:rPr>
                <w:rFonts w:ascii="Calibri" w:hAnsi="Calibri" w:cs="Calibri"/>
              </w:rPr>
              <w:t>±</w:t>
            </w:r>
            <w:r w:rsidRPr="00C460BA">
              <w:rPr>
                <w:rFonts w:cstheme="minorHAnsi"/>
              </w:rPr>
              <w:t xml:space="preserve"> 6.1</w:t>
            </w:r>
          </w:p>
        </w:tc>
        <w:tc>
          <w:tcPr>
            <w:tcW w:w="0" w:type="auto"/>
          </w:tcPr>
          <w:p w14:paraId="0A0A69C0" w14:textId="3D53EE1C" w:rsidR="003C2899" w:rsidRDefault="003E2D00" w:rsidP="009A00A4">
            <w:pPr>
              <w:rPr>
                <w:rFonts w:cstheme="minorHAnsi"/>
              </w:rPr>
            </w:pPr>
            <w:r w:rsidRPr="00C460BA">
              <w:rPr>
                <w:rFonts w:cstheme="minorHAnsi"/>
              </w:rPr>
              <w:t>31.4 ± 4.8</w:t>
            </w:r>
            <w:r w:rsidRPr="00C460BA">
              <w:rPr>
                <w:rFonts w:ascii="Cambria Math" w:hAnsi="Cambria Math" w:cs="Cambria Math"/>
              </w:rPr>
              <w:t>∗</w:t>
            </w:r>
          </w:p>
        </w:tc>
      </w:tr>
      <w:tr w:rsidR="003C2899" w14:paraId="32E5585C" w14:textId="77777777" w:rsidTr="00AD52BB">
        <w:tc>
          <w:tcPr>
            <w:tcW w:w="0" w:type="auto"/>
          </w:tcPr>
          <w:p w14:paraId="098BCBB8" w14:textId="0D2075E3" w:rsidR="006D7B5F" w:rsidRDefault="009A00A4" w:rsidP="006D7B5F">
            <w:pPr>
              <w:rPr>
                <w:rFonts w:cstheme="minorHAnsi"/>
              </w:rPr>
            </w:pPr>
            <w:r w:rsidRPr="009A00A4">
              <w:rPr>
                <w:rFonts w:cstheme="minorHAnsi"/>
              </w:rPr>
              <w:t>Height (cm</w:t>
            </w:r>
            <w:r w:rsidR="006D7B5F">
              <w:rPr>
                <w:rFonts w:cstheme="minorHAnsi"/>
              </w:rPr>
              <w:t>)</w:t>
            </w:r>
          </w:p>
        </w:tc>
        <w:tc>
          <w:tcPr>
            <w:tcW w:w="0" w:type="auto"/>
          </w:tcPr>
          <w:p w14:paraId="531316ED" w14:textId="5FF27DD1" w:rsidR="003C2899" w:rsidRDefault="00627A0F" w:rsidP="003C2899">
            <w:pPr>
              <w:rPr>
                <w:rFonts w:cstheme="minorHAnsi"/>
              </w:rPr>
            </w:pPr>
            <w:r w:rsidRPr="009A00A4">
              <w:rPr>
                <w:rFonts w:cstheme="minorHAnsi"/>
              </w:rPr>
              <w:t>166.9 ± 7.4</w:t>
            </w:r>
          </w:p>
        </w:tc>
        <w:tc>
          <w:tcPr>
            <w:tcW w:w="0" w:type="auto"/>
          </w:tcPr>
          <w:p w14:paraId="1E636E12" w14:textId="25D5660A" w:rsidR="003C2899" w:rsidRDefault="00627A0F" w:rsidP="003C2899">
            <w:pPr>
              <w:rPr>
                <w:rFonts w:cstheme="minorHAnsi"/>
              </w:rPr>
            </w:pPr>
            <w:r w:rsidRPr="009A00A4">
              <w:rPr>
                <w:rFonts w:cstheme="minorHAnsi"/>
              </w:rPr>
              <w:t xml:space="preserve">164.3 ± 4.6 </w:t>
            </w:r>
          </w:p>
        </w:tc>
        <w:tc>
          <w:tcPr>
            <w:tcW w:w="0" w:type="auto"/>
          </w:tcPr>
          <w:p w14:paraId="6782788F" w14:textId="5DE99B54" w:rsidR="003C2899" w:rsidRDefault="00627A0F" w:rsidP="001A0714">
            <w:pPr>
              <w:rPr>
                <w:rFonts w:cstheme="minorHAnsi"/>
              </w:rPr>
            </w:pPr>
            <w:r w:rsidRPr="009A00A4">
              <w:rPr>
                <w:rFonts w:cstheme="minorHAnsi"/>
              </w:rPr>
              <w:t>166.1 ± 8.</w:t>
            </w:r>
            <w:r w:rsidR="006D7B5F">
              <w:rPr>
                <w:rFonts w:cstheme="minorHAnsi"/>
              </w:rPr>
              <w:t>6</w:t>
            </w:r>
          </w:p>
        </w:tc>
        <w:tc>
          <w:tcPr>
            <w:tcW w:w="0" w:type="auto"/>
          </w:tcPr>
          <w:p w14:paraId="135805DB" w14:textId="762AB446" w:rsidR="003C2899" w:rsidRDefault="006D7B5F" w:rsidP="006D7B5F">
            <w:pPr>
              <w:rPr>
                <w:rFonts w:cstheme="minorHAnsi"/>
              </w:rPr>
            </w:pPr>
            <w:r w:rsidRPr="009A00A4">
              <w:rPr>
                <w:rFonts w:cstheme="minorHAnsi"/>
              </w:rPr>
              <w:t>163.8 ± 4.8</w:t>
            </w:r>
          </w:p>
        </w:tc>
      </w:tr>
      <w:tr w:rsidR="003C2899" w14:paraId="405003EA" w14:textId="77777777" w:rsidTr="00AD52BB">
        <w:tc>
          <w:tcPr>
            <w:tcW w:w="0" w:type="auto"/>
          </w:tcPr>
          <w:p w14:paraId="237B84EF" w14:textId="58DC91BB" w:rsidR="003C2899" w:rsidRDefault="00F02C96" w:rsidP="004629FB">
            <w:pPr>
              <w:rPr>
                <w:rFonts w:cstheme="minorHAnsi"/>
              </w:rPr>
            </w:pPr>
            <w:r w:rsidRPr="00F02C96">
              <w:rPr>
                <w:rFonts w:cstheme="minorHAnsi"/>
              </w:rPr>
              <w:t>Weight (kg)</w:t>
            </w:r>
          </w:p>
        </w:tc>
        <w:tc>
          <w:tcPr>
            <w:tcW w:w="0" w:type="auto"/>
          </w:tcPr>
          <w:p w14:paraId="54A7918D" w14:textId="362A0C01" w:rsidR="003C2899" w:rsidRDefault="00F02C96" w:rsidP="003C2899">
            <w:pPr>
              <w:rPr>
                <w:rFonts w:cstheme="minorHAnsi"/>
              </w:rPr>
            </w:pPr>
            <w:r w:rsidRPr="00F02C96">
              <w:rPr>
                <w:rFonts w:cstheme="minorHAnsi"/>
              </w:rPr>
              <w:t xml:space="preserve">63.8 ± 13.1       </w:t>
            </w:r>
          </w:p>
        </w:tc>
        <w:tc>
          <w:tcPr>
            <w:tcW w:w="0" w:type="auto"/>
          </w:tcPr>
          <w:p w14:paraId="3B87A810" w14:textId="54419911" w:rsidR="003C2899" w:rsidRDefault="00F02C96" w:rsidP="003C2899">
            <w:pPr>
              <w:rPr>
                <w:rFonts w:cstheme="minorHAnsi"/>
              </w:rPr>
            </w:pPr>
            <w:r w:rsidRPr="00F02C96">
              <w:rPr>
                <w:rFonts w:cstheme="minorHAnsi"/>
              </w:rPr>
              <w:t>75.6 ± 12.8</w:t>
            </w:r>
            <w:r w:rsidRPr="00F02C96">
              <w:rPr>
                <w:rFonts w:ascii="Cambria Math" w:hAnsi="Cambria Math" w:cs="Cambria Math"/>
              </w:rPr>
              <w:t>∗</w:t>
            </w:r>
            <w:r w:rsidRPr="00F02C96">
              <w:rPr>
                <w:rFonts w:cstheme="minorHAnsi"/>
              </w:rPr>
              <w:t xml:space="preserve">            </w:t>
            </w:r>
          </w:p>
        </w:tc>
        <w:tc>
          <w:tcPr>
            <w:tcW w:w="0" w:type="auto"/>
          </w:tcPr>
          <w:p w14:paraId="5E473F7C" w14:textId="3358D676" w:rsidR="003C2899" w:rsidRDefault="00F02C96" w:rsidP="004629FB">
            <w:pPr>
              <w:rPr>
                <w:rFonts w:cstheme="minorHAnsi"/>
              </w:rPr>
            </w:pPr>
            <w:r w:rsidRPr="00F02C96">
              <w:rPr>
                <w:rFonts w:cstheme="minorHAnsi"/>
              </w:rPr>
              <w:t xml:space="preserve">63.3 </w:t>
            </w:r>
            <w:r w:rsidRPr="00F02C96">
              <w:rPr>
                <w:rFonts w:ascii="Calibri" w:hAnsi="Calibri" w:cs="Calibri"/>
              </w:rPr>
              <w:t>±</w:t>
            </w:r>
            <w:r w:rsidRPr="00F02C96">
              <w:rPr>
                <w:rFonts w:cstheme="minorHAnsi"/>
              </w:rPr>
              <w:t xml:space="preserve"> 8.0</w:t>
            </w:r>
          </w:p>
        </w:tc>
        <w:tc>
          <w:tcPr>
            <w:tcW w:w="0" w:type="auto"/>
          </w:tcPr>
          <w:p w14:paraId="6E5B516F" w14:textId="4C05D5A9" w:rsidR="003C2899" w:rsidRDefault="00F02C96" w:rsidP="004629FB">
            <w:pPr>
              <w:rPr>
                <w:rFonts w:cstheme="minorHAnsi"/>
              </w:rPr>
            </w:pPr>
            <w:r w:rsidRPr="00F02C96">
              <w:rPr>
                <w:rFonts w:cstheme="minorHAnsi"/>
              </w:rPr>
              <w:t>70.7 ± 13.4</w:t>
            </w:r>
            <w:r w:rsidRPr="00F02C96">
              <w:rPr>
                <w:rFonts w:ascii="Cambria Math" w:hAnsi="Cambria Math" w:cs="Cambria Math"/>
              </w:rPr>
              <w:t>∗</w:t>
            </w:r>
          </w:p>
        </w:tc>
      </w:tr>
      <w:tr w:rsidR="003C2899" w14:paraId="1FD4E47E" w14:textId="77777777" w:rsidTr="00AD52BB">
        <w:tc>
          <w:tcPr>
            <w:tcW w:w="0" w:type="auto"/>
          </w:tcPr>
          <w:p w14:paraId="58B2F3C2" w14:textId="481F6EE6" w:rsidR="003C2899" w:rsidRDefault="000834F2" w:rsidP="00AB79AE">
            <w:pPr>
              <w:rPr>
                <w:rFonts w:cstheme="minorHAnsi"/>
              </w:rPr>
            </w:pPr>
            <w:r w:rsidRPr="000834F2">
              <w:rPr>
                <w:rFonts w:cstheme="minorHAnsi"/>
              </w:rPr>
              <w:t>BMI (kg/m</w:t>
            </w:r>
            <w:proofErr w:type="gramStart"/>
            <w:r w:rsidRPr="000834F2">
              <w:rPr>
                <w:rFonts w:cstheme="minorHAnsi"/>
              </w:rPr>
              <w:t>2 )</w:t>
            </w:r>
            <w:proofErr w:type="gramEnd"/>
          </w:p>
        </w:tc>
        <w:tc>
          <w:tcPr>
            <w:tcW w:w="0" w:type="auto"/>
          </w:tcPr>
          <w:p w14:paraId="643E4BD1" w14:textId="44437023" w:rsidR="003C2899" w:rsidRDefault="003621EA" w:rsidP="003C2899">
            <w:pPr>
              <w:rPr>
                <w:rFonts w:cstheme="minorHAnsi"/>
              </w:rPr>
            </w:pPr>
            <w:r w:rsidRPr="000834F2">
              <w:rPr>
                <w:rFonts w:cstheme="minorHAnsi"/>
              </w:rPr>
              <w:t xml:space="preserve">22.8 ± 4.0       </w:t>
            </w:r>
          </w:p>
        </w:tc>
        <w:tc>
          <w:tcPr>
            <w:tcW w:w="0" w:type="auto"/>
          </w:tcPr>
          <w:p w14:paraId="44EF71CF" w14:textId="604442A1" w:rsidR="003C2899" w:rsidRDefault="003621EA" w:rsidP="003C2899">
            <w:pPr>
              <w:rPr>
                <w:rFonts w:cstheme="minorHAnsi"/>
              </w:rPr>
            </w:pPr>
            <w:r w:rsidRPr="000834F2">
              <w:rPr>
                <w:rFonts w:cstheme="minorHAnsi"/>
              </w:rPr>
              <w:t>28.1 ± 4.8</w:t>
            </w:r>
            <w:r w:rsidRPr="000834F2">
              <w:rPr>
                <w:rFonts w:ascii="Cambria Math" w:hAnsi="Cambria Math" w:cs="Cambria Math"/>
              </w:rPr>
              <w:t>∗</w:t>
            </w:r>
            <w:r w:rsidRPr="000834F2">
              <w:rPr>
                <w:rFonts w:cstheme="minorHAnsi"/>
              </w:rPr>
              <w:t xml:space="preserve">               </w:t>
            </w:r>
          </w:p>
        </w:tc>
        <w:tc>
          <w:tcPr>
            <w:tcW w:w="0" w:type="auto"/>
          </w:tcPr>
          <w:p w14:paraId="30EDE6B8" w14:textId="0AB3E941" w:rsidR="003C2899" w:rsidRDefault="00325DEF" w:rsidP="00325DEF">
            <w:pPr>
              <w:rPr>
                <w:rFonts w:cstheme="minorHAnsi"/>
              </w:rPr>
            </w:pPr>
            <w:r w:rsidRPr="000834F2">
              <w:rPr>
                <w:rFonts w:cstheme="minorHAnsi"/>
              </w:rPr>
              <w:t xml:space="preserve">22.8 </w:t>
            </w:r>
            <w:r w:rsidRPr="000834F2">
              <w:rPr>
                <w:rFonts w:ascii="Calibri" w:hAnsi="Calibri" w:cs="Calibri"/>
              </w:rPr>
              <w:t>±</w:t>
            </w:r>
            <w:r w:rsidRPr="000834F2">
              <w:rPr>
                <w:rFonts w:cstheme="minorHAnsi"/>
              </w:rPr>
              <w:t xml:space="preserve"> 2.2</w:t>
            </w:r>
          </w:p>
        </w:tc>
        <w:tc>
          <w:tcPr>
            <w:tcW w:w="0" w:type="auto"/>
          </w:tcPr>
          <w:p w14:paraId="31B8F67D" w14:textId="33080D53" w:rsidR="003C2899" w:rsidRDefault="00325DEF" w:rsidP="003C2899">
            <w:pPr>
              <w:rPr>
                <w:rFonts w:cstheme="minorHAnsi"/>
              </w:rPr>
            </w:pPr>
            <w:r w:rsidRPr="000834F2">
              <w:rPr>
                <w:rFonts w:cstheme="minorHAnsi"/>
              </w:rPr>
              <w:t>26.7 ± 4.9</w:t>
            </w:r>
            <w:r w:rsidRPr="000834F2">
              <w:rPr>
                <w:rFonts w:ascii="Cambria Math" w:hAnsi="Cambria Math" w:cs="Cambria Math"/>
              </w:rPr>
              <w:t>∗</w:t>
            </w:r>
          </w:p>
        </w:tc>
      </w:tr>
      <w:tr w:rsidR="003C2899" w14:paraId="64D154F5" w14:textId="77777777" w:rsidTr="00AD52BB">
        <w:tc>
          <w:tcPr>
            <w:tcW w:w="0" w:type="auto"/>
          </w:tcPr>
          <w:p w14:paraId="454E6966" w14:textId="6A71EEA9" w:rsidR="003C2899" w:rsidRDefault="00AB0E02" w:rsidP="00C85C56">
            <w:pPr>
              <w:rPr>
                <w:rFonts w:cstheme="minorHAnsi"/>
              </w:rPr>
            </w:pPr>
            <w:r w:rsidRPr="00AB0E02">
              <w:rPr>
                <w:rFonts w:cstheme="minorHAnsi"/>
              </w:rPr>
              <w:t>McGill pain intensity</w:t>
            </w:r>
            <w:r>
              <w:rPr>
                <w:rFonts w:cstheme="minorHAnsi"/>
              </w:rPr>
              <w:t xml:space="preserve"> </w:t>
            </w:r>
            <w:r w:rsidRPr="00AB0E02">
              <w:rPr>
                <w:rFonts w:cstheme="minorHAnsi"/>
              </w:rPr>
              <w:t>(cm)</w:t>
            </w:r>
            <w:r w:rsidR="00C85C56" w:rsidRPr="00AB0E02">
              <w:rPr>
                <w:rFonts w:cstheme="minorHAnsi"/>
              </w:rPr>
              <w:t xml:space="preserve"> </w:t>
            </w:r>
          </w:p>
        </w:tc>
        <w:tc>
          <w:tcPr>
            <w:tcW w:w="0" w:type="auto"/>
          </w:tcPr>
          <w:p w14:paraId="6C2E4DA9" w14:textId="3879FABC" w:rsidR="003C2899" w:rsidRDefault="00C85C56" w:rsidP="003C2899">
            <w:pPr>
              <w:rPr>
                <w:rFonts w:cstheme="minorHAnsi"/>
              </w:rPr>
            </w:pPr>
            <w:r w:rsidRPr="00AB0E02">
              <w:rPr>
                <w:rFonts w:cstheme="minorHAnsi"/>
              </w:rPr>
              <w:t xml:space="preserve">0.5 ± 1.1                  </w:t>
            </w:r>
          </w:p>
        </w:tc>
        <w:tc>
          <w:tcPr>
            <w:tcW w:w="0" w:type="auto"/>
          </w:tcPr>
          <w:p w14:paraId="476643E8" w14:textId="2DB4C3DC" w:rsidR="003C2899" w:rsidRDefault="00C85C56" w:rsidP="00AD52BB">
            <w:pPr>
              <w:rPr>
                <w:rFonts w:cstheme="minorHAnsi"/>
              </w:rPr>
            </w:pPr>
            <w:r w:rsidRPr="00AB0E02">
              <w:rPr>
                <w:rFonts w:cstheme="minorHAnsi"/>
              </w:rPr>
              <w:t xml:space="preserve">0.3 ± 0.7 </w:t>
            </w:r>
          </w:p>
        </w:tc>
        <w:tc>
          <w:tcPr>
            <w:tcW w:w="0" w:type="auto"/>
          </w:tcPr>
          <w:p w14:paraId="3947EA55" w14:textId="6D67AFAB" w:rsidR="003C2899" w:rsidRDefault="00C85C56" w:rsidP="003C2899">
            <w:pPr>
              <w:rPr>
                <w:rFonts w:cstheme="minorHAnsi"/>
              </w:rPr>
            </w:pPr>
            <w:r w:rsidRPr="00AB0E02">
              <w:rPr>
                <w:rFonts w:cstheme="minorHAnsi"/>
              </w:rPr>
              <w:t xml:space="preserve">0.3 ± 0.7                   </w:t>
            </w:r>
          </w:p>
        </w:tc>
        <w:tc>
          <w:tcPr>
            <w:tcW w:w="0" w:type="auto"/>
          </w:tcPr>
          <w:p w14:paraId="16F58A8F" w14:textId="7C98FB48" w:rsidR="003C2899" w:rsidRDefault="00C85C56" w:rsidP="00C85C56">
            <w:pPr>
              <w:rPr>
                <w:rFonts w:cstheme="minorHAnsi"/>
              </w:rPr>
            </w:pPr>
            <w:r w:rsidRPr="00AB0E02">
              <w:rPr>
                <w:rFonts w:cstheme="minorHAnsi"/>
              </w:rPr>
              <w:t>0.9 ± 2.0</w:t>
            </w:r>
          </w:p>
        </w:tc>
      </w:tr>
      <w:tr w:rsidR="003C2899" w14:paraId="6FA6B1E7" w14:textId="77777777" w:rsidTr="00AD52BB">
        <w:tc>
          <w:tcPr>
            <w:tcW w:w="0" w:type="auto"/>
          </w:tcPr>
          <w:p w14:paraId="4DB52002" w14:textId="1CC28330" w:rsidR="003C2899" w:rsidRDefault="00AB0E02" w:rsidP="00AD52BB">
            <w:pPr>
              <w:rPr>
                <w:rFonts w:cstheme="minorHAnsi"/>
              </w:rPr>
            </w:pPr>
            <w:proofErr w:type="spellStart"/>
            <w:r w:rsidRPr="00AB0E02">
              <w:rPr>
                <w:rFonts w:cstheme="minorHAnsi"/>
              </w:rPr>
              <w:t>Oswestry</w:t>
            </w:r>
            <w:proofErr w:type="spellEnd"/>
            <w:r w:rsidRPr="00AB0E02">
              <w:rPr>
                <w:rFonts w:cstheme="minorHAnsi"/>
              </w:rPr>
              <w:t xml:space="preserve"> (%) </w:t>
            </w:r>
          </w:p>
        </w:tc>
        <w:tc>
          <w:tcPr>
            <w:tcW w:w="0" w:type="auto"/>
          </w:tcPr>
          <w:p w14:paraId="3899C0DF" w14:textId="13A874E3" w:rsidR="003C2899" w:rsidRDefault="00AD52BB" w:rsidP="003C2899">
            <w:pPr>
              <w:rPr>
                <w:rFonts w:cstheme="minorHAnsi"/>
              </w:rPr>
            </w:pPr>
            <w:r w:rsidRPr="00AB0E02">
              <w:rPr>
                <w:rFonts w:cstheme="minorHAnsi"/>
              </w:rPr>
              <w:t xml:space="preserve">1.1 ± 2.6            </w:t>
            </w:r>
          </w:p>
        </w:tc>
        <w:tc>
          <w:tcPr>
            <w:tcW w:w="0" w:type="auto"/>
          </w:tcPr>
          <w:p w14:paraId="7D89042C" w14:textId="445FB108" w:rsidR="003C2899" w:rsidRDefault="00AD52BB" w:rsidP="003C2899">
            <w:pPr>
              <w:rPr>
                <w:rFonts w:cstheme="minorHAnsi"/>
              </w:rPr>
            </w:pPr>
            <w:r w:rsidRPr="00AB0E02">
              <w:rPr>
                <w:rFonts w:cstheme="minorHAnsi"/>
              </w:rPr>
              <w:t>4.3 ± 5.4</w:t>
            </w:r>
            <w:r w:rsidRPr="00AB0E02">
              <w:rPr>
                <w:rFonts w:ascii="Cambria Math" w:hAnsi="Cambria Math" w:cs="Cambria Math"/>
              </w:rPr>
              <w:t>∗</w:t>
            </w:r>
            <w:r w:rsidRPr="00AB0E02">
              <w:rPr>
                <w:rFonts w:cstheme="minorHAnsi"/>
              </w:rPr>
              <w:t xml:space="preserve">                                       </w:t>
            </w:r>
          </w:p>
        </w:tc>
        <w:tc>
          <w:tcPr>
            <w:tcW w:w="0" w:type="auto"/>
          </w:tcPr>
          <w:p w14:paraId="0C721209" w14:textId="0FD370DD" w:rsidR="003C2899" w:rsidRDefault="00AD52BB" w:rsidP="00AD52BB">
            <w:pPr>
              <w:rPr>
                <w:rFonts w:cstheme="minorHAnsi"/>
              </w:rPr>
            </w:pPr>
            <w:r w:rsidRPr="00AB0E02">
              <w:rPr>
                <w:rFonts w:cstheme="minorHAnsi"/>
              </w:rPr>
              <w:t>0.9 ± 1.</w:t>
            </w:r>
            <w:r>
              <w:rPr>
                <w:rFonts w:cstheme="minorHAnsi"/>
              </w:rPr>
              <w:t>9</w:t>
            </w:r>
          </w:p>
        </w:tc>
        <w:tc>
          <w:tcPr>
            <w:tcW w:w="0" w:type="auto"/>
          </w:tcPr>
          <w:p w14:paraId="0F2A951A" w14:textId="628FDE3D" w:rsidR="003C2899" w:rsidRDefault="00AD52BB" w:rsidP="00AD52BB">
            <w:pPr>
              <w:rPr>
                <w:rFonts w:cstheme="minorHAnsi"/>
              </w:rPr>
            </w:pPr>
            <w:r w:rsidRPr="00AB0E02">
              <w:rPr>
                <w:rFonts w:cstheme="minorHAnsi"/>
              </w:rPr>
              <w:t>5.0 ± 7.3</w:t>
            </w:r>
          </w:p>
        </w:tc>
      </w:tr>
      <w:tr w:rsidR="003C2899" w14:paraId="46BB7722" w14:textId="77777777" w:rsidTr="00AD52BB">
        <w:tc>
          <w:tcPr>
            <w:tcW w:w="0" w:type="auto"/>
          </w:tcPr>
          <w:p w14:paraId="6903D23E" w14:textId="696742AF" w:rsidR="003C2899" w:rsidRDefault="00BA0AB1" w:rsidP="0077771C">
            <w:pPr>
              <w:rPr>
                <w:rFonts w:cstheme="minorHAnsi"/>
              </w:rPr>
            </w:pPr>
            <w:r w:rsidRPr="00BA0AB1">
              <w:rPr>
                <w:rFonts w:cstheme="minorHAnsi"/>
              </w:rPr>
              <w:t>Fear Avoidance Beliefs</w:t>
            </w:r>
            <w:r>
              <w:rPr>
                <w:rFonts w:cstheme="minorHAnsi"/>
              </w:rPr>
              <w:t xml:space="preserve"> </w:t>
            </w:r>
            <w:r w:rsidRPr="00BA0AB1">
              <w:rPr>
                <w:rFonts w:cstheme="minorHAnsi"/>
              </w:rPr>
              <w:t>Questionnaire (AU)</w:t>
            </w:r>
            <w:r w:rsidR="0077771C">
              <w:rPr>
                <w:rFonts w:cstheme="minorHAnsi"/>
              </w:rPr>
              <w:t xml:space="preserve"> </w:t>
            </w:r>
          </w:p>
        </w:tc>
        <w:tc>
          <w:tcPr>
            <w:tcW w:w="0" w:type="auto"/>
          </w:tcPr>
          <w:p w14:paraId="52A580F2" w14:textId="019FA52A" w:rsidR="003C2899" w:rsidRDefault="0077771C" w:rsidP="003C2899">
            <w:pPr>
              <w:rPr>
                <w:rFonts w:cstheme="minorHAnsi"/>
              </w:rPr>
            </w:pPr>
            <w:r w:rsidRPr="00BA0AB1">
              <w:rPr>
                <w:rFonts w:cstheme="minorHAnsi"/>
              </w:rPr>
              <w:t xml:space="preserve">0.3 ± 0.6                    </w:t>
            </w:r>
          </w:p>
        </w:tc>
        <w:tc>
          <w:tcPr>
            <w:tcW w:w="0" w:type="auto"/>
          </w:tcPr>
          <w:p w14:paraId="2DD7749F" w14:textId="5408388D" w:rsidR="0077771C" w:rsidRPr="00BA0AB1" w:rsidRDefault="0077771C" w:rsidP="0077771C">
            <w:pPr>
              <w:rPr>
                <w:rFonts w:cstheme="minorHAnsi"/>
              </w:rPr>
            </w:pPr>
            <w:r w:rsidRPr="00BA0AB1">
              <w:rPr>
                <w:rFonts w:cstheme="minorHAnsi"/>
              </w:rPr>
              <w:t>7.7 ± 10.3</w:t>
            </w:r>
            <w:r w:rsidRPr="00BA0AB1">
              <w:rPr>
                <w:rFonts w:ascii="Cambria Math" w:hAnsi="Cambria Math" w:cs="Cambria Math"/>
              </w:rPr>
              <w:t>∗</w:t>
            </w:r>
            <w:r w:rsidRPr="00BA0AB1">
              <w:rPr>
                <w:rFonts w:cstheme="minorHAnsi"/>
              </w:rPr>
              <w:t xml:space="preserve">                               </w:t>
            </w:r>
          </w:p>
          <w:p w14:paraId="32509763" w14:textId="77777777" w:rsidR="003C2899" w:rsidRDefault="003C2899" w:rsidP="003C2899">
            <w:pPr>
              <w:rPr>
                <w:rFonts w:cstheme="minorHAnsi"/>
              </w:rPr>
            </w:pPr>
          </w:p>
        </w:tc>
        <w:tc>
          <w:tcPr>
            <w:tcW w:w="0" w:type="auto"/>
          </w:tcPr>
          <w:p w14:paraId="58CC71C7" w14:textId="7AA581D7" w:rsidR="003C2899" w:rsidRDefault="0077771C" w:rsidP="003C2899">
            <w:pPr>
              <w:rPr>
                <w:rFonts w:cstheme="minorHAnsi"/>
              </w:rPr>
            </w:pPr>
            <w:r w:rsidRPr="00BA0AB1">
              <w:rPr>
                <w:rFonts w:cstheme="minorHAnsi"/>
              </w:rPr>
              <w:t xml:space="preserve">0.5 ± 1.3                   </w:t>
            </w:r>
          </w:p>
        </w:tc>
        <w:tc>
          <w:tcPr>
            <w:tcW w:w="0" w:type="auto"/>
          </w:tcPr>
          <w:p w14:paraId="3635BDB4" w14:textId="5AF92255" w:rsidR="003C2899" w:rsidRDefault="0077771C" w:rsidP="0077771C">
            <w:pPr>
              <w:rPr>
                <w:rFonts w:cstheme="minorHAnsi"/>
              </w:rPr>
            </w:pPr>
            <w:r w:rsidRPr="00BA0AB1">
              <w:rPr>
                <w:rFonts w:cstheme="minorHAnsi"/>
              </w:rPr>
              <w:t>7.7 ± 12.3</w:t>
            </w:r>
          </w:p>
        </w:tc>
      </w:tr>
      <w:tr w:rsidR="003C2899" w14:paraId="4638EF60" w14:textId="77777777" w:rsidTr="00AD52BB">
        <w:tc>
          <w:tcPr>
            <w:tcW w:w="0" w:type="auto"/>
          </w:tcPr>
          <w:p w14:paraId="20D63DE7" w14:textId="3BF3A0E7" w:rsidR="003C2899" w:rsidRDefault="003A0207" w:rsidP="0077771C">
            <w:pPr>
              <w:rPr>
                <w:rFonts w:cstheme="minorHAnsi"/>
              </w:rPr>
            </w:pPr>
            <w:r w:rsidRPr="003A0207">
              <w:rPr>
                <w:rFonts w:cstheme="minorHAnsi"/>
              </w:rPr>
              <w:t>Pain Catastrophizing</w:t>
            </w:r>
            <w:r>
              <w:rPr>
                <w:rFonts w:cstheme="minorHAnsi"/>
              </w:rPr>
              <w:t xml:space="preserve"> </w:t>
            </w:r>
            <w:r w:rsidRPr="003A0207">
              <w:rPr>
                <w:rFonts w:cstheme="minorHAnsi"/>
              </w:rPr>
              <w:t>Scale (AU)</w:t>
            </w:r>
            <w:r w:rsidR="0077771C">
              <w:rPr>
                <w:rFonts w:cstheme="minorHAnsi"/>
              </w:rPr>
              <w:t xml:space="preserve"> </w:t>
            </w:r>
          </w:p>
        </w:tc>
        <w:tc>
          <w:tcPr>
            <w:tcW w:w="0" w:type="auto"/>
          </w:tcPr>
          <w:p w14:paraId="561185A2" w14:textId="5AF4762F" w:rsidR="003C2899" w:rsidRDefault="0077771C" w:rsidP="003C2899">
            <w:pPr>
              <w:rPr>
                <w:rFonts w:cstheme="minorHAnsi"/>
              </w:rPr>
            </w:pPr>
            <w:r w:rsidRPr="003A0207">
              <w:rPr>
                <w:rFonts w:cstheme="minorHAnsi"/>
              </w:rPr>
              <w:t xml:space="preserve">9.9 ± 6.7                    </w:t>
            </w:r>
          </w:p>
        </w:tc>
        <w:tc>
          <w:tcPr>
            <w:tcW w:w="0" w:type="auto"/>
          </w:tcPr>
          <w:p w14:paraId="794072F6" w14:textId="50AA0C00" w:rsidR="003C2899" w:rsidRDefault="0077771C" w:rsidP="0077771C">
            <w:pPr>
              <w:rPr>
                <w:rFonts w:cstheme="minorHAnsi"/>
              </w:rPr>
            </w:pPr>
            <w:r w:rsidRPr="003A0207">
              <w:rPr>
                <w:rFonts w:cstheme="minorHAnsi"/>
              </w:rPr>
              <w:t>9.8 ± 9.1</w:t>
            </w:r>
          </w:p>
        </w:tc>
        <w:tc>
          <w:tcPr>
            <w:tcW w:w="0" w:type="auto"/>
          </w:tcPr>
          <w:p w14:paraId="388742C6" w14:textId="4BEB7726" w:rsidR="003C2899" w:rsidRDefault="0077771C" w:rsidP="003C2899">
            <w:pPr>
              <w:rPr>
                <w:rFonts w:cstheme="minorHAnsi"/>
              </w:rPr>
            </w:pPr>
            <w:r w:rsidRPr="003A0207">
              <w:rPr>
                <w:rFonts w:cstheme="minorHAnsi"/>
              </w:rPr>
              <w:t xml:space="preserve">6.1 ± 6.1                    </w:t>
            </w:r>
          </w:p>
        </w:tc>
        <w:tc>
          <w:tcPr>
            <w:tcW w:w="0" w:type="auto"/>
          </w:tcPr>
          <w:p w14:paraId="38198610" w14:textId="6596EFB2" w:rsidR="003C2899" w:rsidRDefault="0077771C" w:rsidP="0077771C">
            <w:pPr>
              <w:rPr>
                <w:rFonts w:cstheme="minorHAnsi"/>
              </w:rPr>
            </w:pPr>
            <w:r w:rsidRPr="003A0207">
              <w:rPr>
                <w:rFonts w:cstheme="minorHAnsi"/>
              </w:rPr>
              <w:t>9.0 ± 9.4</w:t>
            </w:r>
          </w:p>
        </w:tc>
      </w:tr>
      <w:tr w:rsidR="003C2899" w14:paraId="51609AFF" w14:textId="77777777" w:rsidTr="00AD52BB">
        <w:tc>
          <w:tcPr>
            <w:tcW w:w="0" w:type="auto"/>
          </w:tcPr>
          <w:p w14:paraId="11440E5E" w14:textId="5FAFD0D7" w:rsidR="003C2899" w:rsidRDefault="003A0207" w:rsidP="005576ED">
            <w:pPr>
              <w:rPr>
                <w:rFonts w:cstheme="minorHAnsi"/>
              </w:rPr>
            </w:pPr>
            <w:r w:rsidRPr="003A0207">
              <w:rPr>
                <w:rFonts w:cstheme="minorHAnsi"/>
              </w:rPr>
              <w:t>Rectus abdominis</w:t>
            </w:r>
            <w:r>
              <w:rPr>
                <w:rFonts w:cstheme="minorHAnsi"/>
              </w:rPr>
              <w:t xml:space="preserve"> </w:t>
            </w:r>
            <w:r w:rsidRPr="003A0207">
              <w:rPr>
                <w:rFonts w:cstheme="minorHAnsi"/>
              </w:rPr>
              <w:t>muscle thickness (cm)</w:t>
            </w:r>
          </w:p>
        </w:tc>
        <w:tc>
          <w:tcPr>
            <w:tcW w:w="0" w:type="auto"/>
          </w:tcPr>
          <w:p w14:paraId="7AE7F37A" w14:textId="22119DFC" w:rsidR="003C2899" w:rsidRDefault="005576ED" w:rsidP="003C2899">
            <w:pPr>
              <w:rPr>
                <w:rFonts w:cstheme="minorHAnsi"/>
              </w:rPr>
            </w:pPr>
            <w:r w:rsidRPr="003A0207">
              <w:rPr>
                <w:rFonts w:cstheme="minorHAnsi"/>
              </w:rPr>
              <w:t>1.0 ± 0.2</w:t>
            </w:r>
          </w:p>
        </w:tc>
        <w:tc>
          <w:tcPr>
            <w:tcW w:w="0" w:type="auto"/>
          </w:tcPr>
          <w:p w14:paraId="2F748C87" w14:textId="22D8FDBD" w:rsidR="003C2899" w:rsidRDefault="005576ED" w:rsidP="005576ED">
            <w:pPr>
              <w:rPr>
                <w:rFonts w:cstheme="minorHAnsi"/>
              </w:rPr>
            </w:pPr>
            <w:r w:rsidRPr="003A0207">
              <w:rPr>
                <w:rFonts w:cstheme="minorHAnsi"/>
              </w:rPr>
              <w:t>0.8 ± 0.2</w:t>
            </w:r>
            <w:r w:rsidRPr="003A0207">
              <w:rPr>
                <w:rFonts w:ascii="Cambria Math" w:hAnsi="Cambria Math" w:cs="Cambria Math"/>
              </w:rPr>
              <w:t>∗</w:t>
            </w:r>
          </w:p>
        </w:tc>
        <w:tc>
          <w:tcPr>
            <w:tcW w:w="0" w:type="auto"/>
          </w:tcPr>
          <w:p w14:paraId="253FDE9A" w14:textId="712619F0" w:rsidR="003C2899" w:rsidRDefault="005576ED" w:rsidP="003C2899">
            <w:pPr>
              <w:rPr>
                <w:rFonts w:cstheme="minorHAnsi"/>
              </w:rPr>
            </w:pPr>
            <w:r w:rsidRPr="003A0207">
              <w:rPr>
                <w:rFonts w:cstheme="minorHAnsi"/>
              </w:rPr>
              <w:t>1.0 ± 0.1</w:t>
            </w:r>
          </w:p>
        </w:tc>
        <w:tc>
          <w:tcPr>
            <w:tcW w:w="0" w:type="auto"/>
          </w:tcPr>
          <w:p w14:paraId="1E4B7F55" w14:textId="22B0F79C" w:rsidR="003C2899" w:rsidRDefault="005576ED" w:rsidP="005576ED">
            <w:pPr>
              <w:rPr>
                <w:rFonts w:cstheme="minorHAnsi"/>
              </w:rPr>
            </w:pPr>
            <w:r w:rsidRPr="003A0207">
              <w:rPr>
                <w:rFonts w:cstheme="minorHAnsi"/>
              </w:rPr>
              <w:t>0.8 ± 0.1</w:t>
            </w:r>
            <w:r w:rsidRPr="003A0207">
              <w:rPr>
                <w:rFonts w:ascii="Cambria Math" w:hAnsi="Cambria Math" w:cs="Cambria Math"/>
              </w:rPr>
              <w:t>∗</w:t>
            </w:r>
          </w:p>
        </w:tc>
      </w:tr>
      <w:tr w:rsidR="003C2899" w14:paraId="70F7E851" w14:textId="77777777" w:rsidTr="00AD52BB">
        <w:tc>
          <w:tcPr>
            <w:tcW w:w="0" w:type="auto"/>
          </w:tcPr>
          <w:p w14:paraId="02270E8B" w14:textId="7E82BBF1" w:rsidR="003C2899" w:rsidRDefault="00EF360B" w:rsidP="005576ED">
            <w:pPr>
              <w:rPr>
                <w:rFonts w:cstheme="minorHAnsi"/>
              </w:rPr>
            </w:pPr>
            <w:r w:rsidRPr="00EF360B">
              <w:rPr>
                <w:rFonts w:cstheme="minorHAnsi"/>
              </w:rPr>
              <w:t>Trunk flexor MVC (Nm)</w:t>
            </w:r>
          </w:p>
        </w:tc>
        <w:tc>
          <w:tcPr>
            <w:tcW w:w="0" w:type="auto"/>
          </w:tcPr>
          <w:p w14:paraId="2F659F2C" w14:textId="4A76DFA8" w:rsidR="003C2899" w:rsidRDefault="005576ED" w:rsidP="003C2899">
            <w:pPr>
              <w:rPr>
                <w:rFonts w:cstheme="minorHAnsi"/>
              </w:rPr>
            </w:pPr>
            <w:r w:rsidRPr="00EF360B">
              <w:rPr>
                <w:rFonts w:cstheme="minorHAnsi"/>
              </w:rPr>
              <w:t>47.4 ± 26.8</w:t>
            </w:r>
          </w:p>
        </w:tc>
        <w:tc>
          <w:tcPr>
            <w:tcW w:w="0" w:type="auto"/>
          </w:tcPr>
          <w:p w14:paraId="6898290F" w14:textId="0B948CB1" w:rsidR="003C2899" w:rsidRDefault="005576ED" w:rsidP="003C2899">
            <w:pPr>
              <w:rPr>
                <w:rFonts w:cstheme="minorHAnsi"/>
              </w:rPr>
            </w:pPr>
            <w:r w:rsidRPr="00EF360B">
              <w:rPr>
                <w:rFonts w:cstheme="minorHAnsi"/>
              </w:rPr>
              <w:t>27.6 ± 11.5</w:t>
            </w:r>
            <w:r w:rsidRPr="00EF360B">
              <w:rPr>
                <w:rFonts w:ascii="Cambria Math" w:hAnsi="Cambria Math" w:cs="Cambria Math"/>
              </w:rPr>
              <w:t>∗</w:t>
            </w:r>
            <w:r w:rsidRPr="00EF360B">
              <w:rPr>
                <w:rFonts w:cstheme="minorHAnsi"/>
              </w:rPr>
              <w:t xml:space="preserve">           </w:t>
            </w:r>
          </w:p>
        </w:tc>
        <w:tc>
          <w:tcPr>
            <w:tcW w:w="0" w:type="auto"/>
          </w:tcPr>
          <w:p w14:paraId="306C1FA2" w14:textId="49104670" w:rsidR="003C2899" w:rsidRDefault="005576ED" w:rsidP="005576ED">
            <w:pPr>
              <w:rPr>
                <w:rFonts w:cstheme="minorHAnsi"/>
              </w:rPr>
            </w:pPr>
            <w:r w:rsidRPr="00EF360B">
              <w:rPr>
                <w:rFonts w:cstheme="minorHAnsi"/>
              </w:rPr>
              <w:t xml:space="preserve">44.5 </w:t>
            </w:r>
            <w:r w:rsidRPr="00EF360B">
              <w:rPr>
                <w:rFonts w:ascii="Calibri" w:hAnsi="Calibri" w:cs="Calibri"/>
              </w:rPr>
              <w:t>±</w:t>
            </w:r>
            <w:r w:rsidRPr="00EF360B">
              <w:rPr>
                <w:rFonts w:cstheme="minorHAnsi"/>
              </w:rPr>
              <w:t xml:space="preserve"> 17.</w:t>
            </w:r>
            <w:r>
              <w:rPr>
                <w:rFonts w:cstheme="minorHAnsi"/>
              </w:rPr>
              <w:t>2</w:t>
            </w:r>
          </w:p>
        </w:tc>
        <w:tc>
          <w:tcPr>
            <w:tcW w:w="0" w:type="auto"/>
          </w:tcPr>
          <w:p w14:paraId="3F065501" w14:textId="2188068C" w:rsidR="003C2899" w:rsidRDefault="005576ED" w:rsidP="005576ED">
            <w:pPr>
              <w:rPr>
                <w:rFonts w:cstheme="minorHAnsi"/>
              </w:rPr>
            </w:pPr>
            <w:r w:rsidRPr="00EF360B">
              <w:rPr>
                <w:rFonts w:cstheme="minorHAnsi"/>
              </w:rPr>
              <w:t>23.9 ± 10.2</w:t>
            </w:r>
            <w:r w:rsidRPr="00EF360B">
              <w:rPr>
                <w:rFonts w:ascii="Cambria Math" w:hAnsi="Cambria Math" w:cs="Cambria Math"/>
              </w:rPr>
              <w:t>∗</w:t>
            </w:r>
          </w:p>
        </w:tc>
      </w:tr>
      <w:tr w:rsidR="003C2899" w14:paraId="2FF00655" w14:textId="77777777" w:rsidTr="00AD52BB">
        <w:tc>
          <w:tcPr>
            <w:tcW w:w="0" w:type="auto"/>
          </w:tcPr>
          <w:p w14:paraId="557B3C30" w14:textId="7E2A316E" w:rsidR="00EF360B" w:rsidRPr="00EF360B" w:rsidRDefault="00EF360B" w:rsidP="00EF360B">
            <w:pPr>
              <w:rPr>
                <w:rFonts w:cstheme="minorHAnsi"/>
              </w:rPr>
            </w:pPr>
            <w:r w:rsidRPr="00EF360B">
              <w:rPr>
                <w:rFonts w:cstheme="minorHAnsi"/>
              </w:rPr>
              <w:t>Trunk flexor time to task</w:t>
            </w:r>
            <w:r>
              <w:rPr>
                <w:rFonts w:cstheme="minorHAnsi"/>
              </w:rPr>
              <w:t xml:space="preserve"> </w:t>
            </w:r>
          </w:p>
          <w:p w14:paraId="71986D46" w14:textId="286B8557" w:rsidR="003C2899" w:rsidRDefault="00EF360B" w:rsidP="005576ED">
            <w:pPr>
              <w:rPr>
                <w:rFonts w:cstheme="minorHAnsi"/>
              </w:rPr>
            </w:pPr>
            <w:r w:rsidRPr="00EF360B">
              <w:rPr>
                <w:rFonts w:cstheme="minorHAnsi"/>
              </w:rPr>
              <w:t>failure (s)</w:t>
            </w:r>
            <w:r w:rsidR="005576ED">
              <w:rPr>
                <w:rFonts w:cstheme="minorHAnsi"/>
              </w:rPr>
              <w:t xml:space="preserve"> </w:t>
            </w:r>
          </w:p>
        </w:tc>
        <w:tc>
          <w:tcPr>
            <w:tcW w:w="0" w:type="auto"/>
          </w:tcPr>
          <w:p w14:paraId="7FA50E63" w14:textId="2D0E726A" w:rsidR="003C2899" w:rsidRDefault="005576ED" w:rsidP="003C2899">
            <w:pPr>
              <w:rPr>
                <w:rFonts w:cstheme="minorHAnsi"/>
              </w:rPr>
            </w:pPr>
            <w:r w:rsidRPr="00EF360B">
              <w:rPr>
                <w:rFonts w:cstheme="minorHAnsi"/>
              </w:rPr>
              <w:t xml:space="preserve">655.7 ± 336.3 </w:t>
            </w:r>
          </w:p>
        </w:tc>
        <w:tc>
          <w:tcPr>
            <w:tcW w:w="0" w:type="auto"/>
          </w:tcPr>
          <w:p w14:paraId="7A25E4D2" w14:textId="4E5B42CB" w:rsidR="003C2899" w:rsidRDefault="005576ED" w:rsidP="005576ED">
            <w:pPr>
              <w:rPr>
                <w:rFonts w:cstheme="minorHAnsi"/>
              </w:rPr>
            </w:pPr>
            <w:r w:rsidRPr="00EF360B">
              <w:rPr>
                <w:rFonts w:cstheme="minorHAnsi"/>
              </w:rPr>
              <w:t>191.8 ± 161.1</w:t>
            </w:r>
            <w:r w:rsidRPr="00EF360B">
              <w:rPr>
                <w:rFonts w:ascii="Cambria Math" w:hAnsi="Cambria Math" w:cs="Cambria Math"/>
              </w:rPr>
              <w:t>∗</w:t>
            </w:r>
          </w:p>
        </w:tc>
        <w:tc>
          <w:tcPr>
            <w:tcW w:w="0" w:type="auto"/>
          </w:tcPr>
          <w:p w14:paraId="1AC84C0B" w14:textId="0BB96DED" w:rsidR="003C2899" w:rsidRDefault="005576ED" w:rsidP="003C2899">
            <w:pPr>
              <w:rPr>
                <w:rFonts w:cstheme="minorHAnsi"/>
              </w:rPr>
            </w:pPr>
            <w:r w:rsidRPr="00EF360B">
              <w:rPr>
                <w:rFonts w:cstheme="minorHAnsi"/>
              </w:rPr>
              <w:t>623.6 ± 405.5</w:t>
            </w:r>
          </w:p>
        </w:tc>
        <w:tc>
          <w:tcPr>
            <w:tcW w:w="0" w:type="auto"/>
          </w:tcPr>
          <w:p w14:paraId="111A104D" w14:textId="200A8BAE" w:rsidR="003C2899" w:rsidRDefault="005576ED" w:rsidP="005576ED">
            <w:pPr>
              <w:rPr>
                <w:rFonts w:cstheme="minorHAnsi"/>
              </w:rPr>
            </w:pPr>
            <w:r w:rsidRPr="00EF360B">
              <w:rPr>
                <w:rFonts w:cstheme="minorHAnsi"/>
              </w:rPr>
              <w:t>290.7 ± 169.7</w:t>
            </w:r>
            <w:r w:rsidRPr="00EF360B">
              <w:rPr>
                <w:rFonts w:ascii="Cambria Math" w:hAnsi="Cambria Math" w:cs="Cambria Math"/>
              </w:rPr>
              <w:t>∗</w:t>
            </w:r>
          </w:p>
        </w:tc>
      </w:tr>
      <w:tr w:rsidR="003C2899" w14:paraId="593D79CD" w14:textId="77777777" w:rsidTr="00AD52BB">
        <w:tc>
          <w:tcPr>
            <w:tcW w:w="0" w:type="auto"/>
          </w:tcPr>
          <w:p w14:paraId="3EBE0552" w14:textId="0C25B215" w:rsidR="00A07EB3" w:rsidRPr="00A07EB3" w:rsidRDefault="00A07EB3" w:rsidP="00A07EB3">
            <w:pPr>
              <w:rPr>
                <w:rFonts w:cstheme="minorHAnsi"/>
              </w:rPr>
            </w:pPr>
            <w:r w:rsidRPr="00A07EB3">
              <w:rPr>
                <w:rFonts w:cstheme="minorHAnsi"/>
              </w:rPr>
              <w:t>Self-reported physical</w:t>
            </w:r>
            <w:r w:rsidR="005576ED">
              <w:rPr>
                <w:rFonts w:cstheme="minorHAnsi"/>
              </w:rPr>
              <w:t xml:space="preserve"> </w:t>
            </w:r>
          </w:p>
          <w:p w14:paraId="262FB2BD" w14:textId="700450F6" w:rsidR="003C2899" w:rsidRDefault="00A07EB3" w:rsidP="00E91222">
            <w:pPr>
              <w:rPr>
                <w:rFonts w:cstheme="minorHAnsi"/>
              </w:rPr>
            </w:pPr>
            <w:r w:rsidRPr="00A07EB3">
              <w:rPr>
                <w:rFonts w:cstheme="minorHAnsi"/>
              </w:rPr>
              <w:t>activity over the previous 12 months (</w:t>
            </w:r>
            <w:proofErr w:type="spellStart"/>
            <w:r w:rsidRPr="00A07EB3">
              <w:rPr>
                <w:rFonts w:cstheme="minorHAnsi"/>
              </w:rPr>
              <w:t>MET</w:t>
            </w:r>
            <w:r w:rsidRPr="00A07EB3">
              <w:rPr>
                <w:rFonts w:ascii="Cambria Math" w:hAnsi="Cambria Math" w:cs="Cambria Math"/>
              </w:rPr>
              <w:t>∗</w:t>
            </w:r>
            <w:r w:rsidRPr="00A07EB3">
              <w:rPr>
                <w:rFonts w:cstheme="minorHAnsi"/>
              </w:rPr>
              <w:t>hr</w:t>
            </w:r>
            <w:r w:rsidRPr="00A07EB3">
              <w:rPr>
                <w:rFonts w:ascii="Cambria Math" w:hAnsi="Cambria Math" w:cs="Cambria Math"/>
              </w:rPr>
              <w:t>∗</w:t>
            </w:r>
            <w:r w:rsidRPr="00A07EB3">
              <w:rPr>
                <w:rFonts w:cstheme="minorHAnsi"/>
              </w:rPr>
              <w:t>week</w:t>
            </w:r>
            <w:proofErr w:type="spellEnd"/>
            <w:r w:rsidRPr="00A07EB3">
              <w:rPr>
                <w:rFonts w:ascii="Calibri" w:hAnsi="Calibri" w:cs="Calibri"/>
              </w:rPr>
              <w:t>−</w:t>
            </w:r>
            <w:r w:rsidRPr="00A07EB3">
              <w:rPr>
                <w:rFonts w:cstheme="minorHAnsi"/>
              </w:rPr>
              <w:t xml:space="preserve"> </w:t>
            </w:r>
            <w:proofErr w:type="gramStart"/>
            <w:r w:rsidRPr="00A07EB3">
              <w:rPr>
                <w:rFonts w:cstheme="minorHAnsi"/>
              </w:rPr>
              <w:t>1 )</w:t>
            </w:r>
            <w:proofErr w:type="gramEnd"/>
          </w:p>
        </w:tc>
        <w:tc>
          <w:tcPr>
            <w:tcW w:w="0" w:type="auto"/>
          </w:tcPr>
          <w:p w14:paraId="0EE8B78F" w14:textId="70A2D78A" w:rsidR="003C2899" w:rsidRDefault="00E91222" w:rsidP="003C2899">
            <w:pPr>
              <w:rPr>
                <w:rFonts w:cstheme="minorHAnsi"/>
              </w:rPr>
            </w:pPr>
            <w:r w:rsidRPr="00A07EB3">
              <w:rPr>
                <w:rFonts w:cstheme="minorHAnsi"/>
              </w:rPr>
              <w:t xml:space="preserve">44.2 ± 29.0 (n = 13) </w:t>
            </w:r>
          </w:p>
        </w:tc>
        <w:tc>
          <w:tcPr>
            <w:tcW w:w="0" w:type="auto"/>
          </w:tcPr>
          <w:p w14:paraId="10D69396" w14:textId="2FEE21A9" w:rsidR="003C2899" w:rsidRDefault="00E91222" w:rsidP="003C2899">
            <w:pPr>
              <w:rPr>
                <w:rFonts w:cstheme="minorHAnsi"/>
              </w:rPr>
            </w:pPr>
            <w:r w:rsidRPr="00A07EB3">
              <w:rPr>
                <w:rFonts w:cstheme="minorHAnsi"/>
              </w:rPr>
              <w:t>23.1 ± 19.7</w:t>
            </w:r>
            <w:proofErr w:type="gramStart"/>
            <w:r w:rsidRPr="00A07EB3">
              <w:rPr>
                <w:rFonts w:ascii="Cambria Math" w:hAnsi="Cambria Math" w:cs="Cambria Math"/>
              </w:rPr>
              <w:t>∗</w:t>
            </w:r>
            <w:r w:rsidRPr="00A07EB3">
              <w:rPr>
                <w:rFonts w:cstheme="minorHAnsi"/>
              </w:rPr>
              <w:t xml:space="preserve">  (</w:t>
            </w:r>
            <w:proofErr w:type="gramEnd"/>
            <w:r w:rsidRPr="00A07EB3">
              <w:rPr>
                <w:rFonts w:cstheme="minorHAnsi"/>
              </w:rPr>
              <w:t>n = 25)</w:t>
            </w:r>
          </w:p>
        </w:tc>
        <w:tc>
          <w:tcPr>
            <w:tcW w:w="0" w:type="auto"/>
          </w:tcPr>
          <w:p w14:paraId="5DFABE72" w14:textId="77777777" w:rsidR="00E91222" w:rsidRPr="00A07EB3" w:rsidRDefault="00E91222" w:rsidP="00E91222">
            <w:pPr>
              <w:rPr>
                <w:rFonts w:cstheme="minorHAnsi"/>
              </w:rPr>
            </w:pPr>
            <w:r w:rsidRPr="00A07EB3">
              <w:rPr>
                <w:rFonts w:cstheme="minorHAnsi"/>
              </w:rPr>
              <w:t xml:space="preserve">30.3 </w:t>
            </w:r>
            <w:r w:rsidRPr="00A07EB3">
              <w:rPr>
                <w:rFonts w:ascii="Calibri" w:hAnsi="Calibri" w:cs="Calibri"/>
              </w:rPr>
              <w:t>±</w:t>
            </w:r>
            <w:r w:rsidRPr="00A07EB3">
              <w:rPr>
                <w:rFonts w:cstheme="minorHAnsi"/>
              </w:rPr>
              <w:t xml:space="preserve"> 21.6 </w:t>
            </w:r>
          </w:p>
          <w:p w14:paraId="12E8A288" w14:textId="5D8E0A2A" w:rsidR="003C2899" w:rsidRDefault="00E91222" w:rsidP="00E91222">
            <w:pPr>
              <w:rPr>
                <w:rFonts w:cstheme="minorHAnsi"/>
              </w:rPr>
            </w:pPr>
            <w:r w:rsidRPr="00A07EB3">
              <w:rPr>
                <w:rFonts w:cstheme="minorHAnsi"/>
              </w:rPr>
              <w:t xml:space="preserve">(n = 14) </w:t>
            </w:r>
          </w:p>
        </w:tc>
        <w:tc>
          <w:tcPr>
            <w:tcW w:w="0" w:type="auto"/>
          </w:tcPr>
          <w:p w14:paraId="01B0085D" w14:textId="56D0D7FD" w:rsidR="003C2899" w:rsidRDefault="00E91222" w:rsidP="00E91222">
            <w:pPr>
              <w:rPr>
                <w:rFonts w:cstheme="minorHAnsi"/>
              </w:rPr>
            </w:pPr>
            <w:r w:rsidRPr="00A07EB3">
              <w:rPr>
                <w:rFonts w:cstheme="minorHAnsi"/>
              </w:rPr>
              <w:t>15.6 ± 17.9</w:t>
            </w:r>
            <w:proofErr w:type="gramStart"/>
            <w:r w:rsidRPr="00A07EB3">
              <w:rPr>
                <w:rFonts w:ascii="Cambria Math" w:hAnsi="Cambria Math" w:cs="Cambria Math"/>
              </w:rPr>
              <w:t>∗</w:t>
            </w:r>
            <w:r w:rsidRPr="00A07EB3">
              <w:rPr>
                <w:rFonts w:cstheme="minorHAnsi"/>
              </w:rPr>
              <w:t xml:space="preserve">  (</w:t>
            </w:r>
            <w:proofErr w:type="gramEnd"/>
            <w:r w:rsidRPr="00A07EB3">
              <w:rPr>
                <w:rFonts w:cstheme="minorHAnsi"/>
              </w:rPr>
              <w:t>n = 23)</w:t>
            </w:r>
          </w:p>
        </w:tc>
      </w:tr>
      <w:tr w:rsidR="003C2899" w14:paraId="0ECA7416" w14:textId="77777777" w:rsidTr="00AD52BB">
        <w:tc>
          <w:tcPr>
            <w:tcW w:w="0" w:type="auto"/>
          </w:tcPr>
          <w:p w14:paraId="26769926" w14:textId="1AE4D193" w:rsidR="003C2899" w:rsidRDefault="00A07EB3" w:rsidP="00E91222">
            <w:pPr>
              <w:rPr>
                <w:rFonts w:cstheme="minorHAnsi"/>
              </w:rPr>
            </w:pPr>
            <w:r w:rsidRPr="00A07EB3">
              <w:rPr>
                <w:rFonts w:cstheme="minorHAnsi"/>
              </w:rPr>
              <w:t>Average minutes/day of moderate physical activity (accelerometer)</w:t>
            </w:r>
            <w:r w:rsidR="00E91222">
              <w:rPr>
                <w:rFonts w:cstheme="minorHAnsi"/>
              </w:rPr>
              <w:t xml:space="preserve"> </w:t>
            </w:r>
          </w:p>
        </w:tc>
        <w:tc>
          <w:tcPr>
            <w:tcW w:w="0" w:type="auto"/>
          </w:tcPr>
          <w:p w14:paraId="2EDE11F6" w14:textId="274D14C5" w:rsidR="003C2899" w:rsidRDefault="00E91222" w:rsidP="003C2899">
            <w:pPr>
              <w:rPr>
                <w:rFonts w:cstheme="minorHAnsi"/>
              </w:rPr>
            </w:pPr>
            <w:r w:rsidRPr="00A07EB3">
              <w:rPr>
                <w:rFonts w:cstheme="minorHAnsi"/>
              </w:rPr>
              <w:t xml:space="preserve">47.7 ± 25.0 (n = 8)  </w:t>
            </w:r>
          </w:p>
        </w:tc>
        <w:tc>
          <w:tcPr>
            <w:tcW w:w="0" w:type="auto"/>
          </w:tcPr>
          <w:p w14:paraId="1863C4F7" w14:textId="6195AEB2" w:rsidR="003C2899" w:rsidRDefault="00E91222" w:rsidP="003C2899">
            <w:pPr>
              <w:rPr>
                <w:rFonts w:cstheme="minorHAnsi"/>
              </w:rPr>
            </w:pPr>
            <w:r w:rsidRPr="00A07EB3">
              <w:rPr>
                <w:rFonts w:cstheme="minorHAnsi"/>
              </w:rPr>
              <w:t>19.3 ± 19.2</w:t>
            </w:r>
            <w:proofErr w:type="gramStart"/>
            <w:r w:rsidRPr="00A07EB3">
              <w:rPr>
                <w:rFonts w:ascii="Cambria Math" w:hAnsi="Cambria Math" w:cs="Cambria Math"/>
              </w:rPr>
              <w:t>∗</w:t>
            </w:r>
            <w:r w:rsidRPr="00A07EB3">
              <w:rPr>
                <w:rFonts w:cstheme="minorHAnsi"/>
              </w:rPr>
              <w:t xml:space="preserve">  (</w:t>
            </w:r>
            <w:proofErr w:type="gramEnd"/>
            <w:r w:rsidRPr="00A07EB3">
              <w:rPr>
                <w:rFonts w:cstheme="minorHAnsi"/>
              </w:rPr>
              <w:t xml:space="preserve">n = 19)        </w:t>
            </w:r>
          </w:p>
        </w:tc>
        <w:tc>
          <w:tcPr>
            <w:tcW w:w="0" w:type="auto"/>
          </w:tcPr>
          <w:p w14:paraId="7AFB63BE" w14:textId="77777777" w:rsidR="00E91222" w:rsidRPr="00A07EB3" w:rsidRDefault="00E91222" w:rsidP="00E91222">
            <w:pPr>
              <w:rPr>
                <w:rFonts w:cstheme="minorHAnsi"/>
              </w:rPr>
            </w:pPr>
            <w:r w:rsidRPr="00A07EB3">
              <w:rPr>
                <w:rFonts w:cstheme="minorHAnsi"/>
              </w:rPr>
              <w:t xml:space="preserve">29.3 </w:t>
            </w:r>
            <w:r w:rsidRPr="00A07EB3">
              <w:rPr>
                <w:rFonts w:ascii="Calibri" w:hAnsi="Calibri" w:cs="Calibri"/>
              </w:rPr>
              <w:t>±</w:t>
            </w:r>
            <w:r w:rsidRPr="00A07EB3">
              <w:rPr>
                <w:rFonts w:cstheme="minorHAnsi"/>
              </w:rPr>
              <w:t xml:space="preserve"> </w:t>
            </w:r>
          </w:p>
          <w:p w14:paraId="4687ECDB" w14:textId="565EA137" w:rsidR="003C2899" w:rsidRDefault="00E91222" w:rsidP="00E91222">
            <w:pPr>
              <w:rPr>
                <w:rFonts w:cstheme="minorHAnsi"/>
              </w:rPr>
            </w:pPr>
            <w:r w:rsidRPr="00A07EB3">
              <w:rPr>
                <w:rFonts w:cstheme="minorHAnsi"/>
              </w:rPr>
              <w:t xml:space="preserve">14.1 (n = 8)   </w:t>
            </w:r>
          </w:p>
        </w:tc>
        <w:tc>
          <w:tcPr>
            <w:tcW w:w="0" w:type="auto"/>
          </w:tcPr>
          <w:p w14:paraId="67965F14" w14:textId="5F269020" w:rsidR="003C2899" w:rsidRDefault="00E91222" w:rsidP="00E91222">
            <w:pPr>
              <w:rPr>
                <w:rFonts w:cstheme="minorHAnsi"/>
              </w:rPr>
            </w:pPr>
            <w:r w:rsidRPr="00A07EB3">
              <w:rPr>
                <w:rFonts w:cstheme="minorHAnsi"/>
              </w:rPr>
              <w:t>16.4 ± 11.2</w:t>
            </w:r>
            <w:proofErr w:type="gramStart"/>
            <w:r w:rsidRPr="00A07EB3">
              <w:rPr>
                <w:rFonts w:ascii="Cambria Math" w:hAnsi="Cambria Math" w:cs="Cambria Math"/>
              </w:rPr>
              <w:t>∗</w:t>
            </w:r>
            <w:r w:rsidRPr="00A07EB3">
              <w:rPr>
                <w:rFonts w:cstheme="minorHAnsi"/>
              </w:rPr>
              <w:t xml:space="preserve">  (</w:t>
            </w:r>
            <w:proofErr w:type="gramEnd"/>
            <w:r w:rsidRPr="00A07EB3">
              <w:rPr>
                <w:rFonts w:cstheme="minorHAnsi"/>
              </w:rPr>
              <w:t>n = 11)</w:t>
            </w:r>
            <w:r>
              <w:rPr>
                <w:rFonts w:cstheme="minorHAnsi"/>
              </w:rPr>
              <w:t xml:space="preserve"> </w:t>
            </w:r>
          </w:p>
        </w:tc>
      </w:tr>
    </w:tbl>
    <w:p w14:paraId="59912E54" w14:textId="265322C0" w:rsidR="00AA3C86" w:rsidRPr="008C36A0" w:rsidRDefault="008C36A0" w:rsidP="008C36A0">
      <w:pPr>
        <w:pStyle w:val="NoSpacing"/>
      </w:pPr>
      <w:r w:rsidRPr="008C36A0">
        <w:t xml:space="preserve">*Indicates p &lt; 0.05. cm, centimeters; kg, kilograms; m, meter; Nm, Newton meters; s, seconds; MET, Metabolic equivalents; </w:t>
      </w:r>
      <w:proofErr w:type="spellStart"/>
      <w:r w:rsidRPr="008C36A0">
        <w:t>hr</w:t>
      </w:r>
      <w:proofErr w:type="spellEnd"/>
      <w:r w:rsidRPr="008C36A0">
        <w:t>, hour.</w:t>
      </w:r>
    </w:p>
    <w:p w14:paraId="021399D2" w14:textId="77777777" w:rsidR="00F0229F" w:rsidRDefault="00F0229F" w:rsidP="001A3157">
      <w:pPr>
        <w:rPr>
          <w:rStyle w:val="Heading4Char"/>
          <w:rFonts w:asciiTheme="minorHAnsi" w:hAnsiTheme="minorHAnsi" w:cstheme="minorHAnsi"/>
          <w:b/>
          <w:bCs/>
        </w:rPr>
      </w:pPr>
    </w:p>
    <w:p w14:paraId="7BC7D439" w14:textId="482D0487" w:rsidR="00AA3C86" w:rsidRPr="00721B96" w:rsidRDefault="00AA3C86" w:rsidP="001A3157">
      <w:pPr>
        <w:rPr>
          <w:rFonts w:cstheme="minorHAnsi"/>
        </w:rPr>
      </w:pPr>
      <w:r w:rsidRPr="00721B96">
        <w:rPr>
          <w:rStyle w:val="Heading4Char"/>
          <w:rFonts w:asciiTheme="minorHAnsi" w:hAnsiTheme="minorHAnsi" w:cstheme="minorHAnsi"/>
          <w:b/>
          <w:bCs/>
        </w:rPr>
        <w:t>Table 2:</w:t>
      </w:r>
      <w:r w:rsidRPr="00721B96">
        <w:rPr>
          <w:rFonts w:cstheme="minorHAnsi"/>
        </w:rPr>
        <w:t xml:space="preserve"> Experimental </w:t>
      </w:r>
      <w:r w:rsidR="0076701B" w:rsidRPr="00721B96">
        <w:rPr>
          <w:rFonts w:cstheme="minorHAnsi"/>
        </w:rPr>
        <w:t>pain perception.</w:t>
      </w:r>
    </w:p>
    <w:p w14:paraId="5D99796C" w14:textId="21F3C011" w:rsidR="00F14AFE" w:rsidRPr="00721B96" w:rsidRDefault="00AA3C86" w:rsidP="001A3157">
      <w:pPr>
        <w:rPr>
          <w:rFonts w:cstheme="minorHAnsi"/>
        </w:rPr>
      </w:pPr>
      <w:r w:rsidRPr="00721B96">
        <w:rPr>
          <w:rFonts w:cstheme="minorHAnsi"/>
          <w:noProof/>
        </w:rPr>
        <w:drawing>
          <wp:inline distT="0" distB="0" distL="0" distR="0" wp14:anchorId="2F35DE04" wp14:editId="29FB622C">
            <wp:extent cx="6400800" cy="2900680"/>
            <wp:effectExtent l="0" t="0" r="0" b="0"/>
            <wp:docPr id="2" name="Picture 2" descr="Table 2: Experimental pain perce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00800" cy="2900680"/>
                    </a:xfrm>
                    <a:prstGeom prst="rect">
                      <a:avLst/>
                    </a:prstGeom>
                    <a:noFill/>
                    <a:ln>
                      <a:noFill/>
                    </a:ln>
                  </pic:spPr>
                </pic:pic>
              </a:graphicData>
            </a:graphic>
          </wp:inline>
        </w:drawing>
      </w:r>
    </w:p>
    <w:p w14:paraId="1F1C1515" w14:textId="0109A526" w:rsidR="0076701B" w:rsidRDefault="0023490A" w:rsidP="001A3157">
      <w:pPr>
        <w:rPr>
          <w:rFonts w:cstheme="minorHAnsi"/>
        </w:rPr>
      </w:pPr>
      <w:r w:rsidRPr="00721B96">
        <w:rPr>
          <w:rStyle w:val="Heading4Char"/>
          <w:rFonts w:asciiTheme="minorHAnsi" w:hAnsiTheme="minorHAnsi" w:cstheme="minorHAnsi"/>
          <w:b/>
          <w:bCs/>
        </w:rPr>
        <w:t>Table 2:</w:t>
      </w:r>
      <w:r w:rsidRPr="00721B96">
        <w:rPr>
          <w:rFonts w:cstheme="minorHAnsi"/>
        </w:rPr>
        <w:t xml:space="preserve"> Experimental pain perception</w:t>
      </w:r>
    </w:p>
    <w:tbl>
      <w:tblPr>
        <w:tblStyle w:val="TableGrid"/>
        <w:tblW w:w="0" w:type="auto"/>
        <w:tblLook w:val="04A0" w:firstRow="1" w:lastRow="0" w:firstColumn="1" w:lastColumn="0" w:noHBand="0" w:noVBand="1"/>
      </w:tblPr>
      <w:tblGrid>
        <w:gridCol w:w="1939"/>
        <w:gridCol w:w="1296"/>
        <w:gridCol w:w="1350"/>
        <w:gridCol w:w="1350"/>
        <w:gridCol w:w="1440"/>
        <w:gridCol w:w="1350"/>
        <w:gridCol w:w="1345"/>
      </w:tblGrid>
      <w:tr w:rsidR="0023490A" w:rsidRPr="00E05F2D" w14:paraId="311193D7" w14:textId="77777777" w:rsidTr="00E05F2D">
        <w:tc>
          <w:tcPr>
            <w:tcW w:w="0" w:type="auto"/>
          </w:tcPr>
          <w:p w14:paraId="2A132D04" w14:textId="77777777" w:rsidR="0023490A" w:rsidRPr="00E05F2D" w:rsidRDefault="0023490A" w:rsidP="00B41273">
            <w:pPr>
              <w:pStyle w:val="NoSpacing"/>
              <w:rPr>
                <w:rFonts w:cstheme="minorHAnsi"/>
                <w:sz w:val="20"/>
                <w:szCs w:val="20"/>
              </w:rPr>
            </w:pPr>
          </w:p>
        </w:tc>
        <w:tc>
          <w:tcPr>
            <w:tcW w:w="1296" w:type="dxa"/>
          </w:tcPr>
          <w:p w14:paraId="3CB2B152" w14:textId="6C564456" w:rsidR="0023490A" w:rsidRPr="00E05F2D" w:rsidRDefault="003268B0" w:rsidP="00B41273">
            <w:pPr>
              <w:pStyle w:val="NoSpacing"/>
              <w:rPr>
                <w:rFonts w:cstheme="minorHAnsi"/>
                <w:sz w:val="20"/>
                <w:szCs w:val="20"/>
              </w:rPr>
            </w:pPr>
            <w:r w:rsidRPr="00E05F2D">
              <w:rPr>
                <w:rFonts w:cstheme="minorHAnsi"/>
                <w:sz w:val="20"/>
                <w:szCs w:val="20"/>
              </w:rPr>
              <w:t>Initial (8–10 weeks postpartum</w:t>
            </w:r>
          </w:p>
        </w:tc>
        <w:tc>
          <w:tcPr>
            <w:tcW w:w="1350" w:type="dxa"/>
          </w:tcPr>
          <w:p w14:paraId="2E49597A" w14:textId="77777777" w:rsidR="0023490A" w:rsidRPr="00E05F2D" w:rsidRDefault="0023490A" w:rsidP="00B41273">
            <w:pPr>
              <w:pStyle w:val="NoSpacing"/>
              <w:rPr>
                <w:rFonts w:cstheme="minorHAnsi"/>
                <w:sz w:val="20"/>
                <w:szCs w:val="20"/>
              </w:rPr>
            </w:pPr>
          </w:p>
        </w:tc>
        <w:tc>
          <w:tcPr>
            <w:tcW w:w="1350" w:type="dxa"/>
          </w:tcPr>
          <w:p w14:paraId="4EFA6A1F" w14:textId="1F0E0B3C" w:rsidR="0023490A" w:rsidRPr="00E05F2D" w:rsidRDefault="008F63EC" w:rsidP="00B41273">
            <w:pPr>
              <w:pStyle w:val="NoSpacing"/>
              <w:rPr>
                <w:rFonts w:cstheme="minorHAnsi"/>
                <w:sz w:val="20"/>
                <w:szCs w:val="20"/>
              </w:rPr>
            </w:pPr>
            <w:r w:rsidRPr="00E05F2D">
              <w:rPr>
                <w:rFonts w:cstheme="minorHAnsi"/>
                <w:sz w:val="20"/>
                <w:szCs w:val="20"/>
              </w:rPr>
              <w:t>Follow up (24–26 weeks postpartum)</w:t>
            </w:r>
          </w:p>
        </w:tc>
        <w:tc>
          <w:tcPr>
            <w:tcW w:w="1440" w:type="dxa"/>
          </w:tcPr>
          <w:p w14:paraId="77C60811" w14:textId="77777777" w:rsidR="0023490A" w:rsidRPr="00E05F2D" w:rsidRDefault="0023490A" w:rsidP="00B41273">
            <w:pPr>
              <w:pStyle w:val="NoSpacing"/>
              <w:rPr>
                <w:rFonts w:cstheme="minorHAnsi"/>
                <w:sz w:val="20"/>
                <w:szCs w:val="20"/>
              </w:rPr>
            </w:pPr>
          </w:p>
        </w:tc>
        <w:tc>
          <w:tcPr>
            <w:tcW w:w="1350" w:type="dxa"/>
          </w:tcPr>
          <w:p w14:paraId="03306818" w14:textId="4FBBC8BC" w:rsidR="0023490A" w:rsidRPr="00E05F2D" w:rsidRDefault="008F63EC" w:rsidP="00B41273">
            <w:pPr>
              <w:pStyle w:val="NoSpacing"/>
              <w:rPr>
                <w:rFonts w:cstheme="minorHAnsi"/>
                <w:sz w:val="20"/>
                <w:szCs w:val="20"/>
              </w:rPr>
            </w:pPr>
            <w:r w:rsidRPr="00E05F2D">
              <w:rPr>
                <w:rFonts w:cstheme="minorHAnsi"/>
                <w:sz w:val="20"/>
                <w:szCs w:val="20"/>
              </w:rPr>
              <w:t>Protocol 2 (sex differences</w:t>
            </w:r>
          </w:p>
        </w:tc>
        <w:tc>
          <w:tcPr>
            <w:tcW w:w="1345" w:type="dxa"/>
          </w:tcPr>
          <w:p w14:paraId="73161431" w14:textId="77777777" w:rsidR="0023490A" w:rsidRPr="00E05F2D" w:rsidRDefault="0023490A" w:rsidP="00B41273">
            <w:pPr>
              <w:pStyle w:val="NoSpacing"/>
              <w:rPr>
                <w:rFonts w:cstheme="minorHAnsi"/>
                <w:sz w:val="20"/>
                <w:szCs w:val="20"/>
              </w:rPr>
            </w:pPr>
          </w:p>
        </w:tc>
      </w:tr>
      <w:tr w:rsidR="0023490A" w:rsidRPr="00E05F2D" w14:paraId="76FE8DCF" w14:textId="77777777" w:rsidTr="00E05F2D">
        <w:tc>
          <w:tcPr>
            <w:tcW w:w="0" w:type="auto"/>
          </w:tcPr>
          <w:p w14:paraId="0A616937" w14:textId="77777777" w:rsidR="0023490A" w:rsidRPr="00E05F2D" w:rsidRDefault="0023490A" w:rsidP="00B41273">
            <w:pPr>
              <w:pStyle w:val="NoSpacing"/>
              <w:rPr>
                <w:rFonts w:cstheme="minorHAnsi"/>
                <w:sz w:val="20"/>
                <w:szCs w:val="20"/>
              </w:rPr>
            </w:pPr>
          </w:p>
        </w:tc>
        <w:tc>
          <w:tcPr>
            <w:tcW w:w="1296" w:type="dxa"/>
          </w:tcPr>
          <w:p w14:paraId="560E08BE" w14:textId="39B08282" w:rsidR="0023490A" w:rsidRPr="00E05F2D" w:rsidRDefault="008F63EC" w:rsidP="00B41273">
            <w:pPr>
              <w:pStyle w:val="NoSpacing"/>
              <w:rPr>
                <w:rFonts w:cstheme="minorHAnsi"/>
                <w:sz w:val="20"/>
                <w:szCs w:val="20"/>
              </w:rPr>
            </w:pPr>
            <w:r w:rsidRPr="00E05F2D">
              <w:rPr>
                <w:rFonts w:cstheme="minorHAnsi"/>
                <w:sz w:val="20"/>
                <w:szCs w:val="20"/>
              </w:rPr>
              <w:t>Nulligravid (n = 14)</w:t>
            </w:r>
          </w:p>
        </w:tc>
        <w:tc>
          <w:tcPr>
            <w:tcW w:w="1350" w:type="dxa"/>
          </w:tcPr>
          <w:p w14:paraId="73724FD7" w14:textId="08D35B09" w:rsidR="0023490A" w:rsidRPr="00E05F2D" w:rsidRDefault="008F63EC" w:rsidP="00B41273">
            <w:pPr>
              <w:pStyle w:val="NoSpacing"/>
              <w:rPr>
                <w:rFonts w:cstheme="minorHAnsi"/>
                <w:sz w:val="20"/>
                <w:szCs w:val="20"/>
              </w:rPr>
            </w:pPr>
            <w:r w:rsidRPr="00E05F2D">
              <w:rPr>
                <w:rFonts w:cstheme="minorHAnsi"/>
                <w:sz w:val="20"/>
                <w:szCs w:val="20"/>
              </w:rPr>
              <w:t>Postpartum (n = 27)</w:t>
            </w:r>
          </w:p>
        </w:tc>
        <w:tc>
          <w:tcPr>
            <w:tcW w:w="1350" w:type="dxa"/>
          </w:tcPr>
          <w:p w14:paraId="036DDDC0" w14:textId="161359B8" w:rsidR="0023490A" w:rsidRPr="00E05F2D" w:rsidRDefault="008F63EC" w:rsidP="00B41273">
            <w:pPr>
              <w:pStyle w:val="NoSpacing"/>
              <w:rPr>
                <w:rFonts w:cstheme="minorHAnsi"/>
                <w:sz w:val="20"/>
                <w:szCs w:val="20"/>
              </w:rPr>
            </w:pPr>
            <w:r w:rsidRPr="00E05F2D">
              <w:rPr>
                <w:rFonts w:cstheme="minorHAnsi"/>
                <w:sz w:val="20"/>
                <w:szCs w:val="20"/>
              </w:rPr>
              <w:t>Nulligravid (n = 14)</w:t>
            </w:r>
          </w:p>
        </w:tc>
        <w:tc>
          <w:tcPr>
            <w:tcW w:w="1440" w:type="dxa"/>
          </w:tcPr>
          <w:p w14:paraId="28E0BEEE" w14:textId="3E4A8A6A" w:rsidR="0023490A" w:rsidRPr="00E05F2D" w:rsidRDefault="003B72F4" w:rsidP="00B41273">
            <w:pPr>
              <w:pStyle w:val="NoSpacing"/>
              <w:rPr>
                <w:rFonts w:cstheme="minorHAnsi"/>
                <w:sz w:val="20"/>
                <w:szCs w:val="20"/>
              </w:rPr>
            </w:pPr>
            <w:r w:rsidRPr="00E05F2D">
              <w:rPr>
                <w:rFonts w:cstheme="minorHAnsi"/>
                <w:sz w:val="20"/>
                <w:szCs w:val="20"/>
              </w:rPr>
              <w:t>Postpartum (n = 26)</w:t>
            </w:r>
          </w:p>
        </w:tc>
        <w:tc>
          <w:tcPr>
            <w:tcW w:w="1350" w:type="dxa"/>
          </w:tcPr>
          <w:p w14:paraId="5109826F" w14:textId="5104C97E" w:rsidR="0023490A" w:rsidRPr="00E05F2D" w:rsidRDefault="003B72F4" w:rsidP="00B41273">
            <w:pPr>
              <w:pStyle w:val="NoSpacing"/>
              <w:rPr>
                <w:rFonts w:cstheme="minorHAnsi"/>
                <w:sz w:val="20"/>
                <w:szCs w:val="20"/>
              </w:rPr>
            </w:pPr>
            <w:r w:rsidRPr="00E05F2D">
              <w:rPr>
                <w:rFonts w:cstheme="minorHAnsi"/>
                <w:sz w:val="20"/>
                <w:szCs w:val="20"/>
              </w:rPr>
              <w:t>Men (n = 16)</w:t>
            </w:r>
          </w:p>
        </w:tc>
        <w:tc>
          <w:tcPr>
            <w:tcW w:w="1345" w:type="dxa"/>
          </w:tcPr>
          <w:p w14:paraId="74DDAB39" w14:textId="0FC1C298" w:rsidR="0023490A" w:rsidRPr="00E05F2D" w:rsidRDefault="003B72F4" w:rsidP="00B41273">
            <w:pPr>
              <w:pStyle w:val="NoSpacing"/>
              <w:rPr>
                <w:rFonts w:cstheme="minorHAnsi"/>
                <w:sz w:val="20"/>
                <w:szCs w:val="20"/>
              </w:rPr>
            </w:pPr>
            <w:r w:rsidRPr="00E05F2D">
              <w:rPr>
                <w:rFonts w:cstheme="minorHAnsi"/>
                <w:sz w:val="20"/>
                <w:szCs w:val="20"/>
              </w:rPr>
              <w:t>Women (n = 19)</w:t>
            </w:r>
          </w:p>
        </w:tc>
      </w:tr>
      <w:tr w:rsidR="0023490A" w:rsidRPr="00E05F2D" w14:paraId="379159EE" w14:textId="77777777" w:rsidTr="00E05F2D">
        <w:tc>
          <w:tcPr>
            <w:tcW w:w="0" w:type="auto"/>
          </w:tcPr>
          <w:p w14:paraId="4537F198" w14:textId="13007BD5" w:rsidR="00BB4C90" w:rsidRPr="00E05F2D" w:rsidRDefault="00BB4C90" w:rsidP="00B41273">
            <w:pPr>
              <w:pStyle w:val="NoSpacing"/>
              <w:rPr>
                <w:rFonts w:cstheme="minorHAnsi"/>
                <w:sz w:val="20"/>
                <w:szCs w:val="20"/>
              </w:rPr>
            </w:pPr>
            <w:r w:rsidRPr="00E05F2D">
              <w:rPr>
                <w:rFonts w:cstheme="minorHAnsi"/>
                <w:sz w:val="20"/>
                <w:szCs w:val="20"/>
              </w:rPr>
              <w:t>Pfannenstiel site PPT</w:t>
            </w:r>
            <w:r w:rsidR="00B41273" w:rsidRPr="00E05F2D">
              <w:rPr>
                <w:rFonts w:cstheme="minorHAnsi"/>
                <w:sz w:val="20"/>
                <w:szCs w:val="20"/>
              </w:rPr>
              <w:t xml:space="preserve"> </w:t>
            </w:r>
          </w:p>
          <w:p w14:paraId="1E9331D1" w14:textId="4A063F71" w:rsidR="0023490A" w:rsidRPr="00E05F2D" w:rsidRDefault="00BB4C90" w:rsidP="00C32F15">
            <w:pPr>
              <w:pStyle w:val="NoSpacing"/>
              <w:rPr>
                <w:rFonts w:cstheme="minorHAnsi"/>
                <w:sz w:val="20"/>
                <w:szCs w:val="20"/>
              </w:rPr>
            </w:pPr>
            <w:r w:rsidRPr="00E05F2D">
              <w:rPr>
                <w:rFonts w:cstheme="minorHAnsi"/>
                <w:sz w:val="20"/>
                <w:szCs w:val="20"/>
              </w:rPr>
              <w:t>(kPa)</w:t>
            </w:r>
          </w:p>
        </w:tc>
        <w:tc>
          <w:tcPr>
            <w:tcW w:w="1296" w:type="dxa"/>
          </w:tcPr>
          <w:p w14:paraId="0FEADCE5" w14:textId="50042257" w:rsidR="0023490A" w:rsidRPr="00E05F2D" w:rsidRDefault="00C32F15" w:rsidP="00B41273">
            <w:pPr>
              <w:pStyle w:val="NoSpacing"/>
              <w:rPr>
                <w:rFonts w:cstheme="minorHAnsi"/>
                <w:sz w:val="20"/>
                <w:szCs w:val="20"/>
              </w:rPr>
            </w:pPr>
            <w:r w:rsidRPr="00E05F2D">
              <w:rPr>
                <w:rFonts w:cstheme="minorHAnsi"/>
                <w:sz w:val="20"/>
                <w:szCs w:val="20"/>
              </w:rPr>
              <w:t>191.5 ± 43.8</w:t>
            </w:r>
          </w:p>
        </w:tc>
        <w:tc>
          <w:tcPr>
            <w:tcW w:w="1350" w:type="dxa"/>
          </w:tcPr>
          <w:p w14:paraId="4028F8FC" w14:textId="6E163E2F" w:rsidR="0023490A" w:rsidRPr="00E05F2D" w:rsidRDefault="00C32F15" w:rsidP="00B41273">
            <w:pPr>
              <w:pStyle w:val="NoSpacing"/>
              <w:rPr>
                <w:rFonts w:cstheme="minorHAnsi"/>
                <w:sz w:val="20"/>
                <w:szCs w:val="20"/>
              </w:rPr>
            </w:pPr>
            <w:r w:rsidRPr="00E05F2D">
              <w:rPr>
                <w:rFonts w:cstheme="minorHAnsi"/>
                <w:sz w:val="20"/>
                <w:szCs w:val="20"/>
              </w:rPr>
              <w:t>118.7 ± 50.7</w:t>
            </w:r>
            <w:r w:rsidRPr="00E05F2D">
              <w:rPr>
                <w:rFonts w:ascii="Cambria Math" w:hAnsi="Cambria Math" w:cs="Cambria Math"/>
                <w:sz w:val="20"/>
                <w:szCs w:val="20"/>
              </w:rPr>
              <w:t>∗</w:t>
            </w:r>
          </w:p>
        </w:tc>
        <w:tc>
          <w:tcPr>
            <w:tcW w:w="1350" w:type="dxa"/>
          </w:tcPr>
          <w:p w14:paraId="7EE4B36F" w14:textId="1DD8373F" w:rsidR="0023490A" w:rsidRPr="00E05F2D" w:rsidRDefault="00C32F15" w:rsidP="00C32F15">
            <w:pPr>
              <w:pStyle w:val="NoSpacing"/>
              <w:rPr>
                <w:rFonts w:cstheme="minorHAnsi"/>
                <w:sz w:val="20"/>
                <w:szCs w:val="20"/>
              </w:rPr>
            </w:pPr>
            <w:r w:rsidRPr="00E05F2D">
              <w:rPr>
                <w:rFonts w:cstheme="minorHAnsi"/>
                <w:sz w:val="20"/>
                <w:szCs w:val="20"/>
              </w:rPr>
              <w:t>178.2 ± 51.5</w:t>
            </w:r>
          </w:p>
        </w:tc>
        <w:tc>
          <w:tcPr>
            <w:tcW w:w="1440" w:type="dxa"/>
          </w:tcPr>
          <w:p w14:paraId="26C4AC00" w14:textId="63AEA95A" w:rsidR="0023490A" w:rsidRPr="00E05F2D" w:rsidRDefault="00C32F15" w:rsidP="00B41273">
            <w:pPr>
              <w:pStyle w:val="NoSpacing"/>
              <w:rPr>
                <w:rFonts w:cstheme="minorHAnsi"/>
                <w:sz w:val="20"/>
                <w:szCs w:val="20"/>
              </w:rPr>
            </w:pPr>
            <w:r w:rsidRPr="00E05F2D">
              <w:rPr>
                <w:rFonts w:cstheme="minorHAnsi"/>
                <w:sz w:val="20"/>
                <w:szCs w:val="20"/>
              </w:rPr>
              <w:t>111.5 ± 49.2</w:t>
            </w:r>
            <w:r w:rsidRPr="00E05F2D">
              <w:rPr>
                <w:rFonts w:ascii="Cambria Math" w:hAnsi="Cambria Math" w:cs="Cambria Math"/>
                <w:sz w:val="20"/>
                <w:szCs w:val="20"/>
              </w:rPr>
              <w:t>∗</w:t>
            </w:r>
          </w:p>
        </w:tc>
        <w:tc>
          <w:tcPr>
            <w:tcW w:w="1350" w:type="dxa"/>
          </w:tcPr>
          <w:p w14:paraId="62074D72" w14:textId="4C846FA7" w:rsidR="0023490A" w:rsidRPr="00E05F2D" w:rsidRDefault="00C32F15" w:rsidP="00B41273">
            <w:pPr>
              <w:pStyle w:val="NoSpacing"/>
              <w:rPr>
                <w:rFonts w:cstheme="minorHAnsi"/>
                <w:sz w:val="20"/>
                <w:szCs w:val="20"/>
              </w:rPr>
            </w:pPr>
            <w:r w:rsidRPr="00E05F2D">
              <w:rPr>
                <w:rFonts w:cstheme="minorHAnsi"/>
                <w:sz w:val="20"/>
                <w:szCs w:val="20"/>
              </w:rPr>
              <w:t>N/A</w:t>
            </w:r>
          </w:p>
        </w:tc>
        <w:tc>
          <w:tcPr>
            <w:tcW w:w="1345" w:type="dxa"/>
          </w:tcPr>
          <w:p w14:paraId="4D32F943" w14:textId="381E3DC2" w:rsidR="0023490A" w:rsidRPr="00E05F2D" w:rsidRDefault="00C32F15" w:rsidP="00C32F15">
            <w:pPr>
              <w:pStyle w:val="NoSpacing"/>
              <w:rPr>
                <w:rFonts w:cstheme="minorHAnsi"/>
                <w:sz w:val="20"/>
                <w:szCs w:val="20"/>
              </w:rPr>
            </w:pPr>
            <w:r w:rsidRPr="00E05F2D">
              <w:rPr>
                <w:rFonts w:cstheme="minorHAnsi"/>
                <w:sz w:val="20"/>
                <w:szCs w:val="20"/>
              </w:rPr>
              <w:t>N/A</w:t>
            </w:r>
          </w:p>
        </w:tc>
      </w:tr>
      <w:tr w:rsidR="0023490A" w:rsidRPr="00E05F2D" w14:paraId="0A51A47C" w14:textId="77777777" w:rsidTr="00E05F2D">
        <w:tc>
          <w:tcPr>
            <w:tcW w:w="0" w:type="auto"/>
          </w:tcPr>
          <w:p w14:paraId="5E33CA17" w14:textId="0A6F637F" w:rsidR="0023490A" w:rsidRPr="00E05F2D" w:rsidRDefault="00BB4C90" w:rsidP="0098514B">
            <w:pPr>
              <w:pStyle w:val="NoSpacing"/>
              <w:rPr>
                <w:rFonts w:cstheme="minorHAnsi"/>
                <w:sz w:val="20"/>
                <w:szCs w:val="20"/>
              </w:rPr>
            </w:pPr>
            <w:r w:rsidRPr="00E05F2D">
              <w:rPr>
                <w:rFonts w:cstheme="minorHAnsi"/>
                <w:sz w:val="20"/>
                <w:szCs w:val="20"/>
              </w:rPr>
              <w:t>Baseline nailbed PPT</w:t>
            </w:r>
            <w:r w:rsidR="00D54112" w:rsidRPr="00E05F2D">
              <w:rPr>
                <w:rFonts w:cstheme="minorHAnsi"/>
                <w:sz w:val="20"/>
                <w:szCs w:val="20"/>
              </w:rPr>
              <w:t xml:space="preserve"> </w:t>
            </w:r>
            <w:r w:rsidRPr="00E05F2D">
              <w:rPr>
                <w:rFonts w:cstheme="minorHAnsi"/>
                <w:sz w:val="20"/>
                <w:szCs w:val="20"/>
              </w:rPr>
              <w:t>(kPa)</w:t>
            </w:r>
          </w:p>
        </w:tc>
        <w:tc>
          <w:tcPr>
            <w:tcW w:w="1296" w:type="dxa"/>
          </w:tcPr>
          <w:p w14:paraId="03DCAAE7" w14:textId="7FDE148A" w:rsidR="0023490A" w:rsidRPr="00E05F2D" w:rsidRDefault="0098514B" w:rsidP="00B41273">
            <w:pPr>
              <w:pStyle w:val="NoSpacing"/>
              <w:rPr>
                <w:rFonts w:cstheme="minorHAnsi"/>
                <w:sz w:val="20"/>
                <w:szCs w:val="20"/>
              </w:rPr>
            </w:pPr>
            <w:r w:rsidRPr="00E05F2D">
              <w:rPr>
                <w:rFonts w:cstheme="minorHAnsi"/>
                <w:sz w:val="20"/>
                <w:szCs w:val="20"/>
              </w:rPr>
              <w:t>260.7 ± 69.6</w:t>
            </w:r>
          </w:p>
        </w:tc>
        <w:tc>
          <w:tcPr>
            <w:tcW w:w="1350" w:type="dxa"/>
          </w:tcPr>
          <w:p w14:paraId="43950B87" w14:textId="34AE0DAF" w:rsidR="0023490A" w:rsidRPr="00E05F2D" w:rsidRDefault="0098514B" w:rsidP="00B41273">
            <w:pPr>
              <w:pStyle w:val="NoSpacing"/>
              <w:rPr>
                <w:rFonts w:cstheme="minorHAnsi"/>
                <w:sz w:val="20"/>
                <w:szCs w:val="20"/>
              </w:rPr>
            </w:pPr>
            <w:r w:rsidRPr="00E05F2D">
              <w:rPr>
                <w:rFonts w:cstheme="minorHAnsi"/>
                <w:sz w:val="20"/>
                <w:szCs w:val="20"/>
              </w:rPr>
              <w:t>188.4 ± 105.6</w:t>
            </w:r>
            <w:r w:rsidRPr="00E05F2D">
              <w:rPr>
                <w:rFonts w:ascii="Cambria Math" w:hAnsi="Cambria Math" w:cs="Cambria Math"/>
                <w:sz w:val="20"/>
                <w:szCs w:val="20"/>
              </w:rPr>
              <w:t>∗</w:t>
            </w:r>
          </w:p>
        </w:tc>
        <w:tc>
          <w:tcPr>
            <w:tcW w:w="1350" w:type="dxa"/>
          </w:tcPr>
          <w:p w14:paraId="47E808F1" w14:textId="22213038" w:rsidR="0023490A" w:rsidRPr="00E05F2D" w:rsidRDefault="0098514B" w:rsidP="00B41273">
            <w:pPr>
              <w:pStyle w:val="NoSpacing"/>
              <w:rPr>
                <w:rFonts w:cstheme="minorHAnsi"/>
                <w:sz w:val="20"/>
                <w:szCs w:val="20"/>
              </w:rPr>
            </w:pPr>
            <w:r w:rsidRPr="00E05F2D">
              <w:rPr>
                <w:rFonts w:cstheme="minorHAnsi"/>
                <w:sz w:val="20"/>
                <w:szCs w:val="20"/>
              </w:rPr>
              <w:t>226.1 ± 107.6</w:t>
            </w:r>
          </w:p>
        </w:tc>
        <w:tc>
          <w:tcPr>
            <w:tcW w:w="1440" w:type="dxa"/>
          </w:tcPr>
          <w:p w14:paraId="7329310A" w14:textId="77777777" w:rsidR="0098514B" w:rsidRPr="00E05F2D" w:rsidRDefault="0098514B" w:rsidP="0098514B">
            <w:pPr>
              <w:pStyle w:val="NoSpacing"/>
              <w:rPr>
                <w:rFonts w:cstheme="minorHAnsi"/>
                <w:sz w:val="20"/>
                <w:szCs w:val="20"/>
              </w:rPr>
            </w:pPr>
            <w:r w:rsidRPr="00E05F2D">
              <w:rPr>
                <w:rFonts w:cstheme="minorHAnsi"/>
                <w:sz w:val="20"/>
                <w:szCs w:val="20"/>
              </w:rPr>
              <w:t xml:space="preserve">190.9 </w:t>
            </w:r>
          </w:p>
          <w:p w14:paraId="2BABE9A8" w14:textId="0318524D" w:rsidR="0023490A" w:rsidRPr="00E05F2D" w:rsidRDefault="0098514B" w:rsidP="0098514B">
            <w:pPr>
              <w:pStyle w:val="NoSpacing"/>
              <w:rPr>
                <w:rFonts w:cstheme="minorHAnsi"/>
                <w:sz w:val="20"/>
                <w:szCs w:val="20"/>
              </w:rPr>
            </w:pPr>
            <w:r w:rsidRPr="00E05F2D">
              <w:rPr>
                <w:rFonts w:cstheme="minorHAnsi"/>
                <w:sz w:val="20"/>
                <w:szCs w:val="20"/>
              </w:rPr>
              <w:t>± 106.3</w:t>
            </w:r>
          </w:p>
        </w:tc>
        <w:tc>
          <w:tcPr>
            <w:tcW w:w="1350" w:type="dxa"/>
          </w:tcPr>
          <w:p w14:paraId="7D2F9F47" w14:textId="6EC2E437" w:rsidR="0023490A" w:rsidRPr="00E05F2D" w:rsidRDefault="0098514B" w:rsidP="00B41273">
            <w:pPr>
              <w:pStyle w:val="NoSpacing"/>
              <w:rPr>
                <w:rFonts w:cstheme="minorHAnsi"/>
                <w:sz w:val="20"/>
                <w:szCs w:val="20"/>
              </w:rPr>
            </w:pPr>
            <w:r w:rsidRPr="00E05F2D">
              <w:rPr>
                <w:rFonts w:cstheme="minorHAnsi"/>
                <w:sz w:val="20"/>
                <w:szCs w:val="20"/>
              </w:rPr>
              <w:t>317.8 ± 162.2</w:t>
            </w:r>
          </w:p>
        </w:tc>
        <w:tc>
          <w:tcPr>
            <w:tcW w:w="1345" w:type="dxa"/>
          </w:tcPr>
          <w:p w14:paraId="26FE716A" w14:textId="45DB1E9A" w:rsidR="0023490A" w:rsidRPr="00E05F2D" w:rsidRDefault="0098514B" w:rsidP="0098514B">
            <w:pPr>
              <w:pStyle w:val="NoSpacing"/>
              <w:rPr>
                <w:rFonts w:cstheme="minorHAnsi"/>
                <w:sz w:val="20"/>
                <w:szCs w:val="20"/>
              </w:rPr>
            </w:pPr>
            <w:r w:rsidRPr="00E05F2D">
              <w:rPr>
                <w:rFonts w:cstheme="minorHAnsi"/>
                <w:sz w:val="20"/>
                <w:szCs w:val="20"/>
              </w:rPr>
              <w:t>228.2 ± 90.1</w:t>
            </w:r>
            <w:r w:rsidRPr="00E05F2D">
              <w:rPr>
                <w:rFonts w:ascii="Cambria Math" w:hAnsi="Cambria Math" w:cs="Cambria Math"/>
                <w:sz w:val="20"/>
                <w:szCs w:val="20"/>
              </w:rPr>
              <w:t>∗</w:t>
            </w:r>
          </w:p>
        </w:tc>
      </w:tr>
      <w:tr w:rsidR="0023490A" w:rsidRPr="00E05F2D" w14:paraId="2A2B1BC6" w14:textId="77777777" w:rsidTr="00E05F2D">
        <w:tc>
          <w:tcPr>
            <w:tcW w:w="0" w:type="auto"/>
          </w:tcPr>
          <w:p w14:paraId="791FECA1" w14:textId="0B580EE0" w:rsidR="0023490A" w:rsidRPr="00E05F2D" w:rsidRDefault="00BB4C90" w:rsidP="00CA2ABF">
            <w:pPr>
              <w:pStyle w:val="NoSpacing"/>
              <w:rPr>
                <w:rFonts w:cstheme="minorHAnsi"/>
                <w:sz w:val="20"/>
                <w:szCs w:val="20"/>
              </w:rPr>
            </w:pPr>
            <w:r w:rsidRPr="00E05F2D">
              <w:rPr>
                <w:rFonts w:cstheme="minorHAnsi"/>
                <w:sz w:val="20"/>
                <w:szCs w:val="20"/>
              </w:rPr>
              <w:t>Baseline superior</w:t>
            </w:r>
            <w:r w:rsidR="0098514B" w:rsidRPr="00E05F2D">
              <w:rPr>
                <w:rFonts w:cstheme="minorHAnsi"/>
                <w:sz w:val="20"/>
                <w:szCs w:val="20"/>
              </w:rPr>
              <w:t xml:space="preserve"> </w:t>
            </w:r>
            <w:r w:rsidRPr="00E05F2D">
              <w:rPr>
                <w:rFonts w:cstheme="minorHAnsi"/>
                <w:sz w:val="20"/>
                <w:szCs w:val="20"/>
              </w:rPr>
              <w:t>rectus abdominis PPT (kPa)</w:t>
            </w:r>
            <w:r w:rsidR="00CA2ABF" w:rsidRPr="00E05F2D">
              <w:rPr>
                <w:rFonts w:cstheme="minorHAnsi"/>
                <w:sz w:val="20"/>
                <w:szCs w:val="20"/>
              </w:rPr>
              <w:t xml:space="preserve"> </w:t>
            </w:r>
          </w:p>
        </w:tc>
        <w:tc>
          <w:tcPr>
            <w:tcW w:w="1296" w:type="dxa"/>
          </w:tcPr>
          <w:p w14:paraId="58C5D68C" w14:textId="6C027DF1" w:rsidR="0023490A" w:rsidRPr="00E05F2D" w:rsidRDefault="00CA2ABF" w:rsidP="00B41273">
            <w:pPr>
              <w:pStyle w:val="NoSpacing"/>
              <w:rPr>
                <w:rFonts w:cstheme="minorHAnsi"/>
                <w:sz w:val="20"/>
                <w:szCs w:val="20"/>
              </w:rPr>
            </w:pPr>
            <w:r w:rsidRPr="00E05F2D">
              <w:rPr>
                <w:rFonts w:cstheme="minorHAnsi"/>
                <w:sz w:val="20"/>
                <w:szCs w:val="20"/>
              </w:rPr>
              <w:t>186.9 ± 84.4</w:t>
            </w:r>
          </w:p>
        </w:tc>
        <w:tc>
          <w:tcPr>
            <w:tcW w:w="1350" w:type="dxa"/>
          </w:tcPr>
          <w:p w14:paraId="38C48EA7" w14:textId="1ECF9F4A" w:rsidR="0023490A" w:rsidRPr="00E05F2D" w:rsidRDefault="00CA2ABF" w:rsidP="00B41273">
            <w:pPr>
              <w:pStyle w:val="NoSpacing"/>
              <w:rPr>
                <w:rFonts w:cstheme="minorHAnsi"/>
                <w:sz w:val="20"/>
                <w:szCs w:val="20"/>
              </w:rPr>
            </w:pPr>
            <w:r w:rsidRPr="00E05F2D">
              <w:rPr>
                <w:rFonts w:cstheme="minorHAnsi"/>
                <w:sz w:val="20"/>
                <w:szCs w:val="20"/>
              </w:rPr>
              <w:t>125.7 ± 62.7</w:t>
            </w:r>
            <w:r w:rsidRPr="00E05F2D">
              <w:rPr>
                <w:rFonts w:ascii="Cambria Math" w:hAnsi="Cambria Math" w:cs="Cambria Math"/>
                <w:sz w:val="20"/>
                <w:szCs w:val="20"/>
              </w:rPr>
              <w:t>∗</w:t>
            </w:r>
          </w:p>
        </w:tc>
        <w:tc>
          <w:tcPr>
            <w:tcW w:w="1350" w:type="dxa"/>
          </w:tcPr>
          <w:p w14:paraId="67A175AE" w14:textId="245BC7FB" w:rsidR="0023490A" w:rsidRPr="00E05F2D" w:rsidRDefault="00CA2ABF" w:rsidP="00CA2ABF">
            <w:pPr>
              <w:pStyle w:val="NoSpacing"/>
              <w:rPr>
                <w:rFonts w:cstheme="minorHAnsi"/>
                <w:sz w:val="20"/>
                <w:szCs w:val="20"/>
              </w:rPr>
            </w:pPr>
            <w:r w:rsidRPr="00E05F2D">
              <w:rPr>
                <w:rFonts w:cstheme="minorHAnsi"/>
                <w:sz w:val="20"/>
                <w:szCs w:val="20"/>
              </w:rPr>
              <w:t>171.9 ± 79.4</w:t>
            </w:r>
          </w:p>
        </w:tc>
        <w:tc>
          <w:tcPr>
            <w:tcW w:w="1440" w:type="dxa"/>
          </w:tcPr>
          <w:p w14:paraId="382C8C52" w14:textId="70906306" w:rsidR="0023490A" w:rsidRPr="00E05F2D" w:rsidRDefault="00CA2ABF" w:rsidP="00B41273">
            <w:pPr>
              <w:pStyle w:val="NoSpacing"/>
              <w:rPr>
                <w:rFonts w:cstheme="minorHAnsi"/>
                <w:sz w:val="20"/>
                <w:szCs w:val="20"/>
              </w:rPr>
            </w:pPr>
            <w:r w:rsidRPr="00E05F2D">
              <w:rPr>
                <w:rFonts w:cstheme="minorHAnsi"/>
                <w:sz w:val="20"/>
                <w:szCs w:val="20"/>
              </w:rPr>
              <w:t>115.2 ± 54.5</w:t>
            </w:r>
            <w:r w:rsidRPr="00E05F2D">
              <w:rPr>
                <w:rFonts w:ascii="Cambria Math" w:hAnsi="Cambria Math" w:cs="Cambria Math"/>
                <w:sz w:val="20"/>
                <w:szCs w:val="20"/>
              </w:rPr>
              <w:t>∗</w:t>
            </w:r>
          </w:p>
        </w:tc>
        <w:tc>
          <w:tcPr>
            <w:tcW w:w="1350" w:type="dxa"/>
          </w:tcPr>
          <w:p w14:paraId="20100626" w14:textId="198ED72F" w:rsidR="0023490A" w:rsidRPr="00E05F2D" w:rsidRDefault="00CA2ABF" w:rsidP="00B41273">
            <w:pPr>
              <w:pStyle w:val="NoSpacing"/>
              <w:rPr>
                <w:rFonts w:cstheme="minorHAnsi"/>
                <w:sz w:val="20"/>
                <w:szCs w:val="20"/>
              </w:rPr>
            </w:pPr>
            <w:r w:rsidRPr="00E05F2D">
              <w:rPr>
                <w:rFonts w:cstheme="minorHAnsi"/>
                <w:sz w:val="20"/>
                <w:szCs w:val="20"/>
              </w:rPr>
              <w:t xml:space="preserve">217.7 ± 110.4 </w:t>
            </w:r>
          </w:p>
        </w:tc>
        <w:tc>
          <w:tcPr>
            <w:tcW w:w="1345" w:type="dxa"/>
          </w:tcPr>
          <w:p w14:paraId="21C8A9E9" w14:textId="3D5A29EA" w:rsidR="0023490A" w:rsidRPr="00E05F2D" w:rsidRDefault="00CA2ABF" w:rsidP="00CA2ABF">
            <w:pPr>
              <w:pStyle w:val="NoSpacing"/>
              <w:rPr>
                <w:rFonts w:cstheme="minorHAnsi"/>
                <w:sz w:val="20"/>
                <w:szCs w:val="20"/>
              </w:rPr>
            </w:pPr>
            <w:r w:rsidRPr="00E05F2D">
              <w:rPr>
                <w:rFonts w:cstheme="minorHAnsi"/>
                <w:sz w:val="20"/>
                <w:szCs w:val="20"/>
              </w:rPr>
              <w:t>181.5 ± 90.3</w:t>
            </w:r>
          </w:p>
        </w:tc>
      </w:tr>
      <w:tr w:rsidR="0023490A" w:rsidRPr="00E05F2D" w14:paraId="63E43667" w14:textId="77777777" w:rsidTr="00E05F2D">
        <w:tc>
          <w:tcPr>
            <w:tcW w:w="0" w:type="auto"/>
          </w:tcPr>
          <w:p w14:paraId="52D54362" w14:textId="4281394D" w:rsidR="0023490A" w:rsidRPr="00E05F2D" w:rsidRDefault="00660D85" w:rsidP="00346B00">
            <w:pPr>
              <w:pStyle w:val="NoSpacing"/>
              <w:rPr>
                <w:rFonts w:cstheme="minorHAnsi"/>
                <w:sz w:val="20"/>
                <w:szCs w:val="20"/>
              </w:rPr>
            </w:pPr>
            <w:r w:rsidRPr="00E05F2D">
              <w:rPr>
                <w:rFonts w:cstheme="minorHAnsi"/>
                <w:sz w:val="20"/>
                <w:szCs w:val="20"/>
              </w:rPr>
              <w:t>Absolute change in</w:t>
            </w:r>
            <w:r w:rsidR="00CA2ABF" w:rsidRPr="00E05F2D">
              <w:rPr>
                <w:rFonts w:cstheme="minorHAnsi"/>
                <w:sz w:val="20"/>
                <w:szCs w:val="20"/>
              </w:rPr>
              <w:t xml:space="preserve"> </w:t>
            </w:r>
            <w:r w:rsidRPr="00E05F2D">
              <w:rPr>
                <w:rFonts w:cstheme="minorHAnsi"/>
                <w:sz w:val="20"/>
                <w:szCs w:val="20"/>
              </w:rPr>
              <w:t>PPT at nailbed (kPa)</w:t>
            </w:r>
            <w:r w:rsidR="00346B00" w:rsidRPr="00E05F2D">
              <w:rPr>
                <w:rFonts w:cstheme="minorHAnsi"/>
                <w:sz w:val="20"/>
                <w:szCs w:val="20"/>
              </w:rPr>
              <w:t xml:space="preserve"> </w:t>
            </w:r>
          </w:p>
        </w:tc>
        <w:tc>
          <w:tcPr>
            <w:tcW w:w="1296" w:type="dxa"/>
          </w:tcPr>
          <w:p w14:paraId="5A86F93E" w14:textId="115FA3D2" w:rsidR="0023490A" w:rsidRPr="00E05F2D" w:rsidRDefault="00346B00" w:rsidP="00B41273">
            <w:pPr>
              <w:pStyle w:val="NoSpacing"/>
              <w:rPr>
                <w:rFonts w:cstheme="minorHAnsi"/>
                <w:sz w:val="20"/>
                <w:szCs w:val="20"/>
              </w:rPr>
            </w:pPr>
            <w:r w:rsidRPr="00E05F2D">
              <w:rPr>
                <w:rFonts w:cstheme="minorHAnsi"/>
                <w:sz w:val="20"/>
                <w:szCs w:val="20"/>
              </w:rPr>
              <w:t>−2.6 ± 32.9</w:t>
            </w:r>
          </w:p>
        </w:tc>
        <w:tc>
          <w:tcPr>
            <w:tcW w:w="1350" w:type="dxa"/>
          </w:tcPr>
          <w:p w14:paraId="071495EB" w14:textId="085F9963" w:rsidR="0023490A" w:rsidRPr="00E05F2D" w:rsidRDefault="00346B00" w:rsidP="00B41273">
            <w:pPr>
              <w:pStyle w:val="NoSpacing"/>
              <w:rPr>
                <w:rFonts w:cstheme="minorHAnsi"/>
                <w:sz w:val="20"/>
                <w:szCs w:val="20"/>
              </w:rPr>
            </w:pPr>
            <w:r w:rsidRPr="00E05F2D">
              <w:rPr>
                <w:rFonts w:cstheme="minorHAnsi"/>
                <w:sz w:val="20"/>
                <w:szCs w:val="20"/>
              </w:rPr>
              <w:t>6.3 ± 42.3</w:t>
            </w:r>
          </w:p>
        </w:tc>
        <w:tc>
          <w:tcPr>
            <w:tcW w:w="1350" w:type="dxa"/>
          </w:tcPr>
          <w:p w14:paraId="3BC81C68" w14:textId="34FA0CBD" w:rsidR="0023490A" w:rsidRPr="00E05F2D" w:rsidRDefault="00346B00" w:rsidP="00B41273">
            <w:pPr>
              <w:pStyle w:val="NoSpacing"/>
              <w:rPr>
                <w:rFonts w:cstheme="minorHAnsi"/>
                <w:sz w:val="20"/>
                <w:szCs w:val="20"/>
              </w:rPr>
            </w:pPr>
            <w:r w:rsidRPr="00E05F2D">
              <w:rPr>
                <w:rFonts w:cstheme="minorHAnsi"/>
                <w:sz w:val="20"/>
                <w:szCs w:val="20"/>
              </w:rPr>
              <w:t>−12.8 ± 31.5</w:t>
            </w:r>
          </w:p>
        </w:tc>
        <w:tc>
          <w:tcPr>
            <w:tcW w:w="1440" w:type="dxa"/>
          </w:tcPr>
          <w:p w14:paraId="77AEEBF7" w14:textId="77777777" w:rsidR="00346B00" w:rsidRPr="00E05F2D" w:rsidRDefault="00346B00" w:rsidP="00346B00">
            <w:pPr>
              <w:pStyle w:val="NoSpacing"/>
              <w:rPr>
                <w:rFonts w:cstheme="minorHAnsi"/>
                <w:sz w:val="20"/>
                <w:szCs w:val="20"/>
              </w:rPr>
            </w:pPr>
            <w:r w:rsidRPr="00E05F2D">
              <w:rPr>
                <w:rFonts w:cstheme="minorHAnsi"/>
                <w:sz w:val="20"/>
                <w:szCs w:val="20"/>
              </w:rPr>
              <w:t xml:space="preserve">−10.6 ± </w:t>
            </w:r>
          </w:p>
          <w:p w14:paraId="06F698ED" w14:textId="77C78679" w:rsidR="0023490A" w:rsidRPr="00E05F2D" w:rsidRDefault="00346B00" w:rsidP="00346B00">
            <w:pPr>
              <w:pStyle w:val="NoSpacing"/>
              <w:rPr>
                <w:rFonts w:cstheme="minorHAnsi"/>
                <w:sz w:val="20"/>
                <w:szCs w:val="20"/>
              </w:rPr>
            </w:pPr>
            <w:r w:rsidRPr="00E05F2D">
              <w:rPr>
                <w:rFonts w:cstheme="minorHAnsi"/>
                <w:sz w:val="20"/>
                <w:szCs w:val="20"/>
              </w:rPr>
              <w:t xml:space="preserve">37.4 </w:t>
            </w:r>
          </w:p>
        </w:tc>
        <w:tc>
          <w:tcPr>
            <w:tcW w:w="1350" w:type="dxa"/>
          </w:tcPr>
          <w:p w14:paraId="3D557917" w14:textId="5B9A9C4D" w:rsidR="0023490A" w:rsidRPr="00E05F2D" w:rsidRDefault="00346B00" w:rsidP="00B41273">
            <w:pPr>
              <w:pStyle w:val="NoSpacing"/>
              <w:rPr>
                <w:rFonts w:cstheme="minorHAnsi"/>
                <w:sz w:val="20"/>
                <w:szCs w:val="20"/>
              </w:rPr>
            </w:pPr>
            <w:r w:rsidRPr="00E05F2D">
              <w:rPr>
                <w:rFonts w:cstheme="minorHAnsi"/>
                <w:sz w:val="20"/>
                <w:szCs w:val="20"/>
              </w:rPr>
              <w:t>−29.8 ± 46.4</w:t>
            </w:r>
          </w:p>
        </w:tc>
        <w:tc>
          <w:tcPr>
            <w:tcW w:w="1345" w:type="dxa"/>
          </w:tcPr>
          <w:p w14:paraId="13133BA7" w14:textId="49FAAD89" w:rsidR="0023490A" w:rsidRPr="00E05F2D" w:rsidRDefault="00346B00" w:rsidP="00B41273">
            <w:pPr>
              <w:pStyle w:val="NoSpacing"/>
              <w:rPr>
                <w:rFonts w:cstheme="minorHAnsi"/>
                <w:sz w:val="20"/>
                <w:szCs w:val="20"/>
              </w:rPr>
            </w:pPr>
            <w:r w:rsidRPr="00E05F2D">
              <w:rPr>
                <w:rFonts w:cstheme="minorHAnsi"/>
                <w:sz w:val="20"/>
                <w:szCs w:val="20"/>
              </w:rPr>
              <w:t>4.5 ± 27.5</w:t>
            </w:r>
            <w:r w:rsidRPr="00E05F2D">
              <w:rPr>
                <w:rFonts w:ascii="Cambria Math" w:hAnsi="Cambria Math" w:cs="Cambria Math"/>
                <w:sz w:val="20"/>
                <w:szCs w:val="20"/>
              </w:rPr>
              <w:t>∗</w:t>
            </w:r>
          </w:p>
        </w:tc>
      </w:tr>
      <w:tr w:rsidR="0023490A" w:rsidRPr="00E05F2D" w14:paraId="6457BEE8" w14:textId="77777777" w:rsidTr="00E05F2D">
        <w:tc>
          <w:tcPr>
            <w:tcW w:w="0" w:type="auto"/>
          </w:tcPr>
          <w:p w14:paraId="13CEC269" w14:textId="213D2CC4" w:rsidR="00660D85" w:rsidRPr="00E05F2D" w:rsidRDefault="00660D85" w:rsidP="00B41273">
            <w:pPr>
              <w:pStyle w:val="NoSpacing"/>
              <w:rPr>
                <w:rFonts w:cstheme="minorHAnsi"/>
                <w:sz w:val="20"/>
                <w:szCs w:val="20"/>
              </w:rPr>
            </w:pPr>
            <w:r w:rsidRPr="00E05F2D">
              <w:rPr>
                <w:rFonts w:cstheme="minorHAnsi"/>
                <w:sz w:val="20"/>
                <w:szCs w:val="20"/>
              </w:rPr>
              <w:t>Absolute change in</w:t>
            </w:r>
            <w:r w:rsidR="002C5F8B" w:rsidRPr="00E05F2D">
              <w:rPr>
                <w:rFonts w:cstheme="minorHAnsi"/>
                <w:sz w:val="20"/>
                <w:szCs w:val="20"/>
              </w:rPr>
              <w:t xml:space="preserve"> </w:t>
            </w:r>
          </w:p>
          <w:p w14:paraId="45080B39" w14:textId="0778A3C9" w:rsidR="0023490A" w:rsidRPr="00E05F2D" w:rsidRDefault="00660D85" w:rsidP="002C5F8B">
            <w:pPr>
              <w:pStyle w:val="NoSpacing"/>
              <w:rPr>
                <w:rFonts w:cstheme="minorHAnsi"/>
                <w:sz w:val="20"/>
                <w:szCs w:val="20"/>
              </w:rPr>
            </w:pPr>
            <w:r w:rsidRPr="00E05F2D">
              <w:rPr>
                <w:rFonts w:cstheme="minorHAnsi"/>
                <w:sz w:val="20"/>
                <w:szCs w:val="20"/>
              </w:rPr>
              <w:t>PPT at superior rectus abdominis (kPa)</w:t>
            </w:r>
            <w:r w:rsidR="002C5F8B" w:rsidRPr="00E05F2D">
              <w:rPr>
                <w:rFonts w:cstheme="minorHAnsi"/>
                <w:sz w:val="20"/>
                <w:szCs w:val="20"/>
              </w:rPr>
              <w:t xml:space="preserve"> </w:t>
            </w:r>
          </w:p>
        </w:tc>
        <w:tc>
          <w:tcPr>
            <w:tcW w:w="1296" w:type="dxa"/>
          </w:tcPr>
          <w:p w14:paraId="60A36292" w14:textId="1A480BC0" w:rsidR="0023490A" w:rsidRPr="00E05F2D" w:rsidRDefault="002C5F8B" w:rsidP="00B41273">
            <w:pPr>
              <w:pStyle w:val="NoSpacing"/>
              <w:rPr>
                <w:rFonts w:cstheme="minorHAnsi"/>
                <w:sz w:val="20"/>
                <w:szCs w:val="20"/>
              </w:rPr>
            </w:pPr>
            <w:r w:rsidRPr="00E05F2D">
              <w:rPr>
                <w:rFonts w:cstheme="minorHAnsi"/>
                <w:sz w:val="20"/>
                <w:szCs w:val="20"/>
              </w:rPr>
              <w:t>27.1 ± 47.0</w:t>
            </w:r>
          </w:p>
        </w:tc>
        <w:tc>
          <w:tcPr>
            <w:tcW w:w="1350" w:type="dxa"/>
          </w:tcPr>
          <w:p w14:paraId="77096536" w14:textId="02EBD659" w:rsidR="0023490A" w:rsidRPr="00E05F2D" w:rsidRDefault="002C5F8B" w:rsidP="00B41273">
            <w:pPr>
              <w:pStyle w:val="NoSpacing"/>
              <w:rPr>
                <w:rFonts w:cstheme="minorHAnsi"/>
                <w:sz w:val="20"/>
                <w:szCs w:val="20"/>
              </w:rPr>
            </w:pPr>
            <w:r w:rsidRPr="00E05F2D">
              <w:rPr>
                <w:rFonts w:cstheme="minorHAnsi"/>
                <w:sz w:val="20"/>
                <w:szCs w:val="20"/>
              </w:rPr>
              <w:t>13.4 ± 27.0</w:t>
            </w:r>
          </w:p>
        </w:tc>
        <w:tc>
          <w:tcPr>
            <w:tcW w:w="1350" w:type="dxa"/>
          </w:tcPr>
          <w:p w14:paraId="3E7CB138" w14:textId="5728A94B" w:rsidR="0023490A" w:rsidRPr="00E05F2D" w:rsidRDefault="002C5F8B" w:rsidP="002C5F8B">
            <w:pPr>
              <w:pStyle w:val="NoSpacing"/>
              <w:rPr>
                <w:rFonts w:cstheme="minorHAnsi"/>
                <w:sz w:val="20"/>
                <w:szCs w:val="20"/>
              </w:rPr>
            </w:pPr>
            <w:r w:rsidRPr="00E05F2D">
              <w:rPr>
                <w:rFonts w:cstheme="minorHAnsi"/>
                <w:sz w:val="20"/>
                <w:szCs w:val="20"/>
              </w:rPr>
              <w:t>10.5 ± 35.3</w:t>
            </w:r>
          </w:p>
        </w:tc>
        <w:tc>
          <w:tcPr>
            <w:tcW w:w="1440" w:type="dxa"/>
          </w:tcPr>
          <w:p w14:paraId="50A77AB3" w14:textId="1E537C0C" w:rsidR="0023490A" w:rsidRPr="00E05F2D" w:rsidRDefault="002C5F8B" w:rsidP="00B41273">
            <w:pPr>
              <w:pStyle w:val="NoSpacing"/>
              <w:rPr>
                <w:rFonts w:cstheme="minorHAnsi"/>
                <w:sz w:val="20"/>
                <w:szCs w:val="20"/>
              </w:rPr>
            </w:pPr>
            <w:r w:rsidRPr="00E05F2D">
              <w:rPr>
                <w:rFonts w:cstheme="minorHAnsi"/>
                <w:sz w:val="20"/>
                <w:szCs w:val="20"/>
              </w:rPr>
              <w:t>16.7 ± 19.4</w:t>
            </w:r>
          </w:p>
        </w:tc>
        <w:tc>
          <w:tcPr>
            <w:tcW w:w="1350" w:type="dxa"/>
          </w:tcPr>
          <w:p w14:paraId="441AF833" w14:textId="421909CB" w:rsidR="0023490A" w:rsidRPr="00E05F2D" w:rsidRDefault="002C5F8B" w:rsidP="00B41273">
            <w:pPr>
              <w:pStyle w:val="NoSpacing"/>
              <w:rPr>
                <w:rFonts w:cstheme="minorHAnsi"/>
                <w:sz w:val="20"/>
                <w:szCs w:val="20"/>
              </w:rPr>
            </w:pPr>
            <w:r w:rsidRPr="00E05F2D">
              <w:rPr>
                <w:rFonts w:cstheme="minorHAnsi"/>
                <w:sz w:val="20"/>
                <w:szCs w:val="20"/>
              </w:rPr>
              <w:t>27.9 ± 39.8</w:t>
            </w:r>
          </w:p>
        </w:tc>
        <w:tc>
          <w:tcPr>
            <w:tcW w:w="1345" w:type="dxa"/>
          </w:tcPr>
          <w:p w14:paraId="59B087D4" w14:textId="0C17C409" w:rsidR="0023490A" w:rsidRPr="00E05F2D" w:rsidRDefault="002C5F8B" w:rsidP="00B41273">
            <w:pPr>
              <w:pStyle w:val="NoSpacing"/>
              <w:rPr>
                <w:rFonts w:cstheme="minorHAnsi"/>
                <w:sz w:val="20"/>
                <w:szCs w:val="20"/>
              </w:rPr>
            </w:pPr>
            <w:r w:rsidRPr="00E05F2D">
              <w:rPr>
                <w:rFonts w:cstheme="minorHAnsi"/>
                <w:sz w:val="20"/>
                <w:szCs w:val="20"/>
              </w:rPr>
              <w:t>19.7 ± 41.8</w:t>
            </w:r>
          </w:p>
        </w:tc>
      </w:tr>
      <w:tr w:rsidR="0023490A" w:rsidRPr="00E05F2D" w14:paraId="50989C58" w14:textId="77777777" w:rsidTr="00E05F2D">
        <w:tc>
          <w:tcPr>
            <w:tcW w:w="0" w:type="auto"/>
          </w:tcPr>
          <w:p w14:paraId="1543C3E5" w14:textId="61EAE531" w:rsidR="0023490A" w:rsidRPr="00E05F2D" w:rsidRDefault="000C0054" w:rsidP="002C5F8B">
            <w:pPr>
              <w:pStyle w:val="NoSpacing"/>
              <w:rPr>
                <w:rFonts w:cstheme="minorHAnsi"/>
                <w:sz w:val="20"/>
                <w:szCs w:val="20"/>
              </w:rPr>
            </w:pPr>
            <w:r w:rsidRPr="00E05F2D">
              <w:rPr>
                <w:rFonts w:cstheme="minorHAnsi"/>
                <w:sz w:val="20"/>
                <w:szCs w:val="20"/>
              </w:rPr>
              <w:t xml:space="preserve">Relative change in </w:t>
            </w:r>
            <w:proofErr w:type="gramStart"/>
            <w:r w:rsidRPr="00E05F2D">
              <w:rPr>
                <w:rFonts w:cstheme="minorHAnsi"/>
                <w:sz w:val="20"/>
                <w:szCs w:val="20"/>
              </w:rPr>
              <w:t>PPT</w:t>
            </w:r>
            <w:r w:rsidR="002C5F8B" w:rsidRPr="00E05F2D">
              <w:rPr>
                <w:rFonts w:cstheme="minorHAnsi"/>
                <w:sz w:val="20"/>
                <w:szCs w:val="20"/>
              </w:rPr>
              <w:t xml:space="preserve">  </w:t>
            </w:r>
            <w:r w:rsidRPr="00E05F2D">
              <w:rPr>
                <w:rFonts w:cstheme="minorHAnsi"/>
                <w:sz w:val="20"/>
                <w:szCs w:val="20"/>
              </w:rPr>
              <w:t>at</w:t>
            </w:r>
            <w:proofErr w:type="gramEnd"/>
            <w:r w:rsidRPr="00E05F2D">
              <w:rPr>
                <w:rFonts w:cstheme="minorHAnsi"/>
                <w:sz w:val="20"/>
                <w:szCs w:val="20"/>
              </w:rPr>
              <w:t xml:space="preserve"> nailbed (%)</w:t>
            </w:r>
          </w:p>
        </w:tc>
        <w:tc>
          <w:tcPr>
            <w:tcW w:w="1296" w:type="dxa"/>
          </w:tcPr>
          <w:p w14:paraId="63BED419" w14:textId="07C1A5C2" w:rsidR="0023490A" w:rsidRPr="00E05F2D" w:rsidRDefault="002C5F8B" w:rsidP="00B41273">
            <w:pPr>
              <w:pStyle w:val="NoSpacing"/>
              <w:rPr>
                <w:rFonts w:cstheme="minorHAnsi"/>
                <w:sz w:val="20"/>
                <w:szCs w:val="20"/>
              </w:rPr>
            </w:pPr>
            <w:r w:rsidRPr="00E05F2D">
              <w:rPr>
                <w:rFonts w:cstheme="minorHAnsi"/>
                <w:sz w:val="20"/>
                <w:szCs w:val="20"/>
              </w:rPr>
              <w:t>−0.6 ± 13.0</w:t>
            </w:r>
          </w:p>
        </w:tc>
        <w:tc>
          <w:tcPr>
            <w:tcW w:w="1350" w:type="dxa"/>
          </w:tcPr>
          <w:p w14:paraId="2ADBADDB" w14:textId="11B66A7D" w:rsidR="0023490A" w:rsidRPr="00E05F2D" w:rsidRDefault="002C5F8B" w:rsidP="00B41273">
            <w:pPr>
              <w:pStyle w:val="NoSpacing"/>
              <w:rPr>
                <w:rFonts w:cstheme="minorHAnsi"/>
                <w:sz w:val="20"/>
                <w:szCs w:val="20"/>
              </w:rPr>
            </w:pPr>
            <w:r w:rsidRPr="00E05F2D">
              <w:rPr>
                <w:rFonts w:cstheme="minorHAnsi"/>
                <w:sz w:val="20"/>
                <w:szCs w:val="20"/>
              </w:rPr>
              <w:t>2.6 ± 24.6</w:t>
            </w:r>
          </w:p>
        </w:tc>
        <w:tc>
          <w:tcPr>
            <w:tcW w:w="1350" w:type="dxa"/>
          </w:tcPr>
          <w:p w14:paraId="48A97E2E" w14:textId="15A35ACC" w:rsidR="0023490A" w:rsidRPr="00E05F2D" w:rsidRDefault="002C5F8B" w:rsidP="00B41273">
            <w:pPr>
              <w:pStyle w:val="NoSpacing"/>
              <w:rPr>
                <w:rFonts w:cstheme="minorHAnsi"/>
                <w:sz w:val="20"/>
                <w:szCs w:val="20"/>
              </w:rPr>
            </w:pPr>
            <w:r w:rsidRPr="00E05F2D">
              <w:rPr>
                <w:rFonts w:cstheme="minorHAnsi"/>
                <w:sz w:val="20"/>
                <w:szCs w:val="20"/>
              </w:rPr>
              <w:t xml:space="preserve">−5.6 ± 20.1  </w:t>
            </w:r>
          </w:p>
        </w:tc>
        <w:tc>
          <w:tcPr>
            <w:tcW w:w="1440" w:type="dxa"/>
          </w:tcPr>
          <w:p w14:paraId="77CB9AF6" w14:textId="77777777" w:rsidR="002C5F8B" w:rsidRPr="00E05F2D" w:rsidRDefault="002C5F8B" w:rsidP="002C5F8B">
            <w:pPr>
              <w:pStyle w:val="NoSpacing"/>
              <w:rPr>
                <w:rFonts w:cstheme="minorHAnsi"/>
                <w:sz w:val="20"/>
                <w:szCs w:val="20"/>
              </w:rPr>
            </w:pPr>
            <w:r w:rsidRPr="00E05F2D">
              <w:rPr>
                <w:rFonts w:cstheme="minorHAnsi"/>
                <w:sz w:val="20"/>
                <w:szCs w:val="20"/>
              </w:rPr>
              <w:t xml:space="preserve">−1.8 </w:t>
            </w:r>
          </w:p>
          <w:p w14:paraId="295A7976" w14:textId="265FBDC6" w:rsidR="0023490A" w:rsidRPr="00E05F2D" w:rsidRDefault="002C5F8B" w:rsidP="002C5F8B">
            <w:pPr>
              <w:pStyle w:val="NoSpacing"/>
              <w:rPr>
                <w:rFonts w:cstheme="minorHAnsi"/>
                <w:sz w:val="20"/>
                <w:szCs w:val="20"/>
              </w:rPr>
            </w:pPr>
            <w:r w:rsidRPr="00E05F2D">
              <w:rPr>
                <w:rFonts w:cstheme="minorHAnsi"/>
                <w:sz w:val="20"/>
                <w:szCs w:val="20"/>
              </w:rPr>
              <w:t>± 22.3</w:t>
            </w:r>
          </w:p>
        </w:tc>
        <w:tc>
          <w:tcPr>
            <w:tcW w:w="1350" w:type="dxa"/>
          </w:tcPr>
          <w:p w14:paraId="0EF27A0A" w14:textId="6BD169DD" w:rsidR="0023490A" w:rsidRPr="00E05F2D" w:rsidRDefault="002C5F8B" w:rsidP="00B41273">
            <w:pPr>
              <w:pStyle w:val="NoSpacing"/>
              <w:rPr>
                <w:rFonts w:cstheme="minorHAnsi"/>
                <w:sz w:val="20"/>
                <w:szCs w:val="20"/>
              </w:rPr>
            </w:pPr>
            <w:r w:rsidRPr="00E05F2D">
              <w:rPr>
                <w:rFonts w:cstheme="minorHAnsi"/>
                <w:sz w:val="20"/>
                <w:szCs w:val="20"/>
              </w:rPr>
              <w:t>−7.9 ± 17.4</w:t>
            </w:r>
          </w:p>
        </w:tc>
        <w:tc>
          <w:tcPr>
            <w:tcW w:w="1345" w:type="dxa"/>
          </w:tcPr>
          <w:p w14:paraId="074080C4" w14:textId="0849C02E" w:rsidR="0023490A" w:rsidRPr="00E05F2D" w:rsidRDefault="002C5F8B" w:rsidP="00B41273">
            <w:pPr>
              <w:pStyle w:val="NoSpacing"/>
              <w:rPr>
                <w:rFonts w:cstheme="minorHAnsi"/>
                <w:sz w:val="20"/>
                <w:szCs w:val="20"/>
              </w:rPr>
            </w:pPr>
            <w:r w:rsidRPr="00E05F2D">
              <w:rPr>
                <w:rFonts w:cstheme="minorHAnsi"/>
                <w:sz w:val="20"/>
                <w:szCs w:val="20"/>
              </w:rPr>
              <w:t>0.9 ± 18.7</w:t>
            </w:r>
          </w:p>
        </w:tc>
      </w:tr>
      <w:tr w:rsidR="0023490A" w:rsidRPr="00E05F2D" w14:paraId="310F9FC6" w14:textId="77777777" w:rsidTr="00E05F2D">
        <w:tc>
          <w:tcPr>
            <w:tcW w:w="0" w:type="auto"/>
          </w:tcPr>
          <w:p w14:paraId="09B2BE34" w14:textId="05ED9209" w:rsidR="0023490A" w:rsidRPr="00E05F2D" w:rsidRDefault="000C0054" w:rsidP="002C5F8B">
            <w:pPr>
              <w:pStyle w:val="NoSpacing"/>
              <w:rPr>
                <w:rFonts w:cstheme="minorHAnsi"/>
                <w:sz w:val="20"/>
                <w:szCs w:val="20"/>
              </w:rPr>
            </w:pPr>
            <w:r w:rsidRPr="00E05F2D">
              <w:rPr>
                <w:rFonts w:cstheme="minorHAnsi"/>
                <w:sz w:val="20"/>
                <w:szCs w:val="20"/>
              </w:rPr>
              <w:t>Relative change in PPT</w:t>
            </w:r>
            <w:r w:rsidR="002C5F8B" w:rsidRPr="00E05F2D">
              <w:rPr>
                <w:rFonts w:cstheme="minorHAnsi"/>
                <w:sz w:val="20"/>
                <w:szCs w:val="20"/>
              </w:rPr>
              <w:t xml:space="preserve"> </w:t>
            </w:r>
            <w:r w:rsidRPr="00E05F2D">
              <w:rPr>
                <w:rFonts w:cstheme="minorHAnsi"/>
                <w:sz w:val="20"/>
                <w:szCs w:val="20"/>
              </w:rPr>
              <w:t>at superior rectus abdominis (%)</w:t>
            </w:r>
          </w:p>
        </w:tc>
        <w:tc>
          <w:tcPr>
            <w:tcW w:w="1296" w:type="dxa"/>
          </w:tcPr>
          <w:p w14:paraId="29378963" w14:textId="06080E95" w:rsidR="0023490A" w:rsidRPr="00E05F2D" w:rsidRDefault="002C5F8B" w:rsidP="00B41273">
            <w:pPr>
              <w:pStyle w:val="NoSpacing"/>
              <w:rPr>
                <w:rFonts w:cstheme="minorHAnsi"/>
                <w:sz w:val="20"/>
                <w:szCs w:val="20"/>
              </w:rPr>
            </w:pPr>
            <w:r w:rsidRPr="00E05F2D">
              <w:rPr>
                <w:rFonts w:cstheme="minorHAnsi"/>
                <w:sz w:val="20"/>
                <w:szCs w:val="20"/>
              </w:rPr>
              <w:t xml:space="preserve">18.7 ± 21.7            </w:t>
            </w:r>
          </w:p>
        </w:tc>
        <w:tc>
          <w:tcPr>
            <w:tcW w:w="1350" w:type="dxa"/>
          </w:tcPr>
          <w:p w14:paraId="529E7328" w14:textId="08FD7B92" w:rsidR="0023490A" w:rsidRPr="00E05F2D" w:rsidRDefault="002C5F8B" w:rsidP="00B41273">
            <w:pPr>
              <w:pStyle w:val="NoSpacing"/>
              <w:rPr>
                <w:rFonts w:cstheme="minorHAnsi"/>
                <w:sz w:val="20"/>
                <w:szCs w:val="20"/>
              </w:rPr>
            </w:pPr>
            <w:r w:rsidRPr="00E05F2D">
              <w:rPr>
                <w:rFonts w:cstheme="minorHAnsi"/>
                <w:sz w:val="20"/>
                <w:szCs w:val="20"/>
              </w:rPr>
              <w:t xml:space="preserve">10.7 ± 19.4     </w:t>
            </w:r>
          </w:p>
        </w:tc>
        <w:tc>
          <w:tcPr>
            <w:tcW w:w="1350" w:type="dxa"/>
          </w:tcPr>
          <w:p w14:paraId="23B4975B" w14:textId="47C274FA" w:rsidR="0023490A" w:rsidRPr="00E05F2D" w:rsidRDefault="002C5F8B" w:rsidP="002C5F8B">
            <w:pPr>
              <w:pStyle w:val="NoSpacing"/>
              <w:rPr>
                <w:rFonts w:cstheme="minorHAnsi"/>
                <w:sz w:val="20"/>
                <w:szCs w:val="20"/>
              </w:rPr>
            </w:pPr>
            <w:r w:rsidRPr="00E05F2D">
              <w:rPr>
                <w:rFonts w:cstheme="minorHAnsi"/>
                <w:sz w:val="20"/>
                <w:szCs w:val="20"/>
              </w:rPr>
              <w:t>7.3 ± 19.0</w:t>
            </w:r>
          </w:p>
        </w:tc>
        <w:tc>
          <w:tcPr>
            <w:tcW w:w="1440" w:type="dxa"/>
          </w:tcPr>
          <w:p w14:paraId="621F3F05" w14:textId="2CC73CC1" w:rsidR="0023490A" w:rsidRPr="00E05F2D" w:rsidRDefault="002C5F8B" w:rsidP="00B41273">
            <w:pPr>
              <w:pStyle w:val="NoSpacing"/>
              <w:rPr>
                <w:rFonts w:cstheme="minorHAnsi"/>
                <w:sz w:val="20"/>
                <w:szCs w:val="20"/>
              </w:rPr>
            </w:pPr>
            <w:r w:rsidRPr="00E05F2D">
              <w:rPr>
                <w:rFonts w:cstheme="minorHAnsi"/>
                <w:sz w:val="20"/>
                <w:szCs w:val="20"/>
              </w:rPr>
              <w:t>16.6 ± 19.9</w:t>
            </w:r>
          </w:p>
        </w:tc>
        <w:tc>
          <w:tcPr>
            <w:tcW w:w="1350" w:type="dxa"/>
          </w:tcPr>
          <w:p w14:paraId="63C18F29" w14:textId="212230D9" w:rsidR="0023490A" w:rsidRPr="00E05F2D" w:rsidRDefault="002C5F8B" w:rsidP="00B41273">
            <w:pPr>
              <w:pStyle w:val="NoSpacing"/>
              <w:rPr>
                <w:rFonts w:cstheme="minorHAnsi"/>
                <w:sz w:val="20"/>
                <w:szCs w:val="20"/>
              </w:rPr>
            </w:pPr>
            <w:r w:rsidRPr="00E05F2D">
              <w:rPr>
                <w:rFonts w:cstheme="minorHAnsi"/>
                <w:sz w:val="20"/>
                <w:szCs w:val="20"/>
              </w:rPr>
              <w:t>16.4 ± 20.6</w:t>
            </w:r>
          </w:p>
        </w:tc>
        <w:tc>
          <w:tcPr>
            <w:tcW w:w="1345" w:type="dxa"/>
          </w:tcPr>
          <w:p w14:paraId="139E0AC3" w14:textId="0404C369" w:rsidR="0023490A" w:rsidRPr="00E05F2D" w:rsidRDefault="002C5F8B" w:rsidP="00B41273">
            <w:pPr>
              <w:pStyle w:val="NoSpacing"/>
              <w:rPr>
                <w:rFonts w:cstheme="minorHAnsi"/>
                <w:sz w:val="20"/>
                <w:szCs w:val="20"/>
              </w:rPr>
            </w:pPr>
            <w:r w:rsidRPr="00E05F2D">
              <w:rPr>
                <w:rFonts w:cstheme="minorHAnsi"/>
                <w:sz w:val="20"/>
                <w:szCs w:val="20"/>
              </w:rPr>
              <w:t>13.6 ± 20.6</w:t>
            </w:r>
          </w:p>
        </w:tc>
      </w:tr>
    </w:tbl>
    <w:p w14:paraId="6A114DE3" w14:textId="6F9D7C00" w:rsidR="0023490A" w:rsidRPr="00721B96" w:rsidRDefault="00B41273" w:rsidP="001A3157">
      <w:pPr>
        <w:rPr>
          <w:rFonts w:cstheme="minorHAnsi"/>
        </w:rPr>
      </w:pPr>
      <w:r>
        <w:rPr>
          <w:rFonts w:cstheme="minorHAnsi"/>
        </w:rPr>
        <w:t>*</w:t>
      </w:r>
      <w:r w:rsidRPr="00B41273">
        <w:rPr>
          <w:rFonts w:cstheme="minorHAnsi"/>
        </w:rPr>
        <w:t>Indicates p &lt; 0.05. PPT, Pressure Pain Threshold; kPa, kilopascals; N/A, Not Assessed</w:t>
      </w:r>
    </w:p>
    <w:p w14:paraId="21D1DEBA" w14:textId="0B5A4BDB" w:rsidR="0076701B" w:rsidRPr="00721B96" w:rsidRDefault="0076701B" w:rsidP="001A3157">
      <w:pPr>
        <w:rPr>
          <w:rFonts w:cstheme="minorHAnsi"/>
        </w:rPr>
      </w:pPr>
    </w:p>
    <w:p w14:paraId="221CD293" w14:textId="7DE5729C" w:rsidR="0076701B" w:rsidRPr="00721B96" w:rsidRDefault="00227032" w:rsidP="00227032">
      <w:pPr>
        <w:pStyle w:val="Heading3"/>
        <w:rPr>
          <w:rFonts w:asciiTheme="minorHAnsi" w:hAnsiTheme="minorHAnsi" w:cstheme="minorHAnsi"/>
        </w:rPr>
      </w:pPr>
      <w:r w:rsidRPr="00721B96">
        <w:rPr>
          <w:rFonts w:asciiTheme="minorHAnsi" w:hAnsiTheme="minorHAnsi" w:cstheme="minorHAnsi"/>
        </w:rPr>
        <w:t>PPTs Before and After Fatiguing Trunk Flexor Exercise</w:t>
      </w:r>
    </w:p>
    <w:p w14:paraId="666ABA63" w14:textId="6FBC2FB2" w:rsidR="00227032" w:rsidRPr="00721B96" w:rsidRDefault="00135236" w:rsidP="00227032">
      <w:pPr>
        <w:rPr>
          <w:rFonts w:cstheme="minorHAnsi"/>
        </w:rPr>
      </w:pPr>
      <w:r w:rsidRPr="00721B96">
        <w:rPr>
          <w:rFonts w:cstheme="minorHAnsi"/>
        </w:rPr>
        <w:t>At the initial timepoint, women who delivered vaginally and women who delivered via Cesarean section had similar pain responses to exercise at the nailbed (time p = 0.489; time × delivery type p = 0.917; delivery type p = 0.246) and the upper abdomen (time p = 0.019; time × delivery type p = 0.778; delivery type p = 0.382), so both delivery types were combined into one postpartum group. Nulligravid and postpartum women demonstrated an increase in PPT (i.e., local EIH) at the superior rectus abdominis following fatiguing trunk flexor exercise (time p = 0.001; time × group p = 0.241; Figure 1C). At the nailbed, postpartum women and nulligravid women demonstrated no change in PPT following exercise (time p = 0.780; time × group p = 0.498; Figure 1A). There were no differences in absolute or relative changes in PPTs after fatiguing exercise between postpartum and nulligravid women at the nailbed or superior rectus abdominis site at the initial or follow up timepoints (p &gt; 0.05; Table 2).</w:t>
      </w:r>
    </w:p>
    <w:p w14:paraId="57EF4839" w14:textId="77777777" w:rsidR="005C4119" w:rsidRPr="00721B96" w:rsidRDefault="005C4119" w:rsidP="005C4119">
      <w:pPr>
        <w:rPr>
          <w:rFonts w:cstheme="minorHAnsi"/>
        </w:rPr>
      </w:pPr>
      <w:r w:rsidRPr="00721B96">
        <w:rPr>
          <w:rFonts w:cstheme="minorHAnsi"/>
          <w:b/>
          <w:bCs/>
          <w:i/>
          <w:iCs/>
        </w:rPr>
        <w:t xml:space="preserve">Figure 1: </w:t>
      </w:r>
      <w:r w:rsidRPr="00721B96">
        <w:rPr>
          <w:rFonts w:cstheme="minorHAnsi"/>
        </w:rPr>
        <w:t>Postpartum vs. Nulligravid PPTs. Pressure Pain Threshold before (Pre) and after (Post) Exercise in Nulligravid and Postpartum Women at the Nailbed (</w:t>
      </w:r>
      <w:proofErr w:type="gramStart"/>
      <w:r w:rsidRPr="00721B96">
        <w:rPr>
          <w:rFonts w:cstheme="minorHAnsi"/>
        </w:rPr>
        <w:t>A,B</w:t>
      </w:r>
      <w:proofErr w:type="gramEnd"/>
      <w:r w:rsidRPr="00721B96">
        <w:rPr>
          <w:rFonts w:cstheme="minorHAnsi"/>
        </w:rPr>
        <w:t>) and Abdomen (C,D). Neither postpartum nor nulligravid women demonstrated a change in PPT at the nailbed following fatiguing trunk flexor exercise at the initial (A) or follow-up (B) time points. Postpartum women had lower PPTs at the nailbed than nulligravid women at 8–10 weeks postpartum (A) but had similar PPTs as nulligravid women 24–26 weeks after childbirth (B) due to a decline in nulligravid PPTs from initial to follow up. Both postpartum and nulligravid women demonstrated EIH at the superior rectus abdominis site following fatiguing trunk flexor exercise at both the initial (C) and follow up (D) time points. Postpartum women had lower PPTs than nulligravid women at the abdomen at 8–10 weeks postpartum (C) and 24–26 weeks postpartum (D). </w:t>
      </w:r>
      <w:r w:rsidRPr="00721B96">
        <w:rPr>
          <w:rFonts w:ascii="Cambria Math" w:hAnsi="Cambria Math" w:cs="Cambria Math"/>
        </w:rPr>
        <w:t>∗</w:t>
      </w:r>
      <w:r w:rsidRPr="00721B96">
        <w:rPr>
          <w:rFonts w:cstheme="minorHAnsi"/>
        </w:rPr>
        <w:t> indicates p &lt; 0.05 (time effect).</w:t>
      </w:r>
    </w:p>
    <w:p w14:paraId="11B28FC5" w14:textId="77777777" w:rsidR="005C4119" w:rsidRPr="00721B96" w:rsidRDefault="005C4119" w:rsidP="005C4119">
      <w:pPr>
        <w:rPr>
          <w:rFonts w:cstheme="minorHAnsi"/>
        </w:rPr>
      </w:pPr>
      <w:r w:rsidRPr="00721B96">
        <w:rPr>
          <w:rFonts w:cstheme="minorHAnsi"/>
          <w:noProof/>
        </w:rPr>
        <w:lastRenderedPageBreak/>
        <w:drawing>
          <wp:inline distT="0" distB="0" distL="0" distR="0" wp14:anchorId="0A4242F9" wp14:editId="52EEC0D5">
            <wp:extent cx="4017818" cy="4143375"/>
            <wp:effectExtent l="0" t="0" r="1905" b="0"/>
            <wp:docPr id="6" name="Picture 6" descr="Figure 1: Postpartum vs. Nulligravid PPTs. Pressure Pain Threshold before (Pre) and after (Post) Exercise in Nulligravid and Postpartum Women at the Nailbed (A,B) and Abdomen (C,D). Neither postpartum nor nulligravid women demonstrated a change in PPT at the nailbed following fatiguing trunk flexor exercise at the initial (A) or follow-up (B) time points. Postpartum women had lower PPTs at the nailbed than nulligravid women at 8–10 weeks postpartum (A) but had similar PPTs as nulligravid women 24–26 weeks after childbirth (B) due to a decline in nulligravid PPTs from initial to follow up. Both postpartum and nulligravid women demonstrated EIH at the superior rectus abdominis site following fatiguing trunk flexor exercise at both the initial (C) and follow up (D) time points. Postpartum women had lower PPTs than nulligravid women at the abdomen at 8–10 weeks postpartum (C) and 24–26 weeks postpartum (D). ∗ indicates p &lt; 0.05 (time eff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24038" cy="4149790"/>
                    </a:xfrm>
                    <a:prstGeom prst="rect">
                      <a:avLst/>
                    </a:prstGeom>
                    <a:noFill/>
                    <a:ln>
                      <a:noFill/>
                    </a:ln>
                  </pic:spPr>
                </pic:pic>
              </a:graphicData>
            </a:graphic>
          </wp:inline>
        </w:drawing>
      </w:r>
    </w:p>
    <w:p w14:paraId="217EC244" w14:textId="16EF7542" w:rsidR="002E6E36" w:rsidRPr="00721B96" w:rsidRDefault="002E6E36" w:rsidP="00227032">
      <w:pPr>
        <w:rPr>
          <w:rFonts w:cstheme="minorHAnsi"/>
        </w:rPr>
      </w:pPr>
    </w:p>
    <w:p w14:paraId="452B77D9" w14:textId="788A7B03" w:rsidR="00135236" w:rsidRPr="00721B96" w:rsidRDefault="00135236" w:rsidP="00227032">
      <w:pPr>
        <w:rPr>
          <w:rFonts w:cstheme="minorHAnsi"/>
        </w:rPr>
      </w:pPr>
      <w:r w:rsidRPr="00721B96">
        <w:rPr>
          <w:rFonts w:cstheme="minorHAnsi"/>
        </w:rPr>
        <w:t>At the second timepoint, no difference was noted in the pain response to exercise in women who delivered vaginally or via Cesarean section at the nailbed (time p = 0.106; time × delivery type p = 0.163; delivery type p = 0.089) or the upper abdomen (time p &lt; 0.001; time × delivery type p = 0.650; delivery type p = 0.165), so both delivery types were combined into one postpartum group. Postpartum and nulligravid women had an increase in PPT at the superior rectus abdominis following fatiguing trunk flexor exercise (time p = 0.003; time × group p = 0.472; Figure 1D). At the nailbed, PPTs were unchanged following fatiguing trunk flexor exercise (time p = 0.054; time × group p = 0.854; Figure 1B).</w:t>
      </w:r>
    </w:p>
    <w:p w14:paraId="151023D3" w14:textId="2E10FE26" w:rsidR="00135236" w:rsidRPr="00721B96" w:rsidRDefault="00483EA5" w:rsidP="00483EA5">
      <w:pPr>
        <w:pStyle w:val="Heading3"/>
        <w:rPr>
          <w:rFonts w:asciiTheme="minorHAnsi" w:hAnsiTheme="minorHAnsi" w:cstheme="minorHAnsi"/>
        </w:rPr>
      </w:pPr>
      <w:r w:rsidRPr="00721B96">
        <w:rPr>
          <w:rFonts w:asciiTheme="minorHAnsi" w:hAnsiTheme="minorHAnsi" w:cstheme="minorHAnsi"/>
        </w:rPr>
        <w:t>Associations</w:t>
      </w:r>
    </w:p>
    <w:p w14:paraId="5CF2CEA5" w14:textId="3287D1AE" w:rsidR="00D2470B" w:rsidRPr="00721B96" w:rsidRDefault="00D2470B" w:rsidP="00D2470B">
      <w:pPr>
        <w:rPr>
          <w:rFonts w:cstheme="minorHAnsi"/>
        </w:rPr>
      </w:pPr>
      <w:r w:rsidRPr="00721B96">
        <w:rPr>
          <w:rFonts w:cstheme="minorHAnsi"/>
        </w:rPr>
        <w:t>At the initial timepoint, EIH (increase in PPTs following exercise) at the superior rectus abdominis site was positively correlated with thickness of the rectus abdominis muscle (r = 0.321, p = 0.026); women with thicker abdominal muscles experienced greater local EIH. At the second timepoint only, exercise-induced changes in PPT at the nailbed was associated with baseline PPT at the nailbed (r = −0.396, p = 0.025); women who demonstrated greater baseline PPT at the nailbed reported less EIH than women with lower baseline PPT. Baseline PPT at the superior rectus abdominis was not associated with EIH at the superior rectus abdominis (r = −0.056, p = 0.733).</w:t>
      </w:r>
    </w:p>
    <w:p w14:paraId="7E576805" w14:textId="10405148" w:rsidR="00D2470B" w:rsidRPr="00721B96" w:rsidRDefault="00D2470B" w:rsidP="00D2470B">
      <w:pPr>
        <w:pStyle w:val="Heading2"/>
        <w:rPr>
          <w:rFonts w:asciiTheme="minorHAnsi" w:hAnsiTheme="minorHAnsi" w:cstheme="minorHAnsi"/>
        </w:rPr>
      </w:pPr>
      <w:r w:rsidRPr="00721B96">
        <w:rPr>
          <w:rFonts w:asciiTheme="minorHAnsi" w:hAnsiTheme="minorHAnsi" w:cstheme="minorHAnsi"/>
        </w:rPr>
        <w:t>Protocol Two: Men and Women</w:t>
      </w:r>
    </w:p>
    <w:p w14:paraId="2B146BD6" w14:textId="3302CC2C" w:rsidR="00F6243E" w:rsidRPr="00721B96" w:rsidRDefault="00EE58E7" w:rsidP="00D2470B">
      <w:pPr>
        <w:rPr>
          <w:rFonts w:cstheme="minorHAnsi"/>
        </w:rPr>
      </w:pPr>
      <w:r w:rsidRPr="00721B96">
        <w:rPr>
          <w:rFonts w:cstheme="minorHAnsi"/>
        </w:rPr>
        <w:t>Subject characteristics, including weight, BMI, trunk flexor strength and fatigability, and physical activity levels are presented in Table 3.</w:t>
      </w:r>
    </w:p>
    <w:p w14:paraId="0210AB98" w14:textId="4EDD99C0" w:rsidR="00F6243E" w:rsidRPr="00721B96" w:rsidRDefault="00F6243E" w:rsidP="00D2470B">
      <w:pPr>
        <w:rPr>
          <w:rFonts w:cstheme="minorHAnsi"/>
        </w:rPr>
      </w:pPr>
      <w:r w:rsidRPr="00721B96">
        <w:rPr>
          <w:rFonts w:cstheme="minorHAnsi"/>
          <w:noProof/>
        </w:rPr>
        <w:lastRenderedPageBreak/>
        <w:drawing>
          <wp:inline distT="0" distB="0" distL="0" distR="0" wp14:anchorId="1CD80E0F" wp14:editId="6876D765">
            <wp:extent cx="2476500" cy="2846746"/>
            <wp:effectExtent l="0" t="0" r="0" b="0"/>
            <wp:docPr id="4" name="Picture 4" descr="Table 3: Subject characteristics: men vs. nulligravid w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40732" cy="2920581"/>
                    </a:xfrm>
                    <a:prstGeom prst="rect">
                      <a:avLst/>
                    </a:prstGeom>
                    <a:noFill/>
                    <a:ln>
                      <a:noFill/>
                    </a:ln>
                  </pic:spPr>
                </pic:pic>
              </a:graphicData>
            </a:graphic>
          </wp:inline>
        </w:drawing>
      </w:r>
      <w:r w:rsidR="00165466" w:rsidRPr="00721B96">
        <w:rPr>
          <w:rFonts w:cstheme="minorHAnsi"/>
        </w:rPr>
        <w:t xml:space="preserve"> </w:t>
      </w:r>
    </w:p>
    <w:p w14:paraId="3EF78245" w14:textId="18A04252" w:rsidR="00F6243E" w:rsidRDefault="00165466" w:rsidP="00D2470B">
      <w:pPr>
        <w:rPr>
          <w:rFonts w:cstheme="minorHAnsi"/>
        </w:rPr>
      </w:pPr>
      <w:r w:rsidRPr="00721B96">
        <w:rPr>
          <w:rStyle w:val="Heading4Char"/>
          <w:rFonts w:asciiTheme="minorHAnsi" w:hAnsiTheme="minorHAnsi" w:cstheme="minorHAnsi"/>
          <w:b/>
          <w:bCs/>
        </w:rPr>
        <w:t>Table 3:</w:t>
      </w:r>
      <w:r w:rsidRPr="00721B96">
        <w:rPr>
          <w:rFonts w:cstheme="minorHAnsi"/>
        </w:rPr>
        <w:t xml:space="preserve"> Subject characteristics: men vs. nulligravid women.</w:t>
      </w:r>
    </w:p>
    <w:tbl>
      <w:tblPr>
        <w:tblStyle w:val="TableGrid"/>
        <w:tblW w:w="0" w:type="auto"/>
        <w:tblLook w:val="04A0" w:firstRow="1" w:lastRow="0" w:firstColumn="1" w:lastColumn="0" w:noHBand="0" w:noVBand="1"/>
      </w:tblPr>
      <w:tblGrid>
        <w:gridCol w:w="5845"/>
        <w:gridCol w:w="1800"/>
        <w:gridCol w:w="2425"/>
      </w:tblGrid>
      <w:tr w:rsidR="000211C3" w:rsidRPr="00BE6BFE" w14:paraId="28600786" w14:textId="77777777" w:rsidTr="006135C6">
        <w:tc>
          <w:tcPr>
            <w:tcW w:w="5845" w:type="dxa"/>
          </w:tcPr>
          <w:p w14:paraId="11B3B5A2" w14:textId="77777777" w:rsidR="000211C3" w:rsidRPr="00BE6BFE" w:rsidRDefault="000211C3" w:rsidP="00D2470B">
            <w:pPr>
              <w:rPr>
                <w:rFonts w:cstheme="minorHAnsi"/>
                <w:sz w:val="20"/>
                <w:szCs w:val="20"/>
              </w:rPr>
            </w:pPr>
          </w:p>
        </w:tc>
        <w:tc>
          <w:tcPr>
            <w:tcW w:w="1800" w:type="dxa"/>
          </w:tcPr>
          <w:p w14:paraId="364BCA9D" w14:textId="12BF52F7" w:rsidR="000211C3" w:rsidRPr="00BE6BFE" w:rsidRDefault="00AA7970" w:rsidP="00D2470B">
            <w:pPr>
              <w:rPr>
                <w:rFonts w:cstheme="minorHAnsi"/>
                <w:sz w:val="20"/>
                <w:szCs w:val="20"/>
              </w:rPr>
            </w:pPr>
            <w:r w:rsidRPr="00BE6BFE">
              <w:rPr>
                <w:rFonts w:cstheme="minorHAnsi"/>
                <w:sz w:val="20"/>
                <w:szCs w:val="20"/>
              </w:rPr>
              <w:t>Men (n = 16)</w:t>
            </w:r>
          </w:p>
        </w:tc>
        <w:tc>
          <w:tcPr>
            <w:tcW w:w="2425" w:type="dxa"/>
          </w:tcPr>
          <w:p w14:paraId="14A8BCCF" w14:textId="6EA193BD" w:rsidR="000211C3" w:rsidRPr="00BE6BFE" w:rsidRDefault="007D5E6C" w:rsidP="00D2470B">
            <w:pPr>
              <w:rPr>
                <w:rFonts w:cstheme="minorHAnsi"/>
                <w:sz w:val="20"/>
                <w:szCs w:val="20"/>
              </w:rPr>
            </w:pPr>
            <w:r w:rsidRPr="00BE6BFE">
              <w:rPr>
                <w:rFonts w:cstheme="minorHAnsi"/>
                <w:sz w:val="20"/>
                <w:szCs w:val="20"/>
              </w:rPr>
              <w:t>Nulligravid women (n = 19)</w:t>
            </w:r>
          </w:p>
        </w:tc>
      </w:tr>
      <w:tr w:rsidR="000211C3" w:rsidRPr="00BE6BFE" w14:paraId="5899B2F5" w14:textId="77777777" w:rsidTr="006135C6">
        <w:tc>
          <w:tcPr>
            <w:tcW w:w="5845" w:type="dxa"/>
          </w:tcPr>
          <w:p w14:paraId="070D6D9C" w14:textId="149B215A" w:rsidR="006B7576" w:rsidRPr="00BE6BFE" w:rsidRDefault="007D5E6C" w:rsidP="008A034F">
            <w:pPr>
              <w:rPr>
                <w:rFonts w:cstheme="minorHAnsi"/>
                <w:sz w:val="20"/>
                <w:szCs w:val="20"/>
              </w:rPr>
            </w:pPr>
            <w:r w:rsidRPr="00BE6BFE">
              <w:rPr>
                <w:rFonts w:cstheme="minorHAnsi"/>
                <w:sz w:val="20"/>
                <w:szCs w:val="20"/>
              </w:rPr>
              <w:t>Age (years</w:t>
            </w:r>
            <w:r w:rsidR="008A034F" w:rsidRPr="00BE6BFE">
              <w:rPr>
                <w:rFonts w:cstheme="minorHAnsi"/>
                <w:sz w:val="20"/>
                <w:szCs w:val="20"/>
              </w:rPr>
              <w:t>)</w:t>
            </w:r>
          </w:p>
        </w:tc>
        <w:tc>
          <w:tcPr>
            <w:tcW w:w="1800" w:type="dxa"/>
          </w:tcPr>
          <w:p w14:paraId="2932A98E" w14:textId="50B1C2C4" w:rsidR="000211C3" w:rsidRPr="00BE6BFE" w:rsidRDefault="006B7576" w:rsidP="00D2470B">
            <w:pPr>
              <w:rPr>
                <w:rFonts w:cstheme="minorHAnsi"/>
                <w:sz w:val="20"/>
                <w:szCs w:val="20"/>
              </w:rPr>
            </w:pPr>
            <w:r w:rsidRPr="00BE6BFE">
              <w:rPr>
                <w:rFonts w:cstheme="minorHAnsi"/>
                <w:sz w:val="20"/>
                <w:szCs w:val="20"/>
              </w:rPr>
              <w:t>24.1 ± 6.6</w:t>
            </w:r>
          </w:p>
        </w:tc>
        <w:tc>
          <w:tcPr>
            <w:tcW w:w="2425" w:type="dxa"/>
          </w:tcPr>
          <w:p w14:paraId="179F62B0" w14:textId="014354E1" w:rsidR="000211C3" w:rsidRPr="00BE6BFE" w:rsidRDefault="006B7576" w:rsidP="00D2470B">
            <w:pPr>
              <w:rPr>
                <w:rFonts w:cstheme="minorHAnsi"/>
                <w:sz w:val="20"/>
                <w:szCs w:val="20"/>
              </w:rPr>
            </w:pPr>
            <w:r w:rsidRPr="00BE6BFE">
              <w:rPr>
                <w:rFonts w:cstheme="minorHAnsi"/>
                <w:sz w:val="20"/>
                <w:szCs w:val="20"/>
              </w:rPr>
              <w:t>24.4 ± 4.9</w:t>
            </w:r>
          </w:p>
        </w:tc>
      </w:tr>
      <w:tr w:rsidR="000211C3" w:rsidRPr="00BE6BFE" w14:paraId="074EC98C" w14:textId="77777777" w:rsidTr="006135C6">
        <w:tc>
          <w:tcPr>
            <w:tcW w:w="5845" w:type="dxa"/>
          </w:tcPr>
          <w:p w14:paraId="1B73439D" w14:textId="239B6746" w:rsidR="000211C3" w:rsidRPr="00BE6BFE" w:rsidRDefault="004F5A20" w:rsidP="008A034F">
            <w:pPr>
              <w:rPr>
                <w:rFonts w:cstheme="minorHAnsi"/>
                <w:sz w:val="20"/>
                <w:szCs w:val="20"/>
              </w:rPr>
            </w:pPr>
            <w:r w:rsidRPr="00BE6BFE">
              <w:rPr>
                <w:rFonts w:cstheme="minorHAnsi"/>
                <w:sz w:val="20"/>
                <w:szCs w:val="20"/>
              </w:rPr>
              <w:t>Height (cm</w:t>
            </w:r>
            <w:r w:rsidR="008A034F" w:rsidRPr="00BE6BFE">
              <w:rPr>
                <w:rFonts w:cstheme="minorHAnsi"/>
                <w:sz w:val="20"/>
                <w:szCs w:val="20"/>
              </w:rPr>
              <w:t>)</w:t>
            </w:r>
          </w:p>
        </w:tc>
        <w:tc>
          <w:tcPr>
            <w:tcW w:w="1800" w:type="dxa"/>
          </w:tcPr>
          <w:p w14:paraId="2FF59303" w14:textId="03A7A347" w:rsidR="000211C3" w:rsidRPr="00BE6BFE" w:rsidRDefault="008A034F" w:rsidP="00D2470B">
            <w:pPr>
              <w:rPr>
                <w:rFonts w:cstheme="minorHAnsi"/>
                <w:sz w:val="20"/>
                <w:szCs w:val="20"/>
              </w:rPr>
            </w:pPr>
            <w:r w:rsidRPr="00BE6BFE">
              <w:rPr>
                <w:rFonts w:cstheme="minorHAnsi"/>
                <w:sz w:val="20"/>
                <w:szCs w:val="20"/>
              </w:rPr>
              <w:t>176.8 ± 7.4</w:t>
            </w:r>
          </w:p>
        </w:tc>
        <w:tc>
          <w:tcPr>
            <w:tcW w:w="2425" w:type="dxa"/>
          </w:tcPr>
          <w:p w14:paraId="7B159DAC" w14:textId="1A3ADCD5" w:rsidR="000211C3" w:rsidRPr="00BE6BFE" w:rsidRDefault="008A034F" w:rsidP="00D2470B">
            <w:pPr>
              <w:rPr>
                <w:rFonts w:cstheme="minorHAnsi"/>
                <w:sz w:val="20"/>
                <w:szCs w:val="20"/>
              </w:rPr>
            </w:pPr>
            <w:r w:rsidRPr="00BE6BFE">
              <w:rPr>
                <w:rFonts w:cstheme="minorHAnsi"/>
                <w:sz w:val="20"/>
                <w:szCs w:val="20"/>
              </w:rPr>
              <w:t>167.1 ± 9.1</w:t>
            </w:r>
            <w:r w:rsidRPr="00BE6BFE">
              <w:rPr>
                <w:rFonts w:ascii="Cambria Math" w:hAnsi="Cambria Math" w:cs="Cambria Math"/>
                <w:sz w:val="20"/>
                <w:szCs w:val="20"/>
              </w:rPr>
              <w:t>∗</w:t>
            </w:r>
          </w:p>
        </w:tc>
      </w:tr>
      <w:tr w:rsidR="000211C3" w:rsidRPr="00BE6BFE" w14:paraId="7F030154" w14:textId="77777777" w:rsidTr="006135C6">
        <w:tc>
          <w:tcPr>
            <w:tcW w:w="5845" w:type="dxa"/>
          </w:tcPr>
          <w:p w14:paraId="7496AF49" w14:textId="2B8FEC59" w:rsidR="000211C3" w:rsidRPr="00BE6BFE" w:rsidRDefault="004F5A20" w:rsidP="00890BF1">
            <w:pPr>
              <w:rPr>
                <w:rFonts w:cstheme="minorHAnsi"/>
                <w:sz w:val="20"/>
                <w:szCs w:val="20"/>
              </w:rPr>
            </w:pPr>
            <w:r w:rsidRPr="00BE6BFE">
              <w:rPr>
                <w:rFonts w:cstheme="minorHAnsi"/>
                <w:sz w:val="20"/>
                <w:szCs w:val="20"/>
              </w:rPr>
              <w:t>Weight (kg</w:t>
            </w:r>
            <w:r w:rsidR="00890BF1" w:rsidRPr="00BE6BFE">
              <w:rPr>
                <w:rFonts w:cstheme="minorHAnsi"/>
                <w:sz w:val="20"/>
                <w:szCs w:val="20"/>
              </w:rPr>
              <w:t>)</w:t>
            </w:r>
          </w:p>
        </w:tc>
        <w:tc>
          <w:tcPr>
            <w:tcW w:w="1800" w:type="dxa"/>
          </w:tcPr>
          <w:p w14:paraId="53CF82E6" w14:textId="69A725B2" w:rsidR="000211C3" w:rsidRPr="00BE6BFE" w:rsidRDefault="00890BF1" w:rsidP="00D2470B">
            <w:pPr>
              <w:rPr>
                <w:rFonts w:cstheme="minorHAnsi"/>
                <w:sz w:val="20"/>
                <w:szCs w:val="20"/>
              </w:rPr>
            </w:pPr>
            <w:r w:rsidRPr="00BE6BFE">
              <w:rPr>
                <w:rFonts w:cstheme="minorHAnsi"/>
                <w:sz w:val="20"/>
                <w:szCs w:val="20"/>
              </w:rPr>
              <w:t>72.7 ± 8.5</w:t>
            </w:r>
          </w:p>
        </w:tc>
        <w:tc>
          <w:tcPr>
            <w:tcW w:w="2425" w:type="dxa"/>
          </w:tcPr>
          <w:p w14:paraId="5ADD834D" w14:textId="1704FC52" w:rsidR="000211C3" w:rsidRPr="00BE6BFE" w:rsidRDefault="00890BF1" w:rsidP="00D2470B">
            <w:pPr>
              <w:rPr>
                <w:rFonts w:cstheme="minorHAnsi"/>
                <w:sz w:val="20"/>
                <w:szCs w:val="20"/>
              </w:rPr>
            </w:pPr>
            <w:r w:rsidRPr="00BE6BFE">
              <w:rPr>
                <w:rFonts w:cstheme="minorHAnsi"/>
                <w:sz w:val="20"/>
                <w:szCs w:val="20"/>
              </w:rPr>
              <w:t>65.6 ± 12.2</w:t>
            </w:r>
          </w:p>
        </w:tc>
      </w:tr>
      <w:tr w:rsidR="000211C3" w:rsidRPr="00BE6BFE" w14:paraId="759C5D80" w14:textId="77777777" w:rsidTr="006135C6">
        <w:tc>
          <w:tcPr>
            <w:tcW w:w="5845" w:type="dxa"/>
          </w:tcPr>
          <w:p w14:paraId="3156E3FC" w14:textId="3B165D73" w:rsidR="000211C3" w:rsidRPr="00BE6BFE" w:rsidRDefault="004F5A20" w:rsidP="00890BF1">
            <w:pPr>
              <w:rPr>
                <w:rFonts w:cstheme="minorHAnsi"/>
                <w:sz w:val="20"/>
                <w:szCs w:val="20"/>
              </w:rPr>
            </w:pPr>
            <w:r w:rsidRPr="00BE6BFE">
              <w:rPr>
                <w:rFonts w:cstheme="minorHAnsi"/>
                <w:sz w:val="20"/>
                <w:szCs w:val="20"/>
              </w:rPr>
              <w:t>BMI (kg/m2</w:t>
            </w:r>
            <w:r w:rsidR="00890BF1" w:rsidRPr="00BE6BFE">
              <w:rPr>
                <w:rFonts w:cstheme="minorHAnsi"/>
                <w:sz w:val="20"/>
                <w:szCs w:val="20"/>
              </w:rPr>
              <w:t>)</w:t>
            </w:r>
          </w:p>
        </w:tc>
        <w:tc>
          <w:tcPr>
            <w:tcW w:w="1800" w:type="dxa"/>
          </w:tcPr>
          <w:p w14:paraId="6D7506BF" w14:textId="198B8FC7" w:rsidR="000211C3" w:rsidRPr="00BE6BFE" w:rsidRDefault="00890BF1" w:rsidP="00D2470B">
            <w:pPr>
              <w:rPr>
                <w:rFonts w:cstheme="minorHAnsi"/>
                <w:sz w:val="20"/>
                <w:szCs w:val="20"/>
              </w:rPr>
            </w:pPr>
            <w:r w:rsidRPr="00BE6BFE">
              <w:rPr>
                <w:rFonts w:cstheme="minorHAnsi"/>
                <w:sz w:val="20"/>
                <w:szCs w:val="20"/>
              </w:rPr>
              <w:t>23.0 ± 2.3</w:t>
            </w:r>
          </w:p>
        </w:tc>
        <w:tc>
          <w:tcPr>
            <w:tcW w:w="2425" w:type="dxa"/>
          </w:tcPr>
          <w:p w14:paraId="3D90C32D" w14:textId="0AD374CD" w:rsidR="000211C3" w:rsidRPr="00BE6BFE" w:rsidRDefault="00890BF1" w:rsidP="00D2470B">
            <w:pPr>
              <w:rPr>
                <w:rFonts w:cstheme="minorHAnsi"/>
                <w:sz w:val="20"/>
                <w:szCs w:val="20"/>
              </w:rPr>
            </w:pPr>
            <w:r w:rsidRPr="00BE6BFE">
              <w:rPr>
                <w:rFonts w:cstheme="minorHAnsi"/>
                <w:sz w:val="20"/>
                <w:szCs w:val="20"/>
              </w:rPr>
              <w:t>23.3 ± 3.7</w:t>
            </w:r>
          </w:p>
        </w:tc>
      </w:tr>
      <w:tr w:rsidR="000211C3" w:rsidRPr="00BE6BFE" w14:paraId="540DAD95" w14:textId="77777777" w:rsidTr="006135C6">
        <w:tc>
          <w:tcPr>
            <w:tcW w:w="5845" w:type="dxa"/>
          </w:tcPr>
          <w:p w14:paraId="0ABBF4A2" w14:textId="1A946BAD" w:rsidR="000211C3" w:rsidRPr="00BE6BFE" w:rsidRDefault="00C63A44" w:rsidP="006814E8">
            <w:pPr>
              <w:rPr>
                <w:rFonts w:cstheme="minorHAnsi"/>
                <w:sz w:val="20"/>
                <w:szCs w:val="20"/>
              </w:rPr>
            </w:pPr>
            <w:r w:rsidRPr="00BE6BFE">
              <w:rPr>
                <w:rFonts w:cstheme="minorHAnsi"/>
                <w:sz w:val="20"/>
                <w:szCs w:val="20"/>
              </w:rPr>
              <w:t>McGill pain intensity</w:t>
            </w:r>
            <w:r w:rsidR="006814E8" w:rsidRPr="00BE6BFE">
              <w:rPr>
                <w:rFonts w:cstheme="minorHAnsi"/>
                <w:sz w:val="20"/>
                <w:szCs w:val="20"/>
              </w:rPr>
              <w:t xml:space="preserve"> </w:t>
            </w:r>
            <w:r w:rsidRPr="00BE6BFE">
              <w:rPr>
                <w:rFonts w:cstheme="minorHAnsi"/>
                <w:sz w:val="20"/>
                <w:szCs w:val="20"/>
              </w:rPr>
              <w:t>(cm)</w:t>
            </w:r>
            <w:r w:rsidR="006814E8" w:rsidRPr="00BE6BFE">
              <w:rPr>
                <w:rFonts w:cstheme="minorHAnsi"/>
                <w:sz w:val="20"/>
                <w:szCs w:val="20"/>
              </w:rPr>
              <w:t xml:space="preserve"> </w:t>
            </w:r>
          </w:p>
        </w:tc>
        <w:tc>
          <w:tcPr>
            <w:tcW w:w="1800" w:type="dxa"/>
          </w:tcPr>
          <w:p w14:paraId="67A4AB83" w14:textId="4E58CBD0" w:rsidR="000211C3" w:rsidRPr="00BE6BFE" w:rsidRDefault="006814E8" w:rsidP="00D2470B">
            <w:pPr>
              <w:rPr>
                <w:rFonts w:cstheme="minorHAnsi"/>
                <w:sz w:val="20"/>
                <w:szCs w:val="20"/>
              </w:rPr>
            </w:pPr>
            <w:r w:rsidRPr="00BE6BFE">
              <w:rPr>
                <w:rFonts w:cstheme="minorHAnsi"/>
                <w:sz w:val="20"/>
                <w:szCs w:val="20"/>
              </w:rPr>
              <w:t>0.04 ± 0.2</w:t>
            </w:r>
          </w:p>
        </w:tc>
        <w:tc>
          <w:tcPr>
            <w:tcW w:w="2425" w:type="dxa"/>
          </w:tcPr>
          <w:p w14:paraId="3354B76D" w14:textId="195E24DB" w:rsidR="000211C3" w:rsidRPr="00BE6BFE" w:rsidRDefault="006814E8" w:rsidP="00D2470B">
            <w:pPr>
              <w:rPr>
                <w:rFonts w:cstheme="minorHAnsi"/>
                <w:sz w:val="20"/>
                <w:szCs w:val="20"/>
              </w:rPr>
            </w:pPr>
            <w:r w:rsidRPr="00BE6BFE">
              <w:rPr>
                <w:rFonts w:cstheme="minorHAnsi"/>
                <w:sz w:val="20"/>
                <w:szCs w:val="20"/>
              </w:rPr>
              <w:t>0.4 ± 1.0</w:t>
            </w:r>
          </w:p>
        </w:tc>
      </w:tr>
      <w:tr w:rsidR="000211C3" w:rsidRPr="00BE6BFE" w14:paraId="5B72D9A2" w14:textId="77777777" w:rsidTr="006135C6">
        <w:tc>
          <w:tcPr>
            <w:tcW w:w="5845" w:type="dxa"/>
          </w:tcPr>
          <w:p w14:paraId="2BC916EE" w14:textId="298D2D53" w:rsidR="000211C3" w:rsidRPr="00BE6BFE" w:rsidRDefault="00C63A44" w:rsidP="006814E8">
            <w:pPr>
              <w:rPr>
                <w:rFonts w:cstheme="minorHAnsi"/>
                <w:sz w:val="20"/>
                <w:szCs w:val="20"/>
              </w:rPr>
            </w:pPr>
            <w:proofErr w:type="spellStart"/>
            <w:r w:rsidRPr="00BE6BFE">
              <w:rPr>
                <w:rFonts w:cstheme="minorHAnsi"/>
                <w:sz w:val="20"/>
                <w:szCs w:val="20"/>
              </w:rPr>
              <w:t>Oswestry</w:t>
            </w:r>
            <w:proofErr w:type="spellEnd"/>
            <w:r w:rsidRPr="00BE6BFE">
              <w:rPr>
                <w:rFonts w:cstheme="minorHAnsi"/>
                <w:sz w:val="20"/>
                <w:szCs w:val="20"/>
              </w:rPr>
              <w:t xml:space="preserve"> (%)  </w:t>
            </w:r>
          </w:p>
        </w:tc>
        <w:tc>
          <w:tcPr>
            <w:tcW w:w="1800" w:type="dxa"/>
          </w:tcPr>
          <w:p w14:paraId="5C816E38" w14:textId="64667735" w:rsidR="000211C3" w:rsidRPr="00BE6BFE" w:rsidRDefault="006814E8" w:rsidP="00D2470B">
            <w:pPr>
              <w:rPr>
                <w:rFonts w:cstheme="minorHAnsi"/>
                <w:sz w:val="20"/>
                <w:szCs w:val="20"/>
              </w:rPr>
            </w:pPr>
            <w:r w:rsidRPr="00BE6BFE">
              <w:rPr>
                <w:rFonts w:cstheme="minorHAnsi"/>
                <w:sz w:val="20"/>
                <w:szCs w:val="20"/>
              </w:rPr>
              <w:t>2.1 ± 3.2</w:t>
            </w:r>
          </w:p>
        </w:tc>
        <w:tc>
          <w:tcPr>
            <w:tcW w:w="2425" w:type="dxa"/>
          </w:tcPr>
          <w:p w14:paraId="6C6E384D" w14:textId="18C550E1" w:rsidR="000211C3" w:rsidRPr="00BE6BFE" w:rsidRDefault="006814E8" w:rsidP="00D2470B">
            <w:pPr>
              <w:rPr>
                <w:rFonts w:cstheme="minorHAnsi"/>
                <w:sz w:val="20"/>
                <w:szCs w:val="20"/>
              </w:rPr>
            </w:pPr>
            <w:r w:rsidRPr="00BE6BFE">
              <w:rPr>
                <w:rFonts w:cstheme="minorHAnsi"/>
                <w:sz w:val="20"/>
                <w:szCs w:val="20"/>
              </w:rPr>
              <w:t>0.9 ± 2.0</w:t>
            </w:r>
          </w:p>
        </w:tc>
      </w:tr>
      <w:tr w:rsidR="000211C3" w:rsidRPr="00BE6BFE" w14:paraId="25EB78A6" w14:textId="77777777" w:rsidTr="006135C6">
        <w:tc>
          <w:tcPr>
            <w:tcW w:w="5845" w:type="dxa"/>
          </w:tcPr>
          <w:p w14:paraId="6013F8D6" w14:textId="667694E0" w:rsidR="000211C3" w:rsidRPr="00BE6BFE" w:rsidRDefault="0023643C" w:rsidP="008F4531">
            <w:pPr>
              <w:rPr>
                <w:rFonts w:cstheme="minorHAnsi"/>
                <w:sz w:val="20"/>
                <w:szCs w:val="20"/>
              </w:rPr>
            </w:pPr>
            <w:r w:rsidRPr="00BE6BFE">
              <w:rPr>
                <w:rFonts w:cstheme="minorHAnsi"/>
                <w:sz w:val="20"/>
                <w:szCs w:val="20"/>
              </w:rPr>
              <w:t>Fear Avoidance Beliefs</w:t>
            </w:r>
            <w:r w:rsidR="008F4531" w:rsidRPr="00BE6BFE">
              <w:rPr>
                <w:rFonts w:cstheme="minorHAnsi"/>
                <w:sz w:val="20"/>
                <w:szCs w:val="20"/>
              </w:rPr>
              <w:t xml:space="preserve"> </w:t>
            </w:r>
            <w:r w:rsidRPr="00BE6BFE">
              <w:rPr>
                <w:rFonts w:cstheme="minorHAnsi"/>
                <w:sz w:val="20"/>
                <w:szCs w:val="20"/>
              </w:rPr>
              <w:t>Questionnaire (AU)</w:t>
            </w:r>
            <w:r w:rsidR="008F4531" w:rsidRPr="00BE6BFE">
              <w:rPr>
                <w:rFonts w:cstheme="minorHAnsi"/>
                <w:sz w:val="20"/>
                <w:szCs w:val="20"/>
              </w:rPr>
              <w:t xml:space="preserve"> </w:t>
            </w:r>
          </w:p>
        </w:tc>
        <w:tc>
          <w:tcPr>
            <w:tcW w:w="1800" w:type="dxa"/>
          </w:tcPr>
          <w:p w14:paraId="793E138A" w14:textId="6FFCA862" w:rsidR="000211C3" w:rsidRPr="00BE6BFE" w:rsidRDefault="008F4531" w:rsidP="00D2470B">
            <w:pPr>
              <w:rPr>
                <w:rFonts w:cstheme="minorHAnsi"/>
                <w:sz w:val="20"/>
                <w:szCs w:val="20"/>
              </w:rPr>
            </w:pPr>
            <w:r w:rsidRPr="00BE6BFE">
              <w:rPr>
                <w:rFonts w:cstheme="minorHAnsi"/>
                <w:sz w:val="20"/>
                <w:szCs w:val="20"/>
              </w:rPr>
              <w:t>1.9 ± 5.6</w:t>
            </w:r>
          </w:p>
        </w:tc>
        <w:tc>
          <w:tcPr>
            <w:tcW w:w="2425" w:type="dxa"/>
          </w:tcPr>
          <w:p w14:paraId="5D808141" w14:textId="5B08B1C7" w:rsidR="000211C3" w:rsidRPr="00BE6BFE" w:rsidRDefault="008F4531" w:rsidP="00D2470B">
            <w:pPr>
              <w:rPr>
                <w:rFonts w:cstheme="minorHAnsi"/>
                <w:sz w:val="20"/>
                <w:szCs w:val="20"/>
              </w:rPr>
            </w:pPr>
            <w:r w:rsidRPr="00BE6BFE">
              <w:rPr>
                <w:rFonts w:cstheme="minorHAnsi"/>
                <w:sz w:val="20"/>
                <w:szCs w:val="20"/>
              </w:rPr>
              <w:t>0.4 ± 0.8</w:t>
            </w:r>
          </w:p>
        </w:tc>
      </w:tr>
      <w:tr w:rsidR="000211C3" w:rsidRPr="00BE6BFE" w14:paraId="6D182A10" w14:textId="77777777" w:rsidTr="006135C6">
        <w:tc>
          <w:tcPr>
            <w:tcW w:w="5845" w:type="dxa"/>
          </w:tcPr>
          <w:p w14:paraId="55805092" w14:textId="6BDAE696" w:rsidR="000211C3" w:rsidRPr="00BE6BFE" w:rsidRDefault="0023643C" w:rsidP="0053535F">
            <w:pPr>
              <w:rPr>
                <w:rFonts w:cstheme="minorHAnsi"/>
                <w:sz w:val="20"/>
                <w:szCs w:val="20"/>
              </w:rPr>
            </w:pPr>
            <w:r w:rsidRPr="00BE6BFE">
              <w:rPr>
                <w:rFonts w:cstheme="minorHAnsi"/>
                <w:sz w:val="20"/>
                <w:szCs w:val="20"/>
              </w:rPr>
              <w:t>Pain Catastrophizing</w:t>
            </w:r>
            <w:r w:rsidR="008F4531" w:rsidRPr="00BE6BFE">
              <w:rPr>
                <w:rFonts w:cstheme="minorHAnsi"/>
                <w:sz w:val="20"/>
                <w:szCs w:val="20"/>
              </w:rPr>
              <w:t xml:space="preserve"> </w:t>
            </w:r>
            <w:r w:rsidRPr="00BE6BFE">
              <w:rPr>
                <w:rFonts w:cstheme="minorHAnsi"/>
                <w:sz w:val="20"/>
                <w:szCs w:val="20"/>
              </w:rPr>
              <w:t>Scale (AU)</w:t>
            </w:r>
            <w:r w:rsidR="0053535F" w:rsidRPr="00BE6BFE">
              <w:rPr>
                <w:rFonts w:cstheme="minorHAnsi"/>
                <w:sz w:val="20"/>
                <w:szCs w:val="20"/>
              </w:rPr>
              <w:t xml:space="preserve"> </w:t>
            </w:r>
          </w:p>
        </w:tc>
        <w:tc>
          <w:tcPr>
            <w:tcW w:w="1800" w:type="dxa"/>
          </w:tcPr>
          <w:p w14:paraId="369FC9D4" w14:textId="099E2159" w:rsidR="000211C3" w:rsidRPr="00BE6BFE" w:rsidRDefault="0053535F" w:rsidP="00D2470B">
            <w:pPr>
              <w:rPr>
                <w:rFonts w:cstheme="minorHAnsi"/>
                <w:sz w:val="20"/>
                <w:szCs w:val="20"/>
              </w:rPr>
            </w:pPr>
            <w:r w:rsidRPr="00BE6BFE">
              <w:rPr>
                <w:rFonts w:cstheme="minorHAnsi"/>
                <w:sz w:val="20"/>
                <w:szCs w:val="20"/>
              </w:rPr>
              <w:t>8.1 ± 8.4</w:t>
            </w:r>
          </w:p>
        </w:tc>
        <w:tc>
          <w:tcPr>
            <w:tcW w:w="2425" w:type="dxa"/>
          </w:tcPr>
          <w:p w14:paraId="2B0EAD39" w14:textId="708F4617" w:rsidR="000211C3" w:rsidRPr="00BE6BFE" w:rsidRDefault="0053535F" w:rsidP="00D2470B">
            <w:pPr>
              <w:rPr>
                <w:rFonts w:cstheme="minorHAnsi"/>
                <w:sz w:val="20"/>
                <w:szCs w:val="20"/>
              </w:rPr>
            </w:pPr>
            <w:r w:rsidRPr="00BE6BFE">
              <w:rPr>
                <w:rFonts w:cstheme="minorHAnsi"/>
                <w:sz w:val="20"/>
                <w:szCs w:val="20"/>
              </w:rPr>
              <w:t>8.9 ± 7.7</w:t>
            </w:r>
          </w:p>
        </w:tc>
      </w:tr>
      <w:tr w:rsidR="000211C3" w:rsidRPr="00BE6BFE" w14:paraId="2A93F9D7" w14:textId="77777777" w:rsidTr="006135C6">
        <w:tc>
          <w:tcPr>
            <w:tcW w:w="5845" w:type="dxa"/>
          </w:tcPr>
          <w:p w14:paraId="53129728" w14:textId="628427FA" w:rsidR="000211C3" w:rsidRPr="00BE6BFE" w:rsidRDefault="00AC69C7" w:rsidP="0053535F">
            <w:pPr>
              <w:rPr>
                <w:rFonts w:cstheme="minorHAnsi"/>
                <w:sz w:val="20"/>
                <w:szCs w:val="20"/>
              </w:rPr>
            </w:pPr>
            <w:r w:rsidRPr="00BE6BFE">
              <w:rPr>
                <w:rFonts w:cstheme="minorHAnsi"/>
                <w:sz w:val="20"/>
                <w:szCs w:val="20"/>
              </w:rPr>
              <w:t>Rectus abdominis</w:t>
            </w:r>
            <w:r w:rsidR="0053535F" w:rsidRPr="00BE6BFE">
              <w:rPr>
                <w:rFonts w:cstheme="minorHAnsi"/>
                <w:sz w:val="20"/>
                <w:szCs w:val="20"/>
              </w:rPr>
              <w:t xml:space="preserve"> </w:t>
            </w:r>
            <w:r w:rsidRPr="00BE6BFE">
              <w:rPr>
                <w:rFonts w:cstheme="minorHAnsi"/>
                <w:sz w:val="20"/>
                <w:szCs w:val="20"/>
              </w:rPr>
              <w:t>muscle thickness (cm)</w:t>
            </w:r>
          </w:p>
        </w:tc>
        <w:tc>
          <w:tcPr>
            <w:tcW w:w="1800" w:type="dxa"/>
          </w:tcPr>
          <w:p w14:paraId="0B3DB060" w14:textId="0F78CA90" w:rsidR="000211C3" w:rsidRPr="00BE6BFE" w:rsidRDefault="0053535F" w:rsidP="00D2470B">
            <w:pPr>
              <w:rPr>
                <w:rFonts w:cstheme="minorHAnsi"/>
                <w:sz w:val="20"/>
                <w:szCs w:val="20"/>
              </w:rPr>
            </w:pPr>
            <w:r w:rsidRPr="00BE6BFE">
              <w:rPr>
                <w:rFonts w:cstheme="minorHAnsi"/>
                <w:sz w:val="20"/>
                <w:szCs w:val="20"/>
              </w:rPr>
              <w:t>1.3 ± 0.4 (n = 13)</w:t>
            </w:r>
          </w:p>
        </w:tc>
        <w:tc>
          <w:tcPr>
            <w:tcW w:w="2425" w:type="dxa"/>
          </w:tcPr>
          <w:p w14:paraId="58A41A5B" w14:textId="7A2EF117" w:rsidR="000211C3" w:rsidRPr="00BE6BFE" w:rsidRDefault="0053535F" w:rsidP="00D2470B">
            <w:pPr>
              <w:rPr>
                <w:rFonts w:cstheme="minorHAnsi"/>
                <w:sz w:val="20"/>
                <w:szCs w:val="20"/>
              </w:rPr>
            </w:pPr>
            <w:r w:rsidRPr="00BE6BFE">
              <w:rPr>
                <w:rFonts w:cstheme="minorHAnsi"/>
                <w:sz w:val="20"/>
                <w:szCs w:val="20"/>
              </w:rPr>
              <w:t>1.0 ± 0.2</w:t>
            </w:r>
            <w:proofErr w:type="gramStart"/>
            <w:r w:rsidRPr="00BE6BFE">
              <w:rPr>
                <w:rFonts w:ascii="Cambria Math" w:hAnsi="Cambria Math" w:cs="Cambria Math"/>
                <w:sz w:val="20"/>
                <w:szCs w:val="20"/>
              </w:rPr>
              <w:t>∗</w:t>
            </w:r>
            <w:r w:rsidRPr="00BE6BFE">
              <w:rPr>
                <w:rFonts w:cstheme="minorHAnsi"/>
                <w:sz w:val="20"/>
                <w:szCs w:val="20"/>
              </w:rPr>
              <w:t xml:space="preserve">  (</w:t>
            </w:r>
            <w:proofErr w:type="gramEnd"/>
            <w:r w:rsidRPr="00BE6BFE">
              <w:rPr>
                <w:rFonts w:cstheme="minorHAnsi"/>
                <w:sz w:val="20"/>
                <w:szCs w:val="20"/>
              </w:rPr>
              <w:t>n = 15)</w:t>
            </w:r>
          </w:p>
        </w:tc>
      </w:tr>
      <w:tr w:rsidR="000211C3" w:rsidRPr="00BE6BFE" w14:paraId="0FB3B659" w14:textId="77777777" w:rsidTr="006135C6">
        <w:tc>
          <w:tcPr>
            <w:tcW w:w="5845" w:type="dxa"/>
          </w:tcPr>
          <w:p w14:paraId="09E46C59" w14:textId="75469C69" w:rsidR="000211C3" w:rsidRPr="00BE6BFE" w:rsidRDefault="00AC69C7" w:rsidP="0053535F">
            <w:pPr>
              <w:rPr>
                <w:rFonts w:cstheme="minorHAnsi"/>
                <w:sz w:val="20"/>
                <w:szCs w:val="20"/>
              </w:rPr>
            </w:pPr>
            <w:r w:rsidRPr="00BE6BFE">
              <w:rPr>
                <w:rFonts w:cstheme="minorHAnsi"/>
                <w:sz w:val="20"/>
                <w:szCs w:val="20"/>
              </w:rPr>
              <w:t xml:space="preserve">Trunk flexor MVC (Nm) </w:t>
            </w:r>
          </w:p>
        </w:tc>
        <w:tc>
          <w:tcPr>
            <w:tcW w:w="1800" w:type="dxa"/>
          </w:tcPr>
          <w:p w14:paraId="1B1D5180" w14:textId="5544D0AD" w:rsidR="000211C3" w:rsidRPr="00BE6BFE" w:rsidRDefault="0053535F" w:rsidP="00D2470B">
            <w:pPr>
              <w:rPr>
                <w:rFonts w:cstheme="minorHAnsi"/>
                <w:sz w:val="20"/>
                <w:szCs w:val="20"/>
              </w:rPr>
            </w:pPr>
            <w:r w:rsidRPr="00BE6BFE">
              <w:rPr>
                <w:rFonts w:cstheme="minorHAnsi"/>
                <w:sz w:val="20"/>
                <w:szCs w:val="20"/>
              </w:rPr>
              <w:t>56.4 ± 23.2</w:t>
            </w:r>
          </w:p>
        </w:tc>
        <w:tc>
          <w:tcPr>
            <w:tcW w:w="2425" w:type="dxa"/>
          </w:tcPr>
          <w:p w14:paraId="4ECC53B2" w14:textId="5048FB58" w:rsidR="000211C3" w:rsidRPr="00BE6BFE" w:rsidRDefault="0053535F" w:rsidP="00D2470B">
            <w:pPr>
              <w:rPr>
                <w:rFonts w:cstheme="minorHAnsi"/>
                <w:sz w:val="20"/>
                <w:szCs w:val="20"/>
              </w:rPr>
            </w:pPr>
            <w:r w:rsidRPr="00BE6BFE">
              <w:rPr>
                <w:rFonts w:cstheme="minorHAnsi"/>
                <w:sz w:val="20"/>
                <w:szCs w:val="20"/>
              </w:rPr>
              <w:t>50.4 ± 22.5</w:t>
            </w:r>
          </w:p>
        </w:tc>
      </w:tr>
      <w:tr w:rsidR="000211C3" w:rsidRPr="00BE6BFE" w14:paraId="539A016D" w14:textId="77777777" w:rsidTr="006135C6">
        <w:tc>
          <w:tcPr>
            <w:tcW w:w="5845" w:type="dxa"/>
          </w:tcPr>
          <w:p w14:paraId="7C673045" w14:textId="158827D4" w:rsidR="000211C3" w:rsidRPr="00BE6BFE" w:rsidRDefault="00AC69C7" w:rsidP="0053535F">
            <w:pPr>
              <w:rPr>
                <w:rFonts w:cstheme="minorHAnsi"/>
                <w:sz w:val="20"/>
                <w:szCs w:val="20"/>
              </w:rPr>
            </w:pPr>
            <w:r w:rsidRPr="00BE6BFE">
              <w:rPr>
                <w:rFonts w:cstheme="minorHAnsi"/>
                <w:sz w:val="20"/>
                <w:szCs w:val="20"/>
              </w:rPr>
              <w:t>Trunk flexor time to task</w:t>
            </w:r>
            <w:r w:rsidR="0053535F" w:rsidRPr="00BE6BFE">
              <w:rPr>
                <w:rFonts w:cstheme="minorHAnsi"/>
                <w:sz w:val="20"/>
                <w:szCs w:val="20"/>
              </w:rPr>
              <w:t xml:space="preserve"> </w:t>
            </w:r>
            <w:r w:rsidRPr="00BE6BFE">
              <w:rPr>
                <w:rFonts w:cstheme="minorHAnsi"/>
                <w:sz w:val="20"/>
                <w:szCs w:val="20"/>
              </w:rPr>
              <w:t>failure (s)</w:t>
            </w:r>
          </w:p>
        </w:tc>
        <w:tc>
          <w:tcPr>
            <w:tcW w:w="1800" w:type="dxa"/>
          </w:tcPr>
          <w:p w14:paraId="1DB3D342" w14:textId="296D1B1D" w:rsidR="000211C3" w:rsidRPr="00BE6BFE" w:rsidRDefault="0053535F" w:rsidP="00D2470B">
            <w:pPr>
              <w:rPr>
                <w:rFonts w:cstheme="minorHAnsi"/>
                <w:sz w:val="20"/>
                <w:szCs w:val="20"/>
              </w:rPr>
            </w:pPr>
            <w:r w:rsidRPr="00BE6BFE">
              <w:rPr>
                <w:rFonts w:cstheme="minorHAnsi"/>
                <w:sz w:val="20"/>
                <w:szCs w:val="20"/>
              </w:rPr>
              <w:t>755.3 ± 458.4</w:t>
            </w:r>
          </w:p>
        </w:tc>
        <w:tc>
          <w:tcPr>
            <w:tcW w:w="2425" w:type="dxa"/>
          </w:tcPr>
          <w:p w14:paraId="16BC5F20" w14:textId="103FEE90" w:rsidR="000211C3" w:rsidRPr="00BE6BFE" w:rsidRDefault="0053535F" w:rsidP="00D2470B">
            <w:pPr>
              <w:rPr>
                <w:rFonts w:cstheme="minorHAnsi"/>
                <w:sz w:val="20"/>
                <w:szCs w:val="20"/>
              </w:rPr>
            </w:pPr>
            <w:r w:rsidRPr="00BE6BFE">
              <w:rPr>
                <w:rFonts w:cstheme="minorHAnsi"/>
                <w:sz w:val="20"/>
                <w:szCs w:val="20"/>
              </w:rPr>
              <w:t>647.2 ± 339.5</w:t>
            </w:r>
          </w:p>
        </w:tc>
      </w:tr>
      <w:tr w:rsidR="000211C3" w:rsidRPr="00BE6BFE" w14:paraId="5C80E99A" w14:textId="77777777" w:rsidTr="006135C6">
        <w:tc>
          <w:tcPr>
            <w:tcW w:w="5845" w:type="dxa"/>
          </w:tcPr>
          <w:p w14:paraId="56359248" w14:textId="1E535408" w:rsidR="000211C3" w:rsidRPr="00BE6BFE" w:rsidRDefault="00430D09" w:rsidP="00BE6BFE">
            <w:pPr>
              <w:rPr>
                <w:rFonts w:cstheme="minorHAnsi"/>
                <w:sz w:val="20"/>
                <w:szCs w:val="20"/>
              </w:rPr>
            </w:pPr>
            <w:r w:rsidRPr="00BE6BFE">
              <w:rPr>
                <w:rFonts w:cstheme="minorHAnsi"/>
                <w:sz w:val="20"/>
                <w:szCs w:val="20"/>
              </w:rPr>
              <w:t>Self-reported physical</w:t>
            </w:r>
            <w:r w:rsidR="0053535F" w:rsidRPr="00BE6BFE">
              <w:rPr>
                <w:rFonts w:cstheme="minorHAnsi"/>
                <w:sz w:val="20"/>
                <w:szCs w:val="20"/>
              </w:rPr>
              <w:t xml:space="preserve"> </w:t>
            </w:r>
            <w:r w:rsidRPr="00BE6BFE">
              <w:rPr>
                <w:rFonts w:cstheme="minorHAnsi"/>
                <w:sz w:val="20"/>
                <w:szCs w:val="20"/>
              </w:rPr>
              <w:t>activity over the previous 12 months (</w:t>
            </w:r>
            <w:proofErr w:type="spellStart"/>
            <w:r w:rsidRPr="00BE6BFE">
              <w:rPr>
                <w:rFonts w:cstheme="minorHAnsi"/>
                <w:sz w:val="20"/>
                <w:szCs w:val="20"/>
              </w:rPr>
              <w:t>MET</w:t>
            </w:r>
            <w:r w:rsidRPr="00BE6BFE">
              <w:rPr>
                <w:rFonts w:ascii="Cambria Math" w:hAnsi="Cambria Math" w:cs="Cambria Math"/>
                <w:sz w:val="20"/>
                <w:szCs w:val="20"/>
              </w:rPr>
              <w:t>∗</w:t>
            </w:r>
            <w:r w:rsidRPr="00BE6BFE">
              <w:rPr>
                <w:rFonts w:cstheme="minorHAnsi"/>
                <w:sz w:val="20"/>
                <w:szCs w:val="20"/>
              </w:rPr>
              <w:t>hr</w:t>
            </w:r>
            <w:r w:rsidRPr="00BE6BFE">
              <w:rPr>
                <w:rFonts w:ascii="Cambria Math" w:hAnsi="Cambria Math" w:cs="Cambria Math"/>
                <w:sz w:val="20"/>
                <w:szCs w:val="20"/>
              </w:rPr>
              <w:t>∗</w:t>
            </w:r>
            <w:r w:rsidRPr="00BE6BFE">
              <w:rPr>
                <w:rFonts w:cstheme="minorHAnsi"/>
                <w:sz w:val="20"/>
                <w:szCs w:val="20"/>
              </w:rPr>
              <w:t>week</w:t>
            </w:r>
            <w:proofErr w:type="spellEnd"/>
            <w:r w:rsidRPr="00BE6BFE">
              <w:rPr>
                <w:rFonts w:ascii="Calibri" w:hAnsi="Calibri" w:cs="Calibri"/>
                <w:sz w:val="20"/>
                <w:szCs w:val="20"/>
              </w:rPr>
              <w:t>−</w:t>
            </w:r>
            <w:r w:rsidRPr="00BE6BFE">
              <w:rPr>
                <w:rFonts w:cstheme="minorHAnsi"/>
                <w:sz w:val="20"/>
                <w:szCs w:val="20"/>
              </w:rPr>
              <w:t xml:space="preserve"> </w:t>
            </w:r>
            <w:proofErr w:type="gramStart"/>
            <w:r w:rsidRPr="00BE6BFE">
              <w:rPr>
                <w:rFonts w:cstheme="minorHAnsi"/>
                <w:sz w:val="20"/>
                <w:szCs w:val="20"/>
              </w:rPr>
              <w:t>1 )</w:t>
            </w:r>
            <w:proofErr w:type="gramEnd"/>
            <w:r w:rsidR="00BE6BFE" w:rsidRPr="00BE6BFE">
              <w:rPr>
                <w:rFonts w:cstheme="minorHAnsi"/>
                <w:sz w:val="20"/>
                <w:szCs w:val="20"/>
              </w:rPr>
              <w:t xml:space="preserve"> </w:t>
            </w:r>
          </w:p>
        </w:tc>
        <w:tc>
          <w:tcPr>
            <w:tcW w:w="1800" w:type="dxa"/>
          </w:tcPr>
          <w:p w14:paraId="6039AC45" w14:textId="6299C4C6" w:rsidR="000211C3" w:rsidRPr="00BE6BFE" w:rsidRDefault="00BE6BFE" w:rsidP="00D2470B">
            <w:pPr>
              <w:rPr>
                <w:rFonts w:cstheme="minorHAnsi"/>
                <w:sz w:val="20"/>
                <w:szCs w:val="20"/>
              </w:rPr>
            </w:pPr>
            <w:r w:rsidRPr="00BE6BFE">
              <w:rPr>
                <w:rFonts w:cstheme="minorHAnsi"/>
                <w:sz w:val="20"/>
                <w:szCs w:val="20"/>
              </w:rPr>
              <w:t>59.2 ± 38.6 (n = 15)</w:t>
            </w:r>
          </w:p>
        </w:tc>
        <w:tc>
          <w:tcPr>
            <w:tcW w:w="2425" w:type="dxa"/>
          </w:tcPr>
          <w:p w14:paraId="1F92C449" w14:textId="2DCCBB53" w:rsidR="000211C3" w:rsidRPr="00BE6BFE" w:rsidRDefault="00BE6BFE" w:rsidP="00D2470B">
            <w:pPr>
              <w:rPr>
                <w:rFonts w:cstheme="minorHAnsi"/>
                <w:sz w:val="20"/>
                <w:szCs w:val="20"/>
              </w:rPr>
            </w:pPr>
            <w:r w:rsidRPr="00BE6BFE">
              <w:rPr>
                <w:rFonts w:cstheme="minorHAnsi"/>
                <w:sz w:val="20"/>
                <w:szCs w:val="20"/>
              </w:rPr>
              <w:t>43.2 ± 27.2 (n = 17)</w:t>
            </w:r>
          </w:p>
        </w:tc>
      </w:tr>
      <w:tr w:rsidR="00AC69C7" w:rsidRPr="00BE6BFE" w14:paraId="44F8289E" w14:textId="77777777" w:rsidTr="006135C6">
        <w:tc>
          <w:tcPr>
            <w:tcW w:w="5845" w:type="dxa"/>
          </w:tcPr>
          <w:p w14:paraId="4339B074" w14:textId="0F1F3952" w:rsidR="00AC69C7" w:rsidRPr="00BE6BFE" w:rsidRDefault="00430D09" w:rsidP="00BE6BFE">
            <w:pPr>
              <w:rPr>
                <w:rFonts w:cstheme="minorHAnsi"/>
                <w:sz w:val="20"/>
                <w:szCs w:val="20"/>
              </w:rPr>
            </w:pPr>
            <w:r w:rsidRPr="00BE6BFE">
              <w:rPr>
                <w:rFonts w:cstheme="minorHAnsi"/>
                <w:sz w:val="20"/>
                <w:szCs w:val="20"/>
              </w:rPr>
              <w:t>Average minutes/day of</w:t>
            </w:r>
            <w:r w:rsidR="00BE6BFE" w:rsidRPr="00BE6BFE">
              <w:rPr>
                <w:rFonts w:cstheme="minorHAnsi"/>
                <w:sz w:val="20"/>
                <w:szCs w:val="20"/>
              </w:rPr>
              <w:t xml:space="preserve"> </w:t>
            </w:r>
            <w:r w:rsidRPr="00BE6BFE">
              <w:rPr>
                <w:rFonts w:cstheme="minorHAnsi"/>
                <w:sz w:val="20"/>
                <w:szCs w:val="20"/>
              </w:rPr>
              <w:t xml:space="preserve">moderate physical activity </w:t>
            </w:r>
          </w:p>
        </w:tc>
        <w:tc>
          <w:tcPr>
            <w:tcW w:w="1800" w:type="dxa"/>
          </w:tcPr>
          <w:p w14:paraId="17332769" w14:textId="103D4824" w:rsidR="00AC69C7" w:rsidRPr="00BE6BFE" w:rsidRDefault="00BE6BFE" w:rsidP="00D2470B">
            <w:pPr>
              <w:rPr>
                <w:rFonts w:cstheme="minorHAnsi"/>
                <w:sz w:val="20"/>
                <w:szCs w:val="20"/>
              </w:rPr>
            </w:pPr>
            <w:r w:rsidRPr="00BE6BFE">
              <w:rPr>
                <w:rFonts w:cstheme="minorHAnsi"/>
                <w:sz w:val="20"/>
                <w:szCs w:val="20"/>
              </w:rPr>
              <w:t>42.0 ± 28.5 (n = 5)</w:t>
            </w:r>
          </w:p>
        </w:tc>
        <w:tc>
          <w:tcPr>
            <w:tcW w:w="2425" w:type="dxa"/>
          </w:tcPr>
          <w:p w14:paraId="207BB5BF" w14:textId="4102B5F1" w:rsidR="00AC69C7" w:rsidRPr="00BE6BFE" w:rsidRDefault="00BE6BFE" w:rsidP="00D2470B">
            <w:pPr>
              <w:rPr>
                <w:rFonts w:cstheme="minorHAnsi"/>
                <w:sz w:val="20"/>
                <w:szCs w:val="20"/>
              </w:rPr>
            </w:pPr>
            <w:r w:rsidRPr="00BE6BFE">
              <w:rPr>
                <w:rFonts w:cstheme="minorHAnsi"/>
                <w:sz w:val="20"/>
                <w:szCs w:val="20"/>
              </w:rPr>
              <w:t>37.8 ± 22.7 (n = 14)</w:t>
            </w:r>
          </w:p>
        </w:tc>
      </w:tr>
    </w:tbl>
    <w:p w14:paraId="571D14EF" w14:textId="0E340BAC" w:rsidR="00E05F2D" w:rsidRPr="00721B96" w:rsidRDefault="007A1135" w:rsidP="007A1135">
      <w:pPr>
        <w:rPr>
          <w:rFonts w:cstheme="minorHAnsi"/>
        </w:rPr>
      </w:pPr>
      <w:r w:rsidRPr="007A1135">
        <w:rPr>
          <w:rFonts w:cstheme="minorHAnsi"/>
        </w:rPr>
        <w:separator/>
      </w:r>
      <w:r>
        <w:rPr>
          <w:rFonts w:cstheme="minorHAnsi"/>
        </w:rPr>
        <w:t>*</w:t>
      </w:r>
      <w:proofErr w:type="spellStart"/>
      <w:r w:rsidRPr="007A1135">
        <w:rPr>
          <w:rFonts w:cstheme="minorHAnsi"/>
        </w:rPr>
        <w:t>ndicates</w:t>
      </w:r>
      <w:proofErr w:type="spellEnd"/>
      <w:r w:rsidRPr="007A1135">
        <w:rPr>
          <w:rFonts w:cstheme="minorHAnsi"/>
        </w:rPr>
        <w:t xml:space="preserve"> p &lt; 0.05. cm, centimeters; kg, kilograms; m, meter; Nm, Newton</w:t>
      </w:r>
      <w:r>
        <w:rPr>
          <w:rFonts w:cstheme="minorHAnsi"/>
        </w:rPr>
        <w:t xml:space="preserve"> </w:t>
      </w:r>
      <w:r w:rsidRPr="007A1135">
        <w:rPr>
          <w:rFonts w:cstheme="minorHAnsi"/>
        </w:rPr>
        <w:t xml:space="preserve">meters; s, seconds; MET, Metabolic equivalents; </w:t>
      </w:r>
      <w:proofErr w:type="spellStart"/>
      <w:r w:rsidRPr="007A1135">
        <w:rPr>
          <w:rFonts w:cstheme="minorHAnsi"/>
        </w:rPr>
        <w:t>hr</w:t>
      </w:r>
      <w:proofErr w:type="spellEnd"/>
      <w:r w:rsidRPr="007A1135">
        <w:rPr>
          <w:rFonts w:cstheme="minorHAnsi"/>
        </w:rPr>
        <w:t>, hour; AU, arbitrary units.</w:t>
      </w:r>
    </w:p>
    <w:p w14:paraId="3253AC8F" w14:textId="0A5B166B" w:rsidR="00EE58E7" w:rsidRPr="00721B96" w:rsidRDefault="00EE58E7" w:rsidP="00EE58E7">
      <w:pPr>
        <w:pStyle w:val="Heading3"/>
        <w:rPr>
          <w:rFonts w:asciiTheme="minorHAnsi" w:hAnsiTheme="minorHAnsi" w:cstheme="minorHAnsi"/>
        </w:rPr>
      </w:pPr>
      <w:r w:rsidRPr="00721B96">
        <w:rPr>
          <w:rFonts w:asciiTheme="minorHAnsi" w:hAnsiTheme="minorHAnsi" w:cstheme="minorHAnsi"/>
        </w:rPr>
        <w:t>Baseline PPTs Prior to Fatiguing Trunk Flexor Exercise</w:t>
      </w:r>
    </w:p>
    <w:p w14:paraId="6377CBA7" w14:textId="1CFE0F78" w:rsidR="00EE58E7" w:rsidRPr="00721B96" w:rsidRDefault="00504BCE" w:rsidP="00EE58E7">
      <w:pPr>
        <w:rPr>
          <w:rFonts w:cstheme="minorHAnsi"/>
        </w:rPr>
      </w:pPr>
      <w:r w:rsidRPr="00721B96">
        <w:rPr>
          <w:rFonts w:cstheme="minorHAnsi"/>
        </w:rPr>
        <w:t>Men demonstrated higher PPTs than women at the nailbed prior to performance of fatiguing exercise (317.8 ± 162.2 kPa vs. 228.2 ± 90.1 kPa, respectively, p = 0.047). Pre-exercise PPTs at the superior rectus abdominis site were similar between men and women (217.7 ± 110.4 kPa vs. 181.5 ± 90.3 kPa, respectively, p = 0.294).</w:t>
      </w:r>
    </w:p>
    <w:p w14:paraId="59A42FC8" w14:textId="668BE2CC" w:rsidR="00504BCE" w:rsidRPr="00721B96" w:rsidRDefault="00631143" w:rsidP="00631143">
      <w:pPr>
        <w:pStyle w:val="Heading3"/>
        <w:rPr>
          <w:rFonts w:asciiTheme="minorHAnsi" w:hAnsiTheme="minorHAnsi" w:cstheme="minorHAnsi"/>
        </w:rPr>
      </w:pPr>
      <w:r w:rsidRPr="00721B96">
        <w:rPr>
          <w:rFonts w:asciiTheme="minorHAnsi" w:hAnsiTheme="minorHAnsi" w:cstheme="minorHAnsi"/>
        </w:rPr>
        <w:t>PPTs Before and After Fatiguing Trunk Flexor Exercise</w:t>
      </w:r>
    </w:p>
    <w:p w14:paraId="1F888AE5" w14:textId="34471FC0" w:rsidR="00631143" w:rsidRPr="00721B96" w:rsidRDefault="00631143" w:rsidP="00631143">
      <w:pPr>
        <w:rPr>
          <w:rFonts w:cstheme="minorHAnsi"/>
        </w:rPr>
      </w:pPr>
      <w:r w:rsidRPr="00721B96">
        <w:rPr>
          <w:rFonts w:cstheme="minorHAnsi"/>
        </w:rPr>
        <w:t>At the rectus abdominis, men and women demonstrated a similar increase in PPTs (i.e., EIH) after fatiguing exercise (Figure 2B; time effect p = 0.002; time × sex p = 0.575; sex p = 0.248). At the nailbed, women demonstrated no change in PPTs following fatiguing exercise, while men demonstrated a small decrease in PPTs (hyperalgesia) (Figure 2A; time effect p = 0.054; time × sex p = 0.010).</w:t>
      </w:r>
    </w:p>
    <w:p w14:paraId="03FE602E" w14:textId="47FA1EBE" w:rsidR="00F07B6C" w:rsidRPr="00721B96" w:rsidRDefault="00F07B6C" w:rsidP="00631143">
      <w:pPr>
        <w:rPr>
          <w:rFonts w:cstheme="minorHAnsi"/>
        </w:rPr>
      </w:pPr>
      <w:r w:rsidRPr="00721B96">
        <w:rPr>
          <w:rStyle w:val="Heading4Char"/>
          <w:rFonts w:asciiTheme="minorHAnsi" w:hAnsiTheme="minorHAnsi" w:cstheme="minorHAnsi"/>
          <w:b/>
          <w:bCs/>
          <w:sz w:val="24"/>
          <w:szCs w:val="24"/>
        </w:rPr>
        <w:t>Figure 2.</w:t>
      </w:r>
      <w:r w:rsidRPr="00721B96">
        <w:rPr>
          <w:rFonts w:cstheme="minorHAnsi"/>
        </w:rPr>
        <w:t> Sex Differences in PPTs. Pressure Pain Threshold before and after Exercise in Men and Women at the Nailbed </w:t>
      </w:r>
      <w:r w:rsidRPr="00721B96">
        <w:rPr>
          <w:rFonts w:cstheme="minorHAnsi"/>
          <w:b/>
          <w:bCs/>
        </w:rPr>
        <w:t>(A)</w:t>
      </w:r>
      <w:r w:rsidRPr="00721B96">
        <w:rPr>
          <w:rFonts w:cstheme="minorHAnsi"/>
        </w:rPr>
        <w:t> and Abdomen </w:t>
      </w:r>
      <w:r w:rsidRPr="00721B96">
        <w:rPr>
          <w:rFonts w:cstheme="minorHAnsi"/>
          <w:b/>
          <w:bCs/>
        </w:rPr>
        <w:t>(B)</w:t>
      </w:r>
      <w:r w:rsidRPr="00721B96">
        <w:rPr>
          <w:rFonts w:cstheme="minorHAnsi"/>
        </w:rPr>
        <w:t>. </w:t>
      </w:r>
      <w:r w:rsidRPr="00721B96">
        <w:rPr>
          <w:rFonts w:cstheme="minorHAnsi"/>
          <w:b/>
          <w:bCs/>
        </w:rPr>
        <w:t>(A)</w:t>
      </w:r>
      <w:r w:rsidRPr="00721B96">
        <w:rPr>
          <w:rFonts w:cstheme="minorHAnsi"/>
        </w:rPr>
        <w:t xml:space="preserve"> Women did not demonstrate a change in PPT at the nailbed following fatiguing trunk flexor exercise, while men demonstrated a decrease in PPT after exercise (hyperalgesia). Men </w:t>
      </w:r>
      <w:r w:rsidRPr="00721B96">
        <w:rPr>
          <w:rFonts w:cstheme="minorHAnsi"/>
        </w:rPr>
        <w:lastRenderedPageBreak/>
        <w:t>had higher PPTs than women at the nailbed prior to exercise. </w:t>
      </w:r>
      <w:r w:rsidRPr="00721B96">
        <w:rPr>
          <w:rFonts w:cstheme="minorHAnsi"/>
          <w:b/>
          <w:bCs/>
        </w:rPr>
        <w:t>(B)</w:t>
      </w:r>
      <w:r w:rsidRPr="00721B96">
        <w:rPr>
          <w:rFonts w:cstheme="minorHAnsi"/>
        </w:rPr>
        <w:t> Both men and women demonstrated EIH at the superior rectus abdominis site following fatiguing trunk flexor exercise. Men and women had similar PPTs at the abdomen both before and after exercise. </w:t>
      </w:r>
      <w:r w:rsidRPr="00721B96">
        <w:rPr>
          <w:rFonts w:ascii="Cambria Math" w:hAnsi="Cambria Math" w:cs="Cambria Math"/>
          <w:vertAlign w:val="superscript"/>
        </w:rPr>
        <w:t>∗</w:t>
      </w:r>
      <w:r w:rsidRPr="00721B96">
        <w:rPr>
          <w:rFonts w:cstheme="minorHAnsi"/>
        </w:rPr>
        <w:t> indicates </w:t>
      </w:r>
      <w:r w:rsidRPr="00721B96">
        <w:rPr>
          <w:rFonts w:cstheme="minorHAnsi"/>
          <w:i/>
          <w:iCs/>
        </w:rPr>
        <w:t>p</w:t>
      </w:r>
      <w:r w:rsidRPr="00721B96">
        <w:rPr>
          <w:rFonts w:cstheme="minorHAnsi"/>
        </w:rPr>
        <w:t> &lt; 0.05 (time effect).</w:t>
      </w:r>
    </w:p>
    <w:p w14:paraId="219E6169" w14:textId="50654D98" w:rsidR="009E2DC7" w:rsidRPr="00721B96" w:rsidRDefault="00F07B6C" w:rsidP="00631143">
      <w:pPr>
        <w:rPr>
          <w:rFonts w:cstheme="minorHAnsi"/>
        </w:rPr>
      </w:pPr>
      <w:r w:rsidRPr="00721B96">
        <w:rPr>
          <w:rFonts w:cstheme="minorHAnsi"/>
          <w:noProof/>
        </w:rPr>
        <w:drawing>
          <wp:inline distT="0" distB="0" distL="0" distR="0" wp14:anchorId="67C49AC0" wp14:editId="62B7495A">
            <wp:extent cx="2475018" cy="3981450"/>
            <wp:effectExtent l="0" t="0" r="1905" b="0"/>
            <wp:docPr id="7" name="Picture 7" descr="Figure 2. Sex Differences in PPTs. Pressure Pain Threshold before and after Exercise in Men and Women at the Nailbed (A) and Abdomen (B). (A) Women did not demonstrate a change in PPT at the nailbed following fatiguing trunk flexor exercise, while men demonstrated a decrease in PPT after exercise (hyperalgesia). Men had higher PPTs than women at the nailbed prior to exercise. (B) Both men and women demonstrated EIH at the superior rectus abdominis site following fatiguing trunk flexor exercise. Men and women had similar PPTs at the abdomen both before and after exercise. ∗ indicates p &lt; 0.05 (time eff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80334" cy="3990001"/>
                    </a:xfrm>
                    <a:prstGeom prst="rect">
                      <a:avLst/>
                    </a:prstGeom>
                    <a:noFill/>
                    <a:ln>
                      <a:noFill/>
                    </a:ln>
                  </pic:spPr>
                </pic:pic>
              </a:graphicData>
            </a:graphic>
          </wp:inline>
        </w:drawing>
      </w:r>
    </w:p>
    <w:p w14:paraId="0CF8824F" w14:textId="2E312260" w:rsidR="00C37FDE" w:rsidRPr="00721B96" w:rsidRDefault="00C37FDE" w:rsidP="00C37FDE">
      <w:pPr>
        <w:pStyle w:val="Heading3"/>
        <w:rPr>
          <w:rFonts w:asciiTheme="minorHAnsi" w:hAnsiTheme="minorHAnsi" w:cstheme="minorHAnsi"/>
        </w:rPr>
      </w:pPr>
      <w:r w:rsidRPr="00721B96">
        <w:rPr>
          <w:rFonts w:asciiTheme="minorHAnsi" w:hAnsiTheme="minorHAnsi" w:cstheme="minorHAnsi"/>
        </w:rPr>
        <w:t>Associations</w:t>
      </w:r>
    </w:p>
    <w:p w14:paraId="5A9ABA2F" w14:textId="6E157DD7" w:rsidR="00E73B3C" w:rsidRPr="00721B96" w:rsidRDefault="00C37FDE" w:rsidP="00C37FDE">
      <w:pPr>
        <w:rPr>
          <w:rFonts w:cstheme="minorHAnsi"/>
        </w:rPr>
      </w:pPr>
      <w:r w:rsidRPr="00721B96">
        <w:rPr>
          <w:rFonts w:cstheme="minorHAnsi"/>
        </w:rPr>
        <w:t>EIH at the abdominal muscle site was positively correlated with rectus abdominis muscle thickness (rs = 0.462, p = 0.013) such that thicker muscle was associated with greater EIH. Baseline PPTs at the nailbed were also associated with the change in PPT after exercise (r = −0.443, p = 0.008) such that those who had the greatest absolute change in PPT had lower baseline PPT. Furthermore, baseline PPTs at the abdomen were not associated with EIH at the abdomen (r = −0.028, p = 0.872).</w:t>
      </w:r>
    </w:p>
    <w:p w14:paraId="0AC4D889" w14:textId="5354168D" w:rsidR="00E73B3C" w:rsidRPr="00721B96" w:rsidRDefault="00E73B3C" w:rsidP="00E73B3C">
      <w:pPr>
        <w:pStyle w:val="Heading1"/>
        <w:rPr>
          <w:rFonts w:asciiTheme="minorHAnsi" w:hAnsiTheme="minorHAnsi" w:cstheme="minorHAnsi"/>
        </w:rPr>
      </w:pPr>
      <w:r w:rsidRPr="00721B96">
        <w:rPr>
          <w:rFonts w:asciiTheme="minorHAnsi" w:hAnsiTheme="minorHAnsi" w:cstheme="minorHAnsi"/>
        </w:rPr>
        <w:t>DISCUSSION</w:t>
      </w:r>
    </w:p>
    <w:p w14:paraId="3FCF5712" w14:textId="7D46DA89" w:rsidR="00E73B3C" w:rsidRPr="00721B96" w:rsidRDefault="00E73B3C" w:rsidP="00E73B3C">
      <w:pPr>
        <w:rPr>
          <w:rFonts w:cstheme="minorHAnsi"/>
        </w:rPr>
      </w:pPr>
      <w:r w:rsidRPr="00721B96">
        <w:rPr>
          <w:rFonts w:cstheme="minorHAnsi"/>
        </w:rPr>
        <w:t>The main and novel findings of this study are: (1) mode of delivery did not affect pain perception or the impact of exercise on pain perception; (2) postpartum women are more sensitive to pain than nulligravid women, especially at the abdomen; (3) EIH was experienced at the abdomen for all groups following fatiguing intermittent isometric exercise of the trunk flexor muscles; (4) men experienced slight hyperalgesia (decrease in PPTs) at the nailbed following trunk flexor fatiguing exercise; and (5) men and women with thicker abdominal muscles reported greater local EIH.</w:t>
      </w:r>
    </w:p>
    <w:p w14:paraId="223AC271" w14:textId="14CCF589" w:rsidR="00E73B3C" w:rsidRPr="00721B96" w:rsidRDefault="008733B7" w:rsidP="00E73B3C">
      <w:pPr>
        <w:rPr>
          <w:rFonts w:cstheme="minorHAnsi"/>
        </w:rPr>
      </w:pPr>
      <w:r w:rsidRPr="00721B96">
        <w:rPr>
          <w:rFonts w:cstheme="minorHAnsi"/>
        </w:rPr>
        <w:t xml:space="preserve">At the initial time point (8–10 weeks postpartum) in protocol 1, postpartum women had lower PPTs at all body sites tested (nailbed, lower abdomen, upper abdomen) than nulligravid women. In contrast, at 26 weeks postpartum, there was no statistical difference in PPTs at the nailbed between postpartum and nulligravid women. This lack of difference at 26 weeks postpartum was likely due to a decline in PPTs in the nulligravid group between the two testing time points because postpartum women demonstrated no change in PPTs between 8 weeks and 26 weeks postpartum. The heightened sensitivity to pain in the postpartum women, </w:t>
      </w:r>
      <w:r w:rsidRPr="00721B96">
        <w:rPr>
          <w:rFonts w:cstheme="minorHAnsi"/>
        </w:rPr>
        <w:lastRenderedPageBreak/>
        <w:t>which persists at the abdomen almost 6 months after childbirth, highlights the need for assessment and management of pain throughout pregnancy and the postpartum period to avoid developing chronic pain syndromes (Albert et al., 2001; Norén et al., 2002; Phillips and Clauw, 2011). The increased pain sensitivity at the nailbed, and the lack of change in PPT at the nailbed at 26 weeks postpartum suggests that central mechanisms may still be at play in the postpartum group (Staud, 2012). The prevalence of low back and pelvic girdle pain during pregnancy, which often receives minimal treatment, can contribute to central sensitization and the development of chronic pain. Further trauma experienced during labor and delivery (such as surgical intervention, perineal or pelvic floor muscle injury, pelvic joint trauma, etc) and the inflammatory processes which naturally occur as part of the healing process can also contribute to increased sensitization of nociceptors (Chimenti et al., 2018). Further research is needed to understand the role of central sensitization in postpartum women.</w:t>
      </w:r>
    </w:p>
    <w:p w14:paraId="15F4373A" w14:textId="0476E001" w:rsidR="002C5B34" w:rsidRPr="00721B96" w:rsidRDefault="002B29BF" w:rsidP="00E73B3C">
      <w:pPr>
        <w:rPr>
          <w:rFonts w:cstheme="minorHAnsi"/>
        </w:rPr>
      </w:pPr>
      <w:r w:rsidRPr="00721B96">
        <w:rPr>
          <w:rFonts w:cstheme="minorHAnsi"/>
        </w:rPr>
        <w:t>To our knowledge, this is the first study to show EIH following fatiguing trunk flexor exercises in any population. The decrease in pain sensitivity (increased PPTs at the abdominal site) following fatiguing trunk flexor exercise experienced by all groups in this study supports the use of abdominal muscle exercise for localized pain relief. This has important clinical considerations because of the prevalence of LBP as well as abdominal pain and incision site pain in postpartum women (Murray and Holdcroft, 1989; Waseem et al., 2011). Furthermore, postpartum women have demonstrated lower trunk flexor strength and lower endurance of both the trunk flexor and lumbopelvic stabilizing muscles compared with nulligravid women (Deering et al., 2018</w:t>
      </w:r>
      <w:proofErr w:type="gramStart"/>
      <w:r w:rsidRPr="00721B96">
        <w:rPr>
          <w:rFonts w:cstheme="minorHAnsi"/>
        </w:rPr>
        <w:t>a,b</w:t>
      </w:r>
      <w:proofErr w:type="gramEnd"/>
      <w:r w:rsidRPr="00721B96">
        <w:rPr>
          <w:rFonts w:cstheme="minorHAnsi"/>
        </w:rPr>
        <w:t>). Thus, incorporating fatiguing exercise of the trunk flexor muscles is especially useful in this population to improve strength and fatigability of this muscle group and to manage pain.</w:t>
      </w:r>
    </w:p>
    <w:p w14:paraId="5F7C27A1" w14:textId="478AECA2" w:rsidR="003736DD" w:rsidRPr="00721B96" w:rsidRDefault="003736DD" w:rsidP="00E73B3C">
      <w:pPr>
        <w:rPr>
          <w:rFonts w:cstheme="minorHAnsi"/>
        </w:rPr>
      </w:pPr>
      <w:r w:rsidRPr="00721B96">
        <w:rPr>
          <w:rFonts w:cstheme="minorHAnsi"/>
        </w:rPr>
        <w:t xml:space="preserve">Hypoalgesia was localized to the exercising muscle, which is </w:t>
      </w:r>
      <w:proofErr w:type="gramStart"/>
      <w:r w:rsidRPr="00721B96">
        <w:rPr>
          <w:rFonts w:cstheme="minorHAnsi"/>
        </w:rPr>
        <w:t>similar to</w:t>
      </w:r>
      <w:proofErr w:type="gramEnd"/>
      <w:r w:rsidRPr="00721B96">
        <w:rPr>
          <w:rFonts w:cstheme="minorHAnsi"/>
        </w:rPr>
        <w:t xml:space="preserve"> other studies that report greater EIH at the exercising muscle compared with distal sites (Kosek and Lundberg, 2003). Despite the local EIH effect that was similar between men and women, men reported systemic hyperalgesia (decrease in PPTs) at the nailbed following the trunk flexor exercise while women reported no change in PPTs. Interestingly, sex differences were also present in the baseline pain threshold at the nailbed with men reporting higher PPTs compared with women, and in both protocols baseline pain at the nailbed was associated with the change in PPTs at the nailbed following exercise. We have previously demonstrated similar associations between baseline pain and EIH (Hoeger Bement et al., 2011; Lemley et al., 2016). For example, in women with fibromyalgia, those with lower pain sensitivity (higher PPTs) measured at the finger reported hyperalgesia following exercise (Hoeger Bement et al., 2011). Thus, baseline pain is an important factor in the pain response following exercise; although there may be a critical threshold for </w:t>
      </w:r>
      <w:r w:rsidR="00775007" w:rsidRPr="00721B96">
        <w:rPr>
          <w:rFonts w:cstheme="minorHAnsi"/>
        </w:rPr>
        <w:t>this association to occur and may be site specific. For example, the association occurred when baseline pain was measured at the finger or nailbed but not at the abdomen. Furthermore, there was no relation between baseline pain and EIH when baseline PPTs were relatively low (postpartum and nulligravid women) compared to the significant association when men reported higher baseline PPTs than nulligravid women.</w:t>
      </w:r>
    </w:p>
    <w:p w14:paraId="6BEE9A04" w14:textId="6D86A3B2" w:rsidR="00775007" w:rsidRPr="00721B96" w:rsidRDefault="00775007" w:rsidP="00E73B3C">
      <w:pPr>
        <w:rPr>
          <w:rFonts w:cstheme="minorHAnsi"/>
        </w:rPr>
      </w:pPr>
      <w:r w:rsidRPr="00721B96">
        <w:rPr>
          <w:rFonts w:cstheme="minorHAnsi"/>
        </w:rPr>
        <w:t>Despite men reporting higher PPTs than women at the nailbed, the lack of a sex difference in PPTs at the abdominal site in this study is unique; men typically report higher PPTs compared with women as reviewed by Racine et al. (2012). The lack of a sex difference may be partially explained by the fact that women tend to have greater abdominal fat than men (Deering et al., 2017). Price et al. (2013) showed that higher pain thresholds occur in areas with excess subcutaneous fat.</w:t>
      </w:r>
    </w:p>
    <w:p w14:paraId="6142E1B1" w14:textId="16F25777" w:rsidR="00775007" w:rsidRPr="00721B96" w:rsidRDefault="00775007" w:rsidP="00E73B3C">
      <w:pPr>
        <w:rPr>
          <w:rFonts w:cstheme="minorHAnsi"/>
        </w:rPr>
      </w:pPr>
      <w:r w:rsidRPr="00721B96">
        <w:rPr>
          <w:rFonts w:cstheme="minorHAnsi"/>
        </w:rPr>
        <w:t xml:space="preserve">Another novel finding of this study was that individuals with thicker abdominal muscles demonstrated greater EIH. Previously we have shown that regional lean mass predicts conditioned pain modulation (CPM) (Stolzman and Hoeger Bement, 2016); adolescents with greater lean mass have more efficient descending pain inhibition. We have also shown that CPM is positively associated with EIH (Lemley et al., 2015; Stolzman and Bement, 2016), and the two conditions likely have shared manifestations (Alsouhibani et al., 2018). Therefore, this study </w:t>
      </w:r>
      <w:r w:rsidRPr="00721B96">
        <w:rPr>
          <w:rFonts w:cstheme="minorHAnsi"/>
        </w:rPr>
        <w:lastRenderedPageBreak/>
        <w:t>provides additional support regarding the importance of lean mass in producing pain relief following exercise potentially via descending pain inhibition.</w:t>
      </w:r>
    </w:p>
    <w:p w14:paraId="6A123CF4" w14:textId="0AEAF542" w:rsidR="00775007" w:rsidRPr="00721B96" w:rsidRDefault="0011085C" w:rsidP="00E73B3C">
      <w:pPr>
        <w:rPr>
          <w:rFonts w:cstheme="minorHAnsi"/>
        </w:rPr>
      </w:pPr>
      <w:r w:rsidRPr="00721B96">
        <w:rPr>
          <w:rFonts w:cstheme="minorHAnsi"/>
        </w:rPr>
        <w:t>In summary, fatiguing exercise of the abdominal muscles, using an intermittent isometric protocol, produced localized EIH in healthy postpartum women, nulligravid women, and men. This has important clinical implications because postpartum women demonstrated greater sensitivity to pain than nulligravid women at multiple body sites suggesting the development of central sensitization. There were also sex differences in pain perception at rest and following exercise. Prior to exercise, men reported less pain at the nailbed than women, and only men reported exercise-induced hyperalgesia at this site (distal from the exercising muscle). In both protocols, baseline pain sensitivity at the nailbed was associated with EIH. Thus, this study provides much needed clinical evidence showing that trunk flex exercises produce localized pain relief and the potential role of baseline pain in this response.</w:t>
      </w:r>
    </w:p>
    <w:p w14:paraId="72CF8917" w14:textId="78AAEF39" w:rsidR="0011085C" w:rsidRPr="00721B96" w:rsidRDefault="0011085C" w:rsidP="0011085C">
      <w:pPr>
        <w:pStyle w:val="Heading1"/>
        <w:rPr>
          <w:rFonts w:asciiTheme="minorHAnsi" w:hAnsiTheme="minorHAnsi" w:cstheme="minorHAnsi"/>
        </w:rPr>
      </w:pPr>
      <w:r w:rsidRPr="00721B96">
        <w:rPr>
          <w:rFonts w:asciiTheme="minorHAnsi" w:hAnsiTheme="minorHAnsi" w:cstheme="minorHAnsi"/>
        </w:rPr>
        <w:t>DATA AVAILABILITY</w:t>
      </w:r>
    </w:p>
    <w:p w14:paraId="50A85A89" w14:textId="4CFF2A0D" w:rsidR="0011085C" w:rsidRPr="00721B96" w:rsidRDefault="00021D84" w:rsidP="0011085C">
      <w:pPr>
        <w:rPr>
          <w:rFonts w:cstheme="minorHAnsi"/>
        </w:rPr>
      </w:pPr>
      <w:r w:rsidRPr="00721B96">
        <w:rPr>
          <w:rFonts w:cstheme="minorHAnsi"/>
        </w:rPr>
        <w:t>Raw data supporting the conclusions of this manuscript will be made available by the authors, without undue reservation, to any qualified researcher.</w:t>
      </w:r>
    </w:p>
    <w:p w14:paraId="73FD08F0" w14:textId="7B158B8F" w:rsidR="00021D84" w:rsidRPr="00721B96" w:rsidRDefault="00021D84" w:rsidP="00021D84">
      <w:pPr>
        <w:pStyle w:val="Heading1"/>
        <w:rPr>
          <w:rFonts w:asciiTheme="minorHAnsi" w:hAnsiTheme="minorHAnsi" w:cstheme="minorHAnsi"/>
        </w:rPr>
      </w:pPr>
      <w:r w:rsidRPr="00721B96">
        <w:rPr>
          <w:rFonts w:asciiTheme="minorHAnsi" w:hAnsiTheme="minorHAnsi" w:cstheme="minorHAnsi"/>
        </w:rPr>
        <w:t>AUTHOR CONTRIBUTIONS</w:t>
      </w:r>
    </w:p>
    <w:p w14:paraId="0497E823" w14:textId="07C5E800" w:rsidR="00021D84" w:rsidRPr="00721B96" w:rsidRDefault="00021D84" w:rsidP="00021D84">
      <w:pPr>
        <w:rPr>
          <w:rFonts w:cstheme="minorHAnsi"/>
        </w:rPr>
      </w:pPr>
      <w:r w:rsidRPr="00721B96">
        <w:rPr>
          <w:rFonts w:cstheme="minorHAnsi"/>
        </w:rPr>
        <w:t>RD participated in study design, protocol development, procurement of funding, subject recruitment, data collection and analysis, and manuscript writing. TP participated in data collection and analysis and reviewed the manuscript prior to submission. MC participated in procurement of funding, subject recruitment, and manuscript review. SKH participated in study design, protocol development, procurement of funding, data analysis, and manuscript writing. MH participated in study design, protocol development, data analysis, and manuscript writing.</w:t>
      </w:r>
    </w:p>
    <w:p w14:paraId="4E620956" w14:textId="612DCEEE" w:rsidR="00021D84" w:rsidRPr="00721B96" w:rsidRDefault="004170FB" w:rsidP="004170FB">
      <w:pPr>
        <w:pStyle w:val="Heading1"/>
        <w:rPr>
          <w:rFonts w:asciiTheme="minorHAnsi" w:hAnsiTheme="minorHAnsi" w:cstheme="minorHAnsi"/>
        </w:rPr>
      </w:pPr>
      <w:r w:rsidRPr="00721B96">
        <w:rPr>
          <w:rFonts w:asciiTheme="minorHAnsi" w:hAnsiTheme="minorHAnsi" w:cstheme="minorHAnsi"/>
        </w:rPr>
        <w:t>FUNDING</w:t>
      </w:r>
    </w:p>
    <w:p w14:paraId="3568605F" w14:textId="5DB14320" w:rsidR="004170FB" w:rsidRPr="00721B96" w:rsidRDefault="004170FB" w:rsidP="004170FB">
      <w:pPr>
        <w:rPr>
          <w:rFonts w:cstheme="minorHAnsi"/>
        </w:rPr>
      </w:pPr>
      <w:r w:rsidRPr="00721B96">
        <w:rPr>
          <w:rFonts w:cstheme="minorHAnsi"/>
        </w:rPr>
        <w:t>This work was supported by the Women’s Health Research Program Grant, Department of Obstetrics and Gynecology, Medical College of Wisconsin; American Dissertation Fellowship, American Association of University Women; National Center for Advancing Translational Sciences, National Institutes of Health, through Grant Nos. UL1TR001436 and 1TL1TR001437; VA Advanced Fellowship in Women’s Health, William S. Middleton VA Hospital, Madison, WI, United States. The contents of this manuscript do not represent the views of the U.S. Department of Veterans Affairs or the United States Government.</w:t>
      </w:r>
    </w:p>
    <w:p w14:paraId="746909F3" w14:textId="6B6B0C73" w:rsidR="004170FB" w:rsidRPr="00721B96" w:rsidRDefault="004170FB" w:rsidP="004170FB">
      <w:pPr>
        <w:pStyle w:val="Heading1"/>
        <w:rPr>
          <w:rFonts w:asciiTheme="minorHAnsi" w:hAnsiTheme="minorHAnsi" w:cstheme="minorHAnsi"/>
        </w:rPr>
      </w:pPr>
      <w:r w:rsidRPr="00721B96">
        <w:rPr>
          <w:rFonts w:asciiTheme="minorHAnsi" w:hAnsiTheme="minorHAnsi" w:cstheme="minorHAnsi"/>
        </w:rPr>
        <w:t>REFERENCES</w:t>
      </w:r>
    </w:p>
    <w:p w14:paraId="4E1198EA" w14:textId="77777777" w:rsidR="00F41DC5" w:rsidRPr="00721B96" w:rsidRDefault="00F41DC5" w:rsidP="00040788">
      <w:pPr>
        <w:spacing w:after="0"/>
        <w:ind w:left="720" w:hanging="720"/>
        <w:rPr>
          <w:rFonts w:cstheme="minorHAnsi"/>
        </w:rPr>
      </w:pPr>
      <w:r w:rsidRPr="00721B96">
        <w:rPr>
          <w:rFonts w:cstheme="minorHAnsi"/>
        </w:rPr>
        <w:t>Albert, H., Godskesen, M., and Westergaard, J. (2000). Evaluation of clinical tests used in classification procedures in pregnancy-related pelvic joint pain. </w:t>
      </w:r>
      <w:r w:rsidRPr="00721B96">
        <w:rPr>
          <w:rFonts w:cstheme="minorHAnsi"/>
          <w:i/>
          <w:iCs/>
        </w:rPr>
        <w:t>Eur. Spine J.</w:t>
      </w:r>
      <w:r w:rsidRPr="00721B96">
        <w:rPr>
          <w:rFonts w:cstheme="minorHAnsi"/>
        </w:rPr>
        <w:t> 9, 161–166. doi: 10.1007/s005860050228</w:t>
      </w:r>
    </w:p>
    <w:p w14:paraId="4CA9AA5A" w14:textId="77777777" w:rsidR="00F41DC5" w:rsidRPr="00721B96" w:rsidRDefault="00F41DC5" w:rsidP="00040788">
      <w:pPr>
        <w:spacing w:after="0"/>
        <w:ind w:left="720" w:hanging="720"/>
        <w:rPr>
          <w:rFonts w:cstheme="minorHAnsi"/>
        </w:rPr>
      </w:pPr>
      <w:bookmarkStart w:id="3" w:name="B2"/>
      <w:bookmarkEnd w:id="3"/>
      <w:r w:rsidRPr="00721B96">
        <w:rPr>
          <w:rFonts w:cstheme="minorHAnsi"/>
        </w:rPr>
        <w:t>Albert, H., Godskesen, M., and Westergaard, J. (2001). Prognosis in four syndromes of pregnancy-related pelvic pain. </w:t>
      </w:r>
      <w:r w:rsidRPr="00721B96">
        <w:rPr>
          <w:rFonts w:cstheme="minorHAnsi"/>
          <w:i/>
          <w:iCs/>
        </w:rPr>
        <w:t>Acta Obstet. Gynecol. Scand.</w:t>
      </w:r>
      <w:r w:rsidRPr="00721B96">
        <w:rPr>
          <w:rFonts w:cstheme="minorHAnsi"/>
        </w:rPr>
        <w:t> 80, 505–510. doi: 10.1080/j.1600-0412.</w:t>
      </w:r>
      <w:proofErr w:type="gramStart"/>
      <w:r w:rsidRPr="00721B96">
        <w:rPr>
          <w:rFonts w:cstheme="minorHAnsi"/>
        </w:rPr>
        <w:t>2001.080006505.x</w:t>
      </w:r>
      <w:proofErr w:type="gramEnd"/>
    </w:p>
    <w:p w14:paraId="27E6DDA8" w14:textId="77777777" w:rsidR="00F41DC5" w:rsidRPr="00721B96" w:rsidRDefault="00F41DC5" w:rsidP="00040788">
      <w:pPr>
        <w:spacing w:after="0"/>
        <w:ind w:left="720" w:hanging="720"/>
        <w:rPr>
          <w:rFonts w:cstheme="minorHAnsi"/>
        </w:rPr>
      </w:pPr>
      <w:bookmarkStart w:id="4" w:name="B3"/>
      <w:bookmarkEnd w:id="4"/>
      <w:r w:rsidRPr="00721B96">
        <w:rPr>
          <w:rFonts w:cstheme="minorHAnsi"/>
        </w:rPr>
        <w:t>Alsouhibani, A., Vaegter, H. B., Hoeger Bement, M. (2018). Systemic exercise-induced hypoalgesia following isometric exercise reduces conditioned pain modulation. </w:t>
      </w:r>
      <w:r w:rsidRPr="00721B96">
        <w:rPr>
          <w:rFonts w:cstheme="minorHAnsi"/>
          <w:i/>
          <w:iCs/>
        </w:rPr>
        <w:t>Pain Med.</w:t>
      </w:r>
      <w:r w:rsidRPr="00721B96">
        <w:rPr>
          <w:rFonts w:cstheme="minorHAnsi"/>
        </w:rPr>
        <w:t> 20, 180–190. doi: 10.1093/pm/pny057</w:t>
      </w:r>
    </w:p>
    <w:p w14:paraId="42BCAD4D" w14:textId="77777777" w:rsidR="00F41DC5" w:rsidRPr="00721B96" w:rsidRDefault="00F41DC5" w:rsidP="00040788">
      <w:pPr>
        <w:spacing w:after="0"/>
        <w:ind w:left="720" w:hanging="720"/>
        <w:rPr>
          <w:rFonts w:cstheme="minorHAnsi"/>
        </w:rPr>
      </w:pPr>
      <w:bookmarkStart w:id="5" w:name="B4"/>
      <w:bookmarkEnd w:id="5"/>
      <w:r w:rsidRPr="00721B96">
        <w:rPr>
          <w:rFonts w:cstheme="minorHAnsi"/>
        </w:rPr>
        <w:t>Bastiaenen, C., de Bie, R., Wolters, P., Vlaeyen, J., Bastiaanssen, J., Klabbers, A., et al. (2004). Treatment of pregnancy-related pelvic girdle and/or low back pain after delivery: design of a randomized clinical trial within a comprehensive prognostic cohort study. </w:t>
      </w:r>
      <w:r w:rsidRPr="00721B96">
        <w:rPr>
          <w:rFonts w:cstheme="minorHAnsi"/>
          <w:i/>
          <w:iCs/>
        </w:rPr>
        <w:t>BMC Public Health</w:t>
      </w:r>
      <w:r w:rsidRPr="00721B96">
        <w:rPr>
          <w:rFonts w:cstheme="minorHAnsi"/>
        </w:rPr>
        <w:t> 4:67. doi: 10.1186/1471-2458-4-67</w:t>
      </w:r>
    </w:p>
    <w:p w14:paraId="54384485" w14:textId="77777777" w:rsidR="00F41DC5" w:rsidRPr="00721B96" w:rsidRDefault="00F41DC5" w:rsidP="00040788">
      <w:pPr>
        <w:spacing w:after="0"/>
        <w:ind w:left="720" w:hanging="720"/>
        <w:rPr>
          <w:rFonts w:cstheme="minorHAnsi"/>
        </w:rPr>
      </w:pPr>
      <w:bookmarkStart w:id="6" w:name="B5"/>
      <w:bookmarkEnd w:id="6"/>
      <w:r w:rsidRPr="00721B96">
        <w:rPr>
          <w:rFonts w:cstheme="minorHAnsi"/>
        </w:rPr>
        <w:lastRenderedPageBreak/>
        <w:t>Chenot, J. F., Becker, A., Leonhardt, C., Keller, S., Donner-Banzhoff, N., Hildebrandt, J., et al. (2008). Sex differences in presentation, course, and management of low back pain in primary care. </w:t>
      </w:r>
      <w:r w:rsidRPr="00721B96">
        <w:rPr>
          <w:rFonts w:cstheme="minorHAnsi"/>
          <w:i/>
          <w:iCs/>
        </w:rPr>
        <w:t>Clin. J. Pain</w:t>
      </w:r>
      <w:r w:rsidRPr="00721B96">
        <w:rPr>
          <w:rFonts w:cstheme="minorHAnsi"/>
        </w:rPr>
        <w:t> 24, 578–584. doi: 10.1097/AJP.0b013e31816ed948</w:t>
      </w:r>
    </w:p>
    <w:p w14:paraId="3DCFD0E1" w14:textId="77777777" w:rsidR="00F41DC5" w:rsidRPr="00721B96" w:rsidRDefault="00F41DC5" w:rsidP="00040788">
      <w:pPr>
        <w:spacing w:after="0"/>
        <w:ind w:left="720" w:hanging="720"/>
        <w:rPr>
          <w:rFonts w:cstheme="minorHAnsi"/>
        </w:rPr>
      </w:pPr>
      <w:bookmarkStart w:id="7" w:name="B6"/>
      <w:bookmarkEnd w:id="7"/>
      <w:r w:rsidRPr="00721B96">
        <w:rPr>
          <w:rFonts w:cstheme="minorHAnsi"/>
        </w:rPr>
        <w:t>Chimenti, R. L., Frey-Law, L. A., and Sluka, K. A. (2018). A mechanism-based approach to physical therapist management of pain. </w:t>
      </w:r>
      <w:r w:rsidRPr="00721B96">
        <w:rPr>
          <w:rFonts w:cstheme="minorHAnsi"/>
          <w:i/>
          <w:iCs/>
        </w:rPr>
        <w:t>Phys. Ther.</w:t>
      </w:r>
      <w:r w:rsidRPr="00721B96">
        <w:rPr>
          <w:rFonts w:cstheme="minorHAnsi"/>
        </w:rPr>
        <w:t> 98, 302–314. doi: 10.1093/ptj/pzy030</w:t>
      </w:r>
    </w:p>
    <w:p w14:paraId="0950DC50" w14:textId="77777777" w:rsidR="00F41DC5" w:rsidRPr="00721B96" w:rsidRDefault="00F41DC5" w:rsidP="00040788">
      <w:pPr>
        <w:spacing w:after="0"/>
        <w:ind w:left="720" w:hanging="720"/>
        <w:rPr>
          <w:rFonts w:cstheme="minorHAnsi"/>
        </w:rPr>
      </w:pPr>
      <w:bookmarkStart w:id="8" w:name="B7"/>
      <w:bookmarkEnd w:id="8"/>
      <w:r w:rsidRPr="00721B96">
        <w:rPr>
          <w:rFonts w:cstheme="minorHAnsi"/>
        </w:rPr>
        <w:t>Deering, R., Senefeld, J., Pashibin, T., Neumann, D. A., and Hunter, S. (2017). Muscle function and fatigability of trunk flexors in males and females. </w:t>
      </w:r>
      <w:r w:rsidRPr="00721B96">
        <w:rPr>
          <w:rFonts w:cstheme="minorHAnsi"/>
          <w:i/>
          <w:iCs/>
        </w:rPr>
        <w:t>Biol. Sex Differ.</w:t>
      </w:r>
      <w:r w:rsidRPr="00721B96">
        <w:rPr>
          <w:rFonts w:cstheme="minorHAnsi"/>
        </w:rPr>
        <w:t> 8:12. doi: 10.1186/s13293-017-0133-y</w:t>
      </w:r>
    </w:p>
    <w:p w14:paraId="4372D3B2" w14:textId="77777777" w:rsidR="00F41DC5" w:rsidRPr="00721B96" w:rsidRDefault="00F41DC5" w:rsidP="00040788">
      <w:pPr>
        <w:spacing w:after="0"/>
        <w:ind w:left="720" w:hanging="720"/>
        <w:rPr>
          <w:rFonts w:cstheme="minorHAnsi"/>
        </w:rPr>
      </w:pPr>
      <w:bookmarkStart w:id="9" w:name="B8"/>
      <w:bookmarkEnd w:id="9"/>
      <w:r w:rsidRPr="00721B96">
        <w:rPr>
          <w:rFonts w:cstheme="minorHAnsi"/>
        </w:rPr>
        <w:t>Deering, R. E., Cruz, M., Senefeld, J. W., Pashibin, T., Eickmeyer, S., and Hunter, S. K. (2018a). Impaired trunk flexor strength, fatigability, and steadiness in postpartum women. </w:t>
      </w:r>
      <w:r w:rsidRPr="00721B96">
        <w:rPr>
          <w:rFonts w:cstheme="minorHAnsi"/>
          <w:i/>
          <w:iCs/>
        </w:rPr>
        <w:t>Med. Sci. Sports Exerc.</w:t>
      </w:r>
      <w:r w:rsidRPr="00721B96">
        <w:rPr>
          <w:rFonts w:cstheme="minorHAnsi"/>
        </w:rPr>
        <w:t> 50, 1558–1569. doi: 10.1249/MSS.0000000000001609</w:t>
      </w:r>
    </w:p>
    <w:p w14:paraId="7BADDDCB" w14:textId="77777777" w:rsidR="00F41DC5" w:rsidRPr="00721B96" w:rsidRDefault="00F41DC5" w:rsidP="00040788">
      <w:pPr>
        <w:spacing w:after="0"/>
        <w:ind w:left="720" w:hanging="720"/>
        <w:rPr>
          <w:rFonts w:cstheme="minorHAnsi"/>
        </w:rPr>
      </w:pPr>
      <w:bookmarkStart w:id="10" w:name="B9"/>
      <w:bookmarkEnd w:id="10"/>
      <w:r w:rsidRPr="00721B96">
        <w:rPr>
          <w:rFonts w:cstheme="minorHAnsi"/>
        </w:rPr>
        <w:t>Deering, R. E., Senefeld, J. W., Pashibin, T., Neumann, D. A., Cruz, M., and Hunter, S. K. (2018b). Fatigability of the lumbopelvic stabilizing muscles in women 8 and 26 weeks postpartum. </w:t>
      </w:r>
      <w:r w:rsidRPr="00721B96">
        <w:rPr>
          <w:rFonts w:cstheme="minorHAnsi"/>
          <w:i/>
          <w:iCs/>
        </w:rPr>
        <w:t>J. Women Health Phys. Ther.</w:t>
      </w:r>
      <w:r w:rsidRPr="00721B96">
        <w:rPr>
          <w:rFonts w:cstheme="minorHAnsi"/>
        </w:rPr>
        <w:t> 42, 128–138. doi: 10.1097/JWH.0000000000000109</w:t>
      </w:r>
    </w:p>
    <w:p w14:paraId="473C97BF" w14:textId="77777777" w:rsidR="00F41DC5" w:rsidRPr="00721B96" w:rsidRDefault="00F41DC5" w:rsidP="00040788">
      <w:pPr>
        <w:spacing w:after="0"/>
        <w:ind w:left="720" w:hanging="720"/>
        <w:rPr>
          <w:rFonts w:cstheme="minorHAnsi"/>
        </w:rPr>
      </w:pPr>
      <w:bookmarkStart w:id="11" w:name="B10"/>
      <w:bookmarkEnd w:id="11"/>
      <w:r w:rsidRPr="00721B96">
        <w:rPr>
          <w:rFonts w:cstheme="minorHAnsi"/>
        </w:rPr>
        <w:t>Fairbank, J. C. (2014). Oswestry disability index. </w:t>
      </w:r>
      <w:r w:rsidRPr="00721B96">
        <w:rPr>
          <w:rFonts w:cstheme="minorHAnsi"/>
          <w:i/>
          <w:iCs/>
        </w:rPr>
        <w:t>J. Neurosurg. Spine</w:t>
      </w:r>
      <w:r w:rsidRPr="00721B96">
        <w:rPr>
          <w:rFonts w:cstheme="minorHAnsi"/>
        </w:rPr>
        <w:t> 20, 239–241. doi: 10.3171/2013.</w:t>
      </w:r>
      <w:proofErr w:type="gramStart"/>
      <w:r w:rsidRPr="00721B96">
        <w:rPr>
          <w:rFonts w:cstheme="minorHAnsi"/>
        </w:rPr>
        <w:t>7.SPINE</w:t>
      </w:r>
      <w:proofErr w:type="gramEnd"/>
      <w:r w:rsidRPr="00721B96">
        <w:rPr>
          <w:rFonts w:cstheme="minorHAnsi"/>
        </w:rPr>
        <w:t>13288</w:t>
      </w:r>
    </w:p>
    <w:p w14:paraId="75DC1336" w14:textId="77777777" w:rsidR="00F41DC5" w:rsidRPr="00721B96" w:rsidRDefault="00F41DC5" w:rsidP="00040788">
      <w:pPr>
        <w:spacing w:after="0"/>
        <w:ind w:left="720" w:hanging="720"/>
        <w:rPr>
          <w:rFonts w:cstheme="minorHAnsi"/>
        </w:rPr>
      </w:pPr>
      <w:bookmarkStart w:id="12" w:name="B11"/>
      <w:bookmarkEnd w:id="12"/>
      <w:r w:rsidRPr="00721B96">
        <w:rPr>
          <w:rFonts w:cstheme="minorHAnsi"/>
        </w:rPr>
        <w:t>Fairbank, J. C., Couper, J., Davies, J. B., and O’Brien, J. P. (1980). The oswestry low back pain disability questionnaire. </w:t>
      </w:r>
      <w:r w:rsidRPr="00721B96">
        <w:rPr>
          <w:rFonts w:cstheme="minorHAnsi"/>
          <w:i/>
          <w:iCs/>
        </w:rPr>
        <w:t>Physiotherapy</w:t>
      </w:r>
      <w:r w:rsidRPr="00721B96">
        <w:rPr>
          <w:rFonts w:cstheme="minorHAnsi"/>
        </w:rPr>
        <w:t> 66, 271–273.</w:t>
      </w:r>
    </w:p>
    <w:p w14:paraId="42BE5F4C" w14:textId="77777777" w:rsidR="00F41DC5" w:rsidRPr="00721B96" w:rsidRDefault="00F41DC5" w:rsidP="00040788">
      <w:pPr>
        <w:spacing w:after="0"/>
        <w:ind w:left="720" w:hanging="720"/>
        <w:rPr>
          <w:rFonts w:cstheme="minorHAnsi"/>
        </w:rPr>
      </w:pPr>
      <w:bookmarkStart w:id="13" w:name="B12"/>
      <w:bookmarkEnd w:id="13"/>
      <w:r w:rsidRPr="00721B96">
        <w:rPr>
          <w:rFonts w:cstheme="minorHAnsi"/>
        </w:rPr>
        <w:t>Fairbank, J. C., and Pynsent, P. B. (2000). The oswestry disability index. </w:t>
      </w:r>
      <w:r w:rsidRPr="00721B96">
        <w:rPr>
          <w:rFonts w:cstheme="minorHAnsi"/>
          <w:i/>
          <w:iCs/>
        </w:rPr>
        <w:t>Spine</w:t>
      </w:r>
      <w:r w:rsidRPr="00721B96">
        <w:rPr>
          <w:rFonts w:cstheme="minorHAnsi"/>
        </w:rPr>
        <w:t> 25, 2940–</w:t>
      </w:r>
      <w:proofErr w:type="gramStart"/>
      <w:r w:rsidRPr="00721B96">
        <w:rPr>
          <w:rFonts w:cstheme="minorHAnsi"/>
        </w:rPr>
        <w:t>2952;discussion</w:t>
      </w:r>
      <w:proofErr w:type="gramEnd"/>
      <w:r w:rsidRPr="00721B96">
        <w:rPr>
          <w:rFonts w:cstheme="minorHAnsi"/>
        </w:rPr>
        <w:t xml:space="preserve"> 2952. doi: 10.1097/00007632-200011150-00017</w:t>
      </w:r>
    </w:p>
    <w:p w14:paraId="5FB2B7AA" w14:textId="77777777" w:rsidR="00F41DC5" w:rsidRPr="00721B96" w:rsidRDefault="00F41DC5" w:rsidP="00040788">
      <w:pPr>
        <w:spacing w:after="0"/>
        <w:ind w:left="720" w:hanging="720"/>
        <w:rPr>
          <w:rFonts w:cstheme="minorHAnsi"/>
        </w:rPr>
      </w:pPr>
      <w:bookmarkStart w:id="14" w:name="B13"/>
      <w:bookmarkEnd w:id="14"/>
      <w:r w:rsidRPr="00721B96">
        <w:rPr>
          <w:rFonts w:cstheme="minorHAnsi"/>
        </w:rPr>
        <w:t>Gutke, A., Lundberg, M., Ostgaard, H. C., and Oberg, B. (2011). Impact of postpartum lumbopelvic pain on disability, pain intensity, health-related quality of life, activity level, kinesiophobia, and depressive symptoms. </w:t>
      </w:r>
      <w:r w:rsidRPr="00721B96">
        <w:rPr>
          <w:rFonts w:cstheme="minorHAnsi"/>
          <w:i/>
          <w:iCs/>
        </w:rPr>
        <w:t>Eur. Spine J.</w:t>
      </w:r>
      <w:r w:rsidRPr="00721B96">
        <w:rPr>
          <w:rFonts w:cstheme="minorHAnsi"/>
        </w:rPr>
        <w:t> 20, 440–448. doi: 10.1007/s00586-010-1487-6</w:t>
      </w:r>
    </w:p>
    <w:p w14:paraId="488915D4" w14:textId="77777777" w:rsidR="00F41DC5" w:rsidRPr="00721B96" w:rsidRDefault="00F41DC5" w:rsidP="00040788">
      <w:pPr>
        <w:spacing w:after="0"/>
        <w:ind w:left="720" w:hanging="720"/>
        <w:rPr>
          <w:rFonts w:cstheme="minorHAnsi"/>
        </w:rPr>
      </w:pPr>
      <w:bookmarkStart w:id="15" w:name="B14"/>
      <w:bookmarkEnd w:id="15"/>
      <w:r w:rsidRPr="00721B96">
        <w:rPr>
          <w:rFonts w:cstheme="minorHAnsi"/>
        </w:rPr>
        <w:t>Hodges, P. W. (2003). Core stability exercise in chronic low back pain. </w:t>
      </w:r>
      <w:r w:rsidRPr="00721B96">
        <w:rPr>
          <w:rFonts w:cstheme="minorHAnsi"/>
          <w:i/>
          <w:iCs/>
        </w:rPr>
        <w:t>Orthop. Clin. North Am.</w:t>
      </w:r>
      <w:r w:rsidRPr="00721B96">
        <w:rPr>
          <w:rFonts w:cstheme="minorHAnsi"/>
        </w:rPr>
        <w:t> 34, 245–254. doi: 10.1016/S0030-5898(03)00003-8</w:t>
      </w:r>
    </w:p>
    <w:p w14:paraId="6C4FEDDC" w14:textId="77777777" w:rsidR="00F41DC5" w:rsidRPr="00721B96" w:rsidRDefault="00F41DC5" w:rsidP="00040788">
      <w:pPr>
        <w:spacing w:after="0"/>
        <w:ind w:left="720" w:hanging="720"/>
        <w:rPr>
          <w:rFonts w:cstheme="minorHAnsi"/>
        </w:rPr>
      </w:pPr>
      <w:bookmarkStart w:id="16" w:name="B15"/>
      <w:bookmarkEnd w:id="16"/>
      <w:r w:rsidRPr="00721B96">
        <w:rPr>
          <w:rFonts w:cstheme="minorHAnsi"/>
        </w:rPr>
        <w:t>Hoeger Bement, M. K., Dicapo, J., Rasiarmos, R., and Hunter, S. K. (2008). Dose response of isometric contractions on pain perception in healthy adults. </w:t>
      </w:r>
      <w:r w:rsidRPr="00721B96">
        <w:rPr>
          <w:rFonts w:cstheme="minorHAnsi"/>
          <w:i/>
          <w:iCs/>
        </w:rPr>
        <w:t>Med. Sci. Sports Exerc.</w:t>
      </w:r>
      <w:r w:rsidRPr="00721B96">
        <w:rPr>
          <w:rFonts w:cstheme="minorHAnsi"/>
        </w:rPr>
        <w:t> 40, 1880–1889. doi: 10.1249/MSS.0b013e31817eeecc</w:t>
      </w:r>
    </w:p>
    <w:p w14:paraId="296F1711" w14:textId="77777777" w:rsidR="00F41DC5" w:rsidRPr="00721B96" w:rsidRDefault="00F41DC5" w:rsidP="00040788">
      <w:pPr>
        <w:spacing w:after="0"/>
        <w:ind w:left="720" w:hanging="720"/>
        <w:rPr>
          <w:rFonts w:cstheme="minorHAnsi"/>
        </w:rPr>
      </w:pPr>
      <w:bookmarkStart w:id="17" w:name="B16"/>
      <w:bookmarkEnd w:id="17"/>
      <w:r w:rsidRPr="00721B96">
        <w:rPr>
          <w:rFonts w:cstheme="minorHAnsi"/>
        </w:rPr>
        <w:t>Hoeger Bement, M. K., Weyer, A., Hartley, S., Drewek, B., Harkins, A. L., and Hunter, S. K. (2011). Pain perception after isometric exercise in women with fibromyalgia. </w:t>
      </w:r>
      <w:r w:rsidRPr="00721B96">
        <w:rPr>
          <w:rFonts w:cstheme="minorHAnsi"/>
          <w:i/>
          <w:iCs/>
        </w:rPr>
        <w:t>Arch. Phys. Med. Rehabil.</w:t>
      </w:r>
      <w:r w:rsidRPr="00721B96">
        <w:rPr>
          <w:rFonts w:cstheme="minorHAnsi"/>
        </w:rPr>
        <w:t> 92, 89–95. doi: 10.1016/j.apmr.2010.10.006</w:t>
      </w:r>
    </w:p>
    <w:p w14:paraId="6A9C4F0D" w14:textId="77777777" w:rsidR="00F41DC5" w:rsidRPr="00721B96" w:rsidRDefault="00F41DC5" w:rsidP="00040788">
      <w:pPr>
        <w:spacing w:after="0"/>
        <w:ind w:left="720" w:hanging="720"/>
        <w:rPr>
          <w:rFonts w:cstheme="minorHAnsi"/>
        </w:rPr>
      </w:pPr>
      <w:bookmarkStart w:id="18" w:name="B17"/>
      <w:bookmarkEnd w:id="18"/>
      <w:r w:rsidRPr="00721B96">
        <w:rPr>
          <w:rFonts w:cstheme="minorHAnsi"/>
        </w:rPr>
        <w:t>Johannes, C. B., Le, T. K., Zhou, X., Johnston, J. A., and Dworkin, R. H. (2010). The prevalence of chronic pain in United States adults: results of an internet-based survey. </w:t>
      </w:r>
      <w:r w:rsidRPr="00721B96">
        <w:rPr>
          <w:rFonts w:cstheme="minorHAnsi"/>
          <w:i/>
          <w:iCs/>
        </w:rPr>
        <w:t>J. Pain</w:t>
      </w:r>
      <w:r w:rsidRPr="00721B96">
        <w:rPr>
          <w:rFonts w:cstheme="minorHAnsi"/>
        </w:rPr>
        <w:t> 11, 1230–1239. doi: 10.1016/j.jpain.2010.07.002</w:t>
      </w:r>
    </w:p>
    <w:p w14:paraId="2FB1D3A6" w14:textId="77777777" w:rsidR="00F41DC5" w:rsidRPr="00721B96" w:rsidRDefault="00F41DC5" w:rsidP="00040788">
      <w:pPr>
        <w:spacing w:after="0"/>
        <w:ind w:left="720" w:hanging="720"/>
        <w:rPr>
          <w:rFonts w:cstheme="minorHAnsi"/>
        </w:rPr>
      </w:pPr>
      <w:bookmarkStart w:id="19" w:name="B18"/>
      <w:bookmarkEnd w:id="19"/>
      <w:r w:rsidRPr="00721B96">
        <w:rPr>
          <w:rFonts w:cstheme="minorHAnsi"/>
        </w:rPr>
        <w:t>Koltyn, K. F., Trine, M. R., Stegner, A. J., and Tobar, D. A. (2001). Effect of isometric exercise on pain perception and blood pressure in men and women. </w:t>
      </w:r>
      <w:r w:rsidRPr="00721B96">
        <w:rPr>
          <w:rFonts w:cstheme="minorHAnsi"/>
          <w:i/>
          <w:iCs/>
        </w:rPr>
        <w:t>Med. Sci. Sports Exerc.</w:t>
      </w:r>
      <w:r w:rsidRPr="00721B96">
        <w:rPr>
          <w:rFonts w:cstheme="minorHAnsi"/>
        </w:rPr>
        <w:t> 33, 282–290. doi: 10.1097/00005768-200102000-00018</w:t>
      </w:r>
    </w:p>
    <w:p w14:paraId="358CEADF" w14:textId="77777777" w:rsidR="00F41DC5" w:rsidRPr="00721B96" w:rsidRDefault="00F41DC5" w:rsidP="00040788">
      <w:pPr>
        <w:spacing w:after="0"/>
        <w:ind w:left="720" w:hanging="720"/>
        <w:rPr>
          <w:rFonts w:cstheme="minorHAnsi"/>
        </w:rPr>
      </w:pPr>
      <w:bookmarkStart w:id="20" w:name="B19"/>
      <w:bookmarkEnd w:id="20"/>
      <w:r w:rsidRPr="00721B96">
        <w:rPr>
          <w:rFonts w:cstheme="minorHAnsi"/>
        </w:rPr>
        <w:t>Kosek, E., and Lundberg, L. (2003). Segmental and plurisegmental modulation of pressure pain thresholds during static muscle contractions in healthy individuals. </w:t>
      </w:r>
      <w:r w:rsidRPr="00721B96">
        <w:rPr>
          <w:rFonts w:cstheme="minorHAnsi"/>
          <w:i/>
          <w:iCs/>
        </w:rPr>
        <w:t>Eur. J. Pain</w:t>
      </w:r>
      <w:r w:rsidRPr="00721B96">
        <w:rPr>
          <w:rFonts w:cstheme="minorHAnsi"/>
        </w:rPr>
        <w:t> 7, 251–258. doi: 10.1016/S1090-3801(02)00124-6</w:t>
      </w:r>
    </w:p>
    <w:p w14:paraId="2CDD56DF" w14:textId="6C72D85D" w:rsidR="00F41DC5" w:rsidRPr="00721B96" w:rsidRDefault="00F41DC5" w:rsidP="00040788">
      <w:pPr>
        <w:spacing w:after="0"/>
        <w:ind w:left="720" w:hanging="720"/>
        <w:rPr>
          <w:rFonts w:cstheme="minorHAnsi"/>
        </w:rPr>
      </w:pPr>
      <w:bookmarkStart w:id="21" w:name="B20"/>
      <w:bookmarkEnd w:id="21"/>
      <w:r w:rsidRPr="00721B96">
        <w:rPr>
          <w:rFonts w:cstheme="minorHAnsi"/>
        </w:rPr>
        <w:t>Koumantakis, G., Watson, P., and Oldham, J. (2005). Supplementation of general endurance exercise with stabilisation training verus general exercise only Physiological and functional outcomes of a randomised controlled trial of patients with recurrent low back pain. </w:t>
      </w:r>
      <w:r w:rsidRPr="00721B96">
        <w:rPr>
          <w:rFonts w:cstheme="minorHAnsi"/>
          <w:i/>
          <w:iCs/>
        </w:rPr>
        <w:t>Clin. Biomech.</w:t>
      </w:r>
      <w:r w:rsidRPr="00721B96">
        <w:rPr>
          <w:rFonts w:cstheme="minorHAnsi"/>
        </w:rPr>
        <w:t> 20, 474–482. doi: 10.1016/j.clinbiomech.2004.12.006</w:t>
      </w:r>
    </w:p>
    <w:p w14:paraId="425A6867" w14:textId="77777777" w:rsidR="00F41DC5" w:rsidRPr="00721B96" w:rsidRDefault="00F41DC5" w:rsidP="00040788">
      <w:pPr>
        <w:spacing w:after="0"/>
        <w:ind w:left="720" w:hanging="720"/>
        <w:rPr>
          <w:rFonts w:cstheme="minorHAnsi"/>
        </w:rPr>
      </w:pPr>
      <w:bookmarkStart w:id="22" w:name="B21"/>
      <w:bookmarkEnd w:id="22"/>
      <w:r w:rsidRPr="00721B96">
        <w:rPr>
          <w:rFonts w:cstheme="minorHAnsi"/>
        </w:rPr>
        <w:t>Kriska, A. M., Knowler, W. C., LaPorte, R. E., Drash, A. L., Wing, R. R., Blair, S. N., et al. (1990). Development of questionnaire to examine relationship of physical activity and diabetes in pima indians. </w:t>
      </w:r>
      <w:r w:rsidRPr="00721B96">
        <w:rPr>
          <w:rFonts w:cstheme="minorHAnsi"/>
          <w:i/>
          <w:iCs/>
        </w:rPr>
        <w:t>Diabetes Care</w:t>
      </w:r>
      <w:r w:rsidRPr="00721B96">
        <w:rPr>
          <w:rFonts w:cstheme="minorHAnsi"/>
        </w:rPr>
        <w:t> 13, 401–411. doi: 10.2337/diacare.13.4.401</w:t>
      </w:r>
    </w:p>
    <w:p w14:paraId="16C774D3" w14:textId="77777777" w:rsidR="00F41DC5" w:rsidRPr="00721B96" w:rsidRDefault="00F41DC5" w:rsidP="00040788">
      <w:pPr>
        <w:spacing w:after="0"/>
        <w:ind w:left="720" w:hanging="720"/>
        <w:rPr>
          <w:rFonts w:cstheme="minorHAnsi"/>
        </w:rPr>
      </w:pPr>
      <w:bookmarkStart w:id="23" w:name="B22"/>
      <w:bookmarkEnd w:id="23"/>
      <w:r w:rsidRPr="00721B96">
        <w:rPr>
          <w:rFonts w:cstheme="minorHAnsi"/>
        </w:rPr>
        <w:lastRenderedPageBreak/>
        <w:t>Lemley, K. J., Hunter, S. K., and Bement, M. K. (2015). Conditioned pain modulation predicts exercise-induced hypoalgesia in healthy adults. </w:t>
      </w:r>
      <w:r w:rsidRPr="00721B96">
        <w:rPr>
          <w:rFonts w:cstheme="minorHAnsi"/>
          <w:i/>
          <w:iCs/>
        </w:rPr>
        <w:t>Med. Sci. Sports Exerc.</w:t>
      </w:r>
      <w:r w:rsidRPr="00721B96">
        <w:rPr>
          <w:rFonts w:cstheme="minorHAnsi"/>
        </w:rPr>
        <w:t> 47, 176–184. doi: 10.1249/MSS.0000000000000381</w:t>
      </w:r>
    </w:p>
    <w:p w14:paraId="3CBB2B7D" w14:textId="77777777" w:rsidR="00F41DC5" w:rsidRPr="00721B96" w:rsidRDefault="00F41DC5" w:rsidP="00040788">
      <w:pPr>
        <w:spacing w:after="0"/>
        <w:ind w:left="720" w:hanging="720"/>
        <w:rPr>
          <w:rFonts w:cstheme="minorHAnsi"/>
        </w:rPr>
      </w:pPr>
      <w:bookmarkStart w:id="24" w:name="B23"/>
      <w:bookmarkEnd w:id="24"/>
      <w:r w:rsidRPr="00721B96">
        <w:rPr>
          <w:rFonts w:cstheme="minorHAnsi"/>
        </w:rPr>
        <w:t xml:space="preserve">Lemley, K. J., Senefeld, J., Hunter, S. K., and Hoeger Bement, M. (2016). Only women report </w:t>
      </w:r>
      <w:proofErr w:type="gramStart"/>
      <w:r w:rsidRPr="00721B96">
        <w:rPr>
          <w:rFonts w:cstheme="minorHAnsi"/>
        </w:rPr>
        <w:t>increase</w:t>
      </w:r>
      <w:proofErr w:type="gramEnd"/>
      <w:r w:rsidRPr="00721B96">
        <w:rPr>
          <w:rFonts w:cstheme="minorHAnsi"/>
        </w:rPr>
        <w:t xml:space="preserve"> in pain threshold following fatiguing contractions of the upper extremity. </w:t>
      </w:r>
      <w:r w:rsidRPr="00721B96">
        <w:rPr>
          <w:rFonts w:cstheme="minorHAnsi"/>
          <w:i/>
          <w:iCs/>
        </w:rPr>
        <w:t>Eur. J. Appl. Physiol.</w:t>
      </w:r>
      <w:r w:rsidRPr="00721B96">
        <w:rPr>
          <w:rFonts w:cstheme="minorHAnsi"/>
        </w:rPr>
        <w:t> 116, 1379–1385. doi: 10.1007/s00421-016-3389-8</w:t>
      </w:r>
    </w:p>
    <w:p w14:paraId="19474294" w14:textId="77777777" w:rsidR="00F41DC5" w:rsidRPr="00721B96" w:rsidRDefault="00F41DC5" w:rsidP="00040788">
      <w:pPr>
        <w:spacing w:after="0"/>
        <w:ind w:left="720" w:hanging="720"/>
        <w:rPr>
          <w:rFonts w:cstheme="minorHAnsi"/>
        </w:rPr>
      </w:pPr>
      <w:bookmarkStart w:id="25" w:name="B24"/>
      <w:bookmarkEnd w:id="25"/>
      <w:r w:rsidRPr="00721B96">
        <w:rPr>
          <w:rFonts w:cstheme="minorHAnsi"/>
        </w:rPr>
        <w:t>Liddle, S. D., and Pennick, V. (2015). Interventions for preventing and treating low-back and pelvic pain during pregnancy. </w:t>
      </w:r>
      <w:r w:rsidRPr="00721B96">
        <w:rPr>
          <w:rFonts w:cstheme="minorHAnsi"/>
          <w:i/>
          <w:iCs/>
        </w:rPr>
        <w:t>Cochrane Database Syst. Rev.</w:t>
      </w:r>
      <w:r w:rsidRPr="00721B96">
        <w:rPr>
          <w:rFonts w:cstheme="minorHAnsi"/>
        </w:rPr>
        <w:t> CD001139. doi: 10.1002/14651858.CD001139.pub4</w:t>
      </w:r>
    </w:p>
    <w:p w14:paraId="591F10D0" w14:textId="77777777" w:rsidR="00F41DC5" w:rsidRPr="00721B96" w:rsidRDefault="00F41DC5" w:rsidP="00040788">
      <w:pPr>
        <w:spacing w:after="0"/>
        <w:ind w:left="720" w:hanging="720"/>
        <w:rPr>
          <w:rFonts w:cstheme="minorHAnsi"/>
        </w:rPr>
      </w:pPr>
      <w:bookmarkStart w:id="26" w:name="B25"/>
      <w:bookmarkEnd w:id="26"/>
      <w:r w:rsidRPr="00721B96">
        <w:rPr>
          <w:rFonts w:cstheme="minorHAnsi"/>
        </w:rPr>
        <w:t>Mathai, M., and Hofmeyr, G. J. (2007). Abdominal surgical incisions for caesarean section. </w:t>
      </w:r>
      <w:r w:rsidRPr="00721B96">
        <w:rPr>
          <w:rFonts w:cstheme="minorHAnsi"/>
          <w:i/>
          <w:iCs/>
        </w:rPr>
        <w:t>Cochrane Database Syst. Rev.</w:t>
      </w:r>
      <w:r w:rsidRPr="00721B96">
        <w:rPr>
          <w:rFonts w:cstheme="minorHAnsi"/>
        </w:rPr>
        <w:t> CD004453. doi: 10.1002/14651858.CD004453.pub2</w:t>
      </w:r>
    </w:p>
    <w:p w14:paraId="5B78DD2D" w14:textId="77777777" w:rsidR="00F41DC5" w:rsidRPr="00721B96" w:rsidRDefault="00F41DC5" w:rsidP="00040788">
      <w:pPr>
        <w:spacing w:after="0"/>
        <w:ind w:left="720" w:hanging="720"/>
        <w:rPr>
          <w:rFonts w:cstheme="minorHAnsi"/>
        </w:rPr>
      </w:pPr>
      <w:bookmarkStart w:id="27" w:name="B26"/>
      <w:bookmarkEnd w:id="27"/>
      <w:r w:rsidRPr="00721B96">
        <w:rPr>
          <w:rFonts w:cstheme="minorHAnsi"/>
        </w:rPr>
        <w:t xml:space="preserve">Melzack, R. (1987). The </w:t>
      </w:r>
      <w:proofErr w:type="gramStart"/>
      <w:r w:rsidRPr="00721B96">
        <w:rPr>
          <w:rFonts w:cstheme="minorHAnsi"/>
        </w:rPr>
        <w:t>short-form</w:t>
      </w:r>
      <w:proofErr w:type="gramEnd"/>
      <w:r w:rsidRPr="00721B96">
        <w:rPr>
          <w:rFonts w:cstheme="minorHAnsi"/>
        </w:rPr>
        <w:t xml:space="preserve"> mcgill pain questionnaire. </w:t>
      </w:r>
      <w:r w:rsidRPr="00721B96">
        <w:rPr>
          <w:rFonts w:cstheme="minorHAnsi"/>
          <w:i/>
          <w:iCs/>
        </w:rPr>
        <w:t>Pain</w:t>
      </w:r>
      <w:r w:rsidRPr="00721B96">
        <w:rPr>
          <w:rFonts w:cstheme="minorHAnsi"/>
        </w:rPr>
        <w:t> 30, 191–197. doi: 10.1016/0304-3959(87)91074-8</w:t>
      </w:r>
    </w:p>
    <w:p w14:paraId="4946C651" w14:textId="77777777" w:rsidR="00F41DC5" w:rsidRPr="00721B96" w:rsidRDefault="00F41DC5" w:rsidP="00040788">
      <w:pPr>
        <w:spacing w:after="0"/>
        <w:ind w:left="720" w:hanging="720"/>
        <w:rPr>
          <w:rFonts w:cstheme="minorHAnsi"/>
        </w:rPr>
      </w:pPr>
      <w:bookmarkStart w:id="28" w:name="B27"/>
      <w:bookmarkEnd w:id="28"/>
      <w:r w:rsidRPr="00721B96">
        <w:rPr>
          <w:rFonts w:cstheme="minorHAnsi"/>
        </w:rPr>
        <w:t>Murray, A., and Holdcroft, A. (1989). Incidence and intensity of postpartum lower abdominal pain. </w:t>
      </w:r>
      <w:r w:rsidRPr="00721B96">
        <w:rPr>
          <w:rFonts w:cstheme="minorHAnsi"/>
          <w:i/>
          <w:iCs/>
        </w:rPr>
        <w:t>Br. Med. J.</w:t>
      </w:r>
      <w:r w:rsidRPr="00721B96">
        <w:rPr>
          <w:rFonts w:cstheme="minorHAnsi"/>
        </w:rPr>
        <w:t> 298:1619. doi: 10.1136/bmj.298.6688.1619</w:t>
      </w:r>
    </w:p>
    <w:p w14:paraId="2C4D17CE" w14:textId="77777777" w:rsidR="00F41DC5" w:rsidRPr="00721B96" w:rsidRDefault="00F41DC5" w:rsidP="00040788">
      <w:pPr>
        <w:spacing w:after="0"/>
        <w:ind w:left="720" w:hanging="720"/>
        <w:rPr>
          <w:rFonts w:cstheme="minorHAnsi"/>
        </w:rPr>
      </w:pPr>
      <w:bookmarkStart w:id="29" w:name="B28"/>
      <w:bookmarkEnd w:id="29"/>
      <w:r w:rsidRPr="00721B96">
        <w:rPr>
          <w:rFonts w:cstheme="minorHAnsi"/>
        </w:rPr>
        <w:t>Naugle, K., Fillingim, R., and Riley, J. III. (2012). A meta-analytic review of the hypoalgestic effects of exercise. </w:t>
      </w:r>
      <w:r w:rsidRPr="00721B96">
        <w:rPr>
          <w:rFonts w:cstheme="minorHAnsi"/>
          <w:i/>
          <w:iCs/>
        </w:rPr>
        <w:t>J. Pain</w:t>
      </w:r>
      <w:r w:rsidRPr="00721B96">
        <w:rPr>
          <w:rFonts w:cstheme="minorHAnsi"/>
        </w:rPr>
        <w:t> 13, 1139–1150. doi: 10.1016/j.jpain.2012.09.006</w:t>
      </w:r>
    </w:p>
    <w:p w14:paraId="531422EF" w14:textId="77777777" w:rsidR="00F41DC5" w:rsidRPr="00721B96" w:rsidRDefault="00F41DC5" w:rsidP="00040788">
      <w:pPr>
        <w:spacing w:after="0"/>
        <w:ind w:left="720" w:hanging="720"/>
        <w:rPr>
          <w:rFonts w:cstheme="minorHAnsi"/>
        </w:rPr>
      </w:pPr>
      <w:bookmarkStart w:id="30" w:name="B29"/>
      <w:bookmarkEnd w:id="30"/>
      <w:r w:rsidRPr="00721B96">
        <w:rPr>
          <w:rFonts w:cstheme="minorHAnsi"/>
        </w:rPr>
        <w:t>Norén, L., Ostgaard, S., Johansson, G., and Ostgaard, H. C. (2002). Lumbar back and posterior pelvic pain during pregnancy: a 3-year follow-up. </w:t>
      </w:r>
      <w:r w:rsidRPr="00721B96">
        <w:rPr>
          <w:rFonts w:cstheme="minorHAnsi"/>
          <w:i/>
          <w:iCs/>
        </w:rPr>
        <w:t>Eur. Spine J.</w:t>
      </w:r>
      <w:r w:rsidRPr="00721B96">
        <w:rPr>
          <w:rFonts w:cstheme="minorHAnsi"/>
        </w:rPr>
        <w:t> 11, 267–271. doi: 10.1007/s00586-001-0357-7</w:t>
      </w:r>
    </w:p>
    <w:p w14:paraId="5146CD51" w14:textId="4AC02F48" w:rsidR="00F41DC5" w:rsidRPr="00721B96" w:rsidRDefault="00F41DC5" w:rsidP="00040788">
      <w:pPr>
        <w:spacing w:after="0"/>
        <w:ind w:left="720" w:hanging="720"/>
        <w:rPr>
          <w:rFonts w:cstheme="minorHAnsi"/>
        </w:rPr>
      </w:pPr>
      <w:bookmarkStart w:id="31" w:name="B30"/>
      <w:bookmarkEnd w:id="31"/>
      <w:r w:rsidRPr="00721B96">
        <w:rPr>
          <w:rFonts w:cstheme="minorHAnsi"/>
        </w:rPr>
        <w:t>Osman, A., Barrios, F. X., Gutierrez, P. M., Kopper, B. A., Merrifield, T., and Grittmann, L. (2000). The pain catastrophizing scale: further psychometric evaluation with adult samples. </w:t>
      </w:r>
      <w:r w:rsidRPr="00721B96">
        <w:rPr>
          <w:rFonts w:cstheme="minorHAnsi"/>
          <w:i/>
          <w:iCs/>
        </w:rPr>
        <w:t>J. Behav. Med.</w:t>
      </w:r>
      <w:r w:rsidRPr="00721B96">
        <w:rPr>
          <w:rFonts w:cstheme="minorHAnsi"/>
        </w:rPr>
        <w:t> 23, 351–365. doi: 10.1023/A:1005548801037</w:t>
      </w:r>
    </w:p>
    <w:p w14:paraId="243F724C" w14:textId="77777777" w:rsidR="00F41DC5" w:rsidRPr="00721B96" w:rsidRDefault="00F41DC5" w:rsidP="00040788">
      <w:pPr>
        <w:spacing w:after="0"/>
        <w:ind w:left="720" w:hanging="720"/>
        <w:rPr>
          <w:rFonts w:cstheme="minorHAnsi"/>
        </w:rPr>
      </w:pPr>
      <w:bookmarkStart w:id="32" w:name="B31"/>
      <w:bookmarkEnd w:id="32"/>
      <w:r w:rsidRPr="00721B96">
        <w:rPr>
          <w:rFonts w:cstheme="minorHAnsi"/>
        </w:rPr>
        <w:t>Osman, A., Barrios, F. X., Kopper, B. A., Hauptmann, W., Jones, J., and O’Neill, E. (1997). Factor structure, reliability, and validity of the pain catastrophizing scale. </w:t>
      </w:r>
      <w:r w:rsidRPr="00721B96">
        <w:rPr>
          <w:rFonts w:cstheme="minorHAnsi"/>
          <w:i/>
          <w:iCs/>
        </w:rPr>
        <w:t>J. Behav. Med.</w:t>
      </w:r>
      <w:r w:rsidRPr="00721B96">
        <w:rPr>
          <w:rFonts w:cstheme="minorHAnsi"/>
        </w:rPr>
        <w:t> 20, 589–605. doi: 10.1023/A:1025570508954</w:t>
      </w:r>
    </w:p>
    <w:p w14:paraId="6220B00F" w14:textId="77777777" w:rsidR="00F41DC5" w:rsidRPr="00721B96" w:rsidRDefault="00F41DC5" w:rsidP="00040788">
      <w:pPr>
        <w:spacing w:after="0"/>
        <w:ind w:left="720" w:hanging="720"/>
        <w:rPr>
          <w:rFonts w:cstheme="minorHAnsi"/>
        </w:rPr>
      </w:pPr>
      <w:bookmarkStart w:id="33" w:name="B32"/>
      <w:bookmarkEnd w:id="33"/>
      <w:r w:rsidRPr="00721B96">
        <w:rPr>
          <w:rFonts w:cstheme="minorHAnsi"/>
        </w:rPr>
        <w:t>Parker, M., and Millar, A. (2008). Diastasis rectus abdominis and lumbo-pelvic pain and dysfunction-are they related? </w:t>
      </w:r>
      <w:r w:rsidRPr="00721B96">
        <w:rPr>
          <w:rFonts w:cstheme="minorHAnsi"/>
          <w:i/>
          <w:iCs/>
        </w:rPr>
        <w:t>J. Women Health Phys. Ther.</w:t>
      </w:r>
      <w:r w:rsidRPr="00721B96">
        <w:rPr>
          <w:rFonts w:cstheme="minorHAnsi"/>
        </w:rPr>
        <w:t> 32, 15–22.</w:t>
      </w:r>
    </w:p>
    <w:p w14:paraId="2BECA1A9" w14:textId="77777777" w:rsidR="00F41DC5" w:rsidRPr="00721B96" w:rsidRDefault="00F41DC5" w:rsidP="00040788">
      <w:pPr>
        <w:spacing w:after="0"/>
        <w:ind w:left="720" w:hanging="720"/>
        <w:rPr>
          <w:rFonts w:cstheme="minorHAnsi"/>
        </w:rPr>
      </w:pPr>
      <w:bookmarkStart w:id="34" w:name="B33"/>
      <w:bookmarkEnd w:id="34"/>
      <w:r w:rsidRPr="00721B96">
        <w:rPr>
          <w:rFonts w:cstheme="minorHAnsi"/>
        </w:rPr>
        <w:t>Pennick, V. Y. (2007). Interventions for preventing and treating pelvic and back pain in pregnancy. </w:t>
      </w:r>
      <w:r w:rsidRPr="00721B96">
        <w:rPr>
          <w:rFonts w:cstheme="minorHAnsi"/>
          <w:i/>
          <w:iCs/>
        </w:rPr>
        <w:t>Cochrane Database Syst. Rev.</w:t>
      </w:r>
      <w:r w:rsidRPr="00721B96">
        <w:rPr>
          <w:rFonts w:cstheme="minorHAnsi"/>
        </w:rPr>
        <w:t> 1–31. doi: 10.1002/14651858.CD001139.pub2</w:t>
      </w:r>
    </w:p>
    <w:p w14:paraId="6C250CB3" w14:textId="77777777" w:rsidR="00F41DC5" w:rsidRPr="00721B96" w:rsidRDefault="00F41DC5" w:rsidP="00040788">
      <w:pPr>
        <w:spacing w:after="0"/>
        <w:ind w:left="720" w:hanging="720"/>
        <w:rPr>
          <w:rFonts w:cstheme="minorHAnsi"/>
        </w:rPr>
      </w:pPr>
      <w:bookmarkStart w:id="35" w:name="B34"/>
      <w:bookmarkEnd w:id="35"/>
      <w:r w:rsidRPr="00721B96">
        <w:rPr>
          <w:rFonts w:cstheme="minorHAnsi"/>
        </w:rPr>
        <w:t>Phillips, K., and Clauw, D. J. (2011). Central pain mechanisms in chronic pain states–maybe it is all in their head. </w:t>
      </w:r>
      <w:r w:rsidRPr="00721B96">
        <w:rPr>
          <w:rFonts w:cstheme="minorHAnsi"/>
          <w:i/>
          <w:iCs/>
        </w:rPr>
        <w:t>Best Pract. Res. Clin. Rheumatol.</w:t>
      </w:r>
      <w:r w:rsidRPr="00721B96">
        <w:rPr>
          <w:rFonts w:cstheme="minorHAnsi"/>
        </w:rPr>
        <w:t> 25, 141–154. doi: 10.1016/j.berh.2011.02.005</w:t>
      </w:r>
    </w:p>
    <w:p w14:paraId="1425F1FC" w14:textId="77777777" w:rsidR="00F41DC5" w:rsidRPr="00721B96" w:rsidRDefault="00F41DC5" w:rsidP="00040788">
      <w:pPr>
        <w:spacing w:after="0"/>
        <w:ind w:left="720" w:hanging="720"/>
        <w:rPr>
          <w:rFonts w:cstheme="minorHAnsi"/>
        </w:rPr>
      </w:pPr>
      <w:bookmarkStart w:id="36" w:name="B35"/>
      <w:bookmarkEnd w:id="36"/>
      <w:r w:rsidRPr="00721B96">
        <w:rPr>
          <w:rFonts w:cstheme="minorHAnsi"/>
        </w:rPr>
        <w:t>Price, R. C., Asenjo, J. F., Christou, N. V., Backman, S. B., and Schweinhardt, P. (2013). The role of excess subcutaneous fat in pain and sensory sensitivity in obesity. </w:t>
      </w:r>
      <w:r w:rsidRPr="00721B96">
        <w:rPr>
          <w:rFonts w:cstheme="minorHAnsi"/>
          <w:i/>
          <w:iCs/>
        </w:rPr>
        <w:t>Eur. J. Pain</w:t>
      </w:r>
      <w:r w:rsidRPr="00721B96">
        <w:rPr>
          <w:rFonts w:cstheme="minorHAnsi"/>
        </w:rPr>
        <w:t> 17, 1316–1326. doi: 10.1002/j.1532-2149.</w:t>
      </w:r>
      <w:proofErr w:type="gramStart"/>
      <w:r w:rsidRPr="00721B96">
        <w:rPr>
          <w:rFonts w:cstheme="minorHAnsi"/>
        </w:rPr>
        <w:t>2013.00315.x</w:t>
      </w:r>
      <w:proofErr w:type="gramEnd"/>
    </w:p>
    <w:p w14:paraId="1CF2554B" w14:textId="77777777" w:rsidR="00F41DC5" w:rsidRPr="00721B96" w:rsidRDefault="00F41DC5" w:rsidP="00040788">
      <w:pPr>
        <w:spacing w:after="0"/>
        <w:ind w:left="720" w:hanging="720"/>
        <w:rPr>
          <w:rFonts w:cstheme="minorHAnsi"/>
        </w:rPr>
      </w:pPr>
      <w:bookmarkStart w:id="37" w:name="B36"/>
      <w:bookmarkEnd w:id="37"/>
      <w:r w:rsidRPr="00721B96">
        <w:rPr>
          <w:rFonts w:cstheme="minorHAnsi"/>
        </w:rPr>
        <w:t>Racine, M., Tousignant-Laflamme, Y., Kloda, L. A., Dion, D., Dupuis, G., and Choinière, M. (2012). A systematic literature review of 10 years of research on sex/gender and experimental pain perception – part 1: are there really differences between women and men? </w:t>
      </w:r>
      <w:r w:rsidRPr="00721B96">
        <w:rPr>
          <w:rFonts w:cstheme="minorHAnsi"/>
          <w:i/>
          <w:iCs/>
        </w:rPr>
        <w:t>Pain</w:t>
      </w:r>
      <w:r w:rsidRPr="00721B96">
        <w:rPr>
          <w:rFonts w:cstheme="minorHAnsi"/>
        </w:rPr>
        <w:t> 153, 602–618. doi: 10.1016/j.pain.2011.11.025</w:t>
      </w:r>
    </w:p>
    <w:p w14:paraId="046997AA" w14:textId="363D82EC" w:rsidR="00F41DC5" w:rsidRPr="00721B96" w:rsidRDefault="00F41DC5" w:rsidP="00040788">
      <w:pPr>
        <w:spacing w:after="0"/>
        <w:ind w:left="720" w:hanging="720"/>
        <w:rPr>
          <w:rFonts w:cstheme="minorHAnsi"/>
        </w:rPr>
      </w:pPr>
      <w:bookmarkStart w:id="38" w:name="B37"/>
      <w:bookmarkEnd w:id="38"/>
      <w:r w:rsidRPr="00721B96">
        <w:rPr>
          <w:rFonts w:cstheme="minorHAnsi"/>
        </w:rPr>
        <w:t>Richardson, C., Jull, G., Hodges, P., and Hides, J. (1999). </w:t>
      </w:r>
      <w:r w:rsidRPr="00721B96">
        <w:rPr>
          <w:rFonts w:cstheme="minorHAnsi"/>
          <w:i/>
          <w:iCs/>
        </w:rPr>
        <w:t>Therapeutic Exercise for the Spinal Segmental Stabilization in Low Back Pain: Scientific Basis and Clinical Approach</w:t>
      </w:r>
      <w:r w:rsidRPr="00721B96">
        <w:rPr>
          <w:rFonts w:cstheme="minorHAnsi"/>
        </w:rPr>
        <w:t>, 1 Edn. Edinburgh: Churchill Livingstone.</w:t>
      </w:r>
    </w:p>
    <w:p w14:paraId="61EC0263" w14:textId="77777777" w:rsidR="00F41DC5" w:rsidRPr="00721B96" w:rsidRDefault="00F41DC5" w:rsidP="00040788">
      <w:pPr>
        <w:spacing w:after="0"/>
        <w:ind w:left="720" w:hanging="720"/>
        <w:rPr>
          <w:rFonts w:cstheme="minorHAnsi"/>
        </w:rPr>
      </w:pPr>
      <w:bookmarkStart w:id="39" w:name="B38"/>
      <w:bookmarkEnd w:id="39"/>
      <w:r w:rsidRPr="00721B96">
        <w:rPr>
          <w:rFonts w:cstheme="minorHAnsi"/>
        </w:rPr>
        <w:t>Robinson, H., Mengshoel, A., Veierod, M., and Vollestad, N. (2010). Pelvic girdle pain: potential risk factors in pregnancy in relation to disability and pain intensity three months postpartum. </w:t>
      </w:r>
      <w:r w:rsidRPr="00721B96">
        <w:rPr>
          <w:rFonts w:cstheme="minorHAnsi"/>
          <w:i/>
          <w:iCs/>
        </w:rPr>
        <w:t>Man. Ther.</w:t>
      </w:r>
      <w:r w:rsidRPr="00721B96">
        <w:rPr>
          <w:rFonts w:cstheme="minorHAnsi"/>
        </w:rPr>
        <w:t> 15, 522–528. doi: 10.1016/j.math.2010.05.007</w:t>
      </w:r>
    </w:p>
    <w:p w14:paraId="3E6BD4F5" w14:textId="6FD044E5" w:rsidR="00F41DC5" w:rsidRPr="00721B96" w:rsidRDefault="00F41DC5" w:rsidP="00040788">
      <w:pPr>
        <w:spacing w:after="0"/>
        <w:ind w:left="720" w:hanging="720"/>
        <w:rPr>
          <w:rFonts w:cstheme="minorHAnsi"/>
        </w:rPr>
      </w:pPr>
      <w:bookmarkStart w:id="40" w:name="B39"/>
      <w:bookmarkEnd w:id="40"/>
      <w:r w:rsidRPr="00721B96">
        <w:rPr>
          <w:rFonts w:cstheme="minorHAnsi"/>
        </w:rPr>
        <w:t>Smidt, G., Herring, T., Amundsen, L., Rogers, M., Russell, A., and Lehmann, T. (1983). Assessment of abdominal and back extensor function. A quantitative approach and results for chronic low-back patients. </w:t>
      </w:r>
      <w:r w:rsidRPr="00721B96">
        <w:rPr>
          <w:rFonts w:cstheme="minorHAnsi"/>
          <w:i/>
          <w:iCs/>
        </w:rPr>
        <w:t>Spine</w:t>
      </w:r>
      <w:r w:rsidRPr="00721B96">
        <w:rPr>
          <w:rFonts w:cstheme="minorHAnsi"/>
        </w:rPr>
        <w:t> 8, 211–219. doi: 10.1097/00007632-198303000-00014</w:t>
      </w:r>
    </w:p>
    <w:p w14:paraId="208B41DA" w14:textId="1AE78806" w:rsidR="00F41DC5" w:rsidRPr="00721B96" w:rsidRDefault="00F41DC5" w:rsidP="00040788">
      <w:pPr>
        <w:spacing w:after="0"/>
        <w:ind w:left="720" w:hanging="720"/>
        <w:rPr>
          <w:rFonts w:cstheme="minorHAnsi"/>
        </w:rPr>
      </w:pPr>
      <w:bookmarkStart w:id="41" w:name="B40"/>
      <w:bookmarkEnd w:id="41"/>
      <w:r w:rsidRPr="00721B96">
        <w:rPr>
          <w:rFonts w:cstheme="minorHAnsi"/>
        </w:rPr>
        <w:t>Staud, R. (2012). Abnormal endogenous pain modulation is a shared characteristic of many chronic pain conditions. </w:t>
      </w:r>
      <w:r w:rsidRPr="00721B96">
        <w:rPr>
          <w:rFonts w:cstheme="minorHAnsi"/>
          <w:i/>
          <w:iCs/>
        </w:rPr>
        <w:t>Expert Rev. Neurother.</w:t>
      </w:r>
      <w:r w:rsidRPr="00721B96">
        <w:rPr>
          <w:rFonts w:cstheme="minorHAnsi"/>
        </w:rPr>
        <w:t> 12, 577–585. doi: 10.1586/ern.12.41</w:t>
      </w:r>
    </w:p>
    <w:p w14:paraId="196A0A0F" w14:textId="77777777" w:rsidR="00F41DC5" w:rsidRPr="00721B96" w:rsidRDefault="00F41DC5" w:rsidP="00040788">
      <w:pPr>
        <w:spacing w:after="0"/>
        <w:ind w:left="720" w:hanging="720"/>
        <w:rPr>
          <w:rFonts w:cstheme="minorHAnsi"/>
        </w:rPr>
      </w:pPr>
      <w:bookmarkStart w:id="42" w:name="B41"/>
      <w:bookmarkEnd w:id="42"/>
      <w:r w:rsidRPr="00721B96">
        <w:rPr>
          <w:rFonts w:cstheme="minorHAnsi"/>
        </w:rPr>
        <w:lastRenderedPageBreak/>
        <w:t>Stolzman, S., and Bement, M. H. (2016). Does exercise decrease pain via conditioned pain modulation in adolescents? </w:t>
      </w:r>
      <w:r w:rsidRPr="00721B96">
        <w:rPr>
          <w:rFonts w:cstheme="minorHAnsi"/>
          <w:i/>
          <w:iCs/>
        </w:rPr>
        <w:t>Pediatr. Phys. Ther.</w:t>
      </w:r>
      <w:r w:rsidRPr="00721B96">
        <w:rPr>
          <w:rFonts w:cstheme="minorHAnsi"/>
        </w:rPr>
        <w:t> 28, 470–473. doi: 10.1097/PEP.0000000000000312</w:t>
      </w:r>
    </w:p>
    <w:p w14:paraId="5EFC8DED" w14:textId="77777777" w:rsidR="00F41DC5" w:rsidRPr="00721B96" w:rsidRDefault="00F41DC5" w:rsidP="00040788">
      <w:pPr>
        <w:spacing w:after="0"/>
        <w:ind w:left="720" w:hanging="720"/>
        <w:rPr>
          <w:rFonts w:cstheme="minorHAnsi"/>
        </w:rPr>
      </w:pPr>
      <w:bookmarkStart w:id="43" w:name="B42"/>
      <w:bookmarkEnd w:id="43"/>
      <w:r w:rsidRPr="00721B96">
        <w:rPr>
          <w:rFonts w:cstheme="minorHAnsi"/>
        </w:rPr>
        <w:t>Stolzman, S., and Hoeger Bement, M. (2016). Lean mass predicts conditioned pain modulation in adolescents across weight status. </w:t>
      </w:r>
      <w:r w:rsidRPr="00721B96">
        <w:rPr>
          <w:rFonts w:cstheme="minorHAnsi"/>
          <w:i/>
          <w:iCs/>
        </w:rPr>
        <w:t>Eur. J. Pain</w:t>
      </w:r>
      <w:r w:rsidRPr="00721B96">
        <w:rPr>
          <w:rFonts w:cstheme="minorHAnsi"/>
        </w:rPr>
        <w:t> 20, 967–976. doi: 10.1002/ejp.821</w:t>
      </w:r>
    </w:p>
    <w:p w14:paraId="683E80F7" w14:textId="77777777" w:rsidR="00F41DC5" w:rsidRPr="00721B96" w:rsidRDefault="00F41DC5" w:rsidP="00040788">
      <w:pPr>
        <w:spacing w:after="0"/>
        <w:ind w:left="720" w:hanging="720"/>
        <w:rPr>
          <w:rFonts w:cstheme="minorHAnsi"/>
        </w:rPr>
      </w:pPr>
      <w:bookmarkStart w:id="44" w:name="B43"/>
      <w:bookmarkEnd w:id="44"/>
      <w:r w:rsidRPr="00721B96">
        <w:rPr>
          <w:rFonts w:cstheme="minorHAnsi"/>
        </w:rPr>
        <w:t>Teyhen, D. S., Gill, N. W., Whittaker, J. L., Henry, S. M., Hides, J. A., and Hodges, P. (2007). Rehabilitative ultrasound imaging of the abdominal muscles. </w:t>
      </w:r>
      <w:r w:rsidRPr="00721B96">
        <w:rPr>
          <w:rFonts w:cstheme="minorHAnsi"/>
          <w:i/>
          <w:iCs/>
        </w:rPr>
        <w:t>J. Orthop. Sports Phys. Ther.</w:t>
      </w:r>
      <w:r w:rsidRPr="00721B96">
        <w:rPr>
          <w:rFonts w:cstheme="minorHAnsi"/>
        </w:rPr>
        <w:t> 37, 450–466. doi: 10.2519/jospt.2007.2558</w:t>
      </w:r>
    </w:p>
    <w:p w14:paraId="520D97C0" w14:textId="68886BDC" w:rsidR="00F41DC5" w:rsidRPr="00721B96" w:rsidRDefault="00F41DC5" w:rsidP="00040788">
      <w:pPr>
        <w:spacing w:after="0"/>
        <w:ind w:left="720" w:hanging="720"/>
        <w:rPr>
          <w:rFonts w:cstheme="minorHAnsi"/>
        </w:rPr>
      </w:pPr>
      <w:bookmarkStart w:id="45" w:name="B44"/>
      <w:bookmarkEnd w:id="45"/>
      <w:r w:rsidRPr="00721B96">
        <w:rPr>
          <w:rFonts w:cstheme="minorHAnsi"/>
        </w:rPr>
        <w:t>Vahratian, A., and Johnson, T. R. (2009). Maternity leave benefits in the United States: today’s economic climate underlines deficiencies. </w:t>
      </w:r>
      <w:r w:rsidRPr="00721B96">
        <w:rPr>
          <w:rFonts w:cstheme="minorHAnsi"/>
          <w:i/>
          <w:iCs/>
        </w:rPr>
        <w:t>Birth</w:t>
      </w:r>
      <w:r w:rsidRPr="00721B96">
        <w:rPr>
          <w:rFonts w:cstheme="minorHAnsi"/>
        </w:rPr>
        <w:t> 36, 177–179. doi: 10.1111/j.1523-536X.</w:t>
      </w:r>
      <w:proofErr w:type="gramStart"/>
      <w:r w:rsidRPr="00721B96">
        <w:rPr>
          <w:rFonts w:cstheme="minorHAnsi"/>
        </w:rPr>
        <w:t>2009.00330.x</w:t>
      </w:r>
      <w:proofErr w:type="gramEnd"/>
    </w:p>
    <w:p w14:paraId="6E8384C7" w14:textId="77777777" w:rsidR="00F41DC5" w:rsidRPr="00721B96" w:rsidRDefault="00F41DC5" w:rsidP="00040788">
      <w:pPr>
        <w:spacing w:after="0"/>
        <w:ind w:left="720" w:hanging="720"/>
        <w:rPr>
          <w:rFonts w:cstheme="minorHAnsi"/>
        </w:rPr>
      </w:pPr>
      <w:bookmarkStart w:id="46" w:name="B45"/>
      <w:bookmarkEnd w:id="46"/>
      <w:r w:rsidRPr="00721B96">
        <w:rPr>
          <w:rFonts w:cstheme="minorHAnsi"/>
        </w:rPr>
        <w:t>Vleeming, A., Albert, H. B., Ostgaard, H. C., Sturesson, B., and Stuge, B. (2008). European guidelines for the diagnosis and treatment of pelvic girdle pain. </w:t>
      </w:r>
      <w:r w:rsidRPr="00721B96">
        <w:rPr>
          <w:rFonts w:cstheme="minorHAnsi"/>
          <w:i/>
          <w:iCs/>
        </w:rPr>
        <w:t>Eur. Spine J.</w:t>
      </w:r>
      <w:r w:rsidRPr="00721B96">
        <w:rPr>
          <w:rFonts w:cstheme="minorHAnsi"/>
        </w:rPr>
        <w:t> 17, 794–819. doi: 10.1007/s00586-008-0602-4</w:t>
      </w:r>
    </w:p>
    <w:p w14:paraId="2BA289B7" w14:textId="77777777" w:rsidR="00F41DC5" w:rsidRPr="00721B96" w:rsidRDefault="00F41DC5" w:rsidP="00040788">
      <w:pPr>
        <w:spacing w:after="0"/>
        <w:ind w:left="720" w:hanging="720"/>
        <w:rPr>
          <w:rFonts w:cstheme="minorHAnsi"/>
        </w:rPr>
      </w:pPr>
      <w:bookmarkStart w:id="47" w:name="B46"/>
      <w:bookmarkEnd w:id="47"/>
      <w:r w:rsidRPr="00721B96">
        <w:rPr>
          <w:rFonts w:cstheme="minorHAnsi"/>
        </w:rPr>
        <w:t>Vos, T., Flaxman, A. D., Naghavi, M., Lozano, R., Michaud, C., Ezzati, M., et al. (2012). Years lived with disability (YLDs) for 1160 sequelae of 289 diseases and injuries 1990-2010: a systematic analysis for the global burden of disease study 2010. </w:t>
      </w:r>
      <w:r w:rsidRPr="00721B96">
        <w:rPr>
          <w:rFonts w:cstheme="minorHAnsi"/>
          <w:i/>
          <w:iCs/>
        </w:rPr>
        <w:t>Lancet</w:t>
      </w:r>
      <w:r w:rsidRPr="00721B96">
        <w:rPr>
          <w:rFonts w:cstheme="minorHAnsi"/>
        </w:rPr>
        <w:t> 380, 2163–2196. doi: 10.1016/S0140-6736(12)61729-2</w:t>
      </w:r>
    </w:p>
    <w:p w14:paraId="61A9827A" w14:textId="7EA8AEB7" w:rsidR="00F41DC5" w:rsidRPr="00721B96" w:rsidRDefault="00F41DC5" w:rsidP="00040788">
      <w:pPr>
        <w:spacing w:after="0"/>
        <w:ind w:left="720" w:hanging="720"/>
        <w:rPr>
          <w:rFonts w:cstheme="minorHAnsi"/>
        </w:rPr>
      </w:pPr>
      <w:bookmarkStart w:id="48" w:name="B47"/>
      <w:bookmarkEnd w:id="48"/>
      <w:r w:rsidRPr="00721B96">
        <w:rPr>
          <w:rFonts w:cstheme="minorHAnsi"/>
        </w:rPr>
        <w:t xml:space="preserve">Waddell, G., Newton, M., Henderson, I., Somerville, D., and Main, C. J. (1993). A </w:t>
      </w:r>
      <w:proofErr w:type="gramStart"/>
      <w:r w:rsidRPr="00721B96">
        <w:rPr>
          <w:rFonts w:cstheme="minorHAnsi"/>
        </w:rPr>
        <w:t>fear-avoidance beliefs</w:t>
      </w:r>
      <w:proofErr w:type="gramEnd"/>
      <w:r w:rsidRPr="00721B96">
        <w:rPr>
          <w:rFonts w:cstheme="minorHAnsi"/>
        </w:rPr>
        <w:t xml:space="preserve"> questionnaire (FABQ) and the role of fear-avoidance beliefs in chronic low back pain and disability. </w:t>
      </w:r>
      <w:r w:rsidRPr="00721B96">
        <w:rPr>
          <w:rFonts w:cstheme="minorHAnsi"/>
          <w:i/>
          <w:iCs/>
        </w:rPr>
        <w:t>Pain</w:t>
      </w:r>
      <w:r w:rsidRPr="00721B96">
        <w:rPr>
          <w:rFonts w:cstheme="minorHAnsi"/>
        </w:rPr>
        <w:t> 52, 157–168. doi: 10.1016/0304-3959(93)90127-B</w:t>
      </w:r>
    </w:p>
    <w:p w14:paraId="3EFF74BC" w14:textId="77777777" w:rsidR="00F41DC5" w:rsidRPr="00721B96" w:rsidRDefault="00F41DC5" w:rsidP="00040788">
      <w:pPr>
        <w:spacing w:after="0"/>
        <w:ind w:left="720" w:hanging="720"/>
        <w:rPr>
          <w:rFonts w:cstheme="minorHAnsi"/>
        </w:rPr>
      </w:pPr>
      <w:bookmarkStart w:id="49" w:name="B48"/>
      <w:bookmarkEnd w:id="49"/>
      <w:r w:rsidRPr="00721B96">
        <w:rPr>
          <w:rFonts w:cstheme="minorHAnsi"/>
        </w:rPr>
        <w:t>Wang, W., He, H., Hu, W., Zhang, X., and Wang, Y. (2004). Efficacy and safety of intraprostatic injection of chuanshentong for chronic abacterial prostatitis/chronic pelvic pain syndrome. </w:t>
      </w:r>
      <w:r w:rsidRPr="00721B96">
        <w:rPr>
          <w:rFonts w:cstheme="minorHAnsi"/>
          <w:i/>
          <w:iCs/>
        </w:rPr>
        <w:t>Zhonghua Nan Ke Xue</w:t>
      </w:r>
      <w:r w:rsidRPr="00721B96">
        <w:rPr>
          <w:rFonts w:cstheme="minorHAnsi"/>
        </w:rPr>
        <w:t> 10, 182–184, 187.</w:t>
      </w:r>
    </w:p>
    <w:p w14:paraId="2D2CDA34" w14:textId="77777777" w:rsidR="00F41DC5" w:rsidRPr="00721B96" w:rsidRDefault="00F41DC5" w:rsidP="00040788">
      <w:pPr>
        <w:spacing w:after="0"/>
        <w:ind w:left="720" w:hanging="720"/>
        <w:rPr>
          <w:rFonts w:cstheme="minorHAnsi"/>
        </w:rPr>
      </w:pPr>
      <w:bookmarkStart w:id="50" w:name="B49"/>
      <w:bookmarkEnd w:id="50"/>
      <w:r w:rsidRPr="00721B96">
        <w:rPr>
          <w:rFonts w:cstheme="minorHAnsi"/>
        </w:rPr>
        <w:t>Waseem, M., Cunningham-Deshong, H., and Gernsheimer, J. (2011). Abdominal pain in a postpartum patient. </w:t>
      </w:r>
      <w:r w:rsidRPr="00721B96">
        <w:rPr>
          <w:rFonts w:cstheme="minorHAnsi"/>
          <w:i/>
          <w:iCs/>
        </w:rPr>
        <w:t>J. Emerg. Med.</w:t>
      </w:r>
      <w:r w:rsidRPr="00721B96">
        <w:rPr>
          <w:rFonts w:cstheme="minorHAnsi"/>
        </w:rPr>
        <w:t> 41, 261–264. doi: 10.1016/j.jemermed.2010.05.018</w:t>
      </w:r>
    </w:p>
    <w:p w14:paraId="3C96FC34" w14:textId="77777777" w:rsidR="00F41DC5" w:rsidRPr="00721B96" w:rsidRDefault="00F41DC5" w:rsidP="00040788">
      <w:pPr>
        <w:spacing w:after="0"/>
        <w:ind w:left="720" w:hanging="720"/>
        <w:rPr>
          <w:rFonts w:cstheme="minorHAnsi"/>
        </w:rPr>
      </w:pPr>
      <w:bookmarkStart w:id="51" w:name="B50"/>
      <w:bookmarkEnd w:id="51"/>
      <w:r w:rsidRPr="00721B96">
        <w:rPr>
          <w:rFonts w:cstheme="minorHAnsi"/>
        </w:rPr>
        <w:t>Wu, W. H., Meijer, O. G., Uegaki, K., Mens, J. M., van Dieën, J. H., Wuisman, P. I., et al. (2004). Pregnancy-related pelvic girdle pain (PPP), I: terminology, clinical presentation, and prevalence. </w:t>
      </w:r>
      <w:r w:rsidRPr="00721B96">
        <w:rPr>
          <w:rFonts w:cstheme="minorHAnsi"/>
          <w:i/>
          <w:iCs/>
        </w:rPr>
        <w:t>Eur. Spine J.</w:t>
      </w:r>
      <w:r w:rsidRPr="00721B96">
        <w:rPr>
          <w:rFonts w:cstheme="minorHAnsi"/>
        </w:rPr>
        <w:t> 13, 575–589. doi: 10.1007/s00586-003-0615-y</w:t>
      </w:r>
    </w:p>
    <w:p w14:paraId="04C9821B" w14:textId="77777777" w:rsidR="004170FB" w:rsidRPr="00721B96" w:rsidRDefault="004170FB" w:rsidP="00040788">
      <w:pPr>
        <w:spacing w:after="0"/>
        <w:rPr>
          <w:rFonts w:cstheme="minorHAnsi"/>
        </w:rPr>
      </w:pPr>
    </w:p>
    <w:sectPr w:rsidR="004170FB" w:rsidRPr="00721B9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E06A26"/>
    <w:multiLevelType w:val="multilevel"/>
    <w:tmpl w:val="17EAA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W4887xSz7r4IdFrt5aILdbA7rbbBDFVghbJkgoFAKLTsBEpkunAZGclXur8OK0M/ptCdofcXGB/ZvuU2iM1sw==" w:salt="UZ3Mt2eumpJB6irVYg+yb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11C3"/>
    <w:rsid w:val="00021D84"/>
    <w:rsid w:val="000233C1"/>
    <w:rsid w:val="00024048"/>
    <w:rsid w:val="00026BC7"/>
    <w:rsid w:val="0003036D"/>
    <w:rsid w:val="00034205"/>
    <w:rsid w:val="00034A03"/>
    <w:rsid w:val="00035704"/>
    <w:rsid w:val="00040788"/>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34F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16"/>
    <w:rsid w:val="000B22D3"/>
    <w:rsid w:val="000B2768"/>
    <w:rsid w:val="000B3464"/>
    <w:rsid w:val="000B389E"/>
    <w:rsid w:val="000B4E8A"/>
    <w:rsid w:val="000B501D"/>
    <w:rsid w:val="000B5170"/>
    <w:rsid w:val="000C0054"/>
    <w:rsid w:val="000C0E5B"/>
    <w:rsid w:val="000C1BE5"/>
    <w:rsid w:val="000C6BA7"/>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085C"/>
    <w:rsid w:val="00114114"/>
    <w:rsid w:val="00117F89"/>
    <w:rsid w:val="00120313"/>
    <w:rsid w:val="001233A5"/>
    <w:rsid w:val="00123BC0"/>
    <w:rsid w:val="00123E80"/>
    <w:rsid w:val="00131A15"/>
    <w:rsid w:val="00131C28"/>
    <w:rsid w:val="00134CF7"/>
    <w:rsid w:val="00135236"/>
    <w:rsid w:val="0014085F"/>
    <w:rsid w:val="0014182B"/>
    <w:rsid w:val="0014490B"/>
    <w:rsid w:val="00146A5C"/>
    <w:rsid w:val="00146E50"/>
    <w:rsid w:val="00150DB6"/>
    <w:rsid w:val="00154D34"/>
    <w:rsid w:val="00160E1F"/>
    <w:rsid w:val="00161372"/>
    <w:rsid w:val="001622DB"/>
    <w:rsid w:val="00163F71"/>
    <w:rsid w:val="00165466"/>
    <w:rsid w:val="00173556"/>
    <w:rsid w:val="0018114F"/>
    <w:rsid w:val="00181ADF"/>
    <w:rsid w:val="00183A38"/>
    <w:rsid w:val="001854EA"/>
    <w:rsid w:val="00185C26"/>
    <w:rsid w:val="00196C7C"/>
    <w:rsid w:val="001A0714"/>
    <w:rsid w:val="001A1C71"/>
    <w:rsid w:val="001A1DF4"/>
    <w:rsid w:val="001A3157"/>
    <w:rsid w:val="001A34C4"/>
    <w:rsid w:val="001B6E76"/>
    <w:rsid w:val="001C3A3F"/>
    <w:rsid w:val="001D1087"/>
    <w:rsid w:val="001D2448"/>
    <w:rsid w:val="001D3ADE"/>
    <w:rsid w:val="001D58D3"/>
    <w:rsid w:val="001D776C"/>
    <w:rsid w:val="001D7AE0"/>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27032"/>
    <w:rsid w:val="0023490A"/>
    <w:rsid w:val="0023643C"/>
    <w:rsid w:val="0024134B"/>
    <w:rsid w:val="00251132"/>
    <w:rsid w:val="002535DF"/>
    <w:rsid w:val="002558EB"/>
    <w:rsid w:val="00255B43"/>
    <w:rsid w:val="00255BDC"/>
    <w:rsid w:val="00255BEA"/>
    <w:rsid w:val="0025643E"/>
    <w:rsid w:val="00261403"/>
    <w:rsid w:val="00261F59"/>
    <w:rsid w:val="00262934"/>
    <w:rsid w:val="00272AF4"/>
    <w:rsid w:val="00276C06"/>
    <w:rsid w:val="00280198"/>
    <w:rsid w:val="00282094"/>
    <w:rsid w:val="002843BC"/>
    <w:rsid w:val="00284A84"/>
    <w:rsid w:val="0029129F"/>
    <w:rsid w:val="0029253B"/>
    <w:rsid w:val="00296B90"/>
    <w:rsid w:val="00297296"/>
    <w:rsid w:val="002A0668"/>
    <w:rsid w:val="002A4B43"/>
    <w:rsid w:val="002A6B8B"/>
    <w:rsid w:val="002A7FBB"/>
    <w:rsid w:val="002B1CA8"/>
    <w:rsid w:val="002B1ED8"/>
    <w:rsid w:val="002B29BF"/>
    <w:rsid w:val="002B45EC"/>
    <w:rsid w:val="002B62C6"/>
    <w:rsid w:val="002C17A7"/>
    <w:rsid w:val="002C2DA5"/>
    <w:rsid w:val="002C4714"/>
    <w:rsid w:val="002C5B34"/>
    <w:rsid w:val="002C5F8B"/>
    <w:rsid w:val="002C6160"/>
    <w:rsid w:val="002D02F2"/>
    <w:rsid w:val="002D28EA"/>
    <w:rsid w:val="002D51BB"/>
    <w:rsid w:val="002D5BAE"/>
    <w:rsid w:val="002D5DDC"/>
    <w:rsid w:val="002D6AA3"/>
    <w:rsid w:val="002E5C33"/>
    <w:rsid w:val="002E5D29"/>
    <w:rsid w:val="002E6E36"/>
    <w:rsid w:val="00300EE4"/>
    <w:rsid w:val="0030197F"/>
    <w:rsid w:val="0030223E"/>
    <w:rsid w:val="00303A1E"/>
    <w:rsid w:val="00303BBD"/>
    <w:rsid w:val="00313440"/>
    <w:rsid w:val="00314FCD"/>
    <w:rsid w:val="00324290"/>
    <w:rsid w:val="00325DEF"/>
    <w:rsid w:val="003268B0"/>
    <w:rsid w:val="00331737"/>
    <w:rsid w:val="0033243D"/>
    <w:rsid w:val="0033652E"/>
    <w:rsid w:val="00340617"/>
    <w:rsid w:val="00340B13"/>
    <w:rsid w:val="00340CDB"/>
    <w:rsid w:val="003427C6"/>
    <w:rsid w:val="00343472"/>
    <w:rsid w:val="003455AA"/>
    <w:rsid w:val="00346B00"/>
    <w:rsid w:val="00347634"/>
    <w:rsid w:val="00351E90"/>
    <w:rsid w:val="00360206"/>
    <w:rsid w:val="003621EA"/>
    <w:rsid w:val="003624EE"/>
    <w:rsid w:val="003632E1"/>
    <w:rsid w:val="00363CD3"/>
    <w:rsid w:val="003656A9"/>
    <w:rsid w:val="00366852"/>
    <w:rsid w:val="003706EF"/>
    <w:rsid w:val="00370BE4"/>
    <w:rsid w:val="00371D56"/>
    <w:rsid w:val="003736DD"/>
    <w:rsid w:val="0037755D"/>
    <w:rsid w:val="00381F0E"/>
    <w:rsid w:val="0038549B"/>
    <w:rsid w:val="0038628A"/>
    <w:rsid w:val="0038634F"/>
    <w:rsid w:val="00391C48"/>
    <w:rsid w:val="00394337"/>
    <w:rsid w:val="003A0207"/>
    <w:rsid w:val="003A437A"/>
    <w:rsid w:val="003A503E"/>
    <w:rsid w:val="003A6039"/>
    <w:rsid w:val="003A6ECE"/>
    <w:rsid w:val="003B47FA"/>
    <w:rsid w:val="003B6208"/>
    <w:rsid w:val="003B72F4"/>
    <w:rsid w:val="003B7F8F"/>
    <w:rsid w:val="003C2899"/>
    <w:rsid w:val="003C4172"/>
    <w:rsid w:val="003C437D"/>
    <w:rsid w:val="003C4456"/>
    <w:rsid w:val="003D3301"/>
    <w:rsid w:val="003D4641"/>
    <w:rsid w:val="003E05B7"/>
    <w:rsid w:val="003E0C0A"/>
    <w:rsid w:val="003E2D00"/>
    <w:rsid w:val="003E6CFF"/>
    <w:rsid w:val="004010E3"/>
    <w:rsid w:val="004055B8"/>
    <w:rsid w:val="0040709D"/>
    <w:rsid w:val="004122F9"/>
    <w:rsid w:val="004124D3"/>
    <w:rsid w:val="004139BA"/>
    <w:rsid w:val="004170FB"/>
    <w:rsid w:val="00421CBC"/>
    <w:rsid w:val="0042551D"/>
    <w:rsid w:val="0043008C"/>
    <w:rsid w:val="00430B91"/>
    <w:rsid w:val="00430D09"/>
    <w:rsid w:val="004374EF"/>
    <w:rsid w:val="00440F61"/>
    <w:rsid w:val="004441CB"/>
    <w:rsid w:val="00450DB8"/>
    <w:rsid w:val="00453D2C"/>
    <w:rsid w:val="00454851"/>
    <w:rsid w:val="00456070"/>
    <w:rsid w:val="00456B26"/>
    <w:rsid w:val="004570E7"/>
    <w:rsid w:val="00460A1D"/>
    <w:rsid w:val="004613DF"/>
    <w:rsid w:val="00461BB2"/>
    <w:rsid w:val="004629FB"/>
    <w:rsid w:val="00463F96"/>
    <w:rsid w:val="004660BE"/>
    <w:rsid w:val="0046696C"/>
    <w:rsid w:val="00466DD7"/>
    <w:rsid w:val="00471F7D"/>
    <w:rsid w:val="00473B19"/>
    <w:rsid w:val="00474350"/>
    <w:rsid w:val="00474CB3"/>
    <w:rsid w:val="00474ECD"/>
    <w:rsid w:val="004757B5"/>
    <w:rsid w:val="004816ED"/>
    <w:rsid w:val="004834F0"/>
    <w:rsid w:val="00483EA5"/>
    <w:rsid w:val="00487185"/>
    <w:rsid w:val="004873AE"/>
    <w:rsid w:val="00487718"/>
    <w:rsid w:val="00490ABE"/>
    <w:rsid w:val="004932A8"/>
    <w:rsid w:val="00497E47"/>
    <w:rsid w:val="004A0368"/>
    <w:rsid w:val="004A2715"/>
    <w:rsid w:val="004A2894"/>
    <w:rsid w:val="004A2B41"/>
    <w:rsid w:val="004A3B3E"/>
    <w:rsid w:val="004B2226"/>
    <w:rsid w:val="004B2256"/>
    <w:rsid w:val="004B6BED"/>
    <w:rsid w:val="004B77C2"/>
    <w:rsid w:val="004C0B3D"/>
    <w:rsid w:val="004C2D7B"/>
    <w:rsid w:val="004C45D2"/>
    <w:rsid w:val="004C5EEF"/>
    <w:rsid w:val="004D118A"/>
    <w:rsid w:val="004D1CB9"/>
    <w:rsid w:val="004D21C9"/>
    <w:rsid w:val="004E34F8"/>
    <w:rsid w:val="004E3C84"/>
    <w:rsid w:val="004E3ECF"/>
    <w:rsid w:val="004E528B"/>
    <w:rsid w:val="004F146C"/>
    <w:rsid w:val="004F1F3C"/>
    <w:rsid w:val="004F5A20"/>
    <w:rsid w:val="0050408D"/>
    <w:rsid w:val="00504BCE"/>
    <w:rsid w:val="00504C6A"/>
    <w:rsid w:val="00510364"/>
    <w:rsid w:val="005116C9"/>
    <w:rsid w:val="00511BEE"/>
    <w:rsid w:val="005175E9"/>
    <w:rsid w:val="00520368"/>
    <w:rsid w:val="0052658A"/>
    <w:rsid w:val="00533270"/>
    <w:rsid w:val="0053535F"/>
    <w:rsid w:val="00540146"/>
    <w:rsid w:val="00540435"/>
    <w:rsid w:val="00543C22"/>
    <w:rsid w:val="0054405B"/>
    <w:rsid w:val="0054567F"/>
    <w:rsid w:val="00546B44"/>
    <w:rsid w:val="00553291"/>
    <w:rsid w:val="005546FF"/>
    <w:rsid w:val="00556B72"/>
    <w:rsid w:val="005576ED"/>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169A"/>
    <w:rsid w:val="005A5291"/>
    <w:rsid w:val="005A6FD1"/>
    <w:rsid w:val="005B08F1"/>
    <w:rsid w:val="005B47BC"/>
    <w:rsid w:val="005C00EC"/>
    <w:rsid w:val="005C0C36"/>
    <w:rsid w:val="005C15C9"/>
    <w:rsid w:val="005C30E9"/>
    <w:rsid w:val="005C4119"/>
    <w:rsid w:val="005C663B"/>
    <w:rsid w:val="005D1C38"/>
    <w:rsid w:val="005D1ED6"/>
    <w:rsid w:val="005D2EAA"/>
    <w:rsid w:val="005D5C67"/>
    <w:rsid w:val="005D767A"/>
    <w:rsid w:val="005E2628"/>
    <w:rsid w:val="005E5F66"/>
    <w:rsid w:val="005F46EC"/>
    <w:rsid w:val="005F49C9"/>
    <w:rsid w:val="005F71CE"/>
    <w:rsid w:val="005F7A68"/>
    <w:rsid w:val="00601980"/>
    <w:rsid w:val="0060332C"/>
    <w:rsid w:val="00604C5A"/>
    <w:rsid w:val="006073C7"/>
    <w:rsid w:val="00607F1D"/>
    <w:rsid w:val="00612DE8"/>
    <w:rsid w:val="006135C6"/>
    <w:rsid w:val="00614E4B"/>
    <w:rsid w:val="00615A83"/>
    <w:rsid w:val="00620EA0"/>
    <w:rsid w:val="00623E47"/>
    <w:rsid w:val="00624CD2"/>
    <w:rsid w:val="0062795C"/>
    <w:rsid w:val="00627A0F"/>
    <w:rsid w:val="00631143"/>
    <w:rsid w:val="00631A06"/>
    <w:rsid w:val="006320D2"/>
    <w:rsid w:val="00633D28"/>
    <w:rsid w:val="00633F1B"/>
    <w:rsid w:val="00634D07"/>
    <w:rsid w:val="00635799"/>
    <w:rsid w:val="00636A77"/>
    <w:rsid w:val="0064051B"/>
    <w:rsid w:val="006429D0"/>
    <w:rsid w:val="00645D2C"/>
    <w:rsid w:val="00650724"/>
    <w:rsid w:val="006517B5"/>
    <w:rsid w:val="00652076"/>
    <w:rsid w:val="00653DA3"/>
    <w:rsid w:val="00654D37"/>
    <w:rsid w:val="00660D85"/>
    <w:rsid w:val="006621F0"/>
    <w:rsid w:val="006647E7"/>
    <w:rsid w:val="00666FD4"/>
    <w:rsid w:val="00667217"/>
    <w:rsid w:val="006702C6"/>
    <w:rsid w:val="006769E6"/>
    <w:rsid w:val="00676C63"/>
    <w:rsid w:val="006814E8"/>
    <w:rsid w:val="00682333"/>
    <w:rsid w:val="006844CA"/>
    <w:rsid w:val="006871E0"/>
    <w:rsid w:val="00693B53"/>
    <w:rsid w:val="00697377"/>
    <w:rsid w:val="006A1F61"/>
    <w:rsid w:val="006A533C"/>
    <w:rsid w:val="006A5E52"/>
    <w:rsid w:val="006A712D"/>
    <w:rsid w:val="006A7B71"/>
    <w:rsid w:val="006B20FD"/>
    <w:rsid w:val="006B3B2B"/>
    <w:rsid w:val="006B7576"/>
    <w:rsid w:val="006C024E"/>
    <w:rsid w:val="006C7ED1"/>
    <w:rsid w:val="006D75E1"/>
    <w:rsid w:val="006D7670"/>
    <w:rsid w:val="006D7B5F"/>
    <w:rsid w:val="006E064A"/>
    <w:rsid w:val="006E10F4"/>
    <w:rsid w:val="006E10FD"/>
    <w:rsid w:val="006E1F2F"/>
    <w:rsid w:val="006E2996"/>
    <w:rsid w:val="006E2EEC"/>
    <w:rsid w:val="006E471E"/>
    <w:rsid w:val="006E4859"/>
    <w:rsid w:val="006F24E3"/>
    <w:rsid w:val="007065D3"/>
    <w:rsid w:val="007071B1"/>
    <w:rsid w:val="00707EC1"/>
    <w:rsid w:val="00710582"/>
    <w:rsid w:val="007106CE"/>
    <w:rsid w:val="00714EE9"/>
    <w:rsid w:val="00721B96"/>
    <w:rsid w:val="007246B0"/>
    <w:rsid w:val="007258CB"/>
    <w:rsid w:val="00730E29"/>
    <w:rsid w:val="00732FF6"/>
    <w:rsid w:val="00735393"/>
    <w:rsid w:val="00745E32"/>
    <w:rsid w:val="007466F7"/>
    <w:rsid w:val="00757D89"/>
    <w:rsid w:val="0076194B"/>
    <w:rsid w:val="00763676"/>
    <w:rsid w:val="0076701B"/>
    <w:rsid w:val="00772776"/>
    <w:rsid w:val="00775007"/>
    <w:rsid w:val="00776E56"/>
    <w:rsid w:val="0077771C"/>
    <w:rsid w:val="00781619"/>
    <w:rsid w:val="00783585"/>
    <w:rsid w:val="0079146B"/>
    <w:rsid w:val="00791DD5"/>
    <w:rsid w:val="00796875"/>
    <w:rsid w:val="0079756E"/>
    <w:rsid w:val="007A1135"/>
    <w:rsid w:val="007A1233"/>
    <w:rsid w:val="007A258F"/>
    <w:rsid w:val="007A3B3A"/>
    <w:rsid w:val="007B0BBA"/>
    <w:rsid w:val="007B6604"/>
    <w:rsid w:val="007C16F7"/>
    <w:rsid w:val="007D25DB"/>
    <w:rsid w:val="007D51E8"/>
    <w:rsid w:val="007D5E6C"/>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603"/>
    <w:rsid w:val="0086670A"/>
    <w:rsid w:val="00870BA1"/>
    <w:rsid w:val="008733B7"/>
    <w:rsid w:val="00873CDE"/>
    <w:rsid w:val="00874421"/>
    <w:rsid w:val="00875997"/>
    <w:rsid w:val="0087796C"/>
    <w:rsid w:val="00880932"/>
    <w:rsid w:val="008825B5"/>
    <w:rsid w:val="00885E74"/>
    <w:rsid w:val="00886B14"/>
    <w:rsid w:val="00887C9E"/>
    <w:rsid w:val="00890BF1"/>
    <w:rsid w:val="008927F4"/>
    <w:rsid w:val="00893B58"/>
    <w:rsid w:val="00894E4C"/>
    <w:rsid w:val="0089642A"/>
    <w:rsid w:val="008A034F"/>
    <w:rsid w:val="008A04A4"/>
    <w:rsid w:val="008A1743"/>
    <w:rsid w:val="008A23DD"/>
    <w:rsid w:val="008A33D4"/>
    <w:rsid w:val="008A6C51"/>
    <w:rsid w:val="008B15CF"/>
    <w:rsid w:val="008B2242"/>
    <w:rsid w:val="008B4AD1"/>
    <w:rsid w:val="008B6D93"/>
    <w:rsid w:val="008B7AF1"/>
    <w:rsid w:val="008C3543"/>
    <w:rsid w:val="008C36A0"/>
    <w:rsid w:val="008D0F0D"/>
    <w:rsid w:val="008D0FF2"/>
    <w:rsid w:val="008D10FC"/>
    <w:rsid w:val="008D14D6"/>
    <w:rsid w:val="008D1D7F"/>
    <w:rsid w:val="008D2B5A"/>
    <w:rsid w:val="008D2B62"/>
    <w:rsid w:val="008D30F3"/>
    <w:rsid w:val="008D3526"/>
    <w:rsid w:val="008D3540"/>
    <w:rsid w:val="008F0401"/>
    <w:rsid w:val="008F04C1"/>
    <w:rsid w:val="008F2457"/>
    <w:rsid w:val="008F252A"/>
    <w:rsid w:val="008F254C"/>
    <w:rsid w:val="008F4531"/>
    <w:rsid w:val="008F63EC"/>
    <w:rsid w:val="008F6AFD"/>
    <w:rsid w:val="008F7645"/>
    <w:rsid w:val="0090248F"/>
    <w:rsid w:val="00902F25"/>
    <w:rsid w:val="0090407E"/>
    <w:rsid w:val="00905334"/>
    <w:rsid w:val="00906D95"/>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47A"/>
    <w:rsid w:val="00954B3E"/>
    <w:rsid w:val="009554A6"/>
    <w:rsid w:val="00956FEB"/>
    <w:rsid w:val="009650D5"/>
    <w:rsid w:val="0096535F"/>
    <w:rsid w:val="00965F35"/>
    <w:rsid w:val="00966500"/>
    <w:rsid w:val="009719E2"/>
    <w:rsid w:val="009729A3"/>
    <w:rsid w:val="009732A9"/>
    <w:rsid w:val="00977F1D"/>
    <w:rsid w:val="00982217"/>
    <w:rsid w:val="00984B39"/>
    <w:rsid w:val="0098514B"/>
    <w:rsid w:val="00986A83"/>
    <w:rsid w:val="00990645"/>
    <w:rsid w:val="009A00A4"/>
    <w:rsid w:val="009A130B"/>
    <w:rsid w:val="009A2639"/>
    <w:rsid w:val="009A397F"/>
    <w:rsid w:val="009B4F83"/>
    <w:rsid w:val="009B6983"/>
    <w:rsid w:val="009C5450"/>
    <w:rsid w:val="009C5716"/>
    <w:rsid w:val="009D316A"/>
    <w:rsid w:val="009D3527"/>
    <w:rsid w:val="009D5368"/>
    <w:rsid w:val="009D54DF"/>
    <w:rsid w:val="009E28C4"/>
    <w:rsid w:val="009E2DC7"/>
    <w:rsid w:val="009E56AC"/>
    <w:rsid w:val="009E56AF"/>
    <w:rsid w:val="009E678D"/>
    <w:rsid w:val="009F28E2"/>
    <w:rsid w:val="009F4BDF"/>
    <w:rsid w:val="009F60BA"/>
    <w:rsid w:val="009F7F44"/>
    <w:rsid w:val="00A01B8D"/>
    <w:rsid w:val="00A034AE"/>
    <w:rsid w:val="00A035F5"/>
    <w:rsid w:val="00A07EB3"/>
    <w:rsid w:val="00A11F34"/>
    <w:rsid w:val="00A1350A"/>
    <w:rsid w:val="00A13900"/>
    <w:rsid w:val="00A17859"/>
    <w:rsid w:val="00A231A4"/>
    <w:rsid w:val="00A310DA"/>
    <w:rsid w:val="00A32FCB"/>
    <w:rsid w:val="00A3561C"/>
    <w:rsid w:val="00A400BC"/>
    <w:rsid w:val="00A40701"/>
    <w:rsid w:val="00A42169"/>
    <w:rsid w:val="00A424F1"/>
    <w:rsid w:val="00A426B2"/>
    <w:rsid w:val="00A45EE8"/>
    <w:rsid w:val="00A465FC"/>
    <w:rsid w:val="00A47751"/>
    <w:rsid w:val="00A47B50"/>
    <w:rsid w:val="00A47CBD"/>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3C86"/>
    <w:rsid w:val="00AA4175"/>
    <w:rsid w:val="00AA493D"/>
    <w:rsid w:val="00AA7970"/>
    <w:rsid w:val="00AB0E02"/>
    <w:rsid w:val="00AB4807"/>
    <w:rsid w:val="00AB4813"/>
    <w:rsid w:val="00AB79AE"/>
    <w:rsid w:val="00AC0052"/>
    <w:rsid w:val="00AC04D6"/>
    <w:rsid w:val="00AC69C7"/>
    <w:rsid w:val="00AD0685"/>
    <w:rsid w:val="00AD38C1"/>
    <w:rsid w:val="00AD52BB"/>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34C1"/>
    <w:rsid w:val="00B14CBC"/>
    <w:rsid w:val="00B1760D"/>
    <w:rsid w:val="00B17FF0"/>
    <w:rsid w:val="00B30468"/>
    <w:rsid w:val="00B32160"/>
    <w:rsid w:val="00B32B07"/>
    <w:rsid w:val="00B336E9"/>
    <w:rsid w:val="00B3397D"/>
    <w:rsid w:val="00B3426B"/>
    <w:rsid w:val="00B34F7B"/>
    <w:rsid w:val="00B35999"/>
    <w:rsid w:val="00B41273"/>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0AB1"/>
    <w:rsid w:val="00BA22C6"/>
    <w:rsid w:val="00BA316D"/>
    <w:rsid w:val="00BA5FEF"/>
    <w:rsid w:val="00BA7628"/>
    <w:rsid w:val="00BB0085"/>
    <w:rsid w:val="00BB2130"/>
    <w:rsid w:val="00BB30B6"/>
    <w:rsid w:val="00BB40CB"/>
    <w:rsid w:val="00BB4C90"/>
    <w:rsid w:val="00BB7C37"/>
    <w:rsid w:val="00BC168F"/>
    <w:rsid w:val="00BC1E95"/>
    <w:rsid w:val="00BC2262"/>
    <w:rsid w:val="00BC3D81"/>
    <w:rsid w:val="00BC420A"/>
    <w:rsid w:val="00BC540B"/>
    <w:rsid w:val="00BC7302"/>
    <w:rsid w:val="00BD01F3"/>
    <w:rsid w:val="00BD0D8D"/>
    <w:rsid w:val="00BD439F"/>
    <w:rsid w:val="00BD4F14"/>
    <w:rsid w:val="00BE1AAC"/>
    <w:rsid w:val="00BE2644"/>
    <w:rsid w:val="00BE42F3"/>
    <w:rsid w:val="00BE551C"/>
    <w:rsid w:val="00BE6BFE"/>
    <w:rsid w:val="00BF5D2C"/>
    <w:rsid w:val="00BF6ECD"/>
    <w:rsid w:val="00BF790B"/>
    <w:rsid w:val="00C00022"/>
    <w:rsid w:val="00C01E67"/>
    <w:rsid w:val="00C05302"/>
    <w:rsid w:val="00C06B6B"/>
    <w:rsid w:val="00C06F37"/>
    <w:rsid w:val="00C0799A"/>
    <w:rsid w:val="00C13438"/>
    <w:rsid w:val="00C170FF"/>
    <w:rsid w:val="00C173E1"/>
    <w:rsid w:val="00C2019E"/>
    <w:rsid w:val="00C27AEF"/>
    <w:rsid w:val="00C3110E"/>
    <w:rsid w:val="00C32F15"/>
    <w:rsid w:val="00C3466C"/>
    <w:rsid w:val="00C355FF"/>
    <w:rsid w:val="00C37FDE"/>
    <w:rsid w:val="00C41A64"/>
    <w:rsid w:val="00C460BA"/>
    <w:rsid w:val="00C47122"/>
    <w:rsid w:val="00C47959"/>
    <w:rsid w:val="00C47CEA"/>
    <w:rsid w:val="00C515E0"/>
    <w:rsid w:val="00C531A3"/>
    <w:rsid w:val="00C57F24"/>
    <w:rsid w:val="00C62AB0"/>
    <w:rsid w:val="00C63A44"/>
    <w:rsid w:val="00C63EA6"/>
    <w:rsid w:val="00C6619F"/>
    <w:rsid w:val="00C6624A"/>
    <w:rsid w:val="00C742C3"/>
    <w:rsid w:val="00C75559"/>
    <w:rsid w:val="00C76D88"/>
    <w:rsid w:val="00C7785D"/>
    <w:rsid w:val="00C77A26"/>
    <w:rsid w:val="00C85BDD"/>
    <w:rsid w:val="00C85C56"/>
    <w:rsid w:val="00C86B81"/>
    <w:rsid w:val="00C91557"/>
    <w:rsid w:val="00C92F74"/>
    <w:rsid w:val="00CA1C19"/>
    <w:rsid w:val="00CA204D"/>
    <w:rsid w:val="00CA2ABF"/>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470B"/>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4112"/>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6125"/>
    <w:rsid w:val="00E05F2D"/>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30CE"/>
    <w:rsid w:val="00E6120D"/>
    <w:rsid w:val="00E61D06"/>
    <w:rsid w:val="00E7043E"/>
    <w:rsid w:val="00E73B3C"/>
    <w:rsid w:val="00E747D9"/>
    <w:rsid w:val="00E75D5D"/>
    <w:rsid w:val="00E766CA"/>
    <w:rsid w:val="00E81F85"/>
    <w:rsid w:val="00E8413D"/>
    <w:rsid w:val="00E84C2A"/>
    <w:rsid w:val="00E90CA1"/>
    <w:rsid w:val="00E91222"/>
    <w:rsid w:val="00E91D25"/>
    <w:rsid w:val="00E95602"/>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58E7"/>
    <w:rsid w:val="00EE75E3"/>
    <w:rsid w:val="00EE7777"/>
    <w:rsid w:val="00EF0C86"/>
    <w:rsid w:val="00EF2D7A"/>
    <w:rsid w:val="00EF360B"/>
    <w:rsid w:val="00EF586D"/>
    <w:rsid w:val="00F00B9A"/>
    <w:rsid w:val="00F0229F"/>
    <w:rsid w:val="00F0246E"/>
    <w:rsid w:val="00F026DB"/>
    <w:rsid w:val="00F02C96"/>
    <w:rsid w:val="00F04133"/>
    <w:rsid w:val="00F07B6C"/>
    <w:rsid w:val="00F12233"/>
    <w:rsid w:val="00F12CE1"/>
    <w:rsid w:val="00F14096"/>
    <w:rsid w:val="00F14820"/>
    <w:rsid w:val="00F14AFE"/>
    <w:rsid w:val="00F30DED"/>
    <w:rsid w:val="00F31560"/>
    <w:rsid w:val="00F31DB2"/>
    <w:rsid w:val="00F37720"/>
    <w:rsid w:val="00F4046D"/>
    <w:rsid w:val="00F40A6C"/>
    <w:rsid w:val="00F41DC5"/>
    <w:rsid w:val="00F44EA5"/>
    <w:rsid w:val="00F4518D"/>
    <w:rsid w:val="00F45A35"/>
    <w:rsid w:val="00F46AEA"/>
    <w:rsid w:val="00F46C28"/>
    <w:rsid w:val="00F46CF6"/>
    <w:rsid w:val="00F51019"/>
    <w:rsid w:val="00F52179"/>
    <w:rsid w:val="00F52B79"/>
    <w:rsid w:val="00F559A5"/>
    <w:rsid w:val="00F55F9D"/>
    <w:rsid w:val="00F56E1A"/>
    <w:rsid w:val="00F6066E"/>
    <w:rsid w:val="00F60C3C"/>
    <w:rsid w:val="00F60EEE"/>
    <w:rsid w:val="00F6204B"/>
    <w:rsid w:val="00F6243E"/>
    <w:rsid w:val="00F62CDA"/>
    <w:rsid w:val="00F6448C"/>
    <w:rsid w:val="00F65D8A"/>
    <w:rsid w:val="00F74422"/>
    <w:rsid w:val="00F76222"/>
    <w:rsid w:val="00F80604"/>
    <w:rsid w:val="00F83712"/>
    <w:rsid w:val="00F86BEC"/>
    <w:rsid w:val="00F9447B"/>
    <w:rsid w:val="00F944E0"/>
    <w:rsid w:val="00F95C39"/>
    <w:rsid w:val="00FA132A"/>
    <w:rsid w:val="00FA1FC3"/>
    <w:rsid w:val="00FA3DA8"/>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41DC5"/>
    <w:rPr>
      <w:color w:val="0563C1" w:themeColor="hyperlink"/>
      <w:u w:val="single"/>
    </w:rPr>
  </w:style>
  <w:style w:type="character" w:styleId="UnresolvedMention">
    <w:name w:val="Unresolved Mention"/>
    <w:basedOn w:val="DefaultParagraphFont"/>
    <w:uiPriority w:val="99"/>
    <w:semiHidden/>
    <w:unhideWhenUsed/>
    <w:rsid w:val="00F41D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53948">
      <w:bodyDiv w:val="1"/>
      <w:marLeft w:val="0"/>
      <w:marRight w:val="0"/>
      <w:marTop w:val="0"/>
      <w:marBottom w:val="0"/>
      <w:divBdr>
        <w:top w:val="none" w:sz="0" w:space="0" w:color="auto"/>
        <w:left w:val="none" w:sz="0" w:space="0" w:color="auto"/>
        <w:bottom w:val="none" w:sz="0" w:space="0" w:color="auto"/>
        <w:right w:val="none" w:sz="0" w:space="0" w:color="auto"/>
      </w:divBdr>
      <w:divsChild>
        <w:div w:id="1556308194">
          <w:marLeft w:val="0"/>
          <w:marRight w:val="0"/>
          <w:marTop w:val="0"/>
          <w:marBottom w:val="120"/>
          <w:divBdr>
            <w:top w:val="none" w:sz="0" w:space="0" w:color="auto"/>
            <w:left w:val="none" w:sz="0" w:space="0" w:color="auto"/>
            <w:bottom w:val="none" w:sz="0" w:space="0" w:color="auto"/>
            <w:right w:val="none" w:sz="0" w:space="0" w:color="auto"/>
          </w:divBdr>
        </w:div>
        <w:div w:id="1626425543">
          <w:marLeft w:val="0"/>
          <w:marRight w:val="0"/>
          <w:marTop w:val="0"/>
          <w:marBottom w:val="120"/>
          <w:divBdr>
            <w:top w:val="none" w:sz="0" w:space="0" w:color="auto"/>
            <w:left w:val="none" w:sz="0" w:space="0" w:color="auto"/>
            <w:bottom w:val="none" w:sz="0" w:space="0" w:color="auto"/>
            <w:right w:val="none" w:sz="0" w:space="0" w:color="auto"/>
          </w:divBdr>
        </w:div>
        <w:div w:id="477578797">
          <w:marLeft w:val="0"/>
          <w:marRight w:val="0"/>
          <w:marTop w:val="0"/>
          <w:marBottom w:val="120"/>
          <w:divBdr>
            <w:top w:val="none" w:sz="0" w:space="0" w:color="auto"/>
            <w:left w:val="none" w:sz="0" w:space="0" w:color="auto"/>
            <w:bottom w:val="none" w:sz="0" w:space="0" w:color="auto"/>
            <w:right w:val="none" w:sz="0" w:space="0" w:color="auto"/>
          </w:divBdr>
        </w:div>
        <w:div w:id="1431775630">
          <w:marLeft w:val="0"/>
          <w:marRight w:val="0"/>
          <w:marTop w:val="0"/>
          <w:marBottom w:val="120"/>
          <w:divBdr>
            <w:top w:val="none" w:sz="0" w:space="0" w:color="auto"/>
            <w:left w:val="none" w:sz="0" w:space="0" w:color="auto"/>
            <w:bottom w:val="none" w:sz="0" w:space="0" w:color="auto"/>
            <w:right w:val="none" w:sz="0" w:space="0" w:color="auto"/>
          </w:divBdr>
        </w:div>
        <w:div w:id="1070230640">
          <w:marLeft w:val="0"/>
          <w:marRight w:val="0"/>
          <w:marTop w:val="0"/>
          <w:marBottom w:val="120"/>
          <w:divBdr>
            <w:top w:val="none" w:sz="0" w:space="0" w:color="auto"/>
            <w:left w:val="none" w:sz="0" w:space="0" w:color="auto"/>
            <w:bottom w:val="none" w:sz="0" w:space="0" w:color="auto"/>
            <w:right w:val="none" w:sz="0" w:space="0" w:color="auto"/>
          </w:divBdr>
        </w:div>
        <w:div w:id="479465703">
          <w:marLeft w:val="0"/>
          <w:marRight w:val="0"/>
          <w:marTop w:val="0"/>
          <w:marBottom w:val="120"/>
          <w:divBdr>
            <w:top w:val="none" w:sz="0" w:space="0" w:color="auto"/>
            <w:left w:val="none" w:sz="0" w:space="0" w:color="auto"/>
            <w:bottom w:val="none" w:sz="0" w:space="0" w:color="auto"/>
            <w:right w:val="none" w:sz="0" w:space="0" w:color="auto"/>
          </w:divBdr>
        </w:div>
        <w:div w:id="185556433">
          <w:marLeft w:val="0"/>
          <w:marRight w:val="0"/>
          <w:marTop w:val="0"/>
          <w:marBottom w:val="120"/>
          <w:divBdr>
            <w:top w:val="none" w:sz="0" w:space="0" w:color="auto"/>
            <w:left w:val="none" w:sz="0" w:space="0" w:color="auto"/>
            <w:bottom w:val="none" w:sz="0" w:space="0" w:color="auto"/>
            <w:right w:val="none" w:sz="0" w:space="0" w:color="auto"/>
          </w:divBdr>
        </w:div>
        <w:div w:id="993148426">
          <w:marLeft w:val="0"/>
          <w:marRight w:val="0"/>
          <w:marTop w:val="0"/>
          <w:marBottom w:val="120"/>
          <w:divBdr>
            <w:top w:val="none" w:sz="0" w:space="0" w:color="auto"/>
            <w:left w:val="none" w:sz="0" w:space="0" w:color="auto"/>
            <w:bottom w:val="none" w:sz="0" w:space="0" w:color="auto"/>
            <w:right w:val="none" w:sz="0" w:space="0" w:color="auto"/>
          </w:divBdr>
        </w:div>
        <w:div w:id="636183931">
          <w:marLeft w:val="0"/>
          <w:marRight w:val="0"/>
          <w:marTop w:val="0"/>
          <w:marBottom w:val="120"/>
          <w:divBdr>
            <w:top w:val="none" w:sz="0" w:space="0" w:color="auto"/>
            <w:left w:val="none" w:sz="0" w:space="0" w:color="auto"/>
            <w:bottom w:val="none" w:sz="0" w:space="0" w:color="auto"/>
            <w:right w:val="none" w:sz="0" w:space="0" w:color="auto"/>
          </w:divBdr>
        </w:div>
        <w:div w:id="902907438">
          <w:marLeft w:val="0"/>
          <w:marRight w:val="0"/>
          <w:marTop w:val="0"/>
          <w:marBottom w:val="120"/>
          <w:divBdr>
            <w:top w:val="none" w:sz="0" w:space="0" w:color="auto"/>
            <w:left w:val="none" w:sz="0" w:space="0" w:color="auto"/>
            <w:bottom w:val="none" w:sz="0" w:space="0" w:color="auto"/>
            <w:right w:val="none" w:sz="0" w:space="0" w:color="auto"/>
          </w:divBdr>
        </w:div>
        <w:div w:id="1794514867">
          <w:marLeft w:val="0"/>
          <w:marRight w:val="0"/>
          <w:marTop w:val="0"/>
          <w:marBottom w:val="120"/>
          <w:divBdr>
            <w:top w:val="none" w:sz="0" w:space="0" w:color="auto"/>
            <w:left w:val="none" w:sz="0" w:space="0" w:color="auto"/>
            <w:bottom w:val="none" w:sz="0" w:space="0" w:color="auto"/>
            <w:right w:val="none" w:sz="0" w:space="0" w:color="auto"/>
          </w:divBdr>
        </w:div>
        <w:div w:id="565455511">
          <w:marLeft w:val="0"/>
          <w:marRight w:val="0"/>
          <w:marTop w:val="0"/>
          <w:marBottom w:val="120"/>
          <w:divBdr>
            <w:top w:val="none" w:sz="0" w:space="0" w:color="auto"/>
            <w:left w:val="none" w:sz="0" w:space="0" w:color="auto"/>
            <w:bottom w:val="none" w:sz="0" w:space="0" w:color="auto"/>
            <w:right w:val="none" w:sz="0" w:space="0" w:color="auto"/>
          </w:divBdr>
        </w:div>
        <w:div w:id="1950774428">
          <w:marLeft w:val="0"/>
          <w:marRight w:val="0"/>
          <w:marTop w:val="0"/>
          <w:marBottom w:val="120"/>
          <w:divBdr>
            <w:top w:val="none" w:sz="0" w:space="0" w:color="auto"/>
            <w:left w:val="none" w:sz="0" w:space="0" w:color="auto"/>
            <w:bottom w:val="none" w:sz="0" w:space="0" w:color="auto"/>
            <w:right w:val="none" w:sz="0" w:space="0" w:color="auto"/>
          </w:divBdr>
        </w:div>
        <w:div w:id="1106197894">
          <w:marLeft w:val="0"/>
          <w:marRight w:val="0"/>
          <w:marTop w:val="0"/>
          <w:marBottom w:val="120"/>
          <w:divBdr>
            <w:top w:val="none" w:sz="0" w:space="0" w:color="auto"/>
            <w:left w:val="none" w:sz="0" w:space="0" w:color="auto"/>
            <w:bottom w:val="none" w:sz="0" w:space="0" w:color="auto"/>
            <w:right w:val="none" w:sz="0" w:space="0" w:color="auto"/>
          </w:divBdr>
        </w:div>
        <w:div w:id="1474101726">
          <w:marLeft w:val="0"/>
          <w:marRight w:val="0"/>
          <w:marTop w:val="0"/>
          <w:marBottom w:val="120"/>
          <w:divBdr>
            <w:top w:val="none" w:sz="0" w:space="0" w:color="auto"/>
            <w:left w:val="none" w:sz="0" w:space="0" w:color="auto"/>
            <w:bottom w:val="none" w:sz="0" w:space="0" w:color="auto"/>
            <w:right w:val="none" w:sz="0" w:space="0" w:color="auto"/>
          </w:divBdr>
        </w:div>
        <w:div w:id="928465479">
          <w:marLeft w:val="0"/>
          <w:marRight w:val="0"/>
          <w:marTop w:val="0"/>
          <w:marBottom w:val="120"/>
          <w:divBdr>
            <w:top w:val="none" w:sz="0" w:space="0" w:color="auto"/>
            <w:left w:val="none" w:sz="0" w:space="0" w:color="auto"/>
            <w:bottom w:val="none" w:sz="0" w:space="0" w:color="auto"/>
            <w:right w:val="none" w:sz="0" w:space="0" w:color="auto"/>
          </w:divBdr>
        </w:div>
        <w:div w:id="950940880">
          <w:marLeft w:val="0"/>
          <w:marRight w:val="0"/>
          <w:marTop w:val="0"/>
          <w:marBottom w:val="120"/>
          <w:divBdr>
            <w:top w:val="none" w:sz="0" w:space="0" w:color="auto"/>
            <w:left w:val="none" w:sz="0" w:space="0" w:color="auto"/>
            <w:bottom w:val="none" w:sz="0" w:space="0" w:color="auto"/>
            <w:right w:val="none" w:sz="0" w:space="0" w:color="auto"/>
          </w:divBdr>
        </w:div>
        <w:div w:id="882407975">
          <w:marLeft w:val="0"/>
          <w:marRight w:val="0"/>
          <w:marTop w:val="0"/>
          <w:marBottom w:val="120"/>
          <w:divBdr>
            <w:top w:val="none" w:sz="0" w:space="0" w:color="auto"/>
            <w:left w:val="none" w:sz="0" w:space="0" w:color="auto"/>
            <w:bottom w:val="none" w:sz="0" w:space="0" w:color="auto"/>
            <w:right w:val="none" w:sz="0" w:space="0" w:color="auto"/>
          </w:divBdr>
        </w:div>
        <w:div w:id="1393308338">
          <w:marLeft w:val="0"/>
          <w:marRight w:val="0"/>
          <w:marTop w:val="0"/>
          <w:marBottom w:val="120"/>
          <w:divBdr>
            <w:top w:val="none" w:sz="0" w:space="0" w:color="auto"/>
            <w:left w:val="none" w:sz="0" w:space="0" w:color="auto"/>
            <w:bottom w:val="none" w:sz="0" w:space="0" w:color="auto"/>
            <w:right w:val="none" w:sz="0" w:space="0" w:color="auto"/>
          </w:divBdr>
        </w:div>
        <w:div w:id="1719358726">
          <w:marLeft w:val="0"/>
          <w:marRight w:val="0"/>
          <w:marTop w:val="0"/>
          <w:marBottom w:val="120"/>
          <w:divBdr>
            <w:top w:val="none" w:sz="0" w:space="0" w:color="auto"/>
            <w:left w:val="none" w:sz="0" w:space="0" w:color="auto"/>
            <w:bottom w:val="none" w:sz="0" w:space="0" w:color="auto"/>
            <w:right w:val="none" w:sz="0" w:space="0" w:color="auto"/>
          </w:divBdr>
        </w:div>
        <w:div w:id="1450395082">
          <w:marLeft w:val="0"/>
          <w:marRight w:val="0"/>
          <w:marTop w:val="0"/>
          <w:marBottom w:val="120"/>
          <w:divBdr>
            <w:top w:val="none" w:sz="0" w:space="0" w:color="auto"/>
            <w:left w:val="none" w:sz="0" w:space="0" w:color="auto"/>
            <w:bottom w:val="none" w:sz="0" w:space="0" w:color="auto"/>
            <w:right w:val="none" w:sz="0" w:space="0" w:color="auto"/>
          </w:divBdr>
        </w:div>
        <w:div w:id="1669405503">
          <w:marLeft w:val="0"/>
          <w:marRight w:val="0"/>
          <w:marTop w:val="0"/>
          <w:marBottom w:val="120"/>
          <w:divBdr>
            <w:top w:val="none" w:sz="0" w:space="0" w:color="auto"/>
            <w:left w:val="none" w:sz="0" w:space="0" w:color="auto"/>
            <w:bottom w:val="none" w:sz="0" w:space="0" w:color="auto"/>
            <w:right w:val="none" w:sz="0" w:space="0" w:color="auto"/>
          </w:divBdr>
        </w:div>
        <w:div w:id="1224945740">
          <w:marLeft w:val="0"/>
          <w:marRight w:val="0"/>
          <w:marTop w:val="0"/>
          <w:marBottom w:val="120"/>
          <w:divBdr>
            <w:top w:val="none" w:sz="0" w:space="0" w:color="auto"/>
            <w:left w:val="none" w:sz="0" w:space="0" w:color="auto"/>
            <w:bottom w:val="none" w:sz="0" w:space="0" w:color="auto"/>
            <w:right w:val="none" w:sz="0" w:space="0" w:color="auto"/>
          </w:divBdr>
        </w:div>
        <w:div w:id="1868517629">
          <w:marLeft w:val="0"/>
          <w:marRight w:val="0"/>
          <w:marTop w:val="0"/>
          <w:marBottom w:val="120"/>
          <w:divBdr>
            <w:top w:val="none" w:sz="0" w:space="0" w:color="auto"/>
            <w:left w:val="none" w:sz="0" w:space="0" w:color="auto"/>
            <w:bottom w:val="none" w:sz="0" w:space="0" w:color="auto"/>
            <w:right w:val="none" w:sz="0" w:space="0" w:color="auto"/>
          </w:divBdr>
        </w:div>
        <w:div w:id="755711257">
          <w:marLeft w:val="0"/>
          <w:marRight w:val="0"/>
          <w:marTop w:val="0"/>
          <w:marBottom w:val="120"/>
          <w:divBdr>
            <w:top w:val="none" w:sz="0" w:space="0" w:color="auto"/>
            <w:left w:val="none" w:sz="0" w:space="0" w:color="auto"/>
            <w:bottom w:val="none" w:sz="0" w:space="0" w:color="auto"/>
            <w:right w:val="none" w:sz="0" w:space="0" w:color="auto"/>
          </w:divBdr>
        </w:div>
        <w:div w:id="2055040098">
          <w:marLeft w:val="0"/>
          <w:marRight w:val="0"/>
          <w:marTop w:val="0"/>
          <w:marBottom w:val="120"/>
          <w:divBdr>
            <w:top w:val="none" w:sz="0" w:space="0" w:color="auto"/>
            <w:left w:val="none" w:sz="0" w:space="0" w:color="auto"/>
            <w:bottom w:val="none" w:sz="0" w:space="0" w:color="auto"/>
            <w:right w:val="none" w:sz="0" w:space="0" w:color="auto"/>
          </w:divBdr>
        </w:div>
        <w:div w:id="391277373">
          <w:marLeft w:val="0"/>
          <w:marRight w:val="0"/>
          <w:marTop w:val="0"/>
          <w:marBottom w:val="120"/>
          <w:divBdr>
            <w:top w:val="none" w:sz="0" w:space="0" w:color="auto"/>
            <w:left w:val="none" w:sz="0" w:space="0" w:color="auto"/>
            <w:bottom w:val="none" w:sz="0" w:space="0" w:color="auto"/>
            <w:right w:val="none" w:sz="0" w:space="0" w:color="auto"/>
          </w:divBdr>
        </w:div>
        <w:div w:id="402991424">
          <w:marLeft w:val="0"/>
          <w:marRight w:val="0"/>
          <w:marTop w:val="0"/>
          <w:marBottom w:val="120"/>
          <w:divBdr>
            <w:top w:val="none" w:sz="0" w:space="0" w:color="auto"/>
            <w:left w:val="none" w:sz="0" w:space="0" w:color="auto"/>
            <w:bottom w:val="none" w:sz="0" w:space="0" w:color="auto"/>
            <w:right w:val="none" w:sz="0" w:space="0" w:color="auto"/>
          </w:divBdr>
        </w:div>
        <w:div w:id="26685778">
          <w:marLeft w:val="0"/>
          <w:marRight w:val="0"/>
          <w:marTop w:val="0"/>
          <w:marBottom w:val="120"/>
          <w:divBdr>
            <w:top w:val="none" w:sz="0" w:space="0" w:color="auto"/>
            <w:left w:val="none" w:sz="0" w:space="0" w:color="auto"/>
            <w:bottom w:val="none" w:sz="0" w:space="0" w:color="auto"/>
            <w:right w:val="none" w:sz="0" w:space="0" w:color="auto"/>
          </w:divBdr>
        </w:div>
        <w:div w:id="978681214">
          <w:marLeft w:val="0"/>
          <w:marRight w:val="0"/>
          <w:marTop w:val="0"/>
          <w:marBottom w:val="120"/>
          <w:divBdr>
            <w:top w:val="none" w:sz="0" w:space="0" w:color="auto"/>
            <w:left w:val="none" w:sz="0" w:space="0" w:color="auto"/>
            <w:bottom w:val="none" w:sz="0" w:space="0" w:color="auto"/>
            <w:right w:val="none" w:sz="0" w:space="0" w:color="auto"/>
          </w:divBdr>
        </w:div>
        <w:div w:id="100683896">
          <w:marLeft w:val="0"/>
          <w:marRight w:val="0"/>
          <w:marTop w:val="0"/>
          <w:marBottom w:val="120"/>
          <w:divBdr>
            <w:top w:val="none" w:sz="0" w:space="0" w:color="auto"/>
            <w:left w:val="none" w:sz="0" w:space="0" w:color="auto"/>
            <w:bottom w:val="none" w:sz="0" w:space="0" w:color="auto"/>
            <w:right w:val="none" w:sz="0" w:space="0" w:color="auto"/>
          </w:divBdr>
        </w:div>
        <w:div w:id="571932786">
          <w:marLeft w:val="0"/>
          <w:marRight w:val="0"/>
          <w:marTop w:val="0"/>
          <w:marBottom w:val="120"/>
          <w:divBdr>
            <w:top w:val="none" w:sz="0" w:space="0" w:color="auto"/>
            <w:left w:val="none" w:sz="0" w:space="0" w:color="auto"/>
            <w:bottom w:val="none" w:sz="0" w:space="0" w:color="auto"/>
            <w:right w:val="none" w:sz="0" w:space="0" w:color="auto"/>
          </w:divBdr>
        </w:div>
        <w:div w:id="248006249">
          <w:marLeft w:val="0"/>
          <w:marRight w:val="0"/>
          <w:marTop w:val="0"/>
          <w:marBottom w:val="120"/>
          <w:divBdr>
            <w:top w:val="none" w:sz="0" w:space="0" w:color="auto"/>
            <w:left w:val="none" w:sz="0" w:space="0" w:color="auto"/>
            <w:bottom w:val="none" w:sz="0" w:space="0" w:color="auto"/>
            <w:right w:val="none" w:sz="0" w:space="0" w:color="auto"/>
          </w:divBdr>
        </w:div>
        <w:div w:id="1453091349">
          <w:marLeft w:val="0"/>
          <w:marRight w:val="0"/>
          <w:marTop w:val="0"/>
          <w:marBottom w:val="120"/>
          <w:divBdr>
            <w:top w:val="none" w:sz="0" w:space="0" w:color="auto"/>
            <w:left w:val="none" w:sz="0" w:space="0" w:color="auto"/>
            <w:bottom w:val="none" w:sz="0" w:space="0" w:color="auto"/>
            <w:right w:val="none" w:sz="0" w:space="0" w:color="auto"/>
          </w:divBdr>
        </w:div>
        <w:div w:id="1046181962">
          <w:marLeft w:val="0"/>
          <w:marRight w:val="0"/>
          <w:marTop w:val="0"/>
          <w:marBottom w:val="120"/>
          <w:divBdr>
            <w:top w:val="none" w:sz="0" w:space="0" w:color="auto"/>
            <w:left w:val="none" w:sz="0" w:space="0" w:color="auto"/>
            <w:bottom w:val="none" w:sz="0" w:space="0" w:color="auto"/>
            <w:right w:val="none" w:sz="0" w:space="0" w:color="auto"/>
          </w:divBdr>
        </w:div>
        <w:div w:id="1524858073">
          <w:marLeft w:val="0"/>
          <w:marRight w:val="0"/>
          <w:marTop w:val="0"/>
          <w:marBottom w:val="120"/>
          <w:divBdr>
            <w:top w:val="none" w:sz="0" w:space="0" w:color="auto"/>
            <w:left w:val="none" w:sz="0" w:space="0" w:color="auto"/>
            <w:bottom w:val="none" w:sz="0" w:space="0" w:color="auto"/>
            <w:right w:val="none" w:sz="0" w:space="0" w:color="auto"/>
          </w:divBdr>
        </w:div>
        <w:div w:id="796680008">
          <w:marLeft w:val="0"/>
          <w:marRight w:val="0"/>
          <w:marTop w:val="0"/>
          <w:marBottom w:val="120"/>
          <w:divBdr>
            <w:top w:val="none" w:sz="0" w:space="0" w:color="auto"/>
            <w:left w:val="none" w:sz="0" w:space="0" w:color="auto"/>
            <w:bottom w:val="none" w:sz="0" w:space="0" w:color="auto"/>
            <w:right w:val="none" w:sz="0" w:space="0" w:color="auto"/>
          </w:divBdr>
        </w:div>
        <w:div w:id="1974868417">
          <w:marLeft w:val="0"/>
          <w:marRight w:val="0"/>
          <w:marTop w:val="0"/>
          <w:marBottom w:val="120"/>
          <w:divBdr>
            <w:top w:val="none" w:sz="0" w:space="0" w:color="auto"/>
            <w:left w:val="none" w:sz="0" w:space="0" w:color="auto"/>
            <w:bottom w:val="none" w:sz="0" w:space="0" w:color="auto"/>
            <w:right w:val="none" w:sz="0" w:space="0" w:color="auto"/>
          </w:divBdr>
        </w:div>
        <w:div w:id="132218590">
          <w:marLeft w:val="0"/>
          <w:marRight w:val="0"/>
          <w:marTop w:val="0"/>
          <w:marBottom w:val="120"/>
          <w:divBdr>
            <w:top w:val="none" w:sz="0" w:space="0" w:color="auto"/>
            <w:left w:val="none" w:sz="0" w:space="0" w:color="auto"/>
            <w:bottom w:val="none" w:sz="0" w:space="0" w:color="auto"/>
            <w:right w:val="none" w:sz="0" w:space="0" w:color="auto"/>
          </w:divBdr>
        </w:div>
        <w:div w:id="1255623611">
          <w:marLeft w:val="0"/>
          <w:marRight w:val="0"/>
          <w:marTop w:val="0"/>
          <w:marBottom w:val="120"/>
          <w:divBdr>
            <w:top w:val="none" w:sz="0" w:space="0" w:color="auto"/>
            <w:left w:val="none" w:sz="0" w:space="0" w:color="auto"/>
            <w:bottom w:val="none" w:sz="0" w:space="0" w:color="auto"/>
            <w:right w:val="none" w:sz="0" w:space="0" w:color="auto"/>
          </w:divBdr>
        </w:div>
        <w:div w:id="1825275060">
          <w:marLeft w:val="0"/>
          <w:marRight w:val="0"/>
          <w:marTop w:val="0"/>
          <w:marBottom w:val="120"/>
          <w:divBdr>
            <w:top w:val="none" w:sz="0" w:space="0" w:color="auto"/>
            <w:left w:val="none" w:sz="0" w:space="0" w:color="auto"/>
            <w:bottom w:val="none" w:sz="0" w:space="0" w:color="auto"/>
            <w:right w:val="none" w:sz="0" w:space="0" w:color="auto"/>
          </w:divBdr>
        </w:div>
        <w:div w:id="604732720">
          <w:marLeft w:val="0"/>
          <w:marRight w:val="0"/>
          <w:marTop w:val="0"/>
          <w:marBottom w:val="120"/>
          <w:divBdr>
            <w:top w:val="none" w:sz="0" w:space="0" w:color="auto"/>
            <w:left w:val="none" w:sz="0" w:space="0" w:color="auto"/>
            <w:bottom w:val="none" w:sz="0" w:space="0" w:color="auto"/>
            <w:right w:val="none" w:sz="0" w:space="0" w:color="auto"/>
          </w:divBdr>
        </w:div>
        <w:div w:id="1341079372">
          <w:marLeft w:val="0"/>
          <w:marRight w:val="0"/>
          <w:marTop w:val="0"/>
          <w:marBottom w:val="120"/>
          <w:divBdr>
            <w:top w:val="none" w:sz="0" w:space="0" w:color="auto"/>
            <w:left w:val="none" w:sz="0" w:space="0" w:color="auto"/>
            <w:bottom w:val="none" w:sz="0" w:space="0" w:color="auto"/>
            <w:right w:val="none" w:sz="0" w:space="0" w:color="auto"/>
          </w:divBdr>
        </w:div>
        <w:div w:id="1342972749">
          <w:marLeft w:val="0"/>
          <w:marRight w:val="0"/>
          <w:marTop w:val="0"/>
          <w:marBottom w:val="120"/>
          <w:divBdr>
            <w:top w:val="none" w:sz="0" w:space="0" w:color="auto"/>
            <w:left w:val="none" w:sz="0" w:space="0" w:color="auto"/>
            <w:bottom w:val="none" w:sz="0" w:space="0" w:color="auto"/>
            <w:right w:val="none" w:sz="0" w:space="0" w:color="auto"/>
          </w:divBdr>
        </w:div>
        <w:div w:id="1078016117">
          <w:marLeft w:val="0"/>
          <w:marRight w:val="0"/>
          <w:marTop w:val="0"/>
          <w:marBottom w:val="120"/>
          <w:divBdr>
            <w:top w:val="none" w:sz="0" w:space="0" w:color="auto"/>
            <w:left w:val="none" w:sz="0" w:space="0" w:color="auto"/>
            <w:bottom w:val="none" w:sz="0" w:space="0" w:color="auto"/>
            <w:right w:val="none" w:sz="0" w:space="0" w:color="auto"/>
          </w:divBdr>
        </w:div>
        <w:div w:id="27221405">
          <w:marLeft w:val="0"/>
          <w:marRight w:val="0"/>
          <w:marTop w:val="0"/>
          <w:marBottom w:val="120"/>
          <w:divBdr>
            <w:top w:val="none" w:sz="0" w:space="0" w:color="auto"/>
            <w:left w:val="none" w:sz="0" w:space="0" w:color="auto"/>
            <w:bottom w:val="none" w:sz="0" w:space="0" w:color="auto"/>
            <w:right w:val="none" w:sz="0" w:space="0" w:color="auto"/>
          </w:divBdr>
        </w:div>
        <w:div w:id="1774857757">
          <w:marLeft w:val="0"/>
          <w:marRight w:val="0"/>
          <w:marTop w:val="0"/>
          <w:marBottom w:val="120"/>
          <w:divBdr>
            <w:top w:val="none" w:sz="0" w:space="0" w:color="auto"/>
            <w:left w:val="none" w:sz="0" w:space="0" w:color="auto"/>
            <w:bottom w:val="none" w:sz="0" w:space="0" w:color="auto"/>
            <w:right w:val="none" w:sz="0" w:space="0" w:color="auto"/>
          </w:divBdr>
        </w:div>
        <w:div w:id="847525397">
          <w:marLeft w:val="0"/>
          <w:marRight w:val="0"/>
          <w:marTop w:val="0"/>
          <w:marBottom w:val="120"/>
          <w:divBdr>
            <w:top w:val="none" w:sz="0" w:space="0" w:color="auto"/>
            <w:left w:val="none" w:sz="0" w:space="0" w:color="auto"/>
            <w:bottom w:val="none" w:sz="0" w:space="0" w:color="auto"/>
            <w:right w:val="none" w:sz="0" w:space="0" w:color="auto"/>
          </w:divBdr>
        </w:div>
        <w:div w:id="1356418641">
          <w:marLeft w:val="0"/>
          <w:marRight w:val="0"/>
          <w:marTop w:val="0"/>
          <w:marBottom w:val="120"/>
          <w:divBdr>
            <w:top w:val="none" w:sz="0" w:space="0" w:color="auto"/>
            <w:left w:val="none" w:sz="0" w:space="0" w:color="auto"/>
            <w:bottom w:val="none" w:sz="0" w:space="0" w:color="auto"/>
            <w:right w:val="none" w:sz="0" w:space="0" w:color="auto"/>
          </w:divBdr>
        </w:div>
        <w:div w:id="499930712">
          <w:marLeft w:val="0"/>
          <w:marRight w:val="0"/>
          <w:marTop w:val="0"/>
          <w:marBottom w:val="12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108621398">
      <w:bodyDiv w:val="1"/>
      <w:marLeft w:val="0"/>
      <w:marRight w:val="0"/>
      <w:marTop w:val="0"/>
      <w:marBottom w:val="0"/>
      <w:divBdr>
        <w:top w:val="none" w:sz="0" w:space="0" w:color="auto"/>
        <w:left w:val="none" w:sz="0" w:space="0" w:color="auto"/>
        <w:bottom w:val="none" w:sz="0" w:space="0" w:color="auto"/>
        <w:right w:val="none" w:sz="0" w:space="0" w:color="auto"/>
      </w:divBdr>
    </w:div>
    <w:div w:id="19532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3389/fphys.2019.00315" TargetMode="Externa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epublications.marquette.edu/" TargetMode="External"/><Relationship Id="rId4" Type="http://schemas.openxmlformats.org/officeDocument/2006/relationships/numbering" Target="numbering.xml"/><Relationship Id="rId9" Type="http://schemas.openxmlformats.org/officeDocument/2006/relationships/hyperlink" Target="http://creativecommons.org/licenses/by/4.0/"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16</Pages>
  <Words>7100</Words>
  <Characters>40472</Characters>
  <Application>Microsoft Office Word</Application>
  <DocSecurity>8</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139</cp:revision>
  <dcterms:created xsi:type="dcterms:W3CDTF">2019-10-03T16:44:00Z</dcterms:created>
  <dcterms:modified xsi:type="dcterms:W3CDTF">2019-10-11T13:47:00Z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