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7F5B123" w:rsidR="000A7622" w:rsidRPr="00C04F25" w:rsidRDefault="00B81F16"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r w:rsidR="00292F54">
        <w:rPr>
          <w:rFonts w:cstheme="minorHAnsi"/>
          <w:b/>
          <w:bCs/>
          <w:i/>
          <w:iCs/>
          <w:sz w:val="32"/>
          <w:szCs w:val="32"/>
        </w:rPr>
        <w:t xml:space="preserve">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8EAA173" w:rsidR="000A7622" w:rsidRDefault="00047A10" w:rsidP="00D14423">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Corporate</w:t>
      </w:r>
      <w:proofErr w:type="spellEnd"/>
      <w:r>
        <w:rPr>
          <w:rFonts w:cstheme="minorHAnsi"/>
          <w:i/>
          <w:sz w:val="24"/>
          <w:szCs w:val="24"/>
          <w:lang w:val="fr-FR"/>
        </w:rPr>
        <w:t xml:space="preserve"> Finance</w:t>
      </w:r>
      <w:r w:rsidR="000A7622" w:rsidRPr="00C04F25">
        <w:rPr>
          <w:rFonts w:cstheme="minorHAnsi"/>
          <w:sz w:val="24"/>
          <w:szCs w:val="24"/>
          <w:lang w:val="fr-FR"/>
        </w:rPr>
        <w:t xml:space="preserve">, Vol. </w:t>
      </w:r>
      <w:r>
        <w:rPr>
          <w:rFonts w:cstheme="minorHAnsi"/>
          <w:sz w:val="24"/>
          <w:szCs w:val="24"/>
          <w:lang w:val="fr-FR"/>
        </w:rPr>
        <w:t>40</w:t>
      </w:r>
      <w:r w:rsidR="000A7622" w:rsidRPr="00C04F25">
        <w:rPr>
          <w:rFonts w:cstheme="minorHAnsi"/>
          <w:sz w:val="24"/>
          <w:szCs w:val="24"/>
          <w:lang w:val="fr-FR"/>
        </w:rPr>
        <w:t xml:space="preserve"> (</w:t>
      </w:r>
      <w:r>
        <w:rPr>
          <w:rFonts w:cstheme="minorHAnsi"/>
          <w:sz w:val="24"/>
          <w:szCs w:val="24"/>
          <w:lang w:val="fr-FR"/>
        </w:rPr>
        <w:t>2016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24</w:t>
      </w:r>
      <w:r w:rsidR="000A7622" w:rsidRPr="00C04F25">
        <w:rPr>
          <w:rFonts w:cstheme="minorHAnsi"/>
          <w:sz w:val="24"/>
          <w:szCs w:val="24"/>
          <w:lang w:val="fr-FR"/>
        </w:rPr>
        <w:t>-</w:t>
      </w:r>
      <w:r>
        <w:rPr>
          <w:rFonts w:cstheme="minorHAnsi"/>
          <w:sz w:val="24"/>
          <w:szCs w:val="24"/>
          <w:lang w:val="fr-FR"/>
        </w:rPr>
        <w:t>46</w:t>
      </w:r>
      <w:r w:rsidR="000A7622" w:rsidRPr="00C04F25">
        <w:rPr>
          <w:rFonts w:cstheme="minorHAnsi"/>
          <w:sz w:val="24"/>
          <w:szCs w:val="24"/>
          <w:lang w:val="fr-FR"/>
        </w:rPr>
        <w:t xml:space="preserve">. </w:t>
      </w:r>
      <w:hyperlink r:id="rId11"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81F16">
        <w:rPr>
          <w:rFonts w:cstheme="minorHAnsi"/>
          <w:sz w:val="24"/>
          <w:szCs w:val="24"/>
        </w:rPr>
        <w:t>Elsevier</w:t>
      </w:r>
      <w:r w:rsidR="000A7622" w:rsidRPr="00C04F25">
        <w:rPr>
          <w:rFonts w:cstheme="minorHAnsi"/>
          <w:sz w:val="24"/>
          <w:szCs w:val="24"/>
        </w:rPr>
        <w:t xml:space="preserve"> and permission has been granted for this version to appear in </w:t>
      </w:r>
      <w:hyperlink r:id="rId12"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81F16">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B81F16">
        <w:rPr>
          <w:rFonts w:cstheme="minorHAnsi"/>
          <w:sz w:val="24"/>
          <w:szCs w:val="24"/>
        </w:rPr>
        <w:t>Elsevier.</w:t>
      </w:r>
      <w:r w:rsidR="000A7622" w:rsidRPr="00C04F25">
        <w:rPr>
          <w:rFonts w:cstheme="minorHAnsi"/>
          <w:sz w:val="24"/>
          <w:szCs w:val="24"/>
        </w:rPr>
        <w:t xml:space="preserve"> </w:t>
      </w:r>
      <w:bookmarkEnd w:id="1"/>
    </w:p>
    <w:p w14:paraId="25815ED8" w14:textId="1AC55948" w:rsidR="009C778C" w:rsidRDefault="009C778C" w:rsidP="009C778C">
      <w:pPr>
        <w:pStyle w:val="Title"/>
      </w:pPr>
      <w:r w:rsidRPr="009C778C">
        <w:t>Drivers Behind the Monitoring Effectiveness of Global Institutional Investors: Evidence from Earnings Management</w:t>
      </w:r>
    </w:p>
    <w:p w14:paraId="11C8C85A" w14:textId="77777777" w:rsidR="00987FD3" w:rsidRDefault="00987FD3" w:rsidP="00292F54">
      <w:pPr>
        <w:pStyle w:val="NoSpacing"/>
        <w:rPr>
          <w:sz w:val="24"/>
          <w:szCs w:val="24"/>
        </w:rPr>
      </w:pPr>
    </w:p>
    <w:p w14:paraId="4DCC4474" w14:textId="5B84D413" w:rsidR="00292F54" w:rsidRPr="00911EDD" w:rsidRDefault="00292F54" w:rsidP="00292F54">
      <w:pPr>
        <w:pStyle w:val="NoSpacing"/>
        <w:rPr>
          <w:sz w:val="28"/>
          <w:szCs w:val="28"/>
        </w:rPr>
      </w:pPr>
      <w:proofErr w:type="spellStart"/>
      <w:r w:rsidRPr="00911EDD">
        <w:rPr>
          <w:sz w:val="28"/>
          <w:szCs w:val="28"/>
        </w:rPr>
        <w:t>Incheol</w:t>
      </w:r>
      <w:proofErr w:type="spellEnd"/>
      <w:r w:rsidRPr="00911EDD">
        <w:rPr>
          <w:sz w:val="28"/>
          <w:szCs w:val="28"/>
        </w:rPr>
        <w:t xml:space="preserve"> Kim</w:t>
      </w:r>
    </w:p>
    <w:p w14:paraId="45B4C91B" w14:textId="759FAD0F" w:rsidR="00292F54" w:rsidRDefault="00292F54" w:rsidP="00292F54">
      <w:pPr>
        <w:pStyle w:val="NoSpacing"/>
      </w:pPr>
      <w:r>
        <w:t>The University of Texas Rio Grande</w:t>
      </w:r>
    </w:p>
    <w:p w14:paraId="009ACD98" w14:textId="2C8F09C1" w:rsidR="00292F54" w:rsidRPr="00911EDD" w:rsidRDefault="00292F54" w:rsidP="00292F54">
      <w:pPr>
        <w:pStyle w:val="NoSpacing"/>
        <w:rPr>
          <w:sz w:val="28"/>
          <w:szCs w:val="28"/>
        </w:rPr>
      </w:pPr>
      <w:r w:rsidRPr="00911EDD">
        <w:rPr>
          <w:sz w:val="28"/>
          <w:szCs w:val="28"/>
        </w:rPr>
        <w:t>Steve Miller</w:t>
      </w:r>
    </w:p>
    <w:p w14:paraId="77EB5731" w14:textId="6424B71C" w:rsidR="00292F54" w:rsidRDefault="00292F54" w:rsidP="00292F54">
      <w:pPr>
        <w:pStyle w:val="NoSpacing"/>
      </w:pPr>
      <w:r>
        <w:t>Saint Joseph’s University</w:t>
      </w:r>
    </w:p>
    <w:p w14:paraId="4111606E" w14:textId="0EF65F25" w:rsidR="00292F54" w:rsidRPr="00911EDD" w:rsidRDefault="00292F54" w:rsidP="00292F54">
      <w:pPr>
        <w:pStyle w:val="NoSpacing"/>
        <w:rPr>
          <w:sz w:val="28"/>
          <w:szCs w:val="28"/>
        </w:rPr>
      </w:pPr>
      <w:r w:rsidRPr="00911EDD">
        <w:rPr>
          <w:sz w:val="28"/>
          <w:szCs w:val="28"/>
        </w:rPr>
        <w:t>Hong Wan</w:t>
      </w:r>
    </w:p>
    <w:p w14:paraId="2AF421E8" w14:textId="497B5ED2" w:rsidR="00292F54" w:rsidRDefault="00292F54" w:rsidP="00292F54">
      <w:pPr>
        <w:pStyle w:val="NoSpacing"/>
      </w:pPr>
      <w:r>
        <w:t>State University of New York at Oswego</w:t>
      </w:r>
    </w:p>
    <w:p w14:paraId="7718D5F7" w14:textId="6F6079DC" w:rsidR="00292F54" w:rsidRPr="00911EDD" w:rsidRDefault="00292F54" w:rsidP="00292F54">
      <w:pPr>
        <w:pStyle w:val="NoSpacing"/>
        <w:rPr>
          <w:sz w:val="28"/>
          <w:szCs w:val="28"/>
        </w:rPr>
      </w:pPr>
      <w:r w:rsidRPr="00911EDD">
        <w:rPr>
          <w:sz w:val="28"/>
          <w:szCs w:val="28"/>
        </w:rPr>
        <w:t>Bin Wang</w:t>
      </w:r>
    </w:p>
    <w:p w14:paraId="3E2D7307" w14:textId="7F7CF882" w:rsidR="00292F54" w:rsidRPr="00292F54" w:rsidRDefault="00292F54" w:rsidP="00292F54">
      <w:pPr>
        <w:pStyle w:val="NoSpacing"/>
      </w:pPr>
      <w:r>
        <w:t>Missouri Western State University, Marquette University</w:t>
      </w:r>
    </w:p>
    <w:p w14:paraId="24CC33E0" w14:textId="77777777" w:rsidR="009C778C" w:rsidRPr="009C778C" w:rsidRDefault="009C778C" w:rsidP="002C4FA2">
      <w:pPr>
        <w:pStyle w:val="Heading1"/>
        <w:rPr>
          <w:lang w:val="en"/>
        </w:rPr>
      </w:pPr>
      <w:r w:rsidRPr="009C778C">
        <w:rPr>
          <w:lang w:val="en"/>
        </w:rPr>
        <w:t>Abstract</w:t>
      </w:r>
    </w:p>
    <w:p w14:paraId="48EECF99" w14:textId="77777777" w:rsidR="009C778C" w:rsidRPr="009C778C" w:rsidRDefault="009C778C" w:rsidP="009C778C">
      <w:pPr>
        <w:rPr>
          <w:rFonts w:cstheme="minorHAnsi"/>
          <w:sz w:val="24"/>
          <w:szCs w:val="24"/>
          <w:lang w:val="en"/>
        </w:rPr>
      </w:pPr>
      <w:r w:rsidRPr="009C778C">
        <w:rPr>
          <w:rFonts w:cstheme="minorHAnsi"/>
          <w:sz w:val="24"/>
          <w:szCs w:val="24"/>
          <w:lang w:val="en"/>
        </w:rPr>
        <w:t xml:space="preserve">This paper studies the drivers behind the monitoring effectiveness of institutional investors in curbing earnings management in an international setting. We identify three distinct drivers and propose two competing hypotheses: the hometown advantage hypothesis predicts that because of proximity to monitoring information, domestic institutions have a comparative advantage over foreign institutions in deterring earnings management, whereas the global investor hypothesis predicts that foreign institutions have a comparative advantage because of their proclivity toward activism and ability to </w:t>
      </w:r>
      <w:r w:rsidRPr="009C778C">
        <w:rPr>
          <w:rFonts w:cstheme="minorHAnsi"/>
          <w:sz w:val="24"/>
          <w:szCs w:val="24"/>
          <w:lang w:val="en"/>
        </w:rPr>
        <w:lastRenderedPageBreak/>
        <w:t>deploy superior monitoring technologies. Consistent with the hometown advantage hypothesis, in aggregate, domestic, but not foreign, institutional ownership is associated with less earnings management; the monitoring effectiveness of foreign institutions improves as they gain proximity to monitoring information. Consistent with the global investor hypothesis, the monitoring effectiveness of foreign institutions improves in environments of greater agency conflicts or weaker governance controls or when the gap in monitoring technology between foreign and domestic institutions widens.</w:t>
      </w:r>
    </w:p>
    <w:p w14:paraId="33AF30FF" w14:textId="77777777" w:rsidR="009C778C" w:rsidRPr="009C778C" w:rsidRDefault="009C778C" w:rsidP="002C4FA2">
      <w:pPr>
        <w:pStyle w:val="Heading1"/>
      </w:pPr>
      <w:r w:rsidRPr="009C778C">
        <w:t>Keywords</w:t>
      </w:r>
    </w:p>
    <w:p w14:paraId="067EF273" w14:textId="7A7E339B" w:rsidR="009C778C" w:rsidRPr="009C778C" w:rsidRDefault="009C778C" w:rsidP="009C778C">
      <w:pPr>
        <w:rPr>
          <w:rFonts w:cstheme="minorHAnsi"/>
          <w:sz w:val="24"/>
          <w:szCs w:val="24"/>
        </w:rPr>
      </w:pPr>
      <w:r w:rsidRPr="009C778C">
        <w:rPr>
          <w:rFonts w:cstheme="minorHAnsi"/>
          <w:sz w:val="24"/>
          <w:szCs w:val="24"/>
        </w:rPr>
        <w:t>Institutional investors</w:t>
      </w:r>
      <w:r w:rsidR="00987FD3">
        <w:rPr>
          <w:rFonts w:cstheme="minorHAnsi"/>
          <w:sz w:val="24"/>
          <w:szCs w:val="24"/>
        </w:rPr>
        <w:t xml:space="preserve">, </w:t>
      </w:r>
      <w:r w:rsidRPr="009C778C">
        <w:rPr>
          <w:rFonts w:cstheme="minorHAnsi"/>
          <w:sz w:val="24"/>
          <w:szCs w:val="24"/>
        </w:rPr>
        <w:t>Earnings management</w:t>
      </w:r>
      <w:r w:rsidR="00987FD3">
        <w:rPr>
          <w:rFonts w:cstheme="minorHAnsi"/>
          <w:sz w:val="24"/>
          <w:szCs w:val="24"/>
        </w:rPr>
        <w:t xml:space="preserve">, </w:t>
      </w:r>
      <w:r w:rsidRPr="009C778C">
        <w:rPr>
          <w:rFonts w:cstheme="minorHAnsi"/>
          <w:sz w:val="24"/>
          <w:szCs w:val="24"/>
        </w:rPr>
        <w:t>Corporate governance</w:t>
      </w:r>
      <w:r w:rsidR="003B3CAF">
        <w:rPr>
          <w:rFonts w:cstheme="minorHAnsi"/>
          <w:sz w:val="24"/>
          <w:szCs w:val="24"/>
        </w:rPr>
        <w:t xml:space="preserve">, </w:t>
      </w:r>
      <w:r w:rsidRPr="009C778C">
        <w:rPr>
          <w:rFonts w:cstheme="minorHAnsi"/>
          <w:sz w:val="24"/>
          <w:szCs w:val="24"/>
        </w:rPr>
        <w:t>Geographic distance</w:t>
      </w:r>
    </w:p>
    <w:p w14:paraId="4F27CA91" w14:textId="77777777" w:rsidR="009C778C" w:rsidRPr="009C778C" w:rsidRDefault="009C778C" w:rsidP="002C4FA2">
      <w:pPr>
        <w:pStyle w:val="Heading1"/>
      </w:pPr>
      <w:r w:rsidRPr="009C778C">
        <w:t>1. Introduction</w:t>
      </w:r>
    </w:p>
    <w:p w14:paraId="4492FDA2" w14:textId="77777777" w:rsidR="009C778C" w:rsidRPr="009C778C" w:rsidRDefault="009C778C" w:rsidP="009C778C">
      <w:pPr>
        <w:rPr>
          <w:rFonts w:cstheme="minorHAnsi"/>
          <w:sz w:val="24"/>
          <w:szCs w:val="24"/>
        </w:rPr>
      </w:pPr>
      <w:r w:rsidRPr="009C778C">
        <w:rPr>
          <w:rFonts w:cstheme="minorHAnsi"/>
          <w:sz w:val="24"/>
          <w:szCs w:val="24"/>
        </w:rPr>
        <w:t>As global capital markets continue to liberalize and integrate, institutional investors are playing an increasingly important role in the world economy. According to the International Monetary Fund (IMF), assets under the management of institutional investors rose more than sevenfold since 1990 to around $100 trillion in 2015.</w:t>
      </w:r>
      <w:bookmarkStart w:id="2" w:name="bfn000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"fn0005"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vertAlign w:val="superscript"/>
        </w:rPr>
        <w:t>1</w:t>
      </w:r>
      <w:r w:rsidRPr="009C778C">
        <w:rPr>
          <w:rFonts w:cstheme="minorHAnsi"/>
          <w:sz w:val="24"/>
          <w:szCs w:val="24"/>
        </w:rPr>
        <w:fldChar w:fldCharType="end"/>
      </w:r>
      <w:bookmarkEnd w:id="2"/>
      <w:r w:rsidRPr="009C778C">
        <w:rPr>
          <w:rFonts w:cstheme="minorHAnsi"/>
          <w:sz w:val="24"/>
          <w:szCs w:val="24"/>
        </w:rPr>
        <w:t> Recognizing their sizeable global footprint and influence, policy makers from different countries are putting increasing pressure on institutional investors to play a more active governance role in their investee firms across jurisdictions. Despite their growing significance, we have incomplete knowledge about the economic drivers behind the monitoring effectiveness of institutional investors when they invest globally. In this paper, we aim to gain a richer understanding of this issue by analyzing the comparative monitoring advantages of domestic and foreign institutional investors in constraining earnings management. We are motivated to study this specific research question because: 1) the domestic-versus-foreign classification allows us to identify three distinct drivers behind the monitoring effectiveness of global institutional investors, and 2) extant theories and evidence offer conflicting predictions regarding which type—domestic or foreign institutional investors—is more effective in deterring earnings management.</w:t>
      </w:r>
    </w:p>
    <w:p w14:paraId="56190B57" w14:textId="77777777" w:rsidR="009C778C" w:rsidRPr="009C778C" w:rsidRDefault="009C778C" w:rsidP="009C778C">
      <w:pPr>
        <w:rPr>
          <w:rFonts w:cstheme="minorHAnsi"/>
          <w:sz w:val="24"/>
          <w:szCs w:val="24"/>
        </w:rPr>
      </w:pPr>
      <w:r w:rsidRPr="009C778C">
        <w:rPr>
          <w:rFonts w:cstheme="minorHAnsi"/>
          <w:sz w:val="24"/>
          <w:szCs w:val="24"/>
        </w:rPr>
        <w:t>Drawing from the literature, we posit that proximity to local information is the main driver behind the comparative monitoring advantage of domestic institutional investors. Monitoring effectiveness critically depends on information acquisition and processing costs. Compared to foreign peers, domestic institutional investors have an unparalleled advantage in acquiring and processing monitoring information because of their geographic, linguistic, and cultural proximity to local investee firms. While it is reasonable to argue that technological advances have significantly lessened the negative effect of distance on information acquisition and processing costs, a large body of literature on spatial economics and international finance suggests that locals still enjoy a substantial comparative advantage over nonlocals in their ability to access more and better information concerning the hometown firms. For example, within national confines, </w:t>
      </w:r>
      <w:bookmarkStart w:id="3" w:name="bbb0125"/>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"bb0125"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Coval</w:t>
      </w:r>
      <w:proofErr w:type="spellEnd"/>
      <w:r w:rsidRPr="009C778C">
        <w:rPr>
          <w:rStyle w:val="Hyperlink"/>
          <w:rFonts w:cstheme="minorHAnsi"/>
          <w:sz w:val="24"/>
          <w:szCs w:val="24"/>
        </w:rPr>
        <w:t xml:space="preserve"> and Moskowitz (1999)</w:t>
      </w:r>
      <w:r w:rsidRPr="009C778C">
        <w:rPr>
          <w:rFonts w:cstheme="minorHAnsi"/>
          <w:sz w:val="24"/>
          <w:szCs w:val="24"/>
        </w:rPr>
        <w:fldChar w:fldCharType="end"/>
      </w:r>
      <w:r w:rsidRPr="009C778C">
        <w:rPr>
          <w:rFonts w:cstheme="minorHAnsi"/>
          <w:sz w:val="24"/>
          <w:szCs w:val="24"/>
        </w:rPr>
        <w:t> find that the investment portfolios of even professional money managers, who should have state-of-the-art tools to acquire and process information over distance, exhibit a home bias, that is, a strong preference for locally headquartered firms. Across borders, </w:t>
      </w:r>
      <w:bookmarkStart w:id="4" w:name="bbb003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"bb0030"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Bae et al. (2008)</w:t>
      </w:r>
      <w:r w:rsidRPr="009C778C">
        <w:rPr>
          <w:rFonts w:cstheme="minorHAnsi"/>
          <w:sz w:val="24"/>
          <w:szCs w:val="24"/>
        </w:rPr>
        <w:fldChar w:fldCharType="end"/>
      </w:r>
      <w:r w:rsidRPr="009C778C">
        <w:rPr>
          <w:rFonts w:cstheme="minorHAnsi"/>
          <w:sz w:val="24"/>
          <w:szCs w:val="24"/>
        </w:rPr>
        <w:t> find in a sample of 32 countries that analysts who reside in a country make more precise earnings forecasts for firms in that country than non-resident analysts. They call this greater precision “local analyst advantage” and interpret it as evidence that local analysts are better informed than foreign analysts. Further, the earnings management literature establishes that information asymmetry between firms and external stakeholders is a necessary condition for opportunistic financial reporting (</w:t>
      </w:r>
      <w:bookmarkStart w:id="5" w:name="bbb002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"bb0025"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Ayers et al., 2011</w:t>
      </w:r>
      <w:r w:rsidRPr="009C778C">
        <w:rPr>
          <w:rFonts w:cstheme="minorHAnsi"/>
          <w:sz w:val="24"/>
          <w:szCs w:val="24"/>
        </w:rPr>
        <w:fldChar w:fldCharType="end"/>
      </w:r>
      <w:r w:rsidRPr="009C778C">
        <w:rPr>
          <w:rFonts w:cstheme="minorHAnsi"/>
          <w:sz w:val="24"/>
          <w:szCs w:val="24"/>
        </w:rPr>
        <w:t xml:space="preserve">). This asymmetric information problem becomes especially acute in an international setting because in such settings the dimensions of proximity, or “distance,” expand beyond just physical distance to include distances in languages, regulations, cultural norms and so on. Information communicated through subtle hints such as intonation and body language </w:t>
      </w:r>
      <w:proofErr w:type="gramStart"/>
      <w:r w:rsidRPr="009C778C">
        <w:rPr>
          <w:rFonts w:cstheme="minorHAnsi"/>
          <w:sz w:val="24"/>
          <w:szCs w:val="24"/>
        </w:rPr>
        <w:t>is</w:t>
      </w:r>
      <w:proofErr w:type="gramEnd"/>
      <w:r w:rsidRPr="009C778C">
        <w:rPr>
          <w:rFonts w:cstheme="minorHAnsi"/>
          <w:sz w:val="24"/>
          <w:szCs w:val="24"/>
        </w:rPr>
        <w:t xml:space="preserve"> more easily lost over “distance” in an international setting. Therefore, motivated by extant literature, we propose the hometown advantage hypothesis, which predicts that because of their proximity to monitoring information, domestic institutional investors have a comparative advantage over their foreign peers in curbing earnings management.</w:t>
      </w:r>
    </w:p>
    <w:p w14:paraId="19D4DA21" w14:textId="77777777" w:rsidR="009C778C" w:rsidRPr="009C778C" w:rsidRDefault="009C778C" w:rsidP="009C778C">
      <w:pPr>
        <w:rPr>
          <w:rFonts w:cstheme="minorHAnsi"/>
          <w:sz w:val="24"/>
          <w:szCs w:val="24"/>
        </w:rPr>
      </w:pPr>
      <w:r w:rsidRPr="009C778C">
        <w:rPr>
          <w:rFonts w:cstheme="minorHAnsi"/>
          <w:sz w:val="24"/>
          <w:szCs w:val="24"/>
        </w:rPr>
        <w:t>For foreign institutional investors, we identify proclivity toward activism and superior monitoring technologies as the two key drivers behind their comparative monitoring advantage. Compared to domestic counterparts, foreign institutional investors are more independent monitors because they are less likely to have business dealings with local investee firms and are less prone to local political pressure (</w:t>
      </w:r>
      <w:bookmarkStart w:id="6" w:name="bbb017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"bb0175"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Gillan and Starks, 2003</w:t>
      </w:r>
      <w:r w:rsidRPr="009C778C">
        <w:rPr>
          <w:rFonts w:cstheme="minorHAnsi"/>
          <w:sz w:val="24"/>
          <w:szCs w:val="24"/>
        </w:rPr>
        <w:fldChar w:fldCharType="end"/>
      </w:r>
      <w:r w:rsidRPr="009C778C">
        <w:rPr>
          <w:rFonts w:cstheme="minorHAnsi"/>
          <w:sz w:val="24"/>
          <w:szCs w:val="24"/>
        </w:rPr>
        <w:t>, </w:t>
      </w:r>
      <w:bookmarkStart w:id="7" w:name="bbb031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"bb0315"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Tsang et al., 2016</w:t>
      </w:r>
      <w:r w:rsidRPr="009C778C">
        <w:rPr>
          <w:rFonts w:cstheme="minorHAnsi"/>
          <w:sz w:val="24"/>
          <w:szCs w:val="24"/>
        </w:rPr>
        <w:fldChar w:fldCharType="end"/>
      </w:r>
      <w:r w:rsidRPr="009C778C">
        <w:rPr>
          <w:rFonts w:cstheme="minorHAnsi"/>
          <w:sz w:val="24"/>
          <w:szCs w:val="24"/>
        </w:rPr>
        <w:t>). Foreign institutions also have a deeper understanding of a broader set of governance tools due to their global investment experience. That global knowledge and experience puts them in a better position to prod firms to adopt the best governance practices (</w:t>
      </w:r>
      <w:bookmarkStart w:id="8" w:name="bbb000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"bb0005"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Aggarwal et al., 2011</w:t>
      </w:r>
      <w:r w:rsidRPr="009C778C">
        <w:rPr>
          <w:rFonts w:cstheme="minorHAnsi"/>
          <w:sz w:val="24"/>
          <w:szCs w:val="24"/>
        </w:rPr>
        <w:fldChar w:fldCharType="end"/>
      </w:r>
      <w:r w:rsidRPr="009C778C">
        <w:rPr>
          <w:rFonts w:cstheme="minorHAnsi"/>
          <w:sz w:val="24"/>
          <w:szCs w:val="24"/>
        </w:rPr>
        <w:t>). In addition, foreign institutions are equipped with superior monitoring technologies, because they have access to the global talent pool and possess the latest communication and analytical tools (</w:t>
      </w:r>
      <w:bookmarkStart w:id="9" w:name="bbb020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"bb0200"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Grinblatt</w:t>
      </w:r>
      <w:proofErr w:type="spellEnd"/>
      <w:r w:rsidRPr="009C778C">
        <w:rPr>
          <w:rStyle w:val="Hyperlink"/>
          <w:rFonts w:cstheme="minorHAnsi"/>
          <w:sz w:val="24"/>
          <w:szCs w:val="24"/>
        </w:rPr>
        <w:t xml:space="preserve"> and </w:t>
      </w:r>
      <w:proofErr w:type="spellStart"/>
      <w:r w:rsidRPr="009C778C">
        <w:rPr>
          <w:rStyle w:val="Hyperlink"/>
          <w:rFonts w:cstheme="minorHAnsi"/>
          <w:sz w:val="24"/>
          <w:szCs w:val="24"/>
        </w:rPr>
        <w:t>Keloharju</w:t>
      </w:r>
      <w:proofErr w:type="spellEnd"/>
      <w:r w:rsidRPr="009C778C">
        <w:rPr>
          <w:rStyle w:val="Hyperlink"/>
          <w:rFonts w:cstheme="minorHAnsi"/>
          <w:sz w:val="24"/>
          <w:szCs w:val="24"/>
        </w:rPr>
        <w:t>, 2000</w:t>
      </w:r>
      <w:r w:rsidRPr="009C778C">
        <w:rPr>
          <w:rFonts w:cstheme="minorHAnsi"/>
          <w:sz w:val="24"/>
          <w:szCs w:val="24"/>
        </w:rPr>
        <w:fldChar w:fldCharType="end"/>
      </w:r>
      <w:r w:rsidRPr="009C778C">
        <w:rPr>
          <w:rFonts w:cstheme="minorHAnsi"/>
          <w:sz w:val="24"/>
          <w:szCs w:val="24"/>
        </w:rPr>
        <w:t>). We argue that these technological advantages allow foreign institutional investors to perform the governance function more effectively because superior technology reduces the very transaction costs that distance engenders, facilitates economies of scale (e.g., allowing foreign institutions to analyze common governance issues more efficiently and accurately), and lowers the costs of coordinating activist campaigns among shareholders. Consistent with these arguments, </w:t>
      </w:r>
      <w:bookmarkStart w:id="10" w:name="bbb015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"bb0150"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Ferreira and Matos (2008)</w:t>
      </w:r>
      <w:r w:rsidRPr="009C778C">
        <w:rPr>
          <w:rFonts w:cstheme="minorHAnsi"/>
          <w:sz w:val="24"/>
          <w:szCs w:val="24"/>
        </w:rPr>
        <w:fldChar w:fldCharType="end"/>
      </w:r>
      <w:r w:rsidRPr="009C778C">
        <w:rPr>
          <w:rFonts w:cstheme="minorHAnsi"/>
          <w:sz w:val="24"/>
          <w:szCs w:val="24"/>
        </w:rPr>
        <w:t> find that firm value is more positively associated with foreign, rather than domestic, institutional ownership. </w:t>
      </w:r>
      <w:hyperlink r:id="rId13" w:anchor="bb0005" w:history="1">
        <w:r w:rsidRPr="009C778C">
          <w:rPr>
            <w:rStyle w:val="Hyperlink"/>
            <w:rFonts w:cstheme="minorHAnsi"/>
            <w:sz w:val="24"/>
            <w:szCs w:val="24"/>
          </w:rPr>
          <w:t>Aggarwal et al. (2011)</w:t>
        </w:r>
      </w:hyperlink>
      <w:r w:rsidRPr="009C778C">
        <w:rPr>
          <w:rFonts w:cstheme="minorHAnsi"/>
          <w:sz w:val="24"/>
          <w:szCs w:val="24"/>
        </w:rPr>
        <w:t> find that foreign, but not domestic, institutional investors affect a wide range of </w:t>
      </w:r>
      <w:hyperlink r:id="rId14" w:tooltip="Learn more about corporate governance from ScienceDirect's AI-generated Topic Pages" w:history="1">
        <w:r w:rsidRPr="009C778C">
          <w:rPr>
            <w:rStyle w:val="Hyperlink"/>
            <w:rFonts w:cstheme="minorHAnsi"/>
            <w:sz w:val="24"/>
            <w:szCs w:val="24"/>
          </w:rPr>
          <w:t>corporate governance</w:t>
        </w:r>
      </w:hyperlink>
      <w:r w:rsidRPr="009C778C">
        <w:rPr>
          <w:rFonts w:cstheme="minorHAnsi"/>
          <w:sz w:val="24"/>
          <w:szCs w:val="24"/>
        </w:rPr>
        <w:t> attributes. </w:t>
      </w:r>
      <w:hyperlink r:id="rId15" w:anchor="bb0315" w:history="1">
        <w:r w:rsidRPr="009C778C">
          <w:rPr>
            <w:rStyle w:val="Hyperlink"/>
            <w:rFonts w:cstheme="minorHAnsi"/>
            <w:sz w:val="24"/>
            <w:szCs w:val="24"/>
          </w:rPr>
          <w:t>Tsang et al. (2016)</w:t>
        </w:r>
      </w:hyperlink>
      <w:r w:rsidRPr="009C778C">
        <w:rPr>
          <w:rFonts w:cstheme="minorHAnsi"/>
          <w:sz w:val="24"/>
          <w:szCs w:val="24"/>
        </w:rPr>
        <w:t> find that foreign institutional investors have a larger positive impact on firms’ voluntary disclosure than domestic peers. Therefore, inspired by the existing literature, we propose the global investor hypothesis, which predicts that because of their proclivity toward activism and ability to deploy superior monitoring technologies, foreign institutional investors have a comparative advantage over their domestic peers in constraining earnings management.</w:t>
      </w:r>
    </w:p>
    <w:p w14:paraId="15C0EF72" w14:textId="77777777" w:rsidR="009C778C" w:rsidRPr="009C778C" w:rsidRDefault="009C778C" w:rsidP="009C778C">
      <w:pPr>
        <w:rPr>
          <w:rFonts w:cstheme="minorHAnsi"/>
          <w:sz w:val="24"/>
          <w:szCs w:val="24"/>
        </w:rPr>
      </w:pPr>
      <w:r w:rsidRPr="009C778C">
        <w:rPr>
          <w:rFonts w:cstheme="minorHAnsi"/>
          <w:sz w:val="24"/>
          <w:szCs w:val="24"/>
        </w:rPr>
        <w:t>To test the hypotheses, we construct a sample of 2,724 institutional investors that held stocks in 11,403 firms across 29 non-U.S. countries from 2001 to 2013. We find that in aggregate, domestic, but not foreign, institutional ownership is significantly associated with less earnings management. This result holds after we use alternative earnings management measures, control for relevant firm and country characteristics, and implement various robustness checks including two-way clustering at firm-year levels, country, </w:t>
      </w:r>
      <w:hyperlink r:id="rId16" w:tooltip="Learn more about industry from ScienceDirect's AI-generated Topic Pages" w:history="1">
        <w:r w:rsidRPr="009C778C">
          <w:rPr>
            <w:rStyle w:val="Hyperlink"/>
            <w:rFonts w:cstheme="minorHAnsi"/>
            <w:sz w:val="24"/>
            <w:szCs w:val="24"/>
          </w:rPr>
          <w:t>industry</w:t>
        </w:r>
      </w:hyperlink>
      <w:r w:rsidRPr="009C778C">
        <w:rPr>
          <w:rFonts w:cstheme="minorHAnsi"/>
          <w:sz w:val="24"/>
          <w:szCs w:val="24"/>
        </w:rPr>
        <w:t>, and/or firm fixed effects, and four different endogeneity checks.</w:t>
      </w:r>
    </w:p>
    <w:p w14:paraId="25AE9885" w14:textId="77777777" w:rsidR="009C778C" w:rsidRPr="009C778C" w:rsidRDefault="009C778C" w:rsidP="009C778C">
      <w:pPr>
        <w:rPr>
          <w:rFonts w:cstheme="minorHAnsi"/>
          <w:sz w:val="24"/>
          <w:szCs w:val="24"/>
        </w:rPr>
      </w:pPr>
      <w:r w:rsidRPr="009C778C">
        <w:rPr>
          <w:rFonts w:cstheme="minorHAnsi"/>
          <w:sz w:val="24"/>
          <w:szCs w:val="24"/>
        </w:rPr>
        <w:t>To provide richer evidence for the hometown advantage hypothesis, we propose and test two corollaries—</w:t>
      </w:r>
      <w:bookmarkStart w:id="11" w:name="ben001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"en0010"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H1a</w:t>
      </w:r>
      <w:r w:rsidRPr="009C778C">
        <w:rPr>
          <w:rFonts w:cstheme="minorHAnsi"/>
          <w:sz w:val="24"/>
          <w:szCs w:val="24"/>
        </w:rPr>
        <w:fldChar w:fldCharType="end"/>
      </w:r>
      <w:r w:rsidRPr="009C778C">
        <w:rPr>
          <w:rFonts w:cstheme="minorHAnsi"/>
          <w:sz w:val="24"/>
          <w:szCs w:val="24"/>
        </w:rPr>
        <w:t>, </w:t>
      </w:r>
      <w:bookmarkStart w:id="12" w:name="ben001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"en0015"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H1b</w:t>
      </w:r>
      <w:r w:rsidRPr="009C778C">
        <w:rPr>
          <w:rFonts w:cstheme="minorHAnsi"/>
          <w:sz w:val="24"/>
          <w:szCs w:val="24"/>
        </w:rPr>
        <w:fldChar w:fldCharType="end"/>
      </w:r>
      <w:r w:rsidRPr="009C778C">
        <w:rPr>
          <w:rFonts w:cstheme="minorHAnsi"/>
          <w:sz w:val="24"/>
          <w:szCs w:val="24"/>
        </w:rPr>
        <w:t>. Given the importance of information acquisition and processing costs, it logically follows that the comparative advantage of domestic institutional investors over foreign counterparts in curbing earnings management is more (less) pronounced when information asymmetry is higher (lower) (</w:t>
      </w:r>
      <w:hyperlink r:id="rId17" w:anchor="en0010" w:history="1">
        <w:r w:rsidRPr="009C778C">
          <w:rPr>
            <w:rStyle w:val="Hyperlink"/>
            <w:rFonts w:cstheme="minorHAnsi"/>
            <w:sz w:val="24"/>
            <w:szCs w:val="24"/>
          </w:rPr>
          <w:t>H1a</w:t>
        </w:r>
      </w:hyperlink>
      <w:r w:rsidRPr="009C778C">
        <w:rPr>
          <w:rFonts w:cstheme="minorHAnsi"/>
          <w:sz w:val="24"/>
          <w:szCs w:val="24"/>
        </w:rPr>
        <w:t>). Following the literature, we use two sets of proxies to measure information asymmetry. First, to capture firm-level information asymmetry, we use firm size and analyst coverage (</w:t>
      </w:r>
      <w:proofErr w:type="spellStart"/>
      <w:r>
        <w:fldChar w:fldCharType="begin"/>
      </w:r>
      <w:r>
        <w:instrText>HYPERLINK "https://0-www-sciencedirect-com.libus.csd.mu.edu/science/article/pii/S0929119916300724" \l "bb0125"</w:instrText>
      </w:r>
      <w:r>
        <w:fldChar w:fldCharType="separate"/>
      </w:r>
      <w:r w:rsidRPr="009C778C">
        <w:rPr>
          <w:rStyle w:val="Hyperlink"/>
          <w:rFonts w:cstheme="minorHAnsi"/>
          <w:sz w:val="24"/>
          <w:szCs w:val="24"/>
        </w:rPr>
        <w:t>Coval</w:t>
      </w:r>
      <w:proofErr w:type="spellEnd"/>
      <w:r w:rsidRPr="009C778C">
        <w:rPr>
          <w:rStyle w:val="Hyperlink"/>
          <w:rFonts w:cstheme="minorHAnsi"/>
          <w:sz w:val="24"/>
          <w:szCs w:val="24"/>
        </w:rPr>
        <w:t xml:space="preserve"> and Moskowitz, 1999</w:t>
      </w:r>
      <w:r>
        <w:rPr>
          <w:rStyle w:val="Hyperlink"/>
          <w:rFonts w:cstheme="minorHAnsi"/>
          <w:sz w:val="24"/>
          <w:szCs w:val="24"/>
        </w:rPr>
        <w:fldChar w:fldCharType="end"/>
      </w:r>
      <w:r w:rsidRPr="009C778C">
        <w:rPr>
          <w:rFonts w:cstheme="minorHAnsi"/>
          <w:sz w:val="24"/>
          <w:szCs w:val="24"/>
        </w:rPr>
        <w:t>, </w:t>
      </w:r>
      <w:bookmarkStart w:id="13" w:name="bbb001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"bb0015"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Armstrong et al., 2010</w:t>
      </w:r>
      <w:r w:rsidRPr="009C778C">
        <w:rPr>
          <w:rFonts w:cstheme="minorHAnsi"/>
          <w:sz w:val="24"/>
          <w:szCs w:val="24"/>
        </w:rPr>
        <w:fldChar w:fldCharType="end"/>
      </w:r>
      <w:bookmarkEnd w:id="13"/>
      <w:r w:rsidRPr="009C778C">
        <w:rPr>
          <w:rFonts w:cstheme="minorHAnsi"/>
          <w:sz w:val="24"/>
          <w:szCs w:val="24"/>
        </w:rPr>
        <w:t>). Second, to capture country-level information asymmetry, we use prevalence of insider trading and disclosure quality from </w:t>
      </w:r>
      <w:bookmarkStart w:id="14" w:name="bbb025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"bb0250"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La Porta et al. (2006)</w:t>
      </w:r>
      <w:r w:rsidRPr="009C778C">
        <w:rPr>
          <w:rFonts w:cstheme="minorHAnsi"/>
          <w:sz w:val="24"/>
          <w:szCs w:val="24"/>
        </w:rPr>
        <w:fldChar w:fldCharType="end"/>
      </w:r>
      <w:r w:rsidRPr="009C778C">
        <w:rPr>
          <w:rFonts w:cstheme="minorHAnsi"/>
          <w:sz w:val="24"/>
          <w:szCs w:val="24"/>
        </w:rPr>
        <w:t>. Consistent with </w:t>
      </w:r>
      <w:hyperlink r:id="rId18" w:anchor="en0010" w:history="1">
        <w:r w:rsidRPr="009C778C">
          <w:rPr>
            <w:rStyle w:val="Hyperlink"/>
            <w:rFonts w:cstheme="minorHAnsi"/>
            <w:sz w:val="24"/>
            <w:szCs w:val="24"/>
          </w:rPr>
          <w:t>H1a</w:t>
        </w:r>
      </w:hyperlink>
      <w:r w:rsidRPr="009C778C">
        <w:rPr>
          <w:rFonts w:cstheme="minorHAnsi"/>
          <w:sz w:val="24"/>
          <w:szCs w:val="24"/>
        </w:rPr>
        <w:t>, we find that the comparative advantage of domestic institutional investors over their foreign peers in constraining earnings management is more pronounced when investee firms are smaller, have fewer analysts following them, or are located in countries with more rampant insider trading or poor disclosure quality. </w:t>
      </w:r>
      <w:hyperlink r:id="rId19" w:anchor="en0015" w:history="1">
        <w:r w:rsidRPr="009C778C">
          <w:rPr>
            <w:rStyle w:val="Hyperlink"/>
            <w:rFonts w:cstheme="minorHAnsi"/>
            <w:sz w:val="24"/>
            <w:szCs w:val="24"/>
          </w:rPr>
          <w:t>H1b</w:t>
        </w:r>
      </w:hyperlink>
      <w:r w:rsidRPr="009C778C">
        <w:rPr>
          <w:rFonts w:cstheme="minorHAnsi"/>
          <w:sz w:val="24"/>
          <w:szCs w:val="24"/>
        </w:rPr>
        <w:t> predicts that as foreign institutional investors gain proximity to monitoring information, they close the gap in monitoring effectiveness between themselves and their domestic peers. Consistent with </w:t>
      </w:r>
      <w:hyperlink r:id="rId20" w:anchor="en0015" w:history="1">
        <w:r w:rsidRPr="009C778C">
          <w:rPr>
            <w:rStyle w:val="Hyperlink"/>
            <w:rFonts w:cstheme="minorHAnsi"/>
            <w:sz w:val="24"/>
            <w:szCs w:val="24"/>
          </w:rPr>
          <w:t>H1b</w:t>
        </w:r>
      </w:hyperlink>
      <w:r w:rsidRPr="009C778C">
        <w:rPr>
          <w:rFonts w:cstheme="minorHAnsi"/>
          <w:sz w:val="24"/>
          <w:szCs w:val="24"/>
        </w:rPr>
        <w:t>, we find that foreign institutions who share cultural traits similar to the host country or are familiar with the host country's accounting standards are as effective as domestic institutions in reducing earnings management. Notably, foreign institutions from the same geographic region are more effective than domestic institutions in curbing earnings management.</w:t>
      </w:r>
    </w:p>
    <w:p w14:paraId="361DF152" w14:textId="77777777" w:rsidR="009C778C" w:rsidRPr="009C778C" w:rsidRDefault="009C778C" w:rsidP="009C778C">
      <w:pPr>
        <w:rPr>
          <w:rFonts w:cstheme="minorHAnsi"/>
          <w:sz w:val="24"/>
          <w:szCs w:val="24"/>
        </w:rPr>
      </w:pPr>
      <w:r w:rsidRPr="009C778C">
        <w:rPr>
          <w:rFonts w:cstheme="minorHAnsi"/>
          <w:sz w:val="24"/>
          <w:szCs w:val="24"/>
        </w:rPr>
        <w:t>We propose and test two corollaries of the global investor hypothesis—</w:t>
      </w:r>
      <w:bookmarkStart w:id="15" w:name="ben002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"en0025"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H2a</w:t>
      </w:r>
      <w:r w:rsidRPr="009C778C">
        <w:rPr>
          <w:rFonts w:cstheme="minorHAnsi"/>
          <w:sz w:val="24"/>
          <w:szCs w:val="24"/>
        </w:rPr>
        <w:fldChar w:fldCharType="end"/>
      </w:r>
      <w:r w:rsidRPr="009C778C">
        <w:rPr>
          <w:rFonts w:cstheme="minorHAnsi"/>
          <w:sz w:val="24"/>
          <w:szCs w:val="24"/>
        </w:rPr>
        <w:t>, </w:t>
      </w:r>
      <w:bookmarkStart w:id="16" w:name="ben003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"en0030"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H2b</w:t>
      </w:r>
      <w:r w:rsidRPr="009C778C">
        <w:rPr>
          <w:rFonts w:cstheme="minorHAnsi"/>
          <w:sz w:val="24"/>
          <w:szCs w:val="24"/>
        </w:rPr>
        <w:fldChar w:fldCharType="end"/>
      </w:r>
      <w:r w:rsidRPr="009C778C">
        <w:rPr>
          <w:rFonts w:cstheme="minorHAnsi"/>
          <w:sz w:val="24"/>
          <w:szCs w:val="24"/>
        </w:rPr>
        <w:t>. Since proclivity toward activism is one of the two key drivers behind the comparative monitoring advantage of foreign institutional investors, we test whether this advantage is larger when agency conflict is more severe or corporate governance is weaker (</w:t>
      </w:r>
      <w:hyperlink r:id="rId21" w:anchor="en0025" w:history="1">
        <w:r w:rsidRPr="009C778C">
          <w:rPr>
            <w:rStyle w:val="Hyperlink"/>
            <w:rFonts w:cstheme="minorHAnsi"/>
            <w:sz w:val="24"/>
            <w:szCs w:val="24"/>
          </w:rPr>
          <w:t>H2a</w:t>
        </w:r>
      </w:hyperlink>
      <w:r w:rsidRPr="009C778C">
        <w:rPr>
          <w:rFonts w:cstheme="minorHAnsi"/>
          <w:sz w:val="24"/>
          <w:szCs w:val="24"/>
        </w:rPr>
        <w:t>). Consistent with </w:t>
      </w:r>
      <w:hyperlink r:id="rId22" w:anchor="en0025" w:history="1">
        <w:r w:rsidRPr="009C778C">
          <w:rPr>
            <w:rStyle w:val="Hyperlink"/>
            <w:rFonts w:cstheme="minorHAnsi"/>
            <w:sz w:val="24"/>
            <w:szCs w:val="24"/>
          </w:rPr>
          <w:t>H2a</w:t>
        </w:r>
      </w:hyperlink>
      <w:r w:rsidRPr="009C778C">
        <w:rPr>
          <w:rFonts w:cstheme="minorHAnsi"/>
          <w:sz w:val="24"/>
          <w:szCs w:val="24"/>
        </w:rPr>
        <w:t>, we find that foreign institutional investors are more effective at restraining earnings management in firms with higher, but not lower, levels of free cash flow and that ownership by foreign institutional investors from common-law countries is associated with less earnings management in civil-law countries. Since superior monitoring technology is the other key driver, we test whether the comparative monitoring advantage of foreign institutional investors is larger when their technological superiority is more pronounced (</w:t>
      </w:r>
      <w:hyperlink r:id="rId23" w:anchor="en0030" w:history="1">
        <w:r w:rsidRPr="009C778C">
          <w:rPr>
            <w:rStyle w:val="Hyperlink"/>
            <w:rFonts w:cstheme="minorHAnsi"/>
            <w:sz w:val="24"/>
            <w:szCs w:val="24"/>
          </w:rPr>
          <w:t>H2b</w:t>
        </w:r>
      </w:hyperlink>
      <w:r w:rsidRPr="009C778C">
        <w:rPr>
          <w:rFonts w:cstheme="minorHAnsi"/>
          <w:sz w:val="24"/>
          <w:szCs w:val="24"/>
        </w:rPr>
        <w:t>). Consistent with </w:t>
      </w:r>
      <w:hyperlink r:id="rId24" w:anchor="en0030" w:history="1">
        <w:r w:rsidRPr="009C778C">
          <w:rPr>
            <w:rStyle w:val="Hyperlink"/>
            <w:rFonts w:cstheme="minorHAnsi"/>
            <w:sz w:val="24"/>
            <w:szCs w:val="24"/>
          </w:rPr>
          <w:t>H2b</w:t>
        </w:r>
      </w:hyperlink>
      <w:r w:rsidRPr="009C778C">
        <w:rPr>
          <w:rFonts w:cstheme="minorHAnsi"/>
          <w:sz w:val="24"/>
          <w:szCs w:val="24"/>
        </w:rPr>
        <w:t>, foreign institutional ownership is significantly related to less earnings management in emerging countries, but not in developed countries, and this relation is driven by foreign institutions from developed countries. Further, whereas domestic institutional ownership is significantly and more negatively linked to earnings management in developed countries than foreign counterparts, that statistical difference disappears in emerging countries.</w:t>
      </w:r>
    </w:p>
    <w:p w14:paraId="35BFA9D0" w14:textId="77777777" w:rsidR="009C778C" w:rsidRPr="009C778C" w:rsidRDefault="009C778C" w:rsidP="009C778C">
      <w:pPr>
        <w:rPr>
          <w:rFonts w:cstheme="minorHAnsi"/>
          <w:sz w:val="24"/>
          <w:szCs w:val="24"/>
        </w:rPr>
      </w:pPr>
      <w:r w:rsidRPr="009C778C">
        <w:rPr>
          <w:rFonts w:cstheme="minorHAnsi"/>
          <w:sz w:val="24"/>
          <w:szCs w:val="24"/>
        </w:rPr>
        <w:t>Our paper makes several contributions. We provide insights into the economic drivers behind the monitoring effectiveness of global institutional investors, highlighting the conditions under which domestic and foreign institutions become more effective in restraining opportunistic financial reporting. Consequently, this paper extends the within-country results of hometown advantage to an international setting and reconciles the seemingly conflicting results in the literature. Specifically, </w:t>
      </w:r>
      <w:hyperlink r:id="rId25" w:anchor="bb0025" w:history="1">
        <w:r w:rsidRPr="009C778C">
          <w:rPr>
            <w:rStyle w:val="Hyperlink"/>
            <w:rFonts w:cstheme="minorHAnsi"/>
            <w:sz w:val="24"/>
            <w:szCs w:val="24"/>
          </w:rPr>
          <w:t>Ayers et al. (2011)</w:t>
        </w:r>
      </w:hyperlink>
      <w:r w:rsidRPr="009C778C">
        <w:rPr>
          <w:rFonts w:cstheme="minorHAnsi"/>
          <w:sz w:val="24"/>
          <w:szCs w:val="24"/>
        </w:rPr>
        <w:t> and </w:t>
      </w:r>
      <w:bookmarkStart w:id="17" w:name="bbb0105"/>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"bb0105"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Chhaochharia</w:t>
      </w:r>
      <w:proofErr w:type="spellEnd"/>
      <w:r w:rsidRPr="009C778C">
        <w:rPr>
          <w:rStyle w:val="Hyperlink"/>
          <w:rFonts w:cstheme="minorHAnsi"/>
          <w:sz w:val="24"/>
          <w:szCs w:val="24"/>
        </w:rPr>
        <w:t xml:space="preserve"> et al. (2012)</w:t>
      </w:r>
      <w:r w:rsidRPr="009C778C">
        <w:rPr>
          <w:rFonts w:cstheme="minorHAnsi"/>
          <w:sz w:val="24"/>
          <w:szCs w:val="24"/>
        </w:rPr>
        <w:fldChar w:fldCharType="end"/>
      </w:r>
      <w:r w:rsidRPr="009C778C">
        <w:rPr>
          <w:rFonts w:cstheme="minorHAnsi"/>
          <w:sz w:val="24"/>
          <w:szCs w:val="24"/>
        </w:rPr>
        <w:t> find for U.S. firms that local institutions enjoy a hometown advantage over distant institutions in mitigating earnings management. This evidence appears to be in direct conflict with the growing evidence that foreign, but not domestic, institutional investors play a more effective governance role in their global portfolio firms (e.g., </w:t>
      </w:r>
      <w:hyperlink r:id="rId26" w:anchor="bb0150" w:history="1">
        <w:r w:rsidRPr="009C778C">
          <w:rPr>
            <w:rStyle w:val="Hyperlink"/>
            <w:rFonts w:cstheme="minorHAnsi"/>
            <w:sz w:val="24"/>
            <w:szCs w:val="24"/>
          </w:rPr>
          <w:t>Ferreira and Matos, 2008</w:t>
        </w:r>
      </w:hyperlink>
      <w:r w:rsidRPr="009C778C">
        <w:rPr>
          <w:rFonts w:cstheme="minorHAnsi"/>
          <w:sz w:val="24"/>
          <w:szCs w:val="24"/>
        </w:rPr>
        <w:t>, </w:t>
      </w:r>
      <w:hyperlink r:id="rId27" w:anchor="bb0005" w:history="1">
        <w:r w:rsidRPr="009C778C">
          <w:rPr>
            <w:rStyle w:val="Hyperlink"/>
            <w:rFonts w:cstheme="minorHAnsi"/>
            <w:sz w:val="24"/>
            <w:szCs w:val="24"/>
          </w:rPr>
          <w:t>Aggarwal et al., 2011</w:t>
        </w:r>
      </w:hyperlink>
      <w:r w:rsidRPr="009C778C">
        <w:rPr>
          <w:rFonts w:cstheme="minorHAnsi"/>
          <w:sz w:val="24"/>
          <w:szCs w:val="24"/>
        </w:rPr>
        <w:t>, </w:t>
      </w:r>
      <w:hyperlink r:id="rId28" w:anchor="bb0315" w:history="1">
        <w:r w:rsidRPr="009C778C">
          <w:rPr>
            <w:rStyle w:val="Hyperlink"/>
            <w:rFonts w:cstheme="minorHAnsi"/>
            <w:sz w:val="24"/>
            <w:szCs w:val="24"/>
          </w:rPr>
          <w:t>Tsang et al., 2016</w:t>
        </w:r>
      </w:hyperlink>
      <w:r w:rsidRPr="009C778C">
        <w:rPr>
          <w:rFonts w:cstheme="minorHAnsi"/>
          <w:sz w:val="24"/>
          <w:szCs w:val="24"/>
        </w:rPr>
        <w:t>).</w:t>
      </w:r>
    </w:p>
    <w:p w14:paraId="14E24DEF" w14:textId="77777777" w:rsidR="009C778C" w:rsidRPr="009C778C" w:rsidRDefault="009C778C" w:rsidP="009C778C">
      <w:pPr>
        <w:rPr>
          <w:rFonts w:cstheme="minorHAnsi"/>
          <w:sz w:val="24"/>
          <w:szCs w:val="24"/>
        </w:rPr>
      </w:pPr>
      <w:r w:rsidRPr="009C778C">
        <w:rPr>
          <w:rFonts w:cstheme="minorHAnsi"/>
          <w:sz w:val="24"/>
          <w:szCs w:val="24"/>
        </w:rPr>
        <w:t>By highlighting that proximity to information is a key driver behind the monitoring effectiveness of global institutional investors, we complement the fledging but rapidly growing literature on the influence of institutional investors around the world. </w:t>
      </w:r>
      <w:bookmarkStart w:id="18" w:name="bbb014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"bb0145"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Fang et al. (2015)</w:t>
      </w:r>
      <w:r w:rsidRPr="009C778C">
        <w:rPr>
          <w:rFonts w:cstheme="minorHAnsi"/>
          <w:sz w:val="24"/>
          <w:szCs w:val="24"/>
        </w:rPr>
        <w:fldChar w:fldCharType="end"/>
      </w:r>
      <w:bookmarkEnd w:id="18"/>
      <w:r w:rsidRPr="009C778C">
        <w:rPr>
          <w:rFonts w:cstheme="minorHAnsi"/>
          <w:sz w:val="24"/>
          <w:szCs w:val="24"/>
        </w:rPr>
        <w:t> find that U.S. mutual funds are instrumental in pushing for the global convergence of financial reporting practices. </w:t>
      </w:r>
      <w:hyperlink r:id="rId29" w:anchor="bb0315" w:history="1">
        <w:r w:rsidRPr="009C778C">
          <w:rPr>
            <w:rStyle w:val="Hyperlink"/>
            <w:rFonts w:cstheme="minorHAnsi"/>
            <w:sz w:val="24"/>
            <w:szCs w:val="24"/>
          </w:rPr>
          <w:t>Tsang et al. (2016)</w:t>
        </w:r>
      </w:hyperlink>
      <w:r w:rsidRPr="009C778C">
        <w:rPr>
          <w:rFonts w:cstheme="minorHAnsi"/>
          <w:sz w:val="24"/>
          <w:szCs w:val="24"/>
        </w:rPr>
        <w:t> find that foreign, rather than domestic, institutional ownership leads to greater improvement in firms' voluntary disclosures. Our results help motivate the economic rationale behind such actions taken by foreign institutional investors. Lastly, by exploring the conditions for the comparative monitoring advantages of foreign and domestic institutional investors, this paper sheds light on the strengths and limitations of global investors in influencing corporate behaviors, thereby underscoring policy initiatives that can be taken to enhance the market discipline for corporations.</w:t>
      </w:r>
    </w:p>
    <w:p w14:paraId="48D4743C" w14:textId="77777777" w:rsidR="009C778C" w:rsidRPr="009C778C" w:rsidRDefault="009C778C" w:rsidP="009C778C">
      <w:pPr>
        <w:rPr>
          <w:rFonts w:cstheme="minorHAnsi"/>
          <w:sz w:val="24"/>
          <w:szCs w:val="24"/>
        </w:rPr>
      </w:pPr>
      <w:r w:rsidRPr="009C778C">
        <w:rPr>
          <w:rFonts w:cstheme="minorHAnsi"/>
          <w:sz w:val="24"/>
          <w:szCs w:val="24"/>
        </w:rPr>
        <w:t>The remainder of the paper is organized as follows: </w:t>
      </w:r>
      <w:bookmarkStart w:id="19" w:name="bs001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"s0010"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Section 2</w:t>
      </w:r>
      <w:r w:rsidRPr="009C778C">
        <w:rPr>
          <w:rFonts w:cstheme="minorHAnsi"/>
          <w:sz w:val="24"/>
          <w:szCs w:val="24"/>
        </w:rPr>
        <w:fldChar w:fldCharType="end"/>
      </w:r>
      <w:bookmarkEnd w:id="19"/>
      <w:r w:rsidRPr="009C778C">
        <w:rPr>
          <w:rFonts w:cstheme="minorHAnsi"/>
          <w:sz w:val="24"/>
          <w:szCs w:val="24"/>
        </w:rPr>
        <w:t> reviews the related literature and develops hypotheses; </w:t>
      </w:r>
      <w:bookmarkStart w:id="20" w:name="bs001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"s0015"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Section 3</w:t>
      </w:r>
      <w:r w:rsidRPr="009C778C">
        <w:rPr>
          <w:rFonts w:cstheme="minorHAnsi"/>
          <w:sz w:val="24"/>
          <w:szCs w:val="24"/>
        </w:rPr>
        <w:fldChar w:fldCharType="end"/>
      </w:r>
      <w:bookmarkEnd w:id="20"/>
      <w:r w:rsidRPr="009C778C">
        <w:rPr>
          <w:rFonts w:cstheme="minorHAnsi"/>
          <w:sz w:val="24"/>
          <w:szCs w:val="24"/>
        </w:rPr>
        <w:t> describes the data and the key measures of institutional ownership and earnings management; </w:t>
      </w:r>
      <w:bookmarkStart w:id="21" w:name="bs004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"s0040"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Section 4</w:t>
      </w:r>
      <w:r w:rsidRPr="009C778C">
        <w:rPr>
          <w:rFonts w:cstheme="minorHAnsi"/>
          <w:sz w:val="24"/>
          <w:szCs w:val="24"/>
        </w:rPr>
        <w:fldChar w:fldCharType="end"/>
      </w:r>
      <w:bookmarkEnd w:id="21"/>
      <w:r w:rsidRPr="009C778C">
        <w:rPr>
          <w:rFonts w:cstheme="minorHAnsi"/>
          <w:sz w:val="24"/>
          <w:szCs w:val="24"/>
        </w:rPr>
        <w:t> presents empirical results; and </w:t>
      </w:r>
      <w:bookmarkStart w:id="22" w:name="bs008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"s0080"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Section 5</w:t>
      </w:r>
      <w:r w:rsidRPr="009C778C">
        <w:rPr>
          <w:rFonts w:cstheme="minorHAnsi"/>
          <w:sz w:val="24"/>
          <w:szCs w:val="24"/>
        </w:rPr>
        <w:fldChar w:fldCharType="end"/>
      </w:r>
      <w:bookmarkEnd w:id="22"/>
      <w:r w:rsidRPr="009C778C">
        <w:rPr>
          <w:rFonts w:cstheme="minorHAnsi"/>
          <w:sz w:val="24"/>
          <w:szCs w:val="24"/>
        </w:rPr>
        <w:t> concludes.</w:t>
      </w:r>
    </w:p>
    <w:p w14:paraId="197BF44C" w14:textId="77777777" w:rsidR="009C778C" w:rsidRPr="009C778C" w:rsidRDefault="009C778C" w:rsidP="002C4FA2">
      <w:pPr>
        <w:pStyle w:val="Heading1"/>
      </w:pPr>
      <w:r w:rsidRPr="009C778C">
        <w:t>2. Prior literature and hypotheses development</w:t>
      </w:r>
    </w:p>
    <w:p w14:paraId="4357BA90" w14:textId="77777777" w:rsidR="009C778C" w:rsidRPr="009C778C" w:rsidRDefault="009C778C" w:rsidP="009C778C">
      <w:pPr>
        <w:rPr>
          <w:rFonts w:cstheme="minorHAnsi"/>
          <w:sz w:val="24"/>
          <w:szCs w:val="24"/>
        </w:rPr>
      </w:pPr>
      <w:r w:rsidRPr="009C778C">
        <w:rPr>
          <w:rFonts w:cstheme="minorHAnsi"/>
          <w:sz w:val="24"/>
          <w:szCs w:val="24"/>
        </w:rPr>
        <w:t>We posit that the key driver behind the comparative advantage of domestic institutional investors in monitoring earnings management is their proximity to monitoring information. This conjecture is premised on two insights from the extant literature: 1) monitoring effectiveness critically depends on information acquisition and processing costs (</w:t>
      </w:r>
      <w:bookmarkStart w:id="23" w:name="bbb0275"/>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"bb0275"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Linck</w:t>
      </w:r>
      <w:proofErr w:type="spellEnd"/>
      <w:r w:rsidRPr="009C778C">
        <w:rPr>
          <w:rStyle w:val="Hyperlink"/>
          <w:rFonts w:cstheme="minorHAnsi"/>
          <w:sz w:val="24"/>
          <w:szCs w:val="24"/>
        </w:rPr>
        <w:t xml:space="preserve"> et al., 2008</w:t>
      </w:r>
      <w:r w:rsidRPr="009C778C">
        <w:rPr>
          <w:rFonts w:cstheme="minorHAnsi"/>
          <w:sz w:val="24"/>
          <w:szCs w:val="24"/>
        </w:rPr>
        <w:fldChar w:fldCharType="end"/>
      </w:r>
      <w:r w:rsidRPr="009C778C">
        <w:rPr>
          <w:rFonts w:cstheme="minorHAnsi"/>
          <w:sz w:val="24"/>
          <w:szCs w:val="24"/>
        </w:rPr>
        <w:t>); and 2) information asymmetry should be of first-order importance to monitoring earnings management in an international setting. The central role that information asymmetry plays in investors’ ability to acquire and process information necessary for restraining earnings management logically leads to the prediction that compared to foreign peers, domestic institutional investors have a comparative advantage in monitoring opportunistic financial reporting.</w:t>
      </w:r>
    </w:p>
    <w:p w14:paraId="179CED92" w14:textId="77777777" w:rsidR="009C778C" w:rsidRPr="009C778C" w:rsidRDefault="009C778C" w:rsidP="009C778C">
      <w:pPr>
        <w:rPr>
          <w:rFonts w:cstheme="minorHAnsi"/>
          <w:sz w:val="24"/>
          <w:szCs w:val="24"/>
        </w:rPr>
      </w:pPr>
      <w:r w:rsidRPr="009C778C">
        <w:rPr>
          <w:rFonts w:cstheme="minorHAnsi"/>
          <w:sz w:val="24"/>
          <w:szCs w:val="24"/>
        </w:rPr>
        <w:t>Compared to foreign peers, domestic institutional investors have an unparalleled monitoring advantage in acquiring and processing information relevant to a local investee firm due to their geographic, linguistic, and cultural proximity to not only the firm, but also to locals such as resident politicians, stock analysts, rating agencies, and news reporters. This unparalleled access to local information is noted in the popular press and supported by voluminous empirical evidence. For example, a 2015 article in The Wall Street Journal reported that some investors had special access to top executives and “facts and body language [flew] from public companies to handpicked recipients.”</w:t>
      </w:r>
      <w:bookmarkStart w:id="24" w:name="bfn001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"fn0010"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vertAlign w:val="superscript"/>
        </w:rPr>
        <w:t>2</w:t>
      </w:r>
      <w:r w:rsidRPr="009C778C">
        <w:rPr>
          <w:rFonts w:cstheme="minorHAnsi"/>
          <w:sz w:val="24"/>
          <w:szCs w:val="24"/>
        </w:rPr>
        <w:fldChar w:fldCharType="end"/>
      </w:r>
      <w:bookmarkEnd w:id="24"/>
      <w:r w:rsidRPr="009C778C">
        <w:rPr>
          <w:rFonts w:cstheme="minorHAnsi"/>
          <w:sz w:val="24"/>
          <w:szCs w:val="24"/>
        </w:rPr>
        <w:t> The literature finds that because of geographic proximity, locals have access to more and better information than non-locals (see, e.g., </w:t>
      </w:r>
      <w:proofErr w:type="spellStart"/>
      <w:r>
        <w:fldChar w:fldCharType="begin"/>
      </w:r>
      <w:r>
        <w:instrText>HYPERLINK "https://0-www-sciencedirect-com.libus.csd.mu.edu/science/article/pii/S0929119916300724" \l "bb0125"</w:instrText>
      </w:r>
      <w:r>
        <w:fldChar w:fldCharType="separate"/>
      </w:r>
      <w:r w:rsidRPr="009C778C">
        <w:rPr>
          <w:rStyle w:val="Hyperlink"/>
          <w:rFonts w:cstheme="minorHAnsi"/>
          <w:sz w:val="24"/>
          <w:szCs w:val="24"/>
        </w:rPr>
        <w:t>Coval</w:t>
      </w:r>
      <w:proofErr w:type="spellEnd"/>
      <w:r w:rsidRPr="009C778C">
        <w:rPr>
          <w:rStyle w:val="Hyperlink"/>
          <w:rFonts w:cstheme="minorHAnsi"/>
          <w:sz w:val="24"/>
          <w:szCs w:val="24"/>
        </w:rPr>
        <w:t xml:space="preserve"> and Moskowitz (1999)</w:t>
      </w:r>
      <w:r>
        <w:rPr>
          <w:rStyle w:val="Hyperlink"/>
          <w:rFonts w:cstheme="minorHAnsi"/>
          <w:sz w:val="24"/>
          <w:szCs w:val="24"/>
        </w:rPr>
        <w:fldChar w:fldCharType="end"/>
      </w:r>
      <w:bookmarkEnd w:id="3"/>
      <w:r w:rsidRPr="009C778C">
        <w:rPr>
          <w:rFonts w:cstheme="minorHAnsi"/>
          <w:sz w:val="24"/>
          <w:szCs w:val="24"/>
        </w:rPr>
        <w:t> for professional money managers, </w:t>
      </w:r>
      <w:bookmarkStart w:id="25" w:name="bbb016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"bb0165"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Giannini et al. (2013)</w:t>
      </w:r>
      <w:r w:rsidRPr="009C778C">
        <w:rPr>
          <w:rFonts w:cstheme="minorHAnsi"/>
          <w:sz w:val="24"/>
          <w:szCs w:val="24"/>
        </w:rPr>
        <w:fldChar w:fldCharType="end"/>
      </w:r>
      <w:bookmarkEnd w:id="25"/>
      <w:r w:rsidRPr="009C778C">
        <w:rPr>
          <w:rFonts w:cstheme="minorHAnsi"/>
          <w:sz w:val="24"/>
          <w:szCs w:val="24"/>
        </w:rPr>
        <w:t> for individual investors, </w:t>
      </w:r>
      <w:bookmarkStart w:id="26" w:name="bbb026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"bb0265"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Lerner (1995)</w:t>
      </w:r>
      <w:r w:rsidRPr="009C778C">
        <w:rPr>
          <w:rFonts w:cstheme="minorHAnsi"/>
          <w:sz w:val="24"/>
          <w:szCs w:val="24"/>
        </w:rPr>
        <w:fldChar w:fldCharType="end"/>
      </w:r>
      <w:r w:rsidRPr="009C778C">
        <w:rPr>
          <w:rFonts w:cstheme="minorHAnsi"/>
          <w:sz w:val="24"/>
          <w:szCs w:val="24"/>
        </w:rPr>
        <w:t> for venture capitalists, </w:t>
      </w:r>
      <w:bookmarkStart w:id="27" w:name="bbb020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"bb0205"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Hau (2001)</w:t>
      </w:r>
      <w:r w:rsidRPr="009C778C">
        <w:rPr>
          <w:rFonts w:cstheme="minorHAnsi"/>
          <w:sz w:val="24"/>
          <w:szCs w:val="24"/>
        </w:rPr>
        <w:fldChar w:fldCharType="end"/>
      </w:r>
      <w:bookmarkEnd w:id="27"/>
      <w:r w:rsidRPr="009C778C">
        <w:rPr>
          <w:rFonts w:cstheme="minorHAnsi"/>
          <w:sz w:val="24"/>
          <w:szCs w:val="24"/>
        </w:rPr>
        <w:t> for professional traders, </w:t>
      </w:r>
      <w:bookmarkStart w:id="28" w:name="bbb028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"bb0280"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Malloy (2005)</w:t>
      </w:r>
      <w:r w:rsidRPr="009C778C">
        <w:rPr>
          <w:rFonts w:cstheme="minorHAnsi"/>
          <w:sz w:val="24"/>
          <w:szCs w:val="24"/>
        </w:rPr>
        <w:fldChar w:fldCharType="end"/>
      </w:r>
      <w:bookmarkEnd w:id="28"/>
      <w:r w:rsidRPr="009C778C">
        <w:rPr>
          <w:rFonts w:cstheme="minorHAnsi"/>
          <w:sz w:val="24"/>
          <w:szCs w:val="24"/>
        </w:rPr>
        <w:t> for equity analysts, and </w:t>
      </w:r>
      <w:bookmarkStart w:id="29" w:name="bbb008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"bb0085"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Butler (2008)</w:t>
      </w:r>
      <w:r w:rsidRPr="009C778C">
        <w:rPr>
          <w:rFonts w:cstheme="minorHAnsi"/>
          <w:sz w:val="24"/>
          <w:szCs w:val="24"/>
        </w:rPr>
        <w:fldChar w:fldCharType="end"/>
      </w:r>
      <w:bookmarkEnd w:id="29"/>
      <w:r w:rsidRPr="009C778C">
        <w:rPr>
          <w:rFonts w:cstheme="minorHAnsi"/>
          <w:sz w:val="24"/>
          <w:szCs w:val="24"/>
        </w:rPr>
        <w:t> for investment banks).</w:t>
      </w:r>
    </w:p>
    <w:p w14:paraId="7A52C9E9" w14:textId="77777777" w:rsidR="009C778C" w:rsidRPr="009C778C" w:rsidRDefault="009C778C" w:rsidP="009C778C">
      <w:pPr>
        <w:rPr>
          <w:rFonts w:cstheme="minorHAnsi"/>
          <w:sz w:val="24"/>
          <w:szCs w:val="24"/>
        </w:rPr>
      </w:pPr>
      <w:r w:rsidRPr="009C778C">
        <w:rPr>
          <w:rFonts w:cstheme="minorHAnsi"/>
          <w:sz w:val="24"/>
          <w:szCs w:val="24"/>
        </w:rPr>
        <w:t>The earnings management literature shows that information asymmetry between firms and external stakeholders is a necessary condition for opportunistic financial reporting and plays a central role in determining whether investors can effectively monitor earnings management (</w:t>
      </w:r>
      <w:hyperlink r:id="rId30" w:anchor="bb0025" w:history="1">
        <w:r w:rsidRPr="009C778C">
          <w:rPr>
            <w:rStyle w:val="Hyperlink"/>
            <w:rFonts w:cstheme="minorHAnsi"/>
            <w:sz w:val="24"/>
            <w:szCs w:val="24"/>
          </w:rPr>
          <w:t>Ayers et al., 2011</w:t>
        </w:r>
      </w:hyperlink>
      <w:r w:rsidRPr="009C778C">
        <w:rPr>
          <w:rFonts w:cstheme="minorHAnsi"/>
          <w:sz w:val="24"/>
          <w:szCs w:val="24"/>
        </w:rPr>
        <w:t>, </w:t>
      </w:r>
      <w:proofErr w:type="spellStart"/>
      <w:r>
        <w:fldChar w:fldCharType="begin"/>
      </w:r>
      <w:r>
        <w:instrText>HYPERLINK "https://0-www-sciencedirect-com.libus.csd.mu.edu/science/article/pii/S0929119916300724" \l "bb0105"</w:instrText>
      </w:r>
      <w:r>
        <w:fldChar w:fldCharType="separate"/>
      </w:r>
      <w:r w:rsidRPr="009C778C">
        <w:rPr>
          <w:rStyle w:val="Hyperlink"/>
          <w:rFonts w:cstheme="minorHAnsi"/>
          <w:sz w:val="24"/>
          <w:szCs w:val="24"/>
        </w:rPr>
        <w:t>Chhaochharia</w:t>
      </w:r>
      <w:proofErr w:type="spellEnd"/>
      <w:r w:rsidRPr="009C778C">
        <w:rPr>
          <w:rStyle w:val="Hyperlink"/>
          <w:rFonts w:cstheme="minorHAnsi"/>
          <w:sz w:val="24"/>
          <w:szCs w:val="24"/>
        </w:rPr>
        <w:t xml:space="preserve"> et al., 2012</w:t>
      </w:r>
      <w:r>
        <w:rPr>
          <w:rStyle w:val="Hyperlink"/>
          <w:rFonts w:cstheme="minorHAnsi"/>
          <w:sz w:val="24"/>
          <w:szCs w:val="24"/>
        </w:rPr>
        <w:fldChar w:fldCharType="end"/>
      </w:r>
      <w:r w:rsidRPr="009C778C">
        <w:rPr>
          <w:rFonts w:cstheme="minorHAnsi"/>
          <w:sz w:val="24"/>
          <w:szCs w:val="24"/>
        </w:rPr>
        <w:t>). In addition, several other strands of literature demonstrate that information asymmetry is of critical importance in driving investors’ cross-border actions. For example, the literature on international portfolio allocation (see, e.g., </w:t>
      </w:r>
      <w:bookmarkStart w:id="30" w:name="bbb023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"bb0235"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 xml:space="preserve">Kang and </w:t>
      </w:r>
      <w:proofErr w:type="spellStart"/>
      <w:r w:rsidRPr="009C778C">
        <w:rPr>
          <w:rStyle w:val="Hyperlink"/>
          <w:rFonts w:cstheme="minorHAnsi"/>
          <w:sz w:val="24"/>
          <w:szCs w:val="24"/>
        </w:rPr>
        <w:t>Stulz</w:t>
      </w:r>
      <w:proofErr w:type="spellEnd"/>
      <w:r w:rsidRPr="009C778C">
        <w:rPr>
          <w:rStyle w:val="Hyperlink"/>
          <w:rFonts w:cstheme="minorHAnsi"/>
          <w:sz w:val="24"/>
          <w:szCs w:val="24"/>
        </w:rPr>
        <w:t>, 1997</w:t>
      </w:r>
      <w:r w:rsidRPr="009C778C">
        <w:rPr>
          <w:rFonts w:cstheme="minorHAnsi"/>
          <w:sz w:val="24"/>
          <w:szCs w:val="24"/>
        </w:rPr>
        <w:fldChar w:fldCharType="end"/>
      </w:r>
      <w:bookmarkEnd w:id="30"/>
      <w:r w:rsidRPr="009C778C">
        <w:rPr>
          <w:rFonts w:cstheme="minorHAnsi"/>
          <w:sz w:val="24"/>
          <w:szCs w:val="24"/>
        </w:rPr>
        <w:t>) identifies informational asymmetry as the main driver behind the concentration of portfolio investment in domestic assets known as the “home bias.” The literature on international goods and financial assets transactions underscores information asymmetry as the main determinant of the pattern of international transactions (see, e.g., </w:t>
      </w:r>
      <w:bookmarkStart w:id="31" w:name="bbb019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"bb0190"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 xml:space="preserve">Gordon and </w:t>
      </w:r>
      <w:proofErr w:type="spellStart"/>
      <w:r w:rsidRPr="009C778C">
        <w:rPr>
          <w:rStyle w:val="Hyperlink"/>
          <w:rFonts w:cstheme="minorHAnsi"/>
          <w:sz w:val="24"/>
          <w:szCs w:val="24"/>
        </w:rPr>
        <w:t>Bovenberg</w:t>
      </w:r>
      <w:proofErr w:type="spellEnd"/>
      <w:r w:rsidRPr="009C778C">
        <w:rPr>
          <w:rStyle w:val="Hyperlink"/>
          <w:rFonts w:cstheme="minorHAnsi"/>
          <w:sz w:val="24"/>
          <w:szCs w:val="24"/>
        </w:rPr>
        <w:t>, 1996</w:t>
      </w:r>
      <w:r w:rsidRPr="009C778C">
        <w:rPr>
          <w:rFonts w:cstheme="minorHAnsi"/>
          <w:sz w:val="24"/>
          <w:szCs w:val="24"/>
        </w:rPr>
        <w:fldChar w:fldCharType="end"/>
      </w:r>
      <w:bookmarkEnd w:id="31"/>
      <w:r w:rsidRPr="009C778C">
        <w:rPr>
          <w:rFonts w:cstheme="minorHAnsi"/>
          <w:sz w:val="24"/>
          <w:szCs w:val="24"/>
        </w:rPr>
        <w:t>, </w:t>
      </w:r>
      <w:bookmarkStart w:id="32" w:name="bbb0305"/>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"bb0305"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Portes</w:t>
      </w:r>
      <w:proofErr w:type="spellEnd"/>
      <w:r w:rsidRPr="009C778C">
        <w:rPr>
          <w:rStyle w:val="Hyperlink"/>
          <w:rFonts w:cstheme="minorHAnsi"/>
          <w:sz w:val="24"/>
          <w:szCs w:val="24"/>
        </w:rPr>
        <w:t xml:space="preserve"> and Rey, 2005</w:t>
      </w:r>
      <w:r w:rsidRPr="009C778C">
        <w:rPr>
          <w:rFonts w:cstheme="minorHAnsi"/>
          <w:sz w:val="24"/>
          <w:szCs w:val="24"/>
        </w:rPr>
        <w:fldChar w:fldCharType="end"/>
      </w:r>
      <w:bookmarkEnd w:id="32"/>
      <w:r w:rsidRPr="009C778C">
        <w:rPr>
          <w:rFonts w:cstheme="minorHAnsi"/>
          <w:sz w:val="24"/>
          <w:szCs w:val="24"/>
        </w:rPr>
        <w:t>). </w:t>
      </w:r>
      <w:bookmarkStart w:id="33" w:name="bbb019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"bb0195"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Griffin et al. (2004)</w:t>
      </w:r>
      <w:r w:rsidRPr="009C778C">
        <w:rPr>
          <w:rFonts w:cstheme="minorHAnsi"/>
          <w:sz w:val="24"/>
          <w:szCs w:val="24"/>
        </w:rPr>
        <w:fldChar w:fldCharType="end"/>
      </w:r>
      <w:bookmarkEnd w:id="33"/>
      <w:r w:rsidRPr="009C778C">
        <w:rPr>
          <w:rFonts w:cstheme="minorHAnsi"/>
          <w:sz w:val="24"/>
          <w:szCs w:val="24"/>
        </w:rPr>
        <w:t> show that a model with perfect information cannot explain one of the stylized facts in international finance—the positive contemporaneous relationship between net equity flows and returns. Rather, a model in which foreign investors are less informed than domestic investors can explain the stylized fact. Therefore, based on these branches of literature, it is reasonable to conclude that information asymmetry should be of first-order importance in monitoring earnings management in an international setting.</w:t>
      </w:r>
    </w:p>
    <w:p w14:paraId="5518E19C" w14:textId="77777777" w:rsidR="009C778C" w:rsidRPr="009C778C" w:rsidRDefault="009C778C" w:rsidP="009C778C">
      <w:pPr>
        <w:rPr>
          <w:rFonts w:cstheme="minorHAnsi"/>
          <w:sz w:val="24"/>
          <w:szCs w:val="24"/>
        </w:rPr>
      </w:pPr>
      <w:r w:rsidRPr="009C778C">
        <w:rPr>
          <w:rFonts w:cstheme="minorHAnsi"/>
          <w:sz w:val="24"/>
          <w:szCs w:val="24"/>
        </w:rPr>
        <w:t>Particularly relevant to our study are </w:t>
      </w:r>
      <w:hyperlink r:id="rId31" w:anchor="bb0025" w:history="1">
        <w:r w:rsidRPr="009C778C">
          <w:rPr>
            <w:rStyle w:val="Hyperlink"/>
            <w:rFonts w:cstheme="minorHAnsi"/>
            <w:sz w:val="24"/>
            <w:szCs w:val="24"/>
          </w:rPr>
          <w:t>Ayers et al. (2011)</w:t>
        </w:r>
      </w:hyperlink>
      <w:r w:rsidRPr="009C778C">
        <w:rPr>
          <w:rFonts w:cstheme="minorHAnsi"/>
          <w:sz w:val="24"/>
          <w:szCs w:val="24"/>
        </w:rPr>
        <w:t> and </w:t>
      </w:r>
      <w:hyperlink r:id="rId32" w:anchor="bb0030" w:history="1">
        <w:r w:rsidRPr="009C778C">
          <w:rPr>
            <w:rStyle w:val="Hyperlink"/>
            <w:rFonts w:cstheme="minorHAnsi"/>
            <w:sz w:val="24"/>
            <w:szCs w:val="24"/>
          </w:rPr>
          <w:t>Bae et al. (2008)</w:t>
        </w:r>
      </w:hyperlink>
      <w:r w:rsidRPr="009C778C">
        <w:rPr>
          <w:rFonts w:cstheme="minorHAnsi"/>
          <w:sz w:val="24"/>
          <w:szCs w:val="24"/>
        </w:rPr>
        <w:t>. </w:t>
      </w:r>
      <w:hyperlink r:id="rId33" w:anchor="bb0025" w:history="1">
        <w:r w:rsidRPr="009C778C">
          <w:rPr>
            <w:rStyle w:val="Hyperlink"/>
            <w:rFonts w:cstheme="minorHAnsi"/>
            <w:sz w:val="24"/>
            <w:szCs w:val="24"/>
          </w:rPr>
          <w:t>Ayers et al. (2011)</w:t>
        </w:r>
      </w:hyperlink>
      <w:r w:rsidRPr="009C778C">
        <w:rPr>
          <w:rFonts w:cstheme="minorHAnsi"/>
          <w:sz w:val="24"/>
          <w:szCs w:val="24"/>
        </w:rPr>
        <w:t> use geographic distance to proxy for the cost of acquiring monitoring information. Based on U.S. data, they find that local institutions enjoy a “hometown advantage” in that they are associated with less opportunistic financial reporting than distant institutions. </w:t>
      </w:r>
      <w:hyperlink r:id="rId34" w:anchor="bb0030" w:history="1">
        <w:r w:rsidRPr="009C778C">
          <w:rPr>
            <w:rStyle w:val="Hyperlink"/>
            <w:rFonts w:cstheme="minorHAnsi"/>
            <w:sz w:val="24"/>
            <w:szCs w:val="24"/>
          </w:rPr>
          <w:t>Bae et al. (2008)</w:t>
        </w:r>
      </w:hyperlink>
      <w:r w:rsidRPr="009C778C">
        <w:rPr>
          <w:rFonts w:cstheme="minorHAnsi"/>
          <w:sz w:val="24"/>
          <w:szCs w:val="24"/>
        </w:rPr>
        <w:t> find for a sample of 32 countries that analysts who reside in a country make more precise earnings forecasts for firms in that country than non-resident analysts. They call this greater precision “local analyst advantage” and interpret it as evidence that local analysts are better informed than foreign analysts. Following the literature (e.g., </w:t>
      </w:r>
      <w:hyperlink r:id="rId35" w:anchor="bb0030" w:history="1">
        <w:r w:rsidRPr="009C778C">
          <w:rPr>
            <w:rStyle w:val="Hyperlink"/>
            <w:rFonts w:cstheme="minorHAnsi"/>
            <w:sz w:val="24"/>
            <w:szCs w:val="24"/>
          </w:rPr>
          <w:t>Bae et al., 2008</w:t>
        </w:r>
      </w:hyperlink>
      <w:bookmarkEnd w:id="4"/>
      <w:r w:rsidRPr="009C778C">
        <w:rPr>
          <w:rFonts w:cstheme="minorHAnsi"/>
          <w:sz w:val="24"/>
          <w:szCs w:val="24"/>
        </w:rPr>
        <w:t>, </w:t>
      </w:r>
      <w:hyperlink r:id="rId36" w:anchor="bb0150" w:history="1">
        <w:r w:rsidRPr="009C778C">
          <w:rPr>
            <w:rStyle w:val="Hyperlink"/>
            <w:rFonts w:cstheme="minorHAnsi"/>
            <w:sz w:val="24"/>
            <w:szCs w:val="24"/>
          </w:rPr>
          <w:t>Ferreira and Matos, 2008</w:t>
        </w:r>
      </w:hyperlink>
      <w:r w:rsidRPr="009C778C">
        <w:rPr>
          <w:rFonts w:cstheme="minorHAnsi"/>
          <w:sz w:val="24"/>
          <w:szCs w:val="24"/>
        </w:rPr>
        <w:t>), we define domestic (foreign) institutional investors as those domiciled in the same (different) country in which the stock is issued, and propose the following hypothesis:</w:t>
      </w:r>
    </w:p>
    <w:p w14:paraId="36940227" w14:textId="77777777" w:rsidR="009C778C" w:rsidRPr="009C778C" w:rsidRDefault="009C778C" w:rsidP="001A7C2C">
      <w:pPr>
        <w:pStyle w:val="Heading2"/>
      </w:pPr>
      <w:r w:rsidRPr="009C778C">
        <w:t>H1</w:t>
      </w:r>
    </w:p>
    <w:p w14:paraId="67235BE5" w14:textId="77777777" w:rsidR="009C778C" w:rsidRPr="009C778C" w:rsidRDefault="009C778C" w:rsidP="009C778C">
      <w:pPr>
        <w:rPr>
          <w:rFonts w:cstheme="minorHAnsi"/>
          <w:sz w:val="24"/>
          <w:szCs w:val="24"/>
        </w:rPr>
      </w:pPr>
      <w:r w:rsidRPr="009C778C">
        <w:rPr>
          <w:rFonts w:cstheme="minorHAnsi"/>
          <w:sz w:val="24"/>
          <w:szCs w:val="24"/>
        </w:rPr>
        <w:t>(Hometown Advantage Hypothesis): Because of their proximity to monitoring information, domestic institutional investors have a comparative advantage over their foreign peers in constraining earnings management.</w:t>
      </w:r>
    </w:p>
    <w:p w14:paraId="52895634" w14:textId="77777777" w:rsidR="009C778C" w:rsidRPr="009C778C" w:rsidRDefault="009C778C" w:rsidP="009C778C">
      <w:pPr>
        <w:rPr>
          <w:rFonts w:cstheme="minorHAnsi"/>
          <w:sz w:val="24"/>
          <w:szCs w:val="24"/>
        </w:rPr>
      </w:pPr>
      <w:r w:rsidRPr="009C778C">
        <w:rPr>
          <w:rFonts w:cstheme="minorHAnsi"/>
          <w:sz w:val="24"/>
          <w:szCs w:val="24"/>
        </w:rPr>
        <w:t>Given the pivotal role of information asymmetry in institutions’ ability to constrain earnings management, we propose the following corollary of </w:t>
      </w:r>
      <w:bookmarkStart w:id="34" w:name="ben000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"en0005"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H1</w:t>
      </w:r>
      <w:r w:rsidRPr="009C778C">
        <w:rPr>
          <w:rFonts w:cstheme="minorHAnsi"/>
          <w:sz w:val="24"/>
          <w:szCs w:val="24"/>
        </w:rPr>
        <w:fldChar w:fldCharType="end"/>
      </w:r>
      <w:r w:rsidRPr="009C778C">
        <w:rPr>
          <w:rFonts w:cstheme="minorHAnsi"/>
          <w:sz w:val="24"/>
          <w:szCs w:val="24"/>
        </w:rPr>
        <w:t>:</w:t>
      </w:r>
    </w:p>
    <w:p w14:paraId="79BCE5F3" w14:textId="77777777" w:rsidR="009C778C" w:rsidRPr="009C778C" w:rsidRDefault="009C778C" w:rsidP="001A7C2C">
      <w:pPr>
        <w:pStyle w:val="Heading3"/>
      </w:pPr>
      <w:r w:rsidRPr="009C778C">
        <w:t>H1a</w:t>
      </w:r>
    </w:p>
    <w:p w14:paraId="5ECE8C0B" w14:textId="77777777" w:rsidR="009C778C" w:rsidRPr="009C778C" w:rsidRDefault="009C778C" w:rsidP="009C778C">
      <w:pPr>
        <w:rPr>
          <w:rFonts w:cstheme="minorHAnsi"/>
          <w:sz w:val="24"/>
          <w:szCs w:val="24"/>
        </w:rPr>
      </w:pPr>
      <w:r w:rsidRPr="009C778C">
        <w:rPr>
          <w:rFonts w:cstheme="minorHAnsi"/>
          <w:sz w:val="24"/>
          <w:szCs w:val="24"/>
        </w:rPr>
        <w:t>The “Hometown Advantage” is more pronounced when information asymmetry is higher.</w:t>
      </w:r>
    </w:p>
    <w:p w14:paraId="34DF6A13" w14:textId="77777777" w:rsidR="009C778C" w:rsidRPr="009C778C" w:rsidRDefault="009C778C" w:rsidP="009C778C">
      <w:pPr>
        <w:rPr>
          <w:rFonts w:cstheme="minorHAnsi"/>
          <w:sz w:val="24"/>
          <w:szCs w:val="24"/>
        </w:rPr>
      </w:pPr>
      <w:r w:rsidRPr="009C778C">
        <w:rPr>
          <w:rFonts w:cstheme="minorHAnsi"/>
          <w:sz w:val="24"/>
          <w:szCs w:val="24"/>
        </w:rPr>
        <w:t>As the primary driver behind the comparative monitoring advantage of domestic institutional investors is their proximity to monitoring information, it naturally follows that their comparative advantage diminishes as foreign institutional investors gain proximity to monitoring information. Therefore, we propose the following corollary of </w:t>
      </w:r>
      <w:hyperlink r:id="rId37" w:anchor="en0005" w:history="1">
        <w:r w:rsidRPr="009C778C">
          <w:rPr>
            <w:rStyle w:val="Hyperlink"/>
            <w:rFonts w:cstheme="minorHAnsi"/>
            <w:sz w:val="24"/>
            <w:szCs w:val="24"/>
          </w:rPr>
          <w:t>H1</w:t>
        </w:r>
      </w:hyperlink>
      <w:r w:rsidRPr="009C778C">
        <w:rPr>
          <w:rFonts w:cstheme="minorHAnsi"/>
          <w:sz w:val="24"/>
          <w:szCs w:val="24"/>
        </w:rPr>
        <w:t>:</w:t>
      </w:r>
    </w:p>
    <w:p w14:paraId="79F519D7" w14:textId="77777777" w:rsidR="009C778C" w:rsidRPr="009C778C" w:rsidRDefault="009C778C" w:rsidP="001A7C2C">
      <w:pPr>
        <w:pStyle w:val="Heading3"/>
      </w:pPr>
      <w:r w:rsidRPr="009C778C">
        <w:t>H1b</w:t>
      </w:r>
    </w:p>
    <w:p w14:paraId="4AED3D1F" w14:textId="77777777" w:rsidR="009C778C" w:rsidRPr="009C778C" w:rsidRDefault="009C778C" w:rsidP="009C778C">
      <w:pPr>
        <w:rPr>
          <w:rFonts w:cstheme="minorHAnsi"/>
          <w:sz w:val="24"/>
          <w:szCs w:val="24"/>
        </w:rPr>
      </w:pPr>
      <w:r w:rsidRPr="009C778C">
        <w:rPr>
          <w:rFonts w:cstheme="minorHAnsi"/>
          <w:sz w:val="24"/>
          <w:szCs w:val="24"/>
        </w:rPr>
        <w:t>As they gain proximity to monitoring information, foreign institutional investors close the gap in monitoring effectiveness between themselves and their domestic peers.</w:t>
      </w:r>
    </w:p>
    <w:p w14:paraId="0A4EBD62" w14:textId="77777777" w:rsidR="009C778C" w:rsidRPr="009C778C" w:rsidRDefault="009C778C" w:rsidP="009C778C">
      <w:pPr>
        <w:rPr>
          <w:rFonts w:cstheme="minorHAnsi"/>
          <w:sz w:val="24"/>
          <w:szCs w:val="24"/>
        </w:rPr>
      </w:pPr>
      <w:r w:rsidRPr="009C778C">
        <w:rPr>
          <w:rFonts w:cstheme="minorHAnsi"/>
          <w:sz w:val="24"/>
          <w:szCs w:val="24"/>
        </w:rPr>
        <w:t>We posit that the main drivers behind the comparative monitoring advantage of foreign institutional investors are: 1) their proclivity toward activism, and 2) their ability to deploy superior monitoring technologies. Ample anecdotal and empirical evidence shows that foreign institutional investors, especially those from common-law countries, play a more active governance role than their domestic peers. For example, The Wall Street Journal reported that in Japan, in 2007, foreign investors such as the U.S. fund Steel Partners and the U.K. fund TCI submitted a record number of shareholder proposals and initiated engagement with the management, with the aim of improving corporate governance and returning value to shareholders. Although there was pressure from Japanese institutional investors as well, they were not viewed “as threatening in the way that foreign funds are.”</w:t>
      </w:r>
      <w:bookmarkStart w:id="35" w:name="bfn001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"fn0015"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vertAlign w:val="superscript"/>
        </w:rPr>
        <w:t>3</w:t>
      </w:r>
      <w:r w:rsidRPr="009C778C">
        <w:rPr>
          <w:rFonts w:cstheme="minorHAnsi"/>
          <w:sz w:val="24"/>
          <w:szCs w:val="24"/>
        </w:rPr>
        <w:fldChar w:fldCharType="end"/>
      </w:r>
      <w:bookmarkEnd w:id="35"/>
      <w:r w:rsidRPr="009C778C">
        <w:rPr>
          <w:rFonts w:cstheme="minorHAnsi"/>
          <w:sz w:val="24"/>
          <w:szCs w:val="24"/>
        </w:rPr>
        <w:t> </w:t>
      </w:r>
      <w:hyperlink r:id="rId38" w:anchor="bb0005" w:history="1">
        <w:r w:rsidRPr="009C778C">
          <w:rPr>
            <w:rStyle w:val="Hyperlink"/>
            <w:rFonts w:cstheme="minorHAnsi"/>
            <w:sz w:val="24"/>
            <w:szCs w:val="24"/>
          </w:rPr>
          <w:t>Aggarwal et al. (2011)</w:t>
        </w:r>
      </w:hyperlink>
      <w:r w:rsidRPr="009C778C">
        <w:rPr>
          <w:rFonts w:cstheme="minorHAnsi"/>
          <w:sz w:val="24"/>
          <w:szCs w:val="24"/>
        </w:rPr>
        <w:t> and </w:t>
      </w:r>
      <w:bookmarkStart w:id="36" w:name="bbb022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"bb0225"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Iliev et al. (2015)</w:t>
      </w:r>
      <w:r w:rsidRPr="009C778C">
        <w:rPr>
          <w:rFonts w:cstheme="minorHAnsi"/>
          <w:sz w:val="24"/>
          <w:szCs w:val="24"/>
        </w:rPr>
        <w:fldChar w:fldCharType="end"/>
      </w:r>
      <w:bookmarkEnd w:id="36"/>
      <w:r w:rsidRPr="009C778C">
        <w:rPr>
          <w:rFonts w:cstheme="minorHAnsi"/>
          <w:sz w:val="24"/>
          <w:szCs w:val="24"/>
        </w:rPr>
        <w:t> provide empirical evidence and exemplary cases in which foreign institutional investors influence governance outcomes via channels such as voting and proxy fights.</w:t>
      </w:r>
    </w:p>
    <w:p w14:paraId="09C41A64" w14:textId="77777777" w:rsidR="009C778C" w:rsidRPr="009C778C" w:rsidRDefault="009C778C" w:rsidP="009C778C">
      <w:pPr>
        <w:rPr>
          <w:rFonts w:cstheme="minorHAnsi"/>
          <w:sz w:val="24"/>
          <w:szCs w:val="24"/>
        </w:rPr>
      </w:pPr>
      <w:r w:rsidRPr="009C778C">
        <w:rPr>
          <w:rFonts w:cstheme="minorHAnsi"/>
          <w:sz w:val="24"/>
          <w:szCs w:val="24"/>
        </w:rPr>
        <w:t>Four inherent characteristics of foreign institutional investors explain their proclivity toward governance activism. First, compared to domestic peers, foreign institutional investors are less likely to have business dealings with local investee firms and therefore are more independent monitors of the management (</w:t>
      </w:r>
      <w:hyperlink r:id="rId39" w:anchor="bb0175" w:history="1">
        <w:r w:rsidRPr="009C778C">
          <w:rPr>
            <w:rStyle w:val="Hyperlink"/>
            <w:rFonts w:cstheme="minorHAnsi"/>
            <w:sz w:val="24"/>
            <w:szCs w:val="24"/>
          </w:rPr>
          <w:t>Gillan and Starks, 2003</w:t>
        </w:r>
      </w:hyperlink>
      <w:r w:rsidRPr="009C778C">
        <w:rPr>
          <w:rFonts w:cstheme="minorHAnsi"/>
          <w:sz w:val="24"/>
          <w:szCs w:val="24"/>
        </w:rPr>
        <w:t>, </w:t>
      </w:r>
      <w:hyperlink r:id="rId40" w:anchor="bb0005" w:history="1">
        <w:r w:rsidRPr="009C778C">
          <w:rPr>
            <w:rStyle w:val="Hyperlink"/>
            <w:rFonts w:cstheme="minorHAnsi"/>
            <w:sz w:val="24"/>
            <w:szCs w:val="24"/>
          </w:rPr>
          <w:t>Aggarwal et al., 2011</w:t>
        </w:r>
      </w:hyperlink>
      <w:r w:rsidRPr="009C778C">
        <w:rPr>
          <w:rFonts w:cstheme="minorHAnsi"/>
          <w:sz w:val="24"/>
          <w:szCs w:val="24"/>
        </w:rPr>
        <w:t>). Second, foreign institutional investors are less prone to local political pressure and therefore more resistant to non-shareholder value maximizing decisions by managers (</w:t>
      </w:r>
      <w:bookmarkStart w:id="37" w:name="bbb022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"bb0220"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Huang and Zhu, 2015</w:t>
      </w:r>
      <w:r w:rsidRPr="009C778C">
        <w:rPr>
          <w:rFonts w:cstheme="minorHAnsi"/>
          <w:sz w:val="24"/>
          <w:szCs w:val="24"/>
        </w:rPr>
        <w:fldChar w:fldCharType="end"/>
      </w:r>
      <w:bookmarkEnd w:id="37"/>
      <w:r w:rsidRPr="009C778C">
        <w:rPr>
          <w:rFonts w:cstheme="minorHAnsi"/>
          <w:sz w:val="24"/>
          <w:szCs w:val="24"/>
        </w:rPr>
        <w:t>, </w:t>
      </w:r>
      <w:hyperlink r:id="rId41" w:anchor="bb0315" w:history="1">
        <w:r w:rsidRPr="009C778C">
          <w:rPr>
            <w:rStyle w:val="Hyperlink"/>
            <w:rFonts w:cstheme="minorHAnsi"/>
            <w:sz w:val="24"/>
            <w:szCs w:val="24"/>
          </w:rPr>
          <w:t>Tsang et al., 2016</w:t>
        </w:r>
      </w:hyperlink>
      <w:bookmarkEnd w:id="7"/>
      <w:r w:rsidRPr="009C778C">
        <w:rPr>
          <w:rFonts w:cstheme="minorHAnsi"/>
          <w:sz w:val="24"/>
          <w:szCs w:val="24"/>
        </w:rPr>
        <w:t>). Third, compared to domestic peers, foreign institutional investors have a deeper understanding of a broader set of governance tools due to their global investment experience, and that global knowledge and experience place them in a better position to prod firms to adopt best governance practices (</w:t>
      </w:r>
      <w:hyperlink r:id="rId42" w:anchor="bb0005" w:history="1">
        <w:r w:rsidRPr="009C778C">
          <w:rPr>
            <w:rStyle w:val="Hyperlink"/>
            <w:rFonts w:cstheme="minorHAnsi"/>
            <w:sz w:val="24"/>
            <w:szCs w:val="24"/>
          </w:rPr>
          <w:t>Aggarwal et al., 2011</w:t>
        </w:r>
      </w:hyperlink>
      <w:r w:rsidRPr="009C778C">
        <w:rPr>
          <w:rFonts w:cstheme="minorHAnsi"/>
          <w:sz w:val="24"/>
          <w:szCs w:val="24"/>
        </w:rPr>
        <w:t>). Fourth, because of their sizable and expanding presence in the global capital market, institutional investors are under increasing pressure from various regulators and policy makers to play a more active governance role in their foreign investee companies.</w:t>
      </w:r>
      <w:bookmarkStart w:id="38" w:name="bfn002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"fn0020"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vertAlign w:val="superscript"/>
        </w:rPr>
        <w:t>4</w:t>
      </w:r>
      <w:r w:rsidRPr="009C778C">
        <w:rPr>
          <w:rFonts w:cstheme="minorHAnsi"/>
          <w:sz w:val="24"/>
          <w:szCs w:val="24"/>
        </w:rPr>
        <w:fldChar w:fldCharType="end"/>
      </w:r>
      <w:bookmarkEnd w:id="38"/>
    </w:p>
    <w:p w14:paraId="4335343D" w14:textId="77777777" w:rsidR="009C778C" w:rsidRPr="009C778C" w:rsidRDefault="009C778C" w:rsidP="009C778C">
      <w:pPr>
        <w:rPr>
          <w:rFonts w:cstheme="minorHAnsi"/>
          <w:sz w:val="24"/>
          <w:szCs w:val="24"/>
        </w:rPr>
      </w:pPr>
      <w:r w:rsidRPr="009C778C">
        <w:rPr>
          <w:rFonts w:cstheme="minorHAnsi"/>
          <w:sz w:val="24"/>
          <w:szCs w:val="24"/>
        </w:rPr>
        <w:t>Compared to domestic peers, foreign institutional investors are better able to deploy superior monitoring technologies because they have access to the global talent pool and possess the latest communication and analytical tools (</w:t>
      </w:r>
      <w:proofErr w:type="spellStart"/>
      <w:r>
        <w:fldChar w:fldCharType="begin"/>
      </w:r>
      <w:r>
        <w:instrText>HYPERLINK "https://0-www-sciencedirect-com.libus.csd.mu.edu/science/article/pii/S0929119916300724" \l "bb0200"</w:instrText>
      </w:r>
      <w:r>
        <w:fldChar w:fldCharType="separate"/>
      </w:r>
      <w:r w:rsidRPr="009C778C">
        <w:rPr>
          <w:rStyle w:val="Hyperlink"/>
          <w:rFonts w:cstheme="minorHAnsi"/>
          <w:sz w:val="24"/>
          <w:szCs w:val="24"/>
        </w:rPr>
        <w:t>Grinblatt</w:t>
      </w:r>
      <w:proofErr w:type="spellEnd"/>
      <w:r w:rsidRPr="009C778C">
        <w:rPr>
          <w:rStyle w:val="Hyperlink"/>
          <w:rFonts w:cstheme="minorHAnsi"/>
          <w:sz w:val="24"/>
          <w:szCs w:val="24"/>
        </w:rPr>
        <w:t xml:space="preserve"> and </w:t>
      </w:r>
      <w:proofErr w:type="spellStart"/>
      <w:r w:rsidRPr="009C778C">
        <w:rPr>
          <w:rStyle w:val="Hyperlink"/>
          <w:rFonts w:cstheme="minorHAnsi"/>
          <w:sz w:val="24"/>
          <w:szCs w:val="24"/>
        </w:rPr>
        <w:t>Keloharju</w:t>
      </w:r>
      <w:proofErr w:type="spellEnd"/>
      <w:r w:rsidRPr="009C778C">
        <w:rPr>
          <w:rStyle w:val="Hyperlink"/>
          <w:rFonts w:cstheme="minorHAnsi"/>
          <w:sz w:val="24"/>
          <w:szCs w:val="24"/>
        </w:rPr>
        <w:t>, 2000</w:t>
      </w:r>
      <w:r>
        <w:rPr>
          <w:rStyle w:val="Hyperlink"/>
          <w:rFonts w:cstheme="minorHAnsi"/>
          <w:sz w:val="24"/>
          <w:szCs w:val="24"/>
        </w:rPr>
        <w:fldChar w:fldCharType="end"/>
      </w:r>
      <w:bookmarkEnd w:id="9"/>
      <w:r w:rsidRPr="009C778C">
        <w:rPr>
          <w:rFonts w:cstheme="minorHAnsi"/>
          <w:sz w:val="24"/>
          <w:szCs w:val="24"/>
        </w:rPr>
        <w:t>). We argue that this technological advantage allows foreign institutional investors to perform the governance function more effectively and efficiently for three reasons. First, superior technology reduces the very transaction costs that distance engenders. For example, new technologies such as e-conferencing and e-proxy voting permit long-distance investors to more efficiently participate in </w:t>
      </w:r>
      <w:hyperlink r:id="rId43" w:tooltip="Learn more about shareholder meetings from ScienceDirect's AI-generated Topic Pages" w:history="1">
        <w:r w:rsidRPr="009C778C">
          <w:rPr>
            <w:rStyle w:val="Hyperlink"/>
            <w:rFonts w:cstheme="minorHAnsi"/>
            <w:sz w:val="24"/>
            <w:szCs w:val="24"/>
          </w:rPr>
          <w:t>shareholder meetings</w:t>
        </w:r>
      </w:hyperlink>
      <w:r w:rsidRPr="009C778C">
        <w:rPr>
          <w:rFonts w:cstheme="minorHAnsi"/>
          <w:sz w:val="24"/>
          <w:szCs w:val="24"/>
        </w:rPr>
        <w:t> and exercise voting rights. Second, superior technology enables foreign institutional investors to take advantage of economies of scale, e.g., analyzing common governance issues more efficiently and accurately (</w:t>
      </w:r>
      <w:bookmarkStart w:id="39" w:name="bbb006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"bb0065"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Black and Coffee, 1994</w:t>
      </w:r>
      <w:r w:rsidRPr="009C778C">
        <w:rPr>
          <w:rFonts w:cstheme="minorHAnsi"/>
          <w:sz w:val="24"/>
          <w:szCs w:val="24"/>
        </w:rPr>
        <w:fldChar w:fldCharType="end"/>
      </w:r>
      <w:r w:rsidRPr="009C778C">
        <w:rPr>
          <w:rFonts w:cstheme="minorHAnsi"/>
          <w:sz w:val="24"/>
          <w:szCs w:val="24"/>
        </w:rPr>
        <w:t>). Third, superior technology lowers the costs of coordination among shareholders. Prior studies (e.g., </w:t>
      </w:r>
      <w:hyperlink r:id="rId44" w:anchor="bb0065" w:history="1">
        <w:r w:rsidRPr="009C778C">
          <w:rPr>
            <w:rStyle w:val="Hyperlink"/>
            <w:rFonts w:cstheme="minorHAnsi"/>
            <w:sz w:val="24"/>
            <w:szCs w:val="24"/>
          </w:rPr>
          <w:t>Black and Coffee, 1994</w:t>
        </w:r>
      </w:hyperlink>
      <w:bookmarkEnd w:id="39"/>
      <w:r w:rsidRPr="009C778C">
        <w:rPr>
          <w:rFonts w:cstheme="minorHAnsi"/>
          <w:sz w:val="24"/>
          <w:szCs w:val="24"/>
        </w:rPr>
        <w:t>, </w:t>
      </w:r>
      <w:hyperlink r:id="rId45" w:anchor="bb0175" w:history="1">
        <w:r w:rsidRPr="009C778C">
          <w:rPr>
            <w:rStyle w:val="Hyperlink"/>
            <w:rFonts w:cstheme="minorHAnsi"/>
            <w:sz w:val="24"/>
            <w:szCs w:val="24"/>
          </w:rPr>
          <w:t>Gillan and Starks, 2003</w:t>
        </w:r>
      </w:hyperlink>
      <w:bookmarkEnd w:id="6"/>
      <w:r w:rsidRPr="009C778C">
        <w:rPr>
          <w:rFonts w:cstheme="minorHAnsi"/>
          <w:sz w:val="24"/>
          <w:szCs w:val="24"/>
        </w:rPr>
        <w:t>) show that coordinated activism is more effective than activist campaigns waged by a single investor.</w:t>
      </w:r>
    </w:p>
    <w:p w14:paraId="6B21CDB1" w14:textId="77777777" w:rsidR="009C778C" w:rsidRPr="009C778C" w:rsidRDefault="009C778C" w:rsidP="009C778C">
      <w:pPr>
        <w:rPr>
          <w:rFonts w:cstheme="minorHAnsi"/>
          <w:sz w:val="24"/>
          <w:szCs w:val="24"/>
        </w:rPr>
      </w:pPr>
      <w:r w:rsidRPr="009C778C">
        <w:rPr>
          <w:rFonts w:cstheme="minorHAnsi"/>
          <w:sz w:val="24"/>
          <w:szCs w:val="24"/>
        </w:rPr>
        <w:t>Particularly relevant to our study are </w:t>
      </w:r>
      <w:hyperlink r:id="rId46" w:anchor="bb0150" w:history="1">
        <w:r w:rsidRPr="009C778C">
          <w:rPr>
            <w:rStyle w:val="Hyperlink"/>
            <w:rFonts w:cstheme="minorHAnsi"/>
            <w:sz w:val="24"/>
            <w:szCs w:val="24"/>
          </w:rPr>
          <w:t>Ferreira and Matos (2008)</w:t>
        </w:r>
      </w:hyperlink>
      <w:r w:rsidRPr="009C778C">
        <w:rPr>
          <w:rFonts w:cstheme="minorHAnsi"/>
          <w:sz w:val="24"/>
          <w:szCs w:val="24"/>
        </w:rPr>
        <w:t> and </w:t>
      </w:r>
      <w:hyperlink r:id="rId47" w:anchor="bb0005" w:history="1">
        <w:r w:rsidRPr="009C778C">
          <w:rPr>
            <w:rStyle w:val="Hyperlink"/>
            <w:rFonts w:cstheme="minorHAnsi"/>
            <w:sz w:val="24"/>
            <w:szCs w:val="24"/>
          </w:rPr>
          <w:t>Aggarwal et al. (2011)</w:t>
        </w:r>
      </w:hyperlink>
      <w:r w:rsidRPr="009C778C">
        <w:rPr>
          <w:rFonts w:cstheme="minorHAnsi"/>
          <w:sz w:val="24"/>
          <w:szCs w:val="24"/>
        </w:rPr>
        <w:t>.</w:t>
      </w:r>
      <w:bookmarkStart w:id="40" w:name="bfn002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"fn0025"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vertAlign w:val="superscript"/>
        </w:rPr>
        <w:t>5</w:t>
      </w:r>
      <w:r w:rsidRPr="009C778C">
        <w:rPr>
          <w:rFonts w:cstheme="minorHAnsi"/>
          <w:sz w:val="24"/>
          <w:szCs w:val="24"/>
        </w:rPr>
        <w:fldChar w:fldCharType="end"/>
      </w:r>
      <w:bookmarkEnd w:id="40"/>
      <w:r w:rsidRPr="009C778C">
        <w:rPr>
          <w:rFonts w:cstheme="minorHAnsi"/>
          <w:sz w:val="24"/>
          <w:szCs w:val="24"/>
        </w:rPr>
        <w:t> </w:t>
      </w:r>
      <w:hyperlink r:id="rId48" w:anchor="bb0150" w:history="1">
        <w:r w:rsidRPr="009C778C">
          <w:rPr>
            <w:rStyle w:val="Hyperlink"/>
            <w:rFonts w:cstheme="minorHAnsi"/>
            <w:sz w:val="24"/>
            <w:szCs w:val="24"/>
          </w:rPr>
          <w:t>Ferreira and Matos (2008)</w:t>
        </w:r>
      </w:hyperlink>
      <w:r w:rsidRPr="009C778C">
        <w:rPr>
          <w:rFonts w:cstheme="minorHAnsi"/>
          <w:sz w:val="24"/>
          <w:szCs w:val="24"/>
        </w:rPr>
        <w:t> find that firm value is more positively associated with foreign, rather than domestic, institutional ownership. </w:t>
      </w:r>
      <w:hyperlink r:id="rId49" w:anchor="bb0005" w:history="1">
        <w:r w:rsidRPr="009C778C">
          <w:rPr>
            <w:rStyle w:val="Hyperlink"/>
            <w:rFonts w:cstheme="minorHAnsi"/>
            <w:sz w:val="24"/>
            <w:szCs w:val="24"/>
          </w:rPr>
          <w:t>Aggarwal et al. (2011)</w:t>
        </w:r>
      </w:hyperlink>
      <w:r w:rsidRPr="009C778C">
        <w:rPr>
          <w:rFonts w:cstheme="minorHAnsi"/>
          <w:sz w:val="24"/>
          <w:szCs w:val="24"/>
        </w:rPr>
        <w:t> find that foreign, but not domestic, institutional investors affect a wide range of corporate governance attributes. Based on the prior literature, we propose the following hypothesis:</w:t>
      </w:r>
    </w:p>
    <w:p w14:paraId="0ADCEEB9" w14:textId="77777777" w:rsidR="009C778C" w:rsidRPr="009C778C" w:rsidRDefault="009C778C" w:rsidP="001A7C2C">
      <w:pPr>
        <w:pStyle w:val="Heading2"/>
      </w:pPr>
      <w:r w:rsidRPr="009C778C">
        <w:t>H2</w:t>
      </w:r>
    </w:p>
    <w:p w14:paraId="58BEE694" w14:textId="77777777" w:rsidR="009C778C" w:rsidRPr="009C778C" w:rsidRDefault="009C778C" w:rsidP="009C778C">
      <w:pPr>
        <w:rPr>
          <w:rFonts w:cstheme="minorHAnsi"/>
          <w:sz w:val="24"/>
          <w:szCs w:val="24"/>
        </w:rPr>
      </w:pPr>
      <w:r w:rsidRPr="009C778C">
        <w:rPr>
          <w:rFonts w:cstheme="minorHAnsi"/>
          <w:sz w:val="24"/>
          <w:szCs w:val="24"/>
        </w:rPr>
        <w:t>(Global Investor Hypothesis): Because of their proclivity toward activism and ability to deploy superior monitoring technologies, foreign institutional investors have a comparative advantage over their domestic peers in constraining earnings management.</w:t>
      </w:r>
    </w:p>
    <w:p w14:paraId="2EA09E86" w14:textId="77777777" w:rsidR="009C778C" w:rsidRPr="009C778C" w:rsidRDefault="009C778C" w:rsidP="009C778C">
      <w:pPr>
        <w:rPr>
          <w:rFonts w:cstheme="minorHAnsi"/>
          <w:sz w:val="24"/>
          <w:szCs w:val="24"/>
        </w:rPr>
      </w:pPr>
      <w:r w:rsidRPr="009C778C">
        <w:rPr>
          <w:rFonts w:cstheme="minorHAnsi"/>
          <w:sz w:val="24"/>
          <w:szCs w:val="24"/>
        </w:rPr>
        <w:t>The argument of proclivity toward activism is built upon the premise that foreign institutional investors have a greater incentive and willingness to monitor than their domestic peers. This inclination to monitor should be stronger in an environment of higher agency costs or weaker governance controls (</w:t>
      </w:r>
      <w:proofErr w:type="spellStart"/>
      <w:r>
        <w:fldChar w:fldCharType="begin"/>
      </w:r>
      <w:r>
        <w:instrText>HYPERLINK "https://0-www-sciencedirect-com.libus.csd.mu.edu/science/article/pii/S0929119916300724" \l "bb0275"</w:instrText>
      </w:r>
      <w:r>
        <w:fldChar w:fldCharType="separate"/>
      </w:r>
      <w:r w:rsidRPr="009C778C">
        <w:rPr>
          <w:rStyle w:val="Hyperlink"/>
          <w:rFonts w:cstheme="minorHAnsi"/>
          <w:sz w:val="24"/>
          <w:szCs w:val="24"/>
        </w:rPr>
        <w:t>Linck</w:t>
      </w:r>
      <w:proofErr w:type="spellEnd"/>
      <w:r w:rsidRPr="009C778C">
        <w:rPr>
          <w:rStyle w:val="Hyperlink"/>
          <w:rFonts w:cstheme="minorHAnsi"/>
          <w:sz w:val="24"/>
          <w:szCs w:val="24"/>
        </w:rPr>
        <w:t xml:space="preserve"> et al., 2008</w:t>
      </w:r>
      <w:r>
        <w:rPr>
          <w:rStyle w:val="Hyperlink"/>
          <w:rFonts w:cstheme="minorHAnsi"/>
          <w:sz w:val="24"/>
          <w:szCs w:val="24"/>
        </w:rPr>
        <w:fldChar w:fldCharType="end"/>
      </w:r>
      <w:r w:rsidRPr="009C778C">
        <w:rPr>
          <w:rFonts w:cstheme="minorHAnsi"/>
          <w:sz w:val="24"/>
          <w:szCs w:val="24"/>
        </w:rPr>
        <w:t>, </w:t>
      </w:r>
      <w:hyperlink r:id="rId50" w:anchor="bb0005" w:history="1">
        <w:r w:rsidRPr="009C778C">
          <w:rPr>
            <w:rStyle w:val="Hyperlink"/>
            <w:rFonts w:cstheme="minorHAnsi"/>
            <w:sz w:val="24"/>
            <w:szCs w:val="24"/>
          </w:rPr>
          <w:t>Aggarwal et al., 2011</w:t>
        </w:r>
      </w:hyperlink>
      <w:r w:rsidRPr="009C778C">
        <w:rPr>
          <w:rFonts w:cstheme="minorHAnsi"/>
          <w:sz w:val="24"/>
          <w:szCs w:val="24"/>
        </w:rPr>
        <w:t>). Therefore, we propose the following corollary of </w:t>
      </w:r>
      <w:bookmarkStart w:id="41" w:name="ben002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"en0020"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H2</w:t>
      </w:r>
      <w:r w:rsidRPr="009C778C">
        <w:rPr>
          <w:rFonts w:cstheme="minorHAnsi"/>
          <w:sz w:val="24"/>
          <w:szCs w:val="24"/>
        </w:rPr>
        <w:fldChar w:fldCharType="end"/>
      </w:r>
      <w:r w:rsidRPr="009C778C">
        <w:rPr>
          <w:rFonts w:cstheme="minorHAnsi"/>
          <w:sz w:val="24"/>
          <w:szCs w:val="24"/>
        </w:rPr>
        <w:t>:</w:t>
      </w:r>
    </w:p>
    <w:p w14:paraId="62EE3D97" w14:textId="77777777" w:rsidR="009C778C" w:rsidRPr="009C778C" w:rsidRDefault="009C778C" w:rsidP="001A7C2C">
      <w:pPr>
        <w:pStyle w:val="Heading3"/>
      </w:pPr>
      <w:r w:rsidRPr="009C778C">
        <w:t>H2a</w:t>
      </w:r>
    </w:p>
    <w:p w14:paraId="68BDAB8F" w14:textId="77777777" w:rsidR="009C778C" w:rsidRPr="009C778C" w:rsidRDefault="009C778C" w:rsidP="009C778C">
      <w:pPr>
        <w:rPr>
          <w:rFonts w:cstheme="minorHAnsi"/>
          <w:sz w:val="24"/>
          <w:szCs w:val="24"/>
        </w:rPr>
      </w:pPr>
      <w:r w:rsidRPr="009C778C">
        <w:rPr>
          <w:rFonts w:cstheme="minorHAnsi"/>
          <w:sz w:val="24"/>
          <w:szCs w:val="24"/>
        </w:rPr>
        <w:t xml:space="preserve">The comparative advantage of foreign institutional investors over their domestic peers in curbing earnings management is larger when agency problems are more </w:t>
      </w:r>
      <w:proofErr w:type="gramStart"/>
      <w:r w:rsidRPr="009C778C">
        <w:rPr>
          <w:rFonts w:cstheme="minorHAnsi"/>
          <w:sz w:val="24"/>
          <w:szCs w:val="24"/>
        </w:rPr>
        <w:t>severe</w:t>
      </w:r>
      <w:proofErr w:type="gramEnd"/>
      <w:r w:rsidRPr="009C778C">
        <w:rPr>
          <w:rFonts w:cstheme="minorHAnsi"/>
          <w:sz w:val="24"/>
          <w:szCs w:val="24"/>
        </w:rPr>
        <w:t xml:space="preserve"> or governance controls are weaker.</w:t>
      </w:r>
    </w:p>
    <w:p w14:paraId="4F6B87C2" w14:textId="77777777" w:rsidR="009C778C" w:rsidRPr="009C778C" w:rsidRDefault="009C778C" w:rsidP="009C778C">
      <w:pPr>
        <w:rPr>
          <w:rFonts w:cstheme="minorHAnsi"/>
          <w:sz w:val="24"/>
          <w:szCs w:val="24"/>
        </w:rPr>
      </w:pPr>
      <w:r w:rsidRPr="009C778C">
        <w:rPr>
          <w:rFonts w:cstheme="minorHAnsi"/>
          <w:sz w:val="24"/>
          <w:szCs w:val="24"/>
        </w:rPr>
        <w:t>As superior monitoring technology is the other key driver behind the comparative monitoring advantage of foreign institutional investors (</w:t>
      </w:r>
      <w:bookmarkStart w:id="42" w:name="bbb0285"/>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"bb0285"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Miletkov</w:t>
      </w:r>
      <w:proofErr w:type="spellEnd"/>
      <w:r w:rsidRPr="009C778C">
        <w:rPr>
          <w:rStyle w:val="Hyperlink"/>
          <w:rFonts w:cstheme="minorHAnsi"/>
          <w:sz w:val="24"/>
          <w:szCs w:val="24"/>
        </w:rPr>
        <w:t xml:space="preserve"> et al., 2016</w:t>
      </w:r>
      <w:r w:rsidRPr="009C778C">
        <w:rPr>
          <w:rFonts w:cstheme="minorHAnsi"/>
          <w:sz w:val="24"/>
          <w:szCs w:val="24"/>
        </w:rPr>
        <w:fldChar w:fldCharType="end"/>
      </w:r>
      <w:r w:rsidRPr="009C778C">
        <w:rPr>
          <w:rFonts w:cstheme="minorHAnsi"/>
          <w:sz w:val="24"/>
          <w:szCs w:val="24"/>
        </w:rPr>
        <w:t>), we propose the following corollary of </w:t>
      </w:r>
      <w:hyperlink r:id="rId51" w:anchor="en0020" w:history="1">
        <w:r w:rsidRPr="009C778C">
          <w:rPr>
            <w:rStyle w:val="Hyperlink"/>
            <w:rFonts w:cstheme="minorHAnsi"/>
            <w:sz w:val="24"/>
            <w:szCs w:val="24"/>
          </w:rPr>
          <w:t>H2</w:t>
        </w:r>
      </w:hyperlink>
      <w:r w:rsidRPr="009C778C">
        <w:rPr>
          <w:rFonts w:cstheme="minorHAnsi"/>
          <w:sz w:val="24"/>
          <w:szCs w:val="24"/>
        </w:rPr>
        <w:t>:</w:t>
      </w:r>
    </w:p>
    <w:p w14:paraId="6B43EC26" w14:textId="77777777" w:rsidR="009C778C" w:rsidRPr="009C778C" w:rsidRDefault="009C778C" w:rsidP="001A7C2C">
      <w:pPr>
        <w:pStyle w:val="Heading3"/>
      </w:pPr>
      <w:r w:rsidRPr="009C778C">
        <w:t>H2b</w:t>
      </w:r>
    </w:p>
    <w:p w14:paraId="27C7635E" w14:textId="77777777" w:rsidR="009C778C" w:rsidRPr="009C778C" w:rsidRDefault="009C778C" w:rsidP="009C778C">
      <w:pPr>
        <w:rPr>
          <w:rFonts w:cstheme="minorHAnsi"/>
          <w:sz w:val="24"/>
          <w:szCs w:val="24"/>
        </w:rPr>
      </w:pPr>
      <w:r w:rsidRPr="009C778C">
        <w:rPr>
          <w:rFonts w:cstheme="minorHAnsi"/>
          <w:sz w:val="24"/>
          <w:szCs w:val="24"/>
        </w:rPr>
        <w:t>The comparative advantage of foreign institutional investors over their domestic peers in curbing earnings management is larger when the gap in monitoring technology between them and their domestic peers is bigger.</w:t>
      </w:r>
    </w:p>
    <w:p w14:paraId="273BE6D7" w14:textId="77777777" w:rsidR="009C778C" w:rsidRPr="009C778C" w:rsidRDefault="009C778C" w:rsidP="001A7C2C">
      <w:pPr>
        <w:pStyle w:val="Heading1"/>
      </w:pPr>
      <w:r w:rsidRPr="009C778C">
        <w:t>3. Data and methodology</w:t>
      </w:r>
    </w:p>
    <w:p w14:paraId="401389D7" w14:textId="77777777" w:rsidR="009C778C" w:rsidRPr="009C778C" w:rsidRDefault="009C778C" w:rsidP="001A7C2C">
      <w:pPr>
        <w:pStyle w:val="Heading2"/>
      </w:pPr>
      <w:r w:rsidRPr="009C778C">
        <w:t>3.1. Sample collection</w:t>
      </w:r>
    </w:p>
    <w:p w14:paraId="489BDEBD" w14:textId="77777777" w:rsidR="009C778C" w:rsidRPr="009C778C" w:rsidRDefault="009C778C" w:rsidP="009C778C">
      <w:pPr>
        <w:rPr>
          <w:rFonts w:cstheme="minorHAnsi"/>
          <w:sz w:val="24"/>
          <w:szCs w:val="24"/>
        </w:rPr>
      </w:pPr>
      <w:r w:rsidRPr="009C778C">
        <w:rPr>
          <w:rFonts w:cstheme="minorHAnsi"/>
          <w:sz w:val="24"/>
          <w:szCs w:val="24"/>
        </w:rPr>
        <w:t>Institutional ownership comes from FactSet, which is a leading provider of a broad spectrum of global data including financial, price, and governance data (</w:t>
      </w:r>
      <w:hyperlink r:id="rId52" w:tgtFrame="_blank" w:history="1">
        <w:r w:rsidRPr="009C778C">
          <w:rPr>
            <w:rStyle w:val="Hyperlink"/>
            <w:rFonts w:cstheme="minorHAnsi"/>
            <w:sz w:val="24"/>
            <w:szCs w:val="24"/>
          </w:rPr>
          <w:t>http://www.factset.com</w:t>
        </w:r>
      </w:hyperlink>
      <w:r w:rsidRPr="009C778C">
        <w:rPr>
          <w:rFonts w:cstheme="minorHAnsi"/>
          <w:sz w:val="24"/>
          <w:szCs w:val="24"/>
        </w:rPr>
        <w:t>/). We follow </w:t>
      </w:r>
      <w:hyperlink r:id="rId53" w:anchor="bb0150" w:history="1">
        <w:r w:rsidRPr="009C778C">
          <w:rPr>
            <w:rStyle w:val="Hyperlink"/>
            <w:rFonts w:cstheme="minorHAnsi"/>
            <w:sz w:val="24"/>
            <w:szCs w:val="24"/>
          </w:rPr>
          <w:t>Ferreira and Matos (2008)</w:t>
        </w:r>
      </w:hyperlink>
      <w:r w:rsidRPr="009C778C">
        <w:rPr>
          <w:rFonts w:cstheme="minorHAnsi"/>
          <w:sz w:val="24"/>
          <w:szCs w:val="24"/>
        </w:rPr>
        <w:t> in extracting the institutional ownership data from FactSet. We include in the sample all non-U.S. and non-financial firms. We collect accounting and stock price data from the COMPUSTAT Global database. Countries with less than 100 firm-year observations are excluded from the sample (</w:t>
      </w:r>
      <w:bookmarkStart w:id="43" w:name="bbb021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"bb0215"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Huang, 2000</w:t>
      </w:r>
      <w:r w:rsidRPr="009C778C">
        <w:rPr>
          <w:rFonts w:cstheme="minorHAnsi"/>
          <w:sz w:val="24"/>
          <w:szCs w:val="24"/>
        </w:rPr>
        <w:fldChar w:fldCharType="end"/>
      </w:r>
      <w:bookmarkEnd w:id="43"/>
      <w:r w:rsidRPr="009C778C">
        <w:rPr>
          <w:rFonts w:cstheme="minorHAnsi"/>
          <w:sz w:val="24"/>
          <w:szCs w:val="24"/>
        </w:rPr>
        <w:t>). After meeting the necessary data requirements, the final sample is an unbalanced panel of 66,286 firm-year observations from 2001 to 2013, including 11,403 firms, 2,724 institutional investors, and 29 countries.</w:t>
      </w:r>
    </w:p>
    <w:p w14:paraId="1EBCC623" w14:textId="77777777" w:rsidR="009C778C" w:rsidRPr="009C778C" w:rsidRDefault="009C778C" w:rsidP="001A7C2C">
      <w:pPr>
        <w:pStyle w:val="Heading2"/>
      </w:pPr>
      <w:r w:rsidRPr="009C778C">
        <w:t>3.2. Institutional ownership variables</w:t>
      </w:r>
    </w:p>
    <w:p w14:paraId="4B09FF83" w14:textId="77777777" w:rsidR="009C778C" w:rsidRPr="009C778C" w:rsidRDefault="009C778C" w:rsidP="009C778C">
      <w:pPr>
        <w:rPr>
          <w:rFonts w:cstheme="minorHAnsi"/>
          <w:sz w:val="24"/>
          <w:szCs w:val="24"/>
        </w:rPr>
      </w:pPr>
      <w:r w:rsidRPr="009C778C">
        <w:rPr>
          <w:rFonts w:cstheme="minorHAnsi"/>
          <w:sz w:val="24"/>
          <w:szCs w:val="24"/>
        </w:rPr>
        <w:t>We use three main variables to measure institutional stockholdings: total, domestic, and foreign institutional ownership. Following </w:t>
      </w:r>
      <w:hyperlink r:id="rId54" w:anchor="bb0150" w:history="1">
        <w:r w:rsidRPr="009C778C">
          <w:rPr>
            <w:rStyle w:val="Hyperlink"/>
            <w:rFonts w:cstheme="minorHAnsi"/>
            <w:sz w:val="24"/>
            <w:szCs w:val="24"/>
          </w:rPr>
          <w:t>Ferreira and Matos (2008)</w:t>
        </w:r>
      </w:hyperlink>
      <w:r w:rsidRPr="009C778C">
        <w:rPr>
          <w:rFonts w:cstheme="minorHAnsi"/>
          <w:sz w:val="24"/>
          <w:szCs w:val="24"/>
        </w:rPr>
        <w:t>, total institutional ownership (</w:t>
      </w:r>
      <w:r w:rsidRPr="009C778C">
        <w:rPr>
          <w:rFonts w:cstheme="minorHAnsi"/>
          <w:i/>
          <w:iCs/>
          <w:sz w:val="24"/>
          <w:szCs w:val="24"/>
        </w:rPr>
        <w:t>TOTAL</w:t>
      </w:r>
      <w:r w:rsidRPr="009C778C">
        <w:rPr>
          <w:rFonts w:cstheme="minorHAnsi"/>
          <w:sz w:val="24"/>
          <w:szCs w:val="24"/>
        </w:rPr>
        <w:t>) is defined as the percent of stockholdings by all institutional investors; domestic institutional ownership (</w:t>
      </w:r>
      <w:r w:rsidRPr="009C778C">
        <w:rPr>
          <w:rFonts w:cstheme="minorHAnsi"/>
          <w:i/>
          <w:iCs/>
          <w:sz w:val="24"/>
          <w:szCs w:val="24"/>
        </w:rPr>
        <w:t>DOMESTIC</w:t>
      </w:r>
      <w:r w:rsidRPr="009C778C">
        <w:rPr>
          <w:rFonts w:cstheme="minorHAnsi"/>
          <w:sz w:val="24"/>
          <w:szCs w:val="24"/>
        </w:rPr>
        <w:t>) is the percent of stockholdings by all institutional investors domiciled in the same country in which the stock is issued; foreign institutional ownership (</w:t>
      </w:r>
      <w:r w:rsidRPr="009C778C">
        <w:rPr>
          <w:rFonts w:cstheme="minorHAnsi"/>
          <w:i/>
          <w:iCs/>
          <w:sz w:val="24"/>
          <w:szCs w:val="24"/>
        </w:rPr>
        <w:t>FOREIGN</w:t>
      </w:r>
      <w:r w:rsidRPr="009C778C">
        <w:rPr>
          <w:rFonts w:cstheme="minorHAnsi"/>
          <w:sz w:val="24"/>
          <w:szCs w:val="24"/>
        </w:rPr>
        <w:t>) is defined as the percent of stockholdings by all institutional investors domiciled in a country different from the country in which the stock is issued. Following </w:t>
      </w:r>
      <w:bookmarkStart w:id="44" w:name="bbb018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"bb0180"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 xml:space="preserve">Gompers and </w:t>
      </w:r>
      <w:proofErr w:type="spellStart"/>
      <w:r w:rsidRPr="009C778C">
        <w:rPr>
          <w:rStyle w:val="Hyperlink"/>
          <w:rFonts w:cstheme="minorHAnsi"/>
          <w:sz w:val="24"/>
          <w:szCs w:val="24"/>
        </w:rPr>
        <w:t>Metrick</w:t>
      </w:r>
      <w:proofErr w:type="spellEnd"/>
      <w:r w:rsidRPr="009C778C">
        <w:rPr>
          <w:rStyle w:val="Hyperlink"/>
          <w:rFonts w:cstheme="minorHAnsi"/>
          <w:sz w:val="24"/>
          <w:szCs w:val="24"/>
        </w:rPr>
        <w:t xml:space="preserve"> (2001)</w:t>
      </w:r>
      <w:r w:rsidRPr="009C778C">
        <w:rPr>
          <w:rFonts w:cstheme="minorHAnsi"/>
          <w:sz w:val="24"/>
          <w:szCs w:val="24"/>
        </w:rPr>
        <w:fldChar w:fldCharType="end"/>
      </w:r>
      <w:bookmarkEnd w:id="44"/>
      <w:r w:rsidRPr="009C778C">
        <w:rPr>
          <w:rFonts w:cstheme="minorHAnsi"/>
          <w:sz w:val="24"/>
          <w:szCs w:val="24"/>
        </w:rPr>
        <w:t> and </w:t>
      </w:r>
      <w:hyperlink r:id="rId55" w:anchor="bb0150" w:history="1">
        <w:r w:rsidRPr="009C778C">
          <w:rPr>
            <w:rStyle w:val="Hyperlink"/>
            <w:rFonts w:cstheme="minorHAnsi"/>
            <w:sz w:val="24"/>
            <w:szCs w:val="24"/>
          </w:rPr>
          <w:t>Ferreira and Matos (2008)</w:t>
        </w:r>
      </w:hyperlink>
      <w:r w:rsidRPr="009C778C">
        <w:rPr>
          <w:rFonts w:cstheme="minorHAnsi"/>
          <w:sz w:val="24"/>
          <w:szCs w:val="24"/>
        </w:rPr>
        <w:t>, we calculate institutional ownership at the end of a calendar year and set the value to zero if a stock is not held by any institution in the FactSet database.</w:t>
      </w:r>
    </w:p>
    <w:p w14:paraId="599C136A" w14:textId="77777777" w:rsidR="009C778C" w:rsidRPr="009C778C" w:rsidRDefault="009C778C" w:rsidP="001A7C2C">
      <w:pPr>
        <w:pStyle w:val="Heading2"/>
      </w:pPr>
      <w:r w:rsidRPr="009C778C">
        <w:t>3.3. Earnings management measures</w:t>
      </w:r>
    </w:p>
    <w:p w14:paraId="53A1A6A5" w14:textId="77777777" w:rsidR="009C778C" w:rsidRPr="009C778C" w:rsidRDefault="009C778C" w:rsidP="009C778C">
      <w:pPr>
        <w:rPr>
          <w:rFonts w:cstheme="minorHAnsi"/>
          <w:sz w:val="24"/>
          <w:szCs w:val="24"/>
        </w:rPr>
      </w:pPr>
      <w:r w:rsidRPr="009C778C">
        <w:rPr>
          <w:rFonts w:cstheme="minorHAnsi"/>
          <w:sz w:val="24"/>
          <w:szCs w:val="24"/>
        </w:rPr>
        <w:t>Following the literature, we construct three measures of earnings management: (1) performance-adjusted accruals (</w:t>
      </w:r>
      <w:r w:rsidRPr="009C778C">
        <w:rPr>
          <w:rFonts w:cstheme="minorHAnsi"/>
          <w:i/>
          <w:iCs/>
          <w:sz w:val="24"/>
          <w:szCs w:val="24"/>
        </w:rPr>
        <w:t>EM1</w:t>
      </w:r>
      <w:r w:rsidRPr="009C778C">
        <w:rPr>
          <w:rFonts w:cstheme="minorHAnsi"/>
          <w:sz w:val="24"/>
          <w:szCs w:val="24"/>
        </w:rPr>
        <w:t>) based on the method used in </w:t>
      </w:r>
      <w:bookmarkStart w:id="45" w:name="bbb009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"bb0095"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Chaney et al. (2011)</w:t>
      </w:r>
      <w:r w:rsidRPr="009C778C">
        <w:rPr>
          <w:rFonts w:cstheme="minorHAnsi"/>
          <w:sz w:val="24"/>
          <w:szCs w:val="24"/>
        </w:rPr>
        <w:fldChar w:fldCharType="end"/>
      </w:r>
      <w:r w:rsidRPr="009C778C">
        <w:rPr>
          <w:rFonts w:cstheme="minorHAnsi"/>
          <w:sz w:val="24"/>
          <w:szCs w:val="24"/>
        </w:rPr>
        <w:t> and </w:t>
      </w:r>
      <w:bookmarkStart w:id="46" w:name="bbb002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"bb0020"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Ashbaugh et al. (2003)</w:t>
      </w:r>
      <w:r w:rsidRPr="009C778C">
        <w:rPr>
          <w:rFonts w:cstheme="minorHAnsi"/>
          <w:sz w:val="24"/>
          <w:szCs w:val="24"/>
        </w:rPr>
        <w:fldChar w:fldCharType="end"/>
      </w:r>
      <w:r w:rsidRPr="009C778C">
        <w:rPr>
          <w:rFonts w:cstheme="minorHAnsi"/>
          <w:sz w:val="24"/>
          <w:szCs w:val="24"/>
        </w:rPr>
        <w:t>; (2) accruals (</w:t>
      </w:r>
      <w:r w:rsidRPr="009C778C">
        <w:rPr>
          <w:rFonts w:cstheme="minorHAnsi"/>
          <w:i/>
          <w:iCs/>
          <w:sz w:val="24"/>
          <w:szCs w:val="24"/>
        </w:rPr>
        <w:t>EM2</w:t>
      </w:r>
      <w:r w:rsidRPr="009C778C">
        <w:rPr>
          <w:rFonts w:cstheme="minorHAnsi"/>
          <w:sz w:val="24"/>
          <w:szCs w:val="24"/>
        </w:rPr>
        <w:t>) based on the piecewise-linear model developed by </w:t>
      </w:r>
      <w:bookmarkStart w:id="47" w:name="bbb004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"bb0040"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 xml:space="preserve">Ball and </w:t>
      </w:r>
      <w:proofErr w:type="spellStart"/>
      <w:r w:rsidRPr="009C778C">
        <w:rPr>
          <w:rStyle w:val="Hyperlink"/>
          <w:rFonts w:cstheme="minorHAnsi"/>
          <w:sz w:val="24"/>
          <w:szCs w:val="24"/>
        </w:rPr>
        <w:t>Shivakumar</w:t>
      </w:r>
      <w:proofErr w:type="spellEnd"/>
      <w:r w:rsidRPr="009C778C">
        <w:rPr>
          <w:rStyle w:val="Hyperlink"/>
          <w:rFonts w:cstheme="minorHAnsi"/>
          <w:sz w:val="24"/>
          <w:szCs w:val="24"/>
        </w:rPr>
        <w:t xml:space="preserve"> (2006)</w:t>
      </w:r>
      <w:r w:rsidRPr="009C778C">
        <w:rPr>
          <w:rFonts w:cstheme="minorHAnsi"/>
          <w:sz w:val="24"/>
          <w:szCs w:val="24"/>
        </w:rPr>
        <w:fldChar w:fldCharType="end"/>
      </w:r>
      <w:r w:rsidRPr="009C778C">
        <w:rPr>
          <w:rFonts w:cstheme="minorHAnsi"/>
          <w:sz w:val="24"/>
          <w:szCs w:val="24"/>
        </w:rPr>
        <w:t> that incorporates asymmetrically timely recognition of economic gains and losses; and (3) the magnitude of accruals (</w:t>
      </w:r>
      <w:r w:rsidRPr="009C778C">
        <w:rPr>
          <w:rFonts w:cstheme="minorHAnsi"/>
          <w:i/>
          <w:iCs/>
          <w:sz w:val="24"/>
          <w:szCs w:val="24"/>
        </w:rPr>
        <w:t>EM3</w:t>
      </w:r>
      <w:r w:rsidRPr="009C778C">
        <w:rPr>
          <w:rFonts w:cstheme="minorHAnsi"/>
          <w:sz w:val="24"/>
          <w:szCs w:val="24"/>
        </w:rPr>
        <w:t>) used in </w:t>
      </w:r>
      <w:bookmarkStart w:id="48" w:name="bbb027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"bb0270"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Leuz</w:t>
      </w:r>
      <w:proofErr w:type="spellEnd"/>
      <w:r w:rsidRPr="009C778C">
        <w:rPr>
          <w:rStyle w:val="Hyperlink"/>
          <w:rFonts w:cstheme="minorHAnsi"/>
          <w:sz w:val="24"/>
          <w:szCs w:val="24"/>
        </w:rPr>
        <w:t xml:space="preserve"> et al. (2003)</w:t>
      </w:r>
      <w:r w:rsidRPr="009C778C">
        <w:rPr>
          <w:rFonts w:cstheme="minorHAnsi"/>
          <w:sz w:val="24"/>
          <w:szCs w:val="24"/>
        </w:rPr>
        <w:fldChar w:fldCharType="end"/>
      </w:r>
      <w:r w:rsidRPr="009C778C">
        <w:rPr>
          <w:rFonts w:cstheme="minorHAnsi"/>
          <w:sz w:val="24"/>
          <w:szCs w:val="24"/>
        </w:rPr>
        <w:t> and </w:t>
      </w:r>
      <w:bookmarkStart w:id="49" w:name="bbb018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"bb0185"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Gopalan and Jayaraman (2012)</w:t>
      </w:r>
      <w:r w:rsidRPr="009C778C">
        <w:rPr>
          <w:rFonts w:cstheme="minorHAnsi"/>
          <w:sz w:val="24"/>
          <w:szCs w:val="24"/>
        </w:rPr>
        <w:fldChar w:fldCharType="end"/>
      </w:r>
      <w:r w:rsidRPr="009C778C">
        <w:rPr>
          <w:rFonts w:cstheme="minorHAnsi"/>
          <w:sz w:val="24"/>
          <w:szCs w:val="24"/>
        </w:rPr>
        <w:t> that measures the extent to which insiders exercise discretion in reporting earnings.</w:t>
      </w:r>
    </w:p>
    <w:p w14:paraId="7B82D94F" w14:textId="77777777" w:rsidR="009C778C" w:rsidRPr="009C778C" w:rsidRDefault="009C778C" w:rsidP="009C778C">
      <w:pPr>
        <w:rPr>
          <w:rFonts w:cstheme="minorHAnsi"/>
          <w:sz w:val="24"/>
          <w:szCs w:val="24"/>
        </w:rPr>
      </w:pPr>
      <w:r w:rsidRPr="009C778C">
        <w:rPr>
          <w:rFonts w:cstheme="minorHAnsi"/>
          <w:sz w:val="24"/>
          <w:szCs w:val="24"/>
        </w:rPr>
        <w:t>For a more tractable presentation of our regression results, we follow the literature (</w:t>
      </w:r>
      <w:proofErr w:type="spellStart"/>
      <w:r>
        <w:fldChar w:fldCharType="begin"/>
      </w:r>
      <w:r>
        <w:instrText>HYPERLINK "https://0-www-sciencedirect-com.libus.csd.mu.edu/science/article/pii/S0929119916300724" \l "bb0270"</w:instrText>
      </w:r>
      <w:r>
        <w:fldChar w:fldCharType="separate"/>
      </w:r>
      <w:r w:rsidRPr="009C778C">
        <w:rPr>
          <w:rStyle w:val="Hyperlink"/>
          <w:rFonts w:cstheme="minorHAnsi"/>
          <w:sz w:val="24"/>
          <w:szCs w:val="24"/>
        </w:rPr>
        <w:t>Leuz</w:t>
      </w:r>
      <w:proofErr w:type="spellEnd"/>
      <w:r w:rsidRPr="009C778C">
        <w:rPr>
          <w:rStyle w:val="Hyperlink"/>
          <w:rFonts w:cstheme="minorHAnsi"/>
          <w:sz w:val="24"/>
          <w:szCs w:val="24"/>
        </w:rPr>
        <w:t xml:space="preserve"> et al., 2003</w:t>
      </w:r>
      <w:r>
        <w:rPr>
          <w:rStyle w:val="Hyperlink"/>
          <w:rFonts w:cstheme="minorHAnsi"/>
          <w:sz w:val="24"/>
          <w:szCs w:val="24"/>
        </w:rPr>
        <w:fldChar w:fldCharType="end"/>
      </w:r>
      <w:r w:rsidRPr="009C778C">
        <w:rPr>
          <w:rFonts w:cstheme="minorHAnsi"/>
          <w:sz w:val="24"/>
          <w:szCs w:val="24"/>
        </w:rPr>
        <w:t>, </w:t>
      </w:r>
      <w:hyperlink r:id="rId56" w:anchor="bb0185" w:history="1">
        <w:r w:rsidRPr="009C778C">
          <w:rPr>
            <w:rStyle w:val="Hyperlink"/>
            <w:rFonts w:cstheme="minorHAnsi"/>
            <w:sz w:val="24"/>
            <w:szCs w:val="24"/>
          </w:rPr>
          <w:t>Gopalan and Jayaraman, 2012</w:t>
        </w:r>
      </w:hyperlink>
      <w:r w:rsidRPr="009C778C">
        <w:rPr>
          <w:rFonts w:cstheme="minorHAnsi"/>
          <w:sz w:val="24"/>
          <w:szCs w:val="24"/>
        </w:rPr>
        <w:t>) and construct a composite measure of earnings management (</w:t>
      </w:r>
      <w:r w:rsidRPr="009C778C">
        <w:rPr>
          <w:rFonts w:cstheme="minorHAnsi"/>
          <w:i/>
          <w:iCs/>
          <w:sz w:val="24"/>
          <w:szCs w:val="24"/>
        </w:rPr>
        <w:t>Agg. EM</w:t>
      </w:r>
      <w:r w:rsidRPr="009C778C">
        <w:rPr>
          <w:rFonts w:cstheme="minorHAnsi"/>
          <w:sz w:val="24"/>
          <w:szCs w:val="24"/>
        </w:rPr>
        <w:t>) by combining </w:t>
      </w:r>
      <w:r w:rsidRPr="009C778C">
        <w:rPr>
          <w:rFonts w:cstheme="minorHAnsi"/>
          <w:i/>
          <w:iCs/>
          <w:sz w:val="24"/>
          <w:szCs w:val="24"/>
        </w:rPr>
        <w:t>EM1</w:t>
      </w:r>
      <w:r w:rsidRPr="009C778C">
        <w:rPr>
          <w:rFonts w:cstheme="minorHAnsi"/>
          <w:sz w:val="24"/>
          <w:szCs w:val="24"/>
        </w:rPr>
        <w:t>, </w:t>
      </w:r>
      <w:r w:rsidRPr="009C778C">
        <w:rPr>
          <w:rFonts w:cstheme="minorHAnsi"/>
          <w:i/>
          <w:iCs/>
          <w:sz w:val="24"/>
          <w:szCs w:val="24"/>
        </w:rPr>
        <w:t>EM2</w:t>
      </w:r>
      <w:r w:rsidRPr="009C778C">
        <w:rPr>
          <w:rFonts w:cstheme="minorHAnsi"/>
          <w:sz w:val="24"/>
          <w:szCs w:val="24"/>
        </w:rPr>
        <w:t>, and </w:t>
      </w:r>
      <w:r w:rsidRPr="009C778C">
        <w:rPr>
          <w:rFonts w:cstheme="minorHAnsi"/>
          <w:i/>
          <w:iCs/>
          <w:sz w:val="24"/>
          <w:szCs w:val="24"/>
        </w:rPr>
        <w:t>EM3</w:t>
      </w:r>
      <w:r w:rsidRPr="009C778C">
        <w:rPr>
          <w:rFonts w:cstheme="minorHAnsi"/>
          <w:sz w:val="24"/>
          <w:szCs w:val="24"/>
        </w:rPr>
        <w:t> using a principal component analysis. </w:t>
      </w:r>
      <w:r w:rsidRPr="009C778C">
        <w:rPr>
          <w:rFonts w:cstheme="minorHAnsi"/>
          <w:i/>
          <w:iCs/>
          <w:sz w:val="24"/>
          <w:szCs w:val="24"/>
        </w:rPr>
        <w:t>Agg. EM</w:t>
      </w:r>
      <w:r w:rsidRPr="009C778C">
        <w:rPr>
          <w:rFonts w:cstheme="minorHAnsi"/>
          <w:sz w:val="24"/>
          <w:szCs w:val="24"/>
        </w:rPr>
        <w:t> is our main variable to capture the extent of earnings management. Larger values of </w:t>
      </w:r>
      <w:r w:rsidRPr="009C778C">
        <w:rPr>
          <w:rFonts w:cstheme="minorHAnsi"/>
          <w:i/>
          <w:iCs/>
          <w:sz w:val="24"/>
          <w:szCs w:val="24"/>
        </w:rPr>
        <w:t>Agg. EM</w:t>
      </w:r>
      <w:r w:rsidRPr="009C778C">
        <w:rPr>
          <w:rFonts w:cstheme="minorHAnsi"/>
          <w:sz w:val="24"/>
          <w:szCs w:val="24"/>
        </w:rPr>
        <w:t> </w:t>
      </w:r>
      <w:proofErr w:type="gramStart"/>
      <w:r w:rsidRPr="009C778C">
        <w:rPr>
          <w:rFonts w:cstheme="minorHAnsi"/>
          <w:sz w:val="24"/>
          <w:szCs w:val="24"/>
        </w:rPr>
        <w:t>represent</w:t>
      </w:r>
      <w:proofErr w:type="gramEnd"/>
      <w:r w:rsidRPr="009C778C">
        <w:rPr>
          <w:rFonts w:cstheme="minorHAnsi"/>
          <w:sz w:val="24"/>
          <w:szCs w:val="24"/>
        </w:rPr>
        <w:t xml:space="preserve"> greater earnings management.</w:t>
      </w:r>
    </w:p>
    <w:p w14:paraId="65D7B5F1" w14:textId="77777777" w:rsidR="009C778C" w:rsidRPr="009C778C" w:rsidRDefault="009C778C" w:rsidP="009C778C">
      <w:pPr>
        <w:rPr>
          <w:rFonts w:cstheme="minorHAnsi"/>
          <w:sz w:val="24"/>
          <w:szCs w:val="24"/>
        </w:rPr>
      </w:pPr>
      <w:r w:rsidRPr="009C778C">
        <w:rPr>
          <w:rFonts w:cstheme="minorHAnsi"/>
          <w:sz w:val="24"/>
          <w:szCs w:val="24"/>
        </w:rPr>
        <w:t>As one of our objectives is to ascertain whether the results of </w:t>
      </w:r>
      <w:hyperlink r:id="rId57" w:anchor="bb0025" w:history="1">
        <w:r w:rsidRPr="009C778C">
          <w:rPr>
            <w:rStyle w:val="Hyperlink"/>
            <w:rFonts w:cstheme="minorHAnsi"/>
            <w:sz w:val="24"/>
            <w:szCs w:val="24"/>
          </w:rPr>
          <w:t>Ayers et al. (2011)</w:t>
        </w:r>
      </w:hyperlink>
      <w:r w:rsidRPr="009C778C">
        <w:rPr>
          <w:rFonts w:cstheme="minorHAnsi"/>
          <w:sz w:val="24"/>
          <w:szCs w:val="24"/>
        </w:rPr>
        <w:t> and </w:t>
      </w:r>
      <w:proofErr w:type="spellStart"/>
      <w:r>
        <w:fldChar w:fldCharType="begin"/>
      </w:r>
      <w:r>
        <w:instrText>HYPERLINK "https://0-www-sciencedirect-com.libus.csd.mu.edu/science/article/pii/S0929119916300724" \l "bb0105"</w:instrText>
      </w:r>
      <w:r>
        <w:fldChar w:fldCharType="separate"/>
      </w:r>
      <w:r w:rsidRPr="009C778C">
        <w:rPr>
          <w:rStyle w:val="Hyperlink"/>
          <w:rFonts w:cstheme="minorHAnsi"/>
          <w:sz w:val="24"/>
          <w:szCs w:val="24"/>
        </w:rPr>
        <w:t>Chhaochharia</w:t>
      </w:r>
      <w:proofErr w:type="spellEnd"/>
      <w:r w:rsidRPr="009C778C">
        <w:rPr>
          <w:rStyle w:val="Hyperlink"/>
          <w:rFonts w:cstheme="minorHAnsi"/>
          <w:sz w:val="24"/>
          <w:szCs w:val="24"/>
        </w:rPr>
        <w:t xml:space="preserve"> et al. (2012)</w:t>
      </w:r>
      <w:r>
        <w:rPr>
          <w:rStyle w:val="Hyperlink"/>
          <w:rFonts w:cstheme="minorHAnsi"/>
          <w:sz w:val="24"/>
          <w:szCs w:val="24"/>
        </w:rPr>
        <w:fldChar w:fldCharType="end"/>
      </w:r>
      <w:r w:rsidRPr="009C778C">
        <w:rPr>
          <w:rFonts w:cstheme="minorHAnsi"/>
          <w:sz w:val="24"/>
          <w:szCs w:val="24"/>
        </w:rPr>
        <w:t> can be extended to an international setting, we follow their construction of earnings management proxies by using unsigned, accruals-based measures. However, for robustness, we also use alternative measures, including </w:t>
      </w:r>
      <w:r w:rsidRPr="009C778C">
        <w:rPr>
          <w:rFonts w:cstheme="minorHAnsi"/>
          <w:i/>
          <w:iCs/>
          <w:sz w:val="24"/>
          <w:szCs w:val="24"/>
        </w:rPr>
        <w:t>signed EM1</w:t>
      </w:r>
      <w:r w:rsidRPr="009C778C">
        <w:rPr>
          <w:rFonts w:cstheme="minorHAnsi"/>
          <w:sz w:val="24"/>
          <w:szCs w:val="24"/>
        </w:rPr>
        <w:t>, </w:t>
      </w:r>
      <w:r w:rsidRPr="009C778C">
        <w:rPr>
          <w:rFonts w:cstheme="minorHAnsi"/>
          <w:i/>
          <w:iCs/>
          <w:sz w:val="24"/>
          <w:szCs w:val="24"/>
        </w:rPr>
        <w:t>signed EM2</w:t>
      </w:r>
      <w:r w:rsidRPr="009C778C">
        <w:rPr>
          <w:rFonts w:cstheme="minorHAnsi"/>
          <w:sz w:val="24"/>
          <w:szCs w:val="24"/>
        </w:rPr>
        <w:t>, </w:t>
      </w:r>
      <w:r w:rsidRPr="009C778C">
        <w:rPr>
          <w:rFonts w:cstheme="minorHAnsi"/>
          <w:i/>
          <w:iCs/>
          <w:sz w:val="24"/>
          <w:szCs w:val="24"/>
        </w:rPr>
        <w:t>signed EM3</w:t>
      </w:r>
      <w:r w:rsidRPr="009C778C">
        <w:rPr>
          <w:rFonts w:cstheme="minorHAnsi"/>
          <w:sz w:val="24"/>
          <w:szCs w:val="24"/>
        </w:rPr>
        <w:t>, a signed composite measure (</w:t>
      </w:r>
      <w:r w:rsidRPr="009C778C">
        <w:rPr>
          <w:rFonts w:cstheme="minorHAnsi"/>
          <w:i/>
          <w:iCs/>
          <w:sz w:val="24"/>
          <w:szCs w:val="24"/>
        </w:rPr>
        <w:t>Signed Agg. EM</w:t>
      </w:r>
      <w:r w:rsidRPr="009C778C">
        <w:rPr>
          <w:rFonts w:cstheme="minorHAnsi"/>
          <w:sz w:val="24"/>
          <w:szCs w:val="24"/>
        </w:rPr>
        <w:t>), a small positive earnings dummy (</w:t>
      </w:r>
      <w:proofErr w:type="spellStart"/>
      <w:r w:rsidRPr="009C778C">
        <w:rPr>
          <w:rFonts w:cstheme="minorHAnsi"/>
          <w:i/>
          <w:iCs/>
          <w:sz w:val="24"/>
          <w:szCs w:val="24"/>
        </w:rPr>
        <w:t>EM_Small</w:t>
      </w:r>
      <w:proofErr w:type="spellEnd"/>
      <w:r w:rsidRPr="009C778C">
        <w:rPr>
          <w:rFonts w:cstheme="minorHAnsi"/>
          <w:sz w:val="24"/>
          <w:szCs w:val="24"/>
        </w:rPr>
        <w:t xml:space="preserve">), and a measure of persistence of transitory loss components in earnings. </w:t>
      </w:r>
      <w:proofErr w:type="gramStart"/>
      <w:r w:rsidRPr="009C778C">
        <w:rPr>
          <w:rFonts w:cstheme="minorHAnsi"/>
          <w:sz w:val="24"/>
          <w:szCs w:val="24"/>
        </w:rPr>
        <w:t>Similar to</w:t>
      </w:r>
      <w:proofErr w:type="gramEnd"/>
      <w:r w:rsidRPr="009C778C">
        <w:rPr>
          <w:rFonts w:cstheme="minorHAnsi"/>
          <w:sz w:val="24"/>
          <w:szCs w:val="24"/>
        </w:rPr>
        <w:t> </w:t>
      </w:r>
      <w:r w:rsidRPr="009C778C">
        <w:rPr>
          <w:rFonts w:cstheme="minorHAnsi"/>
          <w:i/>
          <w:iCs/>
          <w:sz w:val="24"/>
          <w:szCs w:val="24"/>
        </w:rPr>
        <w:t>Agg. EM</w:t>
      </w:r>
      <w:r w:rsidRPr="009C778C">
        <w:rPr>
          <w:rFonts w:cstheme="minorHAnsi"/>
          <w:sz w:val="24"/>
          <w:szCs w:val="24"/>
        </w:rPr>
        <w:t>, we construct </w:t>
      </w:r>
      <w:r w:rsidRPr="009C778C">
        <w:rPr>
          <w:rFonts w:cstheme="minorHAnsi"/>
          <w:i/>
          <w:iCs/>
          <w:sz w:val="24"/>
          <w:szCs w:val="24"/>
        </w:rPr>
        <w:t>Signed Agg. EM</w:t>
      </w:r>
      <w:r w:rsidRPr="009C778C">
        <w:rPr>
          <w:rFonts w:cstheme="minorHAnsi"/>
          <w:sz w:val="24"/>
          <w:szCs w:val="24"/>
        </w:rPr>
        <w:t> by combining </w:t>
      </w:r>
      <w:r w:rsidRPr="009C778C">
        <w:rPr>
          <w:rFonts w:cstheme="minorHAnsi"/>
          <w:i/>
          <w:iCs/>
          <w:sz w:val="24"/>
          <w:szCs w:val="24"/>
        </w:rPr>
        <w:t>signed EM1</w:t>
      </w:r>
      <w:r w:rsidRPr="009C778C">
        <w:rPr>
          <w:rFonts w:cstheme="minorHAnsi"/>
          <w:sz w:val="24"/>
          <w:szCs w:val="24"/>
        </w:rPr>
        <w:t>, </w:t>
      </w:r>
      <w:r w:rsidRPr="009C778C">
        <w:rPr>
          <w:rFonts w:cstheme="minorHAnsi"/>
          <w:i/>
          <w:iCs/>
          <w:sz w:val="24"/>
          <w:szCs w:val="24"/>
        </w:rPr>
        <w:t>signed EM2</w:t>
      </w:r>
      <w:r w:rsidRPr="009C778C">
        <w:rPr>
          <w:rFonts w:cstheme="minorHAnsi"/>
          <w:sz w:val="24"/>
          <w:szCs w:val="24"/>
        </w:rPr>
        <w:t>, and </w:t>
      </w:r>
      <w:r w:rsidRPr="009C778C">
        <w:rPr>
          <w:rFonts w:cstheme="minorHAnsi"/>
          <w:i/>
          <w:iCs/>
          <w:sz w:val="24"/>
          <w:szCs w:val="24"/>
        </w:rPr>
        <w:t>signed EM3</w:t>
      </w:r>
      <w:r w:rsidRPr="009C778C">
        <w:rPr>
          <w:rFonts w:cstheme="minorHAnsi"/>
          <w:sz w:val="24"/>
          <w:szCs w:val="24"/>
        </w:rPr>
        <w:t> using a principal component analysis. Following </w:t>
      </w:r>
      <w:bookmarkStart w:id="50" w:name="bbb0075"/>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"bb0075"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Burgstahler</w:t>
      </w:r>
      <w:proofErr w:type="spellEnd"/>
      <w:r w:rsidRPr="009C778C">
        <w:rPr>
          <w:rStyle w:val="Hyperlink"/>
          <w:rFonts w:cstheme="minorHAnsi"/>
          <w:sz w:val="24"/>
          <w:szCs w:val="24"/>
        </w:rPr>
        <w:t xml:space="preserve"> and </w:t>
      </w:r>
      <w:proofErr w:type="spellStart"/>
      <w:r w:rsidRPr="009C778C">
        <w:rPr>
          <w:rStyle w:val="Hyperlink"/>
          <w:rFonts w:cstheme="minorHAnsi"/>
          <w:sz w:val="24"/>
          <w:szCs w:val="24"/>
        </w:rPr>
        <w:t>Dichev</w:t>
      </w:r>
      <w:proofErr w:type="spellEnd"/>
      <w:r w:rsidRPr="009C778C">
        <w:rPr>
          <w:rStyle w:val="Hyperlink"/>
          <w:rFonts w:cstheme="minorHAnsi"/>
          <w:sz w:val="24"/>
          <w:szCs w:val="24"/>
        </w:rPr>
        <w:t xml:space="preserve"> (1997)</w:t>
      </w:r>
      <w:r w:rsidRPr="009C778C">
        <w:rPr>
          <w:rFonts w:cstheme="minorHAnsi"/>
          <w:sz w:val="24"/>
          <w:szCs w:val="24"/>
        </w:rPr>
        <w:fldChar w:fldCharType="end"/>
      </w:r>
      <w:r w:rsidRPr="009C778C">
        <w:rPr>
          <w:rFonts w:cstheme="minorHAnsi"/>
          <w:sz w:val="24"/>
          <w:szCs w:val="24"/>
        </w:rPr>
        <w:t> and </w:t>
      </w:r>
      <w:bookmarkStart w:id="51" w:name="bbb004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"bb0045"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Barth et al. (2008)</w:t>
      </w:r>
      <w:r w:rsidRPr="009C778C">
        <w:rPr>
          <w:rFonts w:cstheme="minorHAnsi"/>
          <w:sz w:val="24"/>
          <w:szCs w:val="24"/>
        </w:rPr>
        <w:fldChar w:fldCharType="end"/>
      </w:r>
      <w:r w:rsidRPr="009C778C">
        <w:rPr>
          <w:rFonts w:cstheme="minorHAnsi"/>
          <w:sz w:val="24"/>
          <w:szCs w:val="24"/>
        </w:rPr>
        <w:t>, we set </w:t>
      </w:r>
      <w:proofErr w:type="spellStart"/>
      <w:r w:rsidRPr="009C778C">
        <w:rPr>
          <w:rFonts w:cstheme="minorHAnsi"/>
          <w:i/>
          <w:iCs/>
          <w:sz w:val="24"/>
          <w:szCs w:val="24"/>
        </w:rPr>
        <w:t>EM_Small</w:t>
      </w:r>
      <w:proofErr w:type="spellEnd"/>
      <w:r w:rsidRPr="009C778C">
        <w:rPr>
          <w:rFonts w:cstheme="minorHAnsi"/>
          <w:sz w:val="24"/>
          <w:szCs w:val="24"/>
        </w:rPr>
        <w:t> to one if after-tax earnings over assets fall within the range of [0.000, 0.015], or zero otherwise. To estimate the persistence of transitory loss components in earnings, we use </w:t>
      </w:r>
      <w:bookmarkStart w:id="52" w:name="bbb005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"bb0050"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Basu’s</w:t>
      </w:r>
      <w:proofErr w:type="spellEnd"/>
      <w:r w:rsidRPr="009C778C">
        <w:rPr>
          <w:rStyle w:val="Hyperlink"/>
          <w:rFonts w:cstheme="minorHAnsi"/>
          <w:sz w:val="24"/>
          <w:szCs w:val="24"/>
        </w:rPr>
        <w:t xml:space="preserve"> (1997)</w:t>
      </w:r>
      <w:r w:rsidRPr="009C778C">
        <w:rPr>
          <w:rFonts w:cstheme="minorHAnsi"/>
          <w:sz w:val="24"/>
          <w:szCs w:val="24"/>
        </w:rPr>
        <w:fldChar w:fldCharType="end"/>
      </w:r>
      <w:r w:rsidRPr="009C778C">
        <w:rPr>
          <w:rFonts w:cstheme="minorHAnsi"/>
          <w:sz w:val="24"/>
          <w:szCs w:val="24"/>
        </w:rPr>
        <w:t> serial dependence model as modified by </w:t>
      </w:r>
      <w:bookmarkStart w:id="53" w:name="bbb003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"bb0035"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 xml:space="preserve">Ball and </w:t>
      </w:r>
      <w:proofErr w:type="spellStart"/>
      <w:r w:rsidRPr="009C778C">
        <w:rPr>
          <w:rStyle w:val="Hyperlink"/>
          <w:rFonts w:cstheme="minorHAnsi"/>
          <w:sz w:val="24"/>
          <w:szCs w:val="24"/>
        </w:rPr>
        <w:t>Shivakumar</w:t>
      </w:r>
      <w:proofErr w:type="spellEnd"/>
      <w:r w:rsidRPr="009C778C">
        <w:rPr>
          <w:rStyle w:val="Hyperlink"/>
          <w:rFonts w:cstheme="minorHAnsi"/>
          <w:sz w:val="24"/>
          <w:szCs w:val="24"/>
        </w:rPr>
        <w:t xml:space="preserve"> (2005)</w:t>
      </w:r>
      <w:r w:rsidRPr="009C778C">
        <w:rPr>
          <w:rFonts w:cstheme="minorHAnsi"/>
          <w:sz w:val="24"/>
          <w:szCs w:val="24"/>
        </w:rPr>
        <w:fldChar w:fldCharType="end"/>
      </w:r>
      <w:bookmarkEnd w:id="53"/>
      <w:r w:rsidRPr="009C778C">
        <w:rPr>
          <w:rFonts w:cstheme="minorHAnsi"/>
          <w:sz w:val="24"/>
          <w:szCs w:val="24"/>
        </w:rPr>
        <w:t>. Less persistence in negative earnings changes indicates higher earnings quality. Our main results hold using these alternative measures of earnings management. We report the regression results from estimating the baseline regression using unsigned </w:t>
      </w:r>
      <w:r w:rsidRPr="009C778C">
        <w:rPr>
          <w:rFonts w:cstheme="minorHAnsi"/>
          <w:i/>
          <w:iCs/>
          <w:sz w:val="24"/>
          <w:szCs w:val="24"/>
        </w:rPr>
        <w:t>EM1</w:t>
      </w:r>
      <w:r w:rsidRPr="009C778C">
        <w:rPr>
          <w:rFonts w:cstheme="minorHAnsi"/>
          <w:sz w:val="24"/>
          <w:szCs w:val="24"/>
        </w:rPr>
        <w:t>, unsigned </w:t>
      </w:r>
      <w:r w:rsidRPr="009C778C">
        <w:rPr>
          <w:rFonts w:cstheme="minorHAnsi"/>
          <w:i/>
          <w:iCs/>
          <w:sz w:val="24"/>
          <w:szCs w:val="24"/>
        </w:rPr>
        <w:t>EM2</w:t>
      </w:r>
      <w:r w:rsidRPr="009C778C">
        <w:rPr>
          <w:rFonts w:cstheme="minorHAnsi"/>
          <w:sz w:val="24"/>
          <w:szCs w:val="24"/>
        </w:rPr>
        <w:t>, unsigned </w:t>
      </w:r>
      <w:r w:rsidRPr="009C778C">
        <w:rPr>
          <w:rFonts w:cstheme="minorHAnsi"/>
          <w:i/>
          <w:iCs/>
          <w:sz w:val="24"/>
          <w:szCs w:val="24"/>
        </w:rPr>
        <w:t>EM3</w:t>
      </w:r>
      <w:r w:rsidRPr="009C778C">
        <w:rPr>
          <w:rFonts w:cstheme="minorHAnsi"/>
          <w:sz w:val="24"/>
          <w:szCs w:val="24"/>
        </w:rPr>
        <w:t>, </w:t>
      </w:r>
      <w:r w:rsidRPr="009C778C">
        <w:rPr>
          <w:rFonts w:cstheme="minorHAnsi"/>
          <w:i/>
          <w:iCs/>
          <w:sz w:val="24"/>
          <w:szCs w:val="24"/>
        </w:rPr>
        <w:t>Signed Agg. EM</w:t>
      </w:r>
      <w:r w:rsidRPr="009C778C">
        <w:rPr>
          <w:rFonts w:cstheme="minorHAnsi"/>
          <w:sz w:val="24"/>
          <w:szCs w:val="24"/>
        </w:rPr>
        <w:t>, and </w:t>
      </w:r>
      <w:proofErr w:type="spellStart"/>
      <w:r w:rsidRPr="009C778C">
        <w:rPr>
          <w:rFonts w:cstheme="minorHAnsi"/>
          <w:i/>
          <w:iCs/>
          <w:sz w:val="24"/>
          <w:szCs w:val="24"/>
        </w:rPr>
        <w:t>EM_small</w:t>
      </w:r>
      <w:proofErr w:type="spellEnd"/>
      <w:r w:rsidRPr="009C778C">
        <w:rPr>
          <w:rFonts w:cstheme="minorHAnsi"/>
          <w:sz w:val="24"/>
          <w:szCs w:val="24"/>
        </w:rPr>
        <w:t> as the dependent variable in </w:t>
      </w:r>
      <w:bookmarkStart w:id="54" w:name="bs009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"s0090"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Appendix B</w:t>
      </w:r>
      <w:r w:rsidRPr="009C778C">
        <w:rPr>
          <w:rFonts w:cstheme="minorHAnsi"/>
          <w:sz w:val="24"/>
          <w:szCs w:val="24"/>
        </w:rPr>
        <w:fldChar w:fldCharType="end"/>
      </w:r>
      <w:bookmarkEnd w:id="54"/>
      <w:r w:rsidRPr="009C778C">
        <w:rPr>
          <w:rFonts w:cstheme="minorHAnsi"/>
          <w:sz w:val="24"/>
          <w:szCs w:val="24"/>
        </w:rPr>
        <w:t>. For ease of presentation, we do not report the regression results using the measure based on the </w:t>
      </w:r>
      <w:proofErr w:type="spellStart"/>
      <w:r>
        <w:fldChar w:fldCharType="begin"/>
      </w:r>
      <w:r>
        <w:instrText>HYPERLINK "https://0-www-sciencedirect-com.libus.csd.mu.edu/science/article/pii/S0929119916300724" \l "bb0050"</w:instrText>
      </w:r>
      <w:r>
        <w:fldChar w:fldCharType="separate"/>
      </w:r>
      <w:r w:rsidRPr="009C778C">
        <w:rPr>
          <w:rStyle w:val="Hyperlink"/>
          <w:rFonts w:cstheme="minorHAnsi"/>
          <w:sz w:val="24"/>
          <w:szCs w:val="24"/>
        </w:rPr>
        <w:t>Basu</w:t>
      </w:r>
      <w:proofErr w:type="spellEnd"/>
      <w:r w:rsidRPr="009C778C">
        <w:rPr>
          <w:rStyle w:val="Hyperlink"/>
          <w:rFonts w:cstheme="minorHAnsi"/>
          <w:sz w:val="24"/>
          <w:szCs w:val="24"/>
        </w:rPr>
        <w:t xml:space="preserve"> (1997)</w:t>
      </w:r>
      <w:r>
        <w:rPr>
          <w:rStyle w:val="Hyperlink"/>
          <w:rFonts w:cstheme="minorHAnsi"/>
          <w:sz w:val="24"/>
          <w:szCs w:val="24"/>
        </w:rPr>
        <w:fldChar w:fldCharType="end"/>
      </w:r>
      <w:bookmarkEnd w:id="52"/>
      <w:r w:rsidRPr="009C778C">
        <w:rPr>
          <w:rFonts w:cstheme="minorHAnsi"/>
          <w:sz w:val="24"/>
          <w:szCs w:val="24"/>
        </w:rPr>
        <w:t xml:space="preserve"> model; those results are available in the Internet Appendix. We </w:t>
      </w:r>
      <w:proofErr w:type="spellStart"/>
      <w:r w:rsidRPr="009C778C">
        <w:rPr>
          <w:rFonts w:cstheme="minorHAnsi"/>
          <w:sz w:val="24"/>
          <w:szCs w:val="24"/>
        </w:rPr>
        <w:t>winsorize</w:t>
      </w:r>
      <w:proofErr w:type="spellEnd"/>
      <w:r w:rsidRPr="009C778C">
        <w:rPr>
          <w:rFonts w:cstheme="minorHAnsi"/>
          <w:sz w:val="24"/>
          <w:szCs w:val="24"/>
        </w:rPr>
        <w:t xml:space="preserve"> all the measures of earnings management at the 1</w:t>
      </w:r>
      <w:r w:rsidRPr="009C778C">
        <w:rPr>
          <w:rFonts w:cstheme="minorHAnsi"/>
          <w:sz w:val="24"/>
          <w:szCs w:val="24"/>
          <w:vertAlign w:val="superscript"/>
        </w:rPr>
        <w:t>st</w:t>
      </w:r>
      <w:r w:rsidRPr="009C778C">
        <w:rPr>
          <w:rFonts w:cstheme="minorHAnsi"/>
          <w:sz w:val="24"/>
          <w:szCs w:val="24"/>
        </w:rPr>
        <w:t> and the 99</w:t>
      </w:r>
      <w:r w:rsidRPr="009C778C">
        <w:rPr>
          <w:rFonts w:cstheme="minorHAnsi"/>
          <w:sz w:val="24"/>
          <w:szCs w:val="24"/>
          <w:vertAlign w:val="superscript"/>
        </w:rPr>
        <w:t>th</w:t>
      </w:r>
      <w:r w:rsidRPr="009C778C">
        <w:rPr>
          <w:rFonts w:cstheme="minorHAnsi"/>
          <w:sz w:val="24"/>
          <w:szCs w:val="24"/>
        </w:rPr>
        <w:t> percentile to alleviate the concern of extreme outliers. </w:t>
      </w:r>
      <w:bookmarkStart w:id="55" w:name="bs008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"s0085"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Appendix A</w:t>
      </w:r>
      <w:r w:rsidRPr="009C778C">
        <w:rPr>
          <w:rFonts w:cstheme="minorHAnsi"/>
          <w:sz w:val="24"/>
          <w:szCs w:val="24"/>
        </w:rPr>
        <w:fldChar w:fldCharType="end"/>
      </w:r>
      <w:r w:rsidRPr="009C778C">
        <w:rPr>
          <w:rFonts w:cstheme="minorHAnsi"/>
          <w:sz w:val="24"/>
          <w:szCs w:val="24"/>
        </w:rPr>
        <w:t> provides definitions of all variables.</w:t>
      </w:r>
    </w:p>
    <w:p w14:paraId="1F6BBD56" w14:textId="77777777" w:rsidR="009C778C" w:rsidRPr="009C778C" w:rsidRDefault="009C778C" w:rsidP="001A7C2C">
      <w:pPr>
        <w:pStyle w:val="Heading2"/>
      </w:pPr>
      <w:r w:rsidRPr="009C778C">
        <w:t>3.4. Univariate statistics</w:t>
      </w:r>
    </w:p>
    <w:bookmarkStart w:id="56" w:name="bt0005"/>
    <w:p w14:paraId="034B5D78" w14:textId="77777777" w:rsidR="009C778C" w:rsidRPr="009C778C" w:rsidRDefault="009C778C" w:rsidP="009C778C">
      <w:pPr>
        <w:rPr>
          <w:rFonts w:cstheme="minorHAnsi"/>
          <w:sz w:val="24"/>
          <w:szCs w:val="24"/>
        </w:rPr>
      </w:pPr>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"t0005"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Table 1</w:t>
      </w:r>
      <w:r w:rsidRPr="009C778C">
        <w:rPr>
          <w:rFonts w:cstheme="minorHAnsi"/>
          <w:sz w:val="24"/>
          <w:szCs w:val="24"/>
        </w:rPr>
        <w:fldChar w:fldCharType="end"/>
      </w:r>
      <w:r w:rsidRPr="009C778C">
        <w:rPr>
          <w:rFonts w:cstheme="minorHAnsi"/>
          <w:sz w:val="24"/>
          <w:szCs w:val="24"/>
        </w:rPr>
        <w:t> lists alphabetically the 29 countries in our sample. Similarly to </w:t>
      </w:r>
      <w:hyperlink r:id="rId58" w:anchor="bb0005" w:history="1">
        <w:r w:rsidRPr="009C778C">
          <w:rPr>
            <w:rStyle w:val="Hyperlink"/>
            <w:rFonts w:cstheme="minorHAnsi"/>
            <w:sz w:val="24"/>
            <w:szCs w:val="24"/>
          </w:rPr>
          <w:t>Aggarwal et al. (2011)</w:t>
        </w:r>
      </w:hyperlink>
      <w:r w:rsidRPr="009C778C">
        <w:rPr>
          <w:rFonts w:cstheme="minorHAnsi"/>
          <w:sz w:val="24"/>
          <w:szCs w:val="24"/>
        </w:rPr>
        <w:t>, Japan has the largest number of firm-year observations in the sample (18,204 firm years or 27.5% of the sample), whereas Ireland has the smallest number of firm-year observations (196 firm years or 0.3% of the sample). In </w:t>
      </w:r>
      <w:hyperlink r:id="rId59" w:anchor="t0005" w:history="1">
        <w:r w:rsidRPr="009C778C">
          <w:rPr>
            <w:rStyle w:val="Hyperlink"/>
            <w:rFonts w:cstheme="minorHAnsi"/>
            <w:sz w:val="24"/>
            <w:szCs w:val="24"/>
          </w:rPr>
          <w:t>Table 1</w:t>
        </w:r>
      </w:hyperlink>
      <w:r w:rsidRPr="009C778C">
        <w:rPr>
          <w:rFonts w:cstheme="minorHAnsi"/>
          <w:sz w:val="24"/>
          <w:szCs w:val="24"/>
        </w:rPr>
        <w:t>, we also report by country the mean values of the aggregate earnings management measure (</w:t>
      </w:r>
      <w:r w:rsidRPr="009C778C">
        <w:rPr>
          <w:rFonts w:cstheme="minorHAnsi"/>
          <w:i/>
          <w:iCs/>
          <w:sz w:val="24"/>
          <w:szCs w:val="24"/>
        </w:rPr>
        <w:t>Agg. EM</w:t>
      </w:r>
      <w:r w:rsidRPr="009C778C">
        <w:rPr>
          <w:rFonts w:cstheme="minorHAnsi"/>
          <w:sz w:val="24"/>
          <w:szCs w:val="24"/>
        </w:rPr>
        <w:t>) and ownership by domestic (</w:t>
      </w:r>
      <w:r w:rsidRPr="009C778C">
        <w:rPr>
          <w:rFonts w:cstheme="minorHAnsi"/>
          <w:i/>
          <w:iCs/>
          <w:sz w:val="24"/>
          <w:szCs w:val="24"/>
        </w:rPr>
        <w:t>DOMESTIC</w:t>
      </w:r>
      <w:r w:rsidRPr="009C778C">
        <w:rPr>
          <w:rFonts w:cstheme="minorHAnsi"/>
          <w:sz w:val="24"/>
          <w:szCs w:val="24"/>
        </w:rPr>
        <w:t>) and foreign (</w:t>
      </w:r>
      <w:r w:rsidRPr="009C778C">
        <w:rPr>
          <w:rFonts w:cstheme="minorHAnsi"/>
          <w:i/>
          <w:iCs/>
          <w:sz w:val="24"/>
          <w:szCs w:val="24"/>
        </w:rPr>
        <w:t>FOREIGN</w:t>
      </w:r>
      <w:r w:rsidRPr="009C778C">
        <w:rPr>
          <w:rFonts w:cstheme="minorHAnsi"/>
          <w:sz w:val="24"/>
          <w:szCs w:val="24"/>
        </w:rPr>
        <w:t>) institutional investors. Greece (Canada) has the highest (lowest) level of earnings management and ranks 27th (3rd) in the level of domestic institutional ownership and 17th (12th) in the level of foreign institutional ownership. In addition, </w:t>
      </w:r>
      <w:hyperlink r:id="rId60" w:anchor="t0005" w:history="1">
        <w:r w:rsidRPr="009C778C">
          <w:rPr>
            <w:rStyle w:val="Hyperlink"/>
            <w:rFonts w:cstheme="minorHAnsi"/>
            <w:sz w:val="24"/>
            <w:szCs w:val="24"/>
          </w:rPr>
          <w:t>Table 1</w:t>
        </w:r>
      </w:hyperlink>
      <w:r w:rsidRPr="009C778C">
        <w:rPr>
          <w:rFonts w:cstheme="minorHAnsi"/>
          <w:sz w:val="24"/>
          <w:szCs w:val="24"/>
        </w:rPr>
        <w:t> reports the legal origin and the stage of the </w:t>
      </w:r>
      <w:hyperlink r:id="rId61" w:tooltip="Learn more about economic development of from ScienceDirect's AI-generated Topic Pages" w:history="1">
        <w:r w:rsidRPr="009C778C">
          <w:rPr>
            <w:rStyle w:val="Hyperlink"/>
            <w:rFonts w:cstheme="minorHAnsi"/>
            <w:sz w:val="24"/>
            <w:szCs w:val="24"/>
          </w:rPr>
          <w:t>economic development of</w:t>
        </w:r>
      </w:hyperlink>
      <w:r w:rsidRPr="009C778C">
        <w:rPr>
          <w:rFonts w:cstheme="minorHAnsi"/>
          <w:sz w:val="24"/>
          <w:szCs w:val="24"/>
        </w:rPr>
        <w:t> the sample countries. Following the literature, we use </w:t>
      </w:r>
      <w:bookmarkStart w:id="57" w:name="bbb024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"bb0245"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La Porta et al. (1998)</w:t>
      </w:r>
      <w:r w:rsidRPr="009C778C">
        <w:rPr>
          <w:rFonts w:cstheme="minorHAnsi"/>
          <w:sz w:val="24"/>
          <w:szCs w:val="24"/>
        </w:rPr>
        <w:fldChar w:fldCharType="end"/>
      </w:r>
      <w:r w:rsidRPr="009C778C">
        <w:rPr>
          <w:rFonts w:cstheme="minorHAnsi"/>
          <w:sz w:val="24"/>
          <w:szCs w:val="24"/>
        </w:rPr>
        <w:t>’s classification of legal origin. Our sample comprises 11 common-law countries and 18 civil-law countries. The classification of economic development is based on the MSCI Developed and Emerging Markets Indices that we obtain from Bloomberg. Our sample includes seven emerging countries and 22 developed countries.</w:t>
      </w:r>
    </w:p>
    <w:p w14:paraId="7D4D742B" w14:textId="77777777" w:rsidR="009C778C" w:rsidRPr="001B5C9F" w:rsidRDefault="009C778C" w:rsidP="001A7C2C">
      <w:pPr>
        <w:pStyle w:val="NoSpacing"/>
        <w:rPr>
          <w:sz w:val="24"/>
          <w:szCs w:val="24"/>
        </w:rPr>
      </w:pPr>
      <w:r w:rsidRPr="00911EDD">
        <w:rPr>
          <w:b/>
          <w:bCs/>
          <w:sz w:val="24"/>
          <w:szCs w:val="24"/>
        </w:rPr>
        <w:t>Table 1</w:t>
      </w:r>
      <w:r w:rsidRPr="001B5C9F">
        <w:rPr>
          <w:sz w:val="24"/>
          <w:szCs w:val="24"/>
        </w:rPr>
        <w:t>. Countries in the sample. This table lists alphabetically countries used in this study. For each country, we also report country-level mean values of the aggregate earnings management measure (</w:t>
      </w:r>
      <w:r w:rsidRPr="001B5C9F">
        <w:rPr>
          <w:i/>
          <w:iCs/>
          <w:sz w:val="24"/>
          <w:szCs w:val="24"/>
        </w:rPr>
        <w:t>Agg. EM</w:t>
      </w:r>
      <w:r w:rsidRPr="001B5C9F">
        <w:rPr>
          <w:sz w:val="24"/>
          <w:szCs w:val="24"/>
        </w:rPr>
        <w:t>), ownership by domestic (</w:t>
      </w:r>
      <w:r w:rsidRPr="001B5C9F">
        <w:rPr>
          <w:i/>
          <w:iCs/>
          <w:sz w:val="24"/>
          <w:szCs w:val="24"/>
        </w:rPr>
        <w:t>DOMESTIC</w:t>
      </w:r>
      <w:r w:rsidRPr="001B5C9F">
        <w:rPr>
          <w:sz w:val="24"/>
          <w:szCs w:val="24"/>
        </w:rPr>
        <w:t>) and foreign (</w:t>
      </w:r>
      <w:r w:rsidRPr="001B5C9F">
        <w:rPr>
          <w:i/>
          <w:iCs/>
          <w:sz w:val="24"/>
          <w:szCs w:val="24"/>
        </w:rPr>
        <w:t>FOREIGN</w:t>
      </w:r>
      <w:r w:rsidRPr="001B5C9F">
        <w:rPr>
          <w:sz w:val="24"/>
          <w:szCs w:val="24"/>
        </w:rPr>
        <w:t>) institutional investors, and the legal origin and the stage of economic development of each country. The classification of legal origin is as defined in </w:t>
      </w:r>
      <w:hyperlink r:id="rId62" w:anchor="bb0245" w:history="1">
        <w:r w:rsidRPr="001B5C9F">
          <w:rPr>
            <w:rStyle w:val="Hyperlink"/>
            <w:rFonts w:cstheme="minorHAnsi"/>
            <w:sz w:val="24"/>
            <w:szCs w:val="24"/>
          </w:rPr>
          <w:t>La Porta et al. (1998)</w:t>
        </w:r>
      </w:hyperlink>
      <w:r w:rsidRPr="001B5C9F">
        <w:rPr>
          <w:sz w:val="24"/>
          <w:szCs w:val="24"/>
        </w:rPr>
        <w:t>. The classification of economic development is based on the MSCI Developed and Emerging Markets Indices obtained from Bloomberg. All variable definitions are given in </w:t>
      </w:r>
      <w:hyperlink r:id="rId63" w:anchor="s0085" w:history="1">
        <w:r w:rsidRPr="001B5C9F">
          <w:rPr>
            <w:rStyle w:val="Hyperlink"/>
            <w:rFonts w:cstheme="minorHAnsi"/>
            <w:sz w:val="24"/>
            <w:szCs w:val="24"/>
          </w:rPr>
          <w:t>Appendix A</w:t>
        </w:r>
      </w:hyperlink>
      <w:r w:rsidRPr="001B5C9F">
        <w:rPr>
          <w:sz w:val="24"/>
          <w:szCs w:val="24"/>
        </w:rPr>
        <w:t>.</w:t>
      </w:r>
    </w:p>
    <w:tbl>
      <w:tblPr>
        <w:tblStyle w:val="TableGrid"/>
        <w:tblW w:w="0" w:type="auto"/>
        <w:tblLook w:val="04A0" w:firstRow="1" w:lastRow="0" w:firstColumn="1" w:lastColumn="0" w:noHBand="0" w:noVBand="1"/>
      </w:tblPr>
      <w:tblGrid>
        <w:gridCol w:w="1409"/>
        <w:gridCol w:w="829"/>
        <w:gridCol w:w="967"/>
        <w:gridCol w:w="1192"/>
        <w:gridCol w:w="1041"/>
        <w:gridCol w:w="1264"/>
        <w:gridCol w:w="2363"/>
      </w:tblGrid>
      <w:tr w:rsidR="009C778C" w:rsidRPr="007908BC" w14:paraId="2AB94A09" w14:textId="77777777" w:rsidTr="001A7C2C">
        <w:tc>
          <w:tcPr>
            <w:tcW w:w="0" w:type="auto"/>
            <w:hideMark/>
          </w:tcPr>
          <w:p w14:paraId="1F6EA2F1" w14:textId="77777777" w:rsidR="009C778C" w:rsidRPr="007908BC" w:rsidRDefault="009C778C" w:rsidP="007908BC">
            <w:pPr>
              <w:pStyle w:val="NoSpacing"/>
              <w:rPr>
                <w:b/>
                <w:bCs/>
              </w:rPr>
            </w:pPr>
            <w:r w:rsidRPr="007908BC">
              <w:rPr>
                <w:b/>
                <w:bCs/>
              </w:rPr>
              <w:t>Country</w:t>
            </w:r>
          </w:p>
        </w:tc>
        <w:tc>
          <w:tcPr>
            <w:tcW w:w="0" w:type="auto"/>
            <w:hideMark/>
          </w:tcPr>
          <w:p w14:paraId="726DB1C4" w14:textId="77777777" w:rsidR="009C778C" w:rsidRPr="007908BC" w:rsidRDefault="009C778C" w:rsidP="007908BC">
            <w:pPr>
              <w:pStyle w:val="NoSpacing"/>
              <w:rPr>
                <w:b/>
                <w:bCs/>
              </w:rPr>
            </w:pPr>
            <w:r w:rsidRPr="007908BC">
              <w:rPr>
                <w:b/>
                <w:bCs/>
              </w:rPr>
              <w:t>N</w:t>
            </w:r>
          </w:p>
        </w:tc>
        <w:tc>
          <w:tcPr>
            <w:tcW w:w="0" w:type="auto"/>
            <w:hideMark/>
          </w:tcPr>
          <w:p w14:paraId="7549B193" w14:textId="77777777" w:rsidR="009C778C" w:rsidRPr="007908BC" w:rsidRDefault="009C778C" w:rsidP="007908BC">
            <w:pPr>
              <w:pStyle w:val="NoSpacing"/>
              <w:rPr>
                <w:b/>
                <w:bCs/>
              </w:rPr>
            </w:pPr>
            <w:r w:rsidRPr="007908BC">
              <w:rPr>
                <w:b/>
                <w:bCs/>
              </w:rPr>
              <w:t>Agg. EM</w:t>
            </w:r>
          </w:p>
        </w:tc>
        <w:tc>
          <w:tcPr>
            <w:tcW w:w="0" w:type="auto"/>
            <w:hideMark/>
          </w:tcPr>
          <w:p w14:paraId="272E3A88" w14:textId="77777777" w:rsidR="009C778C" w:rsidRPr="007908BC" w:rsidRDefault="009C778C" w:rsidP="007908BC">
            <w:pPr>
              <w:pStyle w:val="NoSpacing"/>
              <w:rPr>
                <w:b/>
                <w:bCs/>
              </w:rPr>
            </w:pPr>
            <w:r w:rsidRPr="007908BC">
              <w:rPr>
                <w:b/>
                <w:bCs/>
              </w:rPr>
              <w:t>DOMESTIC</w:t>
            </w:r>
          </w:p>
        </w:tc>
        <w:tc>
          <w:tcPr>
            <w:tcW w:w="0" w:type="auto"/>
            <w:hideMark/>
          </w:tcPr>
          <w:p w14:paraId="33883D10" w14:textId="77777777" w:rsidR="009C778C" w:rsidRPr="007908BC" w:rsidRDefault="009C778C" w:rsidP="007908BC">
            <w:pPr>
              <w:pStyle w:val="NoSpacing"/>
              <w:rPr>
                <w:b/>
                <w:bCs/>
              </w:rPr>
            </w:pPr>
            <w:r w:rsidRPr="007908BC">
              <w:rPr>
                <w:b/>
                <w:bCs/>
              </w:rPr>
              <w:t>FOREIGN</w:t>
            </w:r>
          </w:p>
        </w:tc>
        <w:tc>
          <w:tcPr>
            <w:tcW w:w="0" w:type="auto"/>
            <w:hideMark/>
          </w:tcPr>
          <w:p w14:paraId="0C9B577F" w14:textId="77777777" w:rsidR="009C778C" w:rsidRPr="007908BC" w:rsidRDefault="009C778C" w:rsidP="007908BC">
            <w:pPr>
              <w:pStyle w:val="NoSpacing"/>
              <w:rPr>
                <w:b/>
                <w:bCs/>
              </w:rPr>
            </w:pPr>
            <w:r w:rsidRPr="007908BC">
              <w:rPr>
                <w:b/>
                <w:bCs/>
              </w:rPr>
              <w:t>Legal origin</w:t>
            </w:r>
          </w:p>
        </w:tc>
        <w:tc>
          <w:tcPr>
            <w:tcW w:w="0" w:type="auto"/>
            <w:hideMark/>
          </w:tcPr>
          <w:p w14:paraId="3E785DF5" w14:textId="77777777" w:rsidR="009C778C" w:rsidRPr="007908BC" w:rsidRDefault="009C778C" w:rsidP="007908BC">
            <w:pPr>
              <w:pStyle w:val="NoSpacing"/>
              <w:rPr>
                <w:b/>
                <w:bCs/>
              </w:rPr>
            </w:pPr>
            <w:r w:rsidRPr="007908BC">
              <w:rPr>
                <w:b/>
                <w:bCs/>
              </w:rPr>
              <w:t>Economic development</w:t>
            </w:r>
          </w:p>
        </w:tc>
      </w:tr>
      <w:tr w:rsidR="009C778C" w:rsidRPr="009C778C" w14:paraId="7FF11DEC" w14:textId="77777777" w:rsidTr="001A7C2C">
        <w:tc>
          <w:tcPr>
            <w:tcW w:w="0" w:type="auto"/>
            <w:hideMark/>
          </w:tcPr>
          <w:p w14:paraId="215A006E" w14:textId="77777777" w:rsidR="009C778C" w:rsidRPr="007908BC" w:rsidRDefault="009C778C" w:rsidP="007908BC">
            <w:pPr>
              <w:pStyle w:val="NoSpacing"/>
              <w:rPr>
                <w:b/>
                <w:bCs/>
              </w:rPr>
            </w:pPr>
            <w:r w:rsidRPr="007908BC">
              <w:rPr>
                <w:b/>
                <w:bCs/>
              </w:rPr>
              <w:t>Australia</w:t>
            </w:r>
          </w:p>
        </w:tc>
        <w:tc>
          <w:tcPr>
            <w:tcW w:w="0" w:type="auto"/>
            <w:hideMark/>
          </w:tcPr>
          <w:p w14:paraId="14CF488A" w14:textId="77777777" w:rsidR="009C778C" w:rsidRPr="009C778C" w:rsidRDefault="009C778C" w:rsidP="007908BC">
            <w:pPr>
              <w:pStyle w:val="NoSpacing"/>
            </w:pPr>
            <w:r w:rsidRPr="009C778C">
              <w:t>3,560</w:t>
            </w:r>
          </w:p>
        </w:tc>
        <w:tc>
          <w:tcPr>
            <w:tcW w:w="0" w:type="auto"/>
            <w:hideMark/>
          </w:tcPr>
          <w:p w14:paraId="6F1EA208" w14:textId="77777777" w:rsidR="009C778C" w:rsidRPr="009C778C" w:rsidRDefault="009C778C" w:rsidP="007908BC">
            <w:pPr>
              <w:pStyle w:val="NoSpacing"/>
            </w:pPr>
            <w:r w:rsidRPr="009C778C">
              <w:t>0.537</w:t>
            </w:r>
          </w:p>
        </w:tc>
        <w:tc>
          <w:tcPr>
            <w:tcW w:w="0" w:type="auto"/>
            <w:hideMark/>
          </w:tcPr>
          <w:p w14:paraId="053B0D30" w14:textId="77777777" w:rsidR="009C778C" w:rsidRPr="009C778C" w:rsidRDefault="009C778C" w:rsidP="007908BC">
            <w:pPr>
              <w:pStyle w:val="NoSpacing"/>
            </w:pPr>
            <w:r w:rsidRPr="009C778C">
              <w:t>0.016</w:t>
            </w:r>
          </w:p>
        </w:tc>
        <w:tc>
          <w:tcPr>
            <w:tcW w:w="0" w:type="auto"/>
            <w:hideMark/>
          </w:tcPr>
          <w:p w14:paraId="45759CB7" w14:textId="77777777" w:rsidR="009C778C" w:rsidRPr="009C778C" w:rsidRDefault="009C778C" w:rsidP="007908BC">
            <w:pPr>
              <w:pStyle w:val="NoSpacing"/>
            </w:pPr>
            <w:r w:rsidRPr="009C778C">
              <w:t>0.045</w:t>
            </w:r>
          </w:p>
        </w:tc>
        <w:tc>
          <w:tcPr>
            <w:tcW w:w="0" w:type="auto"/>
            <w:hideMark/>
          </w:tcPr>
          <w:p w14:paraId="4C09EDC0" w14:textId="77777777" w:rsidR="009C778C" w:rsidRPr="009C778C" w:rsidRDefault="009C778C" w:rsidP="007908BC">
            <w:pPr>
              <w:pStyle w:val="NoSpacing"/>
            </w:pPr>
            <w:r w:rsidRPr="009C778C">
              <w:t>Common</w:t>
            </w:r>
          </w:p>
        </w:tc>
        <w:tc>
          <w:tcPr>
            <w:tcW w:w="0" w:type="auto"/>
            <w:hideMark/>
          </w:tcPr>
          <w:p w14:paraId="33F2AD5A" w14:textId="77777777" w:rsidR="009C778C" w:rsidRPr="009C778C" w:rsidRDefault="009C778C" w:rsidP="007908BC">
            <w:pPr>
              <w:pStyle w:val="NoSpacing"/>
            </w:pPr>
            <w:r w:rsidRPr="009C778C">
              <w:t>Developed</w:t>
            </w:r>
          </w:p>
        </w:tc>
      </w:tr>
      <w:tr w:rsidR="009C778C" w:rsidRPr="009C778C" w14:paraId="20440F40" w14:textId="77777777" w:rsidTr="001A7C2C">
        <w:tc>
          <w:tcPr>
            <w:tcW w:w="0" w:type="auto"/>
            <w:hideMark/>
          </w:tcPr>
          <w:p w14:paraId="6015EAD5" w14:textId="77777777" w:rsidR="009C778C" w:rsidRPr="007908BC" w:rsidRDefault="009C778C" w:rsidP="007908BC">
            <w:pPr>
              <w:pStyle w:val="NoSpacing"/>
              <w:rPr>
                <w:b/>
                <w:bCs/>
              </w:rPr>
            </w:pPr>
            <w:r w:rsidRPr="007908BC">
              <w:rPr>
                <w:b/>
                <w:bCs/>
              </w:rPr>
              <w:t>Austria</w:t>
            </w:r>
          </w:p>
        </w:tc>
        <w:tc>
          <w:tcPr>
            <w:tcW w:w="0" w:type="auto"/>
            <w:hideMark/>
          </w:tcPr>
          <w:p w14:paraId="43DED036" w14:textId="77777777" w:rsidR="009C778C" w:rsidRPr="009C778C" w:rsidRDefault="009C778C" w:rsidP="007908BC">
            <w:pPr>
              <w:pStyle w:val="NoSpacing"/>
            </w:pPr>
            <w:r w:rsidRPr="009C778C">
              <w:t>371</w:t>
            </w:r>
          </w:p>
        </w:tc>
        <w:tc>
          <w:tcPr>
            <w:tcW w:w="0" w:type="auto"/>
            <w:hideMark/>
          </w:tcPr>
          <w:p w14:paraId="55E6717F" w14:textId="77777777" w:rsidR="009C778C" w:rsidRPr="009C778C" w:rsidRDefault="009C778C" w:rsidP="007908BC">
            <w:pPr>
              <w:pStyle w:val="NoSpacing"/>
            </w:pPr>
            <w:r w:rsidRPr="009C778C">
              <w:t>0.384</w:t>
            </w:r>
          </w:p>
        </w:tc>
        <w:tc>
          <w:tcPr>
            <w:tcW w:w="0" w:type="auto"/>
            <w:hideMark/>
          </w:tcPr>
          <w:p w14:paraId="049CF2BA" w14:textId="77777777" w:rsidR="009C778C" w:rsidRPr="009C778C" w:rsidRDefault="009C778C" w:rsidP="007908BC">
            <w:pPr>
              <w:pStyle w:val="NoSpacing"/>
            </w:pPr>
            <w:r w:rsidRPr="009C778C">
              <w:t>0.024</w:t>
            </w:r>
          </w:p>
        </w:tc>
        <w:tc>
          <w:tcPr>
            <w:tcW w:w="0" w:type="auto"/>
            <w:hideMark/>
          </w:tcPr>
          <w:p w14:paraId="14187807" w14:textId="77777777" w:rsidR="009C778C" w:rsidRPr="009C778C" w:rsidRDefault="009C778C" w:rsidP="007908BC">
            <w:pPr>
              <w:pStyle w:val="NoSpacing"/>
            </w:pPr>
            <w:r w:rsidRPr="009C778C">
              <w:t>0.100</w:t>
            </w:r>
          </w:p>
        </w:tc>
        <w:tc>
          <w:tcPr>
            <w:tcW w:w="0" w:type="auto"/>
            <w:hideMark/>
          </w:tcPr>
          <w:p w14:paraId="09C16FB3" w14:textId="77777777" w:rsidR="009C778C" w:rsidRPr="009C778C" w:rsidRDefault="009C778C" w:rsidP="007908BC">
            <w:pPr>
              <w:pStyle w:val="NoSpacing"/>
            </w:pPr>
            <w:r w:rsidRPr="009C778C">
              <w:t>Civil</w:t>
            </w:r>
          </w:p>
        </w:tc>
        <w:tc>
          <w:tcPr>
            <w:tcW w:w="0" w:type="auto"/>
            <w:hideMark/>
          </w:tcPr>
          <w:p w14:paraId="5CE6E09F" w14:textId="77777777" w:rsidR="009C778C" w:rsidRPr="009C778C" w:rsidRDefault="009C778C" w:rsidP="007908BC">
            <w:pPr>
              <w:pStyle w:val="NoSpacing"/>
            </w:pPr>
            <w:r w:rsidRPr="009C778C">
              <w:t>Developed</w:t>
            </w:r>
          </w:p>
        </w:tc>
      </w:tr>
      <w:tr w:rsidR="009C778C" w:rsidRPr="009C778C" w14:paraId="653D44CF" w14:textId="77777777" w:rsidTr="001A7C2C">
        <w:tc>
          <w:tcPr>
            <w:tcW w:w="0" w:type="auto"/>
            <w:hideMark/>
          </w:tcPr>
          <w:p w14:paraId="6E09DBC5" w14:textId="77777777" w:rsidR="009C778C" w:rsidRPr="007908BC" w:rsidRDefault="009C778C" w:rsidP="007908BC">
            <w:pPr>
              <w:pStyle w:val="NoSpacing"/>
              <w:rPr>
                <w:b/>
                <w:bCs/>
              </w:rPr>
            </w:pPr>
            <w:r w:rsidRPr="007908BC">
              <w:rPr>
                <w:b/>
                <w:bCs/>
              </w:rPr>
              <w:t>Belgium</w:t>
            </w:r>
          </w:p>
        </w:tc>
        <w:tc>
          <w:tcPr>
            <w:tcW w:w="0" w:type="auto"/>
            <w:hideMark/>
          </w:tcPr>
          <w:p w14:paraId="0B410663" w14:textId="77777777" w:rsidR="009C778C" w:rsidRPr="009C778C" w:rsidRDefault="009C778C" w:rsidP="007908BC">
            <w:pPr>
              <w:pStyle w:val="NoSpacing"/>
            </w:pPr>
            <w:r w:rsidRPr="009C778C">
              <w:t>560</w:t>
            </w:r>
          </w:p>
        </w:tc>
        <w:tc>
          <w:tcPr>
            <w:tcW w:w="0" w:type="auto"/>
            <w:hideMark/>
          </w:tcPr>
          <w:p w14:paraId="589EB424" w14:textId="77777777" w:rsidR="009C778C" w:rsidRPr="009C778C" w:rsidRDefault="009C778C" w:rsidP="007908BC">
            <w:pPr>
              <w:pStyle w:val="NoSpacing"/>
            </w:pPr>
            <w:r w:rsidRPr="009C778C">
              <w:t>0.453</w:t>
            </w:r>
          </w:p>
        </w:tc>
        <w:tc>
          <w:tcPr>
            <w:tcW w:w="0" w:type="auto"/>
            <w:hideMark/>
          </w:tcPr>
          <w:p w14:paraId="5B71C169" w14:textId="77777777" w:rsidR="009C778C" w:rsidRPr="009C778C" w:rsidRDefault="009C778C" w:rsidP="007908BC">
            <w:pPr>
              <w:pStyle w:val="NoSpacing"/>
            </w:pPr>
            <w:r w:rsidRPr="009C778C">
              <w:t>0.033</w:t>
            </w:r>
          </w:p>
        </w:tc>
        <w:tc>
          <w:tcPr>
            <w:tcW w:w="0" w:type="auto"/>
            <w:hideMark/>
          </w:tcPr>
          <w:p w14:paraId="3615CE69" w14:textId="77777777" w:rsidR="009C778C" w:rsidRPr="009C778C" w:rsidRDefault="009C778C" w:rsidP="007908BC">
            <w:pPr>
              <w:pStyle w:val="NoSpacing"/>
            </w:pPr>
            <w:r w:rsidRPr="009C778C">
              <w:t>0.071</w:t>
            </w:r>
          </w:p>
        </w:tc>
        <w:tc>
          <w:tcPr>
            <w:tcW w:w="0" w:type="auto"/>
            <w:hideMark/>
          </w:tcPr>
          <w:p w14:paraId="7D9C4FE2" w14:textId="77777777" w:rsidR="009C778C" w:rsidRPr="009C778C" w:rsidRDefault="009C778C" w:rsidP="007908BC">
            <w:pPr>
              <w:pStyle w:val="NoSpacing"/>
            </w:pPr>
            <w:r w:rsidRPr="009C778C">
              <w:t>Civil</w:t>
            </w:r>
          </w:p>
        </w:tc>
        <w:tc>
          <w:tcPr>
            <w:tcW w:w="0" w:type="auto"/>
            <w:hideMark/>
          </w:tcPr>
          <w:p w14:paraId="70B184B7" w14:textId="77777777" w:rsidR="009C778C" w:rsidRPr="009C778C" w:rsidRDefault="009C778C" w:rsidP="007908BC">
            <w:pPr>
              <w:pStyle w:val="NoSpacing"/>
            </w:pPr>
            <w:r w:rsidRPr="009C778C">
              <w:t>Developed</w:t>
            </w:r>
          </w:p>
        </w:tc>
      </w:tr>
      <w:tr w:rsidR="009C778C" w:rsidRPr="009C778C" w14:paraId="2C9137BE" w14:textId="77777777" w:rsidTr="001A7C2C">
        <w:tc>
          <w:tcPr>
            <w:tcW w:w="0" w:type="auto"/>
            <w:hideMark/>
          </w:tcPr>
          <w:p w14:paraId="7A859B6D" w14:textId="77777777" w:rsidR="009C778C" w:rsidRPr="007908BC" w:rsidRDefault="009C778C" w:rsidP="007908BC">
            <w:pPr>
              <w:pStyle w:val="NoSpacing"/>
              <w:rPr>
                <w:b/>
                <w:bCs/>
              </w:rPr>
            </w:pPr>
            <w:r w:rsidRPr="007908BC">
              <w:rPr>
                <w:b/>
                <w:bCs/>
              </w:rPr>
              <w:t>Canada</w:t>
            </w:r>
          </w:p>
        </w:tc>
        <w:tc>
          <w:tcPr>
            <w:tcW w:w="0" w:type="auto"/>
            <w:hideMark/>
          </w:tcPr>
          <w:p w14:paraId="72A8A9D1" w14:textId="77777777" w:rsidR="009C778C" w:rsidRPr="009C778C" w:rsidRDefault="009C778C" w:rsidP="007908BC">
            <w:pPr>
              <w:pStyle w:val="NoSpacing"/>
            </w:pPr>
            <w:r w:rsidRPr="009C778C">
              <w:t>1,645</w:t>
            </w:r>
          </w:p>
        </w:tc>
        <w:tc>
          <w:tcPr>
            <w:tcW w:w="0" w:type="auto"/>
            <w:hideMark/>
          </w:tcPr>
          <w:p w14:paraId="4B87B5A1" w14:textId="77777777" w:rsidR="009C778C" w:rsidRPr="009C778C" w:rsidRDefault="009C778C" w:rsidP="007908BC">
            <w:pPr>
              <w:pStyle w:val="NoSpacing"/>
            </w:pPr>
            <w:r w:rsidRPr="009C778C">
              <w:t>0.371</w:t>
            </w:r>
          </w:p>
        </w:tc>
        <w:tc>
          <w:tcPr>
            <w:tcW w:w="0" w:type="auto"/>
            <w:hideMark/>
          </w:tcPr>
          <w:p w14:paraId="304FC153" w14:textId="77777777" w:rsidR="009C778C" w:rsidRPr="009C778C" w:rsidRDefault="009C778C" w:rsidP="007908BC">
            <w:pPr>
              <w:pStyle w:val="NoSpacing"/>
            </w:pPr>
            <w:r w:rsidRPr="009C778C">
              <w:t>0.145</w:t>
            </w:r>
          </w:p>
        </w:tc>
        <w:tc>
          <w:tcPr>
            <w:tcW w:w="0" w:type="auto"/>
            <w:hideMark/>
          </w:tcPr>
          <w:p w14:paraId="7EB84CD7" w14:textId="77777777" w:rsidR="009C778C" w:rsidRPr="009C778C" w:rsidRDefault="009C778C" w:rsidP="007908BC">
            <w:pPr>
              <w:pStyle w:val="NoSpacing"/>
            </w:pPr>
            <w:r w:rsidRPr="009C778C">
              <w:t>0.056</w:t>
            </w:r>
          </w:p>
        </w:tc>
        <w:tc>
          <w:tcPr>
            <w:tcW w:w="0" w:type="auto"/>
            <w:hideMark/>
          </w:tcPr>
          <w:p w14:paraId="7F68BD14" w14:textId="77777777" w:rsidR="009C778C" w:rsidRPr="009C778C" w:rsidRDefault="009C778C" w:rsidP="007908BC">
            <w:pPr>
              <w:pStyle w:val="NoSpacing"/>
            </w:pPr>
            <w:r w:rsidRPr="009C778C">
              <w:t>Common</w:t>
            </w:r>
          </w:p>
        </w:tc>
        <w:tc>
          <w:tcPr>
            <w:tcW w:w="0" w:type="auto"/>
            <w:hideMark/>
          </w:tcPr>
          <w:p w14:paraId="702A9489" w14:textId="77777777" w:rsidR="009C778C" w:rsidRPr="009C778C" w:rsidRDefault="009C778C" w:rsidP="007908BC">
            <w:pPr>
              <w:pStyle w:val="NoSpacing"/>
            </w:pPr>
            <w:r w:rsidRPr="009C778C">
              <w:t>Developed</w:t>
            </w:r>
          </w:p>
        </w:tc>
      </w:tr>
      <w:tr w:rsidR="009C778C" w:rsidRPr="009C778C" w14:paraId="3DC49403" w14:textId="77777777" w:rsidTr="001A7C2C">
        <w:tc>
          <w:tcPr>
            <w:tcW w:w="0" w:type="auto"/>
            <w:hideMark/>
          </w:tcPr>
          <w:p w14:paraId="5A14441F" w14:textId="77777777" w:rsidR="009C778C" w:rsidRPr="007908BC" w:rsidRDefault="009C778C" w:rsidP="007908BC">
            <w:pPr>
              <w:pStyle w:val="NoSpacing"/>
              <w:rPr>
                <w:b/>
                <w:bCs/>
              </w:rPr>
            </w:pPr>
            <w:r w:rsidRPr="007908BC">
              <w:rPr>
                <w:b/>
                <w:bCs/>
              </w:rPr>
              <w:t>Denmark</w:t>
            </w:r>
          </w:p>
        </w:tc>
        <w:tc>
          <w:tcPr>
            <w:tcW w:w="0" w:type="auto"/>
            <w:hideMark/>
          </w:tcPr>
          <w:p w14:paraId="568639C5" w14:textId="77777777" w:rsidR="009C778C" w:rsidRPr="009C778C" w:rsidRDefault="009C778C" w:rsidP="007908BC">
            <w:pPr>
              <w:pStyle w:val="NoSpacing"/>
            </w:pPr>
            <w:r w:rsidRPr="009C778C">
              <w:t>545</w:t>
            </w:r>
          </w:p>
        </w:tc>
        <w:tc>
          <w:tcPr>
            <w:tcW w:w="0" w:type="auto"/>
            <w:hideMark/>
          </w:tcPr>
          <w:p w14:paraId="7663129B" w14:textId="77777777" w:rsidR="009C778C" w:rsidRPr="009C778C" w:rsidRDefault="009C778C" w:rsidP="007908BC">
            <w:pPr>
              <w:pStyle w:val="NoSpacing"/>
            </w:pPr>
            <w:r w:rsidRPr="009C778C">
              <w:t>0.476</w:t>
            </w:r>
          </w:p>
        </w:tc>
        <w:tc>
          <w:tcPr>
            <w:tcW w:w="0" w:type="auto"/>
            <w:hideMark/>
          </w:tcPr>
          <w:p w14:paraId="51CDAE8E" w14:textId="77777777" w:rsidR="009C778C" w:rsidRPr="009C778C" w:rsidRDefault="009C778C" w:rsidP="007908BC">
            <w:pPr>
              <w:pStyle w:val="NoSpacing"/>
            </w:pPr>
            <w:r w:rsidRPr="009C778C">
              <w:t>0.113</w:t>
            </w:r>
          </w:p>
        </w:tc>
        <w:tc>
          <w:tcPr>
            <w:tcW w:w="0" w:type="auto"/>
            <w:hideMark/>
          </w:tcPr>
          <w:p w14:paraId="5AAE6D4D" w14:textId="77777777" w:rsidR="009C778C" w:rsidRPr="009C778C" w:rsidRDefault="009C778C" w:rsidP="007908BC">
            <w:pPr>
              <w:pStyle w:val="NoSpacing"/>
            </w:pPr>
            <w:r w:rsidRPr="009C778C">
              <w:t>0.056</w:t>
            </w:r>
          </w:p>
        </w:tc>
        <w:tc>
          <w:tcPr>
            <w:tcW w:w="0" w:type="auto"/>
            <w:hideMark/>
          </w:tcPr>
          <w:p w14:paraId="70A41C81" w14:textId="77777777" w:rsidR="009C778C" w:rsidRPr="009C778C" w:rsidRDefault="009C778C" w:rsidP="007908BC">
            <w:pPr>
              <w:pStyle w:val="NoSpacing"/>
            </w:pPr>
            <w:r w:rsidRPr="009C778C">
              <w:t>Civil</w:t>
            </w:r>
          </w:p>
        </w:tc>
        <w:tc>
          <w:tcPr>
            <w:tcW w:w="0" w:type="auto"/>
            <w:hideMark/>
          </w:tcPr>
          <w:p w14:paraId="62E67287" w14:textId="77777777" w:rsidR="009C778C" w:rsidRPr="009C778C" w:rsidRDefault="009C778C" w:rsidP="007908BC">
            <w:pPr>
              <w:pStyle w:val="NoSpacing"/>
            </w:pPr>
            <w:r w:rsidRPr="009C778C">
              <w:t>Developed</w:t>
            </w:r>
          </w:p>
        </w:tc>
      </w:tr>
      <w:tr w:rsidR="009C778C" w:rsidRPr="009C778C" w14:paraId="6FD61248" w14:textId="77777777" w:rsidTr="001A7C2C">
        <w:tc>
          <w:tcPr>
            <w:tcW w:w="0" w:type="auto"/>
            <w:hideMark/>
          </w:tcPr>
          <w:p w14:paraId="396F114E" w14:textId="77777777" w:rsidR="009C778C" w:rsidRPr="007908BC" w:rsidRDefault="009C778C" w:rsidP="007908BC">
            <w:pPr>
              <w:pStyle w:val="NoSpacing"/>
              <w:rPr>
                <w:b/>
                <w:bCs/>
              </w:rPr>
            </w:pPr>
            <w:r w:rsidRPr="007908BC">
              <w:rPr>
                <w:b/>
                <w:bCs/>
              </w:rPr>
              <w:t>Finland</w:t>
            </w:r>
          </w:p>
        </w:tc>
        <w:tc>
          <w:tcPr>
            <w:tcW w:w="0" w:type="auto"/>
            <w:hideMark/>
          </w:tcPr>
          <w:p w14:paraId="74F7AB7C" w14:textId="77777777" w:rsidR="009C778C" w:rsidRPr="009C778C" w:rsidRDefault="009C778C" w:rsidP="007908BC">
            <w:pPr>
              <w:pStyle w:val="NoSpacing"/>
            </w:pPr>
            <w:r w:rsidRPr="009C778C">
              <w:t>815</w:t>
            </w:r>
          </w:p>
        </w:tc>
        <w:tc>
          <w:tcPr>
            <w:tcW w:w="0" w:type="auto"/>
            <w:hideMark/>
          </w:tcPr>
          <w:p w14:paraId="5C7A9F31" w14:textId="77777777" w:rsidR="009C778C" w:rsidRPr="009C778C" w:rsidRDefault="009C778C" w:rsidP="007908BC">
            <w:pPr>
              <w:pStyle w:val="NoSpacing"/>
            </w:pPr>
            <w:r w:rsidRPr="009C778C">
              <w:t>0.423</w:t>
            </w:r>
          </w:p>
        </w:tc>
        <w:tc>
          <w:tcPr>
            <w:tcW w:w="0" w:type="auto"/>
            <w:hideMark/>
          </w:tcPr>
          <w:p w14:paraId="673A1169" w14:textId="77777777" w:rsidR="009C778C" w:rsidRPr="009C778C" w:rsidRDefault="009C778C" w:rsidP="007908BC">
            <w:pPr>
              <w:pStyle w:val="NoSpacing"/>
            </w:pPr>
            <w:r w:rsidRPr="009C778C">
              <w:t>0.109</w:t>
            </w:r>
          </w:p>
        </w:tc>
        <w:tc>
          <w:tcPr>
            <w:tcW w:w="0" w:type="auto"/>
            <w:hideMark/>
          </w:tcPr>
          <w:p w14:paraId="39BAD797" w14:textId="77777777" w:rsidR="009C778C" w:rsidRPr="009C778C" w:rsidRDefault="009C778C" w:rsidP="007908BC">
            <w:pPr>
              <w:pStyle w:val="NoSpacing"/>
            </w:pPr>
            <w:r w:rsidRPr="009C778C">
              <w:t>0.090</w:t>
            </w:r>
          </w:p>
        </w:tc>
        <w:tc>
          <w:tcPr>
            <w:tcW w:w="0" w:type="auto"/>
            <w:hideMark/>
          </w:tcPr>
          <w:p w14:paraId="4FED8BA7" w14:textId="77777777" w:rsidR="009C778C" w:rsidRPr="009C778C" w:rsidRDefault="009C778C" w:rsidP="007908BC">
            <w:pPr>
              <w:pStyle w:val="NoSpacing"/>
            </w:pPr>
            <w:r w:rsidRPr="009C778C">
              <w:t>Civil</w:t>
            </w:r>
          </w:p>
        </w:tc>
        <w:tc>
          <w:tcPr>
            <w:tcW w:w="0" w:type="auto"/>
            <w:hideMark/>
          </w:tcPr>
          <w:p w14:paraId="671370AA" w14:textId="77777777" w:rsidR="009C778C" w:rsidRPr="009C778C" w:rsidRDefault="009C778C" w:rsidP="007908BC">
            <w:pPr>
              <w:pStyle w:val="NoSpacing"/>
            </w:pPr>
            <w:r w:rsidRPr="009C778C">
              <w:t>Developed</w:t>
            </w:r>
          </w:p>
        </w:tc>
      </w:tr>
      <w:tr w:rsidR="009C778C" w:rsidRPr="009C778C" w14:paraId="2E08D69D" w14:textId="77777777" w:rsidTr="001A7C2C">
        <w:tc>
          <w:tcPr>
            <w:tcW w:w="0" w:type="auto"/>
            <w:hideMark/>
          </w:tcPr>
          <w:p w14:paraId="02883CE9" w14:textId="77777777" w:rsidR="009C778C" w:rsidRPr="007908BC" w:rsidRDefault="009C778C" w:rsidP="007908BC">
            <w:pPr>
              <w:pStyle w:val="NoSpacing"/>
              <w:rPr>
                <w:b/>
                <w:bCs/>
              </w:rPr>
            </w:pPr>
            <w:r w:rsidRPr="007908BC">
              <w:rPr>
                <w:b/>
                <w:bCs/>
              </w:rPr>
              <w:t>France</w:t>
            </w:r>
          </w:p>
        </w:tc>
        <w:tc>
          <w:tcPr>
            <w:tcW w:w="0" w:type="auto"/>
            <w:hideMark/>
          </w:tcPr>
          <w:p w14:paraId="3F9567B9" w14:textId="77777777" w:rsidR="009C778C" w:rsidRPr="009C778C" w:rsidRDefault="009C778C" w:rsidP="007908BC">
            <w:pPr>
              <w:pStyle w:val="NoSpacing"/>
            </w:pPr>
            <w:r w:rsidRPr="009C778C">
              <w:t>3,417</w:t>
            </w:r>
          </w:p>
        </w:tc>
        <w:tc>
          <w:tcPr>
            <w:tcW w:w="0" w:type="auto"/>
            <w:hideMark/>
          </w:tcPr>
          <w:p w14:paraId="61B8FD13" w14:textId="77777777" w:rsidR="009C778C" w:rsidRPr="009C778C" w:rsidRDefault="009C778C" w:rsidP="007908BC">
            <w:pPr>
              <w:pStyle w:val="NoSpacing"/>
            </w:pPr>
            <w:r w:rsidRPr="009C778C">
              <w:t>0.419</w:t>
            </w:r>
          </w:p>
        </w:tc>
        <w:tc>
          <w:tcPr>
            <w:tcW w:w="0" w:type="auto"/>
            <w:hideMark/>
          </w:tcPr>
          <w:p w14:paraId="10D19CB8" w14:textId="77777777" w:rsidR="009C778C" w:rsidRPr="009C778C" w:rsidRDefault="009C778C" w:rsidP="007908BC">
            <w:pPr>
              <w:pStyle w:val="NoSpacing"/>
            </w:pPr>
            <w:r w:rsidRPr="009C778C">
              <w:t>0.038</w:t>
            </w:r>
          </w:p>
        </w:tc>
        <w:tc>
          <w:tcPr>
            <w:tcW w:w="0" w:type="auto"/>
            <w:hideMark/>
          </w:tcPr>
          <w:p w14:paraId="5475F803" w14:textId="77777777" w:rsidR="009C778C" w:rsidRPr="009C778C" w:rsidRDefault="009C778C" w:rsidP="007908BC">
            <w:pPr>
              <w:pStyle w:val="NoSpacing"/>
            </w:pPr>
            <w:r w:rsidRPr="009C778C">
              <w:t>0.055</w:t>
            </w:r>
          </w:p>
        </w:tc>
        <w:tc>
          <w:tcPr>
            <w:tcW w:w="0" w:type="auto"/>
            <w:hideMark/>
          </w:tcPr>
          <w:p w14:paraId="4CB87BA2" w14:textId="77777777" w:rsidR="009C778C" w:rsidRPr="009C778C" w:rsidRDefault="009C778C" w:rsidP="007908BC">
            <w:pPr>
              <w:pStyle w:val="NoSpacing"/>
            </w:pPr>
            <w:r w:rsidRPr="009C778C">
              <w:t>Civil</w:t>
            </w:r>
          </w:p>
        </w:tc>
        <w:tc>
          <w:tcPr>
            <w:tcW w:w="0" w:type="auto"/>
            <w:hideMark/>
          </w:tcPr>
          <w:p w14:paraId="5C6BC8F2" w14:textId="77777777" w:rsidR="009C778C" w:rsidRPr="009C778C" w:rsidRDefault="009C778C" w:rsidP="007908BC">
            <w:pPr>
              <w:pStyle w:val="NoSpacing"/>
            </w:pPr>
            <w:r w:rsidRPr="009C778C">
              <w:t>Developed</w:t>
            </w:r>
          </w:p>
        </w:tc>
      </w:tr>
      <w:tr w:rsidR="009C778C" w:rsidRPr="009C778C" w14:paraId="512EB30F" w14:textId="77777777" w:rsidTr="001A7C2C">
        <w:tc>
          <w:tcPr>
            <w:tcW w:w="0" w:type="auto"/>
            <w:hideMark/>
          </w:tcPr>
          <w:p w14:paraId="241E11B0" w14:textId="77777777" w:rsidR="009C778C" w:rsidRPr="007908BC" w:rsidRDefault="009C778C" w:rsidP="007908BC">
            <w:pPr>
              <w:pStyle w:val="NoSpacing"/>
              <w:rPr>
                <w:b/>
                <w:bCs/>
              </w:rPr>
            </w:pPr>
            <w:r w:rsidRPr="007908BC">
              <w:rPr>
                <w:b/>
                <w:bCs/>
              </w:rPr>
              <w:t>Germany</w:t>
            </w:r>
          </w:p>
        </w:tc>
        <w:tc>
          <w:tcPr>
            <w:tcW w:w="0" w:type="auto"/>
            <w:hideMark/>
          </w:tcPr>
          <w:p w14:paraId="30995FCF" w14:textId="77777777" w:rsidR="009C778C" w:rsidRPr="009C778C" w:rsidRDefault="009C778C" w:rsidP="007908BC">
            <w:pPr>
              <w:pStyle w:val="NoSpacing"/>
            </w:pPr>
            <w:r w:rsidRPr="009C778C">
              <w:t>3,023</w:t>
            </w:r>
          </w:p>
        </w:tc>
        <w:tc>
          <w:tcPr>
            <w:tcW w:w="0" w:type="auto"/>
            <w:hideMark/>
          </w:tcPr>
          <w:p w14:paraId="06FD5DFF" w14:textId="77777777" w:rsidR="009C778C" w:rsidRPr="009C778C" w:rsidRDefault="009C778C" w:rsidP="007908BC">
            <w:pPr>
              <w:pStyle w:val="NoSpacing"/>
            </w:pPr>
            <w:r w:rsidRPr="009C778C">
              <w:t>0.507</w:t>
            </w:r>
          </w:p>
        </w:tc>
        <w:tc>
          <w:tcPr>
            <w:tcW w:w="0" w:type="auto"/>
            <w:hideMark/>
          </w:tcPr>
          <w:p w14:paraId="410BB24A" w14:textId="77777777" w:rsidR="009C778C" w:rsidRPr="009C778C" w:rsidRDefault="009C778C" w:rsidP="007908BC">
            <w:pPr>
              <w:pStyle w:val="NoSpacing"/>
            </w:pPr>
            <w:r w:rsidRPr="009C778C">
              <w:t>0.050</w:t>
            </w:r>
          </w:p>
        </w:tc>
        <w:tc>
          <w:tcPr>
            <w:tcW w:w="0" w:type="auto"/>
            <w:hideMark/>
          </w:tcPr>
          <w:p w14:paraId="78C392A0" w14:textId="77777777" w:rsidR="009C778C" w:rsidRPr="009C778C" w:rsidRDefault="009C778C" w:rsidP="007908BC">
            <w:pPr>
              <w:pStyle w:val="NoSpacing"/>
            </w:pPr>
            <w:r w:rsidRPr="009C778C">
              <w:t>0.075</w:t>
            </w:r>
          </w:p>
        </w:tc>
        <w:tc>
          <w:tcPr>
            <w:tcW w:w="0" w:type="auto"/>
            <w:hideMark/>
          </w:tcPr>
          <w:p w14:paraId="01DD0ADA" w14:textId="77777777" w:rsidR="009C778C" w:rsidRPr="009C778C" w:rsidRDefault="009C778C" w:rsidP="007908BC">
            <w:pPr>
              <w:pStyle w:val="NoSpacing"/>
            </w:pPr>
            <w:r w:rsidRPr="009C778C">
              <w:t>Civil</w:t>
            </w:r>
          </w:p>
        </w:tc>
        <w:tc>
          <w:tcPr>
            <w:tcW w:w="0" w:type="auto"/>
            <w:hideMark/>
          </w:tcPr>
          <w:p w14:paraId="17F5F117" w14:textId="77777777" w:rsidR="009C778C" w:rsidRPr="009C778C" w:rsidRDefault="009C778C" w:rsidP="007908BC">
            <w:pPr>
              <w:pStyle w:val="NoSpacing"/>
            </w:pPr>
            <w:r w:rsidRPr="009C778C">
              <w:t>Developed</w:t>
            </w:r>
          </w:p>
        </w:tc>
      </w:tr>
      <w:tr w:rsidR="009C778C" w:rsidRPr="009C778C" w14:paraId="110B87B1" w14:textId="77777777" w:rsidTr="001A7C2C">
        <w:tc>
          <w:tcPr>
            <w:tcW w:w="0" w:type="auto"/>
            <w:hideMark/>
          </w:tcPr>
          <w:p w14:paraId="07981DAB" w14:textId="77777777" w:rsidR="009C778C" w:rsidRPr="007908BC" w:rsidRDefault="009C778C" w:rsidP="007908BC">
            <w:pPr>
              <w:pStyle w:val="NoSpacing"/>
              <w:rPr>
                <w:b/>
                <w:bCs/>
              </w:rPr>
            </w:pPr>
            <w:r w:rsidRPr="007908BC">
              <w:rPr>
                <w:b/>
                <w:bCs/>
              </w:rPr>
              <w:t>Greece</w:t>
            </w:r>
          </w:p>
        </w:tc>
        <w:tc>
          <w:tcPr>
            <w:tcW w:w="0" w:type="auto"/>
            <w:hideMark/>
          </w:tcPr>
          <w:p w14:paraId="71B6ED14" w14:textId="77777777" w:rsidR="009C778C" w:rsidRPr="009C778C" w:rsidRDefault="009C778C" w:rsidP="007908BC">
            <w:pPr>
              <w:pStyle w:val="NoSpacing"/>
            </w:pPr>
            <w:r w:rsidRPr="009C778C">
              <w:t>581</w:t>
            </w:r>
          </w:p>
        </w:tc>
        <w:tc>
          <w:tcPr>
            <w:tcW w:w="0" w:type="auto"/>
            <w:hideMark/>
          </w:tcPr>
          <w:p w14:paraId="11B20ECE" w14:textId="77777777" w:rsidR="009C778C" w:rsidRPr="009C778C" w:rsidRDefault="009C778C" w:rsidP="007908BC">
            <w:pPr>
              <w:pStyle w:val="NoSpacing"/>
            </w:pPr>
            <w:r w:rsidRPr="009C778C">
              <w:t>0.796</w:t>
            </w:r>
          </w:p>
        </w:tc>
        <w:tc>
          <w:tcPr>
            <w:tcW w:w="0" w:type="auto"/>
            <w:hideMark/>
          </w:tcPr>
          <w:p w14:paraId="76EEB618" w14:textId="77777777" w:rsidR="009C778C" w:rsidRPr="009C778C" w:rsidRDefault="009C778C" w:rsidP="007908BC">
            <w:pPr>
              <w:pStyle w:val="NoSpacing"/>
            </w:pPr>
            <w:r w:rsidRPr="009C778C">
              <w:t>0.005</w:t>
            </w:r>
          </w:p>
        </w:tc>
        <w:tc>
          <w:tcPr>
            <w:tcW w:w="0" w:type="auto"/>
            <w:hideMark/>
          </w:tcPr>
          <w:p w14:paraId="3ECCBEF0" w14:textId="77777777" w:rsidR="009C778C" w:rsidRPr="009C778C" w:rsidRDefault="009C778C" w:rsidP="007908BC">
            <w:pPr>
              <w:pStyle w:val="NoSpacing"/>
            </w:pPr>
            <w:r w:rsidRPr="009C778C">
              <w:t>0.050</w:t>
            </w:r>
          </w:p>
        </w:tc>
        <w:tc>
          <w:tcPr>
            <w:tcW w:w="0" w:type="auto"/>
            <w:hideMark/>
          </w:tcPr>
          <w:p w14:paraId="4FC5DFB8" w14:textId="77777777" w:rsidR="009C778C" w:rsidRPr="009C778C" w:rsidRDefault="009C778C" w:rsidP="007908BC">
            <w:pPr>
              <w:pStyle w:val="NoSpacing"/>
            </w:pPr>
            <w:r w:rsidRPr="009C778C">
              <w:t>Civil</w:t>
            </w:r>
          </w:p>
        </w:tc>
        <w:tc>
          <w:tcPr>
            <w:tcW w:w="0" w:type="auto"/>
            <w:hideMark/>
          </w:tcPr>
          <w:p w14:paraId="75246A36" w14:textId="77777777" w:rsidR="009C778C" w:rsidRPr="009C778C" w:rsidRDefault="009C778C" w:rsidP="007908BC">
            <w:pPr>
              <w:pStyle w:val="NoSpacing"/>
            </w:pPr>
            <w:r w:rsidRPr="009C778C">
              <w:t>Developed</w:t>
            </w:r>
          </w:p>
        </w:tc>
      </w:tr>
      <w:tr w:rsidR="009C778C" w:rsidRPr="009C778C" w14:paraId="0E4269A1" w14:textId="77777777" w:rsidTr="001A7C2C">
        <w:tc>
          <w:tcPr>
            <w:tcW w:w="0" w:type="auto"/>
            <w:hideMark/>
          </w:tcPr>
          <w:p w14:paraId="02613E56" w14:textId="77777777" w:rsidR="009C778C" w:rsidRPr="007908BC" w:rsidRDefault="009C778C" w:rsidP="007908BC">
            <w:pPr>
              <w:pStyle w:val="NoSpacing"/>
              <w:rPr>
                <w:b/>
                <w:bCs/>
              </w:rPr>
            </w:pPr>
            <w:r w:rsidRPr="007908BC">
              <w:rPr>
                <w:b/>
                <w:bCs/>
              </w:rPr>
              <w:t>Hong Kong</w:t>
            </w:r>
          </w:p>
        </w:tc>
        <w:tc>
          <w:tcPr>
            <w:tcW w:w="0" w:type="auto"/>
            <w:hideMark/>
          </w:tcPr>
          <w:p w14:paraId="67A12316" w14:textId="77777777" w:rsidR="009C778C" w:rsidRPr="009C778C" w:rsidRDefault="009C778C" w:rsidP="007908BC">
            <w:pPr>
              <w:pStyle w:val="NoSpacing"/>
            </w:pPr>
            <w:r w:rsidRPr="009C778C">
              <w:t>2,369</w:t>
            </w:r>
          </w:p>
        </w:tc>
        <w:tc>
          <w:tcPr>
            <w:tcW w:w="0" w:type="auto"/>
            <w:hideMark/>
          </w:tcPr>
          <w:p w14:paraId="2BCBE587" w14:textId="77777777" w:rsidR="009C778C" w:rsidRPr="009C778C" w:rsidRDefault="009C778C" w:rsidP="007908BC">
            <w:pPr>
              <w:pStyle w:val="NoSpacing"/>
            </w:pPr>
            <w:r w:rsidRPr="009C778C">
              <w:t>0.767</w:t>
            </w:r>
          </w:p>
        </w:tc>
        <w:tc>
          <w:tcPr>
            <w:tcW w:w="0" w:type="auto"/>
            <w:hideMark/>
          </w:tcPr>
          <w:p w14:paraId="4831310D" w14:textId="77777777" w:rsidR="009C778C" w:rsidRPr="009C778C" w:rsidRDefault="009C778C" w:rsidP="007908BC">
            <w:pPr>
              <w:pStyle w:val="NoSpacing"/>
            </w:pPr>
            <w:r w:rsidRPr="009C778C">
              <w:t>0.013</w:t>
            </w:r>
          </w:p>
        </w:tc>
        <w:tc>
          <w:tcPr>
            <w:tcW w:w="0" w:type="auto"/>
            <w:hideMark/>
          </w:tcPr>
          <w:p w14:paraId="2233A4BA" w14:textId="77777777" w:rsidR="009C778C" w:rsidRPr="009C778C" w:rsidRDefault="009C778C" w:rsidP="007908BC">
            <w:pPr>
              <w:pStyle w:val="NoSpacing"/>
            </w:pPr>
            <w:r w:rsidRPr="009C778C">
              <w:t>0.052</w:t>
            </w:r>
          </w:p>
        </w:tc>
        <w:tc>
          <w:tcPr>
            <w:tcW w:w="0" w:type="auto"/>
            <w:hideMark/>
          </w:tcPr>
          <w:p w14:paraId="324347B7" w14:textId="77777777" w:rsidR="009C778C" w:rsidRPr="009C778C" w:rsidRDefault="009C778C" w:rsidP="007908BC">
            <w:pPr>
              <w:pStyle w:val="NoSpacing"/>
            </w:pPr>
            <w:r w:rsidRPr="009C778C">
              <w:t>Common</w:t>
            </w:r>
          </w:p>
        </w:tc>
        <w:tc>
          <w:tcPr>
            <w:tcW w:w="0" w:type="auto"/>
            <w:hideMark/>
          </w:tcPr>
          <w:p w14:paraId="5A2310A5" w14:textId="77777777" w:rsidR="009C778C" w:rsidRPr="009C778C" w:rsidRDefault="009C778C" w:rsidP="007908BC">
            <w:pPr>
              <w:pStyle w:val="NoSpacing"/>
            </w:pPr>
            <w:r w:rsidRPr="009C778C">
              <w:t>Developed</w:t>
            </w:r>
          </w:p>
        </w:tc>
      </w:tr>
      <w:tr w:rsidR="009C778C" w:rsidRPr="009C778C" w14:paraId="4C16D80B" w14:textId="77777777" w:rsidTr="001A7C2C">
        <w:tc>
          <w:tcPr>
            <w:tcW w:w="0" w:type="auto"/>
            <w:hideMark/>
          </w:tcPr>
          <w:p w14:paraId="24DAF73E" w14:textId="77777777" w:rsidR="009C778C" w:rsidRPr="007908BC" w:rsidRDefault="009C778C" w:rsidP="007908BC">
            <w:pPr>
              <w:pStyle w:val="NoSpacing"/>
              <w:rPr>
                <w:b/>
                <w:bCs/>
              </w:rPr>
            </w:pPr>
            <w:r w:rsidRPr="007908BC">
              <w:rPr>
                <w:b/>
                <w:bCs/>
              </w:rPr>
              <w:t>India</w:t>
            </w:r>
          </w:p>
        </w:tc>
        <w:tc>
          <w:tcPr>
            <w:tcW w:w="0" w:type="auto"/>
            <w:hideMark/>
          </w:tcPr>
          <w:p w14:paraId="7F4BD060" w14:textId="77777777" w:rsidR="009C778C" w:rsidRPr="009C778C" w:rsidRDefault="009C778C" w:rsidP="007908BC">
            <w:pPr>
              <w:pStyle w:val="NoSpacing"/>
            </w:pPr>
            <w:r w:rsidRPr="009C778C">
              <w:t>3,514</w:t>
            </w:r>
          </w:p>
        </w:tc>
        <w:tc>
          <w:tcPr>
            <w:tcW w:w="0" w:type="auto"/>
            <w:hideMark/>
          </w:tcPr>
          <w:p w14:paraId="1A85DE53" w14:textId="77777777" w:rsidR="009C778C" w:rsidRPr="009C778C" w:rsidRDefault="009C778C" w:rsidP="007908BC">
            <w:pPr>
              <w:pStyle w:val="NoSpacing"/>
            </w:pPr>
            <w:r w:rsidRPr="009C778C">
              <w:t>0.739</w:t>
            </w:r>
          </w:p>
        </w:tc>
        <w:tc>
          <w:tcPr>
            <w:tcW w:w="0" w:type="auto"/>
            <w:hideMark/>
          </w:tcPr>
          <w:p w14:paraId="1CAEDBEA" w14:textId="77777777" w:rsidR="009C778C" w:rsidRPr="009C778C" w:rsidRDefault="009C778C" w:rsidP="007908BC">
            <w:pPr>
              <w:pStyle w:val="NoSpacing"/>
            </w:pPr>
            <w:r w:rsidRPr="009C778C">
              <w:t>0.050</w:t>
            </w:r>
          </w:p>
        </w:tc>
        <w:tc>
          <w:tcPr>
            <w:tcW w:w="0" w:type="auto"/>
            <w:hideMark/>
          </w:tcPr>
          <w:p w14:paraId="7B37579A" w14:textId="77777777" w:rsidR="009C778C" w:rsidRPr="009C778C" w:rsidRDefault="009C778C" w:rsidP="007908BC">
            <w:pPr>
              <w:pStyle w:val="NoSpacing"/>
            </w:pPr>
            <w:r w:rsidRPr="009C778C">
              <w:t>0.036</w:t>
            </w:r>
          </w:p>
        </w:tc>
        <w:tc>
          <w:tcPr>
            <w:tcW w:w="0" w:type="auto"/>
            <w:hideMark/>
          </w:tcPr>
          <w:p w14:paraId="1528A69C" w14:textId="77777777" w:rsidR="009C778C" w:rsidRPr="009C778C" w:rsidRDefault="009C778C" w:rsidP="007908BC">
            <w:pPr>
              <w:pStyle w:val="NoSpacing"/>
            </w:pPr>
            <w:r w:rsidRPr="009C778C">
              <w:t>Common</w:t>
            </w:r>
          </w:p>
        </w:tc>
        <w:tc>
          <w:tcPr>
            <w:tcW w:w="0" w:type="auto"/>
            <w:hideMark/>
          </w:tcPr>
          <w:p w14:paraId="538C654B" w14:textId="77777777" w:rsidR="009C778C" w:rsidRPr="009C778C" w:rsidRDefault="009C778C" w:rsidP="007908BC">
            <w:pPr>
              <w:pStyle w:val="NoSpacing"/>
            </w:pPr>
            <w:r w:rsidRPr="009C778C">
              <w:t>Emerging</w:t>
            </w:r>
          </w:p>
        </w:tc>
      </w:tr>
      <w:tr w:rsidR="009C778C" w:rsidRPr="009C778C" w14:paraId="00225D34" w14:textId="77777777" w:rsidTr="001A7C2C">
        <w:tc>
          <w:tcPr>
            <w:tcW w:w="0" w:type="auto"/>
            <w:hideMark/>
          </w:tcPr>
          <w:p w14:paraId="236B0A1F" w14:textId="77777777" w:rsidR="009C778C" w:rsidRPr="007908BC" w:rsidRDefault="009C778C" w:rsidP="007908BC">
            <w:pPr>
              <w:pStyle w:val="NoSpacing"/>
              <w:rPr>
                <w:b/>
                <w:bCs/>
              </w:rPr>
            </w:pPr>
            <w:r w:rsidRPr="007908BC">
              <w:rPr>
                <w:b/>
                <w:bCs/>
              </w:rPr>
              <w:t>Ireland</w:t>
            </w:r>
          </w:p>
        </w:tc>
        <w:tc>
          <w:tcPr>
            <w:tcW w:w="0" w:type="auto"/>
            <w:hideMark/>
          </w:tcPr>
          <w:p w14:paraId="5C6FFEDB" w14:textId="77777777" w:rsidR="009C778C" w:rsidRPr="009C778C" w:rsidRDefault="009C778C" w:rsidP="007908BC">
            <w:pPr>
              <w:pStyle w:val="NoSpacing"/>
            </w:pPr>
            <w:r w:rsidRPr="009C778C">
              <w:t>196</w:t>
            </w:r>
          </w:p>
        </w:tc>
        <w:tc>
          <w:tcPr>
            <w:tcW w:w="0" w:type="auto"/>
            <w:hideMark/>
          </w:tcPr>
          <w:p w14:paraId="4F910F38" w14:textId="77777777" w:rsidR="009C778C" w:rsidRPr="009C778C" w:rsidRDefault="009C778C" w:rsidP="007908BC">
            <w:pPr>
              <w:pStyle w:val="NoSpacing"/>
            </w:pPr>
            <w:r w:rsidRPr="009C778C">
              <w:t>0.460</w:t>
            </w:r>
          </w:p>
        </w:tc>
        <w:tc>
          <w:tcPr>
            <w:tcW w:w="0" w:type="auto"/>
            <w:hideMark/>
          </w:tcPr>
          <w:p w14:paraId="0B01B442" w14:textId="77777777" w:rsidR="009C778C" w:rsidRPr="009C778C" w:rsidRDefault="009C778C" w:rsidP="007908BC">
            <w:pPr>
              <w:pStyle w:val="NoSpacing"/>
            </w:pPr>
            <w:r w:rsidRPr="009C778C">
              <w:t>0.009</w:t>
            </w:r>
          </w:p>
        </w:tc>
        <w:tc>
          <w:tcPr>
            <w:tcW w:w="0" w:type="auto"/>
            <w:hideMark/>
          </w:tcPr>
          <w:p w14:paraId="5B6D0471" w14:textId="77777777" w:rsidR="009C778C" w:rsidRPr="009C778C" w:rsidRDefault="009C778C" w:rsidP="007908BC">
            <w:pPr>
              <w:pStyle w:val="NoSpacing"/>
            </w:pPr>
            <w:r w:rsidRPr="009C778C">
              <w:t>0.133</w:t>
            </w:r>
          </w:p>
        </w:tc>
        <w:tc>
          <w:tcPr>
            <w:tcW w:w="0" w:type="auto"/>
            <w:hideMark/>
          </w:tcPr>
          <w:p w14:paraId="0050534C" w14:textId="77777777" w:rsidR="009C778C" w:rsidRPr="009C778C" w:rsidRDefault="009C778C" w:rsidP="007908BC">
            <w:pPr>
              <w:pStyle w:val="NoSpacing"/>
            </w:pPr>
            <w:r w:rsidRPr="009C778C">
              <w:t>Common</w:t>
            </w:r>
          </w:p>
        </w:tc>
        <w:tc>
          <w:tcPr>
            <w:tcW w:w="0" w:type="auto"/>
            <w:hideMark/>
          </w:tcPr>
          <w:p w14:paraId="249841D5" w14:textId="77777777" w:rsidR="009C778C" w:rsidRPr="009C778C" w:rsidRDefault="009C778C" w:rsidP="007908BC">
            <w:pPr>
              <w:pStyle w:val="NoSpacing"/>
            </w:pPr>
            <w:r w:rsidRPr="009C778C">
              <w:t>Developed</w:t>
            </w:r>
          </w:p>
        </w:tc>
      </w:tr>
      <w:tr w:rsidR="009C778C" w:rsidRPr="009C778C" w14:paraId="1A6ECE3A" w14:textId="77777777" w:rsidTr="001A7C2C">
        <w:tc>
          <w:tcPr>
            <w:tcW w:w="0" w:type="auto"/>
            <w:hideMark/>
          </w:tcPr>
          <w:p w14:paraId="415E4711" w14:textId="77777777" w:rsidR="009C778C" w:rsidRPr="007908BC" w:rsidRDefault="009C778C" w:rsidP="007908BC">
            <w:pPr>
              <w:pStyle w:val="NoSpacing"/>
              <w:rPr>
                <w:b/>
                <w:bCs/>
              </w:rPr>
            </w:pPr>
            <w:r w:rsidRPr="007908BC">
              <w:rPr>
                <w:b/>
                <w:bCs/>
              </w:rPr>
              <w:t>Italy</w:t>
            </w:r>
          </w:p>
        </w:tc>
        <w:tc>
          <w:tcPr>
            <w:tcW w:w="0" w:type="auto"/>
            <w:hideMark/>
          </w:tcPr>
          <w:p w14:paraId="58D93356" w14:textId="77777777" w:rsidR="009C778C" w:rsidRPr="009C778C" w:rsidRDefault="009C778C" w:rsidP="007908BC">
            <w:pPr>
              <w:pStyle w:val="NoSpacing"/>
            </w:pPr>
            <w:r w:rsidRPr="009C778C">
              <w:t>1,023</w:t>
            </w:r>
          </w:p>
        </w:tc>
        <w:tc>
          <w:tcPr>
            <w:tcW w:w="0" w:type="auto"/>
            <w:hideMark/>
          </w:tcPr>
          <w:p w14:paraId="1F936281" w14:textId="77777777" w:rsidR="009C778C" w:rsidRPr="009C778C" w:rsidRDefault="009C778C" w:rsidP="007908BC">
            <w:pPr>
              <w:pStyle w:val="NoSpacing"/>
            </w:pPr>
            <w:r w:rsidRPr="009C778C">
              <w:t>0.455</w:t>
            </w:r>
          </w:p>
        </w:tc>
        <w:tc>
          <w:tcPr>
            <w:tcW w:w="0" w:type="auto"/>
            <w:hideMark/>
          </w:tcPr>
          <w:p w14:paraId="7436B6CB" w14:textId="77777777" w:rsidR="009C778C" w:rsidRPr="009C778C" w:rsidRDefault="009C778C" w:rsidP="007908BC">
            <w:pPr>
              <w:pStyle w:val="NoSpacing"/>
            </w:pPr>
            <w:r w:rsidRPr="009C778C">
              <w:t>0.019</w:t>
            </w:r>
          </w:p>
        </w:tc>
        <w:tc>
          <w:tcPr>
            <w:tcW w:w="0" w:type="auto"/>
            <w:hideMark/>
          </w:tcPr>
          <w:p w14:paraId="720F71F8" w14:textId="77777777" w:rsidR="009C778C" w:rsidRPr="009C778C" w:rsidRDefault="009C778C" w:rsidP="007908BC">
            <w:pPr>
              <w:pStyle w:val="NoSpacing"/>
            </w:pPr>
            <w:r w:rsidRPr="009C778C">
              <w:t>0.066</w:t>
            </w:r>
          </w:p>
        </w:tc>
        <w:tc>
          <w:tcPr>
            <w:tcW w:w="0" w:type="auto"/>
            <w:hideMark/>
          </w:tcPr>
          <w:p w14:paraId="55942A68" w14:textId="77777777" w:rsidR="009C778C" w:rsidRPr="009C778C" w:rsidRDefault="009C778C" w:rsidP="007908BC">
            <w:pPr>
              <w:pStyle w:val="NoSpacing"/>
            </w:pPr>
            <w:r w:rsidRPr="009C778C">
              <w:t>Civil</w:t>
            </w:r>
          </w:p>
        </w:tc>
        <w:tc>
          <w:tcPr>
            <w:tcW w:w="0" w:type="auto"/>
            <w:hideMark/>
          </w:tcPr>
          <w:p w14:paraId="302BC69A" w14:textId="77777777" w:rsidR="009C778C" w:rsidRPr="009C778C" w:rsidRDefault="009C778C" w:rsidP="007908BC">
            <w:pPr>
              <w:pStyle w:val="NoSpacing"/>
            </w:pPr>
            <w:r w:rsidRPr="009C778C">
              <w:t>Developed</w:t>
            </w:r>
          </w:p>
        </w:tc>
      </w:tr>
      <w:tr w:rsidR="009C778C" w:rsidRPr="009C778C" w14:paraId="1D671C6E" w14:textId="77777777" w:rsidTr="001A7C2C">
        <w:tc>
          <w:tcPr>
            <w:tcW w:w="0" w:type="auto"/>
            <w:hideMark/>
          </w:tcPr>
          <w:p w14:paraId="27EA371A" w14:textId="77777777" w:rsidR="009C778C" w:rsidRPr="007908BC" w:rsidRDefault="009C778C" w:rsidP="007908BC">
            <w:pPr>
              <w:pStyle w:val="NoSpacing"/>
              <w:rPr>
                <w:b/>
                <w:bCs/>
              </w:rPr>
            </w:pPr>
            <w:r w:rsidRPr="007908BC">
              <w:rPr>
                <w:b/>
                <w:bCs/>
              </w:rPr>
              <w:t>Japan</w:t>
            </w:r>
          </w:p>
        </w:tc>
        <w:tc>
          <w:tcPr>
            <w:tcW w:w="0" w:type="auto"/>
            <w:hideMark/>
          </w:tcPr>
          <w:p w14:paraId="5F50A47B" w14:textId="77777777" w:rsidR="009C778C" w:rsidRPr="009C778C" w:rsidRDefault="009C778C" w:rsidP="007908BC">
            <w:pPr>
              <w:pStyle w:val="NoSpacing"/>
            </w:pPr>
            <w:r w:rsidRPr="009C778C">
              <w:t>18,204</w:t>
            </w:r>
          </w:p>
        </w:tc>
        <w:tc>
          <w:tcPr>
            <w:tcW w:w="0" w:type="auto"/>
            <w:hideMark/>
          </w:tcPr>
          <w:p w14:paraId="33C2D9D4" w14:textId="77777777" w:rsidR="009C778C" w:rsidRPr="009C778C" w:rsidRDefault="009C778C" w:rsidP="007908BC">
            <w:pPr>
              <w:pStyle w:val="NoSpacing"/>
            </w:pPr>
            <w:r w:rsidRPr="009C778C">
              <w:t>0.392</w:t>
            </w:r>
          </w:p>
        </w:tc>
        <w:tc>
          <w:tcPr>
            <w:tcW w:w="0" w:type="auto"/>
            <w:hideMark/>
          </w:tcPr>
          <w:p w14:paraId="552B5702" w14:textId="77777777" w:rsidR="009C778C" w:rsidRPr="009C778C" w:rsidRDefault="009C778C" w:rsidP="007908BC">
            <w:pPr>
              <w:pStyle w:val="NoSpacing"/>
            </w:pPr>
            <w:r w:rsidRPr="009C778C">
              <w:t>0.027</w:t>
            </w:r>
          </w:p>
        </w:tc>
        <w:tc>
          <w:tcPr>
            <w:tcW w:w="0" w:type="auto"/>
            <w:hideMark/>
          </w:tcPr>
          <w:p w14:paraId="7AB5BC05" w14:textId="77777777" w:rsidR="009C778C" w:rsidRPr="009C778C" w:rsidRDefault="009C778C" w:rsidP="007908BC">
            <w:pPr>
              <w:pStyle w:val="NoSpacing"/>
            </w:pPr>
            <w:r w:rsidRPr="009C778C">
              <w:t>0.031</w:t>
            </w:r>
          </w:p>
        </w:tc>
        <w:tc>
          <w:tcPr>
            <w:tcW w:w="0" w:type="auto"/>
            <w:hideMark/>
          </w:tcPr>
          <w:p w14:paraId="28FAF2EB" w14:textId="77777777" w:rsidR="009C778C" w:rsidRPr="009C778C" w:rsidRDefault="009C778C" w:rsidP="007908BC">
            <w:pPr>
              <w:pStyle w:val="NoSpacing"/>
            </w:pPr>
            <w:r w:rsidRPr="009C778C">
              <w:t>Civil</w:t>
            </w:r>
          </w:p>
        </w:tc>
        <w:tc>
          <w:tcPr>
            <w:tcW w:w="0" w:type="auto"/>
            <w:hideMark/>
          </w:tcPr>
          <w:p w14:paraId="3E45F8D0" w14:textId="77777777" w:rsidR="009C778C" w:rsidRPr="009C778C" w:rsidRDefault="009C778C" w:rsidP="007908BC">
            <w:pPr>
              <w:pStyle w:val="NoSpacing"/>
            </w:pPr>
            <w:r w:rsidRPr="009C778C">
              <w:t>Developed</w:t>
            </w:r>
          </w:p>
        </w:tc>
      </w:tr>
      <w:tr w:rsidR="009C778C" w:rsidRPr="009C778C" w14:paraId="61CA7EE7" w14:textId="77777777" w:rsidTr="001A7C2C">
        <w:tc>
          <w:tcPr>
            <w:tcW w:w="0" w:type="auto"/>
            <w:hideMark/>
          </w:tcPr>
          <w:p w14:paraId="17BA6BC6" w14:textId="77777777" w:rsidR="009C778C" w:rsidRPr="007908BC" w:rsidRDefault="009C778C" w:rsidP="007908BC">
            <w:pPr>
              <w:pStyle w:val="NoSpacing"/>
              <w:rPr>
                <w:b/>
                <w:bCs/>
              </w:rPr>
            </w:pPr>
            <w:r w:rsidRPr="007908BC">
              <w:rPr>
                <w:b/>
                <w:bCs/>
              </w:rPr>
              <w:t>Malaysia</w:t>
            </w:r>
          </w:p>
        </w:tc>
        <w:tc>
          <w:tcPr>
            <w:tcW w:w="0" w:type="auto"/>
            <w:hideMark/>
          </w:tcPr>
          <w:p w14:paraId="65C54D2A" w14:textId="77777777" w:rsidR="009C778C" w:rsidRPr="009C778C" w:rsidRDefault="009C778C" w:rsidP="007908BC">
            <w:pPr>
              <w:pStyle w:val="NoSpacing"/>
            </w:pPr>
            <w:r w:rsidRPr="009C778C">
              <w:t>2,593</w:t>
            </w:r>
          </w:p>
        </w:tc>
        <w:tc>
          <w:tcPr>
            <w:tcW w:w="0" w:type="auto"/>
            <w:hideMark/>
          </w:tcPr>
          <w:p w14:paraId="5D2E33F9" w14:textId="77777777" w:rsidR="009C778C" w:rsidRPr="009C778C" w:rsidRDefault="009C778C" w:rsidP="007908BC">
            <w:pPr>
              <w:pStyle w:val="NoSpacing"/>
            </w:pPr>
            <w:r w:rsidRPr="009C778C">
              <w:t>0.530</w:t>
            </w:r>
          </w:p>
        </w:tc>
        <w:tc>
          <w:tcPr>
            <w:tcW w:w="0" w:type="auto"/>
            <w:hideMark/>
          </w:tcPr>
          <w:p w14:paraId="508CD0FD" w14:textId="77777777" w:rsidR="009C778C" w:rsidRPr="009C778C" w:rsidRDefault="009C778C" w:rsidP="007908BC">
            <w:pPr>
              <w:pStyle w:val="NoSpacing"/>
            </w:pPr>
            <w:r w:rsidRPr="009C778C">
              <w:t>0.008</w:t>
            </w:r>
          </w:p>
        </w:tc>
        <w:tc>
          <w:tcPr>
            <w:tcW w:w="0" w:type="auto"/>
            <w:hideMark/>
          </w:tcPr>
          <w:p w14:paraId="453A6B94" w14:textId="77777777" w:rsidR="009C778C" w:rsidRPr="009C778C" w:rsidRDefault="009C778C" w:rsidP="007908BC">
            <w:pPr>
              <w:pStyle w:val="NoSpacing"/>
            </w:pPr>
            <w:r w:rsidRPr="009C778C">
              <w:t>0.023</w:t>
            </w:r>
          </w:p>
        </w:tc>
        <w:tc>
          <w:tcPr>
            <w:tcW w:w="0" w:type="auto"/>
            <w:hideMark/>
          </w:tcPr>
          <w:p w14:paraId="6D3DD54B" w14:textId="77777777" w:rsidR="009C778C" w:rsidRPr="009C778C" w:rsidRDefault="009C778C" w:rsidP="007908BC">
            <w:pPr>
              <w:pStyle w:val="NoSpacing"/>
            </w:pPr>
            <w:r w:rsidRPr="009C778C">
              <w:t>Common</w:t>
            </w:r>
          </w:p>
        </w:tc>
        <w:tc>
          <w:tcPr>
            <w:tcW w:w="0" w:type="auto"/>
            <w:hideMark/>
          </w:tcPr>
          <w:p w14:paraId="782C97DA" w14:textId="77777777" w:rsidR="009C778C" w:rsidRPr="009C778C" w:rsidRDefault="009C778C" w:rsidP="007908BC">
            <w:pPr>
              <w:pStyle w:val="NoSpacing"/>
            </w:pPr>
            <w:r w:rsidRPr="009C778C">
              <w:t>Emerging</w:t>
            </w:r>
          </w:p>
        </w:tc>
      </w:tr>
      <w:tr w:rsidR="009C778C" w:rsidRPr="009C778C" w14:paraId="1851AD9B" w14:textId="77777777" w:rsidTr="001A7C2C">
        <w:tc>
          <w:tcPr>
            <w:tcW w:w="0" w:type="auto"/>
            <w:hideMark/>
          </w:tcPr>
          <w:p w14:paraId="307355BC" w14:textId="77777777" w:rsidR="009C778C" w:rsidRPr="007908BC" w:rsidRDefault="009C778C" w:rsidP="007908BC">
            <w:pPr>
              <w:pStyle w:val="NoSpacing"/>
              <w:rPr>
                <w:b/>
                <w:bCs/>
              </w:rPr>
            </w:pPr>
            <w:r w:rsidRPr="007908BC">
              <w:rPr>
                <w:b/>
                <w:bCs/>
              </w:rPr>
              <w:t>Netherlands</w:t>
            </w:r>
          </w:p>
        </w:tc>
        <w:tc>
          <w:tcPr>
            <w:tcW w:w="0" w:type="auto"/>
            <w:hideMark/>
          </w:tcPr>
          <w:p w14:paraId="53ACE3C3" w14:textId="77777777" w:rsidR="009C778C" w:rsidRPr="009C778C" w:rsidRDefault="009C778C" w:rsidP="007908BC">
            <w:pPr>
              <w:pStyle w:val="NoSpacing"/>
            </w:pPr>
            <w:r w:rsidRPr="009C778C">
              <w:t>597</w:t>
            </w:r>
          </w:p>
        </w:tc>
        <w:tc>
          <w:tcPr>
            <w:tcW w:w="0" w:type="auto"/>
            <w:hideMark/>
          </w:tcPr>
          <w:p w14:paraId="2AAAA135" w14:textId="77777777" w:rsidR="009C778C" w:rsidRPr="009C778C" w:rsidRDefault="009C778C" w:rsidP="007908BC">
            <w:pPr>
              <w:pStyle w:val="NoSpacing"/>
            </w:pPr>
            <w:r w:rsidRPr="009C778C">
              <w:t>0.384</w:t>
            </w:r>
          </w:p>
        </w:tc>
        <w:tc>
          <w:tcPr>
            <w:tcW w:w="0" w:type="auto"/>
            <w:hideMark/>
          </w:tcPr>
          <w:p w14:paraId="6EF74146" w14:textId="77777777" w:rsidR="009C778C" w:rsidRPr="009C778C" w:rsidRDefault="009C778C" w:rsidP="007908BC">
            <w:pPr>
              <w:pStyle w:val="NoSpacing"/>
            </w:pPr>
            <w:r w:rsidRPr="009C778C">
              <w:t>0.071</w:t>
            </w:r>
          </w:p>
        </w:tc>
        <w:tc>
          <w:tcPr>
            <w:tcW w:w="0" w:type="auto"/>
            <w:hideMark/>
          </w:tcPr>
          <w:p w14:paraId="1E8FFE29" w14:textId="77777777" w:rsidR="009C778C" w:rsidRPr="009C778C" w:rsidRDefault="009C778C" w:rsidP="007908BC">
            <w:pPr>
              <w:pStyle w:val="NoSpacing"/>
            </w:pPr>
            <w:r w:rsidRPr="009C778C">
              <w:t>0.141</w:t>
            </w:r>
          </w:p>
        </w:tc>
        <w:tc>
          <w:tcPr>
            <w:tcW w:w="0" w:type="auto"/>
            <w:hideMark/>
          </w:tcPr>
          <w:p w14:paraId="15163BBF" w14:textId="77777777" w:rsidR="009C778C" w:rsidRPr="009C778C" w:rsidRDefault="009C778C" w:rsidP="007908BC">
            <w:pPr>
              <w:pStyle w:val="NoSpacing"/>
            </w:pPr>
            <w:r w:rsidRPr="009C778C">
              <w:t>Civil</w:t>
            </w:r>
          </w:p>
        </w:tc>
        <w:tc>
          <w:tcPr>
            <w:tcW w:w="0" w:type="auto"/>
            <w:hideMark/>
          </w:tcPr>
          <w:p w14:paraId="10FEC17E" w14:textId="77777777" w:rsidR="009C778C" w:rsidRPr="009C778C" w:rsidRDefault="009C778C" w:rsidP="007908BC">
            <w:pPr>
              <w:pStyle w:val="NoSpacing"/>
            </w:pPr>
            <w:r w:rsidRPr="009C778C">
              <w:t>Developed</w:t>
            </w:r>
          </w:p>
        </w:tc>
      </w:tr>
      <w:tr w:rsidR="009C778C" w:rsidRPr="009C778C" w14:paraId="79923735" w14:textId="77777777" w:rsidTr="001A7C2C">
        <w:tc>
          <w:tcPr>
            <w:tcW w:w="0" w:type="auto"/>
            <w:hideMark/>
          </w:tcPr>
          <w:p w14:paraId="107DDAF1" w14:textId="77777777" w:rsidR="009C778C" w:rsidRPr="007908BC" w:rsidRDefault="009C778C" w:rsidP="007908BC">
            <w:pPr>
              <w:pStyle w:val="NoSpacing"/>
              <w:rPr>
                <w:b/>
                <w:bCs/>
              </w:rPr>
            </w:pPr>
            <w:r w:rsidRPr="007908BC">
              <w:rPr>
                <w:b/>
                <w:bCs/>
              </w:rPr>
              <w:t>New Zealand</w:t>
            </w:r>
          </w:p>
        </w:tc>
        <w:tc>
          <w:tcPr>
            <w:tcW w:w="0" w:type="auto"/>
            <w:hideMark/>
          </w:tcPr>
          <w:p w14:paraId="47451BE7" w14:textId="77777777" w:rsidR="009C778C" w:rsidRPr="009C778C" w:rsidRDefault="009C778C" w:rsidP="007908BC">
            <w:pPr>
              <w:pStyle w:val="NoSpacing"/>
            </w:pPr>
            <w:r w:rsidRPr="009C778C">
              <w:t>320</w:t>
            </w:r>
          </w:p>
        </w:tc>
        <w:tc>
          <w:tcPr>
            <w:tcW w:w="0" w:type="auto"/>
            <w:hideMark/>
          </w:tcPr>
          <w:p w14:paraId="414C4A47" w14:textId="77777777" w:rsidR="009C778C" w:rsidRPr="009C778C" w:rsidRDefault="009C778C" w:rsidP="007908BC">
            <w:pPr>
              <w:pStyle w:val="NoSpacing"/>
            </w:pPr>
            <w:r w:rsidRPr="009C778C">
              <w:t>0.430</w:t>
            </w:r>
          </w:p>
        </w:tc>
        <w:tc>
          <w:tcPr>
            <w:tcW w:w="0" w:type="auto"/>
            <w:hideMark/>
          </w:tcPr>
          <w:p w14:paraId="26CA6C12" w14:textId="77777777" w:rsidR="009C778C" w:rsidRPr="009C778C" w:rsidRDefault="009C778C" w:rsidP="007908BC">
            <w:pPr>
              <w:pStyle w:val="NoSpacing"/>
            </w:pPr>
            <w:r w:rsidRPr="009C778C">
              <w:t>0.019</w:t>
            </w:r>
          </w:p>
        </w:tc>
        <w:tc>
          <w:tcPr>
            <w:tcW w:w="0" w:type="auto"/>
            <w:hideMark/>
          </w:tcPr>
          <w:p w14:paraId="3EA0C60E" w14:textId="77777777" w:rsidR="009C778C" w:rsidRPr="009C778C" w:rsidRDefault="009C778C" w:rsidP="007908BC">
            <w:pPr>
              <w:pStyle w:val="NoSpacing"/>
            </w:pPr>
            <w:r w:rsidRPr="009C778C">
              <w:t>0.029</w:t>
            </w:r>
          </w:p>
        </w:tc>
        <w:tc>
          <w:tcPr>
            <w:tcW w:w="0" w:type="auto"/>
            <w:hideMark/>
          </w:tcPr>
          <w:p w14:paraId="38DAE6EC" w14:textId="77777777" w:rsidR="009C778C" w:rsidRPr="009C778C" w:rsidRDefault="009C778C" w:rsidP="007908BC">
            <w:pPr>
              <w:pStyle w:val="NoSpacing"/>
            </w:pPr>
            <w:r w:rsidRPr="009C778C">
              <w:t>Common</w:t>
            </w:r>
          </w:p>
        </w:tc>
        <w:tc>
          <w:tcPr>
            <w:tcW w:w="0" w:type="auto"/>
            <w:hideMark/>
          </w:tcPr>
          <w:p w14:paraId="40D9AB6C" w14:textId="77777777" w:rsidR="009C778C" w:rsidRPr="009C778C" w:rsidRDefault="009C778C" w:rsidP="007908BC">
            <w:pPr>
              <w:pStyle w:val="NoSpacing"/>
            </w:pPr>
            <w:r w:rsidRPr="009C778C">
              <w:t>Developed</w:t>
            </w:r>
          </w:p>
        </w:tc>
      </w:tr>
      <w:tr w:rsidR="009C778C" w:rsidRPr="009C778C" w14:paraId="7C01BE02" w14:textId="77777777" w:rsidTr="001A7C2C">
        <w:tc>
          <w:tcPr>
            <w:tcW w:w="0" w:type="auto"/>
            <w:hideMark/>
          </w:tcPr>
          <w:p w14:paraId="795CD872" w14:textId="77777777" w:rsidR="009C778C" w:rsidRPr="007908BC" w:rsidRDefault="009C778C" w:rsidP="007908BC">
            <w:pPr>
              <w:pStyle w:val="NoSpacing"/>
              <w:rPr>
                <w:b/>
                <w:bCs/>
              </w:rPr>
            </w:pPr>
            <w:r w:rsidRPr="007908BC">
              <w:rPr>
                <w:b/>
                <w:bCs/>
              </w:rPr>
              <w:t>Norway</w:t>
            </w:r>
          </w:p>
        </w:tc>
        <w:tc>
          <w:tcPr>
            <w:tcW w:w="0" w:type="auto"/>
            <w:hideMark/>
          </w:tcPr>
          <w:p w14:paraId="79E898B4" w14:textId="77777777" w:rsidR="009C778C" w:rsidRPr="009C778C" w:rsidRDefault="009C778C" w:rsidP="007908BC">
            <w:pPr>
              <w:pStyle w:val="NoSpacing"/>
            </w:pPr>
            <w:r w:rsidRPr="009C778C">
              <w:t>876</w:t>
            </w:r>
          </w:p>
        </w:tc>
        <w:tc>
          <w:tcPr>
            <w:tcW w:w="0" w:type="auto"/>
            <w:hideMark/>
          </w:tcPr>
          <w:p w14:paraId="6B372501" w14:textId="77777777" w:rsidR="009C778C" w:rsidRPr="009C778C" w:rsidRDefault="009C778C" w:rsidP="007908BC">
            <w:pPr>
              <w:pStyle w:val="NoSpacing"/>
            </w:pPr>
            <w:r w:rsidRPr="009C778C">
              <w:t>0.516</w:t>
            </w:r>
          </w:p>
        </w:tc>
        <w:tc>
          <w:tcPr>
            <w:tcW w:w="0" w:type="auto"/>
            <w:hideMark/>
          </w:tcPr>
          <w:p w14:paraId="3D937BB1" w14:textId="77777777" w:rsidR="009C778C" w:rsidRPr="009C778C" w:rsidRDefault="009C778C" w:rsidP="007908BC">
            <w:pPr>
              <w:pStyle w:val="NoSpacing"/>
            </w:pPr>
            <w:r w:rsidRPr="009C778C">
              <w:t>0.110</w:t>
            </w:r>
          </w:p>
        </w:tc>
        <w:tc>
          <w:tcPr>
            <w:tcW w:w="0" w:type="auto"/>
            <w:hideMark/>
          </w:tcPr>
          <w:p w14:paraId="5DFD1788" w14:textId="77777777" w:rsidR="009C778C" w:rsidRPr="009C778C" w:rsidRDefault="009C778C" w:rsidP="007908BC">
            <w:pPr>
              <w:pStyle w:val="NoSpacing"/>
            </w:pPr>
            <w:r w:rsidRPr="009C778C">
              <w:t>0.069</w:t>
            </w:r>
          </w:p>
        </w:tc>
        <w:tc>
          <w:tcPr>
            <w:tcW w:w="0" w:type="auto"/>
            <w:hideMark/>
          </w:tcPr>
          <w:p w14:paraId="517C9B44" w14:textId="77777777" w:rsidR="009C778C" w:rsidRPr="009C778C" w:rsidRDefault="009C778C" w:rsidP="007908BC">
            <w:pPr>
              <w:pStyle w:val="NoSpacing"/>
            </w:pPr>
            <w:r w:rsidRPr="009C778C">
              <w:t>Civil</w:t>
            </w:r>
          </w:p>
        </w:tc>
        <w:tc>
          <w:tcPr>
            <w:tcW w:w="0" w:type="auto"/>
            <w:hideMark/>
          </w:tcPr>
          <w:p w14:paraId="345D57E5" w14:textId="77777777" w:rsidR="009C778C" w:rsidRPr="009C778C" w:rsidRDefault="009C778C" w:rsidP="007908BC">
            <w:pPr>
              <w:pStyle w:val="NoSpacing"/>
            </w:pPr>
            <w:r w:rsidRPr="009C778C">
              <w:t>Developed</w:t>
            </w:r>
          </w:p>
        </w:tc>
      </w:tr>
      <w:tr w:rsidR="009C778C" w:rsidRPr="009C778C" w14:paraId="0747C33F" w14:textId="77777777" w:rsidTr="001A7C2C">
        <w:tc>
          <w:tcPr>
            <w:tcW w:w="0" w:type="auto"/>
            <w:hideMark/>
          </w:tcPr>
          <w:p w14:paraId="69E3606A" w14:textId="77777777" w:rsidR="009C778C" w:rsidRPr="007908BC" w:rsidRDefault="009C778C" w:rsidP="007908BC">
            <w:pPr>
              <w:pStyle w:val="NoSpacing"/>
              <w:rPr>
                <w:b/>
                <w:bCs/>
              </w:rPr>
            </w:pPr>
            <w:r w:rsidRPr="007908BC">
              <w:rPr>
                <w:b/>
                <w:bCs/>
              </w:rPr>
              <w:t>Philippines</w:t>
            </w:r>
          </w:p>
        </w:tc>
        <w:tc>
          <w:tcPr>
            <w:tcW w:w="0" w:type="auto"/>
            <w:hideMark/>
          </w:tcPr>
          <w:p w14:paraId="52F6AEEE" w14:textId="77777777" w:rsidR="009C778C" w:rsidRPr="009C778C" w:rsidRDefault="009C778C" w:rsidP="007908BC">
            <w:pPr>
              <w:pStyle w:val="NoSpacing"/>
            </w:pPr>
            <w:r w:rsidRPr="009C778C">
              <w:t>434</w:t>
            </w:r>
          </w:p>
        </w:tc>
        <w:tc>
          <w:tcPr>
            <w:tcW w:w="0" w:type="auto"/>
            <w:hideMark/>
          </w:tcPr>
          <w:p w14:paraId="5CA1B3EE" w14:textId="77777777" w:rsidR="009C778C" w:rsidRPr="009C778C" w:rsidRDefault="009C778C" w:rsidP="007908BC">
            <w:pPr>
              <w:pStyle w:val="NoSpacing"/>
            </w:pPr>
            <w:r w:rsidRPr="009C778C">
              <w:t>0.616</w:t>
            </w:r>
          </w:p>
        </w:tc>
        <w:tc>
          <w:tcPr>
            <w:tcW w:w="0" w:type="auto"/>
            <w:hideMark/>
          </w:tcPr>
          <w:p w14:paraId="428098A3" w14:textId="77777777" w:rsidR="009C778C" w:rsidRPr="009C778C" w:rsidRDefault="009C778C" w:rsidP="007908BC">
            <w:pPr>
              <w:pStyle w:val="NoSpacing"/>
            </w:pPr>
            <w:r w:rsidRPr="009C778C">
              <w:t>0.001</w:t>
            </w:r>
          </w:p>
        </w:tc>
        <w:tc>
          <w:tcPr>
            <w:tcW w:w="0" w:type="auto"/>
            <w:hideMark/>
          </w:tcPr>
          <w:p w14:paraId="5A6C83A0" w14:textId="77777777" w:rsidR="009C778C" w:rsidRPr="009C778C" w:rsidRDefault="009C778C" w:rsidP="007908BC">
            <w:pPr>
              <w:pStyle w:val="NoSpacing"/>
            </w:pPr>
            <w:r w:rsidRPr="009C778C">
              <w:t>0.043</w:t>
            </w:r>
          </w:p>
        </w:tc>
        <w:tc>
          <w:tcPr>
            <w:tcW w:w="0" w:type="auto"/>
            <w:hideMark/>
          </w:tcPr>
          <w:p w14:paraId="100265DF" w14:textId="77777777" w:rsidR="009C778C" w:rsidRPr="009C778C" w:rsidRDefault="009C778C" w:rsidP="007908BC">
            <w:pPr>
              <w:pStyle w:val="NoSpacing"/>
            </w:pPr>
            <w:r w:rsidRPr="009C778C">
              <w:t>Civil</w:t>
            </w:r>
          </w:p>
        </w:tc>
        <w:tc>
          <w:tcPr>
            <w:tcW w:w="0" w:type="auto"/>
            <w:hideMark/>
          </w:tcPr>
          <w:p w14:paraId="470AE032" w14:textId="77777777" w:rsidR="009C778C" w:rsidRPr="009C778C" w:rsidRDefault="009C778C" w:rsidP="007908BC">
            <w:pPr>
              <w:pStyle w:val="NoSpacing"/>
            </w:pPr>
            <w:r w:rsidRPr="009C778C">
              <w:t>Emerging</w:t>
            </w:r>
          </w:p>
        </w:tc>
      </w:tr>
      <w:tr w:rsidR="009C778C" w:rsidRPr="009C778C" w14:paraId="706FA976" w14:textId="77777777" w:rsidTr="001A7C2C">
        <w:tc>
          <w:tcPr>
            <w:tcW w:w="0" w:type="auto"/>
            <w:hideMark/>
          </w:tcPr>
          <w:p w14:paraId="6719FCA2" w14:textId="77777777" w:rsidR="009C778C" w:rsidRPr="007908BC" w:rsidRDefault="009C778C" w:rsidP="007908BC">
            <w:pPr>
              <w:pStyle w:val="NoSpacing"/>
              <w:rPr>
                <w:b/>
                <w:bCs/>
              </w:rPr>
            </w:pPr>
            <w:r w:rsidRPr="007908BC">
              <w:rPr>
                <w:b/>
                <w:bCs/>
              </w:rPr>
              <w:t>Portugal</w:t>
            </w:r>
          </w:p>
        </w:tc>
        <w:tc>
          <w:tcPr>
            <w:tcW w:w="0" w:type="auto"/>
            <w:hideMark/>
          </w:tcPr>
          <w:p w14:paraId="6AFDCE42" w14:textId="77777777" w:rsidR="009C778C" w:rsidRPr="009C778C" w:rsidRDefault="009C778C" w:rsidP="007908BC">
            <w:pPr>
              <w:pStyle w:val="NoSpacing"/>
            </w:pPr>
            <w:r w:rsidRPr="009C778C">
              <w:t>287</w:t>
            </w:r>
          </w:p>
        </w:tc>
        <w:tc>
          <w:tcPr>
            <w:tcW w:w="0" w:type="auto"/>
            <w:hideMark/>
          </w:tcPr>
          <w:p w14:paraId="25DE9A09" w14:textId="77777777" w:rsidR="009C778C" w:rsidRPr="009C778C" w:rsidRDefault="009C778C" w:rsidP="007908BC">
            <w:pPr>
              <w:pStyle w:val="NoSpacing"/>
            </w:pPr>
            <w:r w:rsidRPr="009C778C">
              <w:t>0.427</w:t>
            </w:r>
          </w:p>
        </w:tc>
        <w:tc>
          <w:tcPr>
            <w:tcW w:w="0" w:type="auto"/>
            <w:hideMark/>
          </w:tcPr>
          <w:p w14:paraId="67C82003" w14:textId="77777777" w:rsidR="009C778C" w:rsidRPr="009C778C" w:rsidRDefault="009C778C" w:rsidP="007908BC">
            <w:pPr>
              <w:pStyle w:val="NoSpacing"/>
            </w:pPr>
            <w:r w:rsidRPr="009C778C">
              <w:t>0.036</w:t>
            </w:r>
          </w:p>
        </w:tc>
        <w:tc>
          <w:tcPr>
            <w:tcW w:w="0" w:type="auto"/>
            <w:hideMark/>
          </w:tcPr>
          <w:p w14:paraId="0380FDA4" w14:textId="77777777" w:rsidR="009C778C" w:rsidRPr="009C778C" w:rsidRDefault="009C778C" w:rsidP="007908BC">
            <w:pPr>
              <w:pStyle w:val="NoSpacing"/>
            </w:pPr>
            <w:r w:rsidRPr="009C778C">
              <w:t>0.039</w:t>
            </w:r>
          </w:p>
        </w:tc>
        <w:tc>
          <w:tcPr>
            <w:tcW w:w="0" w:type="auto"/>
            <w:hideMark/>
          </w:tcPr>
          <w:p w14:paraId="068F3B4C" w14:textId="77777777" w:rsidR="009C778C" w:rsidRPr="009C778C" w:rsidRDefault="009C778C" w:rsidP="007908BC">
            <w:pPr>
              <w:pStyle w:val="NoSpacing"/>
            </w:pPr>
            <w:r w:rsidRPr="009C778C">
              <w:t>Civil</w:t>
            </w:r>
          </w:p>
        </w:tc>
        <w:tc>
          <w:tcPr>
            <w:tcW w:w="0" w:type="auto"/>
            <w:hideMark/>
          </w:tcPr>
          <w:p w14:paraId="3FE2875C" w14:textId="77777777" w:rsidR="009C778C" w:rsidRPr="009C778C" w:rsidRDefault="009C778C" w:rsidP="007908BC">
            <w:pPr>
              <w:pStyle w:val="NoSpacing"/>
            </w:pPr>
            <w:r w:rsidRPr="009C778C">
              <w:t>Developed</w:t>
            </w:r>
          </w:p>
        </w:tc>
      </w:tr>
      <w:tr w:rsidR="009C778C" w:rsidRPr="009C778C" w14:paraId="708AF1CE" w14:textId="77777777" w:rsidTr="001A7C2C">
        <w:tc>
          <w:tcPr>
            <w:tcW w:w="0" w:type="auto"/>
            <w:hideMark/>
          </w:tcPr>
          <w:p w14:paraId="06C51A4B" w14:textId="77777777" w:rsidR="009C778C" w:rsidRPr="007908BC" w:rsidRDefault="009C778C" w:rsidP="007908BC">
            <w:pPr>
              <w:pStyle w:val="NoSpacing"/>
              <w:rPr>
                <w:b/>
                <w:bCs/>
              </w:rPr>
            </w:pPr>
            <w:r w:rsidRPr="007908BC">
              <w:rPr>
                <w:b/>
                <w:bCs/>
              </w:rPr>
              <w:t>Singapore</w:t>
            </w:r>
          </w:p>
        </w:tc>
        <w:tc>
          <w:tcPr>
            <w:tcW w:w="0" w:type="auto"/>
            <w:hideMark/>
          </w:tcPr>
          <w:p w14:paraId="528E5DA0" w14:textId="77777777" w:rsidR="009C778C" w:rsidRPr="009C778C" w:rsidRDefault="009C778C" w:rsidP="007908BC">
            <w:pPr>
              <w:pStyle w:val="NoSpacing"/>
            </w:pPr>
            <w:r w:rsidRPr="009C778C">
              <w:t>1,955</w:t>
            </w:r>
          </w:p>
        </w:tc>
        <w:tc>
          <w:tcPr>
            <w:tcW w:w="0" w:type="auto"/>
            <w:hideMark/>
          </w:tcPr>
          <w:p w14:paraId="3AAAADAC" w14:textId="77777777" w:rsidR="009C778C" w:rsidRPr="009C778C" w:rsidRDefault="009C778C" w:rsidP="007908BC">
            <w:pPr>
              <w:pStyle w:val="NoSpacing"/>
            </w:pPr>
            <w:r w:rsidRPr="009C778C">
              <w:t>0.611</w:t>
            </w:r>
          </w:p>
        </w:tc>
        <w:tc>
          <w:tcPr>
            <w:tcW w:w="0" w:type="auto"/>
            <w:hideMark/>
          </w:tcPr>
          <w:p w14:paraId="40D58490" w14:textId="77777777" w:rsidR="009C778C" w:rsidRPr="009C778C" w:rsidRDefault="009C778C" w:rsidP="007908BC">
            <w:pPr>
              <w:pStyle w:val="NoSpacing"/>
            </w:pPr>
            <w:r w:rsidRPr="009C778C">
              <w:t>0.009</w:t>
            </w:r>
          </w:p>
        </w:tc>
        <w:tc>
          <w:tcPr>
            <w:tcW w:w="0" w:type="auto"/>
            <w:hideMark/>
          </w:tcPr>
          <w:p w14:paraId="5A4B636D" w14:textId="77777777" w:rsidR="009C778C" w:rsidRPr="009C778C" w:rsidRDefault="009C778C" w:rsidP="007908BC">
            <w:pPr>
              <w:pStyle w:val="NoSpacing"/>
            </w:pPr>
            <w:r w:rsidRPr="009C778C">
              <w:t>0.038</w:t>
            </w:r>
          </w:p>
        </w:tc>
        <w:tc>
          <w:tcPr>
            <w:tcW w:w="0" w:type="auto"/>
            <w:hideMark/>
          </w:tcPr>
          <w:p w14:paraId="193221A5" w14:textId="77777777" w:rsidR="009C778C" w:rsidRPr="009C778C" w:rsidRDefault="009C778C" w:rsidP="007908BC">
            <w:pPr>
              <w:pStyle w:val="NoSpacing"/>
            </w:pPr>
            <w:r w:rsidRPr="009C778C">
              <w:t>Common</w:t>
            </w:r>
          </w:p>
        </w:tc>
        <w:tc>
          <w:tcPr>
            <w:tcW w:w="0" w:type="auto"/>
            <w:hideMark/>
          </w:tcPr>
          <w:p w14:paraId="334170A3" w14:textId="77777777" w:rsidR="009C778C" w:rsidRPr="009C778C" w:rsidRDefault="009C778C" w:rsidP="007908BC">
            <w:pPr>
              <w:pStyle w:val="NoSpacing"/>
            </w:pPr>
            <w:r w:rsidRPr="009C778C">
              <w:t>Developed</w:t>
            </w:r>
          </w:p>
        </w:tc>
      </w:tr>
      <w:tr w:rsidR="009C778C" w:rsidRPr="009C778C" w14:paraId="65A76EA8" w14:textId="77777777" w:rsidTr="001A7C2C">
        <w:tc>
          <w:tcPr>
            <w:tcW w:w="0" w:type="auto"/>
            <w:hideMark/>
          </w:tcPr>
          <w:p w14:paraId="1D6B6ED0" w14:textId="77777777" w:rsidR="009C778C" w:rsidRPr="007908BC" w:rsidRDefault="009C778C" w:rsidP="007908BC">
            <w:pPr>
              <w:pStyle w:val="NoSpacing"/>
              <w:rPr>
                <w:b/>
                <w:bCs/>
              </w:rPr>
            </w:pPr>
            <w:r w:rsidRPr="007908BC">
              <w:rPr>
                <w:b/>
                <w:bCs/>
              </w:rPr>
              <w:t>South Africa</w:t>
            </w:r>
          </w:p>
        </w:tc>
        <w:tc>
          <w:tcPr>
            <w:tcW w:w="0" w:type="auto"/>
            <w:hideMark/>
          </w:tcPr>
          <w:p w14:paraId="3D86E885" w14:textId="77777777" w:rsidR="009C778C" w:rsidRPr="009C778C" w:rsidRDefault="009C778C" w:rsidP="007908BC">
            <w:pPr>
              <w:pStyle w:val="NoSpacing"/>
            </w:pPr>
            <w:r w:rsidRPr="009C778C">
              <w:t>1,122</w:t>
            </w:r>
          </w:p>
        </w:tc>
        <w:tc>
          <w:tcPr>
            <w:tcW w:w="0" w:type="auto"/>
            <w:hideMark/>
          </w:tcPr>
          <w:p w14:paraId="7B9310AD" w14:textId="77777777" w:rsidR="009C778C" w:rsidRPr="009C778C" w:rsidRDefault="009C778C" w:rsidP="007908BC">
            <w:pPr>
              <w:pStyle w:val="NoSpacing"/>
            </w:pPr>
            <w:r w:rsidRPr="009C778C">
              <w:t>0.475</w:t>
            </w:r>
          </w:p>
        </w:tc>
        <w:tc>
          <w:tcPr>
            <w:tcW w:w="0" w:type="auto"/>
            <w:hideMark/>
          </w:tcPr>
          <w:p w14:paraId="53F3BF4C" w14:textId="77777777" w:rsidR="009C778C" w:rsidRPr="009C778C" w:rsidRDefault="009C778C" w:rsidP="007908BC">
            <w:pPr>
              <w:pStyle w:val="NoSpacing"/>
            </w:pPr>
            <w:r w:rsidRPr="009C778C">
              <w:t>0.065</w:t>
            </w:r>
          </w:p>
        </w:tc>
        <w:tc>
          <w:tcPr>
            <w:tcW w:w="0" w:type="auto"/>
            <w:hideMark/>
          </w:tcPr>
          <w:p w14:paraId="48FEA997" w14:textId="77777777" w:rsidR="009C778C" w:rsidRPr="009C778C" w:rsidRDefault="009C778C" w:rsidP="007908BC">
            <w:pPr>
              <w:pStyle w:val="NoSpacing"/>
            </w:pPr>
            <w:r w:rsidRPr="009C778C">
              <w:t>0.044</w:t>
            </w:r>
          </w:p>
        </w:tc>
        <w:tc>
          <w:tcPr>
            <w:tcW w:w="0" w:type="auto"/>
            <w:hideMark/>
          </w:tcPr>
          <w:p w14:paraId="6CBCDDAB" w14:textId="77777777" w:rsidR="009C778C" w:rsidRPr="009C778C" w:rsidRDefault="009C778C" w:rsidP="007908BC">
            <w:pPr>
              <w:pStyle w:val="NoSpacing"/>
            </w:pPr>
            <w:r w:rsidRPr="009C778C">
              <w:t>Common</w:t>
            </w:r>
          </w:p>
        </w:tc>
        <w:tc>
          <w:tcPr>
            <w:tcW w:w="0" w:type="auto"/>
            <w:hideMark/>
          </w:tcPr>
          <w:p w14:paraId="2490E4D4" w14:textId="77777777" w:rsidR="009C778C" w:rsidRPr="009C778C" w:rsidRDefault="009C778C" w:rsidP="007908BC">
            <w:pPr>
              <w:pStyle w:val="NoSpacing"/>
            </w:pPr>
            <w:r w:rsidRPr="009C778C">
              <w:t>Emerging</w:t>
            </w:r>
          </w:p>
        </w:tc>
      </w:tr>
      <w:tr w:rsidR="009C778C" w:rsidRPr="009C778C" w14:paraId="4413837A" w14:textId="77777777" w:rsidTr="001A7C2C">
        <w:tc>
          <w:tcPr>
            <w:tcW w:w="0" w:type="auto"/>
            <w:hideMark/>
          </w:tcPr>
          <w:p w14:paraId="634D1479" w14:textId="77777777" w:rsidR="009C778C" w:rsidRPr="007908BC" w:rsidRDefault="009C778C" w:rsidP="007908BC">
            <w:pPr>
              <w:pStyle w:val="NoSpacing"/>
              <w:rPr>
                <w:b/>
                <w:bCs/>
              </w:rPr>
            </w:pPr>
            <w:r w:rsidRPr="007908BC">
              <w:rPr>
                <w:b/>
                <w:bCs/>
              </w:rPr>
              <w:t>South Korea</w:t>
            </w:r>
          </w:p>
        </w:tc>
        <w:tc>
          <w:tcPr>
            <w:tcW w:w="0" w:type="auto"/>
            <w:hideMark/>
          </w:tcPr>
          <w:p w14:paraId="1F173FF3" w14:textId="77777777" w:rsidR="009C778C" w:rsidRPr="009C778C" w:rsidRDefault="009C778C" w:rsidP="007908BC">
            <w:pPr>
              <w:pStyle w:val="NoSpacing"/>
            </w:pPr>
            <w:r w:rsidRPr="009C778C">
              <w:t>2,911</w:t>
            </w:r>
          </w:p>
        </w:tc>
        <w:tc>
          <w:tcPr>
            <w:tcW w:w="0" w:type="auto"/>
            <w:hideMark/>
          </w:tcPr>
          <w:p w14:paraId="59FD0685" w14:textId="77777777" w:rsidR="009C778C" w:rsidRPr="009C778C" w:rsidRDefault="009C778C" w:rsidP="007908BC">
            <w:pPr>
              <w:pStyle w:val="NoSpacing"/>
            </w:pPr>
            <w:r w:rsidRPr="009C778C">
              <w:t>0.573</w:t>
            </w:r>
          </w:p>
        </w:tc>
        <w:tc>
          <w:tcPr>
            <w:tcW w:w="0" w:type="auto"/>
            <w:hideMark/>
          </w:tcPr>
          <w:p w14:paraId="5AF013D3" w14:textId="77777777" w:rsidR="009C778C" w:rsidRPr="009C778C" w:rsidRDefault="009C778C" w:rsidP="007908BC">
            <w:pPr>
              <w:pStyle w:val="NoSpacing"/>
            </w:pPr>
            <w:r w:rsidRPr="009C778C">
              <w:t>0.001</w:t>
            </w:r>
          </w:p>
        </w:tc>
        <w:tc>
          <w:tcPr>
            <w:tcW w:w="0" w:type="auto"/>
            <w:hideMark/>
          </w:tcPr>
          <w:p w14:paraId="47357AFD" w14:textId="77777777" w:rsidR="009C778C" w:rsidRPr="009C778C" w:rsidRDefault="009C778C" w:rsidP="007908BC">
            <w:pPr>
              <w:pStyle w:val="NoSpacing"/>
            </w:pPr>
            <w:r w:rsidRPr="009C778C">
              <w:t>0.053</w:t>
            </w:r>
          </w:p>
        </w:tc>
        <w:tc>
          <w:tcPr>
            <w:tcW w:w="0" w:type="auto"/>
            <w:hideMark/>
          </w:tcPr>
          <w:p w14:paraId="69BC26FB" w14:textId="77777777" w:rsidR="009C778C" w:rsidRPr="009C778C" w:rsidRDefault="009C778C" w:rsidP="007908BC">
            <w:pPr>
              <w:pStyle w:val="NoSpacing"/>
            </w:pPr>
            <w:r w:rsidRPr="009C778C">
              <w:t>Civil</w:t>
            </w:r>
          </w:p>
        </w:tc>
        <w:tc>
          <w:tcPr>
            <w:tcW w:w="0" w:type="auto"/>
            <w:hideMark/>
          </w:tcPr>
          <w:p w14:paraId="72305AAD" w14:textId="77777777" w:rsidR="009C778C" w:rsidRPr="009C778C" w:rsidRDefault="009C778C" w:rsidP="007908BC">
            <w:pPr>
              <w:pStyle w:val="NoSpacing"/>
            </w:pPr>
            <w:r w:rsidRPr="009C778C">
              <w:t>Emerging</w:t>
            </w:r>
          </w:p>
        </w:tc>
      </w:tr>
      <w:tr w:rsidR="009C778C" w:rsidRPr="009C778C" w14:paraId="709F1AEB" w14:textId="77777777" w:rsidTr="001A7C2C">
        <w:tc>
          <w:tcPr>
            <w:tcW w:w="0" w:type="auto"/>
            <w:hideMark/>
          </w:tcPr>
          <w:p w14:paraId="3BA7B710" w14:textId="77777777" w:rsidR="009C778C" w:rsidRPr="007908BC" w:rsidRDefault="009C778C" w:rsidP="007908BC">
            <w:pPr>
              <w:pStyle w:val="NoSpacing"/>
              <w:rPr>
                <w:b/>
                <w:bCs/>
              </w:rPr>
            </w:pPr>
            <w:r w:rsidRPr="007908BC">
              <w:rPr>
                <w:b/>
                <w:bCs/>
              </w:rPr>
              <w:t>Spain</w:t>
            </w:r>
          </w:p>
        </w:tc>
        <w:tc>
          <w:tcPr>
            <w:tcW w:w="0" w:type="auto"/>
            <w:hideMark/>
          </w:tcPr>
          <w:p w14:paraId="2C26AF30" w14:textId="77777777" w:rsidR="009C778C" w:rsidRPr="009C778C" w:rsidRDefault="009C778C" w:rsidP="007908BC">
            <w:pPr>
              <w:pStyle w:val="NoSpacing"/>
            </w:pPr>
            <w:r w:rsidRPr="009C778C">
              <w:t>604</w:t>
            </w:r>
          </w:p>
        </w:tc>
        <w:tc>
          <w:tcPr>
            <w:tcW w:w="0" w:type="auto"/>
            <w:hideMark/>
          </w:tcPr>
          <w:p w14:paraId="631B9E20" w14:textId="77777777" w:rsidR="009C778C" w:rsidRPr="009C778C" w:rsidRDefault="009C778C" w:rsidP="007908BC">
            <w:pPr>
              <w:pStyle w:val="NoSpacing"/>
            </w:pPr>
            <w:r w:rsidRPr="009C778C">
              <w:t>0.493</w:t>
            </w:r>
          </w:p>
        </w:tc>
        <w:tc>
          <w:tcPr>
            <w:tcW w:w="0" w:type="auto"/>
            <w:hideMark/>
          </w:tcPr>
          <w:p w14:paraId="358E1BB9" w14:textId="77777777" w:rsidR="009C778C" w:rsidRPr="009C778C" w:rsidRDefault="009C778C" w:rsidP="007908BC">
            <w:pPr>
              <w:pStyle w:val="NoSpacing"/>
            </w:pPr>
            <w:r w:rsidRPr="009C778C">
              <w:t>0.044</w:t>
            </w:r>
          </w:p>
        </w:tc>
        <w:tc>
          <w:tcPr>
            <w:tcW w:w="0" w:type="auto"/>
            <w:hideMark/>
          </w:tcPr>
          <w:p w14:paraId="27CA69D7" w14:textId="77777777" w:rsidR="009C778C" w:rsidRPr="009C778C" w:rsidRDefault="009C778C" w:rsidP="007908BC">
            <w:pPr>
              <w:pStyle w:val="NoSpacing"/>
            </w:pPr>
            <w:r w:rsidRPr="009C778C">
              <w:t>0.060</w:t>
            </w:r>
          </w:p>
        </w:tc>
        <w:tc>
          <w:tcPr>
            <w:tcW w:w="0" w:type="auto"/>
            <w:hideMark/>
          </w:tcPr>
          <w:p w14:paraId="1B4B2A95" w14:textId="77777777" w:rsidR="009C778C" w:rsidRPr="009C778C" w:rsidRDefault="009C778C" w:rsidP="007908BC">
            <w:pPr>
              <w:pStyle w:val="NoSpacing"/>
            </w:pPr>
            <w:r w:rsidRPr="009C778C">
              <w:t>Civil</w:t>
            </w:r>
          </w:p>
        </w:tc>
        <w:tc>
          <w:tcPr>
            <w:tcW w:w="0" w:type="auto"/>
            <w:hideMark/>
          </w:tcPr>
          <w:p w14:paraId="2DAD68ED" w14:textId="77777777" w:rsidR="009C778C" w:rsidRPr="009C778C" w:rsidRDefault="009C778C" w:rsidP="007908BC">
            <w:pPr>
              <w:pStyle w:val="NoSpacing"/>
            </w:pPr>
            <w:r w:rsidRPr="009C778C">
              <w:t>Developed</w:t>
            </w:r>
          </w:p>
        </w:tc>
      </w:tr>
      <w:tr w:rsidR="009C778C" w:rsidRPr="009C778C" w14:paraId="47255511" w14:textId="77777777" w:rsidTr="001A7C2C">
        <w:tc>
          <w:tcPr>
            <w:tcW w:w="0" w:type="auto"/>
            <w:hideMark/>
          </w:tcPr>
          <w:p w14:paraId="22D8ACDF" w14:textId="77777777" w:rsidR="009C778C" w:rsidRPr="007908BC" w:rsidRDefault="009C778C" w:rsidP="007908BC">
            <w:pPr>
              <w:pStyle w:val="NoSpacing"/>
              <w:rPr>
                <w:b/>
                <w:bCs/>
              </w:rPr>
            </w:pPr>
            <w:r w:rsidRPr="007908BC">
              <w:rPr>
                <w:b/>
                <w:bCs/>
              </w:rPr>
              <w:t>Sweden</w:t>
            </w:r>
          </w:p>
        </w:tc>
        <w:tc>
          <w:tcPr>
            <w:tcW w:w="0" w:type="auto"/>
            <w:hideMark/>
          </w:tcPr>
          <w:p w14:paraId="6D6CB875" w14:textId="77777777" w:rsidR="009C778C" w:rsidRPr="009C778C" w:rsidRDefault="009C778C" w:rsidP="007908BC">
            <w:pPr>
              <w:pStyle w:val="NoSpacing"/>
            </w:pPr>
            <w:r w:rsidRPr="009C778C">
              <w:t>1,631</w:t>
            </w:r>
          </w:p>
        </w:tc>
        <w:tc>
          <w:tcPr>
            <w:tcW w:w="0" w:type="auto"/>
            <w:hideMark/>
          </w:tcPr>
          <w:p w14:paraId="7EED4B59" w14:textId="77777777" w:rsidR="009C778C" w:rsidRPr="009C778C" w:rsidRDefault="009C778C" w:rsidP="007908BC">
            <w:pPr>
              <w:pStyle w:val="NoSpacing"/>
            </w:pPr>
            <w:r w:rsidRPr="009C778C">
              <w:t>0.502</w:t>
            </w:r>
          </w:p>
        </w:tc>
        <w:tc>
          <w:tcPr>
            <w:tcW w:w="0" w:type="auto"/>
            <w:hideMark/>
          </w:tcPr>
          <w:p w14:paraId="7070966E" w14:textId="77777777" w:rsidR="009C778C" w:rsidRPr="009C778C" w:rsidRDefault="009C778C" w:rsidP="007908BC">
            <w:pPr>
              <w:pStyle w:val="NoSpacing"/>
            </w:pPr>
            <w:r w:rsidRPr="009C778C">
              <w:t>0.150</w:t>
            </w:r>
          </w:p>
        </w:tc>
        <w:tc>
          <w:tcPr>
            <w:tcW w:w="0" w:type="auto"/>
            <w:hideMark/>
          </w:tcPr>
          <w:p w14:paraId="2A47F8F7" w14:textId="77777777" w:rsidR="009C778C" w:rsidRPr="009C778C" w:rsidRDefault="009C778C" w:rsidP="007908BC">
            <w:pPr>
              <w:pStyle w:val="NoSpacing"/>
            </w:pPr>
            <w:r w:rsidRPr="009C778C">
              <w:t>0.053</w:t>
            </w:r>
          </w:p>
        </w:tc>
        <w:tc>
          <w:tcPr>
            <w:tcW w:w="0" w:type="auto"/>
            <w:hideMark/>
          </w:tcPr>
          <w:p w14:paraId="2626F113" w14:textId="77777777" w:rsidR="009C778C" w:rsidRPr="009C778C" w:rsidRDefault="009C778C" w:rsidP="007908BC">
            <w:pPr>
              <w:pStyle w:val="NoSpacing"/>
            </w:pPr>
            <w:r w:rsidRPr="009C778C">
              <w:t>Civil</w:t>
            </w:r>
          </w:p>
        </w:tc>
        <w:tc>
          <w:tcPr>
            <w:tcW w:w="0" w:type="auto"/>
            <w:hideMark/>
          </w:tcPr>
          <w:p w14:paraId="3EFB3B79" w14:textId="77777777" w:rsidR="009C778C" w:rsidRPr="009C778C" w:rsidRDefault="009C778C" w:rsidP="007908BC">
            <w:pPr>
              <w:pStyle w:val="NoSpacing"/>
            </w:pPr>
            <w:r w:rsidRPr="009C778C">
              <w:t>Developed</w:t>
            </w:r>
          </w:p>
        </w:tc>
      </w:tr>
      <w:tr w:rsidR="009C778C" w:rsidRPr="009C778C" w14:paraId="42C51743" w14:textId="77777777" w:rsidTr="001A7C2C">
        <w:tc>
          <w:tcPr>
            <w:tcW w:w="0" w:type="auto"/>
            <w:hideMark/>
          </w:tcPr>
          <w:p w14:paraId="7E3D4B48" w14:textId="77777777" w:rsidR="009C778C" w:rsidRPr="007908BC" w:rsidRDefault="009C778C" w:rsidP="007908BC">
            <w:pPr>
              <w:pStyle w:val="NoSpacing"/>
              <w:rPr>
                <w:b/>
                <w:bCs/>
              </w:rPr>
            </w:pPr>
            <w:r w:rsidRPr="007908BC">
              <w:rPr>
                <w:b/>
                <w:bCs/>
              </w:rPr>
              <w:t>Switzerland</w:t>
            </w:r>
          </w:p>
        </w:tc>
        <w:tc>
          <w:tcPr>
            <w:tcW w:w="0" w:type="auto"/>
            <w:hideMark/>
          </w:tcPr>
          <w:p w14:paraId="107E0EC2" w14:textId="77777777" w:rsidR="009C778C" w:rsidRPr="009C778C" w:rsidRDefault="009C778C" w:rsidP="007908BC">
            <w:pPr>
              <w:pStyle w:val="NoSpacing"/>
            </w:pPr>
            <w:r w:rsidRPr="009C778C">
              <w:t>1,226</w:t>
            </w:r>
          </w:p>
        </w:tc>
        <w:tc>
          <w:tcPr>
            <w:tcW w:w="0" w:type="auto"/>
            <w:hideMark/>
          </w:tcPr>
          <w:p w14:paraId="4F08D6DB" w14:textId="77777777" w:rsidR="009C778C" w:rsidRPr="009C778C" w:rsidRDefault="009C778C" w:rsidP="007908BC">
            <w:pPr>
              <w:pStyle w:val="NoSpacing"/>
            </w:pPr>
            <w:r w:rsidRPr="009C778C">
              <w:t>0.396</w:t>
            </w:r>
          </w:p>
        </w:tc>
        <w:tc>
          <w:tcPr>
            <w:tcW w:w="0" w:type="auto"/>
            <w:hideMark/>
          </w:tcPr>
          <w:p w14:paraId="21277A1C" w14:textId="77777777" w:rsidR="009C778C" w:rsidRPr="009C778C" w:rsidRDefault="009C778C" w:rsidP="007908BC">
            <w:pPr>
              <w:pStyle w:val="NoSpacing"/>
            </w:pPr>
            <w:r w:rsidRPr="009C778C">
              <w:t>0.077</w:t>
            </w:r>
          </w:p>
        </w:tc>
        <w:tc>
          <w:tcPr>
            <w:tcW w:w="0" w:type="auto"/>
            <w:hideMark/>
          </w:tcPr>
          <w:p w14:paraId="028442E4" w14:textId="77777777" w:rsidR="009C778C" w:rsidRPr="009C778C" w:rsidRDefault="009C778C" w:rsidP="007908BC">
            <w:pPr>
              <w:pStyle w:val="NoSpacing"/>
            </w:pPr>
            <w:r w:rsidRPr="009C778C">
              <w:t>0.097</w:t>
            </w:r>
          </w:p>
        </w:tc>
        <w:tc>
          <w:tcPr>
            <w:tcW w:w="0" w:type="auto"/>
            <w:hideMark/>
          </w:tcPr>
          <w:p w14:paraId="2706D994" w14:textId="77777777" w:rsidR="009C778C" w:rsidRPr="009C778C" w:rsidRDefault="009C778C" w:rsidP="007908BC">
            <w:pPr>
              <w:pStyle w:val="NoSpacing"/>
            </w:pPr>
            <w:r w:rsidRPr="009C778C">
              <w:t>Civil</w:t>
            </w:r>
          </w:p>
        </w:tc>
        <w:tc>
          <w:tcPr>
            <w:tcW w:w="0" w:type="auto"/>
            <w:hideMark/>
          </w:tcPr>
          <w:p w14:paraId="4CD5D7D0" w14:textId="77777777" w:rsidR="009C778C" w:rsidRPr="009C778C" w:rsidRDefault="009C778C" w:rsidP="007908BC">
            <w:pPr>
              <w:pStyle w:val="NoSpacing"/>
            </w:pPr>
            <w:r w:rsidRPr="009C778C">
              <w:t>Developed</w:t>
            </w:r>
          </w:p>
        </w:tc>
      </w:tr>
      <w:tr w:rsidR="009C778C" w:rsidRPr="009C778C" w14:paraId="6D26389A" w14:textId="77777777" w:rsidTr="001A7C2C">
        <w:tc>
          <w:tcPr>
            <w:tcW w:w="0" w:type="auto"/>
            <w:hideMark/>
          </w:tcPr>
          <w:p w14:paraId="1E1A30DF" w14:textId="77777777" w:rsidR="009C778C" w:rsidRPr="007908BC" w:rsidRDefault="009C778C" w:rsidP="007908BC">
            <w:pPr>
              <w:pStyle w:val="NoSpacing"/>
              <w:rPr>
                <w:b/>
                <w:bCs/>
              </w:rPr>
            </w:pPr>
            <w:r w:rsidRPr="007908BC">
              <w:rPr>
                <w:b/>
                <w:bCs/>
              </w:rPr>
              <w:t>Taiwan</w:t>
            </w:r>
          </w:p>
        </w:tc>
        <w:tc>
          <w:tcPr>
            <w:tcW w:w="0" w:type="auto"/>
            <w:hideMark/>
          </w:tcPr>
          <w:p w14:paraId="6DD19215" w14:textId="77777777" w:rsidR="009C778C" w:rsidRPr="009C778C" w:rsidRDefault="009C778C" w:rsidP="007908BC">
            <w:pPr>
              <w:pStyle w:val="NoSpacing"/>
            </w:pPr>
            <w:r w:rsidRPr="009C778C">
              <w:t>4,856</w:t>
            </w:r>
          </w:p>
        </w:tc>
        <w:tc>
          <w:tcPr>
            <w:tcW w:w="0" w:type="auto"/>
            <w:hideMark/>
          </w:tcPr>
          <w:p w14:paraId="1BDE1CE0" w14:textId="77777777" w:rsidR="009C778C" w:rsidRPr="009C778C" w:rsidRDefault="009C778C" w:rsidP="007908BC">
            <w:pPr>
              <w:pStyle w:val="NoSpacing"/>
            </w:pPr>
            <w:r w:rsidRPr="009C778C">
              <w:t>0.578</w:t>
            </w:r>
          </w:p>
        </w:tc>
        <w:tc>
          <w:tcPr>
            <w:tcW w:w="0" w:type="auto"/>
            <w:hideMark/>
          </w:tcPr>
          <w:p w14:paraId="330690EC" w14:textId="77777777" w:rsidR="009C778C" w:rsidRPr="009C778C" w:rsidRDefault="009C778C" w:rsidP="007908BC">
            <w:pPr>
              <w:pStyle w:val="NoSpacing"/>
            </w:pPr>
            <w:r w:rsidRPr="009C778C">
              <w:t>0.012</w:t>
            </w:r>
          </w:p>
        </w:tc>
        <w:tc>
          <w:tcPr>
            <w:tcW w:w="0" w:type="auto"/>
            <w:hideMark/>
          </w:tcPr>
          <w:p w14:paraId="1DF27585" w14:textId="77777777" w:rsidR="009C778C" w:rsidRPr="009C778C" w:rsidRDefault="009C778C" w:rsidP="007908BC">
            <w:pPr>
              <w:pStyle w:val="NoSpacing"/>
            </w:pPr>
            <w:r w:rsidRPr="009C778C">
              <w:t>0.038</w:t>
            </w:r>
          </w:p>
        </w:tc>
        <w:tc>
          <w:tcPr>
            <w:tcW w:w="0" w:type="auto"/>
            <w:hideMark/>
          </w:tcPr>
          <w:p w14:paraId="7993233D" w14:textId="77777777" w:rsidR="009C778C" w:rsidRPr="009C778C" w:rsidRDefault="009C778C" w:rsidP="007908BC">
            <w:pPr>
              <w:pStyle w:val="NoSpacing"/>
            </w:pPr>
            <w:r w:rsidRPr="009C778C">
              <w:t>Civil</w:t>
            </w:r>
          </w:p>
        </w:tc>
        <w:tc>
          <w:tcPr>
            <w:tcW w:w="0" w:type="auto"/>
            <w:hideMark/>
          </w:tcPr>
          <w:p w14:paraId="1CBBD6A5" w14:textId="77777777" w:rsidR="009C778C" w:rsidRPr="009C778C" w:rsidRDefault="009C778C" w:rsidP="007908BC">
            <w:pPr>
              <w:pStyle w:val="NoSpacing"/>
            </w:pPr>
            <w:r w:rsidRPr="009C778C">
              <w:t>Emerging</w:t>
            </w:r>
          </w:p>
        </w:tc>
      </w:tr>
      <w:tr w:rsidR="009C778C" w:rsidRPr="009C778C" w14:paraId="47D34899" w14:textId="77777777" w:rsidTr="001A7C2C">
        <w:tc>
          <w:tcPr>
            <w:tcW w:w="0" w:type="auto"/>
            <w:hideMark/>
          </w:tcPr>
          <w:p w14:paraId="6E5662C7" w14:textId="77777777" w:rsidR="009C778C" w:rsidRPr="007908BC" w:rsidRDefault="009C778C" w:rsidP="007908BC">
            <w:pPr>
              <w:pStyle w:val="NoSpacing"/>
              <w:rPr>
                <w:b/>
                <w:bCs/>
              </w:rPr>
            </w:pPr>
            <w:r w:rsidRPr="007908BC">
              <w:rPr>
                <w:b/>
                <w:bCs/>
              </w:rPr>
              <w:t>Thailand</w:t>
            </w:r>
          </w:p>
        </w:tc>
        <w:tc>
          <w:tcPr>
            <w:tcW w:w="0" w:type="auto"/>
            <w:hideMark/>
          </w:tcPr>
          <w:p w14:paraId="03186FCC" w14:textId="77777777" w:rsidR="009C778C" w:rsidRPr="009C778C" w:rsidRDefault="009C778C" w:rsidP="007908BC">
            <w:pPr>
              <w:pStyle w:val="NoSpacing"/>
            </w:pPr>
            <w:r w:rsidRPr="009C778C">
              <w:t>1,025</w:t>
            </w:r>
          </w:p>
        </w:tc>
        <w:tc>
          <w:tcPr>
            <w:tcW w:w="0" w:type="auto"/>
            <w:hideMark/>
          </w:tcPr>
          <w:p w14:paraId="5B859031" w14:textId="77777777" w:rsidR="009C778C" w:rsidRPr="009C778C" w:rsidRDefault="009C778C" w:rsidP="007908BC">
            <w:pPr>
              <w:pStyle w:val="NoSpacing"/>
            </w:pPr>
            <w:r w:rsidRPr="009C778C">
              <w:t>0.553</w:t>
            </w:r>
          </w:p>
        </w:tc>
        <w:tc>
          <w:tcPr>
            <w:tcW w:w="0" w:type="auto"/>
            <w:hideMark/>
          </w:tcPr>
          <w:p w14:paraId="2DF992A7" w14:textId="77777777" w:rsidR="009C778C" w:rsidRPr="009C778C" w:rsidRDefault="009C778C" w:rsidP="007908BC">
            <w:pPr>
              <w:pStyle w:val="NoSpacing"/>
            </w:pPr>
            <w:r w:rsidRPr="009C778C">
              <w:t>0.008</w:t>
            </w:r>
          </w:p>
        </w:tc>
        <w:tc>
          <w:tcPr>
            <w:tcW w:w="0" w:type="auto"/>
            <w:hideMark/>
          </w:tcPr>
          <w:p w14:paraId="5A7BDBE5" w14:textId="77777777" w:rsidR="009C778C" w:rsidRPr="009C778C" w:rsidRDefault="009C778C" w:rsidP="007908BC">
            <w:pPr>
              <w:pStyle w:val="NoSpacing"/>
            </w:pPr>
            <w:r w:rsidRPr="009C778C">
              <w:t>0.036</w:t>
            </w:r>
          </w:p>
        </w:tc>
        <w:tc>
          <w:tcPr>
            <w:tcW w:w="0" w:type="auto"/>
            <w:hideMark/>
          </w:tcPr>
          <w:p w14:paraId="5CAFC81E" w14:textId="77777777" w:rsidR="009C778C" w:rsidRPr="009C778C" w:rsidRDefault="009C778C" w:rsidP="007908BC">
            <w:pPr>
              <w:pStyle w:val="NoSpacing"/>
            </w:pPr>
            <w:r w:rsidRPr="009C778C">
              <w:t>Common</w:t>
            </w:r>
          </w:p>
        </w:tc>
        <w:tc>
          <w:tcPr>
            <w:tcW w:w="0" w:type="auto"/>
            <w:hideMark/>
          </w:tcPr>
          <w:p w14:paraId="5E9CFE43" w14:textId="77777777" w:rsidR="009C778C" w:rsidRPr="009C778C" w:rsidRDefault="009C778C" w:rsidP="007908BC">
            <w:pPr>
              <w:pStyle w:val="NoSpacing"/>
            </w:pPr>
            <w:r w:rsidRPr="009C778C">
              <w:t>Emerging</w:t>
            </w:r>
          </w:p>
        </w:tc>
      </w:tr>
      <w:tr w:rsidR="009C778C" w:rsidRPr="009C778C" w14:paraId="24C18D46" w14:textId="77777777" w:rsidTr="001A7C2C">
        <w:tc>
          <w:tcPr>
            <w:tcW w:w="0" w:type="auto"/>
            <w:hideMark/>
          </w:tcPr>
          <w:p w14:paraId="0F9503E1" w14:textId="77777777" w:rsidR="009C778C" w:rsidRPr="007908BC" w:rsidRDefault="009C778C" w:rsidP="007908BC">
            <w:pPr>
              <w:pStyle w:val="NoSpacing"/>
              <w:rPr>
                <w:b/>
                <w:bCs/>
              </w:rPr>
            </w:pPr>
            <w:r w:rsidRPr="007908BC">
              <w:rPr>
                <w:b/>
                <w:bCs/>
              </w:rPr>
              <w:t>UK</w:t>
            </w:r>
          </w:p>
        </w:tc>
        <w:tc>
          <w:tcPr>
            <w:tcW w:w="0" w:type="auto"/>
            <w:hideMark/>
          </w:tcPr>
          <w:p w14:paraId="62C29099" w14:textId="77777777" w:rsidR="009C778C" w:rsidRPr="009C778C" w:rsidRDefault="009C778C" w:rsidP="007908BC">
            <w:pPr>
              <w:pStyle w:val="NoSpacing"/>
            </w:pPr>
            <w:r w:rsidRPr="009C778C">
              <w:t>6,026</w:t>
            </w:r>
          </w:p>
        </w:tc>
        <w:tc>
          <w:tcPr>
            <w:tcW w:w="0" w:type="auto"/>
            <w:hideMark/>
          </w:tcPr>
          <w:p w14:paraId="5D3230D2" w14:textId="77777777" w:rsidR="009C778C" w:rsidRPr="009C778C" w:rsidRDefault="009C778C" w:rsidP="007908BC">
            <w:pPr>
              <w:pStyle w:val="NoSpacing"/>
            </w:pPr>
            <w:r w:rsidRPr="009C778C">
              <w:t>0.477</w:t>
            </w:r>
          </w:p>
        </w:tc>
        <w:tc>
          <w:tcPr>
            <w:tcW w:w="0" w:type="auto"/>
            <w:hideMark/>
          </w:tcPr>
          <w:p w14:paraId="6987D010" w14:textId="77777777" w:rsidR="009C778C" w:rsidRPr="009C778C" w:rsidRDefault="009C778C" w:rsidP="007908BC">
            <w:pPr>
              <w:pStyle w:val="NoSpacing"/>
            </w:pPr>
            <w:r w:rsidRPr="009C778C">
              <w:t>0.175</w:t>
            </w:r>
          </w:p>
        </w:tc>
        <w:tc>
          <w:tcPr>
            <w:tcW w:w="0" w:type="auto"/>
            <w:hideMark/>
          </w:tcPr>
          <w:p w14:paraId="1A45E59C" w14:textId="77777777" w:rsidR="009C778C" w:rsidRPr="009C778C" w:rsidRDefault="009C778C" w:rsidP="007908BC">
            <w:pPr>
              <w:pStyle w:val="NoSpacing"/>
            </w:pPr>
            <w:r w:rsidRPr="009C778C">
              <w:t>0.042</w:t>
            </w:r>
          </w:p>
        </w:tc>
        <w:tc>
          <w:tcPr>
            <w:tcW w:w="0" w:type="auto"/>
            <w:hideMark/>
          </w:tcPr>
          <w:p w14:paraId="06864573" w14:textId="77777777" w:rsidR="009C778C" w:rsidRPr="009C778C" w:rsidRDefault="009C778C" w:rsidP="007908BC">
            <w:pPr>
              <w:pStyle w:val="NoSpacing"/>
            </w:pPr>
            <w:r w:rsidRPr="009C778C">
              <w:t>Common</w:t>
            </w:r>
          </w:p>
        </w:tc>
        <w:tc>
          <w:tcPr>
            <w:tcW w:w="0" w:type="auto"/>
            <w:hideMark/>
          </w:tcPr>
          <w:p w14:paraId="682313F5" w14:textId="77777777" w:rsidR="009C778C" w:rsidRPr="009C778C" w:rsidRDefault="009C778C" w:rsidP="007908BC">
            <w:pPr>
              <w:pStyle w:val="NoSpacing"/>
            </w:pPr>
            <w:r w:rsidRPr="009C778C">
              <w:t>Developed</w:t>
            </w:r>
          </w:p>
        </w:tc>
      </w:tr>
    </w:tbl>
    <w:p w14:paraId="6F4C985A" w14:textId="77777777" w:rsidR="001B5C9F" w:rsidRDefault="001B5C9F" w:rsidP="009C778C">
      <w:pPr>
        <w:rPr>
          <w:rFonts w:cstheme="minorHAnsi"/>
          <w:sz w:val="24"/>
          <w:szCs w:val="24"/>
        </w:rPr>
      </w:pPr>
      <w:bookmarkStart w:id="58" w:name="bt0010"/>
    </w:p>
    <w:p w14:paraId="30558628" w14:textId="216D0B06" w:rsidR="009C778C" w:rsidRPr="009C778C" w:rsidRDefault="0044383A" w:rsidP="009C778C">
      <w:pPr>
        <w:rPr>
          <w:rFonts w:cstheme="minorHAnsi"/>
          <w:sz w:val="24"/>
          <w:szCs w:val="24"/>
        </w:rPr>
      </w:pPr>
      <w:hyperlink r:id="rId64" w:anchor="t0010" w:history="1">
        <w:r w:rsidR="009C778C" w:rsidRPr="009C778C">
          <w:rPr>
            <w:rStyle w:val="Hyperlink"/>
            <w:rFonts w:cstheme="minorHAnsi"/>
            <w:sz w:val="24"/>
            <w:szCs w:val="24"/>
          </w:rPr>
          <w:t>Table 2</w:t>
        </w:r>
      </w:hyperlink>
      <w:bookmarkEnd w:id="58"/>
      <w:r w:rsidR="009C778C" w:rsidRPr="009C778C">
        <w:rPr>
          <w:rFonts w:cstheme="minorHAnsi"/>
          <w:sz w:val="24"/>
          <w:szCs w:val="24"/>
        </w:rPr>
        <w:t> presents the </w:t>
      </w:r>
      <w:hyperlink r:id="rId65" w:tooltip="Learn more about descriptive statistics from ScienceDirect's AI-generated Topic Pages" w:history="1">
        <w:r w:rsidR="009C778C" w:rsidRPr="009C778C">
          <w:rPr>
            <w:rStyle w:val="Hyperlink"/>
            <w:rFonts w:cstheme="minorHAnsi"/>
            <w:sz w:val="24"/>
            <w:szCs w:val="24"/>
          </w:rPr>
          <w:t>descriptive statistics</w:t>
        </w:r>
      </w:hyperlink>
      <w:r w:rsidR="009C778C" w:rsidRPr="009C778C">
        <w:rPr>
          <w:rFonts w:cstheme="minorHAnsi"/>
          <w:sz w:val="24"/>
          <w:szCs w:val="24"/>
        </w:rPr>
        <w:t> of key variables. The mean of the aggregate earnings management measure (</w:t>
      </w:r>
      <w:r w:rsidR="009C778C" w:rsidRPr="009C778C">
        <w:rPr>
          <w:rFonts w:cstheme="minorHAnsi"/>
          <w:i/>
          <w:iCs/>
          <w:sz w:val="24"/>
          <w:szCs w:val="24"/>
        </w:rPr>
        <w:t>Agg. EM</w:t>
      </w:r>
      <w:r w:rsidR="009C778C" w:rsidRPr="009C778C">
        <w:rPr>
          <w:rFonts w:cstheme="minorHAnsi"/>
          <w:sz w:val="24"/>
          <w:szCs w:val="24"/>
        </w:rPr>
        <w:t>) is 0.496. The average firm has 9.4 percent in total institutional holdings, 4.9 percent in domestic institutional holdings, and 4.6 percent in foreign institutional holdings. Each variable exhibits considerable variation with the </w:t>
      </w:r>
      <w:hyperlink r:id="rId66" w:tooltip="Learn more about standard deviation from ScienceDirect's AI-generated Topic Pages" w:history="1">
        <w:r w:rsidR="009C778C" w:rsidRPr="009C778C">
          <w:rPr>
            <w:rStyle w:val="Hyperlink"/>
            <w:rFonts w:cstheme="minorHAnsi"/>
            <w:sz w:val="24"/>
            <w:szCs w:val="24"/>
          </w:rPr>
          <w:t>standard deviation</w:t>
        </w:r>
      </w:hyperlink>
      <w:r w:rsidR="009C778C" w:rsidRPr="009C778C">
        <w:rPr>
          <w:rFonts w:cstheme="minorHAnsi"/>
          <w:sz w:val="24"/>
          <w:szCs w:val="24"/>
        </w:rPr>
        <w:t> being 11.2%, 8.0%, and 6.9%, respectively. The descriptive statistics of our institutional ownership variables are in line with those reported in </w:t>
      </w:r>
      <w:hyperlink r:id="rId67" w:anchor="bb0150" w:history="1">
        <w:r w:rsidR="009C778C" w:rsidRPr="009C778C">
          <w:rPr>
            <w:rStyle w:val="Hyperlink"/>
            <w:rFonts w:cstheme="minorHAnsi"/>
            <w:sz w:val="24"/>
            <w:szCs w:val="24"/>
          </w:rPr>
          <w:t>Ferreira and Matos (2008)</w:t>
        </w:r>
      </w:hyperlink>
      <w:r w:rsidR="009C778C" w:rsidRPr="009C778C">
        <w:rPr>
          <w:rFonts w:cstheme="minorHAnsi"/>
          <w:sz w:val="24"/>
          <w:szCs w:val="24"/>
        </w:rPr>
        <w:t>. For example, they report a mean percent of 7.4, 3.8, and 3.6 for total, domestic, and foreign institutional stockholdings with a standard deviation of 12.6%, 8.7%, and 7.9%, respectively.</w:t>
      </w:r>
    </w:p>
    <w:p w14:paraId="5C086A32" w14:textId="77777777" w:rsidR="009C778C" w:rsidRPr="001B5C9F" w:rsidRDefault="009C778C" w:rsidP="001A7C2C">
      <w:pPr>
        <w:pStyle w:val="NoSpacing"/>
        <w:rPr>
          <w:sz w:val="24"/>
          <w:szCs w:val="24"/>
        </w:rPr>
      </w:pPr>
      <w:r w:rsidRPr="00911EDD">
        <w:rPr>
          <w:b/>
          <w:bCs/>
          <w:sz w:val="24"/>
          <w:szCs w:val="24"/>
        </w:rPr>
        <w:t>Table 2</w:t>
      </w:r>
      <w:r w:rsidRPr="001B5C9F">
        <w:rPr>
          <w:sz w:val="24"/>
          <w:szCs w:val="24"/>
        </w:rPr>
        <w:t xml:space="preserve">. Summary statistics. This table presents summary statistics for the key variables used in this study. The sample is constructed from the intersection of FactSet and </w:t>
      </w:r>
      <w:proofErr w:type="spellStart"/>
      <w:r w:rsidRPr="001B5C9F">
        <w:rPr>
          <w:sz w:val="24"/>
          <w:szCs w:val="24"/>
        </w:rPr>
        <w:t>Compustat</w:t>
      </w:r>
      <w:proofErr w:type="spellEnd"/>
      <w:r w:rsidRPr="001B5C9F">
        <w:rPr>
          <w:sz w:val="24"/>
          <w:szCs w:val="24"/>
        </w:rPr>
        <w:t xml:space="preserve"> Global, after excluding financial firms (SIC 6000-99) and imposing requisite data requirement. The sample consists of 66,286 firm-year observations or 2,724 institutions with equity holdings in 11,403 non-US firms across 29 countries from 2001 to 2013. All variables are </w:t>
      </w:r>
      <w:proofErr w:type="spellStart"/>
      <w:r w:rsidRPr="001B5C9F">
        <w:rPr>
          <w:sz w:val="24"/>
          <w:szCs w:val="24"/>
        </w:rPr>
        <w:t>winsorized</w:t>
      </w:r>
      <w:proofErr w:type="spellEnd"/>
      <w:r w:rsidRPr="001B5C9F">
        <w:rPr>
          <w:sz w:val="24"/>
          <w:szCs w:val="24"/>
        </w:rPr>
        <w:t xml:space="preserve"> at the one percent level at each tail. Detailed variable definitions are given in </w:t>
      </w:r>
      <w:hyperlink r:id="rId68" w:anchor="s0085" w:history="1">
        <w:r w:rsidRPr="001B5C9F">
          <w:rPr>
            <w:rStyle w:val="Hyperlink"/>
            <w:rFonts w:cstheme="minorHAnsi"/>
            <w:sz w:val="24"/>
            <w:szCs w:val="24"/>
          </w:rPr>
          <w:t>Appendix A</w:t>
        </w:r>
      </w:hyperlink>
      <w:r w:rsidRPr="001B5C9F">
        <w:rPr>
          <w:sz w:val="24"/>
          <w:szCs w:val="24"/>
        </w:rPr>
        <w:t>.</w:t>
      </w:r>
    </w:p>
    <w:tbl>
      <w:tblPr>
        <w:tblStyle w:val="TableGrid"/>
        <w:tblW w:w="0" w:type="auto"/>
        <w:tblLook w:val="04A0" w:firstRow="1" w:lastRow="0" w:firstColumn="1" w:lastColumn="0" w:noHBand="0" w:noVBand="1"/>
      </w:tblPr>
      <w:tblGrid>
        <w:gridCol w:w="4942"/>
        <w:gridCol w:w="829"/>
        <w:gridCol w:w="735"/>
        <w:gridCol w:w="901"/>
        <w:gridCol w:w="889"/>
        <w:gridCol w:w="917"/>
        <w:gridCol w:w="857"/>
      </w:tblGrid>
      <w:tr w:rsidR="001A7C2C" w:rsidRPr="009C778C" w14:paraId="705FCA0E" w14:textId="77777777" w:rsidTr="001A7C2C">
        <w:tc>
          <w:tcPr>
            <w:tcW w:w="0" w:type="auto"/>
            <w:hideMark/>
          </w:tcPr>
          <w:p w14:paraId="49DEECCF" w14:textId="77777777" w:rsidR="009C778C" w:rsidRPr="009C778C" w:rsidRDefault="009C778C" w:rsidP="0007040E">
            <w:pPr>
              <w:pStyle w:val="NoSpacing"/>
            </w:pPr>
            <w:r w:rsidRPr="009C778C">
              <w:t>Variable</w:t>
            </w:r>
          </w:p>
        </w:tc>
        <w:tc>
          <w:tcPr>
            <w:tcW w:w="0" w:type="auto"/>
            <w:hideMark/>
          </w:tcPr>
          <w:p w14:paraId="082FA994" w14:textId="77777777" w:rsidR="009C778C" w:rsidRPr="009C778C" w:rsidRDefault="009C778C" w:rsidP="0007040E">
            <w:pPr>
              <w:pStyle w:val="NoSpacing"/>
            </w:pPr>
            <w:r w:rsidRPr="009C778C">
              <w:t>N</w:t>
            </w:r>
          </w:p>
        </w:tc>
        <w:tc>
          <w:tcPr>
            <w:tcW w:w="0" w:type="auto"/>
            <w:hideMark/>
          </w:tcPr>
          <w:p w14:paraId="27894738" w14:textId="77777777" w:rsidR="009C778C" w:rsidRPr="009C778C" w:rsidRDefault="009C778C" w:rsidP="0007040E">
            <w:pPr>
              <w:pStyle w:val="NoSpacing"/>
            </w:pPr>
            <w:r w:rsidRPr="009C778C">
              <w:t>Mean</w:t>
            </w:r>
          </w:p>
        </w:tc>
        <w:tc>
          <w:tcPr>
            <w:tcW w:w="0" w:type="auto"/>
            <w:hideMark/>
          </w:tcPr>
          <w:p w14:paraId="587DE883" w14:textId="77777777" w:rsidR="009C778C" w:rsidRPr="009C778C" w:rsidRDefault="009C778C" w:rsidP="0007040E">
            <w:pPr>
              <w:pStyle w:val="NoSpacing"/>
            </w:pPr>
            <w:r w:rsidRPr="009C778C">
              <w:t>Median</w:t>
            </w:r>
          </w:p>
        </w:tc>
        <w:tc>
          <w:tcPr>
            <w:tcW w:w="0" w:type="auto"/>
            <w:hideMark/>
          </w:tcPr>
          <w:p w14:paraId="714DDA21" w14:textId="77777777" w:rsidR="009C778C" w:rsidRPr="009C778C" w:rsidRDefault="009C778C" w:rsidP="0007040E">
            <w:pPr>
              <w:pStyle w:val="NoSpacing"/>
            </w:pPr>
            <w:r w:rsidRPr="009C778C">
              <w:t>Std. dev.</w:t>
            </w:r>
          </w:p>
        </w:tc>
        <w:tc>
          <w:tcPr>
            <w:tcW w:w="0" w:type="auto"/>
            <w:hideMark/>
          </w:tcPr>
          <w:p w14:paraId="52B61D72" w14:textId="77777777" w:rsidR="009C778C" w:rsidRPr="009C778C" w:rsidRDefault="009C778C" w:rsidP="0007040E">
            <w:pPr>
              <w:pStyle w:val="NoSpacing"/>
            </w:pPr>
            <w:proofErr w:type="spellStart"/>
            <w:r w:rsidRPr="009C778C">
              <w:t>Pctl</w:t>
            </w:r>
            <w:proofErr w:type="spellEnd"/>
            <w:r w:rsidRPr="009C778C">
              <w:t xml:space="preserve"> 25</w:t>
            </w:r>
            <w:r w:rsidRPr="009C778C">
              <w:rPr>
                <w:vertAlign w:val="superscript"/>
              </w:rPr>
              <w:t>th</w:t>
            </w:r>
          </w:p>
        </w:tc>
        <w:tc>
          <w:tcPr>
            <w:tcW w:w="0" w:type="auto"/>
            <w:hideMark/>
          </w:tcPr>
          <w:p w14:paraId="2F948930" w14:textId="77777777" w:rsidR="009C778C" w:rsidRPr="009C778C" w:rsidRDefault="009C778C" w:rsidP="0007040E">
            <w:pPr>
              <w:pStyle w:val="NoSpacing"/>
            </w:pPr>
            <w:proofErr w:type="spellStart"/>
            <w:r w:rsidRPr="009C778C">
              <w:t>Pctl</w:t>
            </w:r>
            <w:proofErr w:type="spellEnd"/>
            <w:r w:rsidRPr="009C778C">
              <w:t xml:space="preserve"> 75</w:t>
            </w:r>
            <w:r w:rsidRPr="009C778C">
              <w:rPr>
                <w:vertAlign w:val="superscript"/>
              </w:rPr>
              <w:t>th</w:t>
            </w:r>
          </w:p>
        </w:tc>
      </w:tr>
      <w:tr w:rsidR="001A7C2C" w:rsidRPr="009C778C" w14:paraId="54F82AC5" w14:textId="77777777" w:rsidTr="001A7C2C">
        <w:tc>
          <w:tcPr>
            <w:tcW w:w="0" w:type="auto"/>
            <w:hideMark/>
          </w:tcPr>
          <w:p w14:paraId="52901ED6" w14:textId="77777777" w:rsidR="001A7C2C" w:rsidRPr="009C778C" w:rsidRDefault="001A7C2C" w:rsidP="0007040E">
            <w:pPr>
              <w:pStyle w:val="NoSpacing"/>
            </w:pPr>
            <w:r w:rsidRPr="009C778C">
              <w:t>Panel A: Main dependent variables - earning management</w:t>
            </w:r>
          </w:p>
        </w:tc>
        <w:tc>
          <w:tcPr>
            <w:tcW w:w="0" w:type="auto"/>
          </w:tcPr>
          <w:p w14:paraId="7DFBD0C1" w14:textId="77777777" w:rsidR="001A7C2C" w:rsidRPr="009C778C" w:rsidRDefault="001A7C2C" w:rsidP="0007040E">
            <w:pPr>
              <w:pStyle w:val="NoSpacing"/>
            </w:pPr>
          </w:p>
        </w:tc>
        <w:tc>
          <w:tcPr>
            <w:tcW w:w="0" w:type="auto"/>
          </w:tcPr>
          <w:p w14:paraId="40847439" w14:textId="77777777" w:rsidR="001A7C2C" w:rsidRPr="009C778C" w:rsidRDefault="001A7C2C" w:rsidP="0007040E">
            <w:pPr>
              <w:pStyle w:val="NoSpacing"/>
            </w:pPr>
          </w:p>
        </w:tc>
        <w:tc>
          <w:tcPr>
            <w:tcW w:w="0" w:type="auto"/>
          </w:tcPr>
          <w:p w14:paraId="346B8F24" w14:textId="77777777" w:rsidR="001A7C2C" w:rsidRPr="009C778C" w:rsidRDefault="001A7C2C" w:rsidP="0007040E">
            <w:pPr>
              <w:pStyle w:val="NoSpacing"/>
            </w:pPr>
          </w:p>
        </w:tc>
        <w:tc>
          <w:tcPr>
            <w:tcW w:w="0" w:type="auto"/>
          </w:tcPr>
          <w:p w14:paraId="1D5F2927" w14:textId="77777777" w:rsidR="001A7C2C" w:rsidRPr="009C778C" w:rsidRDefault="001A7C2C" w:rsidP="0007040E">
            <w:pPr>
              <w:pStyle w:val="NoSpacing"/>
            </w:pPr>
          </w:p>
        </w:tc>
        <w:tc>
          <w:tcPr>
            <w:tcW w:w="0" w:type="auto"/>
          </w:tcPr>
          <w:p w14:paraId="66BA852C" w14:textId="77777777" w:rsidR="001A7C2C" w:rsidRPr="009C778C" w:rsidRDefault="001A7C2C" w:rsidP="0007040E">
            <w:pPr>
              <w:pStyle w:val="NoSpacing"/>
            </w:pPr>
          </w:p>
        </w:tc>
        <w:tc>
          <w:tcPr>
            <w:tcW w:w="0" w:type="auto"/>
          </w:tcPr>
          <w:p w14:paraId="25D77033" w14:textId="3A5E6687" w:rsidR="001A7C2C" w:rsidRPr="009C778C" w:rsidRDefault="001A7C2C" w:rsidP="0007040E">
            <w:pPr>
              <w:pStyle w:val="NoSpacing"/>
            </w:pPr>
          </w:p>
        </w:tc>
      </w:tr>
      <w:tr w:rsidR="001A7C2C" w:rsidRPr="009C778C" w14:paraId="3482273F" w14:textId="77777777" w:rsidTr="001A7C2C">
        <w:tc>
          <w:tcPr>
            <w:tcW w:w="0" w:type="auto"/>
            <w:hideMark/>
          </w:tcPr>
          <w:p w14:paraId="4F8DA407" w14:textId="77777777" w:rsidR="009C778C" w:rsidRPr="009C778C" w:rsidRDefault="009C778C" w:rsidP="0007040E">
            <w:pPr>
              <w:pStyle w:val="NoSpacing"/>
            </w:pPr>
            <w:r w:rsidRPr="009C778C">
              <w:t>Agg. EM</w:t>
            </w:r>
          </w:p>
        </w:tc>
        <w:tc>
          <w:tcPr>
            <w:tcW w:w="0" w:type="auto"/>
            <w:hideMark/>
          </w:tcPr>
          <w:p w14:paraId="07DA7FEE" w14:textId="77777777" w:rsidR="009C778C" w:rsidRPr="009C778C" w:rsidRDefault="009C778C" w:rsidP="0007040E">
            <w:pPr>
              <w:pStyle w:val="NoSpacing"/>
            </w:pPr>
            <w:r w:rsidRPr="009C778C">
              <w:t>66,286</w:t>
            </w:r>
          </w:p>
        </w:tc>
        <w:tc>
          <w:tcPr>
            <w:tcW w:w="0" w:type="auto"/>
            <w:hideMark/>
          </w:tcPr>
          <w:p w14:paraId="646A89B4" w14:textId="77777777" w:rsidR="009C778C" w:rsidRPr="009C778C" w:rsidRDefault="009C778C" w:rsidP="0007040E">
            <w:pPr>
              <w:pStyle w:val="NoSpacing"/>
            </w:pPr>
            <w:r w:rsidRPr="009C778C">
              <w:t>0.496</w:t>
            </w:r>
          </w:p>
        </w:tc>
        <w:tc>
          <w:tcPr>
            <w:tcW w:w="0" w:type="auto"/>
            <w:hideMark/>
          </w:tcPr>
          <w:p w14:paraId="663199BA" w14:textId="77777777" w:rsidR="009C778C" w:rsidRPr="009C778C" w:rsidRDefault="009C778C" w:rsidP="0007040E">
            <w:pPr>
              <w:pStyle w:val="NoSpacing"/>
            </w:pPr>
            <w:r w:rsidRPr="009C778C">
              <w:t>0.263</w:t>
            </w:r>
          </w:p>
        </w:tc>
        <w:tc>
          <w:tcPr>
            <w:tcW w:w="0" w:type="auto"/>
            <w:hideMark/>
          </w:tcPr>
          <w:p w14:paraId="17E35E86" w14:textId="77777777" w:rsidR="009C778C" w:rsidRPr="009C778C" w:rsidRDefault="009C778C" w:rsidP="0007040E">
            <w:pPr>
              <w:pStyle w:val="NoSpacing"/>
            </w:pPr>
            <w:r w:rsidRPr="009C778C">
              <w:t>0.865</w:t>
            </w:r>
          </w:p>
        </w:tc>
        <w:tc>
          <w:tcPr>
            <w:tcW w:w="0" w:type="auto"/>
            <w:hideMark/>
          </w:tcPr>
          <w:p w14:paraId="08ADE804" w14:textId="77777777" w:rsidR="009C778C" w:rsidRPr="009C778C" w:rsidRDefault="009C778C" w:rsidP="0007040E">
            <w:pPr>
              <w:pStyle w:val="NoSpacing"/>
            </w:pPr>
            <w:r w:rsidRPr="009C778C">
              <w:t>0.158</w:t>
            </w:r>
          </w:p>
        </w:tc>
        <w:tc>
          <w:tcPr>
            <w:tcW w:w="0" w:type="auto"/>
            <w:hideMark/>
          </w:tcPr>
          <w:p w14:paraId="12AA90D0" w14:textId="77777777" w:rsidR="009C778C" w:rsidRPr="009C778C" w:rsidRDefault="009C778C" w:rsidP="0007040E">
            <w:pPr>
              <w:pStyle w:val="NoSpacing"/>
            </w:pPr>
            <w:r w:rsidRPr="009C778C">
              <w:t>0.495</w:t>
            </w:r>
          </w:p>
        </w:tc>
      </w:tr>
      <w:tr w:rsidR="001A7C2C" w:rsidRPr="009C778C" w14:paraId="724545C9" w14:textId="77777777" w:rsidTr="001A7C2C">
        <w:tc>
          <w:tcPr>
            <w:tcW w:w="0" w:type="auto"/>
            <w:hideMark/>
          </w:tcPr>
          <w:p w14:paraId="002871C2" w14:textId="77777777" w:rsidR="009C778C" w:rsidRPr="009C778C" w:rsidRDefault="009C778C" w:rsidP="0007040E">
            <w:pPr>
              <w:pStyle w:val="NoSpacing"/>
            </w:pPr>
            <w:r w:rsidRPr="009C778C">
              <w:t>EM1</w:t>
            </w:r>
          </w:p>
        </w:tc>
        <w:tc>
          <w:tcPr>
            <w:tcW w:w="0" w:type="auto"/>
            <w:hideMark/>
          </w:tcPr>
          <w:p w14:paraId="2AA0D919" w14:textId="77777777" w:rsidR="009C778C" w:rsidRPr="009C778C" w:rsidRDefault="009C778C" w:rsidP="0007040E">
            <w:pPr>
              <w:pStyle w:val="NoSpacing"/>
            </w:pPr>
            <w:r w:rsidRPr="009C778C">
              <w:t>66,286</w:t>
            </w:r>
          </w:p>
        </w:tc>
        <w:tc>
          <w:tcPr>
            <w:tcW w:w="0" w:type="auto"/>
            <w:hideMark/>
          </w:tcPr>
          <w:p w14:paraId="77B561B5" w14:textId="77777777" w:rsidR="009C778C" w:rsidRPr="009C778C" w:rsidRDefault="009C778C" w:rsidP="0007040E">
            <w:pPr>
              <w:pStyle w:val="NoSpacing"/>
            </w:pPr>
            <w:r w:rsidRPr="009C778C">
              <w:t>0.126</w:t>
            </w:r>
          </w:p>
        </w:tc>
        <w:tc>
          <w:tcPr>
            <w:tcW w:w="0" w:type="auto"/>
            <w:hideMark/>
          </w:tcPr>
          <w:p w14:paraId="04724BE0" w14:textId="77777777" w:rsidR="009C778C" w:rsidRPr="009C778C" w:rsidRDefault="009C778C" w:rsidP="0007040E">
            <w:pPr>
              <w:pStyle w:val="NoSpacing"/>
            </w:pPr>
            <w:r w:rsidRPr="009C778C">
              <w:t>0.061</w:t>
            </w:r>
          </w:p>
        </w:tc>
        <w:tc>
          <w:tcPr>
            <w:tcW w:w="0" w:type="auto"/>
            <w:hideMark/>
          </w:tcPr>
          <w:p w14:paraId="2FD5923D" w14:textId="77777777" w:rsidR="009C778C" w:rsidRPr="009C778C" w:rsidRDefault="009C778C" w:rsidP="0007040E">
            <w:pPr>
              <w:pStyle w:val="NoSpacing"/>
            </w:pPr>
            <w:r w:rsidRPr="009C778C">
              <w:t>0.163</w:t>
            </w:r>
          </w:p>
        </w:tc>
        <w:tc>
          <w:tcPr>
            <w:tcW w:w="0" w:type="auto"/>
            <w:hideMark/>
          </w:tcPr>
          <w:p w14:paraId="2F57FB0A" w14:textId="77777777" w:rsidR="009C778C" w:rsidRPr="009C778C" w:rsidRDefault="009C778C" w:rsidP="0007040E">
            <w:pPr>
              <w:pStyle w:val="NoSpacing"/>
            </w:pPr>
            <w:r w:rsidRPr="009C778C">
              <w:t>0.025</w:t>
            </w:r>
          </w:p>
        </w:tc>
        <w:tc>
          <w:tcPr>
            <w:tcW w:w="0" w:type="auto"/>
            <w:hideMark/>
          </w:tcPr>
          <w:p w14:paraId="5D46700B" w14:textId="77777777" w:rsidR="009C778C" w:rsidRPr="009C778C" w:rsidRDefault="009C778C" w:rsidP="0007040E">
            <w:pPr>
              <w:pStyle w:val="NoSpacing"/>
            </w:pPr>
            <w:r w:rsidRPr="009C778C">
              <w:t>0.148</w:t>
            </w:r>
          </w:p>
        </w:tc>
      </w:tr>
      <w:tr w:rsidR="001A7C2C" w:rsidRPr="009C778C" w14:paraId="14B82CEE" w14:textId="77777777" w:rsidTr="001A7C2C">
        <w:tc>
          <w:tcPr>
            <w:tcW w:w="0" w:type="auto"/>
            <w:hideMark/>
          </w:tcPr>
          <w:p w14:paraId="66933085" w14:textId="77777777" w:rsidR="009C778C" w:rsidRPr="009C778C" w:rsidRDefault="009C778C" w:rsidP="0007040E">
            <w:pPr>
              <w:pStyle w:val="NoSpacing"/>
            </w:pPr>
            <w:r w:rsidRPr="009C778C">
              <w:t>EM2</w:t>
            </w:r>
          </w:p>
        </w:tc>
        <w:tc>
          <w:tcPr>
            <w:tcW w:w="0" w:type="auto"/>
            <w:hideMark/>
          </w:tcPr>
          <w:p w14:paraId="37B94BF0" w14:textId="77777777" w:rsidR="009C778C" w:rsidRPr="009C778C" w:rsidRDefault="009C778C" w:rsidP="0007040E">
            <w:pPr>
              <w:pStyle w:val="NoSpacing"/>
            </w:pPr>
            <w:r w:rsidRPr="009C778C">
              <w:t>66,286</w:t>
            </w:r>
          </w:p>
        </w:tc>
        <w:tc>
          <w:tcPr>
            <w:tcW w:w="0" w:type="auto"/>
            <w:hideMark/>
          </w:tcPr>
          <w:p w14:paraId="5AA3060F" w14:textId="77777777" w:rsidR="009C778C" w:rsidRPr="009C778C" w:rsidRDefault="009C778C" w:rsidP="0007040E">
            <w:pPr>
              <w:pStyle w:val="NoSpacing"/>
            </w:pPr>
            <w:r w:rsidRPr="009C778C">
              <w:t>0.083</w:t>
            </w:r>
          </w:p>
        </w:tc>
        <w:tc>
          <w:tcPr>
            <w:tcW w:w="0" w:type="auto"/>
            <w:hideMark/>
          </w:tcPr>
          <w:p w14:paraId="3B2C5F6A" w14:textId="77777777" w:rsidR="009C778C" w:rsidRPr="009C778C" w:rsidRDefault="009C778C" w:rsidP="0007040E">
            <w:pPr>
              <w:pStyle w:val="NoSpacing"/>
            </w:pPr>
            <w:r w:rsidRPr="009C778C">
              <w:t>0.041</w:t>
            </w:r>
          </w:p>
        </w:tc>
        <w:tc>
          <w:tcPr>
            <w:tcW w:w="0" w:type="auto"/>
            <w:hideMark/>
          </w:tcPr>
          <w:p w14:paraId="305549EA" w14:textId="77777777" w:rsidR="009C778C" w:rsidRPr="009C778C" w:rsidRDefault="009C778C" w:rsidP="0007040E">
            <w:pPr>
              <w:pStyle w:val="NoSpacing"/>
            </w:pPr>
            <w:r w:rsidRPr="009C778C">
              <w:t>0.127</w:t>
            </w:r>
          </w:p>
        </w:tc>
        <w:tc>
          <w:tcPr>
            <w:tcW w:w="0" w:type="auto"/>
            <w:hideMark/>
          </w:tcPr>
          <w:p w14:paraId="530158C5" w14:textId="77777777" w:rsidR="009C778C" w:rsidRPr="009C778C" w:rsidRDefault="009C778C" w:rsidP="0007040E">
            <w:pPr>
              <w:pStyle w:val="NoSpacing"/>
            </w:pPr>
            <w:r w:rsidRPr="009C778C">
              <w:t>0.017</w:t>
            </w:r>
          </w:p>
        </w:tc>
        <w:tc>
          <w:tcPr>
            <w:tcW w:w="0" w:type="auto"/>
            <w:hideMark/>
          </w:tcPr>
          <w:p w14:paraId="75B75155" w14:textId="77777777" w:rsidR="009C778C" w:rsidRPr="009C778C" w:rsidRDefault="009C778C" w:rsidP="0007040E">
            <w:pPr>
              <w:pStyle w:val="NoSpacing"/>
            </w:pPr>
            <w:r w:rsidRPr="009C778C">
              <w:t>0.090</w:t>
            </w:r>
          </w:p>
        </w:tc>
      </w:tr>
      <w:tr w:rsidR="001A7C2C" w:rsidRPr="009C778C" w14:paraId="6E85BCF2" w14:textId="77777777" w:rsidTr="001A7C2C">
        <w:tc>
          <w:tcPr>
            <w:tcW w:w="0" w:type="auto"/>
            <w:hideMark/>
          </w:tcPr>
          <w:p w14:paraId="78A07475" w14:textId="77777777" w:rsidR="009C778C" w:rsidRPr="009C778C" w:rsidRDefault="009C778C" w:rsidP="0007040E">
            <w:pPr>
              <w:pStyle w:val="NoSpacing"/>
            </w:pPr>
            <w:r w:rsidRPr="009C778C">
              <w:t>EM3</w:t>
            </w:r>
          </w:p>
        </w:tc>
        <w:tc>
          <w:tcPr>
            <w:tcW w:w="0" w:type="auto"/>
            <w:hideMark/>
          </w:tcPr>
          <w:p w14:paraId="3EA0B014" w14:textId="77777777" w:rsidR="009C778C" w:rsidRPr="009C778C" w:rsidRDefault="009C778C" w:rsidP="0007040E">
            <w:pPr>
              <w:pStyle w:val="NoSpacing"/>
            </w:pPr>
            <w:r w:rsidRPr="009C778C">
              <w:t>66,286</w:t>
            </w:r>
          </w:p>
        </w:tc>
        <w:tc>
          <w:tcPr>
            <w:tcW w:w="0" w:type="auto"/>
            <w:hideMark/>
          </w:tcPr>
          <w:p w14:paraId="358FC79B" w14:textId="77777777" w:rsidR="009C778C" w:rsidRPr="009C778C" w:rsidRDefault="009C778C" w:rsidP="0007040E">
            <w:pPr>
              <w:pStyle w:val="NoSpacing"/>
            </w:pPr>
            <w:r w:rsidRPr="009C778C">
              <w:t>0.689</w:t>
            </w:r>
          </w:p>
        </w:tc>
        <w:tc>
          <w:tcPr>
            <w:tcW w:w="0" w:type="auto"/>
            <w:hideMark/>
          </w:tcPr>
          <w:p w14:paraId="67E96511" w14:textId="77777777" w:rsidR="009C778C" w:rsidRPr="009C778C" w:rsidRDefault="009C778C" w:rsidP="0007040E">
            <w:pPr>
              <w:pStyle w:val="NoSpacing"/>
            </w:pPr>
            <w:r w:rsidRPr="009C778C">
              <w:t>0.357</w:t>
            </w:r>
          </w:p>
        </w:tc>
        <w:tc>
          <w:tcPr>
            <w:tcW w:w="0" w:type="auto"/>
            <w:hideMark/>
          </w:tcPr>
          <w:p w14:paraId="7FD71C42" w14:textId="77777777" w:rsidR="009C778C" w:rsidRPr="009C778C" w:rsidRDefault="009C778C" w:rsidP="0007040E">
            <w:pPr>
              <w:pStyle w:val="NoSpacing"/>
            </w:pPr>
            <w:r w:rsidRPr="009C778C">
              <w:t>1.389</w:t>
            </w:r>
          </w:p>
        </w:tc>
        <w:tc>
          <w:tcPr>
            <w:tcW w:w="0" w:type="auto"/>
            <w:hideMark/>
          </w:tcPr>
          <w:p w14:paraId="7A63FD12" w14:textId="77777777" w:rsidR="009C778C" w:rsidRPr="009C778C" w:rsidRDefault="009C778C" w:rsidP="0007040E">
            <w:pPr>
              <w:pStyle w:val="NoSpacing"/>
            </w:pPr>
            <w:r w:rsidRPr="009C778C">
              <w:t>0.196</w:t>
            </w:r>
          </w:p>
        </w:tc>
        <w:tc>
          <w:tcPr>
            <w:tcW w:w="0" w:type="auto"/>
            <w:hideMark/>
          </w:tcPr>
          <w:p w14:paraId="68F0875C" w14:textId="77777777" w:rsidR="009C778C" w:rsidRPr="009C778C" w:rsidRDefault="009C778C" w:rsidP="0007040E">
            <w:pPr>
              <w:pStyle w:val="NoSpacing"/>
            </w:pPr>
            <w:r w:rsidRPr="009C778C">
              <w:t>0.626</w:t>
            </w:r>
          </w:p>
        </w:tc>
      </w:tr>
      <w:tr w:rsidR="001A7C2C" w:rsidRPr="009C778C" w14:paraId="46264080" w14:textId="77777777" w:rsidTr="001A7C2C">
        <w:tc>
          <w:tcPr>
            <w:tcW w:w="0" w:type="auto"/>
            <w:hideMark/>
          </w:tcPr>
          <w:p w14:paraId="510E0143" w14:textId="77777777" w:rsidR="001A7C2C" w:rsidRPr="009C778C" w:rsidRDefault="001A7C2C" w:rsidP="0007040E">
            <w:pPr>
              <w:pStyle w:val="NoSpacing"/>
            </w:pPr>
            <w:r w:rsidRPr="009C778C">
              <w:t>Panel B: Main independent variables of interest - institutional ownership</w:t>
            </w:r>
          </w:p>
        </w:tc>
        <w:tc>
          <w:tcPr>
            <w:tcW w:w="0" w:type="auto"/>
          </w:tcPr>
          <w:p w14:paraId="21534CDF" w14:textId="77777777" w:rsidR="001A7C2C" w:rsidRPr="009C778C" w:rsidRDefault="001A7C2C" w:rsidP="0007040E">
            <w:pPr>
              <w:pStyle w:val="NoSpacing"/>
            </w:pPr>
          </w:p>
        </w:tc>
        <w:tc>
          <w:tcPr>
            <w:tcW w:w="0" w:type="auto"/>
          </w:tcPr>
          <w:p w14:paraId="13B8BF36" w14:textId="77777777" w:rsidR="001A7C2C" w:rsidRPr="009C778C" w:rsidRDefault="001A7C2C" w:rsidP="0007040E">
            <w:pPr>
              <w:pStyle w:val="NoSpacing"/>
            </w:pPr>
          </w:p>
        </w:tc>
        <w:tc>
          <w:tcPr>
            <w:tcW w:w="0" w:type="auto"/>
          </w:tcPr>
          <w:p w14:paraId="318C36F0" w14:textId="77777777" w:rsidR="001A7C2C" w:rsidRPr="009C778C" w:rsidRDefault="001A7C2C" w:rsidP="0007040E">
            <w:pPr>
              <w:pStyle w:val="NoSpacing"/>
            </w:pPr>
          </w:p>
        </w:tc>
        <w:tc>
          <w:tcPr>
            <w:tcW w:w="0" w:type="auto"/>
          </w:tcPr>
          <w:p w14:paraId="6B245121" w14:textId="77777777" w:rsidR="001A7C2C" w:rsidRPr="009C778C" w:rsidRDefault="001A7C2C" w:rsidP="0007040E">
            <w:pPr>
              <w:pStyle w:val="NoSpacing"/>
            </w:pPr>
          </w:p>
        </w:tc>
        <w:tc>
          <w:tcPr>
            <w:tcW w:w="0" w:type="auto"/>
          </w:tcPr>
          <w:p w14:paraId="6B4944D0" w14:textId="77777777" w:rsidR="001A7C2C" w:rsidRPr="009C778C" w:rsidRDefault="001A7C2C" w:rsidP="0007040E">
            <w:pPr>
              <w:pStyle w:val="NoSpacing"/>
            </w:pPr>
          </w:p>
        </w:tc>
        <w:tc>
          <w:tcPr>
            <w:tcW w:w="0" w:type="auto"/>
          </w:tcPr>
          <w:p w14:paraId="3A9A2265" w14:textId="3E795DBD" w:rsidR="001A7C2C" w:rsidRPr="009C778C" w:rsidRDefault="001A7C2C" w:rsidP="0007040E">
            <w:pPr>
              <w:pStyle w:val="NoSpacing"/>
            </w:pPr>
          </w:p>
        </w:tc>
      </w:tr>
      <w:tr w:rsidR="001A7C2C" w:rsidRPr="009C778C" w14:paraId="77C20764" w14:textId="77777777" w:rsidTr="001A7C2C">
        <w:tc>
          <w:tcPr>
            <w:tcW w:w="0" w:type="auto"/>
            <w:hideMark/>
          </w:tcPr>
          <w:p w14:paraId="4485571A" w14:textId="77777777" w:rsidR="009C778C" w:rsidRPr="009C778C" w:rsidRDefault="009C778C" w:rsidP="0007040E">
            <w:pPr>
              <w:pStyle w:val="NoSpacing"/>
            </w:pPr>
            <w:r w:rsidRPr="009C778C">
              <w:t>TOTAL</w:t>
            </w:r>
          </w:p>
        </w:tc>
        <w:tc>
          <w:tcPr>
            <w:tcW w:w="0" w:type="auto"/>
            <w:hideMark/>
          </w:tcPr>
          <w:p w14:paraId="4A6B49CD" w14:textId="77777777" w:rsidR="009C778C" w:rsidRPr="009C778C" w:rsidRDefault="009C778C" w:rsidP="0007040E">
            <w:pPr>
              <w:pStyle w:val="NoSpacing"/>
            </w:pPr>
            <w:r w:rsidRPr="009C778C">
              <w:t>66,286</w:t>
            </w:r>
          </w:p>
        </w:tc>
        <w:tc>
          <w:tcPr>
            <w:tcW w:w="0" w:type="auto"/>
            <w:hideMark/>
          </w:tcPr>
          <w:p w14:paraId="10FB10A5" w14:textId="77777777" w:rsidR="009C778C" w:rsidRPr="009C778C" w:rsidRDefault="009C778C" w:rsidP="0007040E">
            <w:pPr>
              <w:pStyle w:val="NoSpacing"/>
            </w:pPr>
            <w:r w:rsidRPr="009C778C">
              <w:t>0.094</w:t>
            </w:r>
          </w:p>
        </w:tc>
        <w:tc>
          <w:tcPr>
            <w:tcW w:w="0" w:type="auto"/>
            <w:hideMark/>
          </w:tcPr>
          <w:p w14:paraId="0ABA553F" w14:textId="77777777" w:rsidR="009C778C" w:rsidRPr="009C778C" w:rsidRDefault="009C778C" w:rsidP="0007040E">
            <w:pPr>
              <w:pStyle w:val="NoSpacing"/>
            </w:pPr>
            <w:r w:rsidRPr="009C778C">
              <w:t>0.051</w:t>
            </w:r>
          </w:p>
        </w:tc>
        <w:tc>
          <w:tcPr>
            <w:tcW w:w="0" w:type="auto"/>
            <w:hideMark/>
          </w:tcPr>
          <w:p w14:paraId="29651A6B" w14:textId="77777777" w:rsidR="009C778C" w:rsidRPr="009C778C" w:rsidRDefault="009C778C" w:rsidP="0007040E">
            <w:pPr>
              <w:pStyle w:val="NoSpacing"/>
            </w:pPr>
            <w:r w:rsidRPr="009C778C">
              <w:t>0.112</w:t>
            </w:r>
          </w:p>
        </w:tc>
        <w:tc>
          <w:tcPr>
            <w:tcW w:w="0" w:type="auto"/>
            <w:hideMark/>
          </w:tcPr>
          <w:p w14:paraId="26B34E1E" w14:textId="77777777" w:rsidR="009C778C" w:rsidRPr="009C778C" w:rsidRDefault="009C778C" w:rsidP="0007040E">
            <w:pPr>
              <w:pStyle w:val="NoSpacing"/>
            </w:pPr>
            <w:r w:rsidRPr="009C778C">
              <w:t>0.012</w:t>
            </w:r>
          </w:p>
        </w:tc>
        <w:tc>
          <w:tcPr>
            <w:tcW w:w="0" w:type="auto"/>
            <w:hideMark/>
          </w:tcPr>
          <w:p w14:paraId="47C8A72B" w14:textId="77777777" w:rsidR="009C778C" w:rsidRPr="009C778C" w:rsidRDefault="009C778C" w:rsidP="0007040E">
            <w:pPr>
              <w:pStyle w:val="NoSpacing"/>
            </w:pPr>
            <w:r w:rsidRPr="009C778C">
              <w:t>0.135</w:t>
            </w:r>
          </w:p>
        </w:tc>
      </w:tr>
      <w:tr w:rsidR="001A7C2C" w:rsidRPr="009C778C" w14:paraId="620332F1" w14:textId="77777777" w:rsidTr="001A7C2C">
        <w:tc>
          <w:tcPr>
            <w:tcW w:w="0" w:type="auto"/>
            <w:hideMark/>
          </w:tcPr>
          <w:p w14:paraId="69A2814F" w14:textId="77777777" w:rsidR="009C778C" w:rsidRPr="009C778C" w:rsidRDefault="009C778C" w:rsidP="0007040E">
            <w:pPr>
              <w:pStyle w:val="NoSpacing"/>
            </w:pPr>
            <w:r w:rsidRPr="009C778C">
              <w:t>DOMESTIC</w:t>
            </w:r>
          </w:p>
        </w:tc>
        <w:tc>
          <w:tcPr>
            <w:tcW w:w="0" w:type="auto"/>
            <w:hideMark/>
          </w:tcPr>
          <w:p w14:paraId="1A47A8D1" w14:textId="77777777" w:rsidR="009C778C" w:rsidRPr="009C778C" w:rsidRDefault="009C778C" w:rsidP="0007040E">
            <w:pPr>
              <w:pStyle w:val="NoSpacing"/>
            </w:pPr>
            <w:r w:rsidRPr="009C778C">
              <w:t>66,286</w:t>
            </w:r>
          </w:p>
        </w:tc>
        <w:tc>
          <w:tcPr>
            <w:tcW w:w="0" w:type="auto"/>
            <w:hideMark/>
          </w:tcPr>
          <w:p w14:paraId="4A2409BB" w14:textId="77777777" w:rsidR="009C778C" w:rsidRPr="009C778C" w:rsidRDefault="009C778C" w:rsidP="0007040E">
            <w:pPr>
              <w:pStyle w:val="NoSpacing"/>
            </w:pPr>
            <w:r w:rsidRPr="009C778C">
              <w:t>0.049</w:t>
            </w:r>
          </w:p>
        </w:tc>
        <w:tc>
          <w:tcPr>
            <w:tcW w:w="0" w:type="auto"/>
            <w:hideMark/>
          </w:tcPr>
          <w:p w14:paraId="6396206D" w14:textId="77777777" w:rsidR="009C778C" w:rsidRPr="009C778C" w:rsidRDefault="009C778C" w:rsidP="0007040E">
            <w:pPr>
              <w:pStyle w:val="NoSpacing"/>
            </w:pPr>
            <w:r w:rsidRPr="009C778C">
              <w:t>0.016</w:t>
            </w:r>
          </w:p>
        </w:tc>
        <w:tc>
          <w:tcPr>
            <w:tcW w:w="0" w:type="auto"/>
            <w:hideMark/>
          </w:tcPr>
          <w:p w14:paraId="1166D91B" w14:textId="77777777" w:rsidR="009C778C" w:rsidRPr="009C778C" w:rsidRDefault="009C778C" w:rsidP="0007040E">
            <w:pPr>
              <w:pStyle w:val="NoSpacing"/>
            </w:pPr>
            <w:r w:rsidRPr="009C778C">
              <w:t>0.080</w:t>
            </w:r>
          </w:p>
        </w:tc>
        <w:tc>
          <w:tcPr>
            <w:tcW w:w="0" w:type="auto"/>
            <w:hideMark/>
          </w:tcPr>
          <w:p w14:paraId="31A39CAD" w14:textId="77777777" w:rsidR="009C778C" w:rsidRPr="009C778C" w:rsidRDefault="009C778C" w:rsidP="0007040E">
            <w:pPr>
              <w:pStyle w:val="NoSpacing"/>
            </w:pPr>
            <w:r w:rsidRPr="009C778C">
              <w:t>0.001</w:t>
            </w:r>
          </w:p>
        </w:tc>
        <w:tc>
          <w:tcPr>
            <w:tcW w:w="0" w:type="auto"/>
            <w:hideMark/>
          </w:tcPr>
          <w:p w14:paraId="6CBE77B4" w14:textId="77777777" w:rsidR="009C778C" w:rsidRPr="009C778C" w:rsidRDefault="009C778C" w:rsidP="0007040E">
            <w:pPr>
              <w:pStyle w:val="NoSpacing"/>
            </w:pPr>
            <w:r w:rsidRPr="009C778C">
              <w:t>0.058</w:t>
            </w:r>
          </w:p>
        </w:tc>
      </w:tr>
      <w:tr w:rsidR="001A7C2C" w:rsidRPr="009C778C" w14:paraId="18A16F49" w14:textId="77777777" w:rsidTr="001A7C2C">
        <w:tc>
          <w:tcPr>
            <w:tcW w:w="0" w:type="auto"/>
            <w:hideMark/>
          </w:tcPr>
          <w:p w14:paraId="2FC63FD0" w14:textId="77777777" w:rsidR="009C778C" w:rsidRPr="009C778C" w:rsidRDefault="009C778C" w:rsidP="0007040E">
            <w:pPr>
              <w:pStyle w:val="NoSpacing"/>
            </w:pPr>
            <w:r w:rsidRPr="009C778C">
              <w:t>FOREIGN</w:t>
            </w:r>
          </w:p>
        </w:tc>
        <w:tc>
          <w:tcPr>
            <w:tcW w:w="0" w:type="auto"/>
            <w:hideMark/>
          </w:tcPr>
          <w:p w14:paraId="638AD67E" w14:textId="77777777" w:rsidR="009C778C" w:rsidRPr="009C778C" w:rsidRDefault="009C778C" w:rsidP="0007040E">
            <w:pPr>
              <w:pStyle w:val="NoSpacing"/>
            </w:pPr>
            <w:r w:rsidRPr="009C778C">
              <w:t>66,286</w:t>
            </w:r>
          </w:p>
        </w:tc>
        <w:tc>
          <w:tcPr>
            <w:tcW w:w="0" w:type="auto"/>
            <w:hideMark/>
          </w:tcPr>
          <w:p w14:paraId="605387FF" w14:textId="77777777" w:rsidR="009C778C" w:rsidRPr="009C778C" w:rsidRDefault="009C778C" w:rsidP="0007040E">
            <w:pPr>
              <w:pStyle w:val="NoSpacing"/>
            </w:pPr>
            <w:r w:rsidRPr="009C778C">
              <w:t>0.046</w:t>
            </w:r>
          </w:p>
        </w:tc>
        <w:tc>
          <w:tcPr>
            <w:tcW w:w="0" w:type="auto"/>
            <w:hideMark/>
          </w:tcPr>
          <w:p w14:paraId="7F9534DF" w14:textId="77777777" w:rsidR="009C778C" w:rsidRPr="009C778C" w:rsidRDefault="009C778C" w:rsidP="0007040E">
            <w:pPr>
              <w:pStyle w:val="NoSpacing"/>
            </w:pPr>
            <w:r w:rsidRPr="009C778C">
              <w:t>0.016</w:t>
            </w:r>
          </w:p>
        </w:tc>
        <w:tc>
          <w:tcPr>
            <w:tcW w:w="0" w:type="auto"/>
            <w:hideMark/>
          </w:tcPr>
          <w:p w14:paraId="1A1A5D27" w14:textId="77777777" w:rsidR="009C778C" w:rsidRPr="009C778C" w:rsidRDefault="009C778C" w:rsidP="0007040E">
            <w:pPr>
              <w:pStyle w:val="NoSpacing"/>
            </w:pPr>
            <w:r w:rsidRPr="009C778C">
              <w:t>0.069</w:t>
            </w:r>
          </w:p>
        </w:tc>
        <w:tc>
          <w:tcPr>
            <w:tcW w:w="0" w:type="auto"/>
            <w:hideMark/>
          </w:tcPr>
          <w:p w14:paraId="00746AAD" w14:textId="77777777" w:rsidR="009C778C" w:rsidRPr="009C778C" w:rsidRDefault="009C778C" w:rsidP="0007040E">
            <w:pPr>
              <w:pStyle w:val="NoSpacing"/>
            </w:pPr>
            <w:r w:rsidRPr="009C778C">
              <w:t>0.003</w:t>
            </w:r>
          </w:p>
        </w:tc>
        <w:tc>
          <w:tcPr>
            <w:tcW w:w="0" w:type="auto"/>
            <w:hideMark/>
          </w:tcPr>
          <w:p w14:paraId="0D2D2998" w14:textId="77777777" w:rsidR="009C778C" w:rsidRPr="009C778C" w:rsidRDefault="009C778C" w:rsidP="0007040E">
            <w:pPr>
              <w:pStyle w:val="NoSpacing"/>
            </w:pPr>
            <w:r w:rsidRPr="009C778C">
              <w:t>0.060</w:t>
            </w:r>
          </w:p>
        </w:tc>
      </w:tr>
      <w:tr w:rsidR="001A7C2C" w:rsidRPr="009C778C" w14:paraId="45C520DB" w14:textId="77777777" w:rsidTr="001A7C2C">
        <w:tc>
          <w:tcPr>
            <w:tcW w:w="0" w:type="auto"/>
            <w:hideMark/>
          </w:tcPr>
          <w:p w14:paraId="62A6EE16" w14:textId="77777777" w:rsidR="001A7C2C" w:rsidRPr="009C778C" w:rsidRDefault="001A7C2C" w:rsidP="0007040E">
            <w:pPr>
              <w:pStyle w:val="NoSpacing"/>
            </w:pPr>
            <w:r w:rsidRPr="009C778C">
              <w:t>Panel C: Other control variables</w:t>
            </w:r>
          </w:p>
        </w:tc>
        <w:tc>
          <w:tcPr>
            <w:tcW w:w="0" w:type="auto"/>
          </w:tcPr>
          <w:p w14:paraId="3908A666" w14:textId="77777777" w:rsidR="001A7C2C" w:rsidRPr="009C778C" w:rsidRDefault="001A7C2C" w:rsidP="0007040E">
            <w:pPr>
              <w:pStyle w:val="NoSpacing"/>
            </w:pPr>
          </w:p>
        </w:tc>
        <w:tc>
          <w:tcPr>
            <w:tcW w:w="0" w:type="auto"/>
          </w:tcPr>
          <w:p w14:paraId="1BE459D1" w14:textId="77777777" w:rsidR="001A7C2C" w:rsidRPr="009C778C" w:rsidRDefault="001A7C2C" w:rsidP="0007040E">
            <w:pPr>
              <w:pStyle w:val="NoSpacing"/>
            </w:pPr>
          </w:p>
        </w:tc>
        <w:tc>
          <w:tcPr>
            <w:tcW w:w="0" w:type="auto"/>
          </w:tcPr>
          <w:p w14:paraId="22567AB3" w14:textId="77777777" w:rsidR="001A7C2C" w:rsidRPr="009C778C" w:rsidRDefault="001A7C2C" w:rsidP="0007040E">
            <w:pPr>
              <w:pStyle w:val="NoSpacing"/>
            </w:pPr>
          </w:p>
        </w:tc>
        <w:tc>
          <w:tcPr>
            <w:tcW w:w="0" w:type="auto"/>
          </w:tcPr>
          <w:p w14:paraId="6AADDB59" w14:textId="77777777" w:rsidR="001A7C2C" w:rsidRPr="009C778C" w:rsidRDefault="001A7C2C" w:rsidP="0007040E">
            <w:pPr>
              <w:pStyle w:val="NoSpacing"/>
            </w:pPr>
          </w:p>
        </w:tc>
        <w:tc>
          <w:tcPr>
            <w:tcW w:w="0" w:type="auto"/>
          </w:tcPr>
          <w:p w14:paraId="2AC4D99F" w14:textId="77777777" w:rsidR="001A7C2C" w:rsidRPr="009C778C" w:rsidRDefault="001A7C2C" w:rsidP="0007040E">
            <w:pPr>
              <w:pStyle w:val="NoSpacing"/>
            </w:pPr>
          </w:p>
        </w:tc>
        <w:tc>
          <w:tcPr>
            <w:tcW w:w="0" w:type="auto"/>
          </w:tcPr>
          <w:p w14:paraId="6906D277" w14:textId="19440CAC" w:rsidR="001A7C2C" w:rsidRPr="009C778C" w:rsidRDefault="001A7C2C" w:rsidP="0007040E">
            <w:pPr>
              <w:pStyle w:val="NoSpacing"/>
            </w:pPr>
          </w:p>
        </w:tc>
      </w:tr>
      <w:tr w:rsidR="001A7C2C" w:rsidRPr="009C778C" w14:paraId="3232EAB1" w14:textId="77777777" w:rsidTr="001A7C2C">
        <w:tc>
          <w:tcPr>
            <w:tcW w:w="0" w:type="auto"/>
            <w:hideMark/>
          </w:tcPr>
          <w:p w14:paraId="368A548A" w14:textId="77777777" w:rsidR="009C778C" w:rsidRPr="009C778C" w:rsidRDefault="009C778C" w:rsidP="0007040E">
            <w:pPr>
              <w:pStyle w:val="NoSpacing"/>
            </w:pPr>
            <w:r w:rsidRPr="009C778C">
              <w:t>SIZE</w:t>
            </w:r>
          </w:p>
        </w:tc>
        <w:tc>
          <w:tcPr>
            <w:tcW w:w="0" w:type="auto"/>
            <w:hideMark/>
          </w:tcPr>
          <w:p w14:paraId="73DA09F2" w14:textId="77777777" w:rsidR="009C778C" w:rsidRPr="009C778C" w:rsidRDefault="009C778C" w:rsidP="0007040E">
            <w:pPr>
              <w:pStyle w:val="NoSpacing"/>
            </w:pPr>
            <w:r w:rsidRPr="009C778C">
              <w:t>66,286</w:t>
            </w:r>
          </w:p>
        </w:tc>
        <w:tc>
          <w:tcPr>
            <w:tcW w:w="0" w:type="auto"/>
            <w:hideMark/>
          </w:tcPr>
          <w:p w14:paraId="0EBC84A0" w14:textId="77777777" w:rsidR="009C778C" w:rsidRPr="009C778C" w:rsidRDefault="009C778C" w:rsidP="0007040E">
            <w:pPr>
              <w:pStyle w:val="NoSpacing"/>
            </w:pPr>
            <w:r w:rsidRPr="009C778C">
              <w:t>5.925</w:t>
            </w:r>
          </w:p>
        </w:tc>
        <w:tc>
          <w:tcPr>
            <w:tcW w:w="0" w:type="auto"/>
            <w:hideMark/>
          </w:tcPr>
          <w:p w14:paraId="71389D67" w14:textId="77777777" w:rsidR="009C778C" w:rsidRPr="009C778C" w:rsidRDefault="009C778C" w:rsidP="0007040E">
            <w:pPr>
              <w:pStyle w:val="NoSpacing"/>
            </w:pPr>
            <w:r w:rsidRPr="009C778C">
              <w:t>5.842</w:t>
            </w:r>
          </w:p>
        </w:tc>
        <w:tc>
          <w:tcPr>
            <w:tcW w:w="0" w:type="auto"/>
            <w:hideMark/>
          </w:tcPr>
          <w:p w14:paraId="23FB69DD" w14:textId="77777777" w:rsidR="009C778C" w:rsidRPr="009C778C" w:rsidRDefault="009C778C" w:rsidP="0007040E">
            <w:pPr>
              <w:pStyle w:val="NoSpacing"/>
            </w:pPr>
            <w:r w:rsidRPr="009C778C">
              <w:t>1.670</w:t>
            </w:r>
          </w:p>
        </w:tc>
        <w:tc>
          <w:tcPr>
            <w:tcW w:w="0" w:type="auto"/>
            <w:hideMark/>
          </w:tcPr>
          <w:p w14:paraId="7F18F70F" w14:textId="77777777" w:rsidR="009C778C" w:rsidRPr="009C778C" w:rsidRDefault="009C778C" w:rsidP="0007040E">
            <w:pPr>
              <w:pStyle w:val="NoSpacing"/>
            </w:pPr>
            <w:r w:rsidRPr="009C778C">
              <w:t>4.813</w:t>
            </w:r>
          </w:p>
        </w:tc>
        <w:tc>
          <w:tcPr>
            <w:tcW w:w="0" w:type="auto"/>
            <w:hideMark/>
          </w:tcPr>
          <w:p w14:paraId="7BCAE7FE" w14:textId="77777777" w:rsidR="009C778C" w:rsidRPr="009C778C" w:rsidRDefault="009C778C" w:rsidP="0007040E">
            <w:pPr>
              <w:pStyle w:val="NoSpacing"/>
            </w:pPr>
            <w:r w:rsidRPr="009C778C">
              <w:t>6.974</w:t>
            </w:r>
          </w:p>
        </w:tc>
      </w:tr>
      <w:tr w:rsidR="001A7C2C" w:rsidRPr="009C778C" w14:paraId="1FC0E067" w14:textId="77777777" w:rsidTr="001A7C2C">
        <w:tc>
          <w:tcPr>
            <w:tcW w:w="0" w:type="auto"/>
            <w:hideMark/>
          </w:tcPr>
          <w:p w14:paraId="66626609" w14:textId="77777777" w:rsidR="009C778C" w:rsidRPr="009C778C" w:rsidRDefault="009C778C" w:rsidP="0007040E">
            <w:pPr>
              <w:pStyle w:val="NoSpacing"/>
            </w:pPr>
            <w:r w:rsidRPr="009C778C">
              <w:t>ROA</w:t>
            </w:r>
          </w:p>
        </w:tc>
        <w:tc>
          <w:tcPr>
            <w:tcW w:w="0" w:type="auto"/>
            <w:hideMark/>
          </w:tcPr>
          <w:p w14:paraId="67F14A06" w14:textId="77777777" w:rsidR="009C778C" w:rsidRPr="009C778C" w:rsidRDefault="009C778C" w:rsidP="0007040E">
            <w:pPr>
              <w:pStyle w:val="NoSpacing"/>
            </w:pPr>
            <w:r w:rsidRPr="009C778C">
              <w:t>66,286</w:t>
            </w:r>
          </w:p>
        </w:tc>
        <w:tc>
          <w:tcPr>
            <w:tcW w:w="0" w:type="auto"/>
            <w:hideMark/>
          </w:tcPr>
          <w:p w14:paraId="2EB1B175" w14:textId="77777777" w:rsidR="009C778C" w:rsidRPr="009C778C" w:rsidRDefault="009C778C" w:rsidP="0007040E">
            <w:pPr>
              <w:pStyle w:val="NoSpacing"/>
            </w:pPr>
            <w:r w:rsidRPr="009C778C">
              <w:t>0.023</w:t>
            </w:r>
          </w:p>
        </w:tc>
        <w:tc>
          <w:tcPr>
            <w:tcW w:w="0" w:type="auto"/>
            <w:hideMark/>
          </w:tcPr>
          <w:p w14:paraId="71F190D8" w14:textId="77777777" w:rsidR="009C778C" w:rsidRPr="009C778C" w:rsidRDefault="009C778C" w:rsidP="0007040E">
            <w:pPr>
              <w:pStyle w:val="NoSpacing"/>
            </w:pPr>
            <w:r w:rsidRPr="009C778C">
              <w:t>0.033</w:t>
            </w:r>
          </w:p>
        </w:tc>
        <w:tc>
          <w:tcPr>
            <w:tcW w:w="0" w:type="auto"/>
            <w:hideMark/>
          </w:tcPr>
          <w:p w14:paraId="5B4EA946" w14:textId="77777777" w:rsidR="009C778C" w:rsidRPr="009C778C" w:rsidRDefault="009C778C" w:rsidP="0007040E">
            <w:pPr>
              <w:pStyle w:val="NoSpacing"/>
            </w:pPr>
            <w:r w:rsidRPr="009C778C">
              <w:t>0.114</w:t>
            </w:r>
          </w:p>
        </w:tc>
        <w:tc>
          <w:tcPr>
            <w:tcW w:w="0" w:type="auto"/>
            <w:hideMark/>
          </w:tcPr>
          <w:p w14:paraId="73C0D78A" w14:textId="77777777" w:rsidR="009C778C" w:rsidRPr="009C778C" w:rsidRDefault="009C778C" w:rsidP="0007040E">
            <w:pPr>
              <w:pStyle w:val="NoSpacing"/>
            </w:pPr>
            <w:r w:rsidRPr="009C778C">
              <w:t>0.006</w:t>
            </w:r>
          </w:p>
        </w:tc>
        <w:tc>
          <w:tcPr>
            <w:tcW w:w="0" w:type="auto"/>
            <w:hideMark/>
          </w:tcPr>
          <w:p w14:paraId="4819C5AA" w14:textId="77777777" w:rsidR="009C778C" w:rsidRPr="009C778C" w:rsidRDefault="009C778C" w:rsidP="0007040E">
            <w:pPr>
              <w:pStyle w:val="NoSpacing"/>
            </w:pPr>
            <w:r w:rsidRPr="009C778C">
              <w:t>0.068</w:t>
            </w:r>
          </w:p>
        </w:tc>
      </w:tr>
      <w:tr w:rsidR="001A7C2C" w:rsidRPr="009C778C" w14:paraId="2FA72FC0" w14:textId="77777777" w:rsidTr="001A7C2C">
        <w:tc>
          <w:tcPr>
            <w:tcW w:w="0" w:type="auto"/>
            <w:hideMark/>
          </w:tcPr>
          <w:p w14:paraId="456D9A7F" w14:textId="77777777" w:rsidR="009C778C" w:rsidRPr="009C778C" w:rsidRDefault="009C778C" w:rsidP="0007040E">
            <w:pPr>
              <w:pStyle w:val="NoSpacing"/>
            </w:pPr>
            <w:r w:rsidRPr="009C778C">
              <w:t>MTB</w:t>
            </w:r>
          </w:p>
        </w:tc>
        <w:tc>
          <w:tcPr>
            <w:tcW w:w="0" w:type="auto"/>
            <w:hideMark/>
          </w:tcPr>
          <w:p w14:paraId="18CCD421" w14:textId="77777777" w:rsidR="009C778C" w:rsidRPr="009C778C" w:rsidRDefault="009C778C" w:rsidP="0007040E">
            <w:pPr>
              <w:pStyle w:val="NoSpacing"/>
            </w:pPr>
            <w:r w:rsidRPr="009C778C">
              <w:t>66,286</w:t>
            </w:r>
          </w:p>
        </w:tc>
        <w:tc>
          <w:tcPr>
            <w:tcW w:w="0" w:type="auto"/>
            <w:hideMark/>
          </w:tcPr>
          <w:p w14:paraId="04F2AF3D" w14:textId="77777777" w:rsidR="009C778C" w:rsidRPr="009C778C" w:rsidRDefault="009C778C" w:rsidP="0007040E">
            <w:pPr>
              <w:pStyle w:val="NoSpacing"/>
            </w:pPr>
            <w:r w:rsidRPr="009C778C">
              <w:t>0.493</w:t>
            </w:r>
          </w:p>
        </w:tc>
        <w:tc>
          <w:tcPr>
            <w:tcW w:w="0" w:type="auto"/>
            <w:hideMark/>
          </w:tcPr>
          <w:p w14:paraId="6D3961F1" w14:textId="77777777" w:rsidR="009C778C" w:rsidRPr="009C778C" w:rsidRDefault="009C778C" w:rsidP="0007040E">
            <w:pPr>
              <w:pStyle w:val="NoSpacing"/>
            </w:pPr>
            <w:r w:rsidRPr="009C778C">
              <w:t>0.123</w:t>
            </w:r>
          </w:p>
        </w:tc>
        <w:tc>
          <w:tcPr>
            <w:tcW w:w="0" w:type="auto"/>
            <w:hideMark/>
          </w:tcPr>
          <w:p w14:paraId="4D6F4FE3" w14:textId="77777777" w:rsidR="009C778C" w:rsidRPr="009C778C" w:rsidRDefault="009C778C" w:rsidP="0007040E">
            <w:pPr>
              <w:pStyle w:val="NoSpacing"/>
            </w:pPr>
            <w:r w:rsidRPr="009C778C">
              <w:t>0.649</w:t>
            </w:r>
          </w:p>
        </w:tc>
        <w:tc>
          <w:tcPr>
            <w:tcW w:w="0" w:type="auto"/>
            <w:hideMark/>
          </w:tcPr>
          <w:p w14:paraId="4258A2B0" w14:textId="77777777" w:rsidR="009C778C" w:rsidRPr="009C778C" w:rsidRDefault="009C778C" w:rsidP="0007040E">
            <w:pPr>
              <w:pStyle w:val="NoSpacing"/>
            </w:pPr>
            <w:r w:rsidRPr="009C778C">
              <w:t>0.012</w:t>
            </w:r>
          </w:p>
        </w:tc>
        <w:tc>
          <w:tcPr>
            <w:tcW w:w="0" w:type="auto"/>
            <w:hideMark/>
          </w:tcPr>
          <w:p w14:paraId="5D661101" w14:textId="77777777" w:rsidR="009C778C" w:rsidRPr="009C778C" w:rsidRDefault="009C778C" w:rsidP="0007040E">
            <w:pPr>
              <w:pStyle w:val="NoSpacing"/>
            </w:pPr>
            <w:r w:rsidRPr="009C778C">
              <w:t>0.876</w:t>
            </w:r>
          </w:p>
        </w:tc>
      </w:tr>
      <w:tr w:rsidR="001A7C2C" w:rsidRPr="009C778C" w14:paraId="722D93C2" w14:textId="77777777" w:rsidTr="001A7C2C">
        <w:tc>
          <w:tcPr>
            <w:tcW w:w="0" w:type="auto"/>
            <w:hideMark/>
          </w:tcPr>
          <w:p w14:paraId="3BDFB12A" w14:textId="77777777" w:rsidR="009C778C" w:rsidRPr="009C778C" w:rsidRDefault="009C778C" w:rsidP="0007040E">
            <w:pPr>
              <w:pStyle w:val="NoSpacing"/>
            </w:pPr>
            <w:r w:rsidRPr="009C778C">
              <w:t>SALEGROWTH</w:t>
            </w:r>
          </w:p>
        </w:tc>
        <w:tc>
          <w:tcPr>
            <w:tcW w:w="0" w:type="auto"/>
            <w:hideMark/>
          </w:tcPr>
          <w:p w14:paraId="0F9C7EFD" w14:textId="77777777" w:rsidR="009C778C" w:rsidRPr="009C778C" w:rsidRDefault="009C778C" w:rsidP="0007040E">
            <w:pPr>
              <w:pStyle w:val="NoSpacing"/>
            </w:pPr>
            <w:r w:rsidRPr="009C778C">
              <w:t>66,286</w:t>
            </w:r>
          </w:p>
        </w:tc>
        <w:tc>
          <w:tcPr>
            <w:tcW w:w="0" w:type="auto"/>
            <w:hideMark/>
          </w:tcPr>
          <w:p w14:paraId="01C06484" w14:textId="77777777" w:rsidR="009C778C" w:rsidRPr="009C778C" w:rsidRDefault="009C778C" w:rsidP="0007040E">
            <w:pPr>
              <w:pStyle w:val="NoSpacing"/>
            </w:pPr>
            <w:r w:rsidRPr="009C778C">
              <w:t>0.106</w:t>
            </w:r>
          </w:p>
        </w:tc>
        <w:tc>
          <w:tcPr>
            <w:tcW w:w="0" w:type="auto"/>
            <w:hideMark/>
          </w:tcPr>
          <w:p w14:paraId="4CDCBCB2" w14:textId="77777777" w:rsidR="009C778C" w:rsidRPr="009C778C" w:rsidRDefault="009C778C" w:rsidP="0007040E">
            <w:pPr>
              <w:pStyle w:val="NoSpacing"/>
            </w:pPr>
            <w:r w:rsidRPr="009C778C">
              <w:t>0.052</w:t>
            </w:r>
          </w:p>
        </w:tc>
        <w:tc>
          <w:tcPr>
            <w:tcW w:w="0" w:type="auto"/>
            <w:hideMark/>
          </w:tcPr>
          <w:p w14:paraId="4B3FE0F7" w14:textId="77777777" w:rsidR="009C778C" w:rsidRPr="009C778C" w:rsidRDefault="009C778C" w:rsidP="0007040E">
            <w:pPr>
              <w:pStyle w:val="NoSpacing"/>
            </w:pPr>
            <w:r w:rsidRPr="009C778C">
              <w:t>0.381</w:t>
            </w:r>
          </w:p>
        </w:tc>
        <w:tc>
          <w:tcPr>
            <w:tcW w:w="0" w:type="auto"/>
            <w:hideMark/>
          </w:tcPr>
          <w:p w14:paraId="6CA64E93" w14:textId="77777777" w:rsidR="009C778C" w:rsidRPr="009C778C" w:rsidRDefault="009C778C" w:rsidP="0007040E">
            <w:pPr>
              <w:pStyle w:val="NoSpacing"/>
            </w:pPr>
            <w:r w:rsidRPr="009C778C">
              <w:t>− 0.040</w:t>
            </w:r>
          </w:p>
        </w:tc>
        <w:tc>
          <w:tcPr>
            <w:tcW w:w="0" w:type="auto"/>
            <w:hideMark/>
          </w:tcPr>
          <w:p w14:paraId="43215E5B" w14:textId="77777777" w:rsidR="009C778C" w:rsidRPr="009C778C" w:rsidRDefault="009C778C" w:rsidP="0007040E">
            <w:pPr>
              <w:pStyle w:val="NoSpacing"/>
            </w:pPr>
            <w:r w:rsidRPr="009C778C">
              <w:t>0.172</w:t>
            </w:r>
          </w:p>
        </w:tc>
      </w:tr>
      <w:tr w:rsidR="001A7C2C" w:rsidRPr="009C778C" w14:paraId="00D8F3EA" w14:textId="77777777" w:rsidTr="001A7C2C">
        <w:tc>
          <w:tcPr>
            <w:tcW w:w="0" w:type="auto"/>
            <w:hideMark/>
          </w:tcPr>
          <w:p w14:paraId="598A7D59" w14:textId="77777777" w:rsidR="009C778C" w:rsidRPr="009C778C" w:rsidRDefault="009C778C" w:rsidP="0007040E">
            <w:pPr>
              <w:pStyle w:val="NoSpacing"/>
            </w:pPr>
            <w:r w:rsidRPr="009C778C">
              <w:t>LEV</w:t>
            </w:r>
          </w:p>
        </w:tc>
        <w:tc>
          <w:tcPr>
            <w:tcW w:w="0" w:type="auto"/>
            <w:hideMark/>
          </w:tcPr>
          <w:p w14:paraId="30F7B38C" w14:textId="77777777" w:rsidR="009C778C" w:rsidRPr="009C778C" w:rsidRDefault="009C778C" w:rsidP="0007040E">
            <w:pPr>
              <w:pStyle w:val="NoSpacing"/>
            </w:pPr>
            <w:r w:rsidRPr="009C778C">
              <w:t>66,286</w:t>
            </w:r>
          </w:p>
        </w:tc>
        <w:tc>
          <w:tcPr>
            <w:tcW w:w="0" w:type="auto"/>
            <w:hideMark/>
          </w:tcPr>
          <w:p w14:paraId="29AFD123" w14:textId="77777777" w:rsidR="009C778C" w:rsidRPr="009C778C" w:rsidRDefault="009C778C" w:rsidP="0007040E">
            <w:pPr>
              <w:pStyle w:val="NoSpacing"/>
            </w:pPr>
            <w:r w:rsidRPr="009C778C">
              <w:t>0.154</w:t>
            </w:r>
          </w:p>
        </w:tc>
        <w:tc>
          <w:tcPr>
            <w:tcW w:w="0" w:type="auto"/>
            <w:hideMark/>
          </w:tcPr>
          <w:p w14:paraId="58F6E5EF" w14:textId="77777777" w:rsidR="009C778C" w:rsidRPr="009C778C" w:rsidRDefault="009C778C" w:rsidP="0007040E">
            <w:pPr>
              <w:pStyle w:val="NoSpacing"/>
            </w:pPr>
            <w:r w:rsidRPr="009C778C">
              <w:t>0.114</w:t>
            </w:r>
          </w:p>
        </w:tc>
        <w:tc>
          <w:tcPr>
            <w:tcW w:w="0" w:type="auto"/>
            <w:hideMark/>
          </w:tcPr>
          <w:p w14:paraId="12DFE0D6" w14:textId="77777777" w:rsidR="009C778C" w:rsidRPr="009C778C" w:rsidRDefault="009C778C" w:rsidP="0007040E">
            <w:pPr>
              <w:pStyle w:val="NoSpacing"/>
            </w:pPr>
            <w:r w:rsidRPr="009C778C">
              <w:t>0.154</w:t>
            </w:r>
          </w:p>
        </w:tc>
        <w:tc>
          <w:tcPr>
            <w:tcW w:w="0" w:type="auto"/>
            <w:hideMark/>
          </w:tcPr>
          <w:p w14:paraId="31C13182" w14:textId="77777777" w:rsidR="009C778C" w:rsidRPr="009C778C" w:rsidRDefault="009C778C" w:rsidP="0007040E">
            <w:pPr>
              <w:pStyle w:val="NoSpacing"/>
            </w:pPr>
            <w:r w:rsidRPr="009C778C">
              <w:t>0.016</w:t>
            </w:r>
          </w:p>
        </w:tc>
        <w:tc>
          <w:tcPr>
            <w:tcW w:w="0" w:type="auto"/>
            <w:hideMark/>
          </w:tcPr>
          <w:p w14:paraId="5B9511CE" w14:textId="77777777" w:rsidR="009C778C" w:rsidRPr="009C778C" w:rsidRDefault="009C778C" w:rsidP="0007040E">
            <w:pPr>
              <w:pStyle w:val="NoSpacing"/>
            </w:pPr>
            <w:r w:rsidRPr="009C778C">
              <w:t>0.247</w:t>
            </w:r>
          </w:p>
        </w:tc>
      </w:tr>
      <w:tr w:rsidR="001A7C2C" w:rsidRPr="009C778C" w14:paraId="3F556E44" w14:textId="77777777" w:rsidTr="001A7C2C">
        <w:tc>
          <w:tcPr>
            <w:tcW w:w="0" w:type="auto"/>
            <w:hideMark/>
          </w:tcPr>
          <w:p w14:paraId="1E1216F3" w14:textId="77777777" w:rsidR="009C778C" w:rsidRPr="009C778C" w:rsidRDefault="009C778C" w:rsidP="0007040E">
            <w:pPr>
              <w:pStyle w:val="NoSpacing"/>
            </w:pPr>
            <w:r w:rsidRPr="009C778C">
              <w:t>STDSALE</w:t>
            </w:r>
          </w:p>
        </w:tc>
        <w:tc>
          <w:tcPr>
            <w:tcW w:w="0" w:type="auto"/>
            <w:hideMark/>
          </w:tcPr>
          <w:p w14:paraId="370731EF" w14:textId="77777777" w:rsidR="009C778C" w:rsidRPr="009C778C" w:rsidRDefault="009C778C" w:rsidP="0007040E">
            <w:pPr>
              <w:pStyle w:val="NoSpacing"/>
            </w:pPr>
            <w:r w:rsidRPr="009C778C">
              <w:t>66,286</w:t>
            </w:r>
          </w:p>
        </w:tc>
        <w:tc>
          <w:tcPr>
            <w:tcW w:w="0" w:type="auto"/>
            <w:hideMark/>
          </w:tcPr>
          <w:p w14:paraId="2A137202" w14:textId="77777777" w:rsidR="009C778C" w:rsidRPr="009C778C" w:rsidRDefault="009C778C" w:rsidP="0007040E">
            <w:pPr>
              <w:pStyle w:val="NoSpacing"/>
            </w:pPr>
            <w:r w:rsidRPr="009C778C">
              <w:t>0.157</w:t>
            </w:r>
          </w:p>
        </w:tc>
        <w:tc>
          <w:tcPr>
            <w:tcW w:w="0" w:type="auto"/>
            <w:hideMark/>
          </w:tcPr>
          <w:p w14:paraId="47098028" w14:textId="77777777" w:rsidR="009C778C" w:rsidRPr="009C778C" w:rsidRDefault="009C778C" w:rsidP="0007040E">
            <w:pPr>
              <w:pStyle w:val="NoSpacing"/>
            </w:pPr>
            <w:r w:rsidRPr="009C778C">
              <w:t>0.108</w:t>
            </w:r>
          </w:p>
        </w:tc>
        <w:tc>
          <w:tcPr>
            <w:tcW w:w="0" w:type="auto"/>
            <w:hideMark/>
          </w:tcPr>
          <w:p w14:paraId="528658AB" w14:textId="77777777" w:rsidR="009C778C" w:rsidRPr="009C778C" w:rsidRDefault="009C778C" w:rsidP="0007040E">
            <w:pPr>
              <w:pStyle w:val="NoSpacing"/>
            </w:pPr>
            <w:r w:rsidRPr="009C778C">
              <w:t>0.158</w:t>
            </w:r>
          </w:p>
        </w:tc>
        <w:tc>
          <w:tcPr>
            <w:tcW w:w="0" w:type="auto"/>
            <w:hideMark/>
          </w:tcPr>
          <w:p w14:paraId="070485AC" w14:textId="77777777" w:rsidR="009C778C" w:rsidRPr="009C778C" w:rsidRDefault="009C778C" w:rsidP="0007040E">
            <w:pPr>
              <w:pStyle w:val="NoSpacing"/>
            </w:pPr>
            <w:r w:rsidRPr="009C778C">
              <w:t>0.060</w:t>
            </w:r>
          </w:p>
        </w:tc>
        <w:tc>
          <w:tcPr>
            <w:tcW w:w="0" w:type="auto"/>
            <w:hideMark/>
          </w:tcPr>
          <w:p w14:paraId="5388BA07" w14:textId="77777777" w:rsidR="009C778C" w:rsidRPr="009C778C" w:rsidRDefault="009C778C" w:rsidP="0007040E">
            <w:pPr>
              <w:pStyle w:val="NoSpacing"/>
            </w:pPr>
            <w:r w:rsidRPr="009C778C">
              <w:t>0.193</w:t>
            </w:r>
          </w:p>
        </w:tc>
      </w:tr>
      <w:tr w:rsidR="001A7C2C" w:rsidRPr="009C778C" w14:paraId="3F72FB5A" w14:textId="77777777" w:rsidTr="001A7C2C">
        <w:tc>
          <w:tcPr>
            <w:tcW w:w="0" w:type="auto"/>
            <w:hideMark/>
          </w:tcPr>
          <w:p w14:paraId="4B740ABB" w14:textId="77777777" w:rsidR="009C778C" w:rsidRPr="009C778C" w:rsidRDefault="009C778C" w:rsidP="0007040E">
            <w:pPr>
              <w:pStyle w:val="NoSpacing"/>
            </w:pPr>
            <w:r w:rsidRPr="009C778C">
              <w:t>CAPITAL_INTENSITY</w:t>
            </w:r>
          </w:p>
        </w:tc>
        <w:tc>
          <w:tcPr>
            <w:tcW w:w="0" w:type="auto"/>
            <w:hideMark/>
          </w:tcPr>
          <w:p w14:paraId="3DCC9494" w14:textId="77777777" w:rsidR="009C778C" w:rsidRPr="009C778C" w:rsidRDefault="009C778C" w:rsidP="0007040E">
            <w:pPr>
              <w:pStyle w:val="NoSpacing"/>
            </w:pPr>
            <w:r w:rsidRPr="009C778C">
              <w:t>66,286</w:t>
            </w:r>
          </w:p>
        </w:tc>
        <w:tc>
          <w:tcPr>
            <w:tcW w:w="0" w:type="auto"/>
            <w:hideMark/>
          </w:tcPr>
          <w:p w14:paraId="6C6CDA23" w14:textId="77777777" w:rsidR="009C778C" w:rsidRPr="009C778C" w:rsidRDefault="009C778C" w:rsidP="0007040E">
            <w:pPr>
              <w:pStyle w:val="NoSpacing"/>
            </w:pPr>
            <w:r w:rsidRPr="009C778C">
              <w:t>0.569</w:t>
            </w:r>
          </w:p>
        </w:tc>
        <w:tc>
          <w:tcPr>
            <w:tcW w:w="0" w:type="auto"/>
            <w:hideMark/>
          </w:tcPr>
          <w:p w14:paraId="26F971E5" w14:textId="77777777" w:rsidR="009C778C" w:rsidRPr="009C778C" w:rsidRDefault="009C778C" w:rsidP="0007040E">
            <w:pPr>
              <w:pStyle w:val="NoSpacing"/>
            </w:pPr>
            <w:r w:rsidRPr="009C778C">
              <w:t>0.516</w:t>
            </w:r>
          </w:p>
        </w:tc>
        <w:tc>
          <w:tcPr>
            <w:tcW w:w="0" w:type="auto"/>
            <w:hideMark/>
          </w:tcPr>
          <w:p w14:paraId="4A93175D" w14:textId="77777777" w:rsidR="009C778C" w:rsidRPr="009C778C" w:rsidRDefault="009C778C" w:rsidP="0007040E">
            <w:pPr>
              <w:pStyle w:val="NoSpacing"/>
            </w:pPr>
            <w:r w:rsidRPr="009C778C">
              <w:t>0.393</w:t>
            </w:r>
          </w:p>
        </w:tc>
        <w:tc>
          <w:tcPr>
            <w:tcW w:w="0" w:type="auto"/>
            <w:hideMark/>
          </w:tcPr>
          <w:p w14:paraId="07F414F8" w14:textId="77777777" w:rsidR="009C778C" w:rsidRPr="009C778C" w:rsidRDefault="009C778C" w:rsidP="0007040E">
            <w:pPr>
              <w:pStyle w:val="NoSpacing"/>
            </w:pPr>
            <w:r w:rsidRPr="009C778C">
              <w:t>0.250</w:t>
            </w:r>
          </w:p>
        </w:tc>
        <w:tc>
          <w:tcPr>
            <w:tcW w:w="0" w:type="auto"/>
            <w:hideMark/>
          </w:tcPr>
          <w:p w14:paraId="39D51AD4" w14:textId="77777777" w:rsidR="009C778C" w:rsidRPr="009C778C" w:rsidRDefault="009C778C" w:rsidP="0007040E">
            <w:pPr>
              <w:pStyle w:val="NoSpacing"/>
            </w:pPr>
            <w:r w:rsidRPr="009C778C">
              <w:t>0.824</w:t>
            </w:r>
          </w:p>
        </w:tc>
      </w:tr>
      <w:tr w:rsidR="001A7C2C" w:rsidRPr="009C778C" w14:paraId="7C9E91AD" w14:textId="77777777" w:rsidTr="001A7C2C">
        <w:tc>
          <w:tcPr>
            <w:tcW w:w="0" w:type="auto"/>
            <w:hideMark/>
          </w:tcPr>
          <w:p w14:paraId="39217859" w14:textId="77777777" w:rsidR="009C778C" w:rsidRPr="009C778C" w:rsidRDefault="009C778C" w:rsidP="0007040E">
            <w:pPr>
              <w:pStyle w:val="NoSpacing"/>
            </w:pPr>
            <w:r w:rsidRPr="009C778C">
              <w:t>ANALYST</w:t>
            </w:r>
          </w:p>
        </w:tc>
        <w:tc>
          <w:tcPr>
            <w:tcW w:w="0" w:type="auto"/>
            <w:hideMark/>
          </w:tcPr>
          <w:p w14:paraId="5412C134" w14:textId="77777777" w:rsidR="009C778C" w:rsidRPr="009C778C" w:rsidRDefault="009C778C" w:rsidP="0007040E">
            <w:pPr>
              <w:pStyle w:val="NoSpacing"/>
            </w:pPr>
            <w:r w:rsidRPr="009C778C">
              <w:t>66,286</w:t>
            </w:r>
          </w:p>
        </w:tc>
        <w:tc>
          <w:tcPr>
            <w:tcW w:w="0" w:type="auto"/>
            <w:hideMark/>
          </w:tcPr>
          <w:p w14:paraId="6E8ABDAE" w14:textId="77777777" w:rsidR="009C778C" w:rsidRPr="009C778C" w:rsidRDefault="009C778C" w:rsidP="0007040E">
            <w:pPr>
              <w:pStyle w:val="NoSpacing"/>
            </w:pPr>
            <w:r w:rsidRPr="009C778C">
              <w:t>1.322</w:t>
            </w:r>
          </w:p>
        </w:tc>
        <w:tc>
          <w:tcPr>
            <w:tcW w:w="0" w:type="auto"/>
            <w:hideMark/>
          </w:tcPr>
          <w:p w14:paraId="5B9BBB96" w14:textId="77777777" w:rsidR="009C778C" w:rsidRPr="009C778C" w:rsidRDefault="009C778C" w:rsidP="0007040E">
            <w:pPr>
              <w:pStyle w:val="NoSpacing"/>
            </w:pPr>
            <w:r w:rsidRPr="009C778C">
              <w:t>1.099</w:t>
            </w:r>
          </w:p>
        </w:tc>
        <w:tc>
          <w:tcPr>
            <w:tcW w:w="0" w:type="auto"/>
            <w:hideMark/>
          </w:tcPr>
          <w:p w14:paraId="0078619B" w14:textId="77777777" w:rsidR="009C778C" w:rsidRPr="009C778C" w:rsidRDefault="009C778C" w:rsidP="0007040E">
            <w:pPr>
              <w:pStyle w:val="NoSpacing"/>
            </w:pPr>
            <w:r w:rsidRPr="009C778C">
              <w:t>1.311</w:t>
            </w:r>
          </w:p>
        </w:tc>
        <w:tc>
          <w:tcPr>
            <w:tcW w:w="0" w:type="auto"/>
            <w:hideMark/>
          </w:tcPr>
          <w:p w14:paraId="2545314E" w14:textId="77777777" w:rsidR="009C778C" w:rsidRPr="009C778C" w:rsidRDefault="009C778C" w:rsidP="0007040E">
            <w:pPr>
              <w:pStyle w:val="NoSpacing"/>
            </w:pPr>
            <w:r w:rsidRPr="009C778C">
              <w:t>0.000</w:t>
            </w:r>
          </w:p>
        </w:tc>
        <w:tc>
          <w:tcPr>
            <w:tcW w:w="0" w:type="auto"/>
            <w:hideMark/>
          </w:tcPr>
          <w:p w14:paraId="6A814770" w14:textId="77777777" w:rsidR="009C778C" w:rsidRPr="009C778C" w:rsidRDefault="009C778C" w:rsidP="0007040E">
            <w:pPr>
              <w:pStyle w:val="NoSpacing"/>
            </w:pPr>
            <w:r w:rsidRPr="009C778C">
              <w:t>2.197</w:t>
            </w:r>
          </w:p>
        </w:tc>
      </w:tr>
      <w:tr w:rsidR="001A7C2C" w:rsidRPr="009C778C" w14:paraId="62BF55C6" w14:textId="77777777" w:rsidTr="001A7C2C">
        <w:tc>
          <w:tcPr>
            <w:tcW w:w="0" w:type="auto"/>
            <w:hideMark/>
          </w:tcPr>
          <w:p w14:paraId="6A479746" w14:textId="77777777" w:rsidR="009C778C" w:rsidRPr="009C778C" w:rsidRDefault="009C778C" w:rsidP="0007040E">
            <w:pPr>
              <w:pStyle w:val="NoSpacing"/>
            </w:pPr>
            <w:r w:rsidRPr="009C778C">
              <w:t>ACC_STANDARD</w:t>
            </w:r>
          </w:p>
        </w:tc>
        <w:tc>
          <w:tcPr>
            <w:tcW w:w="0" w:type="auto"/>
            <w:hideMark/>
          </w:tcPr>
          <w:p w14:paraId="57835B54" w14:textId="77777777" w:rsidR="009C778C" w:rsidRPr="009C778C" w:rsidRDefault="009C778C" w:rsidP="0007040E">
            <w:pPr>
              <w:pStyle w:val="NoSpacing"/>
            </w:pPr>
            <w:r w:rsidRPr="009C778C">
              <w:t>66,286</w:t>
            </w:r>
          </w:p>
        </w:tc>
        <w:tc>
          <w:tcPr>
            <w:tcW w:w="0" w:type="auto"/>
            <w:hideMark/>
          </w:tcPr>
          <w:p w14:paraId="65538BDE" w14:textId="77777777" w:rsidR="009C778C" w:rsidRPr="009C778C" w:rsidRDefault="009C778C" w:rsidP="0007040E">
            <w:pPr>
              <w:pStyle w:val="NoSpacing"/>
            </w:pPr>
            <w:r w:rsidRPr="009C778C">
              <w:t>0.387</w:t>
            </w:r>
          </w:p>
        </w:tc>
        <w:tc>
          <w:tcPr>
            <w:tcW w:w="0" w:type="auto"/>
            <w:hideMark/>
          </w:tcPr>
          <w:p w14:paraId="5129A222" w14:textId="77777777" w:rsidR="009C778C" w:rsidRPr="009C778C" w:rsidRDefault="009C778C" w:rsidP="0007040E">
            <w:pPr>
              <w:pStyle w:val="NoSpacing"/>
            </w:pPr>
            <w:r w:rsidRPr="009C778C">
              <w:t>0.000</w:t>
            </w:r>
          </w:p>
        </w:tc>
        <w:tc>
          <w:tcPr>
            <w:tcW w:w="0" w:type="auto"/>
            <w:hideMark/>
          </w:tcPr>
          <w:p w14:paraId="453DCE10" w14:textId="77777777" w:rsidR="009C778C" w:rsidRPr="009C778C" w:rsidRDefault="009C778C" w:rsidP="0007040E">
            <w:pPr>
              <w:pStyle w:val="NoSpacing"/>
            </w:pPr>
            <w:r w:rsidRPr="009C778C">
              <w:t>0.487</w:t>
            </w:r>
          </w:p>
        </w:tc>
        <w:tc>
          <w:tcPr>
            <w:tcW w:w="0" w:type="auto"/>
            <w:hideMark/>
          </w:tcPr>
          <w:p w14:paraId="6F17223D" w14:textId="77777777" w:rsidR="009C778C" w:rsidRPr="009C778C" w:rsidRDefault="009C778C" w:rsidP="0007040E">
            <w:pPr>
              <w:pStyle w:val="NoSpacing"/>
            </w:pPr>
            <w:r w:rsidRPr="009C778C">
              <w:t>0.000</w:t>
            </w:r>
          </w:p>
        </w:tc>
        <w:tc>
          <w:tcPr>
            <w:tcW w:w="0" w:type="auto"/>
            <w:hideMark/>
          </w:tcPr>
          <w:p w14:paraId="6589639C" w14:textId="77777777" w:rsidR="009C778C" w:rsidRPr="009C778C" w:rsidRDefault="009C778C" w:rsidP="0007040E">
            <w:pPr>
              <w:pStyle w:val="NoSpacing"/>
            </w:pPr>
            <w:r w:rsidRPr="009C778C">
              <w:t>1.000</w:t>
            </w:r>
          </w:p>
        </w:tc>
      </w:tr>
      <w:tr w:rsidR="001A7C2C" w:rsidRPr="009C778C" w14:paraId="600A5E0B" w14:textId="77777777" w:rsidTr="001A7C2C">
        <w:tc>
          <w:tcPr>
            <w:tcW w:w="0" w:type="auto"/>
            <w:hideMark/>
          </w:tcPr>
          <w:p w14:paraId="614A81AB" w14:textId="77777777" w:rsidR="009C778C" w:rsidRPr="009C778C" w:rsidRDefault="009C778C" w:rsidP="0007040E">
            <w:pPr>
              <w:pStyle w:val="NoSpacing"/>
            </w:pPr>
            <w:r w:rsidRPr="009C778C">
              <w:t>GDPGROWTH</w:t>
            </w:r>
          </w:p>
        </w:tc>
        <w:tc>
          <w:tcPr>
            <w:tcW w:w="0" w:type="auto"/>
            <w:hideMark/>
          </w:tcPr>
          <w:p w14:paraId="025D56D0" w14:textId="77777777" w:rsidR="009C778C" w:rsidRPr="009C778C" w:rsidRDefault="009C778C" w:rsidP="0007040E">
            <w:pPr>
              <w:pStyle w:val="NoSpacing"/>
            </w:pPr>
            <w:r w:rsidRPr="009C778C">
              <w:t>66,286</w:t>
            </w:r>
          </w:p>
        </w:tc>
        <w:tc>
          <w:tcPr>
            <w:tcW w:w="0" w:type="auto"/>
            <w:hideMark/>
          </w:tcPr>
          <w:p w14:paraId="51D82D4C" w14:textId="77777777" w:rsidR="009C778C" w:rsidRPr="009C778C" w:rsidRDefault="009C778C" w:rsidP="0007040E">
            <w:pPr>
              <w:pStyle w:val="NoSpacing"/>
            </w:pPr>
            <w:r w:rsidRPr="009C778C">
              <w:t>0.024</w:t>
            </w:r>
          </w:p>
        </w:tc>
        <w:tc>
          <w:tcPr>
            <w:tcW w:w="0" w:type="auto"/>
            <w:hideMark/>
          </w:tcPr>
          <w:p w14:paraId="6D4E9E3E" w14:textId="77777777" w:rsidR="009C778C" w:rsidRPr="009C778C" w:rsidRDefault="009C778C" w:rsidP="0007040E">
            <w:pPr>
              <w:pStyle w:val="NoSpacing"/>
            </w:pPr>
            <w:r w:rsidRPr="009C778C">
              <w:t>0.022</w:t>
            </w:r>
          </w:p>
        </w:tc>
        <w:tc>
          <w:tcPr>
            <w:tcW w:w="0" w:type="auto"/>
            <w:hideMark/>
          </w:tcPr>
          <w:p w14:paraId="7C199500" w14:textId="77777777" w:rsidR="009C778C" w:rsidRPr="009C778C" w:rsidRDefault="009C778C" w:rsidP="0007040E">
            <w:pPr>
              <w:pStyle w:val="NoSpacing"/>
            </w:pPr>
            <w:r w:rsidRPr="009C778C">
              <w:t>0.028</w:t>
            </w:r>
          </w:p>
        </w:tc>
        <w:tc>
          <w:tcPr>
            <w:tcW w:w="0" w:type="auto"/>
            <w:hideMark/>
          </w:tcPr>
          <w:p w14:paraId="7C76112A" w14:textId="77777777" w:rsidR="009C778C" w:rsidRPr="009C778C" w:rsidRDefault="009C778C" w:rsidP="0007040E">
            <w:pPr>
              <w:pStyle w:val="NoSpacing"/>
            </w:pPr>
            <w:r w:rsidRPr="009C778C">
              <w:t>0.009</w:t>
            </w:r>
          </w:p>
        </w:tc>
        <w:tc>
          <w:tcPr>
            <w:tcW w:w="0" w:type="auto"/>
            <w:hideMark/>
          </w:tcPr>
          <w:p w14:paraId="587D7550" w14:textId="77777777" w:rsidR="009C778C" w:rsidRPr="009C778C" w:rsidRDefault="009C778C" w:rsidP="0007040E">
            <w:pPr>
              <w:pStyle w:val="NoSpacing"/>
            </w:pPr>
            <w:r w:rsidRPr="009C778C">
              <w:t>0.037</w:t>
            </w:r>
          </w:p>
        </w:tc>
      </w:tr>
      <w:tr w:rsidR="001A7C2C" w:rsidRPr="009C778C" w14:paraId="64CA6FFE" w14:textId="77777777" w:rsidTr="001A7C2C">
        <w:tc>
          <w:tcPr>
            <w:tcW w:w="0" w:type="auto"/>
            <w:hideMark/>
          </w:tcPr>
          <w:p w14:paraId="08C6BFFD" w14:textId="77777777" w:rsidR="009C778C" w:rsidRPr="009C778C" w:rsidRDefault="009C778C" w:rsidP="0007040E">
            <w:pPr>
              <w:pStyle w:val="NoSpacing"/>
            </w:pPr>
            <w:r w:rsidRPr="009C778C">
              <w:t>INFLATION</w:t>
            </w:r>
          </w:p>
        </w:tc>
        <w:tc>
          <w:tcPr>
            <w:tcW w:w="0" w:type="auto"/>
            <w:hideMark/>
          </w:tcPr>
          <w:p w14:paraId="4BC00747" w14:textId="77777777" w:rsidR="009C778C" w:rsidRPr="009C778C" w:rsidRDefault="009C778C" w:rsidP="0007040E">
            <w:pPr>
              <w:pStyle w:val="NoSpacing"/>
            </w:pPr>
            <w:r w:rsidRPr="009C778C">
              <w:t>66,286</w:t>
            </w:r>
          </w:p>
        </w:tc>
        <w:tc>
          <w:tcPr>
            <w:tcW w:w="0" w:type="auto"/>
            <w:hideMark/>
          </w:tcPr>
          <w:p w14:paraId="20E41BBE" w14:textId="77777777" w:rsidR="009C778C" w:rsidRPr="009C778C" w:rsidRDefault="009C778C" w:rsidP="0007040E">
            <w:pPr>
              <w:pStyle w:val="NoSpacing"/>
            </w:pPr>
            <w:r w:rsidRPr="009C778C">
              <w:t>0.020</w:t>
            </w:r>
          </w:p>
        </w:tc>
        <w:tc>
          <w:tcPr>
            <w:tcW w:w="0" w:type="auto"/>
            <w:hideMark/>
          </w:tcPr>
          <w:p w14:paraId="6A08FF8B" w14:textId="77777777" w:rsidR="009C778C" w:rsidRPr="009C778C" w:rsidRDefault="009C778C" w:rsidP="0007040E">
            <w:pPr>
              <w:pStyle w:val="NoSpacing"/>
            </w:pPr>
            <w:r w:rsidRPr="009C778C">
              <w:t>0.018</w:t>
            </w:r>
          </w:p>
        </w:tc>
        <w:tc>
          <w:tcPr>
            <w:tcW w:w="0" w:type="auto"/>
            <w:hideMark/>
          </w:tcPr>
          <w:p w14:paraId="7640682F" w14:textId="77777777" w:rsidR="009C778C" w:rsidRPr="009C778C" w:rsidRDefault="009C778C" w:rsidP="0007040E">
            <w:pPr>
              <w:pStyle w:val="NoSpacing"/>
            </w:pPr>
            <w:r w:rsidRPr="009C778C">
              <w:t>0.024</w:t>
            </w:r>
          </w:p>
        </w:tc>
        <w:tc>
          <w:tcPr>
            <w:tcW w:w="0" w:type="auto"/>
            <w:hideMark/>
          </w:tcPr>
          <w:p w14:paraId="1FE9DA79" w14:textId="77777777" w:rsidR="009C778C" w:rsidRPr="009C778C" w:rsidRDefault="009C778C" w:rsidP="0007040E">
            <w:pPr>
              <w:pStyle w:val="NoSpacing"/>
            </w:pPr>
            <w:r w:rsidRPr="009C778C">
              <w:t>0.001</w:t>
            </w:r>
          </w:p>
        </w:tc>
        <w:tc>
          <w:tcPr>
            <w:tcW w:w="0" w:type="auto"/>
            <w:hideMark/>
          </w:tcPr>
          <w:p w14:paraId="696F101F" w14:textId="77777777" w:rsidR="009C778C" w:rsidRPr="009C778C" w:rsidRDefault="009C778C" w:rsidP="0007040E">
            <w:pPr>
              <w:pStyle w:val="NoSpacing"/>
            </w:pPr>
            <w:r w:rsidRPr="009C778C">
              <w:t>0.029</w:t>
            </w:r>
          </w:p>
        </w:tc>
      </w:tr>
    </w:tbl>
    <w:p w14:paraId="6AFABC5F" w14:textId="77777777" w:rsidR="001B5C9F" w:rsidRDefault="001B5C9F" w:rsidP="009C778C">
      <w:pPr>
        <w:rPr>
          <w:rFonts w:cstheme="minorHAnsi"/>
          <w:sz w:val="24"/>
          <w:szCs w:val="24"/>
        </w:rPr>
      </w:pPr>
      <w:bookmarkStart w:id="59" w:name="bt0015"/>
    </w:p>
    <w:p w14:paraId="45375158" w14:textId="4359E6DE" w:rsidR="009C778C" w:rsidRPr="009C778C" w:rsidRDefault="0044383A" w:rsidP="009C778C">
      <w:pPr>
        <w:rPr>
          <w:rFonts w:cstheme="minorHAnsi"/>
          <w:sz w:val="24"/>
          <w:szCs w:val="24"/>
        </w:rPr>
      </w:pPr>
      <w:hyperlink r:id="rId69" w:anchor="t0015" w:history="1">
        <w:r w:rsidR="009C778C" w:rsidRPr="009C778C">
          <w:rPr>
            <w:rStyle w:val="Hyperlink"/>
            <w:rFonts w:cstheme="minorHAnsi"/>
            <w:sz w:val="24"/>
            <w:szCs w:val="24"/>
          </w:rPr>
          <w:t>Table 3</w:t>
        </w:r>
      </w:hyperlink>
      <w:bookmarkEnd w:id="59"/>
      <w:r w:rsidR="009C778C" w:rsidRPr="009C778C">
        <w:rPr>
          <w:rFonts w:cstheme="minorHAnsi"/>
          <w:sz w:val="24"/>
          <w:szCs w:val="24"/>
        </w:rPr>
        <w:t> reports the correlations between the main variables of interest. The composite earnings measurement measure (</w:t>
      </w:r>
      <w:r w:rsidR="009C778C" w:rsidRPr="009C778C">
        <w:rPr>
          <w:rFonts w:cstheme="minorHAnsi"/>
          <w:i/>
          <w:iCs/>
          <w:sz w:val="24"/>
          <w:szCs w:val="24"/>
        </w:rPr>
        <w:t>Agg. EM</w:t>
      </w:r>
      <w:r w:rsidR="009C778C" w:rsidRPr="009C778C">
        <w:rPr>
          <w:rFonts w:cstheme="minorHAnsi"/>
          <w:sz w:val="24"/>
          <w:szCs w:val="24"/>
        </w:rPr>
        <w:t>) is significantly and negatively related to all three measures of institutional ownership—total institutional ownership (</w:t>
      </w:r>
      <w:r w:rsidR="009C778C" w:rsidRPr="009C778C">
        <w:rPr>
          <w:rFonts w:cstheme="minorHAnsi"/>
          <w:i/>
          <w:iCs/>
          <w:sz w:val="24"/>
          <w:szCs w:val="24"/>
        </w:rPr>
        <w:t>TOTAL</w:t>
      </w:r>
      <w:r w:rsidR="009C778C" w:rsidRPr="009C778C">
        <w:rPr>
          <w:rFonts w:cstheme="minorHAnsi"/>
          <w:sz w:val="24"/>
          <w:szCs w:val="24"/>
        </w:rPr>
        <w:t>), domestic institutional ownership (</w:t>
      </w:r>
      <w:r w:rsidR="009C778C" w:rsidRPr="009C778C">
        <w:rPr>
          <w:rFonts w:cstheme="minorHAnsi"/>
          <w:i/>
          <w:iCs/>
          <w:sz w:val="24"/>
          <w:szCs w:val="24"/>
        </w:rPr>
        <w:t>DOMESTIC</w:t>
      </w:r>
      <w:r w:rsidR="009C778C" w:rsidRPr="009C778C">
        <w:rPr>
          <w:rFonts w:cstheme="minorHAnsi"/>
          <w:sz w:val="24"/>
          <w:szCs w:val="24"/>
        </w:rPr>
        <w:t>), and foreign institutional ownership (</w:t>
      </w:r>
      <w:r w:rsidR="009C778C" w:rsidRPr="009C778C">
        <w:rPr>
          <w:rFonts w:cstheme="minorHAnsi"/>
          <w:i/>
          <w:iCs/>
          <w:sz w:val="24"/>
          <w:szCs w:val="24"/>
        </w:rPr>
        <w:t>FOREIGN</w:t>
      </w:r>
      <w:r w:rsidR="009C778C" w:rsidRPr="009C778C">
        <w:rPr>
          <w:rFonts w:cstheme="minorHAnsi"/>
          <w:sz w:val="24"/>
          <w:szCs w:val="24"/>
        </w:rPr>
        <w:t>). As expected, </w:t>
      </w:r>
      <w:r w:rsidR="009C778C" w:rsidRPr="009C778C">
        <w:rPr>
          <w:rFonts w:cstheme="minorHAnsi"/>
          <w:i/>
          <w:iCs/>
          <w:sz w:val="24"/>
          <w:szCs w:val="24"/>
        </w:rPr>
        <w:t>TOTAL</w:t>
      </w:r>
      <w:r w:rsidR="009C778C" w:rsidRPr="009C778C">
        <w:rPr>
          <w:rFonts w:cstheme="minorHAnsi"/>
          <w:sz w:val="24"/>
          <w:szCs w:val="24"/>
        </w:rPr>
        <w:t> is highly correlated with </w:t>
      </w:r>
      <w:r w:rsidR="009C778C" w:rsidRPr="009C778C">
        <w:rPr>
          <w:rFonts w:cstheme="minorHAnsi"/>
          <w:i/>
          <w:iCs/>
          <w:sz w:val="24"/>
          <w:szCs w:val="24"/>
        </w:rPr>
        <w:t>DOMESTIC</w:t>
      </w:r>
      <w:r w:rsidR="009C778C" w:rsidRPr="009C778C">
        <w:rPr>
          <w:rFonts w:cstheme="minorHAnsi"/>
          <w:sz w:val="24"/>
          <w:szCs w:val="24"/>
        </w:rPr>
        <w:t> (</w:t>
      </w:r>
      <w:r w:rsidR="009C778C" w:rsidRPr="009C778C">
        <w:rPr>
          <w:rFonts w:cstheme="minorHAnsi"/>
          <w:i/>
          <w:iCs/>
          <w:sz w:val="24"/>
          <w:szCs w:val="24"/>
        </w:rPr>
        <w:t>ρ</w:t>
      </w:r>
      <w:r w:rsidR="009C778C" w:rsidRPr="009C778C">
        <w:rPr>
          <w:rFonts w:cstheme="minorHAnsi"/>
          <w:sz w:val="24"/>
          <w:szCs w:val="24"/>
        </w:rPr>
        <w:t> = 0.800) and </w:t>
      </w:r>
      <w:r w:rsidR="009C778C" w:rsidRPr="009C778C">
        <w:rPr>
          <w:rFonts w:cstheme="minorHAnsi"/>
          <w:i/>
          <w:iCs/>
          <w:sz w:val="24"/>
          <w:szCs w:val="24"/>
        </w:rPr>
        <w:t>FOREIGN</w:t>
      </w:r>
      <w:r w:rsidR="009C778C" w:rsidRPr="009C778C">
        <w:rPr>
          <w:rFonts w:cstheme="minorHAnsi"/>
          <w:sz w:val="24"/>
          <w:szCs w:val="24"/>
        </w:rPr>
        <w:t> (</w:t>
      </w:r>
      <w:r w:rsidR="009C778C" w:rsidRPr="009C778C">
        <w:rPr>
          <w:rFonts w:cstheme="minorHAnsi"/>
          <w:i/>
          <w:iCs/>
          <w:sz w:val="24"/>
          <w:szCs w:val="24"/>
        </w:rPr>
        <w:t>ρ</w:t>
      </w:r>
      <w:r w:rsidR="009C778C" w:rsidRPr="009C778C">
        <w:rPr>
          <w:rFonts w:cstheme="minorHAnsi"/>
          <w:sz w:val="24"/>
          <w:szCs w:val="24"/>
        </w:rPr>
        <w:t> = 0.716). Notably, the correlation coefficient between </w:t>
      </w:r>
      <w:r w:rsidR="009C778C" w:rsidRPr="009C778C">
        <w:rPr>
          <w:rFonts w:cstheme="minorHAnsi"/>
          <w:i/>
          <w:iCs/>
          <w:sz w:val="24"/>
          <w:szCs w:val="24"/>
        </w:rPr>
        <w:t>DOMESTIC</w:t>
      </w:r>
      <w:r w:rsidR="009C778C" w:rsidRPr="009C778C">
        <w:rPr>
          <w:rFonts w:cstheme="minorHAnsi"/>
          <w:sz w:val="24"/>
          <w:szCs w:val="24"/>
        </w:rPr>
        <w:t> and </w:t>
      </w:r>
      <w:r w:rsidR="009C778C" w:rsidRPr="009C778C">
        <w:rPr>
          <w:rFonts w:cstheme="minorHAnsi"/>
          <w:i/>
          <w:iCs/>
          <w:sz w:val="24"/>
          <w:szCs w:val="24"/>
        </w:rPr>
        <w:t>FOREIGN</w:t>
      </w:r>
      <w:r w:rsidR="009C778C" w:rsidRPr="009C778C">
        <w:rPr>
          <w:rFonts w:cstheme="minorHAnsi"/>
          <w:sz w:val="24"/>
          <w:szCs w:val="24"/>
        </w:rPr>
        <w:t> is small (</w:t>
      </w:r>
      <w:r w:rsidR="009C778C" w:rsidRPr="009C778C">
        <w:rPr>
          <w:rFonts w:cstheme="minorHAnsi"/>
          <w:i/>
          <w:iCs/>
          <w:sz w:val="24"/>
          <w:szCs w:val="24"/>
        </w:rPr>
        <w:t>ρ</w:t>
      </w:r>
      <w:r w:rsidR="009C778C" w:rsidRPr="009C778C">
        <w:rPr>
          <w:rFonts w:cstheme="minorHAnsi"/>
          <w:sz w:val="24"/>
          <w:szCs w:val="24"/>
        </w:rPr>
        <w:t> = 0.158). The correlation coefficient between firm size (</w:t>
      </w:r>
      <w:r w:rsidR="009C778C" w:rsidRPr="009C778C">
        <w:rPr>
          <w:rFonts w:cstheme="minorHAnsi"/>
          <w:i/>
          <w:iCs/>
          <w:sz w:val="24"/>
          <w:szCs w:val="24"/>
        </w:rPr>
        <w:t>SIZE</w:t>
      </w:r>
      <w:r w:rsidR="009C778C" w:rsidRPr="009C778C">
        <w:rPr>
          <w:rFonts w:cstheme="minorHAnsi"/>
          <w:sz w:val="24"/>
          <w:szCs w:val="24"/>
        </w:rPr>
        <w:t>) and the natural logarithm of the number of analysts covering a firm (</w:t>
      </w:r>
      <w:r w:rsidR="009C778C" w:rsidRPr="009C778C">
        <w:rPr>
          <w:rFonts w:cstheme="minorHAnsi"/>
          <w:i/>
          <w:iCs/>
          <w:sz w:val="24"/>
          <w:szCs w:val="24"/>
        </w:rPr>
        <w:t>ANALYST</w:t>
      </w:r>
      <w:r w:rsidR="009C778C" w:rsidRPr="009C778C">
        <w:rPr>
          <w:rFonts w:cstheme="minorHAnsi"/>
          <w:sz w:val="24"/>
          <w:szCs w:val="24"/>
        </w:rPr>
        <w:t>) is the only other coefficient with a value greater than 0.5 in absolute terms.</w:t>
      </w:r>
    </w:p>
    <w:p w14:paraId="23C00873" w14:textId="77777777" w:rsidR="001A7C2C" w:rsidRDefault="001A7C2C" w:rsidP="001A7C2C">
      <w:pPr>
        <w:pStyle w:val="NoSpacing"/>
        <w:sectPr w:rsidR="001A7C2C" w:rsidSect="00013176">
          <w:pgSz w:w="12240" w:h="15840"/>
          <w:pgMar w:top="1080" w:right="1080" w:bottom="1080" w:left="1080" w:header="720" w:footer="720" w:gutter="0"/>
          <w:cols w:space="720"/>
          <w:docGrid w:linePitch="360"/>
        </w:sectPr>
      </w:pPr>
    </w:p>
    <w:p w14:paraId="76387049" w14:textId="77777777" w:rsidR="009C778C" w:rsidRPr="0068273E" w:rsidRDefault="009C778C" w:rsidP="0007040E">
      <w:pPr>
        <w:pStyle w:val="NoSpacing"/>
        <w:rPr>
          <w:sz w:val="24"/>
          <w:szCs w:val="24"/>
        </w:rPr>
      </w:pPr>
      <w:r w:rsidRPr="00911EDD">
        <w:rPr>
          <w:b/>
          <w:bCs/>
          <w:sz w:val="24"/>
          <w:szCs w:val="24"/>
        </w:rPr>
        <w:t>Table 3</w:t>
      </w:r>
      <w:r w:rsidRPr="0068273E">
        <w:rPr>
          <w:sz w:val="24"/>
          <w:szCs w:val="24"/>
        </w:rPr>
        <w:t>. Correlation matrix. This table reports the correlation matrix for the key variables used in this study. We bolded correlation coefficients that are significant at 5% or better based on a two-tail test.</w:t>
      </w:r>
    </w:p>
    <w:tbl>
      <w:tblPr>
        <w:tblStyle w:val="TableGrid"/>
        <w:tblW w:w="0" w:type="auto"/>
        <w:tblLook w:val="04A0" w:firstRow="1" w:lastRow="0" w:firstColumn="1" w:lastColumn="0" w:noHBand="0" w:noVBand="1"/>
      </w:tblPr>
      <w:tblGrid>
        <w:gridCol w:w="1080"/>
        <w:gridCol w:w="1830"/>
        <w:gridCol w:w="820"/>
        <w:gridCol w:w="820"/>
        <w:gridCol w:w="820"/>
        <w:gridCol w:w="820"/>
        <w:gridCol w:w="820"/>
        <w:gridCol w:w="820"/>
        <w:gridCol w:w="820"/>
        <w:gridCol w:w="820"/>
        <w:gridCol w:w="820"/>
        <w:gridCol w:w="820"/>
        <w:gridCol w:w="820"/>
        <w:gridCol w:w="820"/>
        <w:gridCol w:w="820"/>
        <w:gridCol w:w="820"/>
        <w:gridCol w:w="820"/>
        <w:gridCol w:w="820"/>
        <w:gridCol w:w="672"/>
        <w:gridCol w:w="672"/>
      </w:tblGrid>
      <w:tr w:rsidR="009C778C" w:rsidRPr="001B5C9F" w14:paraId="3AA22552" w14:textId="77777777" w:rsidTr="001A7C2C">
        <w:tc>
          <w:tcPr>
            <w:tcW w:w="0" w:type="auto"/>
            <w:hideMark/>
          </w:tcPr>
          <w:p w14:paraId="6E38A01F" w14:textId="77777777" w:rsidR="009C778C" w:rsidRPr="001B5C9F" w:rsidRDefault="009C778C" w:rsidP="0007040E">
            <w:pPr>
              <w:pStyle w:val="NoSpacing"/>
              <w:rPr>
                <w:rFonts w:cstheme="minorHAnsi"/>
                <w:sz w:val="20"/>
                <w:szCs w:val="20"/>
              </w:rPr>
            </w:pPr>
            <w:r w:rsidRPr="001B5C9F">
              <w:rPr>
                <w:rFonts w:cstheme="minorHAnsi"/>
                <w:sz w:val="20"/>
                <w:szCs w:val="20"/>
              </w:rPr>
              <w:t>Empty Cell</w:t>
            </w:r>
          </w:p>
        </w:tc>
        <w:tc>
          <w:tcPr>
            <w:tcW w:w="0" w:type="auto"/>
            <w:hideMark/>
          </w:tcPr>
          <w:p w14:paraId="0D63ABFE"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Variable</w:t>
            </w:r>
          </w:p>
        </w:tc>
        <w:tc>
          <w:tcPr>
            <w:tcW w:w="0" w:type="auto"/>
            <w:hideMark/>
          </w:tcPr>
          <w:p w14:paraId="43C9E3F3"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w:t>
            </w:r>
          </w:p>
        </w:tc>
        <w:tc>
          <w:tcPr>
            <w:tcW w:w="0" w:type="auto"/>
            <w:hideMark/>
          </w:tcPr>
          <w:p w14:paraId="333AAF5B"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2</w:t>
            </w:r>
          </w:p>
        </w:tc>
        <w:tc>
          <w:tcPr>
            <w:tcW w:w="0" w:type="auto"/>
            <w:hideMark/>
          </w:tcPr>
          <w:p w14:paraId="6D65F3DF"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3</w:t>
            </w:r>
          </w:p>
        </w:tc>
        <w:tc>
          <w:tcPr>
            <w:tcW w:w="0" w:type="auto"/>
            <w:hideMark/>
          </w:tcPr>
          <w:p w14:paraId="7B49AC97"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4</w:t>
            </w:r>
          </w:p>
        </w:tc>
        <w:tc>
          <w:tcPr>
            <w:tcW w:w="0" w:type="auto"/>
            <w:hideMark/>
          </w:tcPr>
          <w:p w14:paraId="546F235A"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5</w:t>
            </w:r>
          </w:p>
        </w:tc>
        <w:tc>
          <w:tcPr>
            <w:tcW w:w="0" w:type="auto"/>
            <w:hideMark/>
          </w:tcPr>
          <w:p w14:paraId="46AC0F55"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6</w:t>
            </w:r>
          </w:p>
        </w:tc>
        <w:tc>
          <w:tcPr>
            <w:tcW w:w="0" w:type="auto"/>
            <w:hideMark/>
          </w:tcPr>
          <w:p w14:paraId="51D50F56"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7</w:t>
            </w:r>
          </w:p>
        </w:tc>
        <w:tc>
          <w:tcPr>
            <w:tcW w:w="0" w:type="auto"/>
            <w:hideMark/>
          </w:tcPr>
          <w:p w14:paraId="75BA3FD0"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8</w:t>
            </w:r>
          </w:p>
        </w:tc>
        <w:tc>
          <w:tcPr>
            <w:tcW w:w="0" w:type="auto"/>
            <w:hideMark/>
          </w:tcPr>
          <w:p w14:paraId="052F0C25"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9</w:t>
            </w:r>
          </w:p>
        </w:tc>
        <w:tc>
          <w:tcPr>
            <w:tcW w:w="0" w:type="auto"/>
            <w:hideMark/>
          </w:tcPr>
          <w:p w14:paraId="78F1AB66"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10</w:t>
            </w:r>
          </w:p>
        </w:tc>
        <w:tc>
          <w:tcPr>
            <w:tcW w:w="0" w:type="auto"/>
            <w:hideMark/>
          </w:tcPr>
          <w:p w14:paraId="6A495E97"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11</w:t>
            </w:r>
          </w:p>
        </w:tc>
        <w:tc>
          <w:tcPr>
            <w:tcW w:w="0" w:type="auto"/>
            <w:hideMark/>
          </w:tcPr>
          <w:p w14:paraId="1BBEAE7C"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12</w:t>
            </w:r>
          </w:p>
        </w:tc>
        <w:tc>
          <w:tcPr>
            <w:tcW w:w="0" w:type="auto"/>
            <w:hideMark/>
          </w:tcPr>
          <w:p w14:paraId="7D388689"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13</w:t>
            </w:r>
          </w:p>
        </w:tc>
        <w:tc>
          <w:tcPr>
            <w:tcW w:w="0" w:type="auto"/>
            <w:hideMark/>
          </w:tcPr>
          <w:p w14:paraId="7C8E3E83"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14</w:t>
            </w:r>
          </w:p>
        </w:tc>
        <w:tc>
          <w:tcPr>
            <w:tcW w:w="0" w:type="auto"/>
            <w:hideMark/>
          </w:tcPr>
          <w:p w14:paraId="78011475"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15</w:t>
            </w:r>
          </w:p>
        </w:tc>
        <w:tc>
          <w:tcPr>
            <w:tcW w:w="0" w:type="auto"/>
            <w:hideMark/>
          </w:tcPr>
          <w:p w14:paraId="5C7AC9DC"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16</w:t>
            </w:r>
          </w:p>
        </w:tc>
        <w:tc>
          <w:tcPr>
            <w:tcW w:w="0" w:type="auto"/>
            <w:hideMark/>
          </w:tcPr>
          <w:p w14:paraId="6D9ED26A"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17</w:t>
            </w:r>
          </w:p>
        </w:tc>
        <w:tc>
          <w:tcPr>
            <w:tcW w:w="0" w:type="auto"/>
            <w:hideMark/>
          </w:tcPr>
          <w:p w14:paraId="00FB1004"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18</w:t>
            </w:r>
          </w:p>
        </w:tc>
      </w:tr>
      <w:tr w:rsidR="009C778C" w:rsidRPr="001B5C9F" w14:paraId="196E842B" w14:textId="77777777" w:rsidTr="001A7C2C">
        <w:tc>
          <w:tcPr>
            <w:tcW w:w="0" w:type="auto"/>
            <w:hideMark/>
          </w:tcPr>
          <w:p w14:paraId="797E99A5"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w:t>
            </w:r>
          </w:p>
        </w:tc>
        <w:tc>
          <w:tcPr>
            <w:tcW w:w="0" w:type="auto"/>
            <w:hideMark/>
          </w:tcPr>
          <w:p w14:paraId="08D958F7" w14:textId="77777777" w:rsidR="009C778C" w:rsidRPr="001B5C9F" w:rsidRDefault="009C778C" w:rsidP="0007040E">
            <w:pPr>
              <w:pStyle w:val="NoSpacing"/>
              <w:rPr>
                <w:rFonts w:cstheme="minorHAnsi"/>
                <w:sz w:val="20"/>
                <w:szCs w:val="20"/>
              </w:rPr>
            </w:pPr>
            <w:r w:rsidRPr="001B5C9F">
              <w:rPr>
                <w:rFonts w:cstheme="minorHAnsi"/>
                <w:sz w:val="20"/>
                <w:szCs w:val="20"/>
              </w:rPr>
              <w:t>EM1</w:t>
            </w:r>
          </w:p>
        </w:tc>
        <w:tc>
          <w:tcPr>
            <w:tcW w:w="0" w:type="auto"/>
            <w:hideMark/>
          </w:tcPr>
          <w:p w14:paraId="15369F53"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6B8AF157" w14:textId="77777777" w:rsidR="009C778C" w:rsidRPr="001B5C9F" w:rsidRDefault="009C778C" w:rsidP="0007040E">
            <w:pPr>
              <w:pStyle w:val="NoSpacing"/>
              <w:rPr>
                <w:rFonts w:cstheme="minorHAnsi"/>
                <w:sz w:val="20"/>
                <w:szCs w:val="20"/>
              </w:rPr>
            </w:pPr>
          </w:p>
        </w:tc>
        <w:tc>
          <w:tcPr>
            <w:tcW w:w="0" w:type="auto"/>
            <w:hideMark/>
          </w:tcPr>
          <w:p w14:paraId="4C598DAB" w14:textId="77777777" w:rsidR="009C778C" w:rsidRPr="001B5C9F" w:rsidRDefault="009C778C" w:rsidP="0007040E">
            <w:pPr>
              <w:pStyle w:val="NoSpacing"/>
              <w:rPr>
                <w:rFonts w:cstheme="minorHAnsi"/>
                <w:sz w:val="20"/>
                <w:szCs w:val="20"/>
              </w:rPr>
            </w:pPr>
          </w:p>
        </w:tc>
        <w:tc>
          <w:tcPr>
            <w:tcW w:w="0" w:type="auto"/>
            <w:hideMark/>
          </w:tcPr>
          <w:p w14:paraId="229CA4BA" w14:textId="77777777" w:rsidR="009C778C" w:rsidRPr="001B5C9F" w:rsidRDefault="009C778C" w:rsidP="0007040E">
            <w:pPr>
              <w:pStyle w:val="NoSpacing"/>
              <w:rPr>
                <w:rFonts w:cstheme="minorHAnsi"/>
                <w:sz w:val="20"/>
                <w:szCs w:val="20"/>
              </w:rPr>
            </w:pPr>
          </w:p>
        </w:tc>
        <w:tc>
          <w:tcPr>
            <w:tcW w:w="0" w:type="auto"/>
            <w:hideMark/>
          </w:tcPr>
          <w:p w14:paraId="6E68319C" w14:textId="77777777" w:rsidR="009C778C" w:rsidRPr="001B5C9F" w:rsidRDefault="009C778C" w:rsidP="0007040E">
            <w:pPr>
              <w:pStyle w:val="NoSpacing"/>
              <w:rPr>
                <w:rFonts w:cstheme="minorHAnsi"/>
                <w:sz w:val="20"/>
                <w:szCs w:val="20"/>
              </w:rPr>
            </w:pPr>
          </w:p>
        </w:tc>
        <w:tc>
          <w:tcPr>
            <w:tcW w:w="0" w:type="auto"/>
            <w:hideMark/>
          </w:tcPr>
          <w:p w14:paraId="2E4416CC" w14:textId="77777777" w:rsidR="009C778C" w:rsidRPr="001B5C9F" w:rsidRDefault="009C778C" w:rsidP="0007040E">
            <w:pPr>
              <w:pStyle w:val="NoSpacing"/>
              <w:rPr>
                <w:rFonts w:cstheme="minorHAnsi"/>
                <w:sz w:val="20"/>
                <w:szCs w:val="20"/>
              </w:rPr>
            </w:pPr>
          </w:p>
        </w:tc>
        <w:tc>
          <w:tcPr>
            <w:tcW w:w="0" w:type="auto"/>
            <w:hideMark/>
          </w:tcPr>
          <w:p w14:paraId="052B63F5" w14:textId="77777777" w:rsidR="009C778C" w:rsidRPr="001B5C9F" w:rsidRDefault="009C778C" w:rsidP="0007040E">
            <w:pPr>
              <w:pStyle w:val="NoSpacing"/>
              <w:rPr>
                <w:rFonts w:cstheme="minorHAnsi"/>
                <w:sz w:val="20"/>
                <w:szCs w:val="20"/>
              </w:rPr>
            </w:pPr>
          </w:p>
        </w:tc>
        <w:tc>
          <w:tcPr>
            <w:tcW w:w="0" w:type="auto"/>
            <w:hideMark/>
          </w:tcPr>
          <w:p w14:paraId="6CA66B4B" w14:textId="77777777" w:rsidR="009C778C" w:rsidRPr="001B5C9F" w:rsidRDefault="009C778C" w:rsidP="0007040E">
            <w:pPr>
              <w:pStyle w:val="NoSpacing"/>
              <w:rPr>
                <w:rFonts w:cstheme="minorHAnsi"/>
                <w:sz w:val="20"/>
                <w:szCs w:val="20"/>
              </w:rPr>
            </w:pPr>
          </w:p>
        </w:tc>
        <w:tc>
          <w:tcPr>
            <w:tcW w:w="0" w:type="auto"/>
            <w:hideMark/>
          </w:tcPr>
          <w:p w14:paraId="476F0C6A" w14:textId="77777777" w:rsidR="009C778C" w:rsidRPr="001B5C9F" w:rsidRDefault="009C778C" w:rsidP="0007040E">
            <w:pPr>
              <w:pStyle w:val="NoSpacing"/>
              <w:rPr>
                <w:rFonts w:cstheme="minorHAnsi"/>
                <w:sz w:val="20"/>
                <w:szCs w:val="20"/>
              </w:rPr>
            </w:pPr>
          </w:p>
        </w:tc>
        <w:tc>
          <w:tcPr>
            <w:tcW w:w="0" w:type="auto"/>
            <w:hideMark/>
          </w:tcPr>
          <w:p w14:paraId="0A3C1534" w14:textId="77777777" w:rsidR="009C778C" w:rsidRPr="001B5C9F" w:rsidRDefault="009C778C" w:rsidP="0007040E">
            <w:pPr>
              <w:pStyle w:val="NoSpacing"/>
              <w:rPr>
                <w:rFonts w:cstheme="minorHAnsi"/>
                <w:sz w:val="20"/>
                <w:szCs w:val="20"/>
              </w:rPr>
            </w:pPr>
          </w:p>
        </w:tc>
        <w:tc>
          <w:tcPr>
            <w:tcW w:w="0" w:type="auto"/>
            <w:hideMark/>
          </w:tcPr>
          <w:p w14:paraId="3E062570" w14:textId="77777777" w:rsidR="009C778C" w:rsidRPr="001B5C9F" w:rsidRDefault="009C778C" w:rsidP="0007040E">
            <w:pPr>
              <w:pStyle w:val="NoSpacing"/>
              <w:rPr>
                <w:rFonts w:cstheme="minorHAnsi"/>
                <w:sz w:val="20"/>
                <w:szCs w:val="20"/>
              </w:rPr>
            </w:pPr>
          </w:p>
        </w:tc>
        <w:tc>
          <w:tcPr>
            <w:tcW w:w="0" w:type="auto"/>
            <w:hideMark/>
          </w:tcPr>
          <w:p w14:paraId="0CD70059" w14:textId="77777777" w:rsidR="009C778C" w:rsidRPr="001B5C9F" w:rsidRDefault="009C778C" w:rsidP="0007040E">
            <w:pPr>
              <w:pStyle w:val="NoSpacing"/>
              <w:rPr>
                <w:rFonts w:cstheme="minorHAnsi"/>
                <w:sz w:val="20"/>
                <w:szCs w:val="20"/>
              </w:rPr>
            </w:pPr>
          </w:p>
        </w:tc>
        <w:tc>
          <w:tcPr>
            <w:tcW w:w="0" w:type="auto"/>
            <w:hideMark/>
          </w:tcPr>
          <w:p w14:paraId="2F3514D3" w14:textId="77777777" w:rsidR="009C778C" w:rsidRPr="001B5C9F" w:rsidRDefault="009C778C" w:rsidP="0007040E">
            <w:pPr>
              <w:pStyle w:val="NoSpacing"/>
              <w:rPr>
                <w:rFonts w:cstheme="minorHAnsi"/>
                <w:sz w:val="20"/>
                <w:szCs w:val="20"/>
              </w:rPr>
            </w:pPr>
          </w:p>
        </w:tc>
        <w:tc>
          <w:tcPr>
            <w:tcW w:w="0" w:type="auto"/>
            <w:hideMark/>
          </w:tcPr>
          <w:p w14:paraId="226CA8DD" w14:textId="77777777" w:rsidR="009C778C" w:rsidRPr="001B5C9F" w:rsidRDefault="009C778C" w:rsidP="0007040E">
            <w:pPr>
              <w:pStyle w:val="NoSpacing"/>
              <w:rPr>
                <w:rFonts w:cstheme="minorHAnsi"/>
                <w:sz w:val="20"/>
                <w:szCs w:val="20"/>
              </w:rPr>
            </w:pPr>
          </w:p>
        </w:tc>
        <w:tc>
          <w:tcPr>
            <w:tcW w:w="0" w:type="auto"/>
            <w:hideMark/>
          </w:tcPr>
          <w:p w14:paraId="3D96E154" w14:textId="77777777" w:rsidR="009C778C" w:rsidRPr="001B5C9F" w:rsidRDefault="009C778C" w:rsidP="0007040E">
            <w:pPr>
              <w:pStyle w:val="NoSpacing"/>
              <w:rPr>
                <w:rFonts w:cstheme="minorHAnsi"/>
                <w:sz w:val="20"/>
                <w:szCs w:val="20"/>
              </w:rPr>
            </w:pPr>
          </w:p>
        </w:tc>
        <w:tc>
          <w:tcPr>
            <w:tcW w:w="0" w:type="auto"/>
            <w:hideMark/>
          </w:tcPr>
          <w:p w14:paraId="604F3273" w14:textId="77777777" w:rsidR="009C778C" w:rsidRPr="001B5C9F" w:rsidRDefault="009C778C" w:rsidP="0007040E">
            <w:pPr>
              <w:pStyle w:val="NoSpacing"/>
              <w:rPr>
                <w:rFonts w:cstheme="minorHAnsi"/>
                <w:sz w:val="20"/>
                <w:szCs w:val="20"/>
              </w:rPr>
            </w:pPr>
          </w:p>
        </w:tc>
        <w:tc>
          <w:tcPr>
            <w:tcW w:w="0" w:type="auto"/>
            <w:hideMark/>
          </w:tcPr>
          <w:p w14:paraId="594F44EF" w14:textId="77777777" w:rsidR="009C778C" w:rsidRPr="001B5C9F" w:rsidRDefault="009C778C" w:rsidP="0007040E">
            <w:pPr>
              <w:pStyle w:val="NoSpacing"/>
              <w:rPr>
                <w:rFonts w:cstheme="minorHAnsi"/>
                <w:sz w:val="20"/>
                <w:szCs w:val="20"/>
              </w:rPr>
            </w:pPr>
          </w:p>
        </w:tc>
        <w:tc>
          <w:tcPr>
            <w:tcW w:w="0" w:type="auto"/>
            <w:hideMark/>
          </w:tcPr>
          <w:p w14:paraId="511478E3" w14:textId="77777777" w:rsidR="009C778C" w:rsidRPr="001B5C9F" w:rsidRDefault="009C778C" w:rsidP="0007040E">
            <w:pPr>
              <w:pStyle w:val="NoSpacing"/>
              <w:rPr>
                <w:rFonts w:cstheme="minorHAnsi"/>
                <w:sz w:val="20"/>
                <w:szCs w:val="20"/>
              </w:rPr>
            </w:pPr>
          </w:p>
        </w:tc>
      </w:tr>
      <w:tr w:rsidR="009C778C" w:rsidRPr="001B5C9F" w14:paraId="00F4EEA9" w14:textId="77777777" w:rsidTr="001A7C2C">
        <w:tc>
          <w:tcPr>
            <w:tcW w:w="0" w:type="auto"/>
            <w:hideMark/>
          </w:tcPr>
          <w:p w14:paraId="3FD12815"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2</w:t>
            </w:r>
          </w:p>
        </w:tc>
        <w:tc>
          <w:tcPr>
            <w:tcW w:w="0" w:type="auto"/>
            <w:hideMark/>
          </w:tcPr>
          <w:p w14:paraId="55FB8BE3" w14:textId="77777777" w:rsidR="009C778C" w:rsidRPr="001B5C9F" w:rsidRDefault="009C778C" w:rsidP="0007040E">
            <w:pPr>
              <w:pStyle w:val="NoSpacing"/>
              <w:rPr>
                <w:rFonts w:cstheme="minorHAnsi"/>
                <w:sz w:val="20"/>
                <w:szCs w:val="20"/>
              </w:rPr>
            </w:pPr>
            <w:r w:rsidRPr="001B5C9F">
              <w:rPr>
                <w:rFonts w:cstheme="minorHAnsi"/>
                <w:sz w:val="20"/>
                <w:szCs w:val="20"/>
              </w:rPr>
              <w:t>EM2</w:t>
            </w:r>
          </w:p>
        </w:tc>
        <w:tc>
          <w:tcPr>
            <w:tcW w:w="0" w:type="auto"/>
            <w:hideMark/>
          </w:tcPr>
          <w:p w14:paraId="2E3270A3" w14:textId="77777777" w:rsidR="009C778C" w:rsidRPr="001B5C9F" w:rsidRDefault="009C778C" w:rsidP="0007040E">
            <w:pPr>
              <w:pStyle w:val="NoSpacing"/>
              <w:rPr>
                <w:rFonts w:cstheme="minorHAnsi"/>
                <w:sz w:val="20"/>
                <w:szCs w:val="20"/>
              </w:rPr>
            </w:pPr>
            <w:r w:rsidRPr="001B5C9F">
              <w:rPr>
                <w:rFonts w:cstheme="minorHAnsi"/>
                <w:b/>
                <w:bCs/>
                <w:sz w:val="20"/>
                <w:szCs w:val="20"/>
              </w:rPr>
              <w:t>0.301</w:t>
            </w:r>
          </w:p>
        </w:tc>
        <w:tc>
          <w:tcPr>
            <w:tcW w:w="0" w:type="auto"/>
            <w:hideMark/>
          </w:tcPr>
          <w:p w14:paraId="6017E9A4"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106B1CE9" w14:textId="77777777" w:rsidR="009C778C" w:rsidRPr="001B5C9F" w:rsidRDefault="009C778C" w:rsidP="0007040E">
            <w:pPr>
              <w:pStyle w:val="NoSpacing"/>
              <w:rPr>
                <w:rFonts w:cstheme="minorHAnsi"/>
                <w:sz w:val="20"/>
                <w:szCs w:val="20"/>
              </w:rPr>
            </w:pPr>
          </w:p>
        </w:tc>
        <w:tc>
          <w:tcPr>
            <w:tcW w:w="0" w:type="auto"/>
            <w:hideMark/>
          </w:tcPr>
          <w:p w14:paraId="7840D26F" w14:textId="77777777" w:rsidR="009C778C" w:rsidRPr="001B5C9F" w:rsidRDefault="009C778C" w:rsidP="0007040E">
            <w:pPr>
              <w:pStyle w:val="NoSpacing"/>
              <w:rPr>
                <w:rFonts w:cstheme="minorHAnsi"/>
                <w:sz w:val="20"/>
                <w:szCs w:val="20"/>
              </w:rPr>
            </w:pPr>
          </w:p>
        </w:tc>
        <w:tc>
          <w:tcPr>
            <w:tcW w:w="0" w:type="auto"/>
            <w:hideMark/>
          </w:tcPr>
          <w:p w14:paraId="69D5EA93" w14:textId="77777777" w:rsidR="009C778C" w:rsidRPr="001B5C9F" w:rsidRDefault="009C778C" w:rsidP="0007040E">
            <w:pPr>
              <w:pStyle w:val="NoSpacing"/>
              <w:rPr>
                <w:rFonts w:cstheme="minorHAnsi"/>
                <w:sz w:val="20"/>
                <w:szCs w:val="20"/>
              </w:rPr>
            </w:pPr>
          </w:p>
        </w:tc>
        <w:tc>
          <w:tcPr>
            <w:tcW w:w="0" w:type="auto"/>
            <w:hideMark/>
          </w:tcPr>
          <w:p w14:paraId="4E950C27" w14:textId="77777777" w:rsidR="009C778C" w:rsidRPr="001B5C9F" w:rsidRDefault="009C778C" w:rsidP="0007040E">
            <w:pPr>
              <w:pStyle w:val="NoSpacing"/>
              <w:rPr>
                <w:rFonts w:cstheme="minorHAnsi"/>
                <w:sz w:val="20"/>
                <w:szCs w:val="20"/>
              </w:rPr>
            </w:pPr>
          </w:p>
        </w:tc>
        <w:tc>
          <w:tcPr>
            <w:tcW w:w="0" w:type="auto"/>
            <w:hideMark/>
          </w:tcPr>
          <w:p w14:paraId="47000C95" w14:textId="77777777" w:rsidR="009C778C" w:rsidRPr="001B5C9F" w:rsidRDefault="009C778C" w:rsidP="0007040E">
            <w:pPr>
              <w:pStyle w:val="NoSpacing"/>
              <w:rPr>
                <w:rFonts w:cstheme="minorHAnsi"/>
                <w:sz w:val="20"/>
                <w:szCs w:val="20"/>
              </w:rPr>
            </w:pPr>
          </w:p>
        </w:tc>
        <w:tc>
          <w:tcPr>
            <w:tcW w:w="0" w:type="auto"/>
            <w:hideMark/>
          </w:tcPr>
          <w:p w14:paraId="67EF96DA" w14:textId="77777777" w:rsidR="009C778C" w:rsidRPr="001B5C9F" w:rsidRDefault="009C778C" w:rsidP="0007040E">
            <w:pPr>
              <w:pStyle w:val="NoSpacing"/>
              <w:rPr>
                <w:rFonts w:cstheme="minorHAnsi"/>
                <w:sz w:val="20"/>
                <w:szCs w:val="20"/>
              </w:rPr>
            </w:pPr>
          </w:p>
        </w:tc>
        <w:tc>
          <w:tcPr>
            <w:tcW w:w="0" w:type="auto"/>
            <w:hideMark/>
          </w:tcPr>
          <w:p w14:paraId="6D7B2A85" w14:textId="77777777" w:rsidR="009C778C" w:rsidRPr="001B5C9F" w:rsidRDefault="009C778C" w:rsidP="0007040E">
            <w:pPr>
              <w:pStyle w:val="NoSpacing"/>
              <w:rPr>
                <w:rFonts w:cstheme="minorHAnsi"/>
                <w:sz w:val="20"/>
                <w:szCs w:val="20"/>
              </w:rPr>
            </w:pPr>
          </w:p>
        </w:tc>
        <w:tc>
          <w:tcPr>
            <w:tcW w:w="0" w:type="auto"/>
            <w:hideMark/>
          </w:tcPr>
          <w:p w14:paraId="291B1DCA" w14:textId="77777777" w:rsidR="009C778C" w:rsidRPr="001B5C9F" w:rsidRDefault="009C778C" w:rsidP="0007040E">
            <w:pPr>
              <w:pStyle w:val="NoSpacing"/>
              <w:rPr>
                <w:rFonts w:cstheme="minorHAnsi"/>
                <w:sz w:val="20"/>
                <w:szCs w:val="20"/>
              </w:rPr>
            </w:pPr>
          </w:p>
        </w:tc>
        <w:tc>
          <w:tcPr>
            <w:tcW w:w="0" w:type="auto"/>
            <w:hideMark/>
          </w:tcPr>
          <w:p w14:paraId="10529066" w14:textId="77777777" w:rsidR="009C778C" w:rsidRPr="001B5C9F" w:rsidRDefault="009C778C" w:rsidP="0007040E">
            <w:pPr>
              <w:pStyle w:val="NoSpacing"/>
              <w:rPr>
                <w:rFonts w:cstheme="minorHAnsi"/>
                <w:sz w:val="20"/>
                <w:szCs w:val="20"/>
              </w:rPr>
            </w:pPr>
          </w:p>
        </w:tc>
        <w:tc>
          <w:tcPr>
            <w:tcW w:w="0" w:type="auto"/>
            <w:hideMark/>
          </w:tcPr>
          <w:p w14:paraId="4A7A4D81" w14:textId="77777777" w:rsidR="009C778C" w:rsidRPr="001B5C9F" w:rsidRDefault="009C778C" w:rsidP="0007040E">
            <w:pPr>
              <w:pStyle w:val="NoSpacing"/>
              <w:rPr>
                <w:rFonts w:cstheme="minorHAnsi"/>
                <w:sz w:val="20"/>
                <w:szCs w:val="20"/>
              </w:rPr>
            </w:pPr>
          </w:p>
        </w:tc>
        <w:tc>
          <w:tcPr>
            <w:tcW w:w="0" w:type="auto"/>
            <w:hideMark/>
          </w:tcPr>
          <w:p w14:paraId="50FC2D65" w14:textId="77777777" w:rsidR="009C778C" w:rsidRPr="001B5C9F" w:rsidRDefault="009C778C" w:rsidP="0007040E">
            <w:pPr>
              <w:pStyle w:val="NoSpacing"/>
              <w:rPr>
                <w:rFonts w:cstheme="minorHAnsi"/>
                <w:sz w:val="20"/>
                <w:szCs w:val="20"/>
              </w:rPr>
            </w:pPr>
          </w:p>
        </w:tc>
        <w:tc>
          <w:tcPr>
            <w:tcW w:w="0" w:type="auto"/>
            <w:hideMark/>
          </w:tcPr>
          <w:p w14:paraId="75666C3B" w14:textId="77777777" w:rsidR="009C778C" w:rsidRPr="001B5C9F" w:rsidRDefault="009C778C" w:rsidP="0007040E">
            <w:pPr>
              <w:pStyle w:val="NoSpacing"/>
              <w:rPr>
                <w:rFonts w:cstheme="minorHAnsi"/>
                <w:sz w:val="20"/>
                <w:szCs w:val="20"/>
              </w:rPr>
            </w:pPr>
          </w:p>
        </w:tc>
        <w:tc>
          <w:tcPr>
            <w:tcW w:w="0" w:type="auto"/>
            <w:hideMark/>
          </w:tcPr>
          <w:p w14:paraId="75530CE4" w14:textId="77777777" w:rsidR="009C778C" w:rsidRPr="001B5C9F" w:rsidRDefault="009C778C" w:rsidP="0007040E">
            <w:pPr>
              <w:pStyle w:val="NoSpacing"/>
              <w:rPr>
                <w:rFonts w:cstheme="minorHAnsi"/>
                <w:sz w:val="20"/>
                <w:szCs w:val="20"/>
              </w:rPr>
            </w:pPr>
          </w:p>
        </w:tc>
        <w:tc>
          <w:tcPr>
            <w:tcW w:w="0" w:type="auto"/>
            <w:hideMark/>
          </w:tcPr>
          <w:p w14:paraId="0E22719B" w14:textId="77777777" w:rsidR="009C778C" w:rsidRPr="001B5C9F" w:rsidRDefault="009C778C" w:rsidP="0007040E">
            <w:pPr>
              <w:pStyle w:val="NoSpacing"/>
              <w:rPr>
                <w:rFonts w:cstheme="minorHAnsi"/>
                <w:sz w:val="20"/>
                <w:szCs w:val="20"/>
              </w:rPr>
            </w:pPr>
          </w:p>
        </w:tc>
        <w:tc>
          <w:tcPr>
            <w:tcW w:w="0" w:type="auto"/>
            <w:hideMark/>
          </w:tcPr>
          <w:p w14:paraId="5A6CF4A4" w14:textId="77777777" w:rsidR="009C778C" w:rsidRPr="001B5C9F" w:rsidRDefault="009C778C" w:rsidP="0007040E">
            <w:pPr>
              <w:pStyle w:val="NoSpacing"/>
              <w:rPr>
                <w:rFonts w:cstheme="minorHAnsi"/>
                <w:sz w:val="20"/>
                <w:szCs w:val="20"/>
              </w:rPr>
            </w:pPr>
          </w:p>
        </w:tc>
        <w:tc>
          <w:tcPr>
            <w:tcW w:w="0" w:type="auto"/>
            <w:hideMark/>
          </w:tcPr>
          <w:p w14:paraId="20F20D4C" w14:textId="77777777" w:rsidR="009C778C" w:rsidRPr="001B5C9F" w:rsidRDefault="009C778C" w:rsidP="0007040E">
            <w:pPr>
              <w:pStyle w:val="NoSpacing"/>
              <w:rPr>
                <w:rFonts w:cstheme="minorHAnsi"/>
                <w:sz w:val="20"/>
                <w:szCs w:val="20"/>
              </w:rPr>
            </w:pPr>
          </w:p>
        </w:tc>
      </w:tr>
      <w:tr w:rsidR="009C778C" w:rsidRPr="001B5C9F" w14:paraId="51402149" w14:textId="77777777" w:rsidTr="001A7C2C">
        <w:tc>
          <w:tcPr>
            <w:tcW w:w="0" w:type="auto"/>
            <w:hideMark/>
          </w:tcPr>
          <w:p w14:paraId="4F7478E6"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3</w:t>
            </w:r>
          </w:p>
        </w:tc>
        <w:tc>
          <w:tcPr>
            <w:tcW w:w="0" w:type="auto"/>
            <w:hideMark/>
          </w:tcPr>
          <w:p w14:paraId="424EEF8A" w14:textId="77777777" w:rsidR="009C778C" w:rsidRPr="001B5C9F" w:rsidRDefault="009C778C" w:rsidP="0007040E">
            <w:pPr>
              <w:pStyle w:val="NoSpacing"/>
              <w:rPr>
                <w:rFonts w:cstheme="minorHAnsi"/>
                <w:sz w:val="20"/>
                <w:szCs w:val="20"/>
              </w:rPr>
            </w:pPr>
            <w:r w:rsidRPr="001B5C9F">
              <w:rPr>
                <w:rFonts w:cstheme="minorHAnsi"/>
                <w:sz w:val="20"/>
                <w:szCs w:val="20"/>
              </w:rPr>
              <w:t>EM3</w:t>
            </w:r>
          </w:p>
        </w:tc>
        <w:tc>
          <w:tcPr>
            <w:tcW w:w="0" w:type="auto"/>
            <w:hideMark/>
          </w:tcPr>
          <w:p w14:paraId="69485A38" w14:textId="77777777" w:rsidR="009C778C" w:rsidRPr="001B5C9F" w:rsidRDefault="009C778C" w:rsidP="0007040E">
            <w:pPr>
              <w:pStyle w:val="NoSpacing"/>
              <w:rPr>
                <w:rFonts w:cstheme="minorHAnsi"/>
                <w:sz w:val="20"/>
                <w:szCs w:val="20"/>
              </w:rPr>
            </w:pPr>
            <w:r w:rsidRPr="001B5C9F">
              <w:rPr>
                <w:rFonts w:cstheme="minorHAnsi"/>
                <w:b/>
                <w:bCs/>
                <w:sz w:val="20"/>
                <w:szCs w:val="20"/>
              </w:rPr>
              <w:t>0.098</w:t>
            </w:r>
          </w:p>
        </w:tc>
        <w:tc>
          <w:tcPr>
            <w:tcW w:w="0" w:type="auto"/>
            <w:hideMark/>
          </w:tcPr>
          <w:p w14:paraId="17BA156D" w14:textId="77777777" w:rsidR="009C778C" w:rsidRPr="001B5C9F" w:rsidRDefault="009C778C" w:rsidP="0007040E">
            <w:pPr>
              <w:pStyle w:val="NoSpacing"/>
              <w:rPr>
                <w:rFonts w:cstheme="minorHAnsi"/>
                <w:sz w:val="20"/>
                <w:szCs w:val="20"/>
              </w:rPr>
            </w:pPr>
            <w:r w:rsidRPr="001B5C9F">
              <w:rPr>
                <w:rFonts w:cstheme="minorHAnsi"/>
                <w:b/>
                <w:bCs/>
                <w:sz w:val="20"/>
                <w:szCs w:val="20"/>
              </w:rPr>
              <w:t>0.164</w:t>
            </w:r>
          </w:p>
        </w:tc>
        <w:tc>
          <w:tcPr>
            <w:tcW w:w="0" w:type="auto"/>
            <w:hideMark/>
          </w:tcPr>
          <w:p w14:paraId="58D4AC78"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71E9686F" w14:textId="77777777" w:rsidR="009C778C" w:rsidRPr="001B5C9F" w:rsidRDefault="009C778C" w:rsidP="0007040E">
            <w:pPr>
              <w:pStyle w:val="NoSpacing"/>
              <w:rPr>
                <w:rFonts w:cstheme="minorHAnsi"/>
                <w:sz w:val="20"/>
                <w:szCs w:val="20"/>
              </w:rPr>
            </w:pPr>
          </w:p>
        </w:tc>
        <w:tc>
          <w:tcPr>
            <w:tcW w:w="0" w:type="auto"/>
            <w:hideMark/>
          </w:tcPr>
          <w:p w14:paraId="2258594C" w14:textId="77777777" w:rsidR="009C778C" w:rsidRPr="001B5C9F" w:rsidRDefault="009C778C" w:rsidP="0007040E">
            <w:pPr>
              <w:pStyle w:val="NoSpacing"/>
              <w:rPr>
                <w:rFonts w:cstheme="minorHAnsi"/>
                <w:sz w:val="20"/>
                <w:szCs w:val="20"/>
              </w:rPr>
            </w:pPr>
          </w:p>
        </w:tc>
        <w:tc>
          <w:tcPr>
            <w:tcW w:w="0" w:type="auto"/>
            <w:hideMark/>
          </w:tcPr>
          <w:p w14:paraId="32666C89" w14:textId="77777777" w:rsidR="009C778C" w:rsidRPr="001B5C9F" w:rsidRDefault="009C778C" w:rsidP="0007040E">
            <w:pPr>
              <w:pStyle w:val="NoSpacing"/>
              <w:rPr>
                <w:rFonts w:cstheme="minorHAnsi"/>
                <w:sz w:val="20"/>
                <w:szCs w:val="20"/>
              </w:rPr>
            </w:pPr>
          </w:p>
        </w:tc>
        <w:tc>
          <w:tcPr>
            <w:tcW w:w="0" w:type="auto"/>
            <w:hideMark/>
          </w:tcPr>
          <w:p w14:paraId="1E5E98E4" w14:textId="77777777" w:rsidR="009C778C" w:rsidRPr="001B5C9F" w:rsidRDefault="009C778C" w:rsidP="0007040E">
            <w:pPr>
              <w:pStyle w:val="NoSpacing"/>
              <w:rPr>
                <w:rFonts w:cstheme="minorHAnsi"/>
                <w:sz w:val="20"/>
                <w:szCs w:val="20"/>
              </w:rPr>
            </w:pPr>
          </w:p>
        </w:tc>
        <w:tc>
          <w:tcPr>
            <w:tcW w:w="0" w:type="auto"/>
            <w:hideMark/>
          </w:tcPr>
          <w:p w14:paraId="2E1C237E" w14:textId="77777777" w:rsidR="009C778C" w:rsidRPr="001B5C9F" w:rsidRDefault="009C778C" w:rsidP="0007040E">
            <w:pPr>
              <w:pStyle w:val="NoSpacing"/>
              <w:rPr>
                <w:rFonts w:cstheme="minorHAnsi"/>
                <w:sz w:val="20"/>
                <w:szCs w:val="20"/>
              </w:rPr>
            </w:pPr>
          </w:p>
        </w:tc>
        <w:tc>
          <w:tcPr>
            <w:tcW w:w="0" w:type="auto"/>
            <w:hideMark/>
          </w:tcPr>
          <w:p w14:paraId="088A6940" w14:textId="77777777" w:rsidR="009C778C" w:rsidRPr="001B5C9F" w:rsidRDefault="009C778C" w:rsidP="0007040E">
            <w:pPr>
              <w:pStyle w:val="NoSpacing"/>
              <w:rPr>
                <w:rFonts w:cstheme="minorHAnsi"/>
                <w:sz w:val="20"/>
                <w:szCs w:val="20"/>
              </w:rPr>
            </w:pPr>
          </w:p>
        </w:tc>
        <w:tc>
          <w:tcPr>
            <w:tcW w:w="0" w:type="auto"/>
            <w:hideMark/>
          </w:tcPr>
          <w:p w14:paraId="40F472DF" w14:textId="77777777" w:rsidR="009C778C" w:rsidRPr="001B5C9F" w:rsidRDefault="009C778C" w:rsidP="0007040E">
            <w:pPr>
              <w:pStyle w:val="NoSpacing"/>
              <w:rPr>
                <w:rFonts w:cstheme="minorHAnsi"/>
                <w:sz w:val="20"/>
                <w:szCs w:val="20"/>
              </w:rPr>
            </w:pPr>
          </w:p>
        </w:tc>
        <w:tc>
          <w:tcPr>
            <w:tcW w:w="0" w:type="auto"/>
            <w:hideMark/>
          </w:tcPr>
          <w:p w14:paraId="7CE7BECF" w14:textId="77777777" w:rsidR="009C778C" w:rsidRPr="001B5C9F" w:rsidRDefault="009C778C" w:rsidP="0007040E">
            <w:pPr>
              <w:pStyle w:val="NoSpacing"/>
              <w:rPr>
                <w:rFonts w:cstheme="minorHAnsi"/>
                <w:sz w:val="20"/>
                <w:szCs w:val="20"/>
              </w:rPr>
            </w:pPr>
          </w:p>
        </w:tc>
        <w:tc>
          <w:tcPr>
            <w:tcW w:w="0" w:type="auto"/>
            <w:hideMark/>
          </w:tcPr>
          <w:p w14:paraId="618FF752" w14:textId="77777777" w:rsidR="009C778C" w:rsidRPr="001B5C9F" w:rsidRDefault="009C778C" w:rsidP="0007040E">
            <w:pPr>
              <w:pStyle w:val="NoSpacing"/>
              <w:rPr>
                <w:rFonts w:cstheme="minorHAnsi"/>
                <w:sz w:val="20"/>
                <w:szCs w:val="20"/>
              </w:rPr>
            </w:pPr>
          </w:p>
        </w:tc>
        <w:tc>
          <w:tcPr>
            <w:tcW w:w="0" w:type="auto"/>
            <w:hideMark/>
          </w:tcPr>
          <w:p w14:paraId="6B0FE2D2" w14:textId="77777777" w:rsidR="009C778C" w:rsidRPr="001B5C9F" w:rsidRDefault="009C778C" w:rsidP="0007040E">
            <w:pPr>
              <w:pStyle w:val="NoSpacing"/>
              <w:rPr>
                <w:rFonts w:cstheme="minorHAnsi"/>
                <w:sz w:val="20"/>
                <w:szCs w:val="20"/>
              </w:rPr>
            </w:pPr>
          </w:p>
        </w:tc>
        <w:tc>
          <w:tcPr>
            <w:tcW w:w="0" w:type="auto"/>
            <w:hideMark/>
          </w:tcPr>
          <w:p w14:paraId="5B7D90EB" w14:textId="77777777" w:rsidR="009C778C" w:rsidRPr="001B5C9F" w:rsidRDefault="009C778C" w:rsidP="0007040E">
            <w:pPr>
              <w:pStyle w:val="NoSpacing"/>
              <w:rPr>
                <w:rFonts w:cstheme="minorHAnsi"/>
                <w:sz w:val="20"/>
                <w:szCs w:val="20"/>
              </w:rPr>
            </w:pPr>
          </w:p>
        </w:tc>
        <w:tc>
          <w:tcPr>
            <w:tcW w:w="0" w:type="auto"/>
            <w:hideMark/>
          </w:tcPr>
          <w:p w14:paraId="7B2D604F" w14:textId="77777777" w:rsidR="009C778C" w:rsidRPr="001B5C9F" w:rsidRDefault="009C778C" w:rsidP="0007040E">
            <w:pPr>
              <w:pStyle w:val="NoSpacing"/>
              <w:rPr>
                <w:rFonts w:cstheme="minorHAnsi"/>
                <w:sz w:val="20"/>
                <w:szCs w:val="20"/>
              </w:rPr>
            </w:pPr>
          </w:p>
        </w:tc>
        <w:tc>
          <w:tcPr>
            <w:tcW w:w="0" w:type="auto"/>
            <w:hideMark/>
          </w:tcPr>
          <w:p w14:paraId="16D4A7D8" w14:textId="77777777" w:rsidR="009C778C" w:rsidRPr="001B5C9F" w:rsidRDefault="009C778C" w:rsidP="0007040E">
            <w:pPr>
              <w:pStyle w:val="NoSpacing"/>
              <w:rPr>
                <w:rFonts w:cstheme="minorHAnsi"/>
                <w:sz w:val="20"/>
                <w:szCs w:val="20"/>
              </w:rPr>
            </w:pPr>
          </w:p>
        </w:tc>
        <w:tc>
          <w:tcPr>
            <w:tcW w:w="0" w:type="auto"/>
            <w:hideMark/>
          </w:tcPr>
          <w:p w14:paraId="7737C7BB" w14:textId="77777777" w:rsidR="009C778C" w:rsidRPr="001B5C9F" w:rsidRDefault="009C778C" w:rsidP="0007040E">
            <w:pPr>
              <w:pStyle w:val="NoSpacing"/>
              <w:rPr>
                <w:rFonts w:cstheme="minorHAnsi"/>
                <w:sz w:val="20"/>
                <w:szCs w:val="20"/>
              </w:rPr>
            </w:pPr>
          </w:p>
        </w:tc>
        <w:tc>
          <w:tcPr>
            <w:tcW w:w="0" w:type="auto"/>
            <w:hideMark/>
          </w:tcPr>
          <w:p w14:paraId="31F64EF7" w14:textId="77777777" w:rsidR="009C778C" w:rsidRPr="001B5C9F" w:rsidRDefault="009C778C" w:rsidP="0007040E">
            <w:pPr>
              <w:pStyle w:val="NoSpacing"/>
              <w:rPr>
                <w:rFonts w:cstheme="minorHAnsi"/>
                <w:sz w:val="20"/>
                <w:szCs w:val="20"/>
              </w:rPr>
            </w:pPr>
          </w:p>
        </w:tc>
      </w:tr>
      <w:tr w:rsidR="009C778C" w:rsidRPr="001B5C9F" w14:paraId="7D3ECDAD" w14:textId="77777777" w:rsidTr="001A7C2C">
        <w:tc>
          <w:tcPr>
            <w:tcW w:w="0" w:type="auto"/>
            <w:hideMark/>
          </w:tcPr>
          <w:p w14:paraId="2449D945"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4</w:t>
            </w:r>
          </w:p>
        </w:tc>
        <w:tc>
          <w:tcPr>
            <w:tcW w:w="0" w:type="auto"/>
            <w:hideMark/>
          </w:tcPr>
          <w:p w14:paraId="4020E72F" w14:textId="77777777" w:rsidR="009C778C" w:rsidRPr="001B5C9F" w:rsidRDefault="009C778C" w:rsidP="0007040E">
            <w:pPr>
              <w:pStyle w:val="NoSpacing"/>
              <w:rPr>
                <w:rFonts w:cstheme="minorHAnsi"/>
                <w:sz w:val="20"/>
                <w:szCs w:val="20"/>
              </w:rPr>
            </w:pPr>
            <w:r w:rsidRPr="001B5C9F">
              <w:rPr>
                <w:rFonts w:cstheme="minorHAnsi"/>
                <w:sz w:val="20"/>
                <w:szCs w:val="20"/>
              </w:rPr>
              <w:t>Agg. EM</w:t>
            </w:r>
          </w:p>
        </w:tc>
        <w:tc>
          <w:tcPr>
            <w:tcW w:w="0" w:type="auto"/>
            <w:hideMark/>
          </w:tcPr>
          <w:p w14:paraId="4951DBFA" w14:textId="77777777" w:rsidR="009C778C" w:rsidRPr="001B5C9F" w:rsidRDefault="009C778C" w:rsidP="0007040E">
            <w:pPr>
              <w:pStyle w:val="NoSpacing"/>
              <w:rPr>
                <w:rFonts w:cstheme="minorHAnsi"/>
                <w:sz w:val="20"/>
                <w:szCs w:val="20"/>
              </w:rPr>
            </w:pPr>
            <w:r w:rsidRPr="001B5C9F">
              <w:rPr>
                <w:rFonts w:cstheme="minorHAnsi"/>
                <w:b/>
                <w:bCs/>
                <w:sz w:val="20"/>
                <w:szCs w:val="20"/>
              </w:rPr>
              <w:t>0.347</w:t>
            </w:r>
          </w:p>
        </w:tc>
        <w:tc>
          <w:tcPr>
            <w:tcW w:w="0" w:type="auto"/>
            <w:hideMark/>
          </w:tcPr>
          <w:p w14:paraId="6470E0DB" w14:textId="77777777" w:rsidR="009C778C" w:rsidRPr="001B5C9F" w:rsidRDefault="009C778C" w:rsidP="0007040E">
            <w:pPr>
              <w:pStyle w:val="NoSpacing"/>
              <w:rPr>
                <w:rFonts w:cstheme="minorHAnsi"/>
                <w:sz w:val="20"/>
                <w:szCs w:val="20"/>
              </w:rPr>
            </w:pPr>
            <w:r w:rsidRPr="001B5C9F">
              <w:rPr>
                <w:rFonts w:cstheme="minorHAnsi"/>
                <w:b/>
                <w:bCs/>
                <w:sz w:val="20"/>
                <w:szCs w:val="20"/>
              </w:rPr>
              <w:t>0.316</w:t>
            </w:r>
          </w:p>
        </w:tc>
        <w:tc>
          <w:tcPr>
            <w:tcW w:w="0" w:type="auto"/>
            <w:hideMark/>
          </w:tcPr>
          <w:p w14:paraId="596F25FF" w14:textId="77777777" w:rsidR="009C778C" w:rsidRPr="001B5C9F" w:rsidRDefault="009C778C" w:rsidP="0007040E">
            <w:pPr>
              <w:pStyle w:val="NoSpacing"/>
              <w:rPr>
                <w:rFonts w:cstheme="minorHAnsi"/>
                <w:sz w:val="20"/>
                <w:szCs w:val="20"/>
              </w:rPr>
            </w:pPr>
            <w:r w:rsidRPr="001B5C9F">
              <w:rPr>
                <w:rFonts w:cstheme="minorHAnsi"/>
                <w:b/>
                <w:bCs/>
                <w:sz w:val="20"/>
                <w:szCs w:val="20"/>
              </w:rPr>
              <w:t>0.881</w:t>
            </w:r>
          </w:p>
        </w:tc>
        <w:tc>
          <w:tcPr>
            <w:tcW w:w="0" w:type="auto"/>
            <w:hideMark/>
          </w:tcPr>
          <w:p w14:paraId="18118BD2"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742DA524" w14:textId="77777777" w:rsidR="009C778C" w:rsidRPr="001B5C9F" w:rsidRDefault="009C778C" w:rsidP="0007040E">
            <w:pPr>
              <w:pStyle w:val="NoSpacing"/>
              <w:rPr>
                <w:rFonts w:cstheme="minorHAnsi"/>
                <w:sz w:val="20"/>
                <w:szCs w:val="20"/>
              </w:rPr>
            </w:pPr>
          </w:p>
        </w:tc>
        <w:tc>
          <w:tcPr>
            <w:tcW w:w="0" w:type="auto"/>
            <w:hideMark/>
          </w:tcPr>
          <w:p w14:paraId="16255C94" w14:textId="77777777" w:rsidR="009C778C" w:rsidRPr="001B5C9F" w:rsidRDefault="009C778C" w:rsidP="0007040E">
            <w:pPr>
              <w:pStyle w:val="NoSpacing"/>
              <w:rPr>
                <w:rFonts w:cstheme="minorHAnsi"/>
                <w:sz w:val="20"/>
                <w:szCs w:val="20"/>
              </w:rPr>
            </w:pPr>
          </w:p>
        </w:tc>
        <w:tc>
          <w:tcPr>
            <w:tcW w:w="0" w:type="auto"/>
            <w:hideMark/>
          </w:tcPr>
          <w:p w14:paraId="325D4F0A" w14:textId="77777777" w:rsidR="009C778C" w:rsidRPr="001B5C9F" w:rsidRDefault="009C778C" w:rsidP="0007040E">
            <w:pPr>
              <w:pStyle w:val="NoSpacing"/>
              <w:rPr>
                <w:rFonts w:cstheme="minorHAnsi"/>
                <w:sz w:val="20"/>
                <w:szCs w:val="20"/>
              </w:rPr>
            </w:pPr>
          </w:p>
        </w:tc>
        <w:tc>
          <w:tcPr>
            <w:tcW w:w="0" w:type="auto"/>
            <w:hideMark/>
          </w:tcPr>
          <w:p w14:paraId="40AE1217" w14:textId="77777777" w:rsidR="009C778C" w:rsidRPr="001B5C9F" w:rsidRDefault="009C778C" w:rsidP="0007040E">
            <w:pPr>
              <w:pStyle w:val="NoSpacing"/>
              <w:rPr>
                <w:rFonts w:cstheme="minorHAnsi"/>
                <w:sz w:val="20"/>
                <w:szCs w:val="20"/>
              </w:rPr>
            </w:pPr>
          </w:p>
        </w:tc>
        <w:tc>
          <w:tcPr>
            <w:tcW w:w="0" w:type="auto"/>
            <w:hideMark/>
          </w:tcPr>
          <w:p w14:paraId="70F8E5ED" w14:textId="77777777" w:rsidR="009C778C" w:rsidRPr="001B5C9F" w:rsidRDefault="009C778C" w:rsidP="0007040E">
            <w:pPr>
              <w:pStyle w:val="NoSpacing"/>
              <w:rPr>
                <w:rFonts w:cstheme="minorHAnsi"/>
                <w:sz w:val="20"/>
                <w:szCs w:val="20"/>
              </w:rPr>
            </w:pPr>
          </w:p>
        </w:tc>
        <w:tc>
          <w:tcPr>
            <w:tcW w:w="0" w:type="auto"/>
            <w:hideMark/>
          </w:tcPr>
          <w:p w14:paraId="1799B2AE" w14:textId="77777777" w:rsidR="009C778C" w:rsidRPr="001B5C9F" w:rsidRDefault="009C778C" w:rsidP="0007040E">
            <w:pPr>
              <w:pStyle w:val="NoSpacing"/>
              <w:rPr>
                <w:rFonts w:cstheme="minorHAnsi"/>
                <w:sz w:val="20"/>
                <w:szCs w:val="20"/>
              </w:rPr>
            </w:pPr>
          </w:p>
        </w:tc>
        <w:tc>
          <w:tcPr>
            <w:tcW w:w="0" w:type="auto"/>
            <w:hideMark/>
          </w:tcPr>
          <w:p w14:paraId="7E68812B" w14:textId="77777777" w:rsidR="009C778C" w:rsidRPr="001B5C9F" w:rsidRDefault="009C778C" w:rsidP="0007040E">
            <w:pPr>
              <w:pStyle w:val="NoSpacing"/>
              <w:rPr>
                <w:rFonts w:cstheme="minorHAnsi"/>
                <w:sz w:val="20"/>
                <w:szCs w:val="20"/>
              </w:rPr>
            </w:pPr>
          </w:p>
        </w:tc>
        <w:tc>
          <w:tcPr>
            <w:tcW w:w="0" w:type="auto"/>
            <w:hideMark/>
          </w:tcPr>
          <w:p w14:paraId="0A304529" w14:textId="77777777" w:rsidR="009C778C" w:rsidRPr="001B5C9F" w:rsidRDefault="009C778C" w:rsidP="0007040E">
            <w:pPr>
              <w:pStyle w:val="NoSpacing"/>
              <w:rPr>
                <w:rFonts w:cstheme="minorHAnsi"/>
                <w:sz w:val="20"/>
                <w:szCs w:val="20"/>
              </w:rPr>
            </w:pPr>
          </w:p>
        </w:tc>
        <w:tc>
          <w:tcPr>
            <w:tcW w:w="0" w:type="auto"/>
            <w:hideMark/>
          </w:tcPr>
          <w:p w14:paraId="78D9F727" w14:textId="77777777" w:rsidR="009C778C" w:rsidRPr="001B5C9F" w:rsidRDefault="009C778C" w:rsidP="0007040E">
            <w:pPr>
              <w:pStyle w:val="NoSpacing"/>
              <w:rPr>
                <w:rFonts w:cstheme="minorHAnsi"/>
                <w:sz w:val="20"/>
                <w:szCs w:val="20"/>
              </w:rPr>
            </w:pPr>
          </w:p>
        </w:tc>
        <w:tc>
          <w:tcPr>
            <w:tcW w:w="0" w:type="auto"/>
            <w:hideMark/>
          </w:tcPr>
          <w:p w14:paraId="5CEB9B63" w14:textId="77777777" w:rsidR="009C778C" w:rsidRPr="001B5C9F" w:rsidRDefault="009C778C" w:rsidP="0007040E">
            <w:pPr>
              <w:pStyle w:val="NoSpacing"/>
              <w:rPr>
                <w:rFonts w:cstheme="minorHAnsi"/>
                <w:sz w:val="20"/>
                <w:szCs w:val="20"/>
              </w:rPr>
            </w:pPr>
          </w:p>
        </w:tc>
        <w:tc>
          <w:tcPr>
            <w:tcW w:w="0" w:type="auto"/>
            <w:hideMark/>
          </w:tcPr>
          <w:p w14:paraId="55B5077F" w14:textId="77777777" w:rsidR="009C778C" w:rsidRPr="001B5C9F" w:rsidRDefault="009C778C" w:rsidP="0007040E">
            <w:pPr>
              <w:pStyle w:val="NoSpacing"/>
              <w:rPr>
                <w:rFonts w:cstheme="minorHAnsi"/>
                <w:sz w:val="20"/>
                <w:szCs w:val="20"/>
              </w:rPr>
            </w:pPr>
          </w:p>
        </w:tc>
        <w:tc>
          <w:tcPr>
            <w:tcW w:w="0" w:type="auto"/>
            <w:hideMark/>
          </w:tcPr>
          <w:p w14:paraId="1CED6782" w14:textId="77777777" w:rsidR="009C778C" w:rsidRPr="001B5C9F" w:rsidRDefault="009C778C" w:rsidP="0007040E">
            <w:pPr>
              <w:pStyle w:val="NoSpacing"/>
              <w:rPr>
                <w:rFonts w:cstheme="minorHAnsi"/>
                <w:sz w:val="20"/>
                <w:szCs w:val="20"/>
              </w:rPr>
            </w:pPr>
          </w:p>
        </w:tc>
        <w:tc>
          <w:tcPr>
            <w:tcW w:w="0" w:type="auto"/>
            <w:hideMark/>
          </w:tcPr>
          <w:p w14:paraId="5AA8ADEE" w14:textId="77777777" w:rsidR="009C778C" w:rsidRPr="001B5C9F" w:rsidRDefault="009C778C" w:rsidP="0007040E">
            <w:pPr>
              <w:pStyle w:val="NoSpacing"/>
              <w:rPr>
                <w:rFonts w:cstheme="minorHAnsi"/>
                <w:sz w:val="20"/>
                <w:szCs w:val="20"/>
              </w:rPr>
            </w:pPr>
          </w:p>
        </w:tc>
        <w:tc>
          <w:tcPr>
            <w:tcW w:w="0" w:type="auto"/>
            <w:hideMark/>
          </w:tcPr>
          <w:p w14:paraId="14257D26" w14:textId="77777777" w:rsidR="009C778C" w:rsidRPr="001B5C9F" w:rsidRDefault="009C778C" w:rsidP="0007040E">
            <w:pPr>
              <w:pStyle w:val="NoSpacing"/>
              <w:rPr>
                <w:rFonts w:cstheme="minorHAnsi"/>
                <w:sz w:val="20"/>
                <w:szCs w:val="20"/>
              </w:rPr>
            </w:pPr>
          </w:p>
        </w:tc>
      </w:tr>
      <w:tr w:rsidR="009C778C" w:rsidRPr="001B5C9F" w14:paraId="5539FB10" w14:textId="77777777" w:rsidTr="001A7C2C">
        <w:tc>
          <w:tcPr>
            <w:tcW w:w="0" w:type="auto"/>
            <w:hideMark/>
          </w:tcPr>
          <w:p w14:paraId="6D6572DC"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5</w:t>
            </w:r>
          </w:p>
        </w:tc>
        <w:tc>
          <w:tcPr>
            <w:tcW w:w="0" w:type="auto"/>
            <w:hideMark/>
          </w:tcPr>
          <w:p w14:paraId="67F45C6D" w14:textId="77777777" w:rsidR="009C778C" w:rsidRPr="001B5C9F" w:rsidRDefault="009C778C" w:rsidP="0007040E">
            <w:pPr>
              <w:pStyle w:val="NoSpacing"/>
              <w:rPr>
                <w:rFonts w:cstheme="minorHAnsi"/>
                <w:sz w:val="20"/>
                <w:szCs w:val="20"/>
              </w:rPr>
            </w:pPr>
            <w:r w:rsidRPr="001B5C9F">
              <w:rPr>
                <w:rFonts w:cstheme="minorHAnsi"/>
                <w:sz w:val="20"/>
                <w:szCs w:val="20"/>
              </w:rPr>
              <w:t>TOTAL</w:t>
            </w:r>
          </w:p>
        </w:tc>
        <w:tc>
          <w:tcPr>
            <w:tcW w:w="0" w:type="auto"/>
            <w:hideMark/>
          </w:tcPr>
          <w:p w14:paraId="248AC134"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0.038</w:t>
            </w:r>
          </w:p>
        </w:tc>
        <w:tc>
          <w:tcPr>
            <w:tcW w:w="0" w:type="auto"/>
            <w:hideMark/>
          </w:tcPr>
          <w:p w14:paraId="7A22A82D"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0.032</w:t>
            </w:r>
          </w:p>
        </w:tc>
        <w:tc>
          <w:tcPr>
            <w:tcW w:w="0" w:type="auto"/>
            <w:hideMark/>
          </w:tcPr>
          <w:p w14:paraId="1E9AC0B5"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0.063</w:t>
            </w:r>
          </w:p>
        </w:tc>
        <w:tc>
          <w:tcPr>
            <w:tcW w:w="0" w:type="auto"/>
            <w:hideMark/>
          </w:tcPr>
          <w:p w14:paraId="31DFAB0F"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0.065</w:t>
            </w:r>
          </w:p>
        </w:tc>
        <w:tc>
          <w:tcPr>
            <w:tcW w:w="0" w:type="auto"/>
            <w:hideMark/>
          </w:tcPr>
          <w:p w14:paraId="6CB226FA"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098E3E6F" w14:textId="77777777" w:rsidR="009C778C" w:rsidRPr="001B5C9F" w:rsidRDefault="009C778C" w:rsidP="0007040E">
            <w:pPr>
              <w:pStyle w:val="NoSpacing"/>
              <w:rPr>
                <w:rFonts w:cstheme="minorHAnsi"/>
                <w:sz w:val="20"/>
                <w:szCs w:val="20"/>
              </w:rPr>
            </w:pPr>
          </w:p>
        </w:tc>
        <w:tc>
          <w:tcPr>
            <w:tcW w:w="0" w:type="auto"/>
            <w:hideMark/>
          </w:tcPr>
          <w:p w14:paraId="30FDD44F" w14:textId="77777777" w:rsidR="009C778C" w:rsidRPr="001B5C9F" w:rsidRDefault="009C778C" w:rsidP="0007040E">
            <w:pPr>
              <w:pStyle w:val="NoSpacing"/>
              <w:rPr>
                <w:rFonts w:cstheme="minorHAnsi"/>
                <w:sz w:val="20"/>
                <w:szCs w:val="20"/>
              </w:rPr>
            </w:pPr>
          </w:p>
        </w:tc>
        <w:tc>
          <w:tcPr>
            <w:tcW w:w="0" w:type="auto"/>
            <w:hideMark/>
          </w:tcPr>
          <w:p w14:paraId="14C6A614" w14:textId="77777777" w:rsidR="009C778C" w:rsidRPr="001B5C9F" w:rsidRDefault="009C778C" w:rsidP="0007040E">
            <w:pPr>
              <w:pStyle w:val="NoSpacing"/>
              <w:rPr>
                <w:rFonts w:cstheme="minorHAnsi"/>
                <w:sz w:val="20"/>
                <w:szCs w:val="20"/>
              </w:rPr>
            </w:pPr>
          </w:p>
        </w:tc>
        <w:tc>
          <w:tcPr>
            <w:tcW w:w="0" w:type="auto"/>
            <w:hideMark/>
          </w:tcPr>
          <w:p w14:paraId="23DE1CC4" w14:textId="77777777" w:rsidR="009C778C" w:rsidRPr="001B5C9F" w:rsidRDefault="009C778C" w:rsidP="0007040E">
            <w:pPr>
              <w:pStyle w:val="NoSpacing"/>
              <w:rPr>
                <w:rFonts w:cstheme="minorHAnsi"/>
                <w:sz w:val="20"/>
                <w:szCs w:val="20"/>
              </w:rPr>
            </w:pPr>
          </w:p>
        </w:tc>
        <w:tc>
          <w:tcPr>
            <w:tcW w:w="0" w:type="auto"/>
            <w:hideMark/>
          </w:tcPr>
          <w:p w14:paraId="1B025A54" w14:textId="77777777" w:rsidR="009C778C" w:rsidRPr="001B5C9F" w:rsidRDefault="009C778C" w:rsidP="0007040E">
            <w:pPr>
              <w:pStyle w:val="NoSpacing"/>
              <w:rPr>
                <w:rFonts w:cstheme="minorHAnsi"/>
                <w:sz w:val="20"/>
                <w:szCs w:val="20"/>
              </w:rPr>
            </w:pPr>
          </w:p>
        </w:tc>
        <w:tc>
          <w:tcPr>
            <w:tcW w:w="0" w:type="auto"/>
            <w:hideMark/>
          </w:tcPr>
          <w:p w14:paraId="44501B29" w14:textId="77777777" w:rsidR="009C778C" w:rsidRPr="001B5C9F" w:rsidRDefault="009C778C" w:rsidP="0007040E">
            <w:pPr>
              <w:pStyle w:val="NoSpacing"/>
              <w:rPr>
                <w:rFonts w:cstheme="minorHAnsi"/>
                <w:sz w:val="20"/>
                <w:szCs w:val="20"/>
              </w:rPr>
            </w:pPr>
          </w:p>
        </w:tc>
        <w:tc>
          <w:tcPr>
            <w:tcW w:w="0" w:type="auto"/>
            <w:hideMark/>
          </w:tcPr>
          <w:p w14:paraId="502EDB25" w14:textId="77777777" w:rsidR="009C778C" w:rsidRPr="001B5C9F" w:rsidRDefault="009C778C" w:rsidP="0007040E">
            <w:pPr>
              <w:pStyle w:val="NoSpacing"/>
              <w:rPr>
                <w:rFonts w:cstheme="minorHAnsi"/>
                <w:sz w:val="20"/>
                <w:szCs w:val="20"/>
              </w:rPr>
            </w:pPr>
          </w:p>
        </w:tc>
        <w:tc>
          <w:tcPr>
            <w:tcW w:w="0" w:type="auto"/>
            <w:hideMark/>
          </w:tcPr>
          <w:p w14:paraId="3099FFD2" w14:textId="77777777" w:rsidR="009C778C" w:rsidRPr="001B5C9F" w:rsidRDefault="009C778C" w:rsidP="0007040E">
            <w:pPr>
              <w:pStyle w:val="NoSpacing"/>
              <w:rPr>
                <w:rFonts w:cstheme="minorHAnsi"/>
                <w:sz w:val="20"/>
                <w:szCs w:val="20"/>
              </w:rPr>
            </w:pPr>
          </w:p>
        </w:tc>
        <w:tc>
          <w:tcPr>
            <w:tcW w:w="0" w:type="auto"/>
            <w:hideMark/>
          </w:tcPr>
          <w:p w14:paraId="1EF7EBEA" w14:textId="77777777" w:rsidR="009C778C" w:rsidRPr="001B5C9F" w:rsidRDefault="009C778C" w:rsidP="0007040E">
            <w:pPr>
              <w:pStyle w:val="NoSpacing"/>
              <w:rPr>
                <w:rFonts w:cstheme="minorHAnsi"/>
                <w:sz w:val="20"/>
                <w:szCs w:val="20"/>
              </w:rPr>
            </w:pPr>
          </w:p>
        </w:tc>
        <w:tc>
          <w:tcPr>
            <w:tcW w:w="0" w:type="auto"/>
            <w:hideMark/>
          </w:tcPr>
          <w:p w14:paraId="28223492" w14:textId="77777777" w:rsidR="009C778C" w:rsidRPr="001B5C9F" w:rsidRDefault="009C778C" w:rsidP="0007040E">
            <w:pPr>
              <w:pStyle w:val="NoSpacing"/>
              <w:rPr>
                <w:rFonts w:cstheme="minorHAnsi"/>
                <w:sz w:val="20"/>
                <w:szCs w:val="20"/>
              </w:rPr>
            </w:pPr>
          </w:p>
        </w:tc>
        <w:tc>
          <w:tcPr>
            <w:tcW w:w="0" w:type="auto"/>
            <w:hideMark/>
          </w:tcPr>
          <w:p w14:paraId="4347803C" w14:textId="77777777" w:rsidR="009C778C" w:rsidRPr="001B5C9F" w:rsidRDefault="009C778C" w:rsidP="0007040E">
            <w:pPr>
              <w:pStyle w:val="NoSpacing"/>
              <w:rPr>
                <w:rFonts w:cstheme="minorHAnsi"/>
                <w:sz w:val="20"/>
                <w:szCs w:val="20"/>
              </w:rPr>
            </w:pPr>
          </w:p>
        </w:tc>
        <w:tc>
          <w:tcPr>
            <w:tcW w:w="0" w:type="auto"/>
            <w:hideMark/>
          </w:tcPr>
          <w:p w14:paraId="290F444E" w14:textId="77777777" w:rsidR="009C778C" w:rsidRPr="001B5C9F" w:rsidRDefault="009C778C" w:rsidP="0007040E">
            <w:pPr>
              <w:pStyle w:val="NoSpacing"/>
              <w:rPr>
                <w:rFonts w:cstheme="minorHAnsi"/>
                <w:sz w:val="20"/>
                <w:szCs w:val="20"/>
              </w:rPr>
            </w:pPr>
          </w:p>
        </w:tc>
        <w:tc>
          <w:tcPr>
            <w:tcW w:w="0" w:type="auto"/>
            <w:hideMark/>
          </w:tcPr>
          <w:p w14:paraId="49BC3B41" w14:textId="77777777" w:rsidR="009C778C" w:rsidRPr="001B5C9F" w:rsidRDefault="009C778C" w:rsidP="0007040E">
            <w:pPr>
              <w:pStyle w:val="NoSpacing"/>
              <w:rPr>
                <w:rFonts w:cstheme="minorHAnsi"/>
                <w:sz w:val="20"/>
                <w:szCs w:val="20"/>
              </w:rPr>
            </w:pPr>
          </w:p>
        </w:tc>
      </w:tr>
      <w:tr w:rsidR="009C778C" w:rsidRPr="001B5C9F" w14:paraId="1ED8FDE6" w14:textId="77777777" w:rsidTr="001A7C2C">
        <w:tc>
          <w:tcPr>
            <w:tcW w:w="0" w:type="auto"/>
            <w:hideMark/>
          </w:tcPr>
          <w:p w14:paraId="2C617579"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6</w:t>
            </w:r>
          </w:p>
        </w:tc>
        <w:tc>
          <w:tcPr>
            <w:tcW w:w="0" w:type="auto"/>
            <w:hideMark/>
          </w:tcPr>
          <w:p w14:paraId="31E46293" w14:textId="77777777" w:rsidR="009C778C" w:rsidRPr="001B5C9F" w:rsidRDefault="009C778C" w:rsidP="0007040E">
            <w:pPr>
              <w:pStyle w:val="NoSpacing"/>
              <w:rPr>
                <w:rFonts w:cstheme="minorHAnsi"/>
                <w:sz w:val="20"/>
                <w:szCs w:val="20"/>
              </w:rPr>
            </w:pPr>
            <w:r w:rsidRPr="001B5C9F">
              <w:rPr>
                <w:rFonts w:cstheme="minorHAnsi"/>
                <w:sz w:val="20"/>
                <w:szCs w:val="20"/>
              </w:rPr>
              <w:t>DOMESTIC</w:t>
            </w:r>
          </w:p>
        </w:tc>
        <w:tc>
          <w:tcPr>
            <w:tcW w:w="0" w:type="auto"/>
            <w:hideMark/>
          </w:tcPr>
          <w:p w14:paraId="21A65D0C"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0.035</w:t>
            </w:r>
          </w:p>
        </w:tc>
        <w:tc>
          <w:tcPr>
            <w:tcW w:w="0" w:type="auto"/>
            <w:hideMark/>
          </w:tcPr>
          <w:p w14:paraId="064C5F51"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0.030</w:t>
            </w:r>
          </w:p>
        </w:tc>
        <w:tc>
          <w:tcPr>
            <w:tcW w:w="0" w:type="auto"/>
            <w:hideMark/>
          </w:tcPr>
          <w:p w14:paraId="3AF1649E"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0.045</w:t>
            </w:r>
          </w:p>
        </w:tc>
        <w:tc>
          <w:tcPr>
            <w:tcW w:w="0" w:type="auto"/>
            <w:hideMark/>
          </w:tcPr>
          <w:p w14:paraId="59ADD218"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0.053</w:t>
            </w:r>
          </w:p>
        </w:tc>
        <w:tc>
          <w:tcPr>
            <w:tcW w:w="0" w:type="auto"/>
            <w:hideMark/>
          </w:tcPr>
          <w:p w14:paraId="7C61D49B" w14:textId="77777777" w:rsidR="009C778C" w:rsidRPr="001B5C9F" w:rsidRDefault="009C778C" w:rsidP="0007040E">
            <w:pPr>
              <w:pStyle w:val="NoSpacing"/>
              <w:rPr>
                <w:rFonts w:cstheme="minorHAnsi"/>
                <w:sz w:val="20"/>
                <w:szCs w:val="20"/>
              </w:rPr>
            </w:pPr>
            <w:r w:rsidRPr="001B5C9F">
              <w:rPr>
                <w:rFonts w:cstheme="minorHAnsi"/>
                <w:b/>
                <w:bCs/>
                <w:sz w:val="20"/>
                <w:szCs w:val="20"/>
              </w:rPr>
              <w:t>0.800</w:t>
            </w:r>
          </w:p>
        </w:tc>
        <w:tc>
          <w:tcPr>
            <w:tcW w:w="0" w:type="auto"/>
            <w:hideMark/>
          </w:tcPr>
          <w:p w14:paraId="5026421B"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66C2F320" w14:textId="77777777" w:rsidR="009C778C" w:rsidRPr="001B5C9F" w:rsidRDefault="009C778C" w:rsidP="0007040E">
            <w:pPr>
              <w:pStyle w:val="NoSpacing"/>
              <w:rPr>
                <w:rFonts w:cstheme="minorHAnsi"/>
                <w:sz w:val="20"/>
                <w:szCs w:val="20"/>
              </w:rPr>
            </w:pPr>
          </w:p>
        </w:tc>
        <w:tc>
          <w:tcPr>
            <w:tcW w:w="0" w:type="auto"/>
            <w:hideMark/>
          </w:tcPr>
          <w:p w14:paraId="5FF6135A" w14:textId="77777777" w:rsidR="009C778C" w:rsidRPr="001B5C9F" w:rsidRDefault="009C778C" w:rsidP="0007040E">
            <w:pPr>
              <w:pStyle w:val="NoSpacing"/>
              <w:rPr>
                <w:rFonts w:cstheme="minorHAnsi"/>
                <w:sz w:val="20"/>
                <w:szCs w:val="20"/>
              </w:rPr>
            </w:pPr>
          </w:p>
        </w:tc>
        <w:tc>
          <w:tcPr>
            <w:tcW w:w="0" w:type="auto"/>
            <w:hideMark/>
          </w:tcPr>
          <w:p w14:paraId="7E513FC7" w14:textId="77777777" w:rsidR="009C778C" w:rsidRPr="001B5C9F" w:rsidRDefault="009C778C" w:rsidP="0007040E">
            <w:pPr>
              <w:pStyle w:val="NoSpacing"/>
              <w:rPr>
                <w:rFonts w:cstheme="minorHAnsi"/>
                <w:sz w:val="20"/>
                <w:szCs w:val="20"/>
              </w:rPr>
            </w:pPr>
          </w:p>
        </w:tc>
        <w:tc>
          <w:tcPr>
            <w:tcW w:w="0" w:type="auto"/>
            <w:hideMark/>
          </w:tcPr>
          <w:p w14:paraId="0E08BE91" w14:textId="77777777" w:rsidR="009C778C" w:rsidRPr="001B5C9F" w:rsidRDefault="009C778C" w:rsidP="0007040E">
            <w:pPr>
              <w:pStyle w:val="NoSpacing"/>
              <w:rPr>
                <w:rFonts w:cstheme="minorHAnsi"/>
                <w:sz w:val="20"/>
                <w:szCs w:val="20"/>
              </w:rPr>
            </w:pPr>
          </w:p>
        </w:tc>
        <w:tc>
          <w:tcPr>
            <w:tcW w:w="0" w:type="auto"/>
            <w:hideMark/>
          </w:tcPr>
          <w:p w14:paraId="00836B2A" w14:textId="77777777" w:rsidR="009C778C" w:rsidRPr="001B5C9F" w:rsidRDefault="009C778C" w:rsidP="0007040E">
            <w:pPr>
              <w:pStyle w:val="NoSpacing"/>
              <w:rPr>
                <w:rFonts w:cstheme="minorHAnsi"/>
                <w:sz w:val="20"/>
                <w:szCs w:val="20"/>
              </w:rPr>
            </w:pPr>
          </w:p>
        </w:tc>
        <w:tc>
          <w:tcPr>
            <w:tcW w:w="0" w:type="auto"/>
            <w:hideMark/>
          </w:tcPr>
          <w:p w14:paraId="4CB2DD5C" w14:textId="77777777" w:rsidR="009C778C" w:rsidRPr="001B5C9F" w:rsidRDefault="009C778C" w:rsidP="0007040E">
            <w:pPr>
              <w:pStyle w:val="NoSpacing"/>
              <w:rPr>
                <w:rFonts w:cstheme="minorHAnsi"/>
                <w:sz w:val="20"/>
                <w:szCs w:val="20"/>
              </w:rPr>
            </w:pPr>
          </w:p>
        </w:tc>
        <w:tc>
          <w:tcPr>
            <w:tcW w:w="0" w:type="auto"/>
            <w:hideMark/>
          </w:tcPr>
          <w:p w14:paraId="04E2E79F" w14:textId="77777777" w:rsidR="009C778C" w:rsidRPr="001B5C9F" w:rsidRDefault="009C778C" w:rsidP="0007040E">
            <w:pPr>
              <w:pStyle w:val="NoSpacing"/>
              <w:rPr>
                <w:rFonts w:cstheme="minorHAnsi"/>
                <w:sz w:val="20"/>
                <w:szCs w:val="20"/>
              </w:rPr>
            </w:pPr>
          </w:p>
        </w:tc>
        <w:tc>
          <w:tcPr>
            <w:tcW w:w="0" w:type="auto"/>
            <w:hideMark/>
          </w:tcPr>
          <w:p w14:paraId="0FDC6B7F" w14:textId="77777777" w:rsidR="009C778C" w:rsidRPr="001B5C9F" w:rsidRDefault="009C778C" w:rsidP="0007040E">
            <w:pPr>
              <w:pStyle w:val="NoSpacing"/>
              <w:rPr>
                <w:rFonts w:cstheme="minorHAnsi"/>
                <w:sz w:val="20"/>
                <w:szCs w:val="20"/>
              </w:rPr>
            </w:pPr>
          </w:p>
        </w:tc>
        <w:tc>
          <w:tcPr>
            <w:tcW w:w="0" w:type="auto"/>
            <w:hideMark/>
          </w:tcPr>
          <w:p w14:paraId="1614AB79" w14:textId="77777777" w:rsidR="009C778C" w:rsidRPr="001B5C9F" w:rsidRDefault="009C778C" w:rsidP="0007040E">
            <w:pPr>
              <w:pStyle w:val="NoSpacing"/>
              <w:rPr>
                <w:rFonts w:cstheme="minorHAnsi"/>
                <w:sz w:val="20"/>
                <w:szCs w:val="20"/>
              </w:rPr>
            </w:pPr>
          </w:p>
        </w:tc>
        <w:tc>
          <w:tcPr>
            <w:tcW w:w="0" w:type="auto"/>
            <w:hideMark/>
          </w:tcPr>
          <w:p w14:paraId="32030D9C" w14:textId="77777777" w:rsidR="009C778C" w:rsidRPr="001B5C9F" w:rsidRDefault="009C778C" w:rsidP="0007040E">
            <w:pPr>
              <w:pStyle w:val="NoSpacing"/>
              <w:rPr>
                <w:rFonts w:cstheme="minorHAnsi"/>
                <w:sz w:val="20"/>
                <w:szCs w:val="20"/>
              </w:rPr>
            </w:pPr>
          </w:p>
        </w:tc>
        <w:tc>
          <w:tcPr>
            <w:tcW w:w="0" w:type="auto"/>
            <w:hideMark/>
          </w:tcPr>
          <w:p w14:paraId="3A2DEC8B" w14:textId="77777777" w:rsidR="009C778C" w:rsidRPr="001B5C9F" w:rsidRDefault="009C778C" w:rsidP="0007040E">
            <w:pPr>
              <w:pStyle w:val="NoSpacing"/>
              <w:rPr>
                <w:rFonts w:cstheme="minorHAnsi"/>
                <w:sz w:val="20"/>
                <w:szCs w:val="20"/>
              </w:rPr>
            </w:pPr>
          </w:p>
        </w:tc>
        <w:tc>
          <w:tcPr>
            <w:tcW w:w="0" w:type="auto"/>
            <w:hideMark/>
          </w:tcPr>
          <w:p w14:paraId="0ED8664B" w14:textId="77777777" w:rsidR="009C778C" w:rsidRPr="001B5C9F" w:rsidRDefault="009C778C" w:rsidP="0007040E">
            <w:pPr>
              <w:pStyle w:val="NoSpacing"/>
              <w:rPr>
                <w:rFonts w:cstheme="minorHAnsi"/>
                <w:sz w:val="20"/>
                <w:szCs w:val="20"/>
              </w:rPr>
            </w:pPr>
          </w:p>
        </w:tc>
      </w:tr>
      <w:tr w:rsidR="009C778C" w:rsidRPr="001B5C9F" w14:paraId="49E42C81" w14:textId="77777777" w:rsidTr="001A7C2C">
        <w:tc>
          <w:tcPr>
            <w:tcW w:w="0" w:type="auto"/>
            <w:hideMark/>
          </w:tcPr>
          <w:p w14:paraId="0591324E"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7</w:t>
            </w:r>
          </w:p>
        </w:tc>
        <w:tc>
          <w:tcPr>
            <w:tcW w:w="0" w:type="auto"/>
            <w:hideMark/>
          </w:tcPr>
          <w:p w14:paraId="2E439455" w14:textId="77777777" w:rsidR="009C778C" w:rsidRPr="001B5C9F" w:rsidRDefault="009C778C" w:rsidP="0007040E">
            <w:pPr>
              <w:pStyle w:val="NoSpacing"/>
              <w:rPr>
                <w:rFonts w:cstheme="minorHAnsi"/>
                <w:sz w:val="20"/>
                <w:szCs w:val="20"/>
              </w:rPr>
            </w:pPr>
            <w:r w:rsidRPr="001B5C9F">
              <w:rPr>
                <w:rFonts w:cstheme="minorHAnsi"/>
                <w:sz w:val="20"/>
                <w:szCs w:val="20"/>
              </w:rPr>
              <w:t>FOREIGN</w:t>
            </w:r>
          </w:p>
        </w:tc>
        <w:tc>
          <w:tcPr>
            <w:tcW w:w="0" w:type="auto"/>
            <w:hideMark/>
          </w:tcPr>
          <w:p w14:paraId="719E4AFB"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0.021</w:t>
            </w:r>
          </w:p>
        </w:tc>
        <w:tc>
          <w:tcPr>
            <w:tcW w:w="0" w:type="auto"/>
            <w:hideMark/>
          </w:tcPr>
          <w:p w14:paraId="60AF71AC"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0.016</w:t>
            </w:r>
          </w:p>
        </w:tc>
        <w:tc>
          <w:tcPr>
            <w:tcW w:w="0" w:type="auto"/>
            <w:hideMark/>
          </w:tcPr>
          <w:p w14:paraId="45A8C24E"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0.051</w:t>
            </w:r>
          </w:p>
        </w:tc>
        <w:tc>
          <w:tcPr>
            <w:tcW w:w="0" w:type="auto"/>
            <w:hideMark/>
          </w:tcPr>
          <w:p w14:paraId="7632F69C"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0.045</w:t>
            </w:r>
          </w:p>
        </w:tc>
        <w:tc>
          <w:tcPr>
            <w:tcW w:w="0" w:type="auto"/>
            <w:hideMark/>
          </w:tcPr>
          <w:p w14:paraId="1C2BBB6E" w14:textId="77777777" w:rsidR="009C778C" w:rsidRPr="001B5C9F" w:rsidRDefault="009C778C" w:rsidP="0007040E">
            <w:pPr>
              <w:pStyle w:val="NoSpacing"/>
              <w:rPr>
                <w:rFonts w:cstheme="minorHAnsi"/>
                <w:sz w:val="20"/>
                <w:szCs w:val="20"/>
              </w:rPr>
            </w:pPr>
            <w:r w:rsidRPr="001B5C9F">
              <w:rPr>
                <w:rFonts w:cstheme="minorHAnsi"/>
                <w:b/>
                <w:bCs/>
                <w:sz w:val="20"/>
                <w:szCs w:val="20"/>
              </w:rPr>
              <w:t>0.716</w:t>
            </w:r>
          </w:p>
        </w:tc>
        <w:tc>
          <w:tcPr>
            <w:tcW w:w="0" w:type="auto"/>
            <w:hideMark/>
          </w:tcPr>
          <w:p w14:paraId="54C22F12" w14:textId="77777777" w:rsidR="009C778C" w:rsidRPr="001B5C9F" w:rsidRDefault="009C778C" w:rsidP="0007040E">
            <w:pPr>
              <w:pStyle w:val="NoSpacing"/>
              <w:rPr>
                <w:rFonts w:cstheme="minorHAnsi"/>
                <w:sz w:val="20"/>
                <w:szCs w:val="20"/>
              </w:rPr>
            </w:pPr>
            <w:r w:rsidRPr="001B5C9F">
              <w:rPr>
                <w:rFonts w:cstheme="minorHAnsi"/>
                <w:b/>
                <w:bCs/>
                <w:sz w:val="20"/>
                <w:szCs w:val="20"/>
              </w:rPr>
              <w:t>0.158</w:t>
            </w:r>
          </w:p>
        </w:tc>
        <w:tc>
          <w:tcPr>
            <w:tcW w:w="0" w:type="auto"/>
            <w:hideMark/>
          </w:tcPr>
          <w:p w14:paraId="3894A3A6"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3956F68A" w14:textId="77777777" w:rsidR="009C778C" w:rsidRPr="001B5C9F" w:rsidRDefault="009C778C" w:rsidP="0007040E">
            <w:pPr>
              <w:pStyle w:val="NoSpacing"/>
              <w:rPr>
                <w:rFonts w:cstheme="minorHAnsi"/>
                <w:sz w:val="20"/>
                <w:szCs w:val="20"/>
              </w:rPr>
            </w:pPr>
          </w:p>
        </w:tc>
        <w:tc>
          <w:tcPr>
            <w:tcW w:w="0" w:type="auto"/>
            <w:hideMark/>
          </w:tcPr>
          <w:p w14:paraId="583CE0CD" w14:textId="77777777" w:rsidR="009C778C" w:rsidRPr="001B5C9F" w:rsidRDefault="009C778C" w:rsidP="0007040E">
            <w:pPr>
              <w:pStyle w:val="NoSpacing"/>
              <w:rPr>
                <w:rFonts w:cstheme="minorHAnsi"/>
                <w:sz w:val="20"/>
                <w:szCs w:val="20"/>
              </w:rPr>
            </w:pPr>
          </w:p>
        </w:tc>
        <w:tc>
          <w:tcPr>
            <w:tcW w:w="0" w:type="auto"/>
            <w:hideMark/>
          </w:tcPr>
          <w:p w14:paraId="3288FC0E" w14:textId="77777777" w:rsidR="009C778C" w:rsidRPr="001B5C9F" w:rsidRDefault="009C778C" w:rsidP="0007040E">
            <w:pPr>
              <w:pStyle w:val="NoSpacing"/>
              <w:rPr>
                <w:rFonts w:cstheme="minorHAnsi"/>
                <w:sz w:val="20"/>
                <w:szCs w:val="20"/>
              </w:rPr>
            </w:pPr>
          </w:p>
        </w:tc>
        <w:tc>
          <w:tcPr>
            <w:tcW w:w="0" w:type="auto"/>
            <w:hideMark/>
          </w:tcPr>
          <w:p w14:paraId="4C3A67EC" w14:textId="77777777" w:rsidR="009C778C" w:rsidRPr="001B5C9F" w:rsidRDefault="009C778C" w:rsidP="0007040E">
            <w:pPr>
              <w:pStyle w:val="NoSpacing"/>
              <w:rPr>
                <w:rFonts w:cstheme="minorHAnsi"/>
                <w:sz w:val="20"/>
                <w:szCs w:val="20"/>
              </w:rPr>
            </w:pPr>
          </w:p>
        </w:tc>
        <w:tc>
          <w:tcPr>
            <w:tcW w:w="0" w:type="auto"/>
            <w:hideMark/>
          </w:tcPr>
          <w:p w14:paraId="77B1A378" w14:textId="77777777" w:rsidR="009C778C" w:rsidRPr="001B5C9F" w:rsidRDefault="009C778C" w:rsidP="0007040E">
            <w:pPr>
              <w:pStyle w:val="NoSpacing"/>
              <w:rPr>
                <w:rFonts w:cstheme="minorHAnsi"/>
                <w:sz w:val="20"/>
                <w:szCs w:val="20"/>
              </w:rPr>
            </w:pPr>
          </w:p>
        </w:tc>
        <w:tc>
          <w:tcPr>
            <w:tcW w:w="0" w:type="auto"/>
            <w:hideMark/>
          </w:tcPr>
          <w:p w14:paraId="74D93185" w14:textId="77777777" w:rsidR="009C778C" w:rsidRPr="001B5C9F" w:rsidRDefault="009C778C" w:rsidP="0007040E">
            <w:pPr>
              <w:pStyle w:val="NoSpacing"/>
              <w:rPr>
                <w:rFonts w:cstheme="minorHAnsi"/>
                <w:sz w:val="20"/>
                <w:szCs w:val="20"/>
              </w:rPr>
            </w:pPr>
          </w:p>
        </w:tc>
        <w:tc>
          <w:tcPr>
            <w:tcW w:w="0" w:type="auto"/>
            <w:hideMark/>
          </w:tcPr>
          <w:p w14:paraId="4B4DB021" w14:textId="77777777" w:rsidR="009C778C" w:rsidRPr="001B5C9F" w:rsidRDefault="009C778C" w:rsidP="0007040E">
            <w:pPr>
              <w:pStyle w:val="NoSpacing"/>
              <w:rPr>
                <w:rFonts w:cstheme="minorHAnsi"/>
                <w:sz w:val="20"/>
                <w:szCs w:val="20"/>
              </w:rPr>
            </w:pPr>
          </w:p>
        </w:tc>
        <w:tc>
          <w:tcPr>
            <w:tcW w:w="0" w:type="auto"/>
            <w:hideMark/>
          </w:tcPr>
          <w:p w14:paraId="7E6AC2B8" w14:textId="77777777" w:rsidR="009C778C" w:rsidRPr="001B5C9F" w:rsidRDefault="009C778C" w:rsidP="0007040E">
            <w:pPr>
              <w:pStyle w:val="NoSpacing"/>
              <w:rPr>
                <w:rFonts w:cstheme="minorHAnsi"/>
                <w:sz w:val="20"/>
                <w:szCs w:val="20"/>
              </w:rPr>
            </w:pPr>
          </w:p>
        </w:tc>
        <w:tc>
          <w:tcPr>
            <w:tcW w:w="0" w:type="auto"/>
            <w:hideMark/>
          </w:tcPr>
          <w:p w14:paraId="60BCF9CA" w14:textId="77777777" w:rsidR="009C778C" w:rsidRPr="001B5C9F" w:rsidRDefault="009C778C" w:rsidP="0007040E">
            <w:pPr>
              <w:pStyle w:val="NoSpacing"/>
              <w:rPr>
                <w:rFonts w:cstheme="minorHAnsi"/>
                <w:sz w:val="20"/>
                <w:szCs w:val="20"/>
              </w:rPr>
            </w:pPr>
          </w:p>
        </w:tc>
        <w:tc>
          <w:tcPr>
            <w:tcW w:w="0" w:type="auto"/>
            <w:hideMark/>
          </w:tcPr>
          <w:p w14:paraId="4CC7986B" w14:textId="77777777" w:rsidR="009C778C" w:rsidRPr="001B5C9F" w:rsidRDefault="009C778C" w:rsidP="0007040E">
            <w:pPr>
              <w:pStyle w:val="NoSpacing"/>
              <w:rPr>
                <w:rFonts w:cstheme="minorHAnsi"/>
                <w:sz w:val="20"/>
                <w:szCs w:val="20"/>
              </w:rPr>
            </w:pPr>
          </w:p>
        </w:tc>
        <w:tc>
          <w:tcPr>
            <w:tcW w:w="0" w:type="auto"/>
            <w:hideMark/>
          </w:tcPr>
          <w:p w14:paraId="202F1924" w14:textId="77777777" w:rsidR="009C778C" w:rsidRPr="001B5C9F" w:rsidRDefault="009C778C" w:rsidP="0007040E">
            <w:pPr>
              <w:pStyle w:val="NoSpacing"/>
              <w:rPr>
                <w:rFonts w:cstheme="minorHAnsi"/>
                <w:sz w:val="20"/>
                <w:szCs w:val="20"/>
              </w:rPr>
            </w:pPr>
          </w:p>
        </w:tc>
      </w:tr>
      <w:tr w:rsidR="009C778C" w:rsidRPr="001B5C9F" w14:paraId="62230A35" w14:textId="77777777" w:rsidTr="001A7C2C">
        <w:tc>
          <w:tcPr>
            <w:tcW w:w="0" w:type="auto"/>
            <w:hideMark/>
          </w:tcPr>
          <w:p w14:paraId="518C3411"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8</w:t>
            </w:r>
          </w:p>
        </w:tc>
        <w:tc>
          <w:tcPr>
            <w:tcW w:w="0" w:type="auto"/>
            <w:hideMark/>
          </w:tcPr>
          <w:p w14:paraId="0AB65CE6" w14:textId="77777777" w:rsidR="009C778C" w:rsidRPr="001B5C9F" w:rsidRDefault="009C778C" w:rsidP="0007040E">
            <w:pPr>
              <w:pStyle w:val="NoSpacing"/>
              <w:rPr>
                <w:rFonts w:cstheme="minorHAnsi"/>
                <w:sz w:val="20"/>
                <w:szCs w:val="20"/>
              </w:rPr>
            </w:pPr>
            <w:r w:rsidRPr="001B5C9F">
              <w:rPr>
                <w:rFonts w:cstheme="minorHAnsi"/>
                <w:sz w:val="20"/>
                <w:szCs w:val="20"/>
              </w:rPr>
              <w:t>SIZE</w:t>
            </w:r>
          </w:p>
        </w:tc>
        <w:tc>
          <w:tcPr>
            <w:tcW w:w="0" w:type="auto"/>
            <w:hideMark/>
          </w:tcPr>
          <w:p w14:paraId="1116AC8A"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0.076</w:t>
            </w:r>
          </w:p>
        </w:tc>
        <w:tc>
          <w:tcPr>
            <w:tcW w:w="0" w:type="auto"/>
            <w:hideMark/>
          </w:tcPr>
          <w:p w14:paraId="2DE5DA77"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0.182</w:t>
            </w:r>
          </w:p>
        </w:tc>
        <w:tc>
          <w:tcPr>
            <w:tcW w:w="0" w:type="auto"/>
            <w:hideMark/>
          </w:tcPr>
          <w:p w14:paraId="65FAC0C6"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0.078</w:t>
            </w:r>
          </w:p>
        </w:tc>
        <w:tc>
          <w:tcPr>
            <w:tcW w:w="0" w:type="auto"/>
            <w:hideMark/>
          </w:tcPr>
          <w:p w14:paraId="5FC258F3"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0.078</w:t>
            </w:r>
          </w:p>
        </w:tc>
        <w:tc>
          <w:tcPr>
            <w:tcW w:w="0" w:type="auto"/>
            <w:hideMark/>
          </w:tcPr>
          <w:p w14:paraId="3DDB4722" w14:textId="77777777" w:rsidR="009C778C" w:rsidRPr="001B5C9F" w:rsidRDefault="009C778C" w:rsidP="0007040E">
            <w:pPr>
              <w:pStyle w:val="NoSpacing"/>
              <w:rPr>
                <w:rFonts w:cstheme="minorHAnsi"/>
                <w:sz w:val="20"/>
                <w:szCs w:val="20"/>
              </w:rPr>
            </w:pPr>
            <w:r w:rsidRPr="001B5C9F">
              <w:rPr>
                <w:rFonts w:cstheme="minorHAnsi"/>
                <w:b/>
                <w:bCs/>
                <w:sz w:val="20"/>
                <w:szCs w:val="20"/>
              </w:rPr>
              <w:t>0.256</w:t>
            </w:r>
          </w:p>
        </w:tc>
        <w:tc>
          <w:tcPr>
            <w:tcW w:w="0" w:type="auto"/>
            <w:hideMark/>
          </w:tcPr>
          <w:p w14:paraId="2044A990" w14:textId="77777777" w:rsidR="009C778C" w:rsidRPr="001B5C9F" w:rsidRDefault="009C778C" w:rsidP="0007040E">
            <w:pPr>
              <w:pStyle w:val="NoSpacing"/>
              <w:rPr>
                <w:rFonts w:cstheme="minorHAnsi"/>
                <w:sz w:val="20"/>
                <w:szCs w:val="20"/>
              </w:rPr>
            </w:pPr>
            <w:r w:rsidRPr="001B5C9F">
              <w:rPr>
                <w:rFonts w:cstheme="minorHAnsi"/>
                <w:b/>
                <w:bCs/>
                <w:sz w:val="20"/>
                <w:szCs w:val="20"/>
              </w:rPr>
              <w:t>0.015</w:t>
            </w:r>
          </w:p>
        </w:tc>
        <w:tc>
          <w:tcPr>
            <w:tcW w:w="0" w:type="auto"/>
            <w:hideMark/>
          </w:tcPr>
          <w:p w14:paraId="0529B45C" w14:textId="77777777" w:rsidR="009C778C" w:rsidRPr="001B5C9F" w:rsidRDefault="009C778C" w:rsidP="0007040E">
            <w:pPr>
              <w:pStyle w:val="NoSpacing"/>
              <w:rPr>
                <w:rFonts w:cstheme="minorHAnsi"/>
                <w:sz w:val="20"/>
                <w:szCs w:val="20"/>
              </w:rPr>
            </w:pPr>
            <w:r w:rsidRPr="001B5C9F">
              <w:rPr>
                <w:rFonts w:cstheme="minorHAnsi"/>
                <w:b/>
                <w:bCs/>
                <w:sz w:val="20"/>
                <w:szCs w:val="20"/>
              </w:rPr>
              <w:t>0.404</w:t>
            </w:r>
          </w:p>
        </w:tc>
        <w:tc>
          <w:tcPr>
            <w:tcW w:w="0" w:type="auto"/>
            <w:hideMark/>
          </w:tcPr>
          <w:p w14:paraId="2BF8E5FF"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069C2070" w14:textId="77777777" w:rsidR="009C778C" w:rsidRPr="001B5C9F" w:rsidRDefault="009C778C" w:rsidP="0007040E">
            <w:pPr>
              <w:pStyle w:val="NoSpacing"/>
              <w:rPr>
                <w:rFonts w:cstheme="minorHAnsi"/>
                <w:sz w:val="20"/>
                <w:szCs w:val="20"/>
              </w:rPr>
            </w:pPr>
          </w:p>
        </w:tc>
        <w:tc>
          <w:tcPr>
            <w:tcW w:w="0" w:type="auto"/>
            <w:hideMark/>
          </w:tcPr>
          <w:p w14:paraId="2E951007" w14:textId="77777777" w:rsidR="009C778C" w:rsidRPr="001B5C9F" w:rsidRDefault="009C778C" w:rsidP="0007040E">
            <w:pPr>
              <w:pStyle w:val="NoSpacing"/>
              <w:rPr>
                <w:rFonts w:cstheme="minorHAnsi"/>
                <w:sz w:val="20"/>
                <w:szCs w:val="20"/>
              </w:rPr>
            </w:pPr>
          </w:p>
        </w:tc>
        <w:tc>
          <w:tcPr>
            <w:tcW w:w="0" w:type="auto"/>
            <w:hideMark/>
          </w:tcPr>
          <w:p w14:paraId="27949DE2" w14:textId="77777777" w:rsidR="009C778C" w:rsidRPr="001B5C9F" w:rsidRDefault="009C778C" w:rsidP="0007040E">
            <w:pPr>
              <w:pStyle w:val="NoSpacing"/>
              <w:rPr>
                <w:rFonts w:cstheme="minorHAnsi"/>
                <w:sz w:val="20"/>
                <w:szCs w:val="20"/>
              </w:rPr>
            </w:pPr>
          </w:p>
        </w:tc>
        <w:tc>
          <w:tcPr>
            <w:tcW w:w="0" w:type="auto"/>
            <w:hideMark/>
          </w:tcPr>
          <w:p w14:paraId="0B79A991" w14:textId="77777777" w:rsidR="009C778C" w:rsidRPr="001B5C9F" w:rsidRDefault="009C778C" w:rsidP="0007040E">
            <w:pPr>
              <w:pStyle w:val="NoSpacing"/>
              <w:rPr>
                <w:rFonts w:cstheme="minorHAnsi"/>
                <w:sz w:val="20"/>
                <w:szCs w:val="20"/>
              </w:rPr>
            </w:pPr>
          </w:p>
        </w:tc>
        <w:tc>
          <w:tcPr>
            <w:tcW w:w="0" w:type="auto"/>
            <w:hideMark/>
          </w:tcPr>
          <w:p w14:paraId="556AD792" w14:textId="77777777" w:rsidR="009C778C" w:rsidRPr="001B5C9F" w:rsidRDefault="009C778C" w:rsidP="0007040E">
            <w:pPr>
              <w:pStyle w:val="NoSpacing"/>
              <w:rPr>
                <w:rFonts w:cstheme="minorHAnsi"/>
                <w:sz w:val="20"/>
                <w:szCs w:val="20"/>
              </w:rPr>
            </w:pPr>
          </w:p>
        </w:tc>
        <w:tc>
          <w:tcPr>
            <w:tcW w:w="0" w:type="auto"/>
            <w:hideMark/>
          </w:tcPr>
          <w:p w14:paraId="7EDCE935" w14:textId="77777777" w:rsidR="009C778C" w:rsidRPr="001B5C9F" w:rsidRDefault="009C778C" w:rsidP="0007040E">
            <w:pPr>
              <w:pStyle w:val="NoSpacing"/>
              <w:rPr>
                <w:rFonts w:cstheme="minorHAnsi"/>
                <w:sz w:val="20"/>
                <w:szCs w:val="20"/>
              </w:rPr>
            </w:pPr>
          </w:p>
        </w:tc>
        <w:tc>
          <w:tcPr>
            <w:tcW w:w="0" w:type="auto"/>
            <w:hideMark/>
          </w:tcPr>
          <w:p w14:paraId="7BEB890A" w14:textId="77777777" w:rsidR="009C778C" w:rsidRPr="001B5C9F" w:rsidRDefault="009C778C" w:rsidP="0007040E">
            <w:pPr>
              <w:pStyle w:val="NoSpacing"/>
              <w:rPr>
                <w:rFonts w:cstheme="minorHAnsi"/>
                <w:sz w:val="20"/>
                <w:szCs w:val="20"/>
              </w:rPr>
            </w:pPr>
          </w:p>
        </w:tc>
        <w:tc>
          <w:tcPr>
            <w:tcW w:w="0" w:type="auto"/>
            <w:hideMark/>
          </w:tcPr>
          <w:p w14:paraId="15F54F54" w14:textId="77777777" w:rsidR="009C778C" w:rsidRPr="001B5C9F" w:rsidRDefault="009C778C" w:rsidP="0007040E">
            <w:pPr>
              <w:pStyle w:val="NoSpacing"/>
              <w:rPr>
                <w:rFonts w:cstheme="minorHAnsi"/>
                <w:sz w:val="20"/>
                <w:szCs w:val="20"/>
              </w:rPr>
            </w:pPr>
          </w:p>
        </w:tc>
        <w:tc>
          <w:tcPr>
            <w:tcW w:w="0" w:type="auto"/>
            <w:hideMark/>
          </w:tcPr>
          <w:p w14:paraId="7EF10561" w14:textId="77777777" w:rsidR="009C778C" w:rsidRPr="001B5C9F" w:rsidRDefault="009C778C" w:rsidP="0007040E">
            <w:pPr>
              <w:pStyle w:val="NoSpacing"/>
              <w:rPr>
                <w:rFonts w:cstheme="minorHAnsi"/>
                <w:sz w:val="20"/>
                <w:szCs w:val="20"/>
              </w:rPr>
            </w:pPr>
          </w:p>
        </w:tc>
        <w:tc>
          <w:tcPr>
            <w:tcW w:w="0" w:type="auto"/>
            <w:hideMark/>
          </w:tcPr>
          <w:p w14:paraId="7F685F75" w14:textId="77777777" w:rsidR="009C778C" w:rsidRPr="001B5C9F" w:rsidRDefault="009C778C" w:rsidP="0007040E">
            <w:pPr>
              <w:pStyle w:val="NoSpacing"/>
              <w:rPr>
                <w:rFonts w:cstheme="minorHAnsi"/>
                <w:sz w:val="20"/>
                <w:szCs w:val="20"/>
              </w:rPr>
            </w:pPr>
          </w:p>
        </w:tc>
      </w:tr>
      <w:tr w:rsidR="009C778C" w:rsidRPr="001B5C9F" w14:paraId="222F4267" w14:textId="77777777" w:rsidTr="001A7C2C">
        <w:tc>
          <w:tcPr>
            <w:tcW w:w="0" w:type="auto"/>
            <w:hideMark/>
          </w:tcPr>
          <w:p w14:paraId="754B7316"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9</w:t>
            </w:r>
          </w:p>
        </w:tc>
        <w:tc>
          <w:tcPr>
            <w:tcW w:w="0" w:type="auto"/>
            <w:hideMark/>
          </w:tcPr>
          <w:p w14:paraId="6A8AF90B" w14:textId="77777777" w:rsidR="009C778C" w:rsidRPr="001B5C9F" w:rsidRDefault="009C778C" w:rsidP="0007040E">
            <w:pPr>
              <w:pStyle w:val="NoSpacing"/>
              <w:rPr>
                <w:rFonts w:cstheme="minorHAnsi"/>
                <w:sz w:val="20"/>
                <w:szCs w:val="20"/>
              </w:rPr>
            </w:pPr>
            <w:r w:rsidRPr="001B5C9F">
              <w:rPr>
                <w:rFonts w:cstheme="minorHAnsi"/>
                <w:sz w:val="20"/>
                <w:szCs w:val="20"/>
              </w:rPr>
              <w:t>ROA</w:t>
            </w:r>
          </w:p>
        </w:tc>
        <w:tc>
          <w:tcPr>
            <w:tcW w:w="0" w:type="auto"/>
            <w:hideMark/>
          </w:tcPr>
          <w:p w14:paraId="7081041E"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0.062</w:t>
            </w:r>
          </w:p>
        </w:tc>
        <w:tc>
          <w:tcPr>
            <w:tcW w:w="0" w:type="auto"/>
            <w:hideMark/>
          </w:tcPr>
          <w:p w14:paraId="2087ED09"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0.113</w:t>
            </w:r>
          </w:p>
        </w:tc>
        <w:tc>
          <w:tcPr>
            <w:tcW w:w="0" w:type="auto"/>
            <w:hideMark/>
          </w:tcPr>
          <w:p w14:paraId="199D28BF"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0.101</w:t>
            </w:r>
          </w:p>
        </w:tc>
        <w:tc>
          <w:tcPr>
            <w:tcW w:w="0" w:type="auto"/>
            <w:hideMark/>
          </w:tcPr>
          <w:p w14:paraId="3D30DCE3"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0.098</w:t>
            </w:r>
          </w:p>
        </w:tc>
        <w:tc>
          <w:tcPr>
            <w:tcW w:w="0" w:type="auto"/>
            <w:hideMark/>
          </w:tcPr>
          <w:p w14:paraId="1696BE78" w14:textId="77777777" w:rsidR="009C778C" w:rsidRPr="001B5C9F" w:rsidRDefault="009C778C" w:rsidP="0007040E">
            <w:pPr>
              <w:pStyle w:val="NoSpacing"/>
              <w:rPr>
                <w:rFonts w:cstheme="minorHAnsi"/>
                <w:sz w:val="20"/>
                <w:szCs w:val="20"/>
              </w:rPr>
            </w:pPr>
            <w:r w:rsidRPr="001B5C9F">
              <w:rPr>
                <w:rFonts w:cstheme="minorHAnsi"/>
                <w:b/>
                <w:bCs/>
                <w:sz w:val="20"/>
                <w:szCs w:val="20"/>
              </w:rPr>
              <w:t>0.112</w:t>
            </w:r>
          </w:p>
        </w:tc>
        <w:tc>
          <w:tcPr>
            <w:tcW w:w="0" w:type="auto"/>
            <w:hideMark/>
          </w:tcPr>
          <w:p w14:paraId="3015B871" w14:textId="77777777" w:rsidR="009C778C" w:rsidRPr="001B5C9F" w:rsidRDefault="009C778C" w:rsidP="0007040E">
            <w:pPr>
              <w:pStyle w:val="NoSpacing"/>
              <w:rPr>
                <w:rFonts w:cstheme="minorHAnsi"/>
                <w:sz w:val="20"/>
                <w:szCs w:val="20"/>
              </w:rPr>
            </w:pPr>
            <w:r w:rsidRPr="001B5C9F">
              <w:rPr>
                <w:rFonts w:cstheme="minorHAnsi"/>
                <w:b/>
                <w:bCs/>
                <w:sz w:val="20"/>
                <w:szCs w:val="20"/>
              </w:rPr>
              <w:t>0.053</w:t>
            </w:r>
          </w:p>
        </w:tc>
        <w:tc>
          <w:tcPr>
            <w:tcW w:w="0" w:type="auto"/>
            <w:hideMark/>
          </w:tcPr>
          <w:p w14:paraId="4C519F64" w14:textId="77777777" w:rsidR="009C778C" w:rsidRPr="001B5C9F" w:rsidRDefault="009C778C" w:rsidP="0007040E">
            <w:pPr>
              <w:pStyle w:val="NoSpacing"/>
              <w:rPr>
                <w:rFonts w:cstheme="minorHAnsi"/>
                <w:sz w:val="20"/>
                <w:szCs w:val="20"/>
              </w:rPr>
            </w:pPr>
            <w:r w:rsidRPr="001B5C9F">
              <w:rPr>
                <w:rFonts w:cstheme="minorHAnsi"/>
                <w:b/>
                <w:bCs/>
                <w:sz w:val="20"/>
                <w:szCs w:val="20"/>
              </w:rPr>
              <w:t>0.122</w:t>
            </w:r>
          </w:p>
        </w:tc>
        <w:tc>
          <w:tcPr>
            <w:tcW w:w="0" w:type="auto"/>
            <w:hideMark/>
          </w:tcPr>
          <w:p w14:paraId="725C9F15" w14:textId="77777777" w:rsidR="009C778C" w:rsidRPr="001B5C9F" w:rsidRDefault="009C778C" w:rsidP="0007040E">
            <w:pPr>
              <w:pStyle w:val="NoSpacing"/>
              <w:rPr>
                <w:rFonts w:cstheme="minorHAnsi"/>
                <w:sz w:val="20"/>
                <w:szCs w:val="20"/>
              </w:rPr>
            </w:pPr>
            <w:r w:rsidRPr="001B5C9F">
              <w:rPr>
                <w:rFonts w:cstheme="minorHAnsi"/>
                <w:b/>
                <w:bCs/>
                <w:sz w:val="20"/>
                <w:szCs w:val="20"/>
              </w:rPr>
              <w:t>0.210</w:t>
            </w:r>
          </w:p>
        </w:tc>
        <w:tc>
          <w:tcPr>
            <w:tcW w:w="0" w:type="auto"/>
            <w:hideMark/>
          </w:tcPr>
          <w:p w14:paraId="664FEE13"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236D3C13" w14:textId="77777777" w:rsidR="009C778C" w:rsidRPr="001B5C9F" w:rsidRDefault="009C778C" w:rsidP="0007040E">
            <w:pPr>
              <w:pStyle w:val="NoSpacing"/>
              <w:rPr>
                <w:rFonts w:cstheme="minorHAnsi"/>
                <w:sz w:val="20"/>
                <w:szCs w:val="20"/>
              </w:rPr>
            </w:pPr>
          </w:p>
        </w:tc>
        <w:tc>
          <w:tcPr>
            <w:tcW w:w="0" w:type="auto"/>
            <w:hideMark/>
          </w:tcPr>
          <w:p w14:paraId="30A67155" w14:textId="77777777" w:rsidR="009C778C" w:rsidRPr="001B5C9F" w:rsidRDefault="009C778C" w:rsidP="0007040E">
            <w:pPr>
              <w:pStyle w:val="NoSpacing"/>
              <w:rPr>
                <w:rFonts w:cstheme="minorHAnsi"/>
                <w:sz w:val="20"/>
                <w:szCs w:val="20"/>
              </w:rPr>
            </w:pPr>
          </w:p>
        </w:tc>
        <w:tc>
          <w:tcPr>
            <w:tcW w:w="0" w:type="auto"/>
            <w:hideMark/>
          </w:tcPr>
          <w:p w14:paraId="7C5687D7" w14:textId="77777777" w:rsidR="009C778C" w:rsidRPr="001B5C9F" w:rsidRDefault="009C778C" w:rsidP="0007040E">
            <w:pPr>
              <w:pStyle w:val="NoSpacing"/>
              <w:rPr>
                <w:rFonts w:cstheme="minorHAnsi"/>
                <w:sz w:val="20"/>
                <w:szCs w:val="20"/>
              </w:rPr>
            </w:pPr>
          </w:p>
        </w:tc>
        <w:tc>
          <w:tcPr>
            <w:tcW w:w="0" w:type="auto"/>
            <w:hideMark/>
          </w:tcPr>
          <w:p w14:paraId="1EA64BA1" w14:textId="77777777" w:rsidR="009C778C" w:rsidRPr="001B5C9F" w:rsidRDefault="009C778C" w:rsidP="0007040E">
            <w:pPr>
              <w:pStyle w:val="NoSpacing"/>
              <w:rPr>
                <w:rFonts w:cstheme="minorHAnsi"/>
                <w:sz w:val="20"/>
                <w:szCs w:val="20"/>
              </w:rPr>
            </w:pPr>
          </w:p>
        </w:tc>
        <w:tc>
          <w:tcPr>
            <w:tcW w:w="0" w:type="auto"/>
            <w:hideMark/>
          </w:tcPr>
          <w:p w14:paraId="6CB0112A" w14:textId="77777777" w:rsidR="009C778C" w:rsidRPr="001B5C9F" w:rsidRDefault="009C778C" w:rsidP="0007040E">
            <w:pPr>
              <w:pStyle w:val="NoSpacing"/>
              <w:rPr>
                <w:rFonts w:cstheme="minorHAnsi"/>
                <w:sz w:val="20"/>
                <w:szCs w:val="20"/>
              </w:rPr>
            </w:pPr>
          </w:p>
        </w:tc>
        <w:tc>
          <w:tcPr>
            <w:tcW w:w="0" w:type="auto"/>
            <w:hideMark/>
          </w:tcPr>
          <w:p w14:paraId="398F6282" w14:textId="77777777" w:rsidR="009C778C" w:rsidRPr="001B5C9F" w:rsidRDefault="009C778C" w:rsidP="0007040E">
            <w:pPr>
              <w:pStyle w:val="NoSpacing"/>
              <w:rPr>
                <w:rFonts w:cstheme="minorHAnsi"/>
                <w:sz w:val="20"/>
                <w:szCs w:val="20"/>
              </w:rPr>
            </w:pPr>
          </w:p>
        </w:tc>
        <w:tc>
          <w:tcPr>
            <w:tcW w:w="0" w:type="auto"/>
            <w:hideMark/>
          </w:tcPr>
          <w:p w14:paraId="4CC2DE95" w14:textId="77777777" w:rsidR="009C778C" w:rsidRPr="001B5C9F" w:rsidRDefault="009C778C" w:rsidP="0007040E">
            <w:pPr>
              <w:pStyle w:val="NoSpacing"/>
              <w:rPr>
                <w:rFonts w:cstheme="minorHAnsi"/>
                <w:sz w:val="20"/>
                <w:szCs w:val="20"/>
              </w:rPr>
            </w:pPr>
          </w:p>
        </w:tc>
        <w:tc>
          <w:tcPr>
            <w:tcW w:w="0" w:type="auto"/>
            <w:hideMark/>
          </w:tcPr>
          <w:p w14:paraId="6AE1CD4C" w14:textId="77777777" w:rsidR="009C778C" w:rsidRPr="001B5C9F" w:rsidRDefault="009C778C" w:rsidP="0007040E">
            <w:pPr>
              <w:pStyle w:val="NoSpacing"/>
              <w:rPr>
                <w:rFonts w:cstheme="minorHAnsi"/>
                <w:sz w:val="20"/>
                <w:szCs w:val="20"/>
              </w:rPr>
            </w:pPr>
          </w:p>
        </w:tc>
        <w:tc>
          <w:tcPr>
            <w:tcW w:w="0" w:type="auto"/>
            <w:hideMark/>
          </w:tcPr>
          <w:p w14:paraId="738DCE46" w14:textId="77777777" w:rsidR="009C778C" w:rsidRPr="001B5C9F" w:rsidRDefault="009C778C" w:rsidP="0007040E">
            <w:pPr>
              <w:pStyle w:val="NoSpacing"/>
              <w:rPr>
                <w:rFonts w:cstheme="minorHAnsi"/>
                <w:sz w:val="20"/>
                <w:szCs w:val="20"/>
              </w:rPr>
            </w:pPr>
          </w:p>
        </w:tc>
      </w:tr>
      <w:tr w:rsidR="009C778C" w:rsidRPr="001B5C9F" w14:paraId="1EBDA02A" w14:textId="77777777" w:rsidTr="001A7C2C">
        <w:tc>
          <w:tcPr>
            <w:tcW w:w="0" w:type="auto"/>
            <w:hideMark/>
          </w:tcPr>
          <w:p w14:paraId="0A131D59"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10</w:t>
            </w:r>
          </w:p>
        </w:tc>
        <w:tc>
          <w:tcPr>
            <w:tcW w:w="0" w:type="auto"/>
            <w:hideMark/>
          </w:tcPr>
          <w:p w14:paraId="1A598E17" w14:textId="77777777" w:rsidR="009C778C" w:rsidRPr="001B5C9F" w:rsidRDefault="009C778C" w:rsidP="0007040E">
            <w:pPr>
              <w:pStyle w:val="NoSpacing"/>
              <w:rPr>
                <w:rFonts w:cstheme="minorHAnsi"/>
                <w:sz w:val="20"/>
                <w:szCs w:val="20"/>
              </w:rPr>
            </w:pPr>
            <w:r w:rsidRPr="001B5C9F">
              <w:rPr>
                <w:rFonts w:cstheme="minorHAnsi"/>
                <w:sz w:val="20"/>
                <w:szCs w:val="20"/>
              </w:rPr>
              <w:t>MTB</w:t>
            </w:r>
          </w:p>
        </w:tc>
        <w:tc>
          <w:tcPr>
            <w:tcW w:w="0" w:type="auto"/>
            <w:hideMark/>
          </w:tcPr>
          <w:p w14:paraId="78ACC904" w14:textId="77777777" w:rsidR="009C778C" w:rsidRPr="001B5C9F" w:rsidRDefault="009C778C" w:rsidP="0007040E">
            <w:pPr>
              <w:pStyle w:val="NoSpacing"/>
              <w:rPr>
                <w:rFonts w:cstheme="minorHAnsi"/>
                <w:sz w:val="20"/>
                <w:szCs w:val="20"/>
              </w:rPr>
            </w:pPr>
            <w:r w:rsidRPr="001B5C9F">
              <w:rPr>
                <w:rFonts w:cstheme="minorHAnsi"/>
                <w:b/>
                <w:bCs/>
                <w:sz w:val="20"/>
                <w:szCs w:val="20"/>
              </w:rPr>
              <w:t>0.027</w:t>
            </w:r>
          </w:p>
        </w:tc>
        <w:tc>
          <w:tcPr>
            <w:tcW w:w="0" w:type="auto"/>
            <w:hideMark/>
          </w:tcPr>
          <w:p w14:paraId="17A8954B" w14:textId="77777777" w:rsidR="009C778C" w:rsidRPr="001B5C9F" w:rsidRDefault="009C778C" w:rsidP="0007040E">
            <w:pPr>
              <w:pStyle w:val="NoSpacing"/>
              <w:rPr>
                <w:rFonts w:cstheme="minorHAnsi"/>
                <w:sz w:val="20"/>
                <w:szCs w:val="20"/>
              </w:rPr>
            </w:pPr>
            <w:r w:rsidRPr="001B5C9F">
              <w:rPr>
                <w:rFonts w:cstheme="minorHAnsi"/>
                <w:b/>
                <w:bCs/>
                <w:sz w:val="20"/>
                <w:szCs w:val="20"/>
              </w:rPr>
              <w:t>0.093</w:t>
            </w:r>
          </w:p>
        </w:tc>
        <w:tc>
          <w:tcPr>
            <w:tcW w:w="0" w:type="auto"/>
            <w:hideMark/>
          </w:tcPr>
          <w:p w14:paraId="39741505"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0.030</w:t>
            </w:r>
          </w:p>
        </w:tc>
        <w:tc>
          <w:tcPr>
            <w:tcW w:w="0" w:type="auto"/>
            <w:hideMark/>
          </w:tcPr>
          <w:p w14:paraId="35573231"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0.019</w:t>
            </w:r>
          </w:p>
        </w:tc>
        <w:tc>
          <w:tcPr>
            <w:tcW w:w="0" w:type="auto"/>
            <w:hideMark/>
          </w:tcPr>
          <w:p w14:paraId="6D2D3F51" w14:textId="77777777" w:rsidR="009C778C" w:rsidRPr="001B5C9F" w:rsidRDefault="009C778C" w:rsidP="0007040E">
            <w:pPr>
              <w:pStyle w:val="NoSpacing"/>
              <w:rPr>
                <w:rFonts w:cstheme="minorHAnsi"/>
                <w:sz w:val="20"/>
                <w:szCs w:val="20"/>
              </w:rPr>
            </w:pPr>
            <w:r w:rsidRPr="001B5C9F">
              <w:rPr>
                <w:rFonts w:cstheme="minorHAnsi"/>
                <w:b/>
                <w:bCs/>
                <w:sz w:val="20"/>
                <w:szCs w:val="20"/>
              </w:rPr>
              <w:t>0.347</w:t>
            </w:r>
          </w:p>
        </w:tc>
        <w:tc>
          <w:tcPr>
            <w:tcW w:w="0" w:type="auto"/>
            <w:hideMark/>
          </w:tcPr>
          <w:p w14:paraId="7BE2E522" w14:textId="77777777" w:rsidR="009C778C" w:rsidRPr="001B5C9F" w:rsidRDefault="009C778C" w:rsidP="0007040E">
            <w:pPr>
              <w:pStyle w:val="NoSpacing"/>
              <w:rPr>
                <w:rFonts w:cstheme="minorHAnsi"/>
                <w:sz w:val="20"/>
                <w:szCs w:val="20"/>
              </w:rPr>
            </w:pPr>
            <w:r w:rsidRPr="001B5C9F">
              <w:rPr>
                <w:rFonts w:cstheme="minorHAnsi"/>
                <w:b/>
                <w:bCs/>
                <w:sz w:val="20"/>
                <w:szCs w:val="20"/>
              </w:rPr>
              <w:t>0.316</w:t>
            </w:r>
          </w:p>
        </w:tc>
        <w:tc>
          <w:tcPr>
            <w:tcW w:w="0" w:type="auto"/>
            <w:hideMark/>
          </w:tcPr>
          <w:p w14:paraId="4A7D39F8" w14:textId="77777777" w:rsidR="009C778C" w:rsidRPr="001B5C9F" w:rsidRDefault="009C778C" w:rsidP="0007040E">
            <w:pPr>
              <w:pStyle w:val="NoSpacing"/>
              <w:rPr>
                <w:rFonts w:cstheme="minorHAnsi"/>
                <w:sz w:val="20"/>
                <w:szCs w:val="20"/>
              </w:rPr>
            </w:pPr>
            <w:r w:rsidRPr="001B5C9F">
              <w:rPr>
                <w:rFonts w:cstheme="minorHAnsi"/>
                <w:b/>
                <w:bCs/>
                <w:sz w:val="20"/>
                <w:szCs w:val="20"/>
              </w:rPr>
              <w:t>0.202</w:t>
            </w:r>
          </w:p>
        </w:tc>
        <w:tc>
          <w:tcPr>
            <w:tcW w:w="0" w:type="auto"/>
            <w:hideMark/>
          </w:tcPr>
          <w:p w14:paraId="4125B93C"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0.135</w:t>
            </w:r>
          </w:p>
        </w:tc>
        <w:tc>
          <w:tcPr>
            <w:tcW w:w="0" w:type="auto"/>
            <w:hideMark/>
          </w:tcPr>
          <w:p w14:paraId="5F3FF9FA" w14:textId="77777777" w:rsidR="009C778C" w:rsidRPr="001B5C9F" w:rsidRDefault="009C778C" w:rsidP="0007040E">
            <w:pPr>
              <w:pStyle w:val="NoSpacing"/>
              <w:rPr>
                <w:rFonts w:cstheme="minorHAnsi"/>
                <w:sz w:val="20"/>
                <w:szCs w:val="20"/>
              </w:rPr>
            </w:pPr>
            <w:r w:rsidRPr="001B5C9F">
              <w:rPr>
                <w:rFonts w:cstheme="minorHAnsi"/>
                <w:sz w:val="20"/>
                <w:szCs w:val="20"/>
              </w:rPr>
              <w:t>− 0.005</w:t>
            </w:r>
          </w:p>
        </w:tc>
        <w:tc>
          <w:tcPr>
            <w:tcW w:w="0" w:type="auto"/>
            <w:hideMark/>
          </w:tcPr>
          <w:p w14:paraId="3465DB17"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4292D114" w14:textId="77777777" w:rsidR="009C778C" w:rsidRPr="001B5C9F" w:rsidRDefault="009C778C" w:rsidP="0007040E">
            <w:pPr>
              <w:pStyle w:val="NoSpacing"/>
              <w:rPr>
                <w:rFonts w:cstheme="minorHAnsi"/>
                <w:sz w:val="20"/>
                <w:szCs w:val="20"/>
              </w:rPr>
            </w:pPr>
          </w:p>
        </w:tc>
        <w:tc>
          <w:tcPr>
            <w:tcW w:w="0" w:type="auto"/>
            <w:hideMark/>
          </w:tcPr>
          <w:p w14:paraId="156BD04C" w14:textId="77777777" w:rsidR="009C778C" w:rsidRPr="001B5C9F" w:rsidRDefault="009C778C" w:rsidP="0007040E">
            <w:pPr>
              <w:pStyle w:val="NoSpacing"/>
              <w:rPr>
                <w:rFonts w:cstheme="minorHAnsi"/>
                <w:sz w:val="20"/>
                <w:szCs w:val="20"/>
              </w:rPr>
            </w:pPr>
          </w:p>
        </w:tc>
        <w:tc>
          <w:tcPr>
            <w:tcW w:w="0" w:type="auto"/>
            <w:hideMark/>
          </w:tcPr>
          <w:p w14:paraId="6422B9E4" w14:textId="77777777" w:rsidR="009C778C" w:rsidRPr="001B5C9F" w:rsidRDefault="009C778C" w:rsidP="0007040E">
            <w:pPr>
              <w:pStyle w:val="NoSpacing"/>
              <w:rPr>
                <w:rFonts w:cstheme="minorHAnsi"/>
                <w:sz w:val="20"/>
                <w:szCs w:val="20"/>
              </w:rPr>
            </w:pPr>
          </w:p>
        </w:tc>
        <w:tc>
          <w:tcPr>
            <w:tcW w:w="0" w:type="auto"/>
            <w:hideMark/>
          </w:tcPr>
          <w:p w14:paraId="23424835" w14:textId="77777777" w:rsidR="009C778C" w:rsidRPr="001B5C9F" w:rsidRDefault="009C778C" w:rsidP="0007040E">
            <w:pPr>
              <w:pStyle w:val="NoSpacing"/>
              <w:rPr>
                <w:rFonts w:cstheme="minorHAnsi"/>
                <w:sz w:val="20"/>
                <w:szCs w:val="20"/>
              </w:rPr>
            </w:pPr>
          </w:p>
        </w:tc>
        <w:tc>
          <w:tcPr>
            <w:tcW w:w="0" w:type="auto"/>
            <w:hideMark/>
          </w:tcPr>
          <w:p w14:paraId="40D8CDB4" w14:textId="77777777" w:rsidR="009C778C" w:rsidRPr="001B5C9F" w:rsidRDefault="009C778C" w:rsidP="0007040E">
            <w:pPr>
              <w:pStyle w:val="NoSpacing"/>
              <w:rPr>
                <w:rFonts w:cstheme="minorHAnsi"/>
                <w:sz w:val="20"/>
                <w:szCs w:val="20"/>
              </w:rPr>
            </w:pPr>
          </w:p>
        </w:tc>
        <w:tc>
          <w:tcPr>
            <w:tcW w:w="0" w:type="auto"/>
            <w:hideMark/>
          </w:tcPr>
          <w:p w14:paraId="585851EC" w14:textId="77777777" w:rsidR="009C778C" w:rsidRPr="001B5C9F" w:rsidRDefault="009C778C" w:rsidP="0007040E">
            <w:pPr>
              <w:pStyle w:val="NoSpacing"/>
              <w:rPr>
                <w:rFonts w:cstheme="minorHAnsi"/>
                <w:sz w:val="20"/>
                <w:szCs w:val="20"/>
              </w:rPr>
            </w:pPr>
          </w:p>
        </w:tc>
        <w:tc>
          <w:tcPr>
            <w:tcW w:w="0" w:type="auto"/>
            <w:hideMark/>
          </w:tcPr>
          <w:p w14:paraId="4F4BBB47" w14:textId="77777777" w:rsidR="009C778C" w:rsidRPr="001B5C9F" w:rsidRDefault="009C778C" w:rsidP="0007040E">
            <w:pPr>
              <w:pStyle w:val="NoSpacing"/>
              <w:rPr>
                <w:rFonts w:cstheme="minorHAnsi"/>
                <w:sz w:val="20"/>
                <w:szCs w:val="20"/>
              </w:rPr>
            </w:pPr>
          </w:p>
        </w:tc>
        <w:tc>
          <w:tcPr>
            <w:tcW w:w="0" w:type="auto"/>
            <w:hideMark/>
          </w:tcPr>
          <w:p w14:paraId="275C65E4" w14:textId="77777777" w:rsidR="009C778C" w:rsidRPr="001B5C9F" w:rsidRDefault="009C778C" w:rsidP="0007040E">
            <w:pPr>
              <w:pStyle w:val="NoSpacing"/>
              <w:rPr>
                <w:rFonts w:cstheme="minorHAnsi"/>
                <w:sz w:val="20"/>
                <w:szCs w:val="20"/>
              </w:rPr>
            </w:pPr>
          </w:p>
        </w:tc>
      </w:tr>
      <w:tr w:rsidR="009C778C" w:rsidRPr="001B5C9F" w14:paraId="0E939D7F" w14:textId="77777777" w:rsidTr="001A7C2C">
        <w:tc>
          <w:tcPr>
            <w:tcW w:w="0" w:type="auto"/>
            <w:hideMark/>
          </w:tcPr>
          <w:p w14:paraId="6BB637E8"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11</w:t>
            </w:r>
          </w:p>
        </w:tc>
        <w:tc>
          <w:tcPr>
            <w:tcW w:w="0" w:type="auto"/>
            <w:hideMark/>
          </w:tcPr>
          <w:p w14:paraId="488BB884" w14:textId="77777777" w:rsidR="009C778C" w:rsidRPr="001B5C9F" w:rsidRDefault="009C778C" w:rsidP="0007040E">
            <w:pPr>
              <w:pStyle w:val="NoSpacing"/>
              <w:rPr>
                <w:rFonts w:cstheme="minorHAnsi"/>
                <w:sz w:val="20"/>
                <w:szCs w:val="20"/>
              </w:rPr>
            </w:pPr>
            <w:r w:rsidRPr="001B5C9F">
              <w:rPr>
                <w:rFonts w:cstheme="minorHAnsi"/>
                <w:sz w:val="20"/>
                <w:szCs w:val="20"/>
              </w:rPr>
              <w:t>SALEGROWTH</w:t>
            </w:r>
          </w:p>
        </w:tc>
        <w:tc>
          <w:tcPr>
            <w:tcW w:w="0" w:type="auto"/>
            <w:hideMark/>
          </w:tcPr>
          <w:p w14:paraId="333275E6" w14:textId="77777777" w:rsidR="009C778C" w:rsidRPr="001B5C9F" w:rsidRDefault="009C778C" w:rsidP="0007040E">
            <w:pPr>
              <w:pStyle w:val="NoSpacing"/>
              <w:rPr>
                <w:rFonts w:cstheme="minorHAnsi"/>
                <w:sz w:val="20"/>
                <w:szCs w:val="20"/>
              </w:rPr>
            </w:pPr>
            <w:r w:rsidRPr="001B5C9F">
              <w:rPr>
                <w:rFonts w:cstheme="minorHAnsi"/>
                <w:b/>
                <w:bCs/>
                <w:sz w:val="20"/>
                <w:szCs w:val="20"/>
              </w:rPr>
              <w:t>0.054</w:t>
            </w:r>
          </w:p>
        </w:tc>
        <w:tc>
          <w:tcPr>
            <w:tcW w:w="0" w:type="auto"/>
            <w:hideMark/>
          </w:tcPr>
          <w:p w14:paraId="31E1B925" w14:textId="77777777" w:rsidR="009C778C" w:rsidRPr="001B5C9F" w:rsidRDefault="009C778C" w:rsidP="0007040E">
            <w:pPr>
              <w:pStyle w:val="NoSpacing"/>
              <w:rPr>
                <w:rFonts w:cstheme="minorHAnsi"/>
                <w:sz w:val="20"/>
                <w:szCs w:val="20"/>
              </w:rPr>
            </w:pPr>
            <w:r w:rsidRPr="001B5C9F">
              <w:rPr>
                <w:rFonts w:cstheme="minorHAnsi"/>
                <w:b/>
                <w:bCs/>
                <w:sz w:val="20"/>
                <w:szCs w:val="20"/>
              </w:rPr>
              <w:t>0.108</w:t>
            </w:r>
          </w:p>
        </w:tc>
        <w:tc>
          <w:tcPr>
            <w:tcW w:w="0" w:type="auto"/>
            <w:hideMark/>
          </w:tcPr>
          <w:p w14:paraId="3B8889F2" w14:textId="77777777" w:rsidR="009C778C" w:rsidRPr="001B5C9F" w:rsidRDefault="009C778C" w:rsidP="0007040E">
            <w:pPr>
              <w:pStyle w:val="NoSpacing"/>
              <w:rPr>
                <w:rFonts w:cstheme="minorHAnsi"/>
                <w:sz w:val="20"/>
                <w:szCs w:val="20"/>
              </w:rPr>
            </w:pPr>
            <w:r w:rsidRPr="001B5C9F">
              <w:rPr>
                <w:rFonts w:cstheme="minorHAnsi"/>
                <w:sz w:val="20"/>
                <w:szCs w:val="20"/>
              </w:rPr>
              <w:t>0.006</w:t>
            </w:r>
          </w:p>
        </w:tc>
        <w:tc>
          <w:tcPr>
            <w:tcW w:w="0" w:type="auto"/>
            <w:hideMark/>
          </w:tcPr>
          <w:p w14:paraId="0020EA06" w14:textId="77777777" w:rsidR="009C778C" w:rsidRPr="001B5C9F" w:rsidRDefault="009C778C" w:rsidP="0007040E">
            <w:pPr>
              <w:pStyle w:val="NoSpacing"/>
              <w:rPr>
                <w:rFonts w:cstheme="minorHAnsi"/>
                <w:sz w:val="20"/>
                <w:szCs w:val="20"/>
              </w:rPr>
            </w:pPr>
            <w:r w:rsidRPr="001B5C9F">
              <w:rPr>
                <w:rFonts w:cstheme="minorHAnsi"/>
                <w:b/>
                <w:bCs/>
                <w:sz w:val="20"/>
                <w:szCs w:val="20"/>
              </w:rPr>
              <w:t>0.034</w:t>
            </w:r>
          </w:p>
        </w:tc>
        <w:tc>
          <w:tcPr>
            <w:tcW w:w="0" w:type="auto"/>
            <w:hideMark/>
          </w:tcPr>
          <w:p w14:paraId="09BEAB3F" w14:textId="77777777" w:rsidR="009C778C" w:rsidRPr="001B5C9F" w:rsidRDefault="009C778C" w:rsidP="0007040E">
            <w:pPr>
              <w:pStyle w:val="NoSpacing"/>
              <w:rPr>
                <w:rFonts w:cstheme="minorHAnsi"/>
                <w:sz w:val="20"/>
                <w:szCs w:val="20"/>
              </w:rPr>
            </w:pPr>
            <w:r w:rsidRPr="001B5C9F">
              <w:rPr>
                <w:rFonts w:cstheme="minorHAnsi"/>
                <w:b/>
                <w:bCs/>
                <w:sz w:val="20"/>
                <w:szCs w:val="20"/>
              </w:rPr>
              <w:t>0.034</w:t>
            </w:r>
          </w:p>
        </w:tc>
        <w:tc>
          <w:tcPr>
            <w:tcW w:w="0" w:type="auto"/>
            <w:hideMark/>
          </w:tcPr>
          <w:p w14:paraId="72BC32CD" w14:textId="77777777" w:rsidR="009C778C" w:rsidRPr="001B5C9F" w:rsidRDefault="009C778C" w:rsidP="0007040E">
            <w:pPr>
              <w:pStyle w:val="NoSpacing"/>
              <w:rPr>
                <w:rFonts w:cstheme="minorHAnsi"/>
                <w:sz w:val="20"/>
                <w:szCs w:val="20"/>
              </w:rPr>
            </w:pPr>
            <w:r w:rsidRPr="001B5C9F">
              <w:rPr>
                <w:rFonts w:cstheme="minorHAnsi"/>
                <w:b/>
                <w:bCs/>
                <w:sz w:val="20"/>
                <w:szCs w:val="20"/>
              </w:rPr>
              <w:t>0.027</w:t>
            </w:r>
          </w:p>
        </w:tc>
        <w:tc>
          <w:tcPr>
            <w:tcW w:w="0" w:type="auto"/>
            <w:hideMark/>
          </w:tcPr>
          <w:p w14:paraId="38F5E36A" w14:textId="77777777" w:rsidR="009C778C" w:rsidRPr="001B5C9F" w:rsidRDefault="009C778C" w:rsidP="0007040E">
            <w:pPr>
              <w:pStyle w:val="NoSpacing"/>
              <w:rPr>
                <w:rFonts w:cstheme="minorHAnsi"/>
                <w:sz w:val="20"/>
                <w:szCs w:val="20"/>
              </w:rPr>
            </w:pPr>
            <w:r w:rsidRPr="001B5C9F">
              <w:rPr>
                <w:rFonts w:cstheme="minorHAnsi"/>
                <w:b/>
                <w:bCs/>
                <w:sz w:val="20"/>
                <w:szCs w:val="20"/>
              </w:rPr>
              <w:t>0.023</w:t>
            </w:r>
          </w:p>
        </w:tc>
        <w:tc>
          <w:tcPr>
            <w:tcW w:w="0" w:type="auto"/>
            <w:hideMark/>
          </w:tcPr>
          <w:p w14:paraId="4C223B4A"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0.042</w:t>
            </w:r>
          </w:p>
        </w:tc>
        <w:tc>
          <w:tcPr>
            <w:tcW w:w="0" w:type="auto"/>
            <w:hideMark/>
          </w:tcPr>
          <w:p w14:paraId="5849614B" w14:textId="77777777" w:rsidR="009C778C" w:rsidRPr="001B5C9F" w:rsidRDefault="009C778C" w:rsidP="0007040E">
            <w:pPr>
              <w:pStyle w:val="NoSpacing"/>
              <w:rPr>
                <w:rFonts w:cstheme="minorHAnsi"/>
                <w:sz w:val="20"/>
                <w:szCs w:val="20"/>
              </w:rPr>
            </w:pPr>
            <w:r w:rsidRPr="001B5C9F">
              <w:rPr>
                <w:rFonts w:cstheme="minorHAnsi"/>
                <w:b/>
                <w:bCs/>
                <w:sz w:val="20"/>
                <w:szCs w:val="20"/>
              </w:rPr>
              <w:t>0.087</w:t>
            </w:r>
          </w:p>
        </w:tc>
        <w:tc>
          <w:tcPr>
            <w:tcW w:w="0" w:type="auto"/>
            <w:hideMark/>
          </w:tcPr>
          <w:p w14:paraId="12266B2B" w14:textId="77777777" w:rsidR="009C778C" w:rsidRPr="001B5C9F" w:rsidRDefault="009C778C" w:rsidP="0007040E">
            <w:pPr>
              <w:pStyle w:val="NoSpacing"/>
              <w:rPr>
                <w:rFonts w:cstheme="minorHAnsi"/>
                <w:sz w:val="20"/>
                <w:szCs w:val="20"/>
              </w:rPr>
            </w:pPr>
            <w:r w:rsidRPr="001B5C9F">
              <w:rPr>
                <w:rFonts w:cstheme="minorHAnsi"/>
                <w:b/>
                <w:bCs/>
                <w:sz w:val="20"/>
                <w:szCs w:val="20"/>
              </w:rPr>
              <w:t>0.102</w:t>
            </w:r>
          </w:p>
        </w:tc>
        <w:tc>
          <w:tcPr>
            <w:tcW w:w="0" w:type="auto"/>
            <w:hideMark/>
          </w:tcPr>
          <w:p w14:paraId="66E9F9D4"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39223679" w14:textId="77777777" w:rsidR="009C778C" w:rsidRPr="001B5C9F" w:rsidRDefault="009C778C" w:rsidP="0007040E">
            <w:pPr>
              <w:pStyle w:val="NoSpacing"/>
              <w:rPr>
                <w:rFonts w:cstheme="minorHAnsi"/>
                <w:sz w:val="20"/>
                <w:szCs w:val="20"/>
              </w:rPr>
            </w:pPr>
          </w:p>
        </w:tc>
        <w:tc>
          <w:tcPr>
            <w:tcW w:w="0" w:type="auto"/>
            <w:hideMark/>
          </w:tcPr>
          <w:p w14:paraId="70908E7B" w14:textId="77777777" w:rsidR="009C778C" w:rsidRPr="001B5C9F" w:rsidRDefault="009C778C" w:rsidP="0007040E">
            <w:pPr>
              <w:pStyle w:val="NoSpacing"/>
              <w:rPr>
                <w:rFonts w:cstheme="minorHAnsi"/>
                <w:sz w:val="20"/>
                <w:szCs w:val="20"/>
              </w:rPr>
            </w:pPr>
          </w:p>
        </w:tc>
        <w:tc>
          <w:tcPr>
            <w:tcW w:w="0" w:type="auto"/>
            <w:hideMark/>
          </w:tcPr>
          <w:p w14:paraId="74B6EC4E" w14:textId="77777777" w:rsidR="009C778C" w:rsidRPr="001B5C9F" w:rsidRDefault="009C778C" w:rsidP="0007040E">
            <w:pPr>
              <w:pStyle w:val="NoSpacing"/>
              <w:rPr>
                <w:rFonts w:cstheme="minorHAnsi"/>
                <w:sz w:val="20"/>
                <w:szCs w:val="20"/>
              </w:rPr>
            </w:pPr>
          </w:p>
        </w:tc>
        <w:tc>
          <w:tcPr>
            <w:tcW w:w="0" w:type="auto"/>
            <w:hideMark/>
          </w:tcPr>
          <w:p w14:paraId="289474A2" w14:textId="77777777" w:rsidR="009C778C" w:rsidRPr="001B5C9F" w:rsidRDefault="009C778C" w:rsidP="0007040E">
            <w:pPr>
              <w:pStyle w:val="NoSpacing"/>
              <w:rPr>
                <w:rFonts w:cstheme="minorHAnsi"/>
                <w:sz w:val="20"/>
                <w:szCs w:val="20"/>
              </w:rPr>
            </w:pPr>
          </w:p>
        </w:tc>
        <w:tc>
          <w:tcPr>
            <w:tcW w:w="0" w:type="auto"/>
            <w:hideMark/>
          </w:tcPr>
          <w:p w14:paraId="624B2DE9" w14:textId="77777777" w:rsidR="009C778C" w:rsidRPr="001B5C9F" w:rsidRDefault="009C778C" w:rsidP="0007040E">
            <w:pPr>
              <w:pStyle w:val="NoSpacing"/>
              <w:rPr>
                <w:rFonts w:cstheme="minorHAnsi"/>
                <w:sz w:val="20"/>
                <w:szCs w:val="20"/>
              </w:rPr>
            </w:pPr>
          </w:p>
        </w:tc>
        <w:tc>
          <w:tcPr>
            <w:tcW w:w="0" w:type="auto"/>
            <w:hideMark/>
          </w:tcPr>
          <w:p w14:paraId="792D3349" w14:textId="77777777" w:rsidR="009C778C" w:rsidRPr="001B5C9F" w:rsidRDefault="009C778C" w:rsidP="0007040E">
            <w:pPr>
              <w:pStyle w:val="NoSpacing"/>
              <w:rPr>
                <w:rFonts w:cstheme="minorHAnsi"/>
                <w:sz w:val="20"/>
                <w:szCs w:val="20"/>
              </w:rPr>
            </w:pPr>
          </w:p>
        </w:tc>
        <w:tc>
          <w:tcPr>
            <w:tcW w:w="0" w:type="auto"/>
            <w:hideMark/>
          </w:tcPr>
          <w:p w14:paraId="56156A15" w14:textId="77777777" w:rsidR="009C778C" w:rsidRPr="001B5C9F" w:rsidRDefault="009C778C" w:rsidP="0007040E">
            <w:pPr>
              <w:pStyle w:val="NoSpacing"/>
              <w:rPr>
                <w:rFonts w:cstheme="minorHAnsi"/>
                <w:sz w:val="20"/>
                <w:szCs w:val="20"/>
              </w:rPr>
            </w:pPr>
          </w:p>
        </w:tc>
      </w:tr>
      <w:tr w:rsidR="009C778C" w:rsidRPr="001B5C9F" w14:paraId="3333ED05" w14:textId="77777777" w:rsidTr="001A7C2C">
        <w:tc>
          <w:tcPr>
            <w:tcW w:w="0" w:type="auto"/>
            <w:hideMark/>
          </w:tcPr>
          <w:p w14:paraId="500DB9E6"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12</w:t>
            </w:r>
          </w:p>
        </w:tc>
        <w:tc>
          <w:tcPr>
            <w:tcW w:w="0" w:type="auto"/>
            <w:hideMark/>
          </w:tcPr>
          <w:p w14:paraId="39A17F34" w14:textId="77777777" w:rsidR="009C778C" w:rsidRPr="001B5C9F" w:rsidRDefault="009C778C" w:rsidP="0007040E">
            <w:pPr>
              <w:pStyle w:val="NoSpacing"/>
              <w:rPr>
                <w:rFonts w:cstheme="minorHAnsi"/>
                <w:sz w:val="20"/>
                <w:szCs w:val="20"/>
              </w:rPr>
            </w:pPr>
            <w:r w:rsidRPr="001B5C9F">
              <w:rPr>
                <w:rFonts w:cstheme="minorHAnsi"/>
                <w:sz w:val="20"/>
                <w:szCs w:val="20"/>
              </w:rPr>
              <w:t>LEV</w:t>
            </w:r>
          </w:p>
        </w:tc>
        <w:tc>
          <w:tcPr>
            <w:tcW w:w="0" w:type="auto"/>
            <w:hideMark/>
          </w:tcPr>
          <w:p w14:paraId="0399AEC8" w14:textId="77777777" w:rsidR="009C778C" w:rsidRPr="001B5C9F" w:rsidRDefault="009C778C" w:rsidP="0007040E">
            <w:pPr>
              <w:pStyle w:val="NoSpacing"/>
              <w:rPr>
                <w:rFonts w:cstheme="minorHAnsi"/>
                <w:sz w:val="20"/>
                <w:szCs w:val="20"/>
              </w:rPr>
            </w:pPr>
            <w:r w:rsidRPr="001B5C9F">
              <w:rPr>
                <w:rFonts w:cstheme="minorHAnsi"/>
                <w:b/>
                <w:bCs/>
                <w:sz w:val="20"/>
                <w:szCs w:val="20"/>
              </w:rPr>
              <w:t>0.043</w:t>
            </w:r>
          </w:p>
        </w:tc>
        <w:tc>
          <w:tcPr>
            <w:tcW w:w="0" w:type="auto"/>
            <w:hideMark/>
          </w:tcPr>
          <w:p w14:paraId="39D2EDAC"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0.039</w:t>
            </w:r>
          </w:p>
        </w:tc>
        <w:tc>
          <w:tcPr>
            <w:tcW w:w="0" w:type="auto"/>
            <w:hideMark/>
          </w:tcPr>
          <w:p w14:paraId="6BF4B01B" w14:textId="77777777" w:rsidR="009C778C" w:rsidRPr="001B5C9F" w:rsidRDefault="009C778C" w:rsidP="0007040E">
            <w:pPr>
              <w:pStyle w:val="NoSpacing"/>
              <w:rPr>
                <w:rFonts w:cstheme="minorHAnsi"/>
                <w:sz w:val="20"/>
                <w:szCs w:val="20"/>
              </w:rPr>
            </w:pPr>
            <w:r w:rsidRPr="001B5C9F">
              <w:rPr>
                <w:rFonts w:cstheme="minorHAnsi"/>
                <w:b/>
                <w:bCs/>
                <w:sz w:val="20"/>
                <w:szCs w:val="20"/>
              </w:rPr>
              <w:t>0.050</w:t>
            </w:r>
          </w:p>
        </w:tc>
        <w:tc>
          <w:tcPr>
            <w:tcW w:w="0" w:type="auto"/>
            <w:hideMark/>
          </w:tcPr>
          <w:p w14:paraId="2514E6BC" w14:textId="77777777" w:rsidR="009C778C" w:rsidRPr="001B5C9F" w:rsidRDefault="009C778C" w:rsidP="0007040E">
            <w:pPr>
              <w:pStyle w:val="NoSpacing"/>
              <w:rPr>
                <w:rFonts w:cstheme="minorHAnsi"/>
                <w:sz w:val="20"/>
                <w:szCs w:val="20"/>
              </w:rPr>
            </w:pPr>
            <w:r w:rsidRPr="001B5C9F">
              <w:rPr>
                <w:rFonts w:cstheme="minorHAnsi"/>
                <w:b/>
                <w:bCs/>
                <w:sz w:val="20"/>
                <w:szCs w:val="20"/>
              </w:rPr>
              <w:t>0.071</w:t>
            </w:r>
          </w:p>
        </w:tc>
        <w:tc>
          <w:tcPr>
            <w:tcW w:w="0" w:type="auto"/>
            <w:hideMark/>
          </w:tcPr>
          <w:p w14:paraId="2DE47591" w14:textId="77777777" w:rsidR="009C778C" w:rsidRPr="001B5C9F" w:rsidRDefault="009C778C" w:rsidP="0007040E">
            <w:pPr>
              <w:pStyle w:val="NoSpacing"/>
              <w:rPr>
                <w:rFonts w:cstheme="minorHAnsi"/>
                <w:sz w:val="20"/>
                <w:szCs w:val="20"/>
              </w:rPr>
            </w:pPr>
            <w:r w:rsidRPr="001B5C9F">
              <w:rPr>
                <w:rFonts w:cstheme="minorHAnsi"/>
                <w:sz w:val="20"/>
                <w:szCs w:val="20"/>
              </w:rPr>
              <w:t>0.001</w:t>
            </w:r>
          </w:p>
        </w:tc>
        <w:tc>
          <w:tcPr>
            <w:tcW w:w="0" w:type="auto"/>
            <w:hideMark/>
          </w:tcPr>
          <w:p w14:paraId="307F0927"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0.020</w:t>
            </w:r>
          </w:p>
        </w:tc>
        <w:tc>
          <w:tcPr>
            <w:tcW w:w="0" w:type="auto"/>
            <w:hideMark/>
          </w:tcPr>
          <w:p w14:paraId="148EEFF7" w14:textId="77777777" w:rsidR="009C778C" w:rsidRPr="001B5C9F" w:rsidRDefault="009C778C" w:rsidP="0007040E">
            <w:pPr>
              <w:pStyle w:val="NoSpacing"/>
              <w:rPr>
                <w:rFonts w:cstheme="minorHAnsi"/>
                <w:sz w:val="20"/>
                <w:szCs w:val="20"/>
              </w:rPr>
            </w:pPr>
            <w:r w:rsidRPr="001B5C9F">
              <w:rPr>
                <w:rFonts w:cstheme="minorHAnsi"/>
                <w:b/>
                <w:bCs/>
                <w:sz w:val="20"/>
                <w:szCs w:val="20"/>
              </w:rPr>
              <w:t>0.026</w:t>
            </w:r>
          </w:p>
        </w:tc>
        <w:tc>
          <w:tcPr>
            <w:tcW w:w="0" w:type="auto"/>
            <w:hideMark/>
          </w:tcPr>
          <w:p w14:paraId="4A98A58E" w14:textId="77777777" w:rsidR="009C778C" w:rsidRPr="001B5C9F" w:rsidRDefault="009C778C" w:rsidP="0007040E">
            <w:pPr>
              <w:pStyle w:val="NoSpacing"/>
              <w:rPr>
                <w:rFonts w:cstheme="minorHAnsi"/>
                <w:sz w:val="20"/>
                <w:szCs w:val="20"/>
              </w:rPr>
            </w:pPr>
            <w:r w:rsidRPr="001B5C9F">
              <w:rPr>
                <w:rFonts w:cstheme="minorHAnsi"/>
                <w:b/>
                <w:bCs/>
                <w:sz w:val="20"/>
                <w:szCs w:val="20"/>
              </w:rPr>
              <w:t>0.276</w:t>
            </w:r>
          </w:p>
        </w:tc>
        <w:tc>
          <w:tcPr>
            <w:tcW w:w="0" w:type="auto"/>
            <w:hideMark/>
          </w:tcPr>
          <w:p w14:paraId="5D1415B8"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0.088</w:t>
            </w:r>
          </w:p>
        </w:tc>
        <w:tc>
          <w:tcPr>
            <w:tcW w:w="0" w:type="auto"/>
            <w:hideMark/>
          </w:tcPr>
          <w:p w14:paraId="66922B94"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0.019</w:t>
            </w:r>
          </w:p>
        </w:tc>
        <w:tc>
          <w:tcPr>
            <w:tcW w:w="0" w:type="auto"/>
            <w:hideMark/>
          </w:tcPr>
          <w:p w14:paraId="109EB0A6" w14:textId="77777777" w:rsidR="009C778C" w:rsidRPr="001B5C9F" w:rsidRDefault="009C778C" w:rsidP="0007040E">
            <w:pPr>
              <w:pStyle w:val="NoSpacing"/>
              <w:rPr>
                <w:rFonts w:cstheme="minorHAnsi"/>
                <w:sz w:val="20"/>
                <w:szCs w:val="20"/>
              </w:rPr>
            </w:pPr>
            <w:r w:rsidRPr="001B5C9F">
              <w:rPr>
                <w:rFonts w:cstheme="minorHAnsi"/>
                <w:sz w:val="20"/>
                <w:szCs w:val="20"/>
              </w:rPr>
              <w:t>− 0.005</w:t>
            </w:r>
          </w:p>
        </w:tc>
        <w:tc>
          <w:tcPr>
            <w:tcW w:w="0" w:type="auto"/>
            <w:hideMark/>
          </w:tcPr>
          <w:p w14:paraId="32EB88A7"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10E638ED" w14:textId="77777777" w:rsidR="009C778C" w:rsidRPr="001B5C9F" w:rsidRDefault="009C778C" w:rsidP="0007040E">
            <w:pPr>
              <w:pStyle w:val="NoSpacing"/>
              <w:rPr>
                <w:rFonts w:cstheme="minorHAnsi"/>
                <w:sz w:val="20"/>
                <w:szCs w:val="20"/>
              </w:rPr>
            </w:pPr>
          </w:p>
        </w:tc>
        <w:tc>
          <w:tcPr>
            <w:tcW w:w="0" w:type="auto"/>
            <w:hideMark/>
          </w:tcPr>
          <w:p w14:paraId="6B228FCC" w14:textId="77777777" w:rsidR="009C778C" w:rsidRPr="001B5C9F" w:rsidRDefault="009C778C" w:rsidP="0007040E">
            <w:pPr>
              <w:pStyle w:val="NoSpacing"/>
              <w:rPr>
                <w:rFonts w:cstheme="minorHAnsi"/>
                <w:sz w:val="20"/>
                <w:szCs w:val="20"/>
              </w:rPr>
            </w:pPr>
          </w:p>
        </w:tc>
        <w:tc>
          <w:tcPr>
            <w:tcW w:w="0" w:type="auto"/>
            <w:hideMark/>
          </w:tcPr>
          <w:p w14:paraId="27F36BB0" w14:textId="77777777" w:rsidR="009C778C" w:rsidRPr="001B5C9F" w:rsidRDefault="009C778C" w:rsidP="0007040E">
            <w:pPr>
              <w:pStyle w:val="NoSpacing"/>
              <w:rPr>
                <w:rFonts w:cstheme="minorHAnsi"/>
                <w:sz w:val="20"/>
                <w:szCs w:val="20"/>
              </w:rPr>
            </w:pPr>
          </w:p>
        </w:tc>
        <w:tc>
          <w:tcPr>
            <w:tcW w:w="0" w:type="auto"/>
            <w:hideMark/>
          </w:tcPr>
          <w:p w14:paraId="40770C0A" w14:textId="77777777" w:rsidR="009C778C" w:rsidRPr="001B5C9F" w:rsidRDefault="009C778C" w:rsidP="0007040E">
            <w:pPr>
              <w:pStyle w:val="NoSpacing"/>
              <w:rPr>
                <w:rFonts w:cstheme="minorHAnsi"/>
                <w:sz w:val="20"/>
                <w:szCs w:val="20"/>
              </w:rPr>
            </w:pPr>
          </w:p>
        </w:tc>
        <w:tc>
          <w:tcPr>
            <w:tcW w:w="0" w:type="auto"/>
            <w:hideMark/>
          </w:tcPr>
          <w:p w14:paraId="3215B1F4" w14:textId="77777777" w:rsidR="009C778C" w:rsidRPr="001B5C9F" w:rsidRDefault="009C778C" w:rsidP="0007040E">
            <w:pPr>
              <w:pStyle w:val="NoSpacing"/>
              <w:rPr>
                <w:rFonts w:cstheme="minorHAnsi"/>
                <w:sz w:val="20"/>
                <w:szCs w:val="20"/>
              </w:rPr>
            </w:pPr>
          </w:p>
        </w:tc>
        <w:tc>
          <w:tcPr>
            <w:tcW w:w="0" w:type="auto"/>
            <w:hideMark/>
          </w:tcPr>
          <w:p w14:paraId="05589AB6" w14:textId="77777777" w:rsidR="009C778C" w:rsidRPr="001B5C9F" w:rsidRDefault="009C778C" w:rsidP="0007040E">
            <w:pPr>
              <w:pStyle w:val="NoSpacing"/>
              <w:rPr>
                <w:rFonts w:cstheme="minorHAnsi"/>
                <w:sz w:val="20"/>
                <w:szCs w:val="20"/>
              </w:rPr>
            </w:pPr>
          </w:p>
        </w:tc>
      </w:tr>
      <w:tr w:rsidR="009C778C" w:rsidRPr="001B5C9F" w14:paraId="625C4DD3" w14:textId="77777777" w:rsidTr="001A7C2C">
        <w:tc>
          <w:tcPr>
            <w:tcW w:w="0" w:type="auto"/>
            <w:hideMark/>
          </w:tcPr>
          <w:p w14:paraId="6A18956E"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13</w:t>
            </w:r>
          </w:p>
        </w:tc>
        <w:tc>
          <w:tcPr>
            <w:tcW w:w="0" w:type="auto"/>
            <w:hideMark/>
          </w:tcPr>
          <w:p w14:paraId="4C299B24" w14:textId="77777777" w:rsidR="009C778C" w:rsidRPr="001B5C9F" w:rsidRDefault="009C778C" w:rsidP="0007040E">
            <w:pPr>
              <w:pStyle w:val="NoSpacing"/>
              <w:rPr>
                <w:rFonts w:cstheme="minorHAnsi"/>
                <w:sz w:val="20"/>
                <w:szCs w:val="20"/>
              </w:rPr>
            </w:pPr>
            <w:r w:rsidRPr="001B5C9F">
              <w:rPr>
                <w:rFonts w:cstheme="minorHAnsi"/>
                <w:sz w:val="20"/>
                <w:szCs w:val="20"/>
              </w:rPr>
              <w:t>STDSALE</w:t>
            </w:r>
          </w:p>
        </w:tc>
        <w:tc>
          <w:tcPr>
            <w:tcW w:w="0" w:type="auto"/>
            <w:hideMark/>
          </w:tcPr>
          <w:p w14:paraId="7331896B" w14:textId="77777777" w:rsidR="009C778C" w:rsidRPr="001B5C9F" w:rsidRDefault="009C778C" w:rsidP="0007040E">
            <w:pPr>
              <w:pStyle w:val="NoSpacing"/>
              <w:rPr>
                <w:rFonts w:cstheme="minorHAnsi"/>
                <w:sz w:val="20"/>
                <w:szCs w:val="20"/>
              </w:rPr>
            </w:pPr>
            <w:r w:rsidRPr="001B5C9F">
              <w:rPr>
                <w:rFonts w:cstheme="minorHAnsi"/>
                <w:b/>
                <w:bCs/>
                <w:sz w:val="20"/>
                <w:szCs w:val="20"/>
              </w:rPr>
              <w:t>0.134</w:t>
            </w:r>
          </w:p>
        </w:tc>
        <w:tc>
          <w:tcPr>
            <w:tcW w:w="0" w:type="auto"/>
            <w:hideMark/>
          </w:tcPr>
          <w:p w14:paraId="4E71C9CD" w14:textId="77777777" w:rsidR="009C778C" w:rsidRPr="001B5C9F" w:rsidRDefault="009C778C" w:rsidP="0007040E">
            <w:pPr>
              <w:pStyle w:val="NoSpacing"/>
              <w:rPr>
                <w:rFonts w:cstheme="minorHAnsi"/>
                <w:sz w:val="20"/>
                <w:szCs w:val="20"/>
              </w:rPr>
            </w:pPr>
            <w:r w:rsidRPr="001B5C9F">
              <w:rPr>
                <w:rFonts w:cstheme="minorHAnsi"/>
                <w:b/>
                <w:bCs/>
                <w:sz w:val="20"/>
                <w:szCs w:val="20"/>
              </w:rPr>
              <w:t>0.144</w:t>
            </w:r>
          </w:p>
        </w:tc>
        <w:tc>
          <w:tcPr>
            <w:tcW w:w="0" w:type="auto"/>
            <w:hideMark/>
          </w:tcPr>
          <w:p w14:paraId="7E57A818" w14:textId="77777777" w:rsidR="009C778C" w:rsidRPr="001B5C9F" w:rsidRDefault="009C778C" w:rsidP="0007040E">
            <w:pPr>
              <w:pStyle w:val="NoSpacing"/>
              <w:rPr>
                <w:rFonts w:cstheme="minorHAnsi"/>
                <w:sz w:val="20"/>
                <w:szCs w:val="20"/>
              </w:rPr>
            </w:pPr>
            <w:r w:rsidRPr="001B5C9F">
              <w:rPr>
                <w:rFonts w:cstheme="minorHAnsi"/>
                <w:b/>
                <w:bCs/>
                <w:sz w:val="20"/>
                <w:szCs w:val="20"/>
              </w:rPr>
              <w:t>0.095</w:t>
            </w:r>
          </w:p>
        </w:tc>
        <w:tc>
          <w:tcPr>
            <w:tcW w:w="0" w:type="auto"/>
            <w:hideMark/>
          </w:tcPr>
          <w:p w14:paraId="03D88CC5" w14:textId="77777777" w:rsidR="009C778C" w:rsidRPr="001B5C9F" w:rsidRDefault="009C778C" w:rsidP="0007040E">
            <w:pPr>
              <w:pStyle w:val="NoSpacing"/>
              <w:rPr>
                <w:rFonts w:cstheme="minorHAnsi"/>
                <w:sz w:val="20"/>
                <w:szCs w:val="20"/>
              </w:rPr>
            </w:pPr>
            <w:r w:rsidRPr="001B5C9F">
              <w:rPr>
                <w:rFonts w:cstheme="minorHAnsi"/>
                <w:b/>
                <w:bCs/>
                <w:sz w:val="20"/>
                <w:szCs w:val="20"/>
              </w:rPr>
              <w:t>0.117</w:t>
            </w:r>
          </w:p>
        </w:tc>
        <w:tc>
          <w:tcPr>
            <w:tcW w:w="0" w:type="auto"/>
            <w:hideMark/>
          </w:tcPr>
          <w:p w14:paraId="259D1259" w14:textId="77777777" w:rsidR="009C778C" w:rsidRPr="001B5C9F" w:rsidRDefault="009C778C" w:rsidP="0007040E">
            <w:pPr>
              <w:pStyle w:val="NoSpacing"/>
              <w:rPr>
                <w:rFonts w:cstheme="minorHAnsi"/>
                <w:sz w:val="20"/>
                <w:szCs w:val="20"/>
              </w:rPr>
            </w:pPr>
            <w:r w:rsidRPr="001B5C9F">
              <w:rPr>
                <w:rFonts w:cstheme="minorHAnsi"/>
                <w:sz w:val="20"/>
                <w:szCs w:val="20"/>
              </w:rPr>
              <w:t>− 0.005</w:t>
            </w:r>
          </w:p>
        </w:tc>
        <w:tc>
          <w:tcPr>
            <w:tcW w:w="0" w:type="auto"/>
            <w:hideMark/>
          </w:tcPr>
          <w:p w14:paraId="15D59D54" w14:textId="77777777" w:rsidR="009C778C" w:rsidRPr="001B5C9F" w:rsidRDefault="009C778C" w:rsidP="0007040E">
            <w:pPr>
              <w:pStyle w:val="NoSpacing"/>
              <w:rPr>
                <w:rFonts w:cstheme="minorHAnsi"/>
                <w:sz w:val="20"/>
                <w:szCs w:val="20"/>
              </w:rPr>
            </w:pPr>
            <w:r w:rsidRPr="001B5C9F">
              <w:rPr>
                <w:rFonts w:cstheme="minorHAnsi"/>
                <w:b/>
                <w:bCs/>
                <w:sz w:val="20"/>
                <w:szCs w:val="20"/>
              </w:rPr>
              <w:t>0.045</w:t>
            </w:r>
          </w:p>
        </w:tc>
        <w:tc>
          <w:tcPr>
            <w:tcW w:w="0" w:type="auto"/>
            <w:hideMark/>
          </w:tcPr>
          <w:p w14:paraId="3F014D72"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0.061</w:t>
            </w:r>
          </w:p>
        </w:tc>
        <w:tc>
          <w:tcPr>
            <w:tcW w:w="0" w:type="auto"/>
            <w:hideMark/>
          </w:tcPr>
          <w:p w14:paraId="3004F584"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0.229</w:t>
            </w:r>
          </w:p>
        </w:tc>
        <w:tc>
          <w:tcPr>
            <w:tcW w:w="0" w:type="auto"/>
            <w:hideMark/>
          </w:tcPr>
          <w:p w14:paraId="494BA065"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0.082</w:t>
            </w:r>
          </w:p>
        </w:tc>
        <w:tc>
          <w:tcPr>
            <w:tcW w:w="0" w:type="auto"/>
            <w:hideMark/>
          </w:tcPr>
          <w:p w14:paraId="75551B8E" w14:textId="77777777" w:rsidR="009C778C" w:rsidRPr="001B5C9F" w:rsidRDefault="009C778C" w:rsidP="0007040E">
            <w:pPr>
              <w:pStyle w:val="NoSpacing"/>
              <w:rPr>
                <w:rFonts w:cstheme="minorHAnsi"/>
                <w:sz w:val="20"/>
                <w:szCs w:val="20"/>
              </w:rPr>
            </w:pPr>
            <w:r w:rsidRPr="001B5C9F">
              <w:rPr>
                <w:rFonts w:cstheme="minorHAnsi"/>
                <w:b/>
                <w:bCs/>
                <w:sz w:val="20"/>
                <w:szCs w:val="20"/>
              </w:rPr>
              <w:t>0.148</w:t>
            </w:r>
          </w:p>
        </w:tc>
        <w:tc>
          <w:tcPr>
            <w:tcW w:w="0" w:type="auto"/>
            <w:hideMark/>
          </w:tcPr>
          <w:p w14:paraId="5D0F00C2" w14:textId="77777777" w:rsidR="009C778C" w:rsidRPr="001B5C9F" w:rsidRDefault="009C778C" w:rsidP="0007040E">
            <w:pPr>
              <w:pStyle w:val="NoSpacing"/>
              <w:rPr>
                <w:rFonts w:cstheme="minorHAnsi"/>
                <w:sz w:val="20"/>
                <w:szCs w:val="20"/>
              </w:rPr>
            </w:pPr>
            <w:r w:rsidRPr="001B5C9F">
              <w:rPr>
                <w:rFonts w:cstheme="minorHAnsi"/>
                <w:b/>
                <w:bCs/>
                <w:sz w:val="20"/>
                <w:szCs w:val="20"/>
              </w:rPr>
              <w:t>0.079</w:t>
            </w:r>
          </w:p>
        </w:tc>
        <w:tc>
          <w:tcPr>
            <w:tcW w:w="0" w:type="auto"/>
            <w:hideMark/>
          </w:tcPr>
          <w:p w14:paraId="239CFB27"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0.028</w:t>
            </w:r>
          </w:p>
        </w:tc>
        <w:tc>
          <w:tcPr>
            <w:tcW w:w="0" w:type="auto"/>
            <w:hideMark/>
          </w:tcPr>
          <w:p w14:paraId="585BD77D"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5666CBD2" w14:textId="77777777" w:rsidR="009C778C" w:rsidRPr="001B5C9F" w:rsidRDefault="009C778C" w:rsidP="0007040E">
            <w:pPr>
              <w:pStyle w:val="NoSpacing"/>
              <w:rPr>
                <w:rFonts w:cstheme="minorHAnsi"/>
                <w:sz w:val="20"/>
                <w:szCs w:val="20"/>
              </w:rPr>
            </w:pPr>
          </w:p>
        </w:tc>
        <w:tc>
          <w:tcPr>
            <w:tcW w:w="0" w:type="auto"/>
            <w:hideMark/>
          </w:tcPr>
          <w:p w14:paraId="40A62955" w14:textId="77777777" w:rsidR="009C778C" w:rsidRPr="001B5C9F" w:rsidRDefault="009C778C" w:rsidP="0007040E">
            <w:pPr>
              <w:pStyle w:val="NoSpacing"/>
              <w:rPr>
                <w:rFonts w:cstheme="minorHAnsi"/>
                <w:sz w:val="20"/>
                <w:szCs w:val="20"/>
              </w:rPr>
            </w:pPr>
          </w:p>
        </w:tc>
        <w:tc>
          <w:tcPr>
            <w:tcW w:w="0" w:type="auto"/>
            <w:hideMark/>
          </w:tcPr>
          <w:p w14:paraId="418C66E3" w14:textId="77777777" w:rsidR="009C778C" w:rsidRPr="001B5C9F" w:rsidRDefault="009C778C" w:rsidP="0007040E">
            <w:pPr>
              <w:pStyle w:val="NoSpacing"/>
              <w:rPr>
                <w:rFonts w:cstheme="minorHAnsi"/>
                <w:sz w:val="20"/>
                <w:szCs w:val="20"/>
              </w:rPr>
            </w:pPr>
          </w:p>
        </w:tc>
        <w:tc>
          <w:tcPr>
            <w:tcW w:w="0" w:type="auto"/>
            <w:hideMark/>
          </w:tcPr>
          <w:p w14:paraId="4253F778" w14:textId="77777777" w:rsidR="009C778C" w:rsidRPr="001B5C9F" w:rsidRDefault="009C778C" w:rsidP="0007040E">
            <w:pPr>
              <w:pStyle w:val="NoSpacing"/>
              <w:rPr>
                <w:rFonts w:cstheme="minorHAnsi"/>
                <w:sz w:val="20"/>
                <w:szCs w:val="20"/>
              </w:rPr>
            </w:pPr>
          </w:p>
        </w:tc>
        <w:tc>
          <w:tcPr>
            <w:tcW w:w="0" w:type="auto"/>
            <w:hideMark/>
          </w:tcPr>
          <w:p w14:paraId="2A498ABD" w14:textId="77777777" w:rsidR="009C778C" w:rsidRPr="001B5C9F" w:rsidRDefault="009C778C" w:rsidP="0007040E">
            <w:pPr>
              <w:pStyle w:val="NoSpacing"/>
              <w:rPr>
                <w:rFonts w:cstheme="minorHAnsi"/>
                <w:sz w:val="20"/>
                <w:szCs w:val="20"/>
              </w:rPr>
            </w:pPr>
          </w:p>
        </w:tc>
      </w:tr>
      <w:tr w:rsidR="009C778C" w:rsidRPr="001B5C9F" w14:paraId="1FD3BFD8" w14:textId="77777777" w:rsidTr="001A7C2C">
        <w:tc>
          <w:tcPr>
            <w:tcW w:w="0" w:type="auto"/>
            <w:hideMark/>
          </w:tcPr>
          <w:p w14:paraId="0A227757"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14</w:t>
            </w:r>
          </w:p>
        </w:tc>
        <w:tc>
          <w:tcPr>
            <w:tcW w:w="0" w:type="auto"/>
            <w:hideMark/>
          </w:tcPr>
          <w:p w14:paraId="6748F65B" w14:textId="77777777" w:rsidR="009C778C" w:rsidRPr="001B5C9F" w:rsidRDefault="009C778C" w:rsidP="0007040E">
            <w:pPr>
              <w:pStyle w:val="NoSpacing"/>
              <w:rPr>
                <w:rFonts w:cstheme="minorHAnsi"/>
                <w:sz w:val="20"/>
                <w:szCs w:val="20"/>
              </w:rPr>
            </w:pPr>
            <w:r w:rsidRPr="001B5C9F">
              <w:rPr>
                <w:rFonts w:cstheme="minorHAnsi"/>
                <w:sz w:val="20"/>
                <w:szCs w:val="20"/>
              </w:rPr>
              <w:t>CAPITAL_INTENSITY</w:t>
            </w:r>
          </w:p>
        </w:tc>
        <w:tc>
          <w:tcPr>
            <w:tcW w:w="0" w:type="auto"/>
            <w:hideMark/>
          </w:tcPr>
          <w:p w14:paraId="751FF246"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0.043</w:t>
            </w:r>
          </w:p>
        </w:tc>
        <w:tc>
          <w:tcPr>
            <w:tcW w:w="0" w:type="auto"/>
            <w:hideMark/>
          </w:tcPr>
          <w:p w14:paraId="659E52E0"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0.102</w:t>
            </w:r>
          </w:p>
        </w:tc>
        <w:tc>
          <w:tcPr>
            <w:tcW w:w="0" w:type="auto"/>
            <w:hideMark/>
          </w:tcPr>
          <w:p w14:paraId="05DE4780"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0.111</w:t>
            </w:r>
          </w:p>
        </w:tc>
        <w:tc>
          <w:tcPr>
            <w:tcW w:w="0" w:type="auto"/>
            <w:hideMark/>
          </w:tcPr>
          <w:p w14:paraId="3B69B119"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0.093</w:t>
            </w:r>
          </w:p>
        </w:tc>
        <w:tc>
          <w:tcPr>
            <w:tcW w:w="0" w:type="auto"/>
            <w:hideMark/>
          </w:tcPr>
          <w:p w14:paraId="60BBDD61"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0.104</w:t>
            </w:r>
          </w:p>
        </w:tc>
        <w:tc>
          <w:tcPr>
            <w:tcW w:w="0" w:type="auto"/>
            <w:hideMark/>
          </w:tcPr>
          <w:p w14:paraId="2228AF27"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0.102</w:t>
            </w:r>
          </w:p>
        </w:tc>
        <w:tc>
          <w:tcPr>
            <w:tcW w:w="0" w:type="auto"/>
            <w:hideMark/>
          </w:tcPr>
          <w:p w14:paraId="0DD427A3"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0.053</w:t>
            </w:r>
          </w:p>
        </w:tc>
        <w:tc>
          <w:tcPr>
            <w:tcW w:w="0" w:type="auto"/>
            <w:hideMark/>
          </w:tcPr>
          <w:p w14:paraId="1F016219" w14:textId="77777777" w:rsidR="009C778C" w:rsidRPr="001B5C9F" w:rsidRDefault="009C778C" w:rsidP="0007040E">
            <w:pPr>
              <w:pStyle w:val="NoSpacing"/>
              <w:rPr>
                <w:rFonts w:cstheme="minorHAnsi"/>
                <w:sz w:val="20"/>
                <w:szCs w:val="20"/>
              </w:rPr>
            </w:pPr>
            <w:r w:rsidRPr="001B5C9F">
              <w:rPr>
                <w:rFonts w:cstheme="minorHAnsi"/>
                <w:b/>
                <w:bCs/>
                <w:sz w:val="20"/>
                <w:szCs w:val="20"/>
              </w:rPr>
              <w:t>0.183</w:t>
            </w:r>
          </w:p>
        </w:tc>
        <w:tc>
          <w:tcPr>
            <w:tcW w:w="0" w:type="auto"/>
            <w:hideMark/>
          </w:tcPr>
          <w:p w14:paraId="131D104F"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0.029</w:t>
            </w:r>
          </w:p>
        </w:tc>
        <w:tc>
          <w:tcPr>
            <w:tcW w:w="0" w:type="auto"/>
            <w:hideMark/>
          </w:tcPr>
          <w:p w14:paraId="5D075527"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0.170</w:t>
            </w:r>
          </w:p>
        </w:tc>
        <w:tc>
          <w:tcPr>
            <w:tcW w:w="0" w:type="auto"/>
            <w:hideMark/>
          </w:tcPr>
          <w:p w14:paraId="7D5AAAAE"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0.092</w:t>
            </w:r>
          </w:p>
        </w:tc>
        <w:tc>
          <w:tcPr>
            <w:tcW w:w="0" w:type="auto"/>
            <w:hideMark/>
          </w:tcPr>
          <w:p w14:paraId="1A52DC89" w14:textId="77777777" w:rsidR="009C778C" w:rsidRPr="001B5C9F" w:rsidRDefault="009C778C" w:rsidP="0007040E">
            <w:pPr>
              <w:pStyle w:val="NoSpacing"/>
              <w:rPr>
                <w:rFonts w:cstheme="minorHAnsi"/>
                <w:sz w:val="20"/>
                <w:szCs w:val="20"/>
              </w:rPr>
            </w:pPr>
            <w:r w:rsidRPr="001B5C9F">
              <w:rPr>
                <w:rFonts w:cstheme="minorHAnsi"/>
                <w:b/>
                <w:bCs/>
                <w:sz w:val="20"/>
                <w:szCs w:val="20"/>
              </w:rPr>
              <w:t>0.206</w:t>
            </w:r>
          </w:p>
        </w:tc>
        <w:tc>
          <w:tcPr>
            <w:tcW w:w="0" w:type="auto"/>
            <w:hideMark/>
          </w:tcPr>
          <w:p w14:paraId="77E3290A"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0.243</w:t>
            </w:r>
          </w:p>
        </w:tc>
        <w:tc>
          <w:tcPr>
            <w:tcW w:w="0" w:type="auto"/>
            <w:hideMark/>
          </w:tcPr>
          <w:p w14:paraId="60AA6A74"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04C2CDDE" w14:textId="77777777" w:rsidR="009C778C" w:rsidRPr="001B5C9F" w:rsidRDefault="009C778C" w:rsidP="0007040E">
            <w:pPr>
              <w:pStyle w:val="NoSpacing"/>
              <w:rPr>
                <w:rFonts w:cstheme="minorHAnsi"/>
                <w:sz w:val="20"/>
                <w:szCs w:val="20"/>
              </w:rPr>
            </w:pPr>
          </w:p>
        </w:tc>
        <w:tc>
          <w:tcPr>
            <w:tcW w:w="0" w:type="auto"/>
            <w:hideMark/>
          </w:tcPr>
          <w:p w14:paraId="40607C70" w14:textId="77777777" w:rsidR="009C778C" w:rsidRPr="001B5C9F" w:rsidRDefault="009C778C" w:rsidP="0007040E">
            <w:pPr>
              <w:pStyle w:val="NoSpacing"/>
              <w:rPr>
                <w:rFonts w:cstheme="minorHAnsi"/>
                <w:sz w:val="20"/>
                <w:szCs w:val="20"/>
              </w:rPr>
            </w:pPr>
          </w:p>
        </w:tc>
        <w:tc>
          <w:tcPr>
            <w:tcW w:w="0" w:type="auto"/>
            <w:hideMark/>
          </w:tcPr>
          <w:p w14:paraId="5092B6C5" w14:textId="77777777" w:rsidR="009C778C" w:rsidRPr="001B5C9F" w:rsidRDefault="009C778C" w:rsidP="0007040E">
            <w:pPr>
              <w:pStyle w:val="NoSpacing"/>
              <w:rPr>
                <w:rFonts w:cstheme="minorHAnsi"/>
                <w:sz w:val="20"/>
                <w:szCs w:val="20"/>
              </w:rPr>
            </w:pPr>
          </w:p>
        </w:tc>
        <w:tc>
          <w:tcPr>
            <w:tcW w:w="0" w:type="auto"/>
            <w:hideMark/>
          </w:tcPr>
          <w:p w14:paraId="277A747E" w14:textId="77777777" w:rsidR="009C778C" w:rsidRPr="001B5C9F" w:rsidRDefault="009C778C" w:rsidP="0007040E">
            <w:pPr>
              <w:pStyle w:val="NoSpacing"/>
              <w:rPr>
                <w:rFonts w:cstheme="minorHAnsi"/>
                <w:sz w:val="20"/>
                <w:szCs w:val="20"/>
              </w:rPr>
            </w:pPr>
          </w:p>
        </w:tc>
      </w:tr>
      <w:tr w:rsidR="009C778C" w:rsidRPr="001B5C9F" w14:paraId="69319F9B" w14:textId="77777777" w:rsidTr="001A7C2C">
        <w:tc>
          <w:tcPr>
            <w:tcW w:w="0" w:type="auto"/>
            <w:hideMark/>
          </w:tcPr>
          <w:p w14:paraId="1973928B"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15</w:t>
            </w:r>
          </w:p>
        </w:tc>
        <w:tc>
          <w:tcPr>
            <w:tcW w:w="0" w:type="auto"/>
            <w:hideMark/>
          </w:tcPr>
          <w:p w14:paraId="01C9A682" w14:textId="77777777" w:rsidR="009C778C" w:rsidRPr="001B5C9F" w:rsidRDefault="009C778C" w:rsidP="0007040E">
            <w:pPr>
              <w:pStyle w:val="NoSpacing"/>
              <w:rPr>
                <w:rFonts w:cstheme="minorHAnsi"/>
                <w:sz w:val="20"/>
                <w:szCs w:val="20"/>
              </w:rPr>
            </w:pPr>
            <w:r w:rsidRPr="001B5C9F">
              <w:rPr>
                <w:rFonts w:cstheme="minorHAnsi"/>
                <w:sz w:val="20"/>
                <w:szCs w:val="20"/>
              </w:rPr>
              <w:t>ANALYST</w:t>
            </w:r>
          </w:p>
        </w:tc>
        <w:tc>
          <w:tcPr>
            <w:tcW w:w="0" w:type="auto"/>
            <w:hideMark/>
          </w:tcPr>
          <w:p w14:paraId="30056BB2"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0.120</w:t>
            </w:r>
          </w:p>
        </w:tc>
        <w:tc>
          <w:tcPr>
            <w:tcW w:w="0" w:type="auto"/>
            <w:hideMark/>
          </w:tcPr>
          <w:p w14:paraId="5B01546C"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0.112</w:t>
            </w:r>
          </w:p>
        </w:tc>
        <w:tc>
          <w:tcPr>
            <w:tcW w:w="0" w:type="auto"/>
            <w:hideMark/>
          </w:tcPr>
          <w:p w14:paraId="5D108C06"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0.111</w:t>
            </w:r>
          </w:p>
        </w:tc>
        <w:tc>
          <w:tcPr>
            <w:tcW w:w="0" w:type="auto"/>
            <w:hideMark/>
          </w:tcPr>
          <w:p w14:paraId="5ED8A562"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0.129</w:t>
            </w:r>
          </w:p>
        </w:tc>
        <w:tc>
          <w:tcPr>
            <w:tcW w:w="0" w:type="auto"/>
            <w:hideMark/>
          </w:tcPr>
          <w:p w14:paraId="384D8D53" w14:textId="77777777" w:rsidR="009C778C" w:rsidRPr="001B5C9F" w:rsidRDefault="009C778C" w:rsidP="0007040E">
            <w:pPr>
              <w:pStyle w:val="NoSpacing"/>
              <w:rPr>
                <w:rFonts w:cstheme="minorHAnsi"/>
                <w:sz w:val="20"/>
                <w:szCs w:val="20"/>
              </w:rPr>
            </w:pPr>
            <w:r w:rsidRPr="001B5C9F">
              <w:rPr>
                <w:rFonts w:cstheme="minorHAnsi"/>
                <w:b/>
                <w:bCs/>
                <w:sz w:val="20"/>
                <w:szCs w:val="20"/>
              </w:rPr>
              <w:t>0.420</w:t>
            </w:r>
          </w:p>
        </w:tc>
        <w:tc>
          <w:tcPr>
            <w:tcW w:w="0" w:type="auto"/>
            <w:hideMark/>
          </w:tcPr>
          <w:p w14:paraId="12337223" w14:textId="77777777" w:rsidR="009C778C" w:rsidRPr="001B5C9F" w:rsidRDefault="009C778C" w:rsidP="0007040E">
            <w:pPr>
              <w:pStyle w:val="NoSpacing"/>
              <w:rPr>
                <w:rFonts w:cstheme="minorHAnsi"/>
                <w:sz w:val="20"/>
                <w:szCs w:val="20"/>
              </w:rPr>
            </w:pPr>
            <w:r w:rsidRPr="001B5C9F">
              <w:rPr>
                <w:rFonts w:cstheme="minorHAnsi"/>
                <w:b/>
                <w:bCs/>
                <w:sz w:val="20"/>
                <w:szCs w:val="20"/>
              </w:rPr>
              <w:t>0.215</w:t>
            </w:r>
          </w:p>
        </w:tc>
        <w:tc>
          <w:tcPr>
            <w:tcW w:w="0" w:type="auto"/>
            <w:hideMark/>
          </w:tcPr>
          <w:p w14:paraId="5AAE590B" w14:textId="77777777" w:rsidR="009C778C" w:rsidRPr="001B5C9F" w:rsidRDefault="009C778C" w:rsidP="0007040E">
            <w:pPr>
              <w:pStyle w:val="NoSpacing"/>
              <w:rPr>
                <w:rFonts w:cstheme="minorHAnsi"/>
                <w:sz w:val="20"/>
                <w:szCs w:val="20"/>
              </w:rPr>
            </w:pPr>
            <w:r w:rsidRPr="001B5C9F">
              <w:rPr>
                <w:rFonts w:cstheme="minorHAnsi"/>
                <w:b/>
                <w:bCs/>
                <w:sz w:val="20"/>
                <w:szCs w:val="20"/>
              </w:rPr>
              <w:t>0.437</w:t>
            </w:r>
          </w:p>
        </w:tc>
        <w:tc>
          <w:tcPr>
            <w:tcW w:w="0" w:type="auto"/>
            <w:hideMark/>
          </w:tcPr>
          <w:p w14:paraId="6D9ADAE7" w14:textId="77777777" w:rsidR="009C778C" w:rsidRPr="001B5C9F" w:rsidRDefault="009C778C" w:rsidP="0007040E">
            <w:pPr>
              <w:pStyle w:val="NoSpacing"/>
              <w:rPr>
                <w:rFonts w:cstheme="minorHAnsi"/>
                <w:sz w:val="20"/>
                <w:szCs w:val="20"/>
              </w:rPr>
            </w:pPr>
            <w:r w:rsidRPr="001B5C9F">
              <w:rPr>
                <w:rFonts w:cstheme="minorHAnsi"/>
                <w:b/>
                <w:bCs/>
                <w:sz w:val="20"/>
                <w:szCs w:val="20"/>
              </w:rPr>
              <w:t>0.516</w:t>
            </w:r>
          </w:p>
        </w:tc>
        <w:tc>
          <w:tcPr>
            <w:tcW w:w="0" w:type="auto"/>
            <w:hideMark/>
          </w:tcPr>
          <w:p w14:paraId="68CCBCF0" w14:textId="77777777" w:rsidR="009C778C" w:rsidRPr="001B5C9F" w:rsidRDefault="009C778C" w:rsidP="0007040E">
            <w:pPr>
              <w:pStyle w:val="NoSpacing"/>
              <w:rPr>
                <w:rFonts w:cstheme="minorHAnsi"/>
                <w:sz w:val="20"/>
                <w:szCs w:val="20"/>
              </w:rPr>
            </w:pPr>
            <w:r w:rsidRPr="001B5C9F">
              <w:rPr>
                <w:rFonts w:cstheme="minorHAnsi"/>
                <w:b/>
                <w:bCs/>
                <w:sz w:val="20"/>
                <w:szCs w:val="20"/>
              </w:rPr>
              <w:t>0.145</w:t>
            </w:r>
          </w:p>
        </w:tc>
        <w:tc>
          <w:tcPr>
            <w:tcW w:w="0" w:type="auto"/>
            <w:hideMark/>
          </w:tcPr>
          <w:p w14:paraId="1179281E" w14:textId="77777777" w:rsidR="009C778C" w:rsidRPr="001B5C9F" w:rsidRDefault="009C778C" w:rsidP="0007040E">
            <w:pPr>
              <w:pStyle w:val="NoSpacing"/>
              <w:rPr>
                <w:rFonts w:cstheme="minorHAnsi"/>
                <w:sz w:val="20"/>
                <w:szCs w:val="20"/>
              </w:rPr>
            </w:pPr>
            <w:r w:rsidRPr="001B5C9F">
              <w:rPr>
                <w:rFonts w:cstheme="minorHAnsi"/>
                <w:b/>
                <w:bCs/>
                <w:sz w:val="20"/>
                <w:szCs w:val="20"/>
              </w:rPr>
              <w:t>0.193</w:t>
            </w:r>
          </w:p>
        </w:tc>
        <w:tc>
          <w:tcPr>
            <w:tcW w:w="0" w:type="auto"/>
            <w:hideMark/>
          </w:tcPr>
          <w:p w14:paraId="7004D412"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0.021</w:t>
            </w:r>
          </w:p>
        </w:tc>
        <w:tc>
          <w:tcPr>
            <w:tcW w:w="0" w:type="auto"/>
            <w:hideMark/>
          </w:tcPr>
          <w:p w14:paraId="0448BA31" w14:textId="77777777" w:rsidR="009C778C" w:rsidRPr="001B5C9F" w:rsidRDefault="009C778C" w:rsidP="0007040E">
            <w:pPr>
              <w:pStyle w:val="NoSpacing"/>
              <w:rPr>
                <w:rFonts w:cstheme="minorHAnsi"/>
                <w:sz w:val="20"/>
                <w:szCs w:val="20"/>
              </w:rPr>
            </w:pPr>
            <w:r w:rsidRPr="001B5C9F">
              <w:rPr>
                <w:rFonts w:cstheme="minorHAnsi"/>
                <w:b/>
                <w:bCs/>
                <w:sz w:val="20"/>
                <w:szCs w:val="20"/>
              </w:rPr>
              <w:t>0.012</w:t>
            </w:r>
          </w:p>
        </w:tc>
        <w:tc>
          <w:tcPr>
            <w:tcW w:w="0" w:type="auto"/>
            <w:hideMark/>
          </w:tcPr>
          <w:p w14:paraId="751BA2D1"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0.101</w:t>
            </w:r>
          </w:p>
        </w:tc>
        <w:tc>
          <w:tcPr>
            <w:tcW w:w="0" w:type="auto"/>
            <w:hideMark/>
          </w:tcPr>
          <w:p w14:paraId="404234E5" w14:textId="77777777" w:rsidR="009C778C" w:rsidRPr="001B5C9F" w:rsidRDefault="009C778C" w:rsidP="0007040E">
            <w:pPr>
              <w:pStyle w:val="NoSpacing"/>
              <w:rPr>
                <w:rFonts w:cstheme="minorHAnsi"/>
                <w:sz w:val="20"/>
                <w:szCs w:val="20"/>
              </w:rPr>
            </w:pPr>
            <w:r w:rsidRPr="001B5C9F">
              <w:rPr>
                <w:rFonts w:cstheme="minorHAnsi"/>
                <w:b/>
                <w:bCs/>
                <w:sz w:val="20"/>
                <w:szCs w:val="20"/>
              </w:rPr>
              <w:t>0.021</w:t>
            </w:r>
          </w:p>
        </w:tc>
        <w:tc>
          <w:tcPr>
            <w:tcW w:w="0" w:type="auto"/>
            <w:hideMark/>
          </w:tcPr>
          <w:p w14:paraId="46F41087"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1C2AF4FE" w14:textId="77777777" w:rsidR="009C778C" w:rsidRPr="001B5C9F" w:rsidRDefault="009C778C" w:rsidP="0007040E">
            <w:pPr>
              <w:pStyle w:val="NoSpacing"/>
              <w:rPr>
                <w:rFonts w:cstheme="minorHAnsi"/>
                <w:sz w:val="20"/>
                <w:szCs w:val="20"/>
              </w:rPr>
            </w:pPr>
          </w:p>
        </w:tc>
        <w:tc>
          <w:tcPr>
            <w:tcW w:w="0" w:type="auto"/>
            <w:hideMark/>
          </w:tcPr>
          <w:p w14:paraId="370587F8" w14:textId="77777777" w:rsidR="009C778C" w:rsidRPr="001B5C9F" w:rsidRDefault="009C778C" w:rsidP="0007040E">
            <w:pPr>
              <w:pStyle w:val="NoSpacing"/>
              <w:rPr>
                <w:rFonts w:cstheme="minorHAnsi"/>
                <w:sz w:val="20"/>
                <w:szCs w:val="20"/>
              </w:rPr>
            </w:pPr>
          </w:p>
        </w:tc>
        <w:tc>
          <w:tcPr>
            <w:tcW w:w="0" w:type="auto"/>
            <w:hideMark/>
          </w:tcPr>
          <w:p w14:paraId="6A3E0ACF" w14:textId="77777777" w:rsidR="009C778C" w:rsidRPr="001B5C9F" w:rsidRDefault="009C778C" w:rsidP="0007040E">
            <w:pPr>
              <w:pStyle w:val="NoSpacing"/>
              <w:rPr>
                <w:rFonts w:cstheme="minorHAnsi"/>
                <w:sz w:val="20"/>
                <w:szCs w:val="20"/>
              </w:rPr>
            </w:pPr>
          </w:p>
        </w:tc>
      </w:tr>
      <w:tr w:rsidR="009C778C" w:rsidRPr="001B5C9F" w14:paraId="3DC08F25" w14:textId="77777777" w:rsidTr="001A7C2C">
        <w:tc>
          <w:tcPr>
            <w:tcW w:w="0" w:type="auto"/>
            <w:hideMark/>
          </w:tcPr>
          <w:p w14:paraId="2FC4F98A"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16</w:t>
            </w:r>
          </w:p>
        </w:tc>
        <w:tc>
          <w:tcPr>
            <w:tcW w:w="0" w:type="auto"/>
            <w:hideMark/>
          </w:tcPr>
          <w:p w14:paraId="32A6031E" w14:textId="77777777" w:rsidR="009C778C" w:rsidRPr="001B5C9F" w:rsidRDefault="009C778C" w:rsidP="0007040E">
            <w:pPr>
              <w:pStyle w:val="NoSpacing"/>
              <w:rPr>
                <w:rFonts w:cstheme="minorHAnsi"/>
                <w:sz w:val="20"/>
                <w:szCs w:val="20"/>
              </w:rPr>
            </w:pPr>
            <w:r w:rsidRPr="001B5C9F">
              <w:rPr>
                <w:rFonts w:cstheme="minorHAnsi"/>
                <w:sz w:val="20"/>
                <w:szCs w:val="20"/>
              </w:rPr>
              <w:t>ACC_STANDARD</w:t>
            </w:r>
          </w:p>
        </w:tc>
        <w:tc>
          <w:tcPr>
            <w:tcW w:w="0" w:type="auto"/>
            <w:hideMark/>
          </w:tcPr>
          <w:p w14:paraId="25D26387" w14:textId="77777777" w:rsidR="009C778C" w:rsidRPr="001B5C9F" w:rsidRDefault="009C778C" w:rsidP="0007040E">
            <w:pPr>
              <w:pStyle w:val="NoSpacing"/>
              <w:rPr>
                <w:rFonts w:cstheme="minorHAnsi"/>
                <w:sz w:val="20"/>
                <w:szCs w:val="20"/>
              </w:rPr>
            </w:pPr>
            <w:r w:rsidRPr="001B5C9F">
              <w:rPr>
                <w:rFonts w:cstheme="minorHAnsi"/>
                <w:b/>
                <w:bCs/>
                <w:sz w:val="20"/>
                <w:szCs w:val="20"/>
              </w:rPr>
              <w:t>0.072</w:t>
            </w:r>
          </w:p>
        </w:tc>
        <w:tc>
          <w:tcPr>
            <w:tcW w:w="0" w:type="auto"/>
            <w:hideMark/>
          </w:tcPr>
          <w:p w14:paraId="1340EC6A" w14:textId="77777777" w:rsidR="009C778C" w:rsidRPr="001B5C9F" w:rsidRDefault="009C778C" w:rsidP="0007040E">
            <w:pPr>
              <w:pStyle w:val="NoSpacing"/>
              <w:rPr>
                <w:rFonts w:cstheme="minorHAnsi"/>
                <w:sz w:val="20"/>
                <w:szCs w:val="20"/>
              </w:rPr>
            </w:pPr>
            <w:r w:rsidRPr="001B5C9F">
              <w:rPr>
                <w:rFonts w:cstheme="minorHAnsi"/>
                <w:b/>
                <w:bCs/>
                <w:sz w:val="20"/>
                <w:szCs w:val="20"/>
              </w:rPr>
              <w:t>0.092</w:t>
            </w:r>
          </w:p>
        </w:tc>
        <w:tc>
          <w:tcPr>
            <w:tcW w:w="0" w:type="auto"/>
            <w:hideMark/>
          </w:tcPr>
          <w:p w14:paraId="3CBA6517" w14:textId="77777777" w:rsidR="009C778C" w:rsidRPr="001B5C9F" w:rsidRDefault="009C778C" w:rsidP="0007040E">
            <w:pPr>
              <w:pStyle w:val="NoSpacing"/>
              <w:rPr>
                <w:rFonts w:cstheme="minorHAnsi"/>
                <w:sz w:val="20"/>
                <w:szCs w:val="20"/>
              </w:rPr>
            </w:pPr>
            <w:r w:rsidRPr="001B5C9F">
              <w:rPr>
                <w:rFonts w:cstheme="minorHAnsi"/>
                <w:b/>
                <w:bCs/>
                <w:sz w:val="20"/>
                <w:szCs w:val="20"/>
              </w:rPr>
              <w:t>0.031</w:t>
            </w:r>
          </w:p>
        </w:tc>
        <w:tc>
          <w:tcPr>
            <w:tcW w:w="0" w:type="auto"/>
            <w:hideMark/>
          </w:tcPr>
          <w:p w14:paraId="55C5013D" w14:textId="77777777" w:rsidR="009C778C" w:rsidRPr="001B5C9F" w:rsidRDefault="009C778C" w:rsidP="0007040E">
            <w:pPr>
              <w:pStyle w:val="NoSpacing"/>
              <w:rPr>
                <w:rFonts w:cstheme="minorHAnsi"/>
                <w:sz w:val="20"/>
                <w:szCs w:val="20"/>
              </w:rPr>
            </w:pPr>
            <w:r w:rsidRPr="001B5C9F">
              <w:rPr>
                <w:rFonts w:cstheme="minorHAnsi"/>
                <w:b/>
                <w:bCs/>
                <w:sz w:val="20"/>
                <w:szCs w:val="20"/>
              </w:rPr>
              <w:t>0.057</w:t>
            </w:r>
          </w:p>
        </w:tc>
        <w:tc>
          <w:tcPr>
            <w:tcW w:w="0" w:type="auto"/>
            <w:hideMark/>
          </w:tcPr>
          <w:p w14:paraId="01CD71DB" w14:textId="77777777" w:rsidR="009C778C" w:rsidRPr="001B5C9F" w:rsidRDefault="009C778C" w:rsidP="0007040E">
            <w:pPr>
              <w:pStyle w:val="NoSpacing"/>
              <w:rPr>
                <w:rFonts w:cstheme="minorHAnsi"/>
                <w:sz w:val="20"/>
                <w:szCs w:val="20"/>
              </w:rPr>
            </w:pPr>
            <w:r w:rsidRPr="001B5C9F">
              <w:rPr>
                <w:rFonts w:cstheme="minorHAnsi"/>
                <w:b/>
                <w:bCs/>
                <w:sz w:val="20"/>
                <w:szCs w:val="20"/>
              </w:rPr>
              <w:t>0.314</w:t>
            </w:r>
          </w:p>
        </w:tc>
        <w:tc>
          <w:tcPr>
            <w:tcW w:w="0" w:type="auto"/>
            <w:hideMark/>
          </w:tcPr>
          <w:p w14:paraId="4195993A" w14:textId="77777777" w:rsidR="009C778C" w:rsidRPr="001B5C9F" w:rsidRDefault="009C778C" w:rsidP="0007040E">
            <w:pPr>
              <w:pStyle w:val="NoSpacing"/>
              <w:rPr>
                <w:rFonts w:cstheme="minorHAnsi"/>
                <w:sz w:val="20"/>
                <w:szCs w:val="20"/>
              </w:rPr>
            </w:pPr>
            <w:r w:rsidRPr="001B5C9F">
              <w:rPr>
                <w:rFonts w:cstheme="minorHAnsi"/>
                <w:b/>
                <w:bCs/>
                <w:sz w:val="20"/>
                <w:szCs w:val="20"/>
              </w:rPr>
              <w:t>0.272</w:t>
            </w:r>
          </w:p>
        </w:tc>
        <w:tc>
          <w:tcPr>
            <w:tcW w:w="0" w:type="auto"/>
            <w:hideMark/>
          </w:tcPr>
          <w:p w14:paraId="23242888" w14:textId="77777777" w:rsidR="009C778C" w:rsidRPr="001B5C9F" w:rsidRDefault="009C778C" w:rsidP="0007040E">
            <w:pPr>
              <w:pStyle w:val="NoSpacing"/>
              <w:rPr>
                <w:rFonts w:cstheme="minorHAnsi"/>
                <w:sz w:val="20"/>
                <w:szCs w:val="20"/>
              </w:rPr>
            </w:pPr>
            <w:r w:rsidRPr="001B5C9F">
              <w:rPr>
                <w:rFonts w:cstheme="minorHAnsi"/>
                <w:b/>
                <w:bCs/>
                <w:sz w:val="20"/>
                <w:szCs w:val="20"/>
              </w:rPr>
              <w:t>0.202</w:t>
            </w:r>
          </w:p>
        </w:tc>
        <w:tc>
          <w:tcPr>
            <w:tcW w:w="0" w:type="auto"/>
            <w:hideMark/>
          </w:tcPr>
          <w:p w14:paraId="3D33A773"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0.040</w:t>
            </w:r>
          </w:p>
        </w:tc>
        <w:tc>
          <w:tcPr>
            <w:tcW w:w="0" w:type="auto"/>
            <w:hideMark/>
          </w:tcPr>
          <w:p w14:paraId="01ABA98B"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0.027</w:t>
            </w:r>
          </w:p>
        </w:tc>
        <w:tc>
          <w:tcPr>
            <w:tcW w:w="0" w:type="auto"/>
            <w:hideMark/>
          </w:tcPr>
          <w:p w14:paraId="3193E6E7" w14:textId="77777777" w:rsidR="009C778C" w:rsidRPr="001B5C9F" w:rsidRDefault="009C778C" w:rsidP="0007040E">
            <w:pPr>
              <w:pStyle w:val="NoSpacing"/>
              <w:rPr>
                <w:rFonts w:cstheme="minorHAnsi"/>
                <w:sz w:val="20"/>
                <w:szCs w:val="20"/>
              </w:rPr>
            </w:pPr>
            <w:r w:rsidRPr="001B5C9F">
              <w:rPr>
                <w:rFonts w:cstheme="minorHAnsi"/>
                <w:b/>
                <w:bCs/>
                <w:sz w:val="20"/>
                <w:szCs w:val="20"/>
              </w:rPr>
              <w:t>0.488</w:t>
            </w:r>
          </w:p>
        </w:tc>
        <w:tc>
          <w:tcPr>
            <w:tcW w:w="0" w:type="auto"/>
            <w:hideMark/>
          </w:tcPr>
          <w:p w14:paraId="120E089C" w14:textId="77777777" w:rsidR="009C778C" w:rsidRPr="001B5C9F" w:rsidRDefault="009C778C" w:rsidP="0007040E">
            <w:pPr>
              <w:pStyle w:val="NoSpacing"/>
              <w:rPr>
                <w:rFonts w:cstheme="minorHAnsi"/>
                <w:sz w:val="20"/>
                <w:szCs w:val="20"/>
              </w:rPr>
            </w:pPr>
            <w:r w:rsidRPr="001B5C9F">
              <w:rPr>
                <w:rFonts w:cstheme="minorHAnsi"/>
                <w:b/>
                <w:bCs/>
                <w:sz w:val="20"/>
                <w:szCs w:val="20"/>
              </w:rPr>
              <w:t>0.053</w:t>
            </w:r>
          </w:p>
        </w:tc>
        <w:tc>
          <w:tcPr>
            <w:tcW w:w="0" w:type="auto"/>
            <w:hideMark/>
          </w:tcPr>
          <w:p w14:paraId="3F6D073D" w14:textId="77777777" w:rsidR="009C778C" w:rsidRPr="001B5C9F" w:rsidRDefault="009C778C" w:rsidP="0007040E">
            <w:pPr>
              <w:pStyle w:val="NoSpacing"/>
              <w:rPr>
                <w:rFonts w:cstheme="minorHAnsi"/>
                <w:sz w:val="20"/>
                <w:szCs w:val="20"/>
              </w:rPr>
            </w:pPr>
            <w:r w:rsidRPr="001B5C9F">
              <w:rPr>
                <w:rFonts w:cstheme="minorHAnsi"/>
                <w:b/>
                <w:bCs/>
                <w:sz w:val="20"/>
                <w:szCs w:val="20"/>
              </w:rPr>
              <w:t>0.083</w:t>
            </w:r>
          </w:p>
        </w:tc>
        <w:tc>
          <w:tcPr>
            <w:tcW w:w="0" w:type="auto"/>
            <w:hideMark/>
          </w:tcPr>
          <w:p w14:paraId="54BB7C56" w14:textId="77777777" w:rsidR="009C778C" w:rsidRPr="001B5C9F" w:rsidRDefault="009C778C" w:rsidP="0007040E">
            <w:pPr>
              <w:pStyle w:val="NoSpacing"/>
              <w:rPr>
                <w:rFonts w:cstheme="minorHAnsi"/>
                <w:sz w:val="20"/>
                <w:szCs w:val="20"/>
              </w:rPr>
            </w:pPr>
            <w:r w:rsidRPr="001B5C9F">
              <w:rPr>
                <w:rFonts w:cstheme="minorHAnsi"/>
                <w:b/>
                <w:bCs/>
                <w:sz w:val="20"/>
                <w:szCs w:val="20"/>
              </w:rPr>
              <w:t>0.089</w:t>
            </w:r>
          </w:p>
        </w:tc>
        <w:tc>
          <w:tcPr>
            <w:tcW w:w="0" w:type="auto"/>
            <w:hideMark/>
          </w:tcPr>
          <w:p w14:paraId="379DCC87"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0.157</w:t>
            </w:r>
          </w:p>
        </w:tc>
        <w:tc>
          <w:tcPr>
            <w:tcW w:w="0" w:type="auto"/>
            <w:hideMark/>
          </w:tcPr>
          <w:p w14:paraId="3BBC365A" w14:textId="77777777" w:rsidR="009C778C" w:rsidRPr="001B5C9F" w:rsidRDefault="009C778C" w:rsidP="0007040E">
            <w:pPr>
              <w:pStyle w:val="NoSpacing"/>
              <w:rPr>
                <w:rFonts w:cstheme="minorHAnsi"/>
                <w:sz w:val="20"/>
                <w:szCs w:val="20"/>
              </w:rPr>
            </w:pPr>
            <w:r w:rsidRPr="001B5C9F">
              <w:rPr>
                <w:rFonts w:cstheme="minorHAnsi"/>
                <w:b/>
                <w:bCs/>
                <w:sz w:val="20"/>
                <w:szCs w:val="20"/>
              </w:rPr>
              <w:t>0.034</w:t>
            </w:r>
          </w:p>
        </w:tc>
        <w:tc>
          <w:tcPr>
            <w:tcW w:w="0" w:type="auto"/>
            <w:hideMark/>
          </w:tcPr>
          <w:p w14:paraId="3E7DF655"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015FFA57" w14:textId="77777777" w:rsidR="009C778C" w:rsidRPr="001B5C9F" w:rsidRDefault="009C778C" w:rsidP="0007040E">
            <w:pPr>
              <w:pStyle w:val="NoSpacing"/>
              <w:rPr>
                <w:rFonts w:cstheme="minorHAnsi"/>
                <w:sz w:val="20"/>
                <w:szCs w:val="20"/>
              </w:rPr>
            </w:pPr>
          </w:p>
        </w:tc>
        <w:tc>
          <w:tcPr>
            <w:tcW w:w="0" w:type="auto"/>
            <w:hideMark/>
          </w:tcPr>
          <w:p w14:paraId="5A139ED1" w14:textId="77777777" w:rsidR="009C778C" w:rsidRPr="001B5C9F" w:rsidRDefault="009C778C" w:rsidP="0007040E">
            <w:pPr>
              <w:pStyle w:val="NoSpacing"/>
              <w:rPr>
                <w:rFonts w:cstheme="minorHAnsi"/>
                <w:sz w:val="20"/>
                <w:szCs w:val="20"/>
              </w:rPr>
            </w:pPr>
          </w:p>
        </w:tc>
      </w:tr>
      <w:tr w:rsidR="009C778C" w:rsidRPr="001B5C9F" w14:paraId="56B4B7CF" w14:textId="77777777" w:rsidTr="001A7C2C">
        <w:tc>
          <w:tcPr>
            <w:tcW w:w="0" w:type="auto"/>
            <w:hideMark/>
          </w:tcPr>
          <w:p w14:paraId="1F404DDE"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17</w:t>
            </w:r>
          </w:p>
        </w:tc>
        <w:tc>
          <w:tcPr>
            <w:tcW w:w="0" w:type="auto"/>
            <w:hideMark/>
          </w:tcPr>
          <w:p w14:paraId="00F805CF" w14:textId="77777777" w:rsidR="009C778C" w:rsidRPr="001B5C9F" w:rsidRDefault="009C778C" w:rsidP="0007040E">
            <w:pPr>
              <w:pStyle w:val="NoSpacing"/>
              <w:rPr>
                <w:rFonts w:cstheme="minorHAnsi"/>
                <w:sz w:val="20"/>
                <w:szCs w:val="20"/>
              </w:rPr>
            </w:pPr>
            <w:r w:rsidRPr="001B5C9F">
              <w:rPr>
                <w:rFonts w:cstheme="minorHAnsi"/>
                <w:sz w:val="20"/>
                <w:szCs w:val="20"/>
              </w:rPr>
              <w:t>GDPGROWTH</w:t>
            </w:r>
          </w:p>
        </w:tc>
        <w:tc>
          <w:tcPr>
            <w:tcW w:w="0" w:type="auto"/>
            <w:hideMark/>
          </w:tcPr>
          <w:p w14:paraId="4603869A" w14:textId="77777777" w:rsidR="009C778C" w:rsidRPr="001B5C9F" w:rsidRDefault="009C778C" w:rsidP="0007040E">
            <w:pPr>
              <w:pStyle w:val="NoSpacing"/>
              <w:rPr>
                <w:rFonts w:cstheme="minorHAnsi"/>
                <w:sz w:val="20"/>
                <w:szCs w:val="20"/>
              </w:rPr>
            </w:pPr>
            <w:r w:rsidRPr="001B5C9F">
              <w:rPr>
                <w:rFonts w:cstheme="minorHAnsi"/>
                <w:b/>
                <w:bCs/>
                <w:sz w:val="20"/>
                <w:szCs w:val="20"/>
              </w:rPr>
              <w:t>0.027</w:t>
            </w:r>
          </w:p>
        </w:tc>
        <w:tc>
          <w:tcPr>
            <w:tcW w:w="0" w:type="auto"/>
            <w:hideMark/>
          </w:tcPr>
          <w:p w14:paraId="104FA8D4" w14:textId="77777777" w:rsidR="009C778C" w:rsidRPr="001B5C9F" w:rsidRDefault="009C778C" w:rsidP="0007040E">
            <w:pPr>
              <w:pStyle w:val="NoSpacing"/>
              <w:rPr>
                <w:rFonts w:cstheme="minorHAnsi"/>
                <w:sz w:val="20"/>
                <w:szCs w:val="20"/>
              </w:rPr>
            </w:pPr>
            <w:r w:rsidRPr="001B5C9F">
              <w:rPr>
                <w:rFonts w:cstheme="minorHAnsi"/>
                <w:b/>
                <w:bCs/>
                <w:sz w:val="20"/>
                <w:szCs w:val="20"/>
              </w:rPr>
              <w:t>0.040</w:t>
            </w:r>
          </w:p>
        </w:tc>
        <w:tc>
          <w:tcPr>
            <w:tcW w:w="0" w:type="auto"/>
            <w:hideMark/>
          </w:tcPr>
          <w:p w14:paraId="5B0C74A7" w14:textId="77777777" w:rsidR="009C778C" w:rsidRPr="001B5C9F" w:rsidRDefault="009C778C" w:rsidP="0007040E">
            <w:pPr>
              <w:pStyle w:val="NoSpacing"/>
              <w:rPr>
                <w:rFonts w:cstheme="minorHAnsi"/>
                <w:sz w:val="20"/>
                <w:szCs w:val="20"/>
              </w:rPr>
            </w:pPr>
            <w:r w:rsidRPr="001B5C9F">
              <w:rPr>
                <w:rFonts w:cstheme="minorHAnsi"/>
                <w:b/>
                <w:bCs/>
                <w:sz w:val="20"/>
                <w:szCs w:val="20"/>
              </w:rPr>
              <w:t>0.022</w:t>
            </w:r>
          </w:p>
        </w:tc>
        <w:tc>
          <w:tcPr>
            <w:tcW w:w="0" w:type="auto"/>
            <w:hideMark/>
          </w:tcPr>
          <w:p w14:paraId="07E407E2" w14:textId="77777777" w:rsidR="009C778C" w:rsidRPr="001B5C9F" w:rsidRDefault="009C778C" w:rsidP="0007040E">
            <w:pPr>
              <w:pStyle w:val="NoSpacing"/>
              <w:rPr>
                <w:rFonts w:cstheme="minorHAnsi"/>
                <w:sz w:val="20"/>
                <w:szCs w:val="20"/>
              </w:rPr>
            </w:pPr>
            <w:r w:rsidRPr="001B5C9F">
              <w:rPr>
                <w:rFonts w:cstheme="minorHAnsi"/>
                <w:b/>
                <w:bCs/>
                <w:sz w:val="20"/>
                <w:szCs w:val="20"/>
              </w:rPr>
              <w:t>0.034</w:t>
            </w:r>
          </w:p>
        </w:tc>
        <w:tc>
          <w:tcPr>
            <w:tcW w:w="0" w:type="auto"/>
            <w:hideMark/>
          </w:tcPr>
          <w:p w14:paraId="520F1B14"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0.068</w:t>
            </w:r>
          </w:p>
        </w:tc>
        <w:tc>
          <w:tcPr>
            <w:tcW w:w="0" w:type="auto"/>
            <w:hideMark/>
          </w:tcPr>
          <w:p w14:paraId="288EAE07"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0.069</w:t>
            </w:r>
          </w:p>
        </w:tc>
        <w:tc>
          <w:tcPr>
            <w:tcW w:w="0" w:type="auto"/>
            <w:hideMark/>
          </w:tcPr>
          <w:p w14:paraId="04B6FB45"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0.034</w:t>
            </w:r>
          </w:p>
        </w:tc>
        <w:tc>
          <w:tcPr>
            <w:tcW w:w="0" w:type="auto"/>
            <w:hideMark/>
          </w:tcPr>
          <w:p w14:paraId="7AD2266F"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0.043</w:t>
            </w:r>
          </w:p>
        </w:tc>
        <w:tc>
          <w:tcPr>
            <w:tcW w:w="0" w:type="auto"/>
            <w:hideMark/>
          </w:tcPr>
          <w:p w14:paraId="6B195C25" w14:textId="77777777" w:rsidR="009C778C" w:rsidRPr="001B5C9F" w:rsidRDefault="009C778C" w:rsidP="0007040E">
            <w:pPr>
              <w:pStyle w:val="NoSpacing"/>
              <w:rPr>
                <w:rFonts w:cstheme="minorHAnsi"/>
                <w:sz w:val="20"/>
                <w:szCs w:val="20"/>
              </w:rPr>
            </w:pPr>
            <w:r w:rsidRPr="001B5C9F">
              <w:rPr>
                <w:rFonts w:cstheme="minorHAnsi"/>
                <w:b/>
                <w:bCs/>
                <w:sz w:val="20"/>
                <w:szCs w:val="20"/>
              </w:rPr>
              <w:t>0.122</w:t>
            </w:r>
          </w:p>
        </w:tc>
        <w:tc>
          <w:tcPr>
            <w:tcW w:w="0" w:type="auto"/>
            <w:hideMark/>
          </w:tcPr>
          <w:p w14:paraId="46F0DFF7"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0.084</w:t>
            </w:r>
          </w:p>
        </w:tc>
        <w:tc>
          <w:tcPr>
            <w:tcW w:w="0" w:type="auto"/>
            <w:hideMark/>
          </w:tcPr>
          <w:p w14:paraId="21CCEF8F" w14:textId="77777777" w:rsidR="009C778C" w:rsidRPr="001B5C9F" w:rsidRDefault="009C778C" w:rsidP="0007040E">
            <w:pPr>
              <w:pStyle w:val="NoSpacing"/>
              <w:rPr>
                <w:rFonts w:cstheme="minorHAnsi"/>
                <w:sz w:val="20"/>
                <w:szCs w:val="20"/>
              </w:rPr>
            </w:pPr>
            <w:r w:rsidRPr="001B5C9F">
              <w:rPr>
                <w:rFonts w:cstheme="minorHAnsi"/>
                <w:b/>
                <w:bCs/>
                <w:sz w:val="20"/>
                <w:szCs w:val="20"/>
              </w:rPr>
              <w:t>0.135</w:t>
            </w:r>
          </w:p>
        </w:tc>
        <w:tc>
          <w:tcPr>
            <w:tcW w:w="0" w:type="auto"/>
            <w:hideMark/>
          </w:tcPr>
          <w:p w14:paraId="4E0EF8D8" w14:textId="77777777" w:rsidR="009C778C" w:rsidRPr="001B5C9F" w:rsidRDefault="009C778C" w:rsidP="0007040E">
            <w:pPr>
              <w:pStyle w:val="NoSpacing"/>
              <w:rPr>
                <w:rFonts w:cstheme="minorHAnsi"/>
                <w:sz w:val="20"/>
                <w:szCs w:val="20"/>
              </w:rPr>
            </w:pPr>
            <w:r w:rsidRPr="001B5C9F">
              <w:rPr>
                <w:rFonts w:cstheme="minorHAnsi"/>
                <w:b/>
                <w:bCs/>
                <w:sz w:val="20"/>
                <w:szCs w:val="20"/>
              </w:rPr>
              <w:t>0.008</w:t>
            </w:r>
          </w:p>
        </w:tc>
        <w:tc>
          <w:tcPr>
            <w:tcW w:w="0" w:type="auto"/>
            <w:hideMark/>
          </w:tcPr>
          <w:p w14:paraId="2F6D63A4" w14:textId="77777777" w:rsidR="009C778C" w:rsidRPr="001B5C9F" w:rsidRDefault="009C778C" w:rsidP="0007040E">
            <w:pPr>
              <w:pStyle w:val="NoSpacing"/>
              <w:rPr>
                <w:rFonts w:cstheme="minorHAnsi"/>
                <w:sz w:val="20"/>
                <w:szCs w:val="20"/>
              </w:rPr>
            </w:pPr>
            <w:r w:rsidRPr="001B5C9F">
              <w:rPr>
                <w:rFonts w:cstheme="minorHAnsi"/>
                <w:b/>
                <w:bCs/>
                <w:sz w:val="20"/>
                <w:szCs w:val="20"/>
              </w:rPr>
              <w:t>0.050</w:t>
            </w:r>
          </w:p>
        </w:tc>
        <w:tc>
          <w:tcPr>
            <w:tcW w:w="0" w:type="auto"/>
            <w:hideMark/>
          </w:tcPr>
          <w:p w14:paraId="12945702"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0.024</w:t>
            </w:r>
          </w:p>
        </w:tc>
        <w:tc>
          <w:tcPr>
            <w:tcW w:w="0" w:type="auto"/>
            <w:hideMark/>
          </w:tcPr>
          <w:p w14:paraId="5FDAA5B1"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0.055</w:t>
            </w:r>
          </w:p>
        </w:tc>
        <w:tc>
          <w:tcPr>
            <w:tcW w:w="0" w:type="auto"/>
            <w:hideMark/>
          </w:tcPr>
          <w:p w14:paraId="62135975"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0.173</w:t>
            </w:r>
          </w:p>
        </w:tc>
        <w:tc>
          <w:tcPr>
            <w:tcW w:w="0" w:type="auto"/>
            <w:hideMark/>
          </w:tcPr>
          <w:p w14:paraId="1B5BB566"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c>
          <w:tcPr>
            <w:tcW w:w="0" w:type="auto"/>
            <w:hideMark/>
          </w:tcPr>
          <w:p w14:paraId="284AC001" w14:textId="77777777" w:rsidR="009C778C" w:rsidRPr="001B5C9F" w:rsidRDefault="009C778C" w:rsidP="0007040E">
            <w:pPr>
              <w:pStyle w:val="NoSpacing"/>
              <w:rPr>
                <w:rFonts w:cstheme="minorHAnsi"/>
                <w:sz w:val="20"/>
                <w:szCs w:val="20"/>
              </w:rPr>
            </w:pPr>
          </w:p>
        </w:tc>
      </w:tr>
      <w:tr w:rsidR="009C778C" w:rsidRPr="001B5C9F" w14:paraId="2F5A39A7" w14:textId="77777777" w:rsidTr="001A7C2C">
        <w:tc>
          <w:tcPr>
            <w:tcW w:w="0" w:type="auto"/>
            <w:hideMark/>
          </w:tcPr>
          <w:p w14:paraId="6DFC6B0B" w14:textId="77777777" w:rsidR="009C778C" w:rsidRPr="001B5C9F" w:rsidRDefault="009C778C" w:rsidP="0007040E">
            <w:pPr>
              <w:pStyle w:val="NoSpacing"/>
              <w:rPr>
                <w:rFonts w:cstheme="minorHAnsi"/>
                <w:b/>
                <w:bCs/>
                <w:sz w:val="20"/>
                <w:szCs w:val="20"/>
              </w:rPr>
            </w:pPr>
            <w:r w:rsidRPr="001B5C9F">
              <w:rPr>
                <w:rFonts w:cstheme="minorHAnsi"/>
                <w:b/>
                <w:bCs/>
                <w:sz w:val="20"/>
                <w:szCs w:val="20"/>
              </w:rPr>
              <w:t>18</w:t>
            </w:r>
          </w:p>
        </w:tc>
        <w:tc>
          <w:tcPr>
            <w:tcW w:w="0" w:type="auto"/>
            <w:hideMark/>
          </w:tcPr>
          <w:p w14:paraId="07A385F4" w14:textId="77777777" w:rsidR="009C778C" w:rsidRPr="001B5C9F" w:rsidRDefault="009C778C" w:rsidP="0007040E">
            <w:pPr>
              <w:pStyle w:val="NoSpacing"/>
              <w:rPr>
                <w:rFonts w:cstheme="minorHAnsi"/>
                <w:sz w:val="20"/>
                <w:szCs w:val="20"/>
              </w:rPr>
            </w:pPr>
            <w:r w:rsidRPr="001B5C9F">
              <w:rPr>
                <w:rFonts w:cstheme="minorHAnsi"/>
                <w:sz w:val="20"/>
                <w:szCs w:val="20"/>
              </w:rPr>
              <w:t>INFLATION</w:t>
            </w:r>
          </w:p>
        </w:tc>
        <w:tc>
          <w:tcPr>
            <w:tcW w:w="0" w:type="auto"/>
            <w:hideMark/>
          </w:tcPr>
          <w:p w14:paraId="275685FC" w14:textId="77777777" w:rsidR="009C778C" w:rsidRPr="001B5C9F" w:rsidRDefault="009C778C" w:rsidP="0007040E">
            <w:pPr>
              <w:pStyle w:val="NoSpacing"/>
              <w:rPr>
                <w:rFonts w:cstheme="minorHAnsi"/>
                <w:sz w:val="20"/>
                <w:szCs w:val="20"/>
              </w:rPr>
            </w:pPr>
            <w:r w:rsidRPr="001B5C9F">
              <w:rPr>
                <w:rFonts w:cstheme="minorHAnsi"/>
                <w:b/>
                <w:bCs/>
                <w:sz w:val="20"/>
                <w:szCs w:val="20"/>
              </w:rPr>
              <w:t>0.066</w:t>
            </w:r>
          </w:p>
        </w:tc>
        <w:tc>
          <w:tcPr>
            <w:tcW w:w="0" w:type="auto"/>
            <w:hideMark/>
          </w:tcPr>
          <w:p w14:paraId="3D5ECBB2" w14:textId="77777777" w:rsidR="009C778C" w:rsidRPr="001B5C9F" w:rsidRDefault="009C778C" w:rsidP="0007040E">
            <w:pPr>
              <w:pStyle w:val="NoSpacing"/>
              <w:rPr>
                <w:rFonts w:cstheme="minorHAnsi"/>
                <w:sz w:val="20"/>
                <w:szCs w:val="20"/>
              </w:rPr>
            </w:pPr>
            <w:r w:rsidRPr="001B5C9F">
              <w:rPr>
                <w:rFonts w:cstheme="minorHAnsi"/>
                <w:b/>
                <w:bCs/>
                <w:sz w:val="20"/>
                <w:szCs w:val="20"/>
              </w:rPr>
              <w:t>0.116</w:t>
            </w:r>
          </w:p>
        </w:tc>
        <w:tc>
          <w:tcPr>
            <w:tcW w:w="0" w:type="auto"/>
            <w:hideMark/>
          </w:tcPr>
          <w:p w14:paraId="78B93983" w14:textId="77777777" w:rsidR="009C778C" w:rsidRPr="001B5C9F" w:rsidRDefault="009C778C" w:rsidP="0007040E">
            <w:pPr>
              <w:pStyle w:val="NoSpacing"/>
              <w:rPr>
                <w:rFonts w:cstheme="minorHAnsi"/>
                <w:sz w:val="20"/>
                <w:szCs w:val="20"/>
              </w:rPr>
            </w:pPr>
            <w:r w:rsidRPr="001B5C9F">
              <w:rPr>
                <w:rFonts w:cstheme="minorHAnsi"/>
                <w:b/>
                <w:bCs/>
                <w:sz w:val="20"/>
                <w:szCs w:val="20"/>
              </w:rPr>
              <w:t>0.069</w:t>
            </w:r>
          </w:p>
        </w:tc>
        <w:tc>
          <w:tcPr>
            <w:tcW w:w="0" w:type="auto"/>
            <w:hideMark/>
          </w:tcPr>
          <w:p w14:paraId="74E04C39" w14:textId="77777777" w:rsidR="009C778C" w:rsidRPr="001B5C9F" w:rsidRDefault="009C778C" w:rsidP="0007040E">
            <w:pPr>
              <w:pStyle w:val="NoSpacing"/>
              <w:rPr>
                <w:rFonts w:cstheme="minorHAnsi"/>
                <w:sz w:val="20"/>
                <w:szCs w:val="20"/>
              </w:rPr>
            </w:pPr>
            <w:r w:rsidRPr="001B5C9F">
              <w:rPr>
                <w:rFonts w:cstheme="minorHAnsi"/>
                <w:b/>
                <w:bCs/>
                <w:sz w:val="20"/>
                <w:szCs w:val="20"/>
              </w:rPr>
              <w:t>0.100</w:t>
            </w:r>
          </w:p>
        </w:tc>
        <w:tc>
          <w:tcPr>
            <w:tcW w:w="0" w:type="auto"/>
            <w:hideMark/>
          </w:tcPr>
          <w:p w14:paraId="5BD92DCD" w14:textId="77777777" w:rsidR="009C778C" w:rsidRPr="001B5C9F" w:rsidRDefault="009C778C" w:rsidP="0007040E">
            <w:pPr>
              <w:pStyle w:val="NoSpacing"/>
              <w:rPr>
                <w:rFonts w:cstheme="minorHAnsi"/>
                <w:sz w:val="20"/>
                <w:szCs w:val="20"/>
              </w:rPr>
            </w:pPr>
            <w:r w:rsidRPr="001B5C9F">
              <w:rPr>
                <w:rFonts w:cstheme="minorHAnsi"/>
                <w:b/>
                <w:bCs/>
                <w:sz w:val="20"/>
                <w:szCs w:val="20"/>
              </w:rPr>
              <w:t>0.066</w:t>
            </w:r>
          </w:p>
        </w:tc>
        <w:tc>
          <w:tcPr>
            <w:tcW w:w="0" w:type="auto"/>
            <w:hideMark/>
          </w:tcPr>
          <w:p w14:paraId="35BEFE7F" w14:textId="77777777" w:rsidR="009C778C" w:rsidRPr="001B5C9F" w:rsidRDefault="009C778C" w:rsidP="0007040E">
            <w:pPr>
              <w:pStyle w:val="NoSpacing"/>
              <w:rPr>
                <w:rFonts w:cstheme="minorHAnsi"/>
                <w:sz w:val="20"/>
                <w:szCs w:val="20"/>
              </w:rPr>
            </w:pPr>
            <w:r w:rsidRPr="001B5C9F">
              <w:rPr>
                <w:rFonts w:cstheme="minorHAnsi"/>
                <w:b/>
                <w:bCs/>
                <w:sz w:val="20"/>
                <w:szCs w:val="20"/>
              </w:rPr>
              <w:t>0.069</w:t>
            </w:r>
          </w:p>
        </w:tc>
        <w:tc>
          <w:tcPr>
            <w:tcW w:w="0" w:type="auto"/>
            <w:hideMark/>
          </w:tcPr>
          <w:p w14:paraId="7B360CA0" w14:textId="77777777" w:rsidR="009C778C" w:rsidRPr="001B5C9F" w:rsidRDefault="009C778C" w:rsidP="0007040E">
            <w:pPr>
              <w:pStyle w:val="NoSpacing"/>
              <w:rPr>
                <w:rFonts w:cstheme="minorHAnsi"/>
                <w:sz w:val="20"/>
                <w:szCs w:val="20"/>
              </w:rPr>
            </w:pPr>
            <w:r w:rsidRPr="001B5C9F">
              <w:rPr>
                <w:rFonts w:cstheme="minorHAnsi"/>
                <w:b/>
                <w:bCs/>
                <w:sz w:val="20"/>
                <w:szCs w:val="20"/>
              </w:rPr>
              <w:t>0.027</w:t>
            </w:r>
          </w:p>
        </w:tc>
        <w:tc>
          <w:tcPr>
            <w:tcW w:w="0" w:type="auto"/>
            <w:hideMark/>
          </w:tcPr>
          <w:p w14:paraId="638F42B2"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0.104</w:t>
            </w:r>
          </w:p>
        </w:tc>
        <w:tc>
          <w:tcPr>
            <w:tcW w:w="0" w:type="auto"/>
            <w:hideMark/>
          </w:tcPr>
          <w:p w14:paraId="09FE8826" w14:textId="77777777" w:rsidR="009C778C" w:rsidRPr="001B5C9F" w:rsidRDefault="009C778C" w:rsidP="0007040E">
            <w:pPr>
              <w:pStyle w:val="NoSpacing"/>
              <w:rPr>
                <w:rFonts w:cstheme="minorHAnsi"/>
                <w:sz w:val="20"/>
                <w:szCs w:val="20"/>
              </w:rPr>
            </w:pPr>
            <w:r w:rsidRPr="001B5C9F">
              <w:rPr>
                <w:rFonts w:cstheme="minorHAnsi"/>
                <w:b/>
                <w:bCs/>
                <w:sz w:val="20"/>
                <w:szCs w:val="20"/>
              </w:rPr>
              <w:t>0.082</w:t>
            </w:r>
          </w:p>
        </w:tc>
        <w:tc>
          <w:tcPr>
            <w:tcW w:w="0" w:type="auto"/>
            <w:hideMark/>
          </w:tcPr>
          <w:p w14:paraId="04B9D959" w14:textId="77777777" w:rsidR="009C778C" w:rsidRPr="001B5C9F" w:rsidRDefault="009C778C" w:rsidP="0007040E">
            <w:pPr>
              <w:pStyle w:val="NoSpacing"/>
              <w:rPr>
                <w:rFonts w:cstheme="minorHAnsi"/>
                <w:sz w:val="20"/>
                <w:szCs w:val="20"/>
              </w:rPr>
            </w:pPr>
            <w:r w:rsidRPr="001B5C9F">
              <w:rPr>
                <w:rFonts w:cstheme="minorHAnsi"/>
                <w:b/>
                <w:bCs/>
                <w:sz w:val="20"/>
                <w:szCs w:val="20"/>
              </w:rPr>
              <w:t>0.064</w:t>
            </w:r>
          </w:p>
        </w:tc>
        <w:tc>
          <w:tcPr>
            <w:tcW w:w="0" w:type="auto"/>
            <w:hideMark/>
          </w:tcPr>
          <w:p w14:paraId="68D3E001" w14:textId="77777777" w:rsidR="009C778C" w:rsidRPr="001B5C9F" w:rsidRDefault="009C778C" w:rsidP="0007040E">
            <w:pPr>
              <w:pStyle w:val="NoSpacing"/>
              <w:rPr>
                <w:rFonts w:cstheme="minorHAnsi"/>
                <w:sz w:val="20"/>
                <w:szCs w:val="20"/>
              </w:rPr>
            </w:pPr>
            <w:r w:rsidRPr="001B5C9F">
              <w:rPr>
                <w:rFonts w:cstheme="minorHAnsi"/>
                <w:b/>
                <w:bCs/>
                <w:sz w:val="20"/>
                <w:szCs w:val="20"/>
              </w:rPr>
              <w:t>0.137</w:t>
            </w:r>
          </w:p>
        </w:tc>
        <w:tc>
          <w:tcPr>
            <w:tcW w:w="0" w:type="auto"/>
            <w:hideMark/>
          </w:tcPr>
          <w:p w14:paraId="23457ACE" w14:textId="77777777" w:rsidR="009C778C" w:rsidRPr="001B5C9F" w:rsidRDefault="009C778C" w:rsidP="0007040E">
            <w:pPr>
              <w:pStyle w:val="NoSpacing"/>
              <w:rPr>
                <w:rFonts w:cstheme="minorHAnsi"/>
                <w:sz w:val="20"/>
                <w:szCs w:val="20"/>
              </w:rPr>
            </w:pPr>
            <w:r w:rsidRPr="001B5C9F">
              <w:rPr>
                <w:rFonts w:cstheme="minorHAnsi"/>
                <w:b/>
                <w:bCs/>
                <w:sz w:val="20"/>
                <w:szCs w:val="20"/>
              </w:rPr>
              <w:t>0.137</w:t>
            </w:r>
          </w:p>
        </w:tc>
        <w:tc>
          <w:tcPr>
            <w:tcW w:w="0" w:type="auto"/>
            <w:hideMark/>
          </w:tcPr>
          <w:p w14:paraId="3B84EEA7" w14:textId="77777777" w:rsidR="009C778C" w:rsidRPr="001B5C9F" w:rsidRDefault="009C778C" w:rsidP="0007040E">
            <w:pPr>
              <w:pStyle w:val="NoSpacing"/>
              <w:rPr>
                <w:rFonts w:cstheme="minorHAnsi"/>
                <w:sz w:val="20"/>
                <w:szCs w:val="20"/>
              </w:rPr>
            </w:pPr>
            <w:r w:rsidRPr="001B5C9F">
              <w:rPr>
                <w:rFonts w:cstheme="minorHAnsi"/>
                <w:b/>
                <w:bCs/>
                <w:sz w:val="20"/>
                <w:szCs w:val="20"/>
              </w:rPr>
              <w:t>0.124</w:t>
            </w:r>
          </w:p>
        </w:tc>
        <w:tc>
          <w:tcPr>
            <w:tcW w:w="0" w:type="auto"/>
            <w:hideMark/>
          </w:tcPr>
          <w:p w14:paraId="75C450E2"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0.119</w:t>
            </w:r>
          </w:p>
        </w:tc>
        <w:tc>
          <w:tcPr>
            <w:tcW w:w="0" w:type="auto"/>
            <w:hideMark/>
          </w:tcPr>
          <w:p w14:paraId="075FF49A" w14:textId="77777777" w:rsidR="009C778C" w:rsidRPr="001B5C9F" w:rsidRDefault="009C778C" w:rsidP="0007040E">
            <w:pPr>
              <w:pStyle w:val="NoSpacing"/>
              <w:rPr>
                <w:rFonts w:cstheme="minorHAnsi"/>
                <w:sz w:val="20"/>
                <w:szCs w:val="20"/>
              </w:rPr>
            </w:pPr>
            <w:r w:rsidRPr="001B5C9F">
              <w:rPr>
                <w:rFonts w:cstheme="minorHAnsi"/>
                <w:b/>
                <w:bCs/>
                <w:sz w:val="20"/>
                <w:szCs w:val="20"/>
              </w:rPr>
              <w:t>−</w:t>
            </w:r>
            <w:r w:rsidRPr="001B5C9F">
              <w:rPr>
                <w:rFonts w:cstheme="minorHAnsi"/>
                <w:sz w:val="20"/>
                <w:szCs w:val="20"/>
              </w:rPr>
              <w:t> </w:t>
            </w:r>
            <w:r w:rsidRPr="001B5C9F">
              <w:rPr>
                <w:rFonts w:cstheme="minorHAnsi"/>
                <w:b/>
                <w:bCs/>
                <w:sz w:val="20"/>
                <w:szCs w:val="20"/>
              </w:rPr>
              <w:t>0.093</w:t>
            </w:r>
          </w:p>
        </w:tc>
        <w:tc>
          <w:tcPr>
            <w:tcW w:w="0" w:type="auto"/>
            <w:hideMark/>
          </w:tcPr>
          <w:p w14:paraId="07376D39" w14:textId="77777777" w:rsidR="009C778C" w:rsidRPr="001B5C9F" w:rsidRDefault="009C778C" w:rsidP="0007040E">
            <w:pPr>
              <w:pStyle w:val="NoSpacing"/>
              <w:rPr>
                <w:rFonts w:cstheme="minorHAnsi"/>
                <w:sz w:val="20"/>
                <w:szCs w:val="20"/>
              </w:rPr>
            </w:pPr>
            <w:r w:rsidRPr="001B5C9F">
              <w:rPr>
                <w:rFonts w:cstheme="minorHAnsi"/>
                <w:b/>
                <w:bCs/>
                <w:sz w:val="20"/>
                <w:szCs w:val="20"/>
              </w:rPr>
              <w:t>0.154</w:t>
            </w:r>
          </w:p>
        </w:tc>
        <w:tc>
          <w:tcPr>
            <w:tcW w:w="0" w:type="auto"/>
            <w:hideMark/>
          </w:tcPr>
          <w:p w14:paraId="7465DCCD" w14:textId="77777777" w:rsidR="009C778C" w:rsidRPr="001B5C9F" w:rsidRDefault="009C778C" w:rsidP="0007040E">
            <w:pPr>
              <w:pStyle w:val="NoSpacing"/>
              <w:rPr>
                <w:rFonts w:cstheme="minorHAnsi"/>
                <w:sz w:val="20"/>
                <w:szCs w:val="20"/>
              </w:rPr>
            </w:pPr>
            <w:r w:rsidRPr="001B5C9F">
              <w:rPr>
                <w:rFonts w:cstheme="minorHAnsi"/>
                <w:sz w:val="20"/>
                <w:szCs w:val="20"/>
              </w:rPr>
              <w:t>0.438</w:t>
            </w:r>
          </w:p>
        </w:tc>
        <w:tc>
          <w:tcPr>
            <w:tcW w:w="0" w:type="auto"/>
            <w:hideMark/>
          </w:tcPr>
          <w:p w14:paraId="02D48E0D" w14:textId="77777777" w:rsidR="009C778C" w:rsidRPr="001B5C9F" w:rsidRDefault="009C778C" w:rsidP="0007040E">
            <w:pPr>
              <w:pStyle w:val="NoSpacing"/>
              <w:rPr>
                <w:rFonts w:cstheme="minorHAnsi"/>
                <w:sz w:val="20"/>
                <w:szCs w:val="20"/>
              </w:rPr>
            </w:pPr>
            <w:r w:rsidRPr="001B5C9F">
              <w:rPr>
                <w:rFonts w:cstheme="minorHAnsi"/>
                <w:sz w:val="20"/>
                <w:szCs w:val="20"/>
              </w:rPr>
              <w:t>1.000</w:t>
            </w:r>
          </w:p>
        </w:tc>
      </w:tr>
    </w:tbl>
    <w:p w14:paraId="1910DE00" w14:textId="77777777" w:rsidR="001A7C2C" w:rsidRDefault="001A7C2C" w:rsidP="009C778C">
      <w:pPr>
        <w:rPr>
          <w:rFonts w:cstheme="minorHAnsi"/>
          <w:sz w:val="24"/>
          <w:szCs w:val="24"/>
        </w:rPr>
        <w:sectPr w:rsidR="001A7C2C" w:rsidSect="00CF61B9">
          <w:pgSz w:w="20160" w:h="12240" w:orient="landscape" w:code="5"/>
          <w:pgMar w:top="1080" w:right="1080" w:bottom="1080" w:left="1080" w:header="720" w:footer="720" w:gutter="0"/>
          <w:cols w:space="720"/>
          <w:docGrid w:linePitch="360"/>
        </w:sectPr>
      </w:pPr>
    </w:p>
    <w:p w14:paraId="3362869A" w14:textId="77777777" w:rsidR="009C778C" w:rsidRPr="009C778C" w:rsidRDefault="009C778C" w:rsidP="001A7C2C">
      <w:pPr>
        <w:pStyle w:val="Heading1"/>
      </w:pPr>
      <w:r w:rsidRPr="009C778C">
        <w:t>4. Drivers behind monitoring effectiveness</w:t>
      </w:r>
    </w:p>
    <w:p w14:paraId="65D27EA3" w14:textId="77777777" w:rsidR="009C778C" w:rsidRPr="009C778C" w:rsidRDefault="009C778C" w:rsidP="001A7C2C">
      <w:pPr>
        <w:pStyle w:val="Heading2"/>
      </w:pPr>
      <w:r w:rsidRPr="009C778C">
        <w:t>4.1. Baseline results</w:t>
      </w:r>
    </w:p>
    <w:p w14:paraId="61D0B28E" w14:textId="77777777" w:rsidR="00D54ECD" w:rsidRDefault="009C778C" w:rsidP="009C778C">
      <w:pPr>
        <w:rPr>
          <w:rFonts w:cstheme="minorHAnsi"/>
          <w:sz w:val="24"/>
          <w:szCs w:val="24"/>
        </w:rPr>
      </w:pPr>
      <w:r w:rsidRPr="009C778C">
        <w:rPr>
          <w:rFonts w:cstheme="minorHAnsi"/>
          <w:sz w:val="24"/>
          <w:szCs w:val="24"/>
        </w:rPr>
        <w:t>To test </w:t>
      </w:r>
      <w:hyperlink r:id="rId70" w:anchor="en0005" w:history="1">
        <w:r w:rsidRPr="009C778C">
          <w:rPr>
            <w:rStyle w:val="Hyperlink"/>
            <w:rFonts w:cstheme="minorHAnsi"/>
            <w:sz w:val="24"/>
            <w:szCs w:val="24"/>
          </w:rPr>
          <w:t>H1</w:t>
        </w:r>
      </w:hyperlink>
      <w:r w:rsidRPr="009C778C">
        <w:rPr>
          <w:rFonts w:cstheme="minorHAnsi"/>
          <w:sz w:val="24"/>
          <w:szCs w:val="24"/>
        </w:rPr>
        <w:t>, </w:t>
      </w:r>
      <w:hyperlink r:id="rId71" w:anchor="en0020" w:history="1">
        <w:r w:rsidRPr="009C778C">
          <w:rPr>
            <w:rStyle w:val="Hyperlink"/>
            <w:rFonts w:cstheme="minorHAnsi"/>
            <w:sz w:val="24"/>
            <w:szCs w:val="24"/>
          </w:rPr>
          <w:t>H2</w:t>
        </w:r>
      </w:hyperlink>
      <w:r w:rsidRPr="009C778C">
        <w:rPr>
          <w:rFonts w:cstheme="minorHAnsi"/>
          <w:sz w:val="24"/>
          <w:szCs w:val="24"/>
        </w:rPr>
        <w:t>, we estimate the following baseline model:</w:t>
      </w:r>
    </w:p>
    <w:p w14:paraId="15045123" w14:textId="2DDE0A88" w:rsidR="00D54ECD" w:rsidRPr="005D5079" w:rsidRDefault="0044383A" w:rsidP="009C778C">
      <w:pPr>
        <w:rPr>
          <w:rFonts w:cstheme="minorHAnsi"/>
          <w:iCs/>
          <w:sz w:val="24"/>
          <w:szCs w:val="24"/>
        </w:rPr>
      </w:pPr>
      <m:oMathPara>
        <m:oMath>
          <m:d>
            <m:dPr>
              <m:begChr m:val="|"/>
              <m:endChr m:val="|"/>
              <m:ctrlPr>
                <w:rPr>
                  <w:rFonts w:ascii="Cambria Math" w:hAnsi="Cambria Math" w:cstheme="minorHAnsi"/>
                  <w:i/>
                  <w:sz w:val="24"/>
                  <w:szCs w:val="24"/>
                </w:rPr>
              </m:ctrlPr>
            </m:dPr>
            <m:e>
              <m:r>
                <w:rPr>
                  <w:rFonts w:ascii="Cambria Math" w:hAnsi="Cambria Math" w:cstheme="minorHAnsi"/>
                  <w:sz w:val="24"/>
                  <w:szCs w:val="24"/>
                </w:rPr>
                <m:t>E</m:t>
              </m:r>
              <m:sSub>
                <m:sSubPr>
                  <m:ctrlPr>
                    <w:rPr>
                      <w:rFonts w:ascii="Cambria Math" w:hAnsi="Cambria Math" w:cstheme="minorHAnsi"/>
                      <w:i/>
                      <w:sz w:val="24"/>
                      <w:szCs w:val="24"/>
                    </w:rPr>
                  </m:ctrlPr>
                </m:sSubPr>
                <m:e>
                  <m:r>
                    <w:rPr>
                      <w:rFonts w:ascii="Cambria Math" w:hAnsi="Cambria Math" w:cstheme="minorHAnsi"/>
                      <w:sz w:val="24"/>
                      <w:szCs w:val="24"/>
                    </w:rPr>
                    <m:t>M</m:t>
                  </m:r>
                </m:e>
                <m:sub>
                  <m:r>
                    <w:rPr>
                      <w:rFonts w:ascii="Cambria Math" w:hAnsi="Cambria Math" w:cstheme="minorHAnsi"/>
                      <w:sz w:val="24"/>
                      <w:szCs w:val="24"/>
                    </w:rPr>
                    <m:t>ijkt</m:t>
                  </m:r>
                </m:sub>
              </m:sSub>
            </m:e>
          </m:d>
          <m:r>
            <w:rPr>
              <w:rFonts w:ascii="Cambria Math" w:hAnsi="Cambria Math" w:cstheme="minorHAnsi"/>
              <w:sz w:val="24"/>
              <w:szCs w:val="24"/>
            </w:rPr>
            <m:t>=+</m:t>
          </m:r>
          <m:r>
            <w:rPr>
              <w:rFonts w:ascii="Cambria Math" w:hAnsi="Cambria Math" w:cstheme="minorHAnsi"/>
              <w:sz w:val="24"/>
              <w:szCs w:val="24"/>
            </w:rPr>
            <m:t>γ</m:t>
          </m:r>
          <m:sSub>
            <m:sSubPr>
              <m:ctrlPr>
                <w:rPr>
                  <w:rFonts w:ascii="Cambria Math" w:hAnsi="Cambria Math" w:cstheme="minorHAnsi"/>
                  <w:i/>
                  <w:sz w:val="24"/>
                  <w:szCs w:val="24"/>
                </w:rPr>
              </m:ctrlPr>
            </m:sSubPr>
            <m:e>
              <m:r>
                <m:rPr>
                  <m:sty m:val="p"/>
                </m:rPr>
                <w:rPr>
                  <w:rFonts w:ascii="Cambria Math" w:hAnsi="Cambria Math" w:cstheme="minorHAnsi"/>
                  <w:sz w:val="24"/>
                  <w:szCs w:val="24"/>
                </w:rPr>
                <m:t>INSTIT</m:t>
              </m:r>
              <m:ctrlPr>
                <w:rPr>
                  <w:rFonts w:ascii="Cambria Math" w:hAnsi="Cambria Math" w:cstheme="minorHAnsi"/>
                  <w:iCs/>
                  <w:sz w:val="24"/>
                  <w:szCs w:val="24"/>
                </w:rPr>
              </m:ctrlPr>
            </m:e>
            <m:sub>
              <m:r>
                <w:rPr>
                  <w:rFonts w:ascii="Cambria Math" w:hAnsi="Cambria Math" w:cstheme="minorHAnsi"/>
                  <w:sz w:val="24"/>
                  <w:szCs w:val="24"/>
                </w:rPr>
                <m:t>OW</m:t>
              </m:r>
              <m:sSub>
                <m:sSubPr>
                  <m:ctrlPr>
                    <w:rPr>
                      <w:rFonts w:ascii="Cambria Math" w:hAnsi="Cambria Math" w:cstheme="minorHAnsi"/>
                      <w:i/>
                      <w:sz w:val="24"/>
                      <w:szCs w:val="24"/>
                    </w:rPr>
                  </m:ctrlPr>
                </m:sSubPr>
                <m:e>
                  <m:r>
                    <w:rPr>
                      <w:rFonts w:ascii="Cambria Math" w:hAnsi="Cambria Math" w:cstheme="minorHAnsi"/>
                      <w:sz w:val="24"/>
                      <w:szCs w:val="24"/>
                    </w:rPr>
                    <m:t>N</m:t>
                  </m:r>
                </m:e>
                <m:sub>
                  <m:r>
                    <w:rPr>
                      <w:rFonts w:ascii="Cambria Math" w:hAnsi="Cambria Math" w:cstheme="minorHAnsi"/>
                      <w:sz w:val="24"/>
                      <w:szCs w:val="24"/>
                    </w:rPr>
                    <m:t>ijkt</m:t>
                  </m:r>
                  <m:r>
                    <w:rPr>
                      <w:rFonts w:ascii="Cambria Math" w:hAnsi="Cambria Math" w:cstheme="minorHAnsi"/>
                      <w:sz w:val="24"/>
                      <w:szCs w:val="24"/>
                    </w:rPr>
                    <m:t>-</m:t>
                  </m:r>
                  <m:r>
                    <w:rPr>
                      <w:rFonts w:ascii="Cambria Math" w:hAnsi="Cambria Math" w:cstheme="minorHAnsi"/>
                      <w:sz w:val="24"/>
                      <w:szCs w:val="24"/>
                    </w:rPr>
                    <m:t>1</m:t>
                  </m:r>
                </m:sub>
              </m:sSub>
            </m:sub>
          </m:sSub>
          <m:r>
            <w:rPr>
              <w:rFonts w:ascii="Cambria Math" w:hAnsi="Cambria Math" w:cstheme="minorHAnsi"/>
              <w:sz w:val="24"/>
              <w:szCs w:val="24"/>
            </w:rPr>
            <m:t>+</m:t>
          </m:r>
          <m:r>
            <w:rPr>
              <w:rFonts w:ascii="Cambria Math" w:hAnsi="Cambria Math" w:cstheme="minorHAnsi"/>
              <w:sz w:val="24"/>
              <w:szCs w:val="24"/>
            </w:rPr>
            <m:t>β</m:t>
          </m:r>
          <m:sSub>
            <m:sSubPr>
              <m:ctrlPr>
                <w:rPr>
                  <w:rFonts w:ascii="Cambria Math" w:hAnsi="Cambria Math" w:cstheme="minorHAnsi"/>
                  <w:iCs/>
                  <w:sz w:val="24"/>
                  <w:szCs w:val="24"/>
                </w:rPr>
              </m:ctrlPr>
            </m:sSubPr>
            <m:e>
              <m:r>
                <m:rPr>
                  <m:sty m:val="p"/>
                </m:rPr>
                <w:rPr>
                  <w:rFonts w:ascii="Cambria Math" w:hAnsi="Cambria Math" w:cstheme="minorHAnsi"/>
                  <w:sz w:val="24"/>
                  <w:szCs w:val="24"/>
                </w:rPr>
                <m:t>X</m:t>
              </m:r>
            </m:e>
            <m:sub>
              <m:r>
                <w:rPr>
                  <w:rFonts w:ascii="Cambria Math" w:hAnsi="Cambria Math" w:cstheme="minorHAnsi"/>
                  <w:sz w:val="24"/>
                  <w:szCs w:val="24"/>
                </w:rPr>
                <m:t>ijkt</m:t>
              </m:r>
              <m:r>
                <w:rPr>
                  <w:rFonts w:ascii="Cambria Math" w:hAnsi="Cambria Math" w:cstheme="minorHAnsi"/>
                  <w:sz w:val="24"/>
                  <w:szCs w:val="24"/>
                </w:rPr>
                <m:t>-</m:t>
              </m:r>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t</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k</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ε</m:t>
              </m:r>
            </m:e>
            <m:sub>
              <m:r>
                <w:rPr>
                  <w:rFonts w:ascii="Cambria Math" w:hAnsi="Cambria Math" w:cstheme="minorHAnsi"/>
                  <w:sz w:val="24"/>
                  <w:szCs w:val="24"/>
                </w:rPr>
                <m:t>ijkt</m:t>
              </m:r>
            </m:sub>
          </m:sSub>
        </m:oMath>
      </m:oMathPara>
    </w:p>
    <w:p w14:paraId="575111FF" w14:textId="70660615" w:rsidR="009C778C" w:rsidRPr="009C778C" w:rsidRDefault="009C778C" w:rsidP="009C778C">
      <w:pPr>
        <w:rPr>
          <w:rFonts w:cstheme="minorHAnsi"/>
          <w:sz w:val="24"/>
          <w:szCs w:val="24"/>
        </w:rPr>
      </w:pPr>
      <w:r w:rsidRPr="009C778C">
        <w:rPr>
          <w:rFonts w:cstheme="minorHAnsi"/>
          <w:sz w:val="24"/>
          <w:szCs w:val="24"/>
        </w:rPr>
        <w:t>where </w:t>
      </w:r>
      <w:r w:rsidRPr="009C778C">
        <w:rPr>
          <w:rFonts w:cstheme="minorHAnsi"/>
          <w:i/>
          <w:iCs/>
          <w:sz w:val="24"/>
          <w:szCs w:val="24"/>
        </w:rPr>
        <w:t>EM</w:t>
      </w:r>
      <w:r w:rsidRPr="009C778C">
        <w:rPr>
          <w:rFonts w:cstheme="minorHAnsi"/>
          <w:sz w:val="24"/>
          <w:szCs w:val="24"/>
        </w:rPr>
        <w:t> is the aggregate earnings management measure (</w:t>
      </w:r>
      <w:r w:rsidRPr="009C778C">
        <w:rPr>
          <w:rFonts w:cstheme="minorHAnsi"/>
          <w:i/>
          <w:iCs/>
          <w:sz w:val="24"/>
          <w:szCs w:val="24"/>
        </w:rPr>
        <w:t>Agg. EM</w:t>
      </w:r>
      <w:r w:rsidRPr="009C778C">
        <w:rPr>
          <w:rFonts w:cstheme="minorHAnsi"/>
          <w:sz w:val="24"/>
          <w:szCs w:val="24"/>
        </w:rPr>
        <w:t>); </w:t>
      </w:r>
      <w:r w:rsidRPr="009C778C">
        <w:rPr>
          <w:rFonts w:cstheme="minorHAnsi"/>
          <w:i/>
          <w:iCs/>
          <w:sz w:val="24"/>
          <w:szCs w:val="24"/>
        </w:rPr>
        <w:t>INSTIT_OWN</w:t>
      </w:r>
      <w:r w:rsidRPr="009C778C">
        <w:rPr>
          <w:rFonts w:cstheme="minorHAnsi"/>
          <w:sz w:val="24"/>
          <w:szCs w:val="24"/>
        </w:rPr>
        <w:t> denotes the institutional ownership measures (</w:t>
      </w:r>
      <w:r w:rsidRPr="009C778C">
        <w:rPr>
          <w:rFonts w:cstheme="minorHAnsi"/>
          <w:i/>
          <w:iCs/>
          <w:sz w:val="24"/>
          <w:szCs w:val="24"/>
        </w:rPr>
        <w:t>TOTAL</w:t>
      </w:r>
      <w:r w:rsidRPr="009C778C">
        <w:rPr>
          <w:rFonts w:cstheme="minorHAnsi"/>
          <w:sz w:val="24"/>
          <w:szCs w:val="24"/>
        </w:rPr>
        <w:t>, </w:t>
      </w:r>
      <w:r w:rsidRPr="009C778C">
        <w:rPr>
          <w:rFonts w:cstheme="minorHAnsi"/>
          <w:i/>
          <w:iCs/>
          <w:sz w:val="24"/>
          <w:szCs w:val="24"/>
        </w:rPr>
        <w:t>DOMESTIC</w:t>
      </w:r>
      <w:r w:rsidRPr="009C778C">
        <w:rPr>
          <w:rFonts w:cstheme="minorHAnsi"/>
          <w:sz w:val="24"/>
          <w:szCs w:val="24"/>
        </w:rPr>
        <w:t>, and </w:t>
      </w:r>
      <w:r w:rsidRPr="009C778C">
        <w:rPr>
          <w:rFonts w:cstheme="minorHAnsi"/>
          <w:i/>
          <w:iCs/>
          <w:sz w:val="24"/>
          <w:szCs w:val="24"/>
        </w:rPr>
        <w:t>FOREIGN</w:t>
      </w:r>
      <w:r w:rsidRPr="009C778C">
        <w:rPr>
          <w:rFonts w:cstheme="minorHAnsi"/>
          <w:sz w:val="24"/>
          <w:szCs w:val="24"/>
        </w:rPr>
        <w:t>) for firm </w:t>
      </w:r>
      <w:proofErr w:type="spellStart"/>
      <w:r w:rsidRPr="009C778C">
        <w:rPr>
          <w:rFonts w:cstheme="minorHAnsi"/>
          <w:i/>
          <w:iCs/>
          <w:sz w:val="24"/>
          <w:szCs w:val="24"/>
        </w:rPr>
        <w:t>i</w:t>
      </w:r>
      <w:proofErr w:type="spellEnd"/>
      <w:r w:rsidRPr="009C778C">
        <w:rPr>
          <w:rFonts w:cstheme="minorHAnsi"/>
          <w:sz w:val="24"/>
          <w:szCs w:val="24"/>
        </w:rPr>
        <w:t>; </w:t>
      </w:r>
      <w:r w:rsidRPr="009C778C">
        <w:rPr>
          <w:rFonts w:cstheme="minorHAnsi"/>
          <w:i/>
          <w:iCs/>
          <w:sz w:val="24"/>
          <w:szCs w:val="24"/>
        </w:rPr>
        <w:t>α</w:t>
      </w:r>
      <w:r w:rsidRPr="009C778C">
        <w:rPr>
          <w:rFonts w:cstheme="minorHAnsi"/>
          <w:sz w:val="24"/>
          <w:szCs w:val="24"/>
        </w:rPr>
        <w:t> is the intercept. X is a vector of firm and country controls; </w:t>
      </w:r>
      <w:r w:rsidRPr="009C778C">
        <w:rPr>
          <w:rFonts w:cstheme="minorHAnsi"/>
          <w:i/>
          <w:iCs/>
          <w:sz w:val="24"/>
          <w:szCs w:val="24"/>
        </w:rPr>
        <w:t>d</w:t>
      </w:r>
      <w:r w:rsidRPr="009C778C">
        <w:rPr>
          <w:rFonts w:cstheme="minorHAnsi"/>
          <w:i/>
          <w:iCs/>
          <w:sz w:val="24"/>
          <w:szCs w:val="24"/>
          <w:vertAlign w:val="subscript"/>
        </w:rPr>
        <w:t>t</w:t>
      </w:r>
      <w:r w:rsidRPr="009C778C">
        <w:rPr>
          <w:rFonts w:cstheme="minorHAnsi"/>
          <w:sz w:val="24"/>
          <w:szCs w:val="24"/>
        </w:rPr>
        <w:t> denotes year dummies; </w:t>
      </w:r>
      <w:proofErr w:type="spellStart"/>
      <w:r w:rsidRPr="009C778C">
        <w:rPr>
          <w:rFonts w:cstheme="minorHAnsi"/>
          <w:i/>
          <w:iCs/>
          <w:sz w:val="24"/>
          <w:szCs w:val="24"/>
        </w:rPr>
        <w:t>d</w:t>
      </w:r>
      <w:r w:rsidRPr="009C778C">
        <w:rPr>
          <w:rFonts w:cstheme="minorHAnsi"/>
          <w:i/>
          <w:iCs/>
          <w:sz w:val="24"/>
          <w:szCs w:val="24"/>
          <w:vertAlign w:val="subscript"/>
        </w:rPr>
        <w:t>j</w:t>
      </w:r>
      <w:proofErr w:type="spellEnd"/>
      <w:r w:rsidRPr="009C778C">
        <w:rPr>
          <w:rFonts w:cstheme="minorHAnsi"/>
          <w:sz w:val="24"/>
          <w:szCs w:val="24"/>
        </w:rPr>
        <w:t> denotes </w:t>
      </w:r>
      <w:hyperlink r:id="rId72" w:tooltip="Learn more about industry from ScienceDirect's AI-generated Topic Pages" w:history="1">
        <w:r w:rsidRPr="009C778C">
          <w:rPr>
            <w:rStyle w:val="Hyperlink"/>
            <w:rFonts w:cstheme="minorHAnsi"/>
            <w:sz w:val="24"/>
            <w:szCs w:val="24"/>
          </w:rPr>
          <w:t>industry</w:t>
        </w:r>
      </w:hyperlink>
      <w:r w:rsidRPr="009C778C">
        <w:rPr>
          <w:rFonts w:cstheme="minorHAnsi"/>
          <w:sz w:val="24"/>
          <w:szCs w:val="24"/>
        </w:rPr>
        <w:t> fixed effects at the level of two-digit SIC codes; </w:t>
      </w:r>
      <w:r w:rsidRPr="009C778C">
        <w:rPr>
          <w:rFonts w:cstheme="minorHAnsi"/>
          <w:i/>
          <w:iCs/>
          <w:sz w:val="24"/>
          <w:szCs w:val="24"/>
        </w:rPr>
        <w:t>d</w:t>
      </w:r>
      <w:r w:rsidRPr="009C778C">
        <w:rPr>
          <w:rFonts w:cstheme="minorHAnsi"/>
          <w:i/>
          <w:iCs/>
          <w:sz w:val="24"/>
          <w:szCs w:val="24"/>
          <w:vertAlign w:val="subscript"/>
        </w:rPr>
        <w:t>k</w:t>
      </w:r>
      <w:r w:rsidRPr="009C778C">
        <w:rPr>
          <w:rFonts w:cstheme="minorHAnsi"/>
          <w:sz w:val="24"/>
          <w:szCs w:val="24"/>
        </w:rPr>
        <w:t> denotes country fixed effects; and </w:t>
      </w:r>
      <w:r w:rsidRPr="009C778C">
        <w:rPr>
          <w:rFonts w:cstheme="minorHAnsi"/>
          <w:i/>
          <w:iCs/>
          <w:sz w:val="24"/>
          <w:szCs w:val="24"/>
        </w:rPr>
        <w:t>ε</w:t>
      </w:r>
      <w:r w:rsidRPr="009C778C">
        <w:rPr>
          <w:rFonts w:cstheme="minorHAnsi"/>
          <w:sz w:val="24"/>
          <w:szCs w:val="24"/>
        </w:rPr>
        <w:t> is the error term. Each specification is estimated using the ordinary least squares (OLS) method with robust standard errors adjusted for heteroscedasticity and firm-level clustering.</w:t>
      </w:r>
    </w:p>
    <w:p w14:paraId="5C2C5B39" w14:textId="77777777" w:rsidR="009C778C" w:rsidRPr="009C778C" w:rsidRDefault="009C778C" w:rsidP="009C778C">
      <w:pPr>
        <w:rPr>
          <w:rFonts w:cstheme="minorHAnsi"/>
          <w:sz w:val="24"/>
          <w:szCs w:val="24"/>
        </w:rPr>
      </w:pPr>
      <w:r w:rsidRPr="009C778C">
        <w:rPr>
          <w:rFonts w:cstheme="minorHAnsi"/>
          <w:sz w:val="24"/>
          <w:szCs w:val="24"/>
        </w:rPr>
        <w:t>The hometown advantage hypothesis (</w:t>
      </w:r>
      <w:hyperlink r:id="rId73" w:anchor="en0005" w:history="1">
        <w:r w:rsidRPr="009C778C">
          <w:rPr>
            <w:rStyle w:val="Hyperlink"/>
            <w:rFonts w:cstheme="minorHAnsi"/>
            <w:sz w:val="24"/>
            <w:szCs w:val="24"/>
          </w:rPr>
          <w:t>H1</w:t>
        </w:r>
      </w:hyperlink>
      <w:r w:rsidRPr="009C778C">
        <w:rPr>
          <w:rFonts w:cstheme="minorHAnsi"/>
          <w:sz w:val="24"/>
          <w:szCs w:val="24"/>
        </w:rPr>
        <w:t>) predicts that the coefficient estimate of domestic institutional ownership (</w:t>
      </w:r>
      <w:r w:rsidRPr="009C778C">
        <w:rPr>
          <w:rFonts w:cstheme="minorHAnsi"/>
          <w:i/>
          <w:iCs/>
          <w:sz w:val="24"/>
          <w:szCs w:val="24"/>
        </w:rPr>
        <w:t>DOMESTIC</w:t>
      </w:r>
      <w:r w:rsidRPr="009C778C">
        <w:rPr>
          <w:rFonts w:cstheme="minorHAnsi"/>
          <w:sz w:val="24"/>
          <w:szCs w:val="24"/>
        </w:rPr>
        <w:t>) is significantly negative and the coefficient size is larger than that of foreign institutional ownership (</w:t>
      </w:r>
      <w:r w:rsidRPr="009C778C">
        <w:rPr>
          <w:rFonts w:cstheme="minorHAnsi"/>
          <w:i/>
          <w:iCs/>
          <w:sz w:val="24"/>
          <w:szCs w:val="24"/>
        </w:rPr>
        <w:t>FOREIGN</w:t>
      </w:r>
      <w:r w:rsidRPr="009C778C">
        <w:rPr>
          <w:rFonts w:cstheme="minorHAnsi"/>
          <w:sz w:val="24"/>
          <w:szCs w:val="24"/>
        </w:rPr>
        <w:t>). In contrast, the global investor hypothesis (</w:t>
      </w:r>
      <w:hyperlink r:id="rId74" w:anchor="en0020" w:history="1">
        <w:r w:rsidRPr="009C778C">
          <w:rPr>
            <w:rStyle w:val="Hyperlink"/>
            <w:rFonts w:cstheme="minorHAnsi"/>
            <w:sz w:val="24"/>
            <w:szCs w:val="24"/>
          </w:rPr>
          <w:t>H2</w:t>
        </w:r>
      </w:hyperlink>
      <w:r w:rsidRPr="009C778C">
        <w:rPr>
          <w:rFonts w:cstheme="minorHAnsi"/>
          <w:sz w:val="24"/>
          <w:szCs w:val="24"/>
        </w:rPr>
        <w:t>) predicts that </w:t>
      </w:r>
      <w:r w:rsidRPr="009C778C">
        <w:rPr>
          <w:rFonts w:cstheme="minorHAnsi"/>
          <w:i/>
          <w:iCs/>
          <w:sz w:val="24"/>
          <w:szCs w:val="24"/>
        </w:rPr>
        <w:t>FOREIGN</w:t>
      </w:r>
      <w:r w:rsidRPr="009C778C">
        <w:rPr>
          <w:rFonts w:cstheme="minorHAnsi"/>
          <w:sz w:val="24"/>
          <w:szCs w:val="24"/>
        </w:rPr>
        <w:t> enters Eq. </w:t>
      </w:r>
      <w:bookmarkStart w:id="60" w:name="bfo000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"fo0005"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(1)</w:t>
      </w:r>
      <w:r w:rsidRPr="009C778C">
        <w:rPr>
          <w:rFonts w:cstheme="minorHAnsi"/>
          <w:sz w:val="24"/>
          <w:szCs w:val="24"/>
        </w:rPr>
        <w:fldChar w:fldCharType="end"/>
      </w:r>
      <w:r w:rsidRPr="009C778C">
        <w:rPr>
          <w:rFonts w:cstheme="minorHAnsi"/>
          <w:sz w:val="24"/>
          <w:szCs w:val="24"/>
        </w:rPr>
        <w:t> with a significantly negative sign, and its coefficient size is larger than that of </w:t>
      </w:r>
      <w:r w:rsidRPr="009C778C">
        <w:rPr>
          <w:rFonts w:cstheme="minorHAnsi"/>
          <w:i/>
          <w:iCs/>
          <w:sz w:val="24"/>
          <w:szCs w:val="24"/>
        </w:rPr>
        <w:t>DOMESTIC</w:t>
      </w:r>
      <w:r w:rsidRPr="009C778C">
        <w:rPr>
          <w:rFonts w:cstheme="minorHAnsi"/>
          <w:sz w:val="24"/>
          <w:szCs w:val="24"/>
        </w:rPr>
        <w:t>. We use a two-tail test to examine whether the coefficient estimates of </w:t>
      </w:r>
      <w:r w:rsidRPr="009C778C">
        <w:rPr>
          <w:rFonts w:cstheme="minorHAnsi"/>
          <w:i/>
          <w:iCs/>
          <w:sz w:val="24"/>
          <w:szCs w:val="24"/>
        </w:rPr>
        <w:t>DOMESTIC</w:t>
      </w:r>
      <w:r w:rsidRPr="009C778C">
        <w:rPr>
          <w:rFonts w:cstheme="minorHAnsi"/>
          <w:sz w:val="24"/>
          <w:szCs w:val="24"/>
        </w:rPr>
        <w:t> and </w:t>
      </w:r>
      <w:r w:rsidRPr="009C778C">
        <w:rPr>
          <w:rFonts w:cstheme="minorHAnsi"/>
          <w:i/>
          <w:iCs/>
          <w:sz w:val="24"/>
          <w:szCs w:val="24"/>
        </w:rPr>
        <w:t>FOREIGN</w:t>
      </w:r>
      <w:r w:rsidRPr="009C778C">
        <w:rPr>
          <w:rFonts w:cstheme="minorHAnsi"/>
          <w:sz w:val="24"/>
          <w:szCs w:val="24"/>
        </w:rPr>
        <w:t> are significantly different from each other because we view whether </w:t>
      </w:r>
      <w:hyperlink r:id="rId75" w:anchor="en0005" w:history="1">
        <w:r w:rsidRPr="009C778C">
          <w:rPr>
            <w:rStyle w:val="Hyperlink"/>
            <w:rFonts w:cstheme="minorHAnsi"/>
            <w:sz w:val="24"/>
            <w:szCs w:val="24"/>
          </w:rPr>
          <w:t>H1</w:t>
        </w:r>
      </w:hyperlink>
      <w:r w:rsidRPr="009C778C">
        <w:rPr>
          <w:rFonts w:cstheme="minorHAnsi"/>
          <w:sz w:val="24"/>
          <w:szCs w:val="24"/>
        </w:rPr>
        <w:t>, </w:t>
      </w:r>
      <w:hyperlink r:id="rId76" w:anchor="en0020" w:history="1">
        <w:r w:rsidRPr="009C778C">
          <w:rPr>
            <w:rStyle w:val="Hyperlink"/>
            <w:rFonts w:cstheme="minorHAnsi"/>
            <w:sz w:val="24"/>
            <w:szCs w:val="24"/>
          </w:rPr>
          <w:t>H2</w:t>
        </w:r>
      </w:hyperlink>
      <w:r w:rsidRPr="009C778C">
        <w:rPr>
          <w:rFonts w:cstheme="minorHAnsi"/>
          <w:sz w:val="24"/>
          <w:szCs w:val="24"/>
        </w:rPr>
        <w:t> dominates as an empirical question. When we test the corollaries of </w:t>
      </w:r>
      <w:hyperlink r:id="rId77" w:anchor="en0005" w:history="1">
        <w:r w:rsidRPr="009C778C">
          <w:rPr>
            <w:rStyle w:val="Hyperlink"/>
            <w:rFonts w:cstheme="minorHAnsi"/>
            <w:sz w:val="24"/>
            <w:szCs w:val="24"/>
          </w:rPr>
          <w:t>H1</w:t>
        </w:r>
      </w:hyperlink>
      <w:r w:rsidRPr="009C778C">
        <w:rPr>
          <w:rFonts w:cstheme="minorHAnsi"/>
          <w:sz w:val="24"/>
          <w:szCs w:val="24"/>
        </w:rPr>
        <w:t>, </w:t>
      </w:r>
      <w:hyperlink r:id="rId78" w:anchor="en0020" w:history="1">
        <w:r w:rsidRPr="009C778C">
          <w:rPr>
            <w:rStyle w:val="Hyperlink"/>
            <w:rFonts w:cstheme="minorHAnsi"/>
            <w:sz w:val="24"/>
            <w:szCs w:val="24"/>
          </w:rPr>
          <w:t>H2</w:t>
        </w:r>
      </w:hyperlink>
      <w:bookmarkEnd w:id="41"/>
      <w:r w:rsidRPr="009C778C">
        <w:rPr>
          <w:rFonts w:cstheme="minorHAnsi"/>
          <w:sz w:val="24"/>
          <w:szCs w:val="24"/>
        </w:rPr>
        <w:t>, we use a one-tail test because each corollary makes specific directional predictions.</w:t>
      </w:r>
    </w:p>
    <w:p w14:paraId="2CB46FA7" w14:textId="77777777" w:rsidR="009C778C" w:rsidRPr="009C778C" w:rsidRDefault="009C778C" w:rsidP="009C778C">
      <w:pPr>
        <w:rPr>
          <w:rFonts w:cstheme="minorHAnsi"/>
          <w:sz w:val="24"/>
          <w:szCs w:val="24"/>
        </w:rPr>
      </w:pPr>
      <w:r w:rsidRPr="009C778C">
        <w:rPr>
          <w:rFonts w:cstheme="minorHAnsi"/>
          <w:sz w:val="24"/>
          <w:szCs w:val="24"/>
        </w:rPr>
        <w:t>We examine the effect of total institutional ownership (</w:t>
      </w:r>
      <w:r w:rsidRPr="009C778C">
        <w:rPr>
          <w:rFonts w:cstheme="minorHAnsi"/>
          <w:i/>
          <w:iCs/>
          <w:sz w:val="24"/>
          <w:szCs w:val="24"/>
        </w:rPr>
        <w:t>TOTAL</w:t>
      </w:r>
      <w:r w:rsidRPr="009C778C">
        <w:rPr>
          <w:rFonts w:cstheme="minorHAnsi"/>
          <w:sz w:val="24"/>
          <w:szCs w:val="24"/>
        </w:rPr>
        <w:t>) to better engage the extant literature. The corporate governance literature has long argued that institutional investors play a prominent monitoring role because they have the economic incentive and knowledge sophistication to be effective monitors (</w:t>
      </w:r>
      <w:bookmarkStart w:id="61" w:name="bbb017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"bb0170"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Gillan, 2006</w:t>
      </w:r>
      <w:r w:rsidRPr="009C778C">
        <w:rPr>
          <w:rFonts w:cstheme="minorHAnsi"/>
          <w:sz w:val="24"/>
          <w:szCs w:val="24"/>
        </w:rPr>
        <w:fldChar w:fldCharType="end"/>
      </w:r>
      <w:bookmarkEnd w:id="61"/>
      <w:r w:rsidRPr="009C778C">
        <w:rPr>
          <w:rFonts w:cstheme="minorHAnsi"/>
          <w:sz w:val="24"/>
          <w:szCs w:val="24"/>
        </w:rPr>
        <w:t>). Consistent with this argument, </w:t>
      </w:r>
      <w:bookmarkStart w:id="62" w:name="bbb029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"bb0290"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 xml:space="preserve">Mitra and </w:t>
      </w:r>
      <w:proofErr w:type="spellStart"/>
      <w:r w:rsidRPr="009C778C">
        <w:rPr>
          <w:rStyle w:val="Hyperlink"/>
          <w:rFonts w:cstheme="minorHAnsi"/>
          <w:sz w:val="24"/>
          <w:szCs w:val="24"/>
        </w:rPr>
        <w:t>Cready</w:t>
      </w:r>
      <w:proofErr w:type="spellEnd"/>
      <w:r w:rsidRPr="009C778C">
        <w:rPr>
          <w:rStyle w:val="Hyperlink"/>
          <w:rFonts w:cstheme="minorHAnsi"/>
          <w:sz w:val="24"/>
          <w:szCs w:val="24"/>
        </w:rPr>
        <w:t xml:space="preserve"> (2005)</w:t>
      </w:r>
      <w:r w:rsidRPr="009C778C">
        <w:rPr>
          <w:rFonts w:cstheme="minorHAnsi"/>
          <w:sz w:val="24"/>
          <w:szCs w:val="24"/>
        </w:rPr>
        <w:fldChar w:fldCharType="end"/>
      </w:r>
      <w:r w:rsidRPr="009C778C">
        <w:rPr>
          <w:rFonts w:cstheme="minorHAnsi"/>
          <w:sz w:val="24"/>
          <w:szCs w:val="24"/>
        </w:rPr>
        <w:t>; </w:t>
      </w:r>
      <w:bookmarkStart w:id="63" w:name="bbb011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"bb0115"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Cornett et al., 2008</w:t>
      </w:r>
      <w:r w:rsidRPr="009C778C">
        <w:rPr>
          <w:rFonts w:cstheme="minorHAnsi"/>
          <w:sz w:val="24"/>
          <w:szCs w:val="24"/>
        </w:rPr>
        <w:fldChar w:fldCharType="end"/>
      </w:r>
      <w:r w:rsidRPr="009C778C">
        <w:rPr>
          <w:rFonts w:cstheme="minorHAnsi"/>
          <w:sz w:val="24"/>
          <w:szCs w:val="24"/>
        </w:rPr>
        <w:t>, </w:t>
      </w:r>
      <w:bookmarkStart w:id="64" w:name="bbb012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"bb0120"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Cornett et al., 2009</w:t>
      </w:r>
      <w:r w:rsidRPr="009C778C">
        <w:rPr>
          <w:rFonts w:cstheme="minorHAnsi"/>
          <w:sz w:val="24"/>
          <w:szCs w:val="24"/>
        </w:rPr>
        <w:fldChar w:fldCharType="end"/>
      </w:r>
      <w:r w:rsidRPr="009C778C">
        <w:rPr>
          <w:rFonts w:cstheme="minorHAnsi"/>
          <w:sz w:val="24"/>
          <w:szCs w:val="24"/>
        </w:rPr>
        <w:t> and </w:t>
      </w:r>
      <w:proofErr w:type="spellStart"/>
      <w:r>
        <w:fldChar w:fldCharType="begin"/>
      </w:r>
      <w:r>
        <w:instrText>HYPERLINK "https://0-www-sciencedirect-com.libus.csd.mu.edu/science/article/pii/S0929119916300724" \l "bb0105"</w:instrText>
      </w:r>
      <w:r>
        <w:fldChar w:fldCharType="separate"/>
      </w:r>
      <w:r w:rsidRPr="009C778C">
        <w:rPr>
          <w:rStyle w:val="Hyperlink"/>
          <w:rFonts w:cstheme="minorHAnsi"/>
          <w:sz w:val="24"/>
          <w:szCs w:val="24"/>
        </w:rPr>
        <w:t>Chhaochharia</w:t>
      </w:r>
      <w:proofErr w:type="spellEnd"/>
      <w:r w:rsidRPr="009C778C">
        <w:rPr>
          <w:rStyle w:val="Hyperlink"/>
          <w:rFonts w:cstheme="minorHAnsi"/>
          <w:sz w:val="24"/>
          <w:szCs w:val="24"/>
        </w:rPr>
        <w:t xml:space="preserve"> et al. (2012)</w:t>
      </w:r>
      <w:r>
        <w:rPr>
          <w:rStyle w:val="Hyperlink"/>
          <w:rFonts w:cstheme="minorHAnsi"/>
          <w:sz w:val="24"/>
          <w:szCs w:val="24"/>
        </w:rPr>
        <w:fldChar w:fldCharType="end"/>
      </w:r>
      <w:r w:rsidRPr="009C778C">
        <w:rPr>
          <w:rFonts w:cstheme="minorHAnsi"/>
          <w:sz w:val="24"/>
          <w:szCs w:val="24"/>
        </w:rPr>
        <w:t> find a negative relation between total institutional ownership and earnings management.</w:t>
      </w:r>
      <w:bookmarkStart w:id="65" w:name="bfn003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"fn0030"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vertAlign w:val="superscript"/>
        </w:rPr>
        <w:t>6</w:t>
      </w:r>
      <w:r w:rsidRPr="009C778C">
        <w:rPr>
          <w:rFonts w:cstheme="minorHAnsi"/>
          <w:sz w:val="24"/>
          <w:szCs w:val="24"/>
        </w:rPr>
        <w:fldChar w:fldCharType="end"/>
      </w:r>
      <w:bookmarkEnd w:id="65"/>
      <w:r w:rsidRPr="009C778C">
        <w:rPr>
          <w:rFonts w:cstheme="minorHAnsi"/>
          <w:sz w:val="24"/>
          <w:szCs w:val="24"/>
        </w:rPr>
        <w:t> Therefore, we expect </w:t>
      </w:r>
      <w:r w:rsidRPr="009C778C">
        <w:rPr>
          <w:rFonts w:cstheme="minorHAnsi"/>
          <w:i/>
          <w:iCs/>
          <w:sz w:val="24"/>
          <w:szCs w:val="24"/>
        </w:rPr>
        <w:t>TOTAL</w:t>
      </w:r>
      <w:r w:rsidRPr="009C778C">
        <w:rPr>
          <w:rFonts w:cstheme="minorHAnsi"/>
          <w:sz w:val="24"/>
          <w:szCs w:val="24"/>
        </w:rPr>
        <w:t> to enter Eq. </w:t>
      </w:r>
      <w:hyperlink r:id="rId79" w:anchor="fo0005" w:history="1">
        <w:r w:rsidRPr="009C778C">
          <w:rPr>
            <w:rStyle w:val="Hyperlink"/>
            <w:rFonts w:cstheme="minorHAnsi"/>
            <w:sz w:val="24"/>
            <w:szCs w:val="24"/>
          </w:rPr>
          <w:t>(1)</w:t>
        </w:r>
      </w:hyperlink>
      <w:bookmarkEnd w:id="60"/>
      <w:r w:rsidRPr="009C778C">
        <w:rPr>
          <w:rFonts w:cstheme="minorHAnsi"/>
          <w:sz w:val="24"/>
          <w:szCs w:val="24"/>
        </w:rPr>
        <w:t> with a significantly negative sign.</w:t>
      </w:r>
    </w:p>
    <w:p w14:paraId="212C1A42" w14:textId="77777777" w:rsidR="009C778C" w:rsidRPr="009C778C" w:rsidRDefault="009C778C" w:rsidP="009C778C">
      <w:pPr>
        <w:rPr>
          <w:rFonts w:cstheme="minorHAnsi"/>
          <w:sz w:val="24"/>
          <w:szCs w:val="24"/>
        </w:rPr>
      </w:pPr>
      <w:r w:rsidRPr="009C778C">
        <w:rPr>
          <w:rFonts w:cstheme="minorHAnsi"/>
          <w:sz w:val="24"/>
          <w:szCs w:val="24"/>
        </w:rPr>
        <w:t>We include in the baseline model a customary set of control variables by following the literature. For firm characteristics, we consider firm size (</w:t>
      </w:r>
      <w:r w:rsidRPr="009C778C">
        <w:rPr>
          <w:rFonts w:cstheme="minorHAnsi"/>
          <w:i/>
          <w:iCs/>
          <w:sz w:val="24"/>
          <w:szCs w:val="24"/>
        </w:rPr>
        <w:t>SIZE</w:t>
      </w:r>
      <w:r w:rsidRPr="009C778C">
        <w:rPr>
          <w:rFonts w:cstheme="minorHAnsi"/>
          <w:sz w:val="24"/>
          <w:szCs w:val="24"/>
        </w:rPr>
        <w:t>), profitability (</w:t>
      </w:r>
      <w:r w:rsidRPr="009C778C">
        <w:rPr>
          <w:rFonts w:cstheme="minorHAnsi"/>
          <w:i/>
          <w:iCs/>
          <w:sz w:val="24"/>
          <w:szCs w:val="24"/>
        </w:rPr>
        <w:t>ROA</w:t>
      </w:r>
      <w:r w:rsidRPr="009C778C">
        <w:rPr>
          <w:rFonts w:cstheme="minorHAnsi"/>
          <w:sz w:val="24"/>
          <w:szCs w:val="24"/>
        </w:rPr>
        <w:t>), growth opportunities (</w:t>
      </w:r>
      <w:r w:rsidRPr="009C778C">
        <w:rPr>
          <w:rFonts w:cstheme="minorHAnsi"/>
          <w:i/>
          <w:iCs/>
          <w:sz w:val="24"/>
          <w:szCs w:val="24"/>
        </w:rPr>
        <w:t>MTB</w:t>
      </w:r>
      <w:r w:rsidRPr="009C778C">
        <w:rPr>
          <w:rFonts w:cstheme="minorHAnsi"/>
          <w:sz w:val="24"/>
          <w:szCs w:val="24"/>
        </w:rPr>
        <w:t> and </w:t>
      </w:r>
      <w:r w:rsidRPr="009C778C">
        <w:rPr>
          <w:rFonts w:cstheme="minorHAnsi"/>
          <w:i/>
          <w:iCs/>
          <w:sz w:val="24"/>
          <w:szCs w:val="24"/>
        </w:rPr>
        <w:t>SALEGROWTH</w:t>
      </w:r>
      <w:r w:rsidRPr="009C778C">
        <w:rPr>
          <w:rFonts w:cstheme="minorHAnsi"/>
          <w:sz w:val="24"/>
          <w:szCs w:val="24"/>
        </w:rPr>
        <w:t>), financial leverage (</w:t>
      </w:r>
      <w:r w:rsidRPr="009C778C">
        <w:rPr>
          <w:rFonts w:cstheme="minorHAnsi"/>
          <w:i/>
          <w:iCs/>
          <w:sz w:val="24"/>
          <w:szCs w:val="24"/>
        </w:rPr>
        <w:t>LEV</w:t>
      </w:r>
      <w:r w:rsidRPr="009C778C">
        <w:rPr>
          <w:rFonts w:cstheme="minorHAnsi"/>
          <w:sz w:val="24"/>
          <w:szCs w:val="24"/>
        </w:rPr>
        <w:t>), volatility of sales (</w:t>
      </w:r>
      <w:r w:rsidRPr="009C778C">
        <w:rPr>
          <w:rFonts w:cstheme="minorHAnsi"/>
          <w:i/>
          <w:iCs/>
          <w:sz w:val="24"/>
          <w:szCs w:val="24"/>
        </w:rPr>
        <w:t>STDSALE</w:t>
      </w:r>
      <w:r w:rsidRPr="009C778C">
        <w:rPr>
          <w:rFonts w:cstheme="minorHAnsi"/>
          <w:sz w:val="24"/>
          <w:szCs w:val="24"/>
        </w:rPr>
        <w:t>), capital intensity (</w:t>
      </w:r>
      <w:r w:rsidRPr="009C778C">
        <w:rPr>
          <w:rFonts w:cstheme="minorHAnsi"/>
          <w:i/>
          <w:iCs/>
          <w:sz w:val="24"/>
          <w:szCs w:val="24"/>
        </w:rPr>
        <w:t>CAPITAL_INTENSITY</w:t>
      </w:r>
      <w:r w:rsidRPr="009C778C">
        <w:rPr>
          <w:rFonts w:cstheme="minorHAnsi"/>
          <w:sz w:val="24"/>
          <w:szCs w:val="24"/>
        </w:rPr>
        <w:t>), and analyst coverage (</w:t>
      </w:r>
      <w:r w:rsidRPr="009C778C">
        <w:rPr>
          <w:rFonts w:cstheme="minorHAnsi"/>
          <w:i/>
          <w:iCs/>
          <w:sz w:val="24"/>
          <w:szCs w:val="24"/>
        </w:rPr>
        <w:t>ANALYST</w:t>
      </w:r>
      <w:r w:rsidRPr="009C778C">
        <w:rPr>
          <w:rFonts w:cstheme="minorHAnsi"/>
          <w:sz w:val="24"/>
          <w:szCs w:val="24"/>
        </w:rPr>
        <w:t>) (see, e.g., </w:t>
      </w:r>
      <w:bookmarkStart w:id="66" w:name="bbb024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"bb0240"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Klein, 2002</w:t>
      </w:r>
      <w:r w:rsidRPr="009C778C">
        <w:rPr>
          <w:rFonts w:cstheme="minorHAnsi"/>
          <w:sz w:val="24"/>
          <w:szCs w:val="24"/>
        </w:rPr>
        <w:fldChar w:fldCharType="end"/>
      </w:r>
      <w:r w:rsidRPr="009C778C">
        <w:rPr>
          <w:rFonts w:cstheme="minorHAnsi"/>
          <w:sz w:val="24"/>
          <w:szCs w:val="24"/>
        </w:rPr>
        <w:t>, </w:t>
      </w:r>
      <w:bookmarkStart w:id="67" w:name="bbb032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"bb0320"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Xie et al., 2003</w:t>
      </w:r>
      <w:r w:rsidRPr="009C778C">
        <w:rPr>
          <w:rFonts w:cstheme="minorHAnsi"/>
          <w:sz w:val="24"/>
          <w:szCs w:val="24"/>
        </w:rPr>
        <w:fldChar w:fldCharType="end"/>
      </w:r>
      <w:bookmarkEnd w:id="67"/>
      <w:r w:rsidRPr="009C778C">
        <w:rPr>
          <w:rFonts w:cstheme="minorHAnsi"/>
          <w:sz w:val="24"/>
          <w:szCs w:val="24"/>
        </w:rPr>
        <w:t>, </w:t>
      </w:r>
      <w:bookmarkStart w:id="68" w:name="bbb011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"bb0110"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Chung et al., 2002</w:t>
      </w:r>
      <w:r w:rsidRPr="009C778C">
        <w:rPr>
          <w:rFonts w:cstheme="minorHAnsi"/>
          <w:sz w:val="24"/>
          <w:szCs w:val="24"/>
        </w:rPr>
        <w:fldChar w:fldCharType="end"/>
      </w:r>
      <w:r w:rsidRPr="009C778C">
        <w:rPr>
          <w:rFonts w:cstheme="minorHAnsi"/>
          <w:sz w:val="24"/>
          <w:szCs w:val="24"/>
        </w:rPr>
        <w:t>, </w:t>
      </w:r>
      <w:hyperlink r:id="rId80" w:anchor="bb0185" w:history="1">
        <w:r w:rsidRPr="009C778C">
          <w:rPr>
            <w:rStyle w:val="Hyperlink"/>
            <w:rFonts w:cstheme="minorHAnsi"/>
            <w:sz w:val="24"/>
            <w:szCs w:val="24"/>
          </w:rPr>
          <w:t>Gopalan and Jayaraman, 2012</w:t>
        </w:r>
      </w:hyperlink>
      <w:r w:rsidRPr="009C778C">
        <w:rPr>
          <w:rFonts w:cstheme="minorHAnsi"/>
          <w:sz w:val="24"/>
          <w:szCs w:val="24"/>
        </w:rPr>
        <w:t>). We also control for macroeconomic factors that potentially influence firm earnings, including a country’s accounting standards (</w:t>
      </w:r>
      <w:r w:rsidRPr="009C778C">
        <w:rPr>
          <w:rFonts w:cstheme="minorHAnsi"/>
          <w:i/>
          <w:iCs/>
          <w:sz w:val="24"/>
          <w:szCs w:val="24"/>
        </w:rPr>
        <w:t>ACC_STANDARD</w:t>
      </w:r>
      <w:r w:rsidRPr="009C778C">
        <w:rPr>
          <w:rFonts w:cstheme="minorHAnsi"/>
          <w:sz w:val="24"/>
          <w:szCs w:val="24"/>
        </w:rPr>
        <w:t>), per capita GDP growth (</w:t>
      </w:r>
      <w:r w:rsidRPr="009C778C">
        <w:rPr>
          <w:rFonts w:cstheme="minorHAnsi"/>
          <w:i/>
          <w:iCs/>
          <w:sz w:val="24"/>
          <w:szCs w:val="24"/>
        </w:rPr>
        <w:t>GDPGROWTH</w:t>
      </w:r>
      <w:r w:rsidRPr="009C778C">
        <w:rPr>
          <w:rFonts w:cstheme="minorHAnsi"/>
          <w:sz w:val="24"/>
          <w:szCs w:val="24"/>
        </w:rPr>
        <w:t>), and the annual rate of inflation (</w:t>
      </w:r>
      <w:r w:rsidRPr="009C778C">
        <w:rPr>
          <w:rFonts w:cstheme="minorHAnsi"/>
          <w:i/>
          <w:iCs/>
          <w:sz w:val="24"/>
          <w:szCs w:val="24"/>
        </w:rPr>
        <w:t>INFLATION</w:t>
      </w:r>
      <w:r w:rsidRPr="009C778C">
        <w:rPr>
          <w:rFonts w:cstheme="minorHAnsi"/>
          <w:sz w:val="24"/>
          <w:szCs w:val="24"/>
        </w:rPr>
        <w:t>) (</w:t>
      </w:r>
      <w:proofErr w:type="spellStart"/>
      <w:r>
        <w:fldChar w:fldCharType="begin"/>
      </w:r>
      <w:r>
        <w:instrText>HYPERLINK "https://0-www-sciencedirect-com.libus.csd.mu.edu/science/article/pii/S0929119916300724" \l "bb0270"</w:instrText>
      </w:r>
      <w:r>
        <w:fldChar w:fldCharType="separate"/>
      </w:r>
      <w:r w:rsidRPr="009C778C">
        <w:rPr>
          <w:rStyle w:val="Hyperlink"/>
          <w:rFonts w:cstheme="minorHAnsi"/>
          <w:sz w:val="24"/>
          <w:szCs w:val="24"/>
        </w:rPr>
        <w:t>Leuz</w:t>
      </w:r>
      <w:proofErr w:type="spellEnd"/>
      <w:r w:rsidRPr="009C778C">
        <w:rPr>
          <w:rStyle w:val="Hyperlink"/>
          <w:rFonts w:cstheme="minorHAnsi"/>
          <w:sz w:val="24"/>
          <w:szCs w:val="24"/>
        </w:rPr>
        <w:t xml:space="preserve"> et al., 2003</w:t>
      </w:r>
      <w:r>
        <w:rPr>
          <w:rStyle w:val="Hyperlink"/>
          <w:rFonts w:cstheme="minorHAnsi"/>
          <w:sz w:val="24"/>
          <w:szCs w:val="24"/>
        </w:rPr>
        <w:fldChar w:fldCharType="end"/>
      </w:r>
      <w:r w:rsidRPr="009C778C">
        <w:rPr>
          <w:rFonts w:cstheme="minorHAnsi"/>
          <w:sz w:val="24"/>
          <w:szCs w:val="24"/>
        </w:rPr>
        <w:t>, </w:t>
      </w:r>
      <w:hyperlink r:id="rId81" w:anchor="bb0185" w:history="1">
        <w:r w:rsidRPr="009C778C">
          <w:rPr>
            <w:rStyle w:val="Hyperlink"/>
            <w:rFonts w:cstheme="minorHAnsi"/>
            <w:sz w:val="24"/>
            <w:szCs w:val="24"/>
          </w:rPr>
          <w:t>Gopalan and Jayaraman, 2012</w:t>
        </w:r>
      </w:hyperlink>
      <w:bookmarkEnd w:id="49"/>
      <w:r w:rsidRPr="009C778C">
        <w:rPr>
          <w:rFonts w:cstheme="minorHAnsi"/>
          <w:sz w:val="24"/>
          <w:szCs w:val="24"/>
        </w:rPr>
        <w:t>). </w:t>
      </w:r>
      <w:hyperlink r:id="rId82" w:anchor="s0085" w:history="1">
        <w:r w:rsidRPr="009C778C">
          <w:rPr>
            <w:rStyle w:val="Hyperlink"/>
            <w:rFonts w:cstheme="minorHAnsi"/>
            <w:sz w:val="24"/>
            <w:szCs w:val="24"/>
          </w:rPr>
          <w:t>Appendix A</w:t>
        </w:r>
      </w:hyperlink>
      <w:r w:rsidRPr="009C778C">
        <w:rPr>
          <w:rFonts w:cstheme="minorHAnsi"/>
          <w:sz w:val="24"/>
          <w:szCs w:val="24"/>
        </w:rPr>
        <w:t> provides more details on the construction and data source of each variable.</w:t>
      </w:r>
    </w:p>
    <w:p w14:paraId="33F81F7B" w14:textId="77777777" w:rsidR="009C778C" w:rsidRPr="009C778C" w:rsidRDefault="009C778C" w:rsidP="009C778C">
      <w:pPr>
        <w:rPr>
          <w:rFonts w:cstheme="minorHAnsi"/>
          <w:sz w:val="24"/>
          <w:szCs w:val="24"/>
        </w:rPr>
      </w:pPr>
      <w:r w:rsidRPr="009C778C">
        <w:rPr>
          <w:rFonts w:cstheme="minorHAnsi"/>
          <w:sz w:val="24"/>
          <w:szCs w:val="24"/>
        </w:rPr>
        <w:t xml:space="preserve">In </w:t>
      </w:r>
      <w:proofErr w:type="spellStart"/>
      <w:r w:rsidRPr="009C778C">
        <w:rPr>
          <w:rFonts w:cstheme="minorHAnsi"/>
          <w:sz w:val="24"/>
          <w:szCs w:val="24"/>
        </w:rPr>
        <w:t>untabulated</w:t>
      </w:r>
      <w:proofErr w:type="spellEnd"/>
      <w:r w:rsidRPr="009C778C">
        <w:rPr>
          <w:rFonts w:cstheme="minorHAnsi"/>
          <w:sz w:val="24"/>
          <w:szCs w:val="24"/>
        </w:rPr>
        <w:t xml:space="preserve"> analysis, we perform a diagnostic analysis for the potential multicollinearity problem in the baseline model. </w:t>
      </w:r>
      <w:r w:rsidRPr="009C778C">
        <w:rPr>
          <w:rFonts w:cstheme="minorHAnsi"/>
          <w:i/>
          <w:iCs/>
          <w:sz w:val="24"/>
          <w:szCs w:val="24"/>
        </w:rPr>
        <w:t>INFLATION</w:t>
      </w:r>
      <w:r w:rsidRPr="009C778C">
        <w:rPr>
          <w:rFonts w:cstheme="minorHAnsi"/>
          <w:sz w:val="24"/>
          <w:szCs w:val="24"/>
        </w:rPr>
        <w:t> has the largest value of the variance inflation factor (VIF) of 5.52, followed by </w:t>
      </w:r>
      <w:r w:rsidRPr="009C778C">
        <w:rPr>
          <w:rFonts w:cstheme="minorHAnsi"/>
          <w:i/>
          <w:iCs/>
          <w:sz w:val="24"/>
          <w:szCs w:val="24"/>
        </w:rPr>
        <w:t>GDPGROWTH</w:t>
      </w:r>
      <w:r w:rsidRPr="009C778C">
        <w:rPr>
          <w:rFonts w:cstheme="minorHAnsi"/>
          <w:sz w:val="24"/>
          <w:szCs w:val="24"/>
        </w:rPr>
        <w:t> (VIF = 3.81) and </w:t>
      </w:r>
      <w:r w:rsidRPr="009C778C">
        <w:rPr>
          <w:rFonts w:cstheme="minorHAnsi"/>
          <w:i/>
          <w:iCs/>
          <w:sz w:val="24"/>
          <w:szCs w:val="24"/>
        </w:rPr>
        <w:t>ACC_STANDARD</w:t>
      </w:r>
      <w:r w:rsidRPr="009C778C">
        <w:rPr>
          <w:rFonts w:cstheme="minorHAnsi"/>
          <w:sz w:val="24"/>
          <w:szCs w:val="24"/>
        </w:rPr>
        <w:t> (VIF = 3.17). The relatively high VIF values of the three proxies for country characteristics are likely due to the inclusion of country fixed effects in the baseline model. VIFs of the remaining independent variables are less than three, with VIF values of </w:t>
      </w:r>
      <w:r w:rsidRPr="009C778C">
        <w:rPr>
          <w:rFonts w:cstheme="minorHAnsi"/>
          <w:i/>
          <w:iCs/>
          <w:sz w:val="24"/>
          <w:szCs w:val="24"/>
        </w:rPr>
        <w:t>DOMESTIC</w:t>
      </w:r>
      <w:r w:rsidRPr="009C778C">
        <w:rPr>
          <w:rFonts w:cstheme="minorHAnsi"/>
          <w:sz w:val="24"/>
          <w:szCs w:val="24"/>
        </w:rPr>
        <w:t> and </w:t>
      </w:r>
      <w:r w:rsidRPr="009C778C">
        <w:rPr>
          <w:rFonts w:cstheme="minorHAnsi"/>
          <w:i/>
          <w:iCs/>
          <w:sz w:val="24"/>
          <w:szCs w:val="24"/>
        </w:rPr>
        <w:t>FOREIGN</w:t>
      </w:r>
      <w:r w:rsidRPr="009C778C">
        <w:rPr>
          <w:rFonts w:cstheme="minorHAnsi"/>
          <w:sz w:val="24"/>
          <w:szCs w:val="24"/>
        </w:rPr>
        <w:t> less than two. The rule of thumb is that VIFs exceeding ten are signs of serious multicollinearity (</w:t>
      </w:r>
      <w:bookmarkStart w:id="69" w:name="bbb029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"bb0295"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O’Brien, 2007</w:t>
      </w:r>
      <w:r w:rsidRPr="009C778C">
        <w:rPr>
          <w:rFonts w:cstheme="minorHAnsi"/>
          <w:sz w:val="24"/>
          <w:szCs w:val="24"/>
        </w:rPr>
        <w:fldChar w:fldCharType="end"/>
      </w:r>
      <w:bookmarkEnd w:id="69"/>
      <w:r w:rsidRPr="009C778C">
        <w:rPr>
          <w:rFonts w:cstheme="minorHAnsi"/>
          <w:sz w:val="24"/>
          <w:szCs w:val="24"/>
        </w:rPr>
        <w:t>).</w:t>
      </w:r>
    </w:p>
    <w:p w14:paraId="50DC92CA" w14:textId="77777777" w:rsidR="009C778C" w:rsidRPr="009C778C" w:rsidRDefault="009C778C" w:rsidP="009C778C">
      <w:pPr>
        <w:rPr>
          <w:rFonts w:cstheme="minorHAnsi"/>
          <w:sz w:val="24"/>
          <w:szCs w:val="24"/>
        </w:rPr>
      </w:pPr>
      <w:r w:rsidRPr="009C778C">
        <w:rPr>
          <w:rFonts w:cstheme="minorHAnsi"/>
          <w:sz w:val="24"/>
          <w:szCs w:val="24"/>
        </w:rPr>
        <w:t>Column (1) of </w:t>
      </w:r>
      <w:bookmarkStart w:id="70" w:name="bt002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"t0020"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Table 4</w:t>
      </w:r>
      <w:r w:rsidRPr="009C778C">
        <w:rPr>
          <w:rFonts w:cstheme="minorHAnsi"/>
          <w:sz w:val="24"/>
          <w:szCs w:val="24"/>
        </w:rPr>
        <w:fldChar w:fldCharType="end"/>
      </w:r>
      <w:r w:rsidRPr="009C778C">
        <w:rPr>
          <w:rFonts w:cstheme="minorHAnsi"/>
          <w:sz w:val="24"/>
          <w:szCs w:val="24"/>
        </w:rPr>
        <w:t xml:space="preserve"> reports the regression results from estimating the baseline model. The coefficient </w:t>
      </w:r>
      <w:proofErr w:type="gramStart"/>
      <w:r w:rsidRPr="009C778C">
        <w:rPr>
          <w:rFonts w:cstheme="minorHAnsi"/>
          <w:sz w:val="24"/>
          <w:szCs w:val="24"/>
        </w:rPr>
        <w:t>estimate</w:t>
      </w:r>
      <w:proofErr w:type="gramEnd"/>
      <w:r w:rsidRPr="009C778C">
        <w:rPr>
          <w:rFonts w:cstheme="minorHAnsi"/>
          <w:sz w:val="24"/>
          <w:szCs w:val="24"/>
        </w:rPr>
        <w:t xml:space="preserve"> of </w:t>
      </w:r>
      <w:r w:rsidRPr="009C778C">
        <w:rPr>
          <w:rFonts w:cstheme="minorHAnsi"/>
          <w:i/>
          <w:iCs/>
          <w:sz w:val="24"/>
          <w:szCs w:val="24"/>
        </w:rPr>
        <w:t>DOMESTIC</w:t>
      </w:r>
      <w:r w:rsidRPr="009C778C">
        <w:rPr>
          <w:rFonts w:cstheme="minorHAnsi"/>
          <w:sz w:val="24"/>
          <w:szCs w:val="24"/>
        </w:rPr>
        <w:t> is − 0.353, suggesting that an increase of 10 percentage points in domestic institutional ownership is associated with less </w:t>
      </w:r>
      <w:r w:rsidRPr="009C778C">
        <w:rPr>
          <w:rFonts w:cstheme="minorHAnsi"/>
          <w:i/>
          <w:iCs/>
          <w:sz w:val="24"/>
          <w:szCs w:val="24"/>
        </w:rPr>
        <w:t>Agg. EM</w:t>
      </w:r>
      <w:r w:rsidRPr="009C778C">
        <w:rPr>
          <w:rFonts w:cstheme="minorHAnsi"/>
          <w:sz w:val="24"/>
          <w:szCs w:val="24"/>
        </w:rPr>
        <w:t> by 3.53 percentage points. In contrast, </w:t>
      </w:r>
      <w:r w:rsidRPr="009C778C">
        <w:rPr>
          <w:rFonts w:cstheme="minorHAnsi"/>
          <w:i/>
          <w:iCs/>
          <w:sz w:val="24"/>
          <w:szCs w:val="24"/>
        </w:rPr>
        <w:t>FOREIGN</w:t>
      </w:r>
      <w:r w:rsidRPr="009C778C">
        <w:rPr>
          <w:rFonts w:cstheme="minorHAnsi"/>
          <w:sz w:val="24"/>
          <w:szCs w:val="24"/>
        </w:rPr>
        <w:t> enters the equation with a negative but insignificant sign. The Wald test rejects the null with a better than one percent significance that the coefficients of </w:t>
      </w:r>
      <w:r w:rsidRPr="009C778C">
        <w:rPr>
          <w:rFonts w:cstheme="minorHAnsi"/>
          <w:i/>
          <w:iCs/>
          <w:sz w:val="24"/>
          <w:szCs w:val="24"/>
        </w:rPr>
        <w:t>DOMESTIC</w:t>
      </w:r>
      <w:r w:rsidRPr="009C778C">
        <w:rPr>
          <w:rFonts w:cstheme="minorHAnsi"/>
          <w:sz w:val="24"/>
          <w:szCs w:val="24"/>
        </w:rPr>
        <w:t> and </w:t>
      </w:r>
      <w:r w:rsidRPr="009C778C">
        <w:rPr>
          <w:rFonts w:cstheme="minorHAnsi"/>
          <w:i/>
          <w:iCs/>
          <w:sz w:val="24"/>
          <w:szCs w:val="24"/>
        </w:rPr>
        <w:t>FOREIGN</w:t>
      </w:r>
      <w:r w:rsidRPr="009C778C">
        <w:rPr>
          <w:rFonts w:cstheme="minorHAnsi"/>
          <w:sz w:val="24"/>
          <w:szCs w:val="24"/>
        </w:rPr>
        <w:t> are equal. Thus, the results support the hometown advantage hypothesis, but not the global investor hypothesis. In addition, the economic impact of </w:t>
      </w:r>
      <w:r w:rsidRPr="009C778C">
        <w:rPr>
          <w:rFonts w:cstheme="minorHAnsi"/>
          <w:i/>
          <w:iCs/>
          <w:sz w:val="24"/>
          <w:szCs w:val="24"/>
        </w:rPr>
        <w:t>DOMESTIC</w:t>
      </w:r>
      <w:r w:rsidRPr="009C778C">
        <w:rPr>
          <w:rFonts w:cstheme="minorHAnsi"/>
          <w:sz w:val="24"/>
          <w:szCs w:val="24"/>
        </w:rPr>
        <w:t> is meaningful when compared to other control variables. For example, an increase of 10 percentage points in </w:t>
      </w:r>
      <w:r w:rsidRPr="009C778C">
        <w:rPr>
          <w:rFonts w:cstheme="minorHAnsi"/>
          <w:i/>
          <w:iCs/>
          <w:sz w:val="24"/>
          <w:szCs w:val="24"/>
        </w:rPr>
        <w:t>ROA</w:t>
      </w:r>
      <w:r w:rsidRPr="009C778C">
        <w:rPr>
          <w:rFonts w:cstheme="minorHAnsi"/>
          <w:sz w:val="24"/>
          <w:szCs w:val="24"/>
        </w:rPr>
        <w:t> is associated with a 6.21 percentage-point decrease in </w:t>
      </w:r>
      <w:r w:rsidRPr="009C778C">
        <w:rPr>
          <w:rFonts w:cstheme="minorHAnsi"/>
          <w:i/>
          <w:iCs/>
          <w:sz w:val="24"/>
          <w:szCs w:val="24"/>
        </w:rPr>
        <w:t>Agg. EM.</w:t>
      </w:r>
      <w:r w:rsidRPr="009C778C">
        <w:rPr>
          <w:rFonts w:cstheme="minorHAnsi"/>
          <w:sz w:val="24"/>
          <w:szCs w:val="24"/>
        </w:rPr>
        <w:t> (the mean value and </w:t>
      </w:r>
      <w:hyperlink r:id="rId83" w:tooltip="Learn more about standard deviation from ScienceDirect's AI-generated Topic Pages" w:history="1">
        <w:r w:rsidRPr="009C778C">
          <w:rPr>
            <w:rStyle w:val="Hyperlink"/>
            <w:rFonts w:cstheme="minorHAnsi"/>
            <w:sz w:val="24"/>
            <w:szCs w:val="24"/>
          </w:rPr>
          <w:t>standard deviation</w:t>
        </w:r>
      </w:hyperlink>
      <w:r w:rsidRPr="009C778C">
        <w:rPr>
          <w:rFonts w:cstheme="minorHAnsi"/>
          <w:sz w:val="24"/>
          <w:szCs w:val="24"/>
        </w:rPr>
        <w:t> of </w:t>
      </w:r>
      <w:r w:rsidRPr="009C778C">
        <w:rPr>
          <w:rFonts w:cstheme="minorHAnsi"/>
          <w:i/>
          <w:iCs/>
          <w:sz w:val="24"/>
          <w:szCs w:val="24"/>
        </w:rPr>
        <w:t>ROA</w:t>
      </w:r>
      <w:r w:rsidRPr="009C778C">
        <w:rPr>
          <w:rFonts w:cstheme="minorHAnsi"/>
          <w:sz w:val="24"/>
          <w:szCs w:val="24"/>
        </w:rPr>
        <w:t> are 2.3% and 11.4% respectively). The coefficient estimates of the control variables generally carry the predicted signs and are in line with the existing literature. For example, consistent with </w:t>
      </w:r>
      <w:hyperlink r:id="rId84" w:anchor="bb0240" w:history="1">
        <w:r w:rsidRPr="009C778C">
          <w:rPr>
            <w:rStyle w:val="Hyperlink"/>
            <w:rFonts w:cstheme="minorHAnsi"/>
            <w:sz w:val="24"/>
            <w:szCs w:val="24"/>
          </w:rPr>
          <w:t>Klein (2002)</w:t>
        </w:r>
      </w:hyperlink>
      <w:bookmarkEnd w:id="66"/>
      <w:r w:rsidRPr="009C778C">
        <w:rPr>
          <w:rFonts w:cstheme="minorHAnsi"/>
          <w:sz w:val="24"/>
          <w:szCs w:val="24"/>
        </w:rPr>
        <w:t> and </w:t>
      </w:r>
      <w:hyperlink r:id="rId85" w:anchor="bb0095" w:history="1">
        <w:r w:rsidRPr="009C778C">
          <w:rPr>
            <w:rStyle w:val="Hyperlink"/>
            <w:rFonts w:cstheme="minorHAnsi"/>
            <w:sz w:val="24"/>
            <w:szCs w:val="24"/>
          </w:rPr>
          <w:t>Chaney et al. (2011)</w:t>
        </w:r>
      </w:hyperlink>
      <w:r w:rsidRPr="009C778C">
        <w:rPr>
          <w:rFonts w:cstheme="minorHAnsi"/>
          <w:sz w:val="24"/>
          <w:szCs w:val="24"/>
        </w:rPr>
        <w:t>, we find that small firms are more likely than large firms to engage in opportunistic financial reporting.</w:t>
      </w:r>
    </w:p>
    <w:p w14:paraId="38F838CF" w14:textId="77777777" w:rsidR="009C778C" w:rsidRPr="001B5C9F" w:rsidRDefault="009C778C" w:rsidP="005D5079">
      <w:pPr>
        <w:pStyle w:val="NoSpacing"/>
        <w:rPr>
          <w:sz w:val="24"/>
          <w:szCs w:val="24"/>
        </w:rPr>
      </w:pPr>
      <w:r w:rsidRPr="00911EDD">
        <w:rPr>
          <w:b/>
          <w:bCs/>
          <w:sz w:val="24"/>
          <w:szCs w:val="24"/>
        </w:rPr>
        <w:t>Table 4</w:t>
      </w:r>
      <w:r w:rsidRPr="001B5C9F">
        <w:rPr>
          <w:sz w:val="24"/>
          <w:szCs w:val="24"/>
        </w:rPr>
        <w:t>. The impact of institutional investors on earnings management.</w:t>
      </w:r>
    </w:p>
    <w:p w14:paraId="25A8267B" w14:textId="77777777" w:rsidR="009C778C" w:rsidRPr="001B5C9F" w:rsidRDefault="009C778C" w:rsidP="005D5079">
      <w:pPr>
        <w:pStyle w:val="NoSpacing"/>
        <w:rPr>
          <w:sz w:val="24"/>
          <w:szCs w:val="24"/>
        </w:rPr>
      </w:pPr>
      <w:r w:rsidRPr="001B5C9F">
        <w:rPr>
          <w:sz w:val="24"/>
          <w:szCs w:val="24"/>
        </w:rPr>
        <w:t>This table reports estimation results from panel regressions of earnings management on institutional ownership using a sample of non-U.S. firms from 2001 to 2013. Dependent variable (</w:t>
      </w:r>
      <w:r w:rsidRPr="001B5C9F">
        <w:rPr>
          <w:i/>
          <w:iCs/>
          <w:sz w:val="24"/>
          <w:szCs w:val="24"/>
        </w:rPr>
        <w:t>Dep. Var.</w:t>
      </w:r>
      <w:r w:rsidRPr="001B5C9F">
        <w:rPr>
          <w:sz w:val="24"/>
          <w:szCs w:val="24"/>
        </w:rPr>
        <w:t>) is a composite measure based on a principal component analysis of three earnings management measures (</w:t>
      </w:r>
      <w:r w:rsidRPr="001B5C9F">
        <w:rPr>
          <w:i/>
          <w:iCs/>
          <w:sz w:val="24"/>
          <w:szCs w:val="24"/>
        </w:rPr>
        <w:t>Agg. EM</w:t>
      </w:r>
      <w:r w:rsidRPr="001B5C9F">
        <w:rPr>
          <w:sz w:val="24"/>
          <w:szCs w:val="24"/>
        </w:rPr>
        <w:t>). The main independent variables of interest are domestic (</w:t>
      </w:r>
      <w:r w:rsidRPr="001B5C9F">
        <w:rPr>
          <w:i/>
          <w:iCs/>
          <w:sz w:val="24"/>
          <w:szCs w:val="24"/>
        </w:rPr>
        <w:t>DOMESTIC</w:t>
      </w:r>
      <w:r w:rsidRPr="001B5C9F">
        <w:rPr>
          <w:sz w:val="24"/>
          <w:szCs w:val="24"/>
        </w:rPr>
        <w:t>) and foreign (</w:t>
      </w:r>
      <w:r w:rsidRPr="001B5C9F">
        <w:rPr>
          <w:i/>
          <w:iCs/>
          <w:sz w:val="24"/>
          <w:szCs w:val="24"/>
        </w:rPr>
        <w:t>FOREIGN</w:t>
      </w:r>
      <w:r w:rsidRPr="001B5C9F">
        <w:rPr>
          <w:sz w:val="24"/>
          <w:szCs w:val="24"/>
        </w:rPr>
        <w:t>) institutional ownership. All variable definitions are given in </w:t>
      </w:r>
      <w:hyperlink r:id="rId86" w:anchor="s0085" w:history="1">
        <w:r w:rsidRPr="001B5C9F">
          <w:rPr>
            <w:rStyle w:val="Hyperlink"/>
            <w:rFonts w:cstheme="minorHAnsi"/>
            <w:sz w:val="24"/>
            <w:szCs w:val="24"/>
          </w:rPr>
          <w:t>Appendix A</w:t>
        </w:r>
      </w:hyperlink>
      <w:r w:rsidRPr="001B5C9F">
        <w:rPr>
          <w:sz w:val="24"/>
          <w:szCs w:val="24"/>
        </w:rPr>
        <w:t>. Each regression includes year, industry (based on two-digit SIC codes), and country fixed effects (FE). Column of </w:t>
      </w:r>
      <w:r w:rsidRPr="001B5C9F">
        <w:rPr>
          <w:i/>
          <w:iCs/>
          <w:sz w:val="24"/>
          <w:szCs w:val="24"/>
        </w:rPr>
        <w:t>Pred. Sign</w:t>
      </w:r>
      <w:r w:rsidRPr="001B5C9F">
        <w:rPr>
          <w:sz w:val="24"/>
          <w:szCs w:val="24"/>
        </w:rPr>
        <w:t> provides expected directional relations between the dependent variable and the main independent variables of interest. Below the coefficient estimates in parentheses are </w:t>
      </w:r>
      <w:r w:rsidRPr="001B5C9F">
        <w:rPr>
          <w:i/>
          <w:iCs/>
          <w:sz w:val="24"/>
          <w:szCs w:val="24"/>
        </w:rPr>
        <w:t>t</w:t>
      </w:r>
      <w:r w:rsidRPr="001B5C9F">
        <w:rPr>
          <w:sz w:val="24"/>
          <w:szCs w:val="24"/>
        </w:rPr>
        <w:t>-values adjusted for heteroscedasticity and firm-level clustering. *, **, and *** indicate significance level of less than 0.10, 0.05, and 0.01, respectively.</w:t>
      </w:r>
    </w:p>
    <w:tbl>
      <w:tblPr>
        <w:tblStyle w:val="TableGrid"/>
        <w:tblW w:w="0" w:type="auto"/>
        <w:tblLook w:val="04A0" w:firstRow="1" w:lastRow="0" w:firstColumn="1" w:lastColumn="0" w:noHBand="0" w:noVBand="1"/>
      </w:tblPr>
      <w:tblGrid>
        <w:gridCol w:w="2550"/>
        <w:gridCol w:w="763"/>
        <w:gridCol w:w="1177"/>
        <w:gridCol w:w="1116"/>
        <w:gridCol w:w="1116"/>
        <w:gridCol w:w="1116"/>
        <w:gridCol w:w="1116"/>
        <w:gridCol w:w="1116"/>
      </w:tblGrid>
      <w:tr w:rsidR="009B2C80" w:rsidRPr="00F33A88" w14:paraId="2A345751" w14:textId="77777777" w:rsidTr="000650D6">
        <w:tc>
          <w:tcPr>
            <w:tcW w:w="0" w:type="auto"/>
            <w:hideMark/>
          </w:tcPr>
          <w:p w14:paraId="3ED908E3" w14:textId="77777777" w:rsidR="009B2C80" w:rsidRPr="00F33A88" w:rsidRDefault="009B2C80" w:rsidP="0068273E">
            <w:pPr>
              <w:pStyle w:val="NoSpacing"/>
              <w:rPr>
                <w:sz w:val="20"/>
                <w:szCs w:val="20"/>
              </w:rPr>
            </w:pPr>
            <w:r w:rsidRPr="00F33A88">
              <w:rPr>
                <w:sz w:val="20"/>
                <w:szCs w:val="20"/>
              </w:rPr>
              <w:t>Empty Cell</w:t>
            </w:r>
          </w:p>
        </w:tc>
        <w:tc>
          <w:tcPr>
            <w:tcW w:w="0" w:type="auto"/>
            <w:hideMark/>
          </w:tcPr>
          <w:p w14:paraId="2736BBE4" w14:textId="77777777" w:rsidR="009B2C80" w:rsidRPr="00F33A88" w:rsidRDefault="009B2C80" w:rsidP="0068273E">
            <w:pPr>
              <w:pStyle w:val="NoSpacing"/>
              <w:rPr>
                <w:sz w:val="20"/>
                <w:szCs w:val="20"/>
              </w:rPr>
            </w:pPr>
            <w:r w:rsidRPr="00F33A88">
              <w:rPr>
                <w:sz w:val="20"/>
                <w:szCs w:val="20"/>
              </w:rPr>
              <w:t>Empty Cell</w:t>
            </w:r>
          </w:p>
        </w:tc>
        <w:tc>
          <w:tcPr>
            <w:tcW w:w="0" w:type="auto"/>
            <w:hideMark/>
          </w:tcPr>
          <w:p w14:paraId="293EE226" w14:textId="77777777" w:rsidR="009B2C80" w:rsidRPr="00F33A88" w:rsidRDefault="009B2C80" w:rsidP="0068273E">
            <w:pPr>
              <w:pStyle w:val="NoSpacing"/>
              <w:rPr>
                <w:b/>
                <w:bCs/>
                <w:sz w:val="20"/>
                <w:szCs w:val="20"/>
              </w:rPr>
            </w:pPr>
            <w:r w:rsidRPr="00F33A88">
              <w:rPr>
                <w:b/>
                <w:bCs/>
                <w:i/>
                <w:iCs/>
                <w:sz w:val="20"/>
                <w:szCs w:val="20"/>
              </w:rPr>
              <w:t>Dep. Var.</w:t>
            </w:r>
            <w:r w:rsidRPr="00F33A88">
              <w:rPr>
                <w:b/>
                <w:bCs/>
                <w:sz w:val="20"/>
                <w:szCs w:val="20"/>
              </w:rPr>
              <w:t xml:space="preserve"> = Agg. </w:t>
            </w:r>
            <w:proofErr w:type="spellStart"/>
            <w:r w:rsidRPr="00F33A88">
              <w:rPr>
                <w:b/>
                <w:bCs/>
                <w:sz w:val="20"/>
                <w:szCs w:val="20"/>
              </w:rPr>
              <w:t>EM</w:t>
            </w:r>
            <w:r w:rsidRPr="00F33A88">
              <w:rPr>
                <w:b/>
                <w:bCs/>
                <w:sz w:val="20"/>
                <w:szCs w:val="20"/>
                <w:vertAlign w:val="subscript"/>
              </w:rPr>
              <w:t>t</w:t>
            </w:r>
            <w:proofErr w:type="spellEnd"/>
          </w:p>
        </w:tc>
        <w:tc>
          <w:tcPr>
            <w:tcW w:w="0" w:type="auto"/>
          </w:tcPr>
          <w:p w14:paraId="6C76A707" w14:textId="77777777" w:rsidR="009B2C80" w:rsidRPr="00F33A88" w:rsidRDefault="009B2C80" w:rsidP="0068273E">
            <w:pPr>
              <w:pStyle w:val="NoSpacing"/>
              <w:rPr>
                <w:b/>
                <w:bCs/>
                <w:sz w:val="20"/>
                <w:szCs w:val="20"/>
              </w:rPr>
            </w:pPr>
          </w:p>
        </w:tc>
        <w:tc>
          <w:tcPr>
            <w:tcW w:w="0" w:type="auto"/>
          </w:tcPr>
          <w:p w14:paraId="1EF2AA39" w14:textId="77777777" w:rsidR="009B2C80" w:rsidRPr="00F33A88" w:rsidRDefault="009B2C80" w:rsidP="0068273E">
            <w:pPr>
              <w:pStyle w:val="NoSpacing"/>
              <w:rPr>
                <w:b/>
                <w:bCs/>
                <w:sz w:val="20"/>
                <w:szCs w:val="20"/>
              </w:rPr>
            </w:pPr>
          </w:p>
        </w:tc>
        <w:tc>
          <w:tcPr>
            <w:tcW w:w="0" w:type="auto"/>
          </w:tcPr>
          <w:p w14:paraId="5E791383" w14:textId="77777777" w:rsidR="009B2C80" w:rsidRPr="00F33A88" w:rsidRDefault="009B2C80" w:rsidP="0068273E">
            <w:pPr>
              <w:pStyle w:val="NoSpacing"/>
              <w:rPr>
                <w:b/>
                <w:bCs/>
                <w:sz w:val="20"/>
                <w:szCs w:val="20"/>
              </w:rPr>
            </w:pPr>
          </w:p>
        </w:tc>
        <w:tc>
          <w:tcPr>
            <w:tcW w:w="0" w:type="auto"/>
          </w:tcPr>
          <w:p w14:paraId="65EE7B61" w14:textId="77777777" w:rsidR="009B2C80" w:rsidRPr="00F33A88" w:rsidRDefault="009B2C80" w:rsidP="0068273E">
            <w:pPr>
              <w:pStyle w:val="NoSpacing"/>
              <w:rPr>
                <w:b/>
                <w:bCs/>
                <w:sz w:val="20"/>
                <w:szCs w:val="20"/>
              </w:rPr>
            </w:pPr>
          </w:p>
        </w:tc>
        <w:tc>
          <w:tcPr>
            <w:tcW w:w="0" w:type="auto"/>
          </w:tcPr>
          <w:p w14:paraId="79D2E1FB" w14:textId="211E7A19" w:rsidR="009B2C80" w:rsidRPr="00F33A88" w:rsidRDefault="009B2C80" w:rsidP="0068273E">
            <w:pPr>
              <w:pStyle w:val="NoSpacing"/>
              <w:rPr>
                <w:b/>
                <w:bCs/>
                <w:sz w:val="20"/>
                <w:szCs w:val="20"/>
              </w:rPr>
            </w:pPr>
          </w:p>
        </w:tc>
      </w:tr>
      <w:tr w:rsidR="009B2C80" w:rsidRPr="00F33A88" w14:paraId="622610CC" w14:textId="77777777" w:rsidTr="000650D6">
        <w:tc>
          <w:tcPr>
            <w:tcW w:w="0" w:type="auto"/>
            <w:hideMark/>
          </w:tcPr>
          <w:p w14:paraId="35067F17" w14:textId="77777777" w:rsidR="009B2C80" w:rsidRPr="00F33A88" w:rsidRDefault="009B2C80" w:rsidP="0068273E">
            <w:pPr>
              <w:pStyle w:val="NoSpacing"/>
              <w:rPr>
                <w:sz w:val="20"/>
                <w:szCs w:val="20"/>
              </w:rPr>
            </w:pPr>
          </w:p>
        </w:tc>
        <w:tc>
          <w:tcPr>
            <w:tcW w:w="0" w:type="auto"/>
            <w:hideMark/>
          </w:tcPr>
          <w:p w14:paraId="554665D4" w14:textId="77777777" w:rsidR="009B2C80" w:rsidRPr="00F33A88" w:rsidRDefault="009B2C80" w:rsidP="0068273E">
            <w:pPr>
              <w:pStyle w:val="NoSpacing"/>
              <w:rPr>
                <w:sz w:val="20"/>
                <w:szCs w:val="20"/>
              </w:rPr>
            </w:pPr>
          </w:p>
        </w:tc>
        <w:tc>
          <w:tcPr>
            <w:tcW w:w="0" w:type="auto"/>
            <w:hideMark/>
          </w:tcPr>
          <w:p w14:paraId="1B2B7D25" w14:textId="77777777" w:rsidR="009B2C80" w:rsidRPr="00F33A88" w:rsidRDefault="009B2C80" w:rsidP="0068273E">
            <w:pPr>
              <w:pStyle w:val="NoSpacing"/>
              <w:rPr>
                <w:b/>
                <w:bCs/>
                <w:sz w:val="20"/>
                <w:szCs w:val="20"/>
              </w:rPr>
            </w:pPr>
            <w:r w:rsidRPr="00F33A88">
              <w:rPr>
                <w:b/>
                <w:bCs/>
                <w:sz w:val="20"/>
                <w:szCs w:val="20"/>
              </w:rPr>
              <w:t>Baseline</w:t>
            </w:r>
          </w:p>
        </w:tc>
        <w:tc>
          <w:tcPr>
            <w:tcW w:w="0" w:type="auto"/>
          </w:tcPr>
          <w:p w14:paraId="6E6CAA63" w14:textId="77777777" w:rsidR="009B2C80" w:rsidRPr="00F33A88" w:rsidRDefault="009B2C80" w:rsidP="0068273E">
            <w:pPr>
              <w:pStyle w:val="NoSpacing"/>
              <w:rPr>
                <w:b/>
                <w:bCs/>
                <w:sz w:val="20"/>
                <w:szCs w:val="20"/>
              </w:rPr>
            </w:pPr>
          </w:p>
        </w:tc>
        <w:tc>
          <w:tcPr>
            <w:tcW w:w="0" w:type="auto"/>
          </w:tcPr>
          <w:p w14:paraId="59D18FC6" w14:textId="77777777" w:rsidR="009B2C80" w:rsidRPr="00F33A88" w:rsidRDefault="009B2C80" w:rsidP="0068273E">
            <w:pPr>
              <w:pStyle w:val="NoSpacing"/>
              <w:rPr>
                <w:b/>
                <w:bCs/>
                <w:sz w:val="20"/>
                <w:szCs w:val="20"/>
              </w:rPr>
            </w:pPr>
          </w:p>
        </w:tc>
        <w:tc>
          <w:tcPr>
            <w:tcW w:w="0" w:type="auto"/>
          </w:tcPr>
          <w:p w14:paraId="578589DA" w14:textId="77777777" w:rsidR="009B2C80" w:rsidRPr="00F33A88" w:rsidRDefault="009B2C80" w:rsidP="0068273E">
            <w:pPr>
              <w:pStyle w:val="NoSpacing"/>
              <w:rPr>
                <w:b/>
                <w:bCs/>
                <w:sz w:val="20"/>
                <w:szCs w:val="20"/>
              </w:rPr>
            </w:pPr>
          </w:p>
        </w:tc>
        <w:tc>
          <w:tcPr>
            <w:tcW w:w="0" w:type="auto"/>
          </w:tcPr>
          <w:p w14:paraId="390651C1" w14:textId="77777777" w:rsidR="009B2C80" w:rsidRPr="00F33A88" w:rsidRDefault="009B2C80" w:rsidP="0068273E">
            <w:pPr>
              <w:pStyle w:val="NoSpacing"/>
              <w:rPr>
                <w:b/>
                <w:bCs/>
                <w:sz w:val="20"/>
                <w:szCs w:val="20"/>
              </w:rPr>
            </w:pPr>
          </w:p>
        </w:tc>
        <w:tc>
          <w:tcPr>
            <w:tcW w:w="0" w:type="auto"/>
          </w:tcPr>
          <w:p w14:paraId="08BD5301" w14:textId="0F3C6641" w:rsidR="009B2C80" w:rsidRPr="00F33A88" w:rsidRDefault="009B2C80" w:rsidP="0068273E">
            <w:pPr>
              <w:pStyle w:val="NoSpacing"/>
              <w:rPr>
                <w:b/>
                <w:bCs/>
                <w:sz w:val="20"/>
                <w:szCs w:val="20"/>
              </w:rPr>
            </w:pPr>
          </w:p>
        </w:tc>
      </w:tr>
      <w:tr w:rsidR="009C778C" w:rsidRPr="00F33A88" w14:paraId="0A8A86EC" w14:textId="77777777" w:rsidTr="000650D6">
        <w:tc>
          <w:tcPr>
            <w:tcW w:w="0" w:type="auto"/>
            <w:hideMark/>
          </w:tcPr>
          <w:p w14:paraId="695F4E3B" w14:textId="77777777" w:rsidR="009C778C" w:rsidRPr="00F33A88" w:rsidRDefault="009C778C" w:rsidP="0068273E">
            <w:pPr>
              <w:pStyle w:val="NoSpacing"/>
              <w:rPr>
                <w:sz w:val="20"/>
                <w:szCs w:val="20"/>
              </w:rPr>
            </w:pPr>
          </w:p>
        </w:tc>
        <w:tc>
          <w:tcPr>
            <w:tcW w:w="0" w:type="auto"/>
            <w:hideMark/>
          </w:tcPr>
          <w:p w14:paraId="08490B66" w14:textId="77777777" w:rsidR="009C778C" w:rsidRPr="00F33A88" w:rsidRDefault="009C778C" w:rsidP="0068273E">
            <w:pPr>
              <w:pStyle w:val="NoSpacing"/>
              <w:rPr>
                <w:b/>
                <w:bCs/>
                <w:sz w:val="20"/>
                <w:szCs w:val="20"/>
              </w:rPr>
            </w:pPr>
            <w:r w:rsidRPr="00F33A88">
              <w:rPr>
                <w:b/>
                <w:bCs/>
                <w:i/>
                <w:iCs/>
                <w:sz w:val="20"/>
                <w:szCs w:val="20"/>
              </w:rPr>
              <w:t>Pred.</w:t>
            </w:r>
            <w:r w:rsidRPr="00F33A88">
              <w:rPr>
                <w:b/>
                <w:bCs/>
                <w:sz w:val="20"/>
                <w:szCs w:val="20"/>
              </w:rPr>
              <w:br/>
            </w:r>
            <w:r w:rsidRPr="00F33A88">
              <w:rPr>
                <w:b/>
                <w:bCs/>
                <w:i/>
                <w:iCs/>
                <w:sz w:val="20"/>
                <w:szCs w:val="20"/>
              </w:rPr>
              <w:t>Sign</w:t>
            </w:r>
          </w:p>
        </w:tc>
        <w:tc>
          <w:tcPr>
            <w:tcW w:w="0" w:type="auto"/>
            <w:hideMark/>
          </w:tcPr>
          <w:p w14:paraId="7546F2FC" w14:textId="77777777" w:rsidR="009C778C" w:rsidRPr="00F33A88" w:rsidRDefault="009C778C" w:rsidP="0068273E">
            <w:pPr>
              <w:pStyle w:val="NoSpacing"/>
              <w:rPr>
                <w:b/>
                <w:bCs/>
                <w:sz w:val="20"/>
                <w:szCs w:val="20"/>
              </w:rPr>
            </w:pPr>
            <w:r w:rsidRPr="00F33A88">
              <w:rPr>
                <w:b/>
                <w:bCs/>
                <w:sz w:val="20"/>
                <w:szCs w:val="20"/>
              </w:rPr>
              <w:t>(1)</w:t>
            </w:r>
          </w:p>
        </w:tc>
        <w:tc>
          <w:tcPr>
            <w:tcW w:w="0" w:type="auto"/>
            <w:hideMark/>
          </w:tcPr>
          <w:p w14:paraId="3DE4B0D2" w14:textId="77777777" w:rsidR="009C778C" w:rsidRPr="00F33A88" w:rsidRDefault="009C778C" w:rsidP="0068273E">
            <w:pPr>
              <w:pStyle w:val="NoSpacing"/>
              <w:rPr>
                <w:b/>
                <w:bCs/>
                <w:sz w:val="20"/>
                <w:szCs w:val="20"/>
              </w:rPr>
            </w:pPr>
            <w:r w:rsidRPr="00F33A88">
              <w:rPr>
                <w:b/>
                <w:bCs/>
                <w:sz w:val="20"/>
                <w:szCs w:val="20"/>
              </w:rPr>
              <w:t>(2)</w:t>
            </w:r>
          </w:p>
        </w:tc>
        <w:tc>
          <w:tcPr>
            <w:tcW w:w="0" w:type="auto"/>
            <w:hideMark/>
          </w:tcPr>
          <w:p w14:paraId="09604B20" w14:textId="77777777" w:rsidR="009C778C" w:rsidRPr="00F33A88" w:rsidRDefault="009C778C" w:rsidP="0068273E">
            <w:pPr>
              <w:pStyle w:val="NoSpacing"/>
              <w:rPr>
                <w:b/>
                <w:bCs/>
                <w:sz w:val="20"/>
                <w:szCs w:val="20"/>
              </w:rPr>
            </w:pPr>
            <w:r w:rsidRPr="00F33A88">
              <w:rPr>
                <w:b/>
                <w:bCs/>
                <w:sz w:val="20"/>
                <w:szCs w:val="20"/>
              </w:rPr>
              <w:t>(3)</w:t>
            </w:r>
          </w:p>
        </w:tc>
        <w:tc>
          <w:tcPr>
            <w:tcW w:w="0" w:type="auto"/>
            <w:hideMark/>
          </w:tcPr>
          <w:p w14:paraId="4E2EAE24" w14:textId="77777777" w:rsidR="009C778C" w:rsidRPr="00F33A88" w:rsidRDefault="009C778C" w:rsidP="0068273E">
            <w:pPr>
              <w:pStyle w:val="NoSpacing"/>
              <w:rPr>
                <w:b/>
                <w:bCs/>
                <w:sz w:val="20"/>
                <w:szCs w:val="20"/>
              </w:rPr>
            </w:pPr>
            <w:r w:rsidRPr="00F33A88">
              <w:rPr>
                <w:b/>
                <w:bCs/>
                <w:sz w:val="20"/>
                <w:szCs w:val="20"/>
              </w:rPr>
              <w:t>(4)</w:t>
            </w:r>
          </w:p>
        </w:tc>
        <w:tc>
          <w:tcPr>
            <w:tcW w:w="0" w:type="auto"/>
            <w:hideMark/>
          </w:tcPr>
          <w:p w14:paraId="6FDB78A9" w14:textId="77777777" w:rsidR="009C778C" w:rsidRPr="00F33A88" w:rsidRDefault="009C778C" w:rsidP="0068273E">
            <w:pPr>
              <w:pStyle w:val="NoSpacing"/>
              <w:rPr>
                <w:b/>
                <w:bCs/>
                <w:sz w:val="20"/>
                <w:szCs w:val="20"/>
              </w:rPr>
            </w:pPr>
            <w:r w:rsidRPr="00F33A88">
              <w:rPr>
                <w:b/>
                <w:bCs/>
                <w:sz w:val="20"/>
                <w:szCs w:val="20"/>
              </w:rPr>
              <w:t>(5)</w:t>
            </w:r>
          </w:p>
        </w:tc>
        <w:tc>
          <w:tcPr>
            <w:tcW w:w="0" w:type="auto"/>
            <w:hideMark/>
          </w:tcPr>
          <w:p w14:paraId="51B0E693" w14:textId="77777777" w:rsidR="009C778C" w:rsidRPr="00F33A88" w:rsidRDefault="009C778C" w:rsidP="0068273E">
            <w:pPr>
              <w:pStyle w:val="NoSpacing"/>
              <w:rPr>
                <w:b/>
                <w:bCs/>
                <w:sz w:val="20"/>
                <w:szCs w:val="20"/>
              </w:rPr>
            </w:pPr>
            <w:r w:rsidRPr="00F33A88">
              <w:rPr>
                <w:b/>
                <w:bCs/>
                <w:sz w:val="20"/>
                <w:szCs w:val="20"/>
              </w:rPr>
              <w:t>(6)</w:t>
            </w:r>
          </w:p>
        </w:tc>
      </w:tr>
      <w:tr w:rsidR="009C778C" w:rsidRPr="00F33A88" w14:paraId="39E5566D" w14:textId="77777777" w:rsidTr="000650D6">
        <w:tc>
          <w:tcPr>
            <w:tcW w:w="0" w:type="auto"/>
            <w:hideMark/>
          </w:tcPr>
          <w:p w14:paraId="7F66C653" w14:textId="77777777" w:rsidR="009C778C" w:rsidRPr="00F33A88" w:rsidRDefault="009C778C" w:rsidP="0068273E">
            <w:pPr>
              <w:pStyle w:val="NoSpacing"/>
              <w:rPr>
                <w:b/>
                <w:bCs/>
                <w:sz w:val="20"/>
                <w:szCs w:val="20"/>
              </w:rPr>
            </w:pPr>
            <w:proofErr w:type="spellStart"/>
            <w:r w:rsidRPr="00F33A88">
              <w:rPr>
                <w:b/>
                <w:bCs/>
                <w:sz w:val="20"/>
                <w:szCs w:val="20"/>
              </w:rPr>
              <w:t>TOTAL</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24D36001" w14:textId="77777777" w:rsidR="009C778C" w:rsidRPr="00F33A88" w:rsidRDefault="009C778C" w:rsidP="0068273E">
            <w:pPr>
              <w:pStyle w:val="NoSpacing"/>
              <w:rPr>
                <w:sz w:val="20"/>
                <w:szCs w:val="20"/>
              </w:rPr>
            </w:pPr>
            <w:r w:rsidRPr="00F33A88">
              <w:rPr>
                <w:b/>
                <w:bCs/>
                <w:sz w:val="20"/>
                <w:szCs w:val="20"/>
              </w:rPr>
              <w:t>–</w:t>
            </w:r>
          </w:p>
        </w:tc>
        <w:tc>
          <w:tcPr>
            <w:tcW w:w="0" w:type="auto"/>
            <w:hideMark/>
          </w:tcPr>
          <w:p w14:paraId="5C16D7F5" w14:textId="77777777" w:rsidR="009C778C" w:rsidRPr="00F33A88" w:rsidRDefault="009C778C" w:rsidP="0068273E">
            <w:pPr>
              <w:pStyle w:val="NoSpacing"/>
              <w:rPr>
                <w:sz w:val="20"/>
                <w:szCs w:val="20"/>
              </w:rPr>
            </w:pPr>
          </w:p>
        </w:tc>
        <w:tc>
          <w:tcPr>
            <w:tcW w:w="0" w:type="auto"/>
            <w:hideMark/>
          </w:tcPr>
          <w:p w14:paraId="7367CAC9" w14:textId="77777777" w:rsidR="009C778C" w:rsidRPr="00F33A88" w:rsidRDefault="009C778C" w:rsidP="0068273E">
            <w:pPr>
              <w:pStyle w:val="NoSpacing"/>
              <w:rPr>
                <w:sz w:val="20"/>
                <w:szCs w:val="20"/>
              </w:rPr>
            </w:pPr>
            <w:r w:rsidRPr="00F33A88">
              <w:rPr>
                <w:sz w:val="20"/>
                <w:szCs w:val="20"/>
              </w:rPr>
              <w:t>− 0.503***</w:t>
            </w:r>
          </w:p>
        </w:tc>
        <w:tc>
          <w:tcPr>
            <w:tcW w:w="0" w:type="auto"/>
            <w:hideMark/>
          </w:tcPr>
          <w:p w14:paraId="6FDB79BA" w14:textId="77777777" w:rsidR="009C778C" w:rsidRPr="00F33A88" w:rsidRDefault="009C778C" w:rsidP="0068273E">
            <w:pPr>
              <w:pStyle w:val="NoSpacing"/>
              <w:rPr>
                <w:sz w:val="20"/>
                <w:szCs w:val="20"/>
              </w:rPr>
            </w:pPr>
          </w:p>
        </w:tc>
        <w:tc>
          <w:tcPr>
            <w:tcW w:w="0" w:type="auto"/>
            <w:hideMark/>
          </w:tcPr>
          <w:p w14:paraId="51D9C663" w14:textId="77777777" w:rsidR="009C778C" w:rsidRPr="00F33A88" w:rsidRDefault="009C778C" w:rsidP="0068273E">
            <w:pPr>
              <w:pStyle w:val="NoSpacing"/>
              <w:rPr>
                <w:sz w:val="20"/>
                <w:szCs w:val="20"/>
              </w:rPr>
            </w:pPr>
          </w:p>
        </w:tc>
        <w:tc>
          <w:tcPr>
            <w:tcW w:w="0" w:type="auto"/>
            <w:hideMark/>
          </w:tcPr>
          <w:p w14:paraId="2A9C9A82" w14:textId="77777777" w:rsidR="009C778C" w:rsidRPr="00F33A88" w:rsidRDefault="009C778C" w:rsidP="0068273E">
            <w:pPr>
              <w:pStyle w:val="NoSpacing"/>
              <w:rPr>
                <w:sz w:val="20"/>
                <w:szCs w:val="20"/>
              </w:rPr>
            </w:pPr>
            <w:r w:rsidRPr="00F33A88">
              <w:rPr>
                <w:sz w:val="20"/>
                <w:szCs w:val="20"/>
              </w:rPr>
              <w:t>− 0.293***</w:t>
            </w:r>
          </w:p>
        </w:tc>
        <w:tc>
          <w:tcPr>
            <w:tcW w:w="0" w:type="auto"/>
            <w:hideMark/>
          </w:tcPr>
          <w:p w14:paraId="54E03F32" w14:textId="77777777" w:rsidR="009C778C" w:rsidRPr="00F33A88" w:rsidRDefault="009C778C" w:rsidP="0068273E">
            <w:pPr>
              <w:pStyle w:val="NoSpacing"/>
              <w:rPr>
                <w:sz w:val="20"/>
                <w:szCs w:val="20"/>
              </w:rPr>
            </w:pPr>
          </w:p>
        </w:tc>
      </w:tr>
      <w:tr w:rsidR="009C778C" w:rsidRPr="00F33A88" w14:paraId="5BC1C967" w14:textId="77777777" w:rsidTr="000650D6">
        <w:tc>
          <w:tcPr>
            <w:tcW w:w="0" w:type="auto"/>
            <w:hideMark/>
          </w:tcPr>
          <w:p w14:paraId="2E3177B4" w14:textId="77777777" w:rsidR="009C778C" w:rsidRPr="00F33A88" w:rsidRDefault="009C778C" w:rsidP="0068273E">
            <w:pPr>
              <w:pStyle w:val="NoSpacing"/>
              <w:rPr>
                <w:b/>
                <w:bCs/>
                <w:sz w:val="20"/>
                <w:szCs w:val="20"/>
              </w:rPr>
            </w:pPr>
          </w:p>
        </w:tc>
        <w:tc>
          <w:tcPr>
            <w:tcW w:w="0" w:type="auto"/>
            <w:hideMark/>
          </w:tcPr>
          <w:p w14:paraId="3ACA01A4" w14:textId="77777777" w:rsidR="009C778C" w:rsidRPr="00F33A88" w:rsidRDefault="009C778C" w:rsidP="0068273E">
            <w:pPr>
              <w:pStyle w:val="NoSpacing"/>
              <w:rPr>
                <w:sz w:val="20"/>
                <w:szCs w:val="20"/>
              </w:rPr>
            </w:pPr>
          </w:p>
        </w:tc>
        <w:tc>
          <w:tcPr>
            <w:tcW w:w="0" w:type="auto"/>
            <w:hideMark/>
          </w:tcPr>
          <w:p w14:paraId="72ADD4D4" w14:textId="77777777" w:rsidR="009C778C" w:rsidRPr="00F33A88" w:rsidRDefault="009C778C" w:rsidP="0068273E">
            <w:pPr>
              <w:pStyle w:val="NoSpacing"/>
              <w:rPr>
                <w:sz w:val="20"/>
                <w:szCs w:val="20"/>
              </w:rPr>
            </w:pPr>
          </w:p>
        </w:tc>
        <w:tc>
          <w:tcPr>
            <w:tcW w:w="0" w:type="auto"/>
            <w:hideMark/>
          </w:tcPr>
          <w:p w14:paraId="11CACA92" w14:textId="77777777" w:rsidR="009C778C" w:rsidRPr="00F33A88" w:rsidRDefault="009C778C" w:rsidP="0068273E">
            <w:pPr>
              <w:pStyle w:val="NoSpacing"/>
              <w:rPr>
                <w:sz w:val="20"/>
                <w:szCs w:val="20"/>
              </w:rPr>
            </w:pPr>
            <w:r w:rsidRPr="00F33A88">
              <w:rPr>
                <w:sz w:val="20"/>
                <w:szCs w:val="20"/>
              </w:rPr>
              <w:t>(− 14.91)</w:t>
            </w:r>
          </w:p>
        </w:tc>
        <w:tc>
          <w:tcPr>
            <w:tcW w:w="0" w:type="auto"/>
            <w:hideMark/>
          </w:tcPr>
          <w:p w14:paraId="2BC9F8C4" w14:textId="77777777" w:rsidR="009C778C" w:rsidRPr="00F33A88" w:rsidRDefault="009C778C" w:rsidP="0068273E">
            <w:pPr>
              <w:pStyle w:val="NoSpacing"/>
              <w:rPr>
                <w:sz w:val="20"/>
                <w:szCs w:val="20"/>
              </w:rPr>
            </w:pPr>
          </w:p>
        </w:tc>
        <w:tc>
          <w:tcPr>
            <w:tcW w:w="0" w:type="auto"/>
            <w:hideMark/>
          </w:tcPr>
          <w:p w14:paraId="7E5933BE" w14:textId="77777777" w:rsidR="009C778C" w:rsidRPr="00F33A88" w:rsidRDefault="009C778C" w:rsidP="0068273E">
            <w:pPr>
              <w:pStyle w:val="NoSpacing"/>
              <w:rPr>
                <w:sz w:val="20"/>
                <w:szCs w:val="20"/>
              </w:rPr>
            </w:pPr>
          </w:p>
        </w:tc>
        <w:tc>
          <w:tcPr>
            <w:tcW w:w="0" w:type="auto"/>
            <w:hideMark/>
          </w:tcPr>
          <w:p w14:paraId="3F22F73C" w14:textId="77777777" w:rsidR="009C778C" w:rsidRPr="00F33A88" w:rsidRDefault="009C778C" w:rsidP="0068273E">
            <w:pPr>
              <w:pStyle w:val="NoSpacing"/>
              <w:rPr>
                <w:sz w:val="20"/>
                <w:szCs w:val="20"/>
              </w:rPr>
            </w:pPr>
            <w:r w:rsidRPr="00F33A88">
              <w:rPr>
                <w:sz w:val="20"/>
                <w:szCs w:val="20"/>
              </w:rPr>
              <w:t>(− 7.42)</w:t>
            </w:r>
          </w:p>
        </w:tc>
        <w:tc>
          <w:tcPr>
            <w:tcW w:w="0" w:type="auto"/>
            <w:hideMark/>
          </w:tcPr>
          <w:p w14:paraId="3B739256" w14:textId="77777777" w:rsidR="009C778C" w:rsidRPr="00F33A88" w:rsidRDefault="009C778C" w:rsidP="0068273E">
            <w:pPr>
              <w:pStyle w:val="NoSpacing"/>
              <w:rPr>
                <w:sz w:val="20"/>
                <w:szCs w:val="20"/>
              </w:rPr>
            </w:pPr>
          </w:p>
        </w:tc>
      </w:tr>
      <w:tr w:rsidR="009C778C" w:rsidRPr="00F33A88" w14:paraId="79777367" w14:textId="77777777" w:rsidTr="000650D6">
        <w:tc>
          <w:tcPr>
            <w:tcW w:w="0" w:type="auto"/>
            <w:hideMark/>
          </w:tcPr>
          <w:p w14:paraId="34585E4B" w14:textId="77777777" w:rsidR="009C778C" w:rsidRPr="00F33A88" w:rsidRDefault="009C778C" w:rsidP="0068273E">
            <w:pPr>
              <w:pStyle w:val="NoSpacing"/>
              <w:rPr>
                <w:b/>
                <w:bCs/>
                <w:sz w:val="20"/>
                <w:szCs w:val="20"/>
              </w:rPr>
            </w:pPr>
            <w:proofErr w:type="spellStart"/>
            <w:r w:rsidRPr="00F33A88">
              <w:rPr>
                <w:b/>
                <w:bCs/>
                <w:sz w:val="20"/>
                <w:szCs w:val="20"/>
              </w:rPr>
              <w:t>DOMESTIC</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3D262FF9" w14:textId="77777777" w:rsidR="009C778C" w:rsidRPr="00F33A88" w:rsidRDefault="009C778C" w:rsidP="0068273E">
            <w:pPr>
              <w:pStyle w:val="NoSpacing"/>
              <w:rPr>
                <w:sz w:val="20"/>
                <w:szCs w:val="20"/>
              </w:rPr>
            </w:pPr>
            <w:r w:rsidRPr="00F33A88">
              <w:rPr>
                <w:b/>
                <w:bCs/>
                <w:sz w:val="20"/>
                <w:szCs w:val="20"/>
              </w:rPr>
              <w:t>–</w:t>
            </w:r>
          </w:p>
        </w:tc>
        <w:tc>
          <w:tcPr>
            <w:tcW w:w="0" w:type="auto"/>
            <w:hideMark/>
          </w:tcPr>
          <w:p w14:paraId="7D0B3D4B" w14:textId="77777777" w:rsidR="009C778C" w:rsidRPr="00F33A88" w:rsidRDefault="009C778C" w:rsidP="0068273E">
            <w:pPr>
              <w:pStyle w:val="NoSpacing"/>
              <w:rPr>
                <w:sz w:val="20"/>
                <w:szCs w:val="20"/>
              </w:rPr>
            </w:pPr>
            <w:r w:rsidRPr="00F33A88">
              <w:rPr>
                <w:sz w:val="20"/>
                <w:szCs w:val="20"/>
              </w:rPr>
              <w:t>− 0.353***</w:t>
            </w:r>
          </w:p>
        </w:tc>
        <w:tc>
          <w:tcPr>
            <w:tcW w:w="0" w:type="auto"/>
            <w:hideMark/>
          </w:tcPr>
          <w:p w14:paraId="333B5E48" w14:textId="77777777" w:rsidR="009C778C" w:rsidRPr="00F33A88" w:rsidRDefault="009C778C" w:rsidP="0068273E">
            <w:pPr>
              <w:pStyle w:val="NoSpacing"/>
              <w:rPr>
                <w:sz w:val="20"/>
                <w:szCs w:val="20"/>
              </w:rPr>
            </w:pPr>
          </w:p>
        </w:tc>
        <w:tc>
          <w:tcPr>
            <w:tcW w:w="0" w:type="auto"/>
            <w:hideMark/>
          </w:tcPr>
          <w:p w14:paraId="079CC9B3" w14:textId="77777777" w:rsidR="009C778C" w:rsidRPr="00F33A88" w:rsidRDefault="009C778C" w:rsidP="0068273E">
            <w:pPr>
              <w:pStyle w:val="NoSpacing"/>
              <w:rPr>
                <w:sz w:val="20"/>
                <w:szCs w:val="20"/>
              </w:rPr>
            </w:pPr>
            <w:r w:rsidRPr="00F33A88">
              <w:rPr>
                <w:sz w:val="20"/>
                <w:szCs w:val="20"/>
              </w:rPr>
              <w:t>− 0.508***</w:t>
            </w:r>
          </w:p>
        </w:tc>
        <w:tc>
          <w:tcPr>
            <w:tcW w:w="0" w:type="auto"/>
            <w:hideMark/>
          </w:tcPr>
          <w:p w14:paraId="24F28DD4" w14:textId="77777777" w:rsidR="009C778C" w:rsidRPr="00F33A88" w:rsidRDefault="009C778C" w:rsidP="0068273E">
            <w:pPr>
              <w:pStyle w:val="NoSpacing"/>
              <w:rPr>
                <w:sz w:val="20"/>
                <w:szCs w:val="20"/>
              </w:rPr>
            </w:pPr>
          </w:p>
        </w:tc>
        <w:tc>
          <w:tcPr>
            <w:tcW w:w="0" w:type="auto"/>
            <w:hideMark/>
          </w:tcPr>
          <w:p w14:paraId="0837C188" w14:textId="77777777" w:rsidR="009C778C" w:rsidRPr="00F33A88" w:rsidRDefault="009C778C" w:rsidP="0068273E">
            <w:pPr>
              <w:pStyle w:val="NoSpacing"/>
              <w:rPr>
                <w:sz w:val="20"/>
                <w:szCs w:val="20"/>
              </w:rPr>
            </w:pPr>
          </w:p>
        </w:tc>
        <w:tc>
          <w:tcPr>
            <w:tcW w:w="0" w:type="auto"/>
            <w:hideMark/>
          </w:tcPr>
          <w:p w14:paraId="5E0824C5" w14:textId="77777777" w:rsidR="009C778C" w:rsidRPr="00F33A88" w:rsidRDefault="009C778C" w:rsidP="0068273E">
            <w:pPr>
              <w:pStyle w:val="NoSpacing"/>
              <w:rPr>
                <w:sz w:val="20"/>
                <w:szCs w:val="20"/>
              </w:rPr>
            </w:pPr>
            <w:r w:rsidRPr="00F33A88">
              <w:rPr>
                <w:sz w:val="20"/>
                <w:szCs w:val="20"/>
              </w:rPr>
              <w:t>− 0.501***</w:t>
            </w:r>
          </w:p>
        </w:tc>
      </w:tr>
      <w:tr w:rsidR="009C778C" w:rsidRPr="00F33A88" w14:paraId="26A66855" w14:textId="77777777" w:rsidTr="000650D6">
        <w:tc>
          <w:tcPr>
            <w:tcW w:w="0" w:type="auto"/>
            <w:hideMark/>
          </w:tcPr>
          <w:p w14:paraId="76932E73" w14:textId="77777777" w:rsidR="009C778C" w:rsidRPr="00F33A88" w:rsidRDefault="009C778C" w:rsidP="0068273E">
            <w:pPr>
              <w:pStyle w:val="NoSpacing"/>
              <w:rPr>
                <w:b/>
                <w:bCs/>
                <w:sz w:val="20"/>
                <w:szCs w:val="20"/>
              </w:rPr>
            </w:pPr>
          </w:p>
        </w:tc>
        <w:tc>
          <w:tcPr>
            <w:tcW w:w="0" w:type="auto"/>
            <w:hideMark/>
          </w:tcPr>
          <w:p w14:paraId="0769F1AF" w14:textId="77777777" w:rsidR="009C778C" w:rsidRPr="00F33A88" w:rsidRDefault="009C778C" w:rsidP="0068273E">
            <w:pPr>
              <w:pStyle w:val="NoSpacing"/>
              <w:rPr>
                <w:sz w:val="20"/>
                <w:szCs w:val="20"/>
              </w:rPr>
            </w:pPr>
          </w:p>
        </w:tc>
        <w:tc>
          <w:tcPr>
            <w:tcW w:w="0" w:type="auto"/>
            <w:hideMark/>
          </w:tcPr>
          <w:p w14:paraId="06697C74" w14:textId="77777777" w:rsidR="009C778C" w:rsidRPr="00F33A88" w:rsidRDefault="009C778C" w:rsidP="0068273E">
            <w:pPr>
              <w:pStyle w:val="NoSpacing"/>
              <w:rPr>
                <w:sz w:val="20"/>
                <w:szCs w:val="20"/>
              </w:rPr>
            </w:pPr>
            <w:r w:rsidRPr="00F33A88">
              <w:rPr>
                <w:sz w:val="20"/>
                <w:szCs w:val="20"/>
              </w:rPr>
              <w:t>(− 6.19)</w:t>
            </w:r>
          </w:p>
        </w:tc>
        <w:tc>
          <w:tcPr>
            <w:tcW w:w="0" w:type="auto"/>
            <w:hideMark/>
          </w:tcPr>
          <w:p w14:paraId="17D81242" w14:textId="77777777" w:rsidR="009C778C" w:rsidRPr="00F33A88" w:rsidRDefault="009C778C" w:rsidP="0068273E">
            <w:pPr>
              <w:pStyle w:val="NoSpacing"/>
              <w:rPr>
                <w:sz w:val="20"/>
                <w:szCs w:val="20"/>
              </w:rPr>
            </w:pPr>
          </w:p>
        </w:tc>
        <w:tc>
          <w:tcPr>
            <w:tcW w:w="0" w:type="auto"/>
            <w:hideMark/>
          </w:tcPr>
          <w:p w14:paraId="57413695" w14:textId="77777777" w:rsidR="009C778C" w:rsidRPr="00F33A88" w:rsidRDefault="009C778C" w:rsidP="0068273E">
            <w:pPr>
              <w:pStyle w:val="NoSpacing"/>
              <w:rPr>
                <w:sz w:val="20"/>
                <w:szCs w:val="20"/>
              </w:rPr>
            </w:pPr>
            <w:r w:rsidRPr="00F33A88">
              <w:rPr>
                <w:sz w:val="20"/>
                <w:szCs w:val="20"/>
              </w:rPr>
              <w:t>(− 10.65)</w:t>
            </w:r>
          </w:p>
        </w:tc>
        <w:tc>
          <w:tcPr>
            <w:tcW w:w="0" w:type="auto"/>
            <w:hideMark/>
          </w:tcPr>
          <w:p w14:paraId="7BD7CC57" w14:textId="77777777" w:rsidR="009C778C" w:rsidRPr="00F33A88" w:rsidRDefault="009C778C" w:rsidP="0068273E">
            <w:pPr>
              <w:pStyle w:val="NoSpacing"/>
              <w:rPr>
                <w:sz w:val="20"/>
                <w:szCs w:val="20"/>
              </w:rPr>
            </w:pPr>
          </w:p>
        </w:tc>
        <w:tc>
          <w:tcPr>
            <w:tcW w:w="0" w:type="auto"/>
            <w:hideMark/>
          </w:tcPr>
          <w:p w14:paraId="20C71A1F" w14:textId="77777777" w:rsidR="009C778C" w:rsidRPr="00F33A88" w:rsidRDefault="009C778C" w:rsidP="0068273E">
            <w:pPr>
              <w:pStyle w:val="NoSpacing"/>
              <w:rPr>
                <w:sz w:val="20"/>
                <w:szCs w:val="20"/>
              </w:rPr>
            </w:pPr>
          </w:p>
        </w:tc>
        <w:tc>
          <w:tcPr>
            <w:tcW w:w="0" w:type="auto"/>
            <w:hideMark/>
          </w:tcPr>
          <w:p w14:paraId="1141DC20" w14:textId="77777777" w:rsidR="009C778C" w:rsidRPr="00F33A88" w:rsidRDefault="009C778C" w:rsidP="0068273E">
            <w:pPr>
              <w:pStyle w:val="NoSpacing"/>
              <w:rPr>
                <w:sz w:val="20"/>
                <w:szCs w:val="20"/>
              </w:rPr>
            </w:pPr>
            <w:r w:rsidRPr="00F33A88">
              <w:rPr>
                <w:sz w:val="20"/>
                <w:szCs w:val="20"/>
              </w:rPr>
              <w:t>(− 10.11)</w:t>
            </w:r>
          </w:p>
        </w:tc>
      </w:tr>
      <w:tr w:rsidR="009C778C" w:rsidRPr="00F33A88" w14:paraId="65D182C7" w14:textId="77777777" w:rsidTr="000650D6">
        <w:tc>
          <w:tcPr>
            <w:tcW w:w="0" w:type="auto"/>
            <w:hideMark/>
          </w:tcPr>
          <w:p w14:paraId="58FD3AE7" w14:textId="77777777" w:rsidR="009C778C" w:rsidRPr="00F33A88" w:rsidRDefault="009C778C" w:rsidP="0068273E">
            <w:pPr>
              <w:pStyle w:val="NoSpacing"/>
              <w:rPr>
                <w:b/>
                <w:bCs/>
                <w:sz w:val="20"/>
                <w:szCs w:val="20"/>
              </w:rPr>
            </w:pPr>
            <w:proofErr w:type="spellStart"/>
            <w:r w:rsidRPr="00F33A88">
              <w:rPr>
                <w:b/>
                <w:bCs/>
                <w:sz w:val="20"/>
                <w:szCs w:val="20"/>
              </w:rPr>
              <w:t>FOREIGN</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05C98856" w14:textId="77777777" w:rsidR="009C778C" w:rsidRPr="00F33A88" w:rsidRDefault="009C778C" w:rsidP="0068273E">
            <w:pPr>
              <w:pStyle w:val="NoSpacing"/>
              <w:rPr>
                <w:sz w:val="20"/>
                <w:szCs w:val="20"/>
              </w:rPr>
            </w:pPr>
            <w:r w:rsidRPr="00F33A88">
              <w:rPr>
                <w:b/>
                <w:bCs/>
                <w:sz w:val="20"/>
                <w:szCs w:val="20"/>
              </w:rPr>
              <w:t>–</w:t>
            </w:r>
          </w:p>
        </w:tc>
        <w:tc>
          <w:tcPr>
            <w:tcW w:w="0" w:type="auto"/>
            <w:hideMark/>
          </w:tcPr>
          <w:p w14:paraId="1F800B9C" w14:textId="77777777" w:rsidR="009C778C" w:rsidRPr="00F33A88" w:rsidRDefault="009C778C" w:rsidP="0068273E">
            <w:pPr>
              <w:pStyle w:val="NoSpacing"/>
              <w:rPr>
                <w:sz w:val="20"/>
                <w:szCs w:val="20"/>
              </w:rPr>
            </w:pPr>
            <w:r w:rsidRPr="00F33A88">
              <w:rPr>
                <w:sz w:val="20"/>
                <w:szCs w:val="20"/>
              </w:rPr>
              <w:t>− 0.090</w:t>
            </w:r>
          </w:p>
        </w:tc>
        <w:tc>
          <w:tcPr>
            <w:tcW w:w="0" w:type="auto"/>
            <w:hideMark/>
          </w:tcPr>
          <w:p w14:paraId="0E4A1446" w14:textId="77777777" w:rsidR="009C778C" w:rsidRPr="00F33A88" w:rsidRDefault="009C778C" w:rsidP="0068273E">
            <w:pPr>
              <w:pStyle w:val="NoSpacing"/>
              <w:rPr>
                <w:sz w:val="20"/>
                <w:szCs w:val="20"/>
              </w:rPr>
            </w:pPr>
          </w:p>
        </w:tc>
        <w:tc>
          <w:tcPr>
            <w:tcW w:w="0" w:type="auto"/>
            <w:hideMark/>
          </w:tcPr>
          <w:p w14:paraId="4AF88889" w14:textId="77777777" w:rsidR="009C778C" w:rsidRPr="00F33A88" w:rsidRDefault="009C778C" w:rsidP="0068273E">
            <w:pPr>
              <w:pStyle w:val="NoSpacing"/>
              <w:rPr>
                <w:sz w:val="20"/>
                <w:szCs w:val="20"/>
              </w:rPr>
            </w:pPr>
            <w:r w:rsidRPr="00F33A88">
              <w:rPr>
                <w:sz w:val="20"/>
                <w:szCs w:val="20"/>
              </w:rPr>
              <w:t>− 0.473***</w:t>
            </w:r>
          </w:p>
        </w:tc>
        <w:tc>
          <w:tcPr>
            <w:tcW w:w="0" w:type="auto"/>
            <w:hideMark/>
          </w:tcPr>
          <w:p w14:paraId="3B9AD812" w14:textId="77777777" w:rsidR="009C778C" w:rsidRPr="00F33A88" w:rsidRDefault="009C778C" w:rsidP="0068273E">
            <w:pPr>
              <w:pStyle w:val="NoSpacing"/>
              <w:rPr>
                <w:sz w:val="20"/>
                <w:szCs w:val="20"/>
              </w:rPr>
            </w:pPr>
          </w:p>
        </w:tc>
        <w:tc>
          <w:tcPr>
            <w:tcW w:w="0" w:type="auto"/>
            <w:hideMark/>
          </w:tcPr>
          <w:p w14:paraId="3E5FFE62" w14:textId="77777777" w:rsidR="009C778C" w:rsidRPr="00F33A88" w:rsidRDefault="009C778C" w:rsidP="0068273E">
            <w:pPr>
              <w:pStyle w:val="NoSpacing"/>
              <w:rPr>
                <w:sz w:val="20"/>
                <w:szCs w:val="20"/>
              </w:rPr>
            </w:pPr>
          </w:p>
        </w:tc>
        <w:tc>
          <w:tcPr>
            <w:tcW w:w="0" w:type="auto"/>
            <w:hideMark/>
          </w:tcPr>
          <w:p w14:paraId="03AED943" w14:textId="77777777" w:rsidR="009C778C" w:rsidRPr="00F33A88" w:rsidRDefault="009C778C" w:rsidP="0068273E">
            <w:pPr>
              <w:pStyle w:val="NoSpacing"/>
              <w:rPr>
                <w:sz w:val="20"/>
                <w:szCs w:val="20"/>
              </w:rPr>
            </w:pPr>
            <w:r w:rsidRPr="00F33A88">
              <w:rPr>
                <w:sz w:val="20"/>
                <w:szCs w:val="20"/>
              </w:rPr>
              <w:t>0.064</w:t>
            </w:r>
          </w:p>
        </w:tc>
      </w:tr>
      <w:tr w:rsidR="009C778C" w:rsidRPr="00F33A88" w14:paraId="6069B4CD" w14:textId="77777777" w:rsidTr="000650D6">
        <w:tc>
          <w:tcPr>
            <w:tcW w:w="0" w:type="auto"/>
            <w:hideMark/>
          </w:tcPr>
          <w:p w14:paraId="31930946" w14:textId="77777777" w:rsidR="009C778C" w:rsidRPr="00F33A88" w:rsidRDefault="009C778C" w:rsidP="0068273E">
            <w:pPr>
              <w:pStyle w:val="NoSpacing"/>
              <w:rPr>
                <w:b/>
                <w:bCs/>
                <w:sz w:val="20"/>
                <w:szCs w:val="20"/>
              </w:rPr>
            </w:pPr>
          </w:p>
        </w:tc>
        <w:tc>
          <w:tcPr>
            <w:tcW w:w="0" w:type="auto"/>
            <w:hideMark/>
          </w:tcPr>
          <w:p w14:paraId="70D79B5E" w14:textId="77777777" w:rsidR="009C778C" w:rsidRPr="00F33A88" w:rsidRDefault="009C778C" w:rsidP="0068273E">
            <w:pPr>
              <w:pStyle w:val="NoSpacing"/>
              <w:rPr>
                <w:sz w:val="20"/>
                <w:szCs w:val="20"/>
              </w:rPr>
            </w:pPr>
          </w:p>
        </w:tc>
        <w:tc>
          <w:tcPr>
            <w:tcW w:w="0" w:type="auto"/>
            <w:hideMark/>
          </w:tcPr>
          <w:p w14:paraId="1A70564B" w14:textId="77777777" w:rsidR="009C778C" w:rsidRPr="00F33A88" w:rsidRDefault="009C778C" w:rsidP="0068273E">
            <w:pPr>
              <w:pStyle w:val="NoSpacing"/>
              <w:rPr>
                <w:sz w:val="20"/>
                <w:szCs w:val="20"/>
              </w:rPr>
            </w:pPr>
            <w:r w:rsidRPr="00F33A88">
              <w:rPr>
                <w:sz w:val="20"/>
                <w:szCs w:val="20"/>
              </w:rPr>
              <w:t>(− 1.24)</w:t>
            </w:r>
          </w:p>
        </w:tc>
        <w:tc>
          <w:tcPr>
            <w:tcW w:w="0" w:type="auto"/>
            <w:hideMark/>
          </w:tcPr>
          <w:p w14:paraId="62AB3982" w14:textId="77777777" w:rsidR="009C778C" w:rsidRPr="00F33A88" w:rsidRDefault="009C778C" w:rsidP="0068273E">
            <w:pPr>
              <w:pStyle w:val="NoSpacing"/>
              <w:rPr>
                <w:sz w:val="20"/>
                <w:szCs w:val="20"/>
              </w:rPr>
            </w:pPr>
          </w:p>
        </w:tc>
        <w:tc>
          <w:tcPr>
            <w:tcW w:w="0" w:type="auto"/>
            <w:hideMark/>
          </w:tcPr>
          <w:p w14:paraId="5DCA2E41" w14:textId="77777777" w:rsidR="009C778C" w:rsidRPr="00F33A88" w:rsidRDefault="009C778C" w:rsidP="0068273E">
            <w:pPr>
              <w:pStyle w:val="NoSpacing"/>
              <w:rPr>
                <w:sz w:val="20"/>
                <w:szCs w:val="20"/>
              </w:rPr>
            </w:pPr>
            <w:r w:rsidRPr="00F33A88">
              <w:rPr>
                <w:sz w:val="20"/>
                <w:szCs w:val="20"/>
              </w:rPr>
              <w:t>(− 7.72)</w:t>
            </w:r>
          </w:p>
        </w:tc>
        <w:tc>
          <w:tcPr>
            <w:tcW w:w="0" w:type="auto"/>
            <w:hideMark/>
          </w:tcPr>
          <w:p w14:paraId="305D6162" w14:textId="77777777" w:rsidR="009C778C" w:rsidRPr="00F33A88" w:rsidRDefault="009C778C" w:rsidP="0068273E">
            <w:pPr>
              <w:pStyle w:val="NoSpacing"/>
              <w:rPr>
                <w:sz w:val="20"/>
                <w:szCs w:val="20"/>
              </w:rPr>
            </w:pPr>
          </w:p>
        </w:tc>
        <w:tc>
          <w:tcPr>
            <w:tcW w:w="0" w:type="auto"/>
            <w:hideMark/>
          </w:tcPr>
          <w:p w14:paraId="096DCA6A" w14:textId="77777777" w:rsidR="009C778C" w:rsidRPr="00F33A88" w:rsidRDefault="009C778C" w:rsidP="0068273E">
            <w:pPr>
              <w:pStyle w:val="NoSpacing"/>
              <w:rPr>
                <w:sz w:val="20"/>
                <w:szCs w:val="20"/>
              </w:rPr>
            </w:pPr>
          </w:p>
        </w:tc>
        <w:tc>
          <w:tcPr>
            <w:tcW w:w="0" w:type="auto"/>
            <w:hideMark/>
          </w:tcPr>
          <w:p w14:paraId="53FB07DE" w14:textId="77777777" w:rsidR="009C778C" w:rsidRPr="00F33A88" w:rsidRDefault="009C778C" w:rsidP="0068273E">
            <w:pPr>
              <w:pStyle w:val="NoSpacing"/>
              <w:rPr>
                <w:sz w:val="20"/>
                <w:szCs w:val="20"/>
              </w:rPr>
            </w:pPr>
            <w:r w:rsidRPr="00F33A88">
              <w:rPr>
                <w:sz w:val="20"/>
                <w:szCs w:val="20"/>
              </w:rPr>
              <w:t>(0.91)</w:t>
            </w:r>
          </w:p>
        </w:tc>
      </w:tr>
      <w:tr w:rsidR="009C778C" w:rsidRPr="00F33A88" w14:paraId="28832D7B" w14:textId="77777777" w:rsidTr="000650D6">
        <w:tc>
          <w:tcPr>
            <w:tcW w:w="0" w:type="auto"/>
            <w:hideMark/>
          </w:tcPr>
          <w:p w14:paraId="5249FE8E" w14:textId="77777777" w:rsidR="009C778C" w:rsidRPr="00F33A88" w:rsidRDefault="009C778C" w:rsidP="0068273E">
            <w:pPr>
              <w:pStyle w:val="NoSpacing"/>
              <w:rPr>
                <w:b/>
                <w:bCs/>
                <w:sz w:val="20"/>
                <w:szCs w:val="20"/>
              </w:rPr>
            </w:pPr>
            <w:proofErr w:type="spellStart"/>
            <w:r w:rsidRPr="00F33A88">
              <w:rPr>
                <w:b/>
                <w:bCs/>
                <w:sz w:val="20"/>
                <w:szCs w:val="20"/>
              </w:rPr>
              <w:t>SIZE</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7BB75E81" w14:textId="77777777" w:rsidR="009C778C" w:rsidRPr="00F33A88" w:rsidRDefault="009C778C" w:rsidP="0068273E">
            <w:pPr>
              <w:pStyle w:val="NoSpacing"/>
              <w:rPr>
                <w:b/>
                <w:bCs/>
                <w:sz w:val="20"/>
                <w:szCs w:val="20"/>
              </w:rPr>
            </w:pPr>
          </w:p>
        </w:tc>
        <w:tc>
          <w:tcPr>
            <w:tcW w:w="0" w:type="auto"/>
            <w:hideMark/>
          </w:tcPr>
          <w:p w14:paraId="44B181A9" w14:textId="77777777" w:rsidR="009C778C" w:rsidRPr="00F33A88" w:rsidRDefault="009C778C" w:rsidP="0068273E">
            <w:pPr>
              <w:pStyle w:val="NoSpacing"/>
              <w:rPr>
                <w:sz w:val="20"/>
                <w:szCs w:val="20"/>
              </w:rPr>
            </w:pPr>
            <w:r w:rsidRPr="00F33A88">
              <w:rPr>
                <w:sz w:val="20"/>
                <w:szCs w:val="20"/>
              </w:rPr>
              <w:t>− 0.023***</w:t>
            </w:r>
          </w:p>
        </w:tc>
        <w:tc>
          <w:tcPr>
            <w:tcW w:w="0" w:type="auto"/>
            <w:hideMark/>
          </w:tcPr>
          <w:p w14:paraId="68C8018A" w14:textId="77777777" w:rsidR="009C778C" w:rsidRPr="00F33A88" w:rsidRDefault="009C778C" w:rsidP="0068273E">
            <w:pPr>
              <w:pStyle w:val="NoSpacing"/>
              <w:rPr>
                <w:sz w:val="20"/>
                <w:szCs w:val="20"/>
              </w:rPr>
            </w:pPr>
          </w:p>
        </w:tc>
        <w:tc>
          <w:tcPr>
            <w:tcW w:w="0" w:type="auto"/>
            <w:hideMark/>
          </w:tcPr>
          <w:p w14:paraId="5BF00078" w14:textId="77777777" w:rsidR="009C778C" w:rsidRPr="00F33A88" w:rsidRDefault="009C778C" w:rsidP="0068273E">
            <w:pPr>
              <w:pStyle w:val="NoSpacing"/>
              <w:rPr>
                <w:sz w:val="20"/>
                <w:szCs w:val="20"/>
              </w:rPr>
            </w:pPr>
          </w:p>
        </w:tc>
        <w:tc>
          <w:tcPr>
            <w:tcW w:w="0" w:type="auto"/>
            <w:hideMark/>
          </w:tcPr>
          <w:p w14:paraId="214EE6AB" w14:textId="77777777" w:rsidR="009C778C" w:rsidRPr="00F33A88" w:rsidRDefault="009C778C" w:rsidP="0068273E">
            <w:pPr>
              <w:pStyle w:val="NoSpacing"/>
              <w:rPr>
                <w:sz w:val="20"/>
                <w:szCs w:val="20"/>
              </w:rPr>
            </w:pPr>
            <w:r w:rsidRPr="00F33A88">
              <w:rPr>
                <w:sz w:val="20"/>
                <w:szCs w:val="20"/>
              </w:rPr>
              <w:t>0.002</w:t>
            </w:r>
          </w:p>
        </w:tc>
        <w:tc>
          <w:tcPr>
            <w:tcW w:w="0" w:type="auto"/>
            <w:hideMark/>
          </w:tcPr>
          <w:p w14:paraId="6AF3F740" w14:textId="77777777" w:rsidR="009C778C" w:rsidRPr="00F33A88" w:rsidRDefault="009C778C" w:rsidP="0068273E">
            <w:pPr>
              <w:pStyle w:val="NoSpacing"/>
              <w:rPr>
                <w:sz w:val="20"/>
                <w:szCs w:val="20"/>
              </w:rPr>
            </w:pPr>
            <w:r w:rsidRPr="00F33A88">
              <w:rPr>
                <w:sz w:val="20"/>
                <w:szCs w:val="20"/>
              </w:rPr>
              <w:t>0.005*</w:t>
            </w:r>
          </w:p>
        </w:tc>
        <w:tc>
          <w:tcPr>
            <w:tcW w:w="0" w:type="auto"/>
            <w:hideMark/>
          </w:tcPr>
          <w:p w14:paraId="2C6136E1" w14:textId="77777777" w:rsidR="009C778C" w:rsidRPr="00F33A88" w:rsidRDefault="009C778C" w:rsidP="0068273E">
            <w:pPr>
              <w:pStyle w:val="NoSpacing"/>
              <w:rPr>
                <w:sz w:val="20"/>
                <w:szCs w:val="20"/>
              </w:rPr>
            </w:pPr>
            <w:r w:rsidRPr="00F33A88">
              <w:rPr>
                <w:sz w:val="20"/>
                <w:szCs w:val="20"/>
              </w:rPr>
              <w:t>0.000</w:t>
            </w:r>
          </w:p>
        </w:tc>
      </w:tr>
      <w:tr w:rsidR="009C778C" w:rsidRPr="00F33A88" w14:paraId="1CBE12B5" w14:textId="77777777" w:rsidTr="000650D6">
        <w:tc>
          <w:tcPr>
            <w:tcW w:w="0" w:type="auto"/>
            <w:hideMark/>
          </w:tcPr>
          <w:p w14:paraId="4B74960F" w14:textId="77777777" w:rsidR="009C778C" w:rsidRPr="00F33A88" w:rsidRDefault="009C778C" w:rsidP="0068273E">
            <w:pPr>
              <w:pStyle w:val="NoSpacing"/>
              <w:rPr>
                <w:b/>
                <w:bCs/>
                <w:sz w:val="20"/>
                <w:szCs w:val="20"/>
              </w:rPr>
            </w:pPr>
          </w:p>
        </w:tc>
        <w:tc>
          <w:tcPr>
            <w:tcW w:w="0" w:type="auto"/>
            <w:hideMark/>
          </w:tcPr>
          <w:p w14:paraId="52AD9723" w14:textId="77777777" w:rsidR="009C778C" w:rsidRPr="00F33A88" w:rsidRDefault="009C778C" w:rsidP="0068273E">
            <w:pPr>
              <w:pStyle w:val="NoSpacing"/>
              <w:rPr>
                <w:b/>
                <w:bCs/>
                <w:sz w:val="20"/>
                <w:szCs w:val="20"/>
              </w:rPr>
            </w:pPr>
          </w:p>
        </w:tc>
        <w:tc>
          <w:tcPr>
            <w:tcW w:w="0" w:type="auto"/>
            <w:hideMark/>
          </w:tcPr>
          <w:p w14:paraId="688C03D0" w14:textId="77777777" w:rsidR="009C778C" w:rsidRPr="00F33A88" w:rsidRDefault="009C778C" w:rsidP="0068273E">
            <w:pPr>
              <w:pStyle w:val="NoSpacing"/>
              <w:rPr>
                <w:sz w:val="20"/>
                <w:szCs w:val="20"/>
              </w:rPr>
            </w:pPr>
            <w:r w:rsidRPr="00F33A88">
              <w:rPr>
                <w:sz w:val="20"/>
                <w:szCs w:val="20"/>
              </w:rPr>
              <w:t>(− 6.87)</w:t>
            </w:r>
          </w:p>
        </w:tc>
        <w:tc>
          <w:tcPr>
            <w:tcW w:w="0" w:type="auto"/>
            <w:hideMark/>
          </w:tcPr>
          <w:p w14:paraId="5E7B2431" w14:textId="77777777" w:rsidR="009C778C" w:rsidRPr="00F33A88" w:rsidRDefault="009C778C" w:rsidP="0068273E">
            <w:pPr>
              <w:pStyle w:val="NoSpacing"/>
              <w:rPr>
                <w:sz w:val="20"/>
                <w:szCs w:val="20"/>
              </w:rPr>
            </w:pPr>
          </w:p>
        </w:tc>
        <w:tc>
          <w:tcPr>
            <w:tcW w:w="0" w:type="auto"/>
            <w:hideMark/>
          </w:tcPr>
          <w:p w14:paraId="35285FA4" w14:textId="77777777" w:rsidR="009C778C" w:rsidRPr="00F33A88" w:rsidRDefault="009C778C" w:rsidP="0068273E">
            <w:pPr>
              <w:pStyle w:val="NoSpacing"/>
              <w:rPr>
                <w:sz w:val="20"/>
                <w:szCs w:val="20"/>
              </w:rPr>
            </w:pPr>
          </w:p>
        </w:tc>
        <w:tc>
          <w:tcPr>
            <w:tcW w:w="0" w:type="auto"/>
            <w:hideMark/>
          </w:tcPr>
          <w:p w14:paraId="68E9E95F" w14:textId="77777777" w:rsidR="009C778C" w:rsidRPr="00F33A88" w:rsidRDefault="009C778C" w:rsidP="0068273E">
            <w:pPr>
              <w:pStyle w:val="NoSpacing"/>
              <w:rPr>
                <w:sz w:val="20"/>
                <w:szCs w:val="20"/>
              </w:rPr>
            </w:pPr>
            <w:r w:rsidRPr="00F33A88">
              <w:rPr>
                <w:sz w:val="20"/>
                <w:szCs w:val="20"/>
              </w:rPr>
              <w:t>(0.71)</w:t>
            </w:r>
          </w:p>
        </w:tc>
        <w:tc>
          <w:tcPr>
            <w:tcW w:w="0" w:type="auto"/>
            <w:hideMark/>
          </w:tcPr>
          <w:p w14:paraId="70AAD6B2" w14:textId="77777777" w:rsidR="009C778C" w:rsidRPr="00F33A88" w:rsidRDefault="009C778C" w:rsidP="0068273E">
            <w:pPr>
              <w:pStyle w:val="NoSpacing"/>
              <w:rPr>
                <w:sz w:val="20"/>
                <w:szCs w:val="20"/>
              </w:rPr>
            </w:pPr>
            <w:r w:rsidRPr="00F33A88">
              <w:rPr>
                <w:sz w:val="20"/>
                <w:szCs w:val="20"/>
              </w:rPr>
              <w:t>(1.76)</w:t>
            </w:r>
          </w:p>
        </w:tc>
        <w:tc>
          <w:tcPr>
            <w:tcW w:w="0" w:type="auto"/>
            <w:hideMark/>
          </w:tcPr>
          <w:p w14:paraId="64FB6E29" w14:textId="77777777" w:rsidR="009C778C" w:rsidRPr="00F33A88" w:rsidRDefault="009C778C" w:rsidP="0068273E">
            <w:pPr>
              <w:pStyle w:val="NoSpacing"/>
              <w:rPr>
                <w:sz w:val="20"/>
                <w:szCs w:val="20"/>
              </w:rPr>
            </w:pPr>
            <w:r w:rsidRPr="00F33A88">
              <w:rPr>
                <w:sz w:val="20"/>
                <w:szCs w:val="20"/>
              </w:rPr>
              <w:t>(0.03)</w:t>
            </w:r>
          </w:p>
        </w:tc>
      </w:tr>
      <w:tr w:rsidR="009C778C" w:rsidRPr="00F33A88" w14:paraId="7E9F1A35" w14:textId="77777777" w:rsidTr="000650D6">
        <w:tc>
          <w:tcPr>
            <w:tcW w:w="0" w:type="auto"/>
            <w:hideMark/>
          </w:tcPr>
          <w:p w14:paraId="42E06E3D" w14:textId="77777777" w:rsidR="009C778C" w:rsidRPr="00F33A88" w:rsidRDefault="009C778C" w:rsidP="0068273E">
            <w:pPr>
              <w:pStyle w:val="NoSpacing"/>
              <w:rPr>
                <w:b/>
                <w:bCs/>
                <w:sz w:val="20"/>
                <w:szCs w:val="20"/>
              </w:rPr>
            </w:pPr>
            <w:proofErr w:type="spellStart"/>
            <w:r w:rsidRPr="00F33A88">
              <w:rPr>
                <w:b/>
                <w:bCs/>
                <w:sz w:val="20"/>
                <w:szCs w:val="20"/>
              </w:rPr>
              <w:t>ROA</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36F1F4C0" w14:textId="77777777" w:rsidR="009C778C" w:rsidRPr="00F33A88" w:rsidRDefault="009C778C" w:rsidP="0068273E">
            <w:pPr>
              <w:pStyle w:val="NoSpacing"/>
              <w:rPr>
                <w:b/>
                <w:bCs/>
                <w:sz w:val="20"/>
                <w:szCs w:val="20"/>
              </w:rPr>
            </w:pPr>
          </w:p>
        </w:tc>
        <w:tc>
          <w:tcPr>
            <w:tcW w:w="0" w:type="auto"/>
            <w:hideMark/>
          </w:tcPr>
          <w:p w14:paraId="7B473460" w14:textId="77777777" w:rsidR="009C778C" w:rsidRPr="00F33A88" w:rsidRDefault="009C778C" w:rsidP="0068273E">
            <w:pPr>
              <w:pStyle w:val="NoSpacing"/>
              <w:rPr>
                <w:sz w:val="20"/>
                <w:szCs w:val="20"/>
              </w:rPr>
            </w:pPr>
            <w:r w:rsidRPr="00F33A88">
              <w:rPr>
                <w:sz w:val="20"/>
                <w:szCs w:val="20"/>
              </w:rPr>
              <w:t>− 0.621***</w:t>
            </w:r>
          </w:p>
        </w:tc>
        <w:tc>
          <w:tcPr>
            <w:tcW w:w="0" w:type="auto"/>
            <w:hideMark/>
          </w:tcPr>
          <w:p w14:paraId="75B143C7" w14:textId="77777777" w:rsidR="009C778C" w:rsidRPr="00F33A88" w:rsidRDefault="009C778C" w:rsidP="0068273E">
            <w:pPr>
              <w:pStyle w:val="NoSpacing"/>
              <w:rPr>
                <w:sz w:val="20"/>
                <w:szCs w:val="20"/>
              </w:rPr>
            </w:pPr>
          </w:p>
        </w:tc>
        <w:tc>
          <w:tcPr>
            <w:tcW w:w="0" w:type="auto"/>
            <w:hideMark/>
          </w:tcPr>
          <w:p w14:paraId="2C8221B4" w14:textId="77777777" w:rsidR="009C778C" w:rsidRPr="00F33A88" w:rsidRDefault="009C778C" w:rsidP="0068273E">
            <w:pPr>
              <w:pStyle w:val="NoSpacing"/>
              <w:rPr>
                <w:sz w:val="20"/>
                <w:szCs w:val="20"/>
              </w:rPr>
            </w:pPr>
          </w:p>
        </w:tc>
        <w:tc>
          <w:tcPr>
            <w:tcW w:w="0" w:type="auto"/>
            <w:hideMark/>
          </w:tcPr>
          <w:p w14:paraId="1753CC56" w14:textId="77777777" w:rsidR="009C778C" w:rsidRPr="00F33A88" w:rsidRDefault="009C778C" w:rsidP="0068273E">
            <w:pPr>
              <w:pStyle w:val="NoSpacing"/>
              <w:rPr>
                <w:sz w:val="20"/>
                <w:szCs w:val="20"/>
              </w:rPr>
            </w:pPr>
            <w:r w:rsidRPr="00F33A88">
              <w:rPr>
                <w:sz w:val="20"/>
                <w:szCs w:val="20"/>
              </w:rPr>
              <w:t>− 0.618***</w:t>
            </w:r>
          </w:p>
        </w:tc>
        <w:tc>
          <w:tcPr>
            <w:tcW w:w="0" w:type="auto"/>
            <w:hideMark/>
          </w:tcPr>
          <w:p w14:paraId="04D2BFD6" w14:textId="77777777" w:rsidR="009C778C" w:rsidRPr="00F33A88" w:rsidRDefault="009C778C" w:rsidP="0068273E">
            <w:pPr>
              <w:pStyle w:val="NoSpacing"/>
              <w:rPr>
                <w:sz w:val="20"/>
                <w:szCs w:val="20"/>
              </w:rPr>
            </w:pPr>
            <w:r w:rsidRPr="00F33A88">
              <w:rPr>
                <w:sz w:val="20"/>
                <w:szCs w:val="20"/>
              </w:rPr>
              <w:t>− 0.609***</w:t>
            </w:r>
          </w:p>
        </w:tc>
        <w:tc>
          <w:tcPr>
            <w:tcW w:w="0" w:type="auto"/>
            <w:hideMark/>
          </w:tcPr>
          <w:p w14:paraId="241617E3" w14:textId="77777777" w:rsidR="009C778C" w:rsidRPr="00F33A88" w:rsidRDefault="009C778C" w:rsidP="0068273E">
            <w:pPr>
              <w:pStyle w:val="NoSpacing"/>
              <w:rPr>
                <w:sz w:val="20"/>
                <w:szCs w:val="20"/>
              </w:rPr>
            </w:pPr>
            <w:r w:rsidRPr="00F33A88">
              <w:rPr>
                <w:sz w:val="20"/>
                <w:szCs w:val="20"/>
              </w:rPr>
              <w:t>− 0.604***</w:t>
            </w:r>
          </w:p>
        </w:tc>
      </w:tr>
      <w:tr w:rsidR="009C778C" w:rsidRPr="00F33A88" w14:paraId="72C33D47" w14:textId="77777777" w:rsidTr="000650D6">
        <w:tc>
          <w:tcPr>
            <w:tcW w:w="0" w:type="auto"/>
            <w:hideMark/>
          </w:tcPr>
          <w:p w14:paraId="38BD4CAE" w14:textId="77777777" w:rsidR="009C778C" w:rsidRPr="00F33A88" w:rsidRDefault="009C778C" w:rsidP="0068273E">
            <w:pPr>
              <w:pStyle w:val="NoSpacing"/>
              <w:rPr>
                <w:b/>
                <w:bCs/>
                <w:sz w:val="20"/>
                <w:szCs w:val="20"/>
              </w:rPr>
            </w:pPr>
          </w:p>
        </w:tc>
        <w:tc>
          <w:tcPr>
            <w:tcW w:w="0" w:type="auto"/>
            <w:hideMark/>
          </w:tcPr>
          <w:p w14:paraId="51337891" w14:textId="77777777" w:rsidR="009C778C" w:rsidRPr="00F33A88" w:rsidRDefault="009C778C" w:rsidP="0068273E">
            <w:pPr>
              <w:pStyle w:val="NoSpacing"/>
              <w:rPr>
                <w:b/>
                <w:bCs/>
                <w:sz w:val="20"/>
                <w:szCs w:val="20"/>
              </w:rPr>
            </w:pPr>
          </w:p>
        </w:tc>
        <w:tc>
          <w:tcPr>
            <w:tcW w:w="0" w:type="auto"/>
            <w:hideMark/>
          </w:tcPr>
          <w:p w14:paraId="3EA525D9" w14:textId="77777777" w:rsidR="009C778C" w:rsidRPr="00F33A88" w:rsidRDefault="009C778C" w:rsidP="0068273E">
            <w:pPr>
              <w:pStyle w:val="NoSpacing"/>
              <w:rPr>
                <w:sz w:val="20"/>
                <w:szCs w:val="20"/>
              </w:rPr>
            </w:pPr>
            <w:r w:rsidRPr="00F33A88">
              <w:rPr>
                <w:sz w:val="20"/>
                <w:szCs w:val="20"/>
              </w:rPr>
              <w:t>(− 16.12)</w:t>
            </w:r>
          </w:p>
        </w:tc>
        <w:tc>
          <w:tcPr>
            <w:tcW w:w="0" w:type="auto"/>
            <w:hideMark/>
          </w:tcPr>
          <w:p w14:paraId="60A9C122" w14:textId="77777777" w:rsidR="009C778C" w:rsidRPr="00F33A88" w:rsidRDefault="009C778C" w:rsidP="0068273E">
            <w:pPr>
              <w:pStyle w:val="NoSpacing"/>
              <w:rPr>
                <w:sz w:val="20"/>
                <w:szCs w:val="20"/>
              </w:rPr>
            </w:pPr>
          </w:p>
        </w:tc>
        <w:tc>
          <w:tcPr>
            <w:tcW w:w="0" w:type="auto"/>
            <w:hideMark/>
          </w:tcPr>
          <w:p w14:paraId="6B63243E" w14:textId="77777777" w:rsidR="009C778C" w:rsidRPr="00F33A88" w:rsidRDefault="009C778C" w:rsidP="0068273E">
            <w:pPr>
              <w:pStyle w:val="NoSpacing"/>
              <w:rPr>
                <w:sz w:val="20"/>
                <w:szCs w:val="20"/>
              </w:rPr>
            </w:pPr>
          </w:p>
        </w:tc>
        <w:tc>
          <w:tcPr>
            <w:tcW w:w="0" w:type="auto"/>
            <w:hideMark/>
          </w:tcPr>
          <w:p w14:paraId="55725822" w14:textId="77777777" w:rsidR="009C778C" w:rsidRPr="00F33A88" w:rsidRDefault="009C778C" w:rsidP="0068273E">
            <w:pPr>
              <w:pStyle w:val="NoSpacing"/>
              <w:rPr>
                <w:sz w:val="20"/>
                <w:szCs w:val="20"/>
              </w:rPr>
            </w:pPr>
            <w:r w:rsidRPr="00F33A88">
              <w:rPr>
                <w:sz w:val="20"/>
                <w:szCs w:val="20"/>
              </w:rPr>
              <w:t>(− 16.11)</w:t>
            </w:r>
          </w:p>
        </w:tc>
        <w:tc>
          <w:tcPr>
            <w:tcW w:w="0" w:type="auto"/>
            <w:hideMark/>
          </w:tcPr>
          <w:p w14:paraId="1EABE2B3" w14:textId="77777777" w:rsidR="009C778C" w:rsidRPr="00F33A88" w:rsidRDefault="009C778C" w:rsidP="0068273E">
            <w:pPr>
              <w:pStyle w:val="NoSpacing"/>
              <w:rPr>
                <w:sz w:val="20"/>
                <w:szCs w:val="20"/>
              </w:rPr>
            </w:pPr>
            <w:r w:rsidRPr="00F33A88">
              <w:rPr>
                <w:sz w:val="20"/>
                <w:szCs w:val="20"/>
              </w:rPr>
              <w:t>(− 15.91)</w:t>
            </w:r>
          </w:p>
        </w:tc>
        <w:tc>
          <w:tcPr>
            <w:tcW w:w="0" w:type="auto"/>
            <w:hideMark/>
          </w:tcPr>
          <w:p w14:paraId="4324B868" w14:textId="77777777" w:rsidR="009C778C" w:rsidRPr="00F33A88" w:rsidRDefault="009C778C" w:rsidP="0068273E">
            <w:pPr>
              <w:pStyle w:val="NoSpacing"/>
              <w:rPr>
                <w:sz w:val="20"/>
                <w:szCs w:val="20"/>
              </w:rPr>
            </w:pPr>
            <w:r w:rsidRPr="00F33A88">
              <w:rPr>
                <w:sz w:val="20"/>
                <w:szCs w:val="20"/>
              </w:rPr>
              <w:t>(− 15.75)</w:t>
            </w:r>
          </w:p>
        </w:tc>
      </w:tr>
      <w:tr w:rsidR="009C778C" w:rsidRPr="00F33A88" w14:paraId="07977BB6" w14:textId="77777777" w:rsidTr="000650D6">
        <w:tc>
          <w:tcPr>
            <w:tcW w:w="0" w:type="auto"/>
            <w:hideMark/>
          </w:tcPr>
          <w:p w14:paraId="4712C248" w14:textId="77777777" w:rsidR="009C778C" w:rsidRPr="00F33A88" w:rsidRDefault="009C778C" w:rsidP="0068273E">
            <w:pPr>
              <w:pStyle w:val="NoSpacing"/>
              <w:rPr>
                <w:b/>
                <w:bCs/>
                <w:sz w:val="20"/>
                <w:szCs w:val="20"/>
              </w:rPr>
            </w:pPr>
            <w:proofErr w:type="spellStart"/>
            <w:r w:rsidRPr="00F33A88">
              <w:rPr>
                <w:b/>
                <w:bCs/>
                <w:sz w:val="20"/>
                <w:szCs w:val="20"/>
              </w:rPr>
              <w:t>MTB</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35B416CE" w14:textId="77777777" w:rsidR="009C778C" w:rsidRPr="00F33A88" w:rsidRDefault="009C778C" w:rsidP="0068273E">
            <w:pPr>
              <w:pStyle w:val="NoSpacing"/>
              <w:rPr>
                <w:b/>
                <w:bCs/>
                <w:sz w:val="20"/>
                <w:szCs w:val="20"/>
              </w:rPr>
            </w:pPr>
          </w:p>
        </w:tc>
        <w:tc>
          <w:tcPr>
            <w:tcW w:w="0" w:type="auto"/>
            <w:hideMark/>
          </w:tcPr>
          <w:p w14:paraId="58DB9DB9" w14:textId="77777777" w:rsidR="009C778C" w:rsidRPr="00F33A88" w:rsidRDefault="009C778C" w:rsidP="0068273E">
            <w:pPr>
              <w:pStyle w:val="NoSpacing"/>
              <w:rPr>
                <w:sz w:val="20"/>
                <w:szCs w:val="20"/>
              </w:rPr>
            </w:pPr>
            <w:r w:rsidRPr="00F33A88">
              <w:rPr>
                <w:sz w:val="20"/>
                <w:szCs w:val="20"/>
              </w:rPr>
              <w:t>− 0.019*</w:t>
            </w:r>
          </w:p>
        </w:tc>
        <w:tc>
          <w:tcPr>
            <w:tcW w:w="0" w:type="auto"/>
            <w:hideMark/>
          </w:tcPr>
          <w:p w14:paraId="7C3EA795" w14:textId="77777777" w:rsidR="009C778C" w:rsidRPr="00F33A88" w:rsidRDefault="009C778C" w:rsidP="0068273E">
            <w:pPr>
              <w:pStyle w:val="NoSpacing"/>
              <w:rPr>
                <w:sz w:val="20"/>
                <w:szCs w:val="20"/>
              </w:rPr>
            </w:pPr>
          </w:p>
        </w:tc>
        <w:tc>
          <w:tcPr>
            <w:tcW w:w="0" w:type="auto"/>
            <w:hideMark/>
          </w:tcPr>
          <w:p w14:paraId="0AAFF61E" w14:textId="77777777" w:rsidR="009C778C" w:rsidRPr="00F33A88" w:rsidRDefault="009C778C" w:rsidP="0068273E">
            <w:pPr>
              <w:pStyle w:val="NoSpacing"/>
              <w:rPr>
                <w:sz w:val="20"/>
                <w:szCs w:val="20"/>
              </w:rPr>
            </w:pPr>
          </w:p>
        </w:tc>
        <w:tc>
          <w:tcPr>
            <w:tcW w:w="0" w:type="auto"/>
            <w:hideMark/>
          </w:tcPr>
          <w:p w14:paraId="1B81A176" w14:textId="77777777" w:rsidR="009C778C" w:rsidRPr="00F33A88" w:rsidRDefault="009C778C" w:rsidP="0068273E">
            <w:pPr>
              <w:pStyle w:val="NoSpacing"/>
              <w:rPr>
                <w:sz w:val="20"/>
                <w:szCs w:val="20"/>
              </w:rPr>
            </w:pPr>
            <w:r w:rsidRPr="00F33A88">
              <w:rPr>
                <w:sz w:val="20"/>
                <w:szCs w:val="20"/>
              </w:rPr>
              <w:t>− 0.072***</w:t>
            </w:r>
          </w:p>
        </w:tc>
        <w:tc>
          <w:tcPr>
            <w:tcW w:w="0" w:type="auto"/>
            <w:hideMark/>
          </w:tcPr>
          <w:p w14:paraId="571BE70F" w14:textId="77777777" w:rsidR="009C778C" w:rsidRPr="00F33A88" w:rsidRDefault="009C778C" w:rsidP="0068273E">
            <w:pPr>
              <w:pStyle w:val="NoSpacing"/>
              <w:rPr>
                <w:sz w:val="20"/>
                <w:szCs w:val="20"/>
              </w:rPr>
            </w:pPr>
            <w:r w:rsidRPr="00F33A88">
              <w:rPr>
                <w:sz w:val="20"/>
                <w:szCs w:val="20"/>
              </w:rPr>
              <w:t>− 0.062***</w:t>
            </w:r>
          </w:p>
        </w:tc>
        <w:tc>
          <w:tcPr>
            <w:tcW w:w="0" w:type="auto"/>
            <w:hideMark/>
          </w:tcPr>
          <w:p w14:paraId="647C1751" w14:textId="77777777" w:rsidR="009C778C" w:rsidRPr="00F33A88" w:rsidRDefault="009C778C" w:rsidP="0068273E">
            <w:pPr>
              <w:pStyle w:val="NoSpacing"/>
              <w:rPr>
                <w:sz w:val="20"/>
                <w:szCs w:val="20"/>
              </w:rPr>
            </w:pPr>
            <w:r w:rsidRPr="00F33A88">
              <w:rPr>
                <w:sz w:val="20"/>
                <w:szCs w:val="20"/>
              </w:rPr>
              <w:t>− 0.062***</w:t>
            </w:r>
          </w:p>
        </w:tc>
      </w:tr>
      <w:tr w:rsidR="009C778C" w:rsidRPr="00F33A88" w14:paraId="0A12EBF1" w14:textId="77777777" w:rsidTr="000650D6">
        <w:tc>
          <w:tcPr>
            <w:tcW w:w="0" w:type="auto"/>
            <w:hideMark/>
          </w:tcPr>
          <w:p w14:paraId="59719D34" w14:textId="77777777" w:rsidR="009C778C" w:rsidRPr="00F33A88" w:rsidRDefault="009C778C" w:rsidP="0068273E">
            <w:pPr>
              <w:pStyle w:val="NoSpacing"/>
              <w:rPr>
                <w:b/>
                <w:bCs/>
                <w:sz w:val="20"/>
                <w:szCs w:val="20"/>
              </w:rPr>
            </w:pPr>
          </w:p>
        </w:tc>
        <w:tc>
          <w:tcPr>
            <w:tcW w:w="0" w:type="auto"/>
            <w:hideMark/>
          </w:tcPr>
          <w:p w14:paraId="76A8B48C" w14:textId="77777777" w:rsidR="009C778C" w:rsidRPr="00F33A88" w:rsidRDefault="009C778C" w:rsidP="0068273E">
            <w:pPr>
              <w:pStyle w:val="NoSpacing"/>
              <w:rPr>
                <w:b/>
                <w:bCs/>
                <w:sz w:val="20"/>
                <w:szCs w:val="20"/>
              </w:rPr>
            </w:pPr>
          </w:p>
        </w:tc>
        <w:tc>
          <w:tcPr>
            <w:tcW w:w="0" w:type="auto"/>
            <w:hideMark/>
          </w:tcPr>
          <w:p w14:paraId="412344D6" w14:textId="77777777" w:rsidR="009C778C" w:rsidRPr="00F33A88" w:rsidRDefault="009C778C" w:rsidP="0068273E">
            <w:pPr>
              <w:pStyle w:val="NoSpacing"/>
              <w:rPr>
                <w:sz w:val="20"/>
                <w:szCs w:val="20"/>
              </w:rPr>
            </w:pPr>
            <w:r w:rsidRPr="00F33A88">
              <w:rPr>
                <w:sz w:val="20"/>
                <w:szCs w:val="20"/>
              </w:rPr>
              <w:t>(− 1.90)</w:t>
            </w:r>
          </w:p>
        </w:tc>
        <w:tc>
          <w:tcPr>
            <w:tcW w:w="0" w:type="auto"/>
            <w:hideMark/>
          </w:tcPr>
          <w:p w14:paraId="0114A7D4" w14:textId="77777777" w:rsidR="009C778C" w:rsidRPr="00F33A88" w:rsidRDefault="009C778C" w:rsidP="0068273E">
            <w:pPr>
              <w:pStyle w:val="NoSpacing"/>
              <w:rPr>
                <w:sz w:val="20"/>
                <w:szCs w:val="20"/>
              </w:rPr>
            </w:pPr>
          </w:p>
        </w:tc>
        <w:tc>
          <w:tcPr>
            <w:tcW w:w="0" w:type="auto"/>
            <w:hideMark/>
          </w:tcPr>
          <w:p w14:paraId="10771A94" w14:textId="77777777" w:rsidR="009C778C" w:rsidRPr="00F33A88" w:rsidRDefault="009C778C" w:rsidP="0068273E">
            <w:pPr>
              <w:pStyle w:val="NoSpacing"/>
              <w:rPr>
                <w:sz w:val="20"/>
                <w:szCs w:val="20"/>
              </w:rPr>
            </w:pPr>
          </w:p>
        </w:tc>
        <w:tc>
          <w:tcPr>
            <w:tcW w:w="0" w:type="auto"/>
            <w:hideMark/>
          </w:tcPr>
          <w:p w14:paraId="444359D6" w14:textId="77777777" w:rsidR="009C778C" w:rsidRPr="00F33A88" w:rsidRDefault="009C778C" w:rsidP="0068273E">
            <w:pPr>
              <w:pStyle w:val="NoSpacing"/>
              <w:rPr>
                <w:sz w:val="20"/>
                <w:szCs w:val="20"/>
              </w:rPr>
            </w:pPr>
            <w:r w:rsidRPr="00F33A88">
              <w:rPr>
                <w:sz w:val="20"/>
                <w:szCs w:val="20"/>
              </w:rPr>
              <w:t>(− 10.05)</w:t>
            </w:r>
          </w:p>
        </w:tc>
        <w:tc>
          <w:tcPr>
            <w:tcW w:w="0" w:type="auto"/>
            <w:hideMark/>
          </w:tcPr>
          <w:p w14:paraId="66DA4350" w14:textId="77777777" w:rsidR="009C778C" w:rsidRPr="00F33A88" w:rsidRDefault="009C778C" w:rsidP="0068273E">
            <w:pPr>
              <w:pStyle w:val="NoSpacing"/>
              <w:rPr>
                <w:sz w:val="20"/>
                <w:szCs w:val="20"/>
              </w:rPr>
            </w:pPr>
            <w:r w:rsidRPr="00F33A88">
              <w:rPr>
                <w:sz w:val="20"/>
                <w:szCs w:val="20"/>
              </w:rPr>
              <w:t>(− 8.49)</w:t>
            </w:r>
          </w:p>
        </w:tc>
        <w:tc>
          <w:tcPr>
            <w:tcW w:w="0" w:type="auto"/>
            <w:hideMark/>
          </w:tcPr>
          <w:p w14:paraId="5E55510B" w14:textId="77777777" w:rsidR="009C778C" w:rsidRPr="00F33A88" w:rsidRDefault="009C778C" w:rsidP="0068273E">
            <w:pPr>
              <w:pStyle w:val="NoSpacing"/>
              <w:rPr>
                <w:sz w:val="20"/>
                <w:szCs w:val="20"/>
              </w:rPr>
            </w:pPr>
            <w:r w:rsidRPr="00F33A88">
              <w:rPr>
                <w:sz w:val="20"/>
                <w:szCs w:val="20"/>
              </w:rPr>
              <w:t>(− 8.46)</w:t>
            </w:r>
          </w:p>
        </w:tc>
      </w:tr>
      <w:tr w:rsidR="009C778C" w:rsidRPr="00F33A88" w14:paraId="1D173FAE" w14:textId="77777777" w:rsidTr="000650D6">
        <w:tc>
          <w:tcPr>
            <w:tcW w:w="0" w:type="auto"/>
            <w:hideMark/>
          </w:tcPr>
          <w:p w14:paraId="12F220F8" w14:textId="77777777" w:rsidR="009C778C" w:rsidRPr="00F33A88" w:rsidRDefault="009C778C" w:rsidP="0068273E">
            <w:pPr>
              <w:pStyle w:val="NoSpacing"/>
              <w:rPr>
                <w:b/>
                <w:bCs/>
                <w:sz w:val="20"/>
                <w:szCs w:val="20"/>
              </w:rPr>
            </w:pPr>
            <w:proofErr w:type="spellStart"/>
            <w:r w:rsidRPr="00F33A88">
              <w:rPr>
                <w:b/>
                <w:bCs/>
                <w:sz w:val="20"/>
                <w:szCs w:val="20"/>
              </w:rPr>
              <w:t>SALEGROWTH</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6DE78835" w14:textId="77777777" w:rsidR="009C778C" w:rsidRPr="00F33A88" w:rsidRDefault="009C778C" w:rsidP="0068273E">
            <w:pPr>
              <w:pStyle w:val="NoSpacing"/>
              <w:rPr>
                <w:b/>
                <w:bCs/>
                <w:sz w:val="20"/>
                <w:szCs w:val="20"/>
              </w:rPr>
            </w:pPr>
          </w:p>
        </w:tc>
        <w:tc>
          <w:tcPr>
            <w:tcW w:w="0" w:type="auto"/>
            <w:hideMark/>
          </w:tcPr>
          <w:p w14:paraId="66614958" w14:textId="77777777" w:rsidR="009C778C" w:rsidRPr="00F33A88" w:rsidRDefault="009C778C" w:rsidP="0068273E">
            <w:pPr>
              <w:pStyle w:val="NoSpacing"/>
              <w:rPr>
                <w:sz w:val="20"/>
                <w:szCs w:val="20"/>
              </w:rPr>
            </w:pPr>
            <w:r w:rsidRPr="00F33A88">
              <w:rPr>
                <w:sz w:val="20"/>
                <w:szCs w:val="20"/>
              </w:rPr>
              <w:t>0.033**</w:t>
            </w:r>
          </w:p>
        </w:tc>
        <w:tc>
          <w:tcPr>
            <w:tcW w:w="0" w:type="auto"/>
            <w:hideMark/>
          </w:tcPr>
          <w:p w14:paraId="3D47AAFB" w14:textId="77777777" w:rsidR="009C778C" w:rsidRPr="00F33A88" w:rsidRDefault="009C778C" w:rsidP="0068273E">
            <w:pPr>
              <w:pStyle w:val="NoSpacing"/>
              <w:rPr>
                <w:sz w:val="20"/>
                <w:szCs w:val="20"/>
              </w:rPr>
            </w:pPr>
          </w:p>
        </w:tc>
        <w:tc>
          <w:tcPr>
            <w:tcW w:w="0" w:type="auto"/>
            <w:hideMark/>
          </w:tcPr>
          <w:p w14:paraId="01773C40" w14:textId="77777777" w:rsidR="009C778C" w:rsidRPr="00F33A88" w:rsidRDefault="009C778C" w:rsidP="0068273E">
            <w:pPr>
              <w:pStyle w:val="NoSpacing"/>
              <w:rPr>
                <w:sz w:val="20"/>
                <w:szCs w:val="20"/>
              </w:rPr>
            </w:pPr>
          </w:p>
        </w:tc>
        <w:tc>
          <w:tcPr>
            <w:tcW w:w="0" w:type="auto"/>
            <w:hideMark/>
          </w:tcPr>
          <w:p w14:paraId="564F074A" w14:textId="77777777" w:rsidR="009C778C" w:rsidRPr="00F33A88" w:rsidRDefault="009C778C" w:rsidP="0068273E">
            <w:pPr>
              <w:pStyle w:val="NoSpacing"/>
              <w:rPr>
                <w:sz w:val="20"/>
                <w:szCs w:val="20"/>
              </w:rPr>
            </w:pPr>
            <w:r w:rsidRPr="00F33A88">
              <w:rPr>
                <w:sz w:val="20"/>
                <w:szCs w:val="20"/>
              </w:rPr>
              <w:t>0.044***</w:t>
            </w:r>
          </w:p>
        </w:tc>
        <w:tc>
          <w:tcPr>
            <w:tcW w:w="0" w:type="auto"/>
            <w:hideMark/>
          </w:tcPr>
          <w:p w14:paraId="30D789E3" w14:textId="77777777" w:rsidR="009C778C" w:rsidRPr="00F33A88" w:rsidRDefault="009C778C" w:rsidP="0068273E">
            <w:pPr>
              <w:pStyle w:val="NoSpacing"/>
              <w:rPr>
                <w:sz w:val="20"/>
                <w:szCs w:val="20"/>
              </w:rPr>
            </w:pPr>
            <w:r w:rsidRPr="00F33A88">
              <w:rPr>
                <w:sz w:val="20"/>
                <w:szCs w:val="20"/>
              </w:rPr>
              <w:t>0.045***</w:t>
            </w:r>
          </w:p>
        </w:tc>
        <w:tc>
          <w:tcPr>
            <w:tcW w:w="0" w:type="auto"/>
            <w:hideMark/>
          </w:tcPr>
          <w:p w14:paraId="57D18CE6" w14:textId="77777777" w:rsidR="009C778C" w:rsidRPr="00F33A88" w:rsidRDefault="009C778C" w:rsidP="0068273E">
            <w:pPr>
              <w:pStyle w:val="NoSpacing"/>
              <w:rPr>
                <w:sz w:val="20"/>
                <w:szCs w:val="20"/>
              </w:rPr>
            </w:pPr>
            <w:r w:rsidRPr="00F33A88">
              <w:rPr>
                <w:sz w:val="20"/>
                <w:szCs w:val="20"/>
              </w:rPr>
              <w:t>0.044***</w:t>
            </w:r>
          </w:p>
        </w:tc>
      </w:tr>
      <w:tr w:rsidR="009C778C" w:rsidRPr="00F33A88" w14:paraId="4EF95AFE" w14:textId="77777777" w:rsidTr="000650D6">
        <w:tc>
          <w:tcPr>
            <w:tcW w:w="0" w:type="auto"/>
            <w:hideMark/>
          </w:tcPr>
          <w:p w14:paraId="1FF2ADCF" w14:textId="77777777" w:rsidR="009C778C" w:rsidRPr="00F33A88" w:rsidRDefault="009C778C" w:rsidP="0068273E">
            <w:pPr>
              <w:pStyle w:val="NoSpacing"/>
              <w:rPr>
                <w:b/>
                <w:bCs/>
                <w:sz w:val="20"/>
                <w:szCs w:val="20"/>
              </w:rPr>
            </w:pPr>
          </w:p>
        </w:tc>
        <w:tc>
          <w:tcPr>
            <w:tcW w:w="0" w:type="auto"/>
            <w:hideMark/>
          </w:tcPr>
          <w:p w14:paraId="3C02AF7F" w14:textId="77777777" w:rsidR="009C778C" w:rsidRPr="00F33A88" w:rsidRDefault="009C778C" w:rsidP="0068273E">
            <w:pPr>
              <w:pStyle w:val="NoSpacing"/>
              <w:rPr>
                <w:b/>
                <w:bCs/>
                <w:sz w:val="20"/>
                <w:szCs w:val="20"/>
              </w:rPr>
            </w:pPr>
          </w:p>
        </w:tc>
        <w:tc>
          <w:tcPr>
            <w:tcW w:w="0" w:type="auto"/>
            <w:hideMark/>
          </w:tcPr>
          <w:p w14:paraId="4E13780C" w14:textId="77777777" w:rsidR="009C778C" w:rsidRPr="00F33A88" w:rsidRDefault="009C778C" w:rsidP="0068273E">
            <w:pPr>
              <w:pStyle w:val="NoSpacing"/>
              <w:rPr>
                <w:sz w:val="20"/>
                <w:szCs w:val="20"/>
              </w:rPr>
            </w:pPr>
            <w:r w:rsidRPr="00F33A88">
              <w:rPr>
                <w:sz w:val="20"/>
                <w:szCs w:val="20"/>
              </w:rPr>
              <w:t>(2.44)</w:t>
            </w:r>
          </w:p>
        </w:tc>
        <w:tc>
          <w:tcPr>
            <w:tcW w:w="0" w:type="auto"/>
            <w:hideMark/>
          </w:tcPr>
          <w:p w14:paraId="5BF14730" w14:textId="77777777" w:rsidR="009C778C" w:rsidRPr="00F33A88" w:rsidRDefault="009C778C" w:rsidP="0068273E">
            <w:pPr>
              <w:pStyle w:val="NoSpacing"/>
              <w:rPr>
                <w:sz w:val="20"/>
                <w:szCs w:val="20"/>
              </w:rPr>
            </w:pPr>
          </w:p>
        </w:tc>
        <w:tc>
          <w:tcPr>
            <w:tcW w:w="0" w:type="auto"/>
            <w:hideMark/>
          </w:tcPr>
          <w:p w14:paraId="5244ECAE" w14:textId="77777777" w:rsidR="009C778C" w:rsidRPr="00F33A88" w:rsidRDefault="009C778C" w:rsidP="0068273E">
            <w:pPr>
              <w:pStyle w:val="NoSpacing"/>
              <w:rPr>
                <w:sz w:val="20"/>
                <w:szCs w:val="20"/>
              </w:rPr>
            </w:pPr>
          </w:p>
        </w:tc>
        <w:tc>
          <w:tcPr>
            <w:tcW w:w="0" w:type="auto"/>
            <w:hideMark/>
          </w:tcPr>
          <w:p w14:paraId="3938ACCC" w14:textId="77777777" w:rsidR="009C778C" w:rsidRPr="00F33A88" w:rsidRDefault="009C778C" w:rsidP="0068273E">
            <w:pPr>
              <w:pStyle w:val="NoSpacing"/>
              <w:rPr>
                <w:sz w:val="20"/>
                <w:szCs w:val="20"/>
              </w:rPr>
            </w:pPr>
            <w:r w:rsidRPr="00F33A88">
              <w:rPr>
                <w:sz w:val="20"/>
                <w:szCs w:val="20"/>
              </w:rPr>
              <w:t>(3.29)</w:t>
            </w:r>
          </w:p>
        </w:tc>
        <w:tc>
          <w:tcPr>
            <w:tcW w:w="0" w:type="auto"/>
            <w:hideMark/>
          </w:tcPr>
          <w:p w14:paraId="4E49E2ED" w14:textId="77777777" w:rsidR="009C778C" w:rsidRPr="00F33A88" w:rsidRDefault="009C778C" w:rsidP="0068273E">
            <w:pPr>
              <w:pStyle w:val="NoSpacing"/>
              <w:rPr>
                <w:sz w:val="20"/>
                <w:szCs w:val="20"/>
              </w:rPr>
            </w:pPr>
            <w:r w:rsidRPr="00F33A88">
              <w:rPr>
                <w:sz w:val="20"/>
                <w:szCs w:val="20"/>
              </w:rPr>
              <w:t>(3.30)</w:t>
            </w:r>
          </w:p>
        </w:tc>
        <w:tc>
          <w:tcPr>
            <w:tcW w:w="0" w:type="auto"/>
            <w:hideMark/>
          </w:tcPr>
          <w:p w14:paraId="03938F9E" w14:textId="77777777" w:rsidR="009C778C" w:rsidRPr="00F33A88" w:rsidRDefault="009C778C" w:rsidP="0068273E">
            <w:pPr>
              <w:pStyle w:val="NoSpacing"/>
              <w:rPr>
                <w:sz w:val="20"/>
                <w:szCs w:val="20"/>
              </w:rPr>
            </w:pPr>
            <w:r w:rsidRPr="00F33A88">
              <w:rPr>
                <w:sz w:val="20"/>
                <w:szCs w:val="20"/>
              </w:rPr>
              <w:t>(3.24)</w:t>
            </w:r>
          </w:p>
        </w:tc>
      </w:tr>
      <w:tr w:rsidR="009C778C" w:rsidRPr="00F33A88" w14:paraId="78DA2A5D" w14:textId="77777777" w:rsidTr="000650D6">
        <w:tc>
          <w:tcPr>
            <w:tcW w:w="0" w:type="auto"/>
            <w:hideMark/>
          </w:tcPr>
          <w:p w14:paraId="4F249DC3" w14:textId="77777777" w:rsidR="009C778C" w:rsidRPr="00F33A88" w:rsidRDefault="009C778C" w:rsidP="0068273E">
            <w:pPr>
              <w:pStyle w:val="NoSpacing"/>
              <w:rPr>
                <w:b/>
                <w:bCs/>
                <w:sz w:val="20"/>
                <w:szCs w:val="20"/>
              </w:rPr>
            </w:pPr>
            <w:proofErr w:type="spellStart"/>
            <w:r w:rsidRPr="00F33A88">
              <w:rPr>
                <w:b/>
                <w:bCs/>
                <w:sz w:val="20"/>
                <w:szCs w:val="20"/>
              </w:rPr>
              <w:t>LEV</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4AC5135D" w14:textId="77777777" w:rsidR="009C778C" w:rsidRPr="00F33A88" w:rsidRDefault="009C778C" w:rsidP="0068273E">
            <w:pPr>
              <w:pStyle w:val="NoSpacing"/>
              <w:rPr>
                <w:b/>
                <w:bCs/>
                <w:sz w:val="20"/>
                <w:szCs w:val="20"/>
              </w:rPr>
            </w:pPr>
          </w:p>
        </w:tc>
        <w:tc>
          <w:tcPr>
            <w:tcW w:w="0" w:type="auto"/>
            <w:hideMark/>
          </w:tcPr>
          <w:p w14:paraId="0584A23E" w14:textId="77777777" w:rsidR="009C778C" w:rsidRPr="00F33A88" w:rsidRDefault="009C778C" w:rsidP="0068273E">
            <w:pPr>
              <w:pStyle w:val="NoSpacing"/>
              <w:rPr>
                <w:sz w:val="20"/>
                <w:szCs w:val="20"/>
              </w:rPr>
            </w:pPr>
            <w:r w:rsidRPr="00F33A88">
              <w:rPr>
                <w:sz w:val="20"/>
                <w:szCs w:val="20"/>
              </w:rPr>
              <w:t>0.228***</w:t>
            </w:r>
          </w:p>
        </w:tc>
        <w:tc>
          <w:tcPr>
            <w:tcW w:w="0" w:type="auto"/>
            <w:hideMark/>
          </w:tcPr>
          <w:p w14:paraId="4C50D4A1" w14:textId="77777777" w:rsidR="009C778C" w:rsidRPr="00F33A88" w:rsidRDefault="009C778C" w:rsidP="0068273E">
            <w:pPr>
              <w:pStyle w:val="NoSpacing"/>
              <w:rPr>
                <w:sz w:val="20"/>
                <w:szCs w:val="20"/>
              </w:rPr>
            </w:pPr>
          </w:p>
        </w:tc>
        <w:tc>
          <w:tcPr>
            <w:tcW w:w="0" w:type="auto"/>
            <w:hideMark/>
          </w:tcPr>
          <w:p w14:paraId="53F9EF7E" w14:textId="77777777" w:rsidR="009C778C" w:rsidRPr="00F33A88" w:rsidRDefault="009C778C" w:rsidP="0068273E">
            <w:pPr>
              <w:pStyle w:val="NoSpacing"/>
              <w:rPr>
                <w:sz w:val="20"/>
                <w:szCs w:val="20"/>
              </w:rPr>
            </w:pPr>
          </w:p>
        </w:tc>
        <w:tc>
          <w:tcPr>
            <w:tcW w:w="0" w:type="auto"/>
            <w:hideMark/>
          </w:tcPr>
          <w:p w14:paraId="366587CB" w14:textId="77777777" w:rsidR="009C778C" w:rsidRPr="00F33A88" w:rsidRDefault="009C778C" w:rsidP="0068273E">
            <w:pPr>
              <w:pStyle w:val="NoSpacing"/>
              <w:rPr>
                <w:sz w:val="20"/>
                <w:szCs w:val="20"/>
              </w:rPr>
            </w:pPr>
            <w:r w:rsidRPr="00F33A88">
              <w:rPr>
                <w:sz w:val="20"/>
                <w:szCs w:val="20"/>
              </w:rPr>
              <w:t>0.393***</w:t>
            </w:r>
          </w:p>
        </w:tc>
        <w:tc>
          <w:tcPr>
            <w:tcW w:w="0" w:type="auto"/>
            <w:hideMark/>
          </w:tcPr>
          <w:p w14:paraId="70175A79" w14:textId="77777777" w:rsidR="009C778C" w:rsidRPr="00F33A88" w:rsidRDefault="009C778C" w:rsidP="0068273E">
            <w:pPr>
              <w:pStyle w:val="NoSpacing"/>
              <w:rPr>
                <w:sz w:val="20"/>
                <w:szCs w:val="20"/>
              </w:rPr>
            </w:pPr>
            <w:r w:rsidRPr="00F33A88">
              <w:rPr>
                <w:sz w:val="20"/>
                <w:szCs w:val="20"/>
              </w:rPr>
              <w:t>0.380***</w:t>
            </w:r>
          </w:p>
        </w:tc>
        <w:tc>
          <w:tcPr>
            <w:tcW w:w="0" w:type="auto"/>
            <w:hideMark/>
          </w:tcPr>
          <w:p w14:paraId="4AF6CB18" w14:textId="77777777" w:rsidR="009C778C" w:rsidRPr="00F33A88" w:rsidRDefault="009C778C" w:rsidP="0068273E">
            <w:pPr>
              <w:pStyle w:val="NoSpacing"/>
              <w:rPr>
                <w:sz w:val="20"/>
                <w:szCs w:val="20"/>
              </w:rPr>
            </w:pPr>
            <w:r w:rsidRPr="00F33A88">
              <w:rPr>
                <w:sz w:val="20"/>
                <w:szCs w:val="20"/>
              </w:rPr>
              <w:t>0.391***</w:t>
            </w:r>
          </w:p>
        </w:tc>
      </w:tr>
      <w:tr w:rsidR="009C778C" w:rsidRPr="00F33A88" w14:paraId="0BCDF314" w14:textId="77777777" w:rsidTr="000650D6">
        <w:tc>
          <w:tcPr>
            <w:tcW w:w="0" w:type="auto"/>
            <w:hideMark/>
          </w:tcPr>
          <w:p w14:paraId="64981909" w14:textId="77777777" w:rsidR="009C778C" w:rsidRPr="00F33A88" w:rsidRDefault="009C778C" w:rsidP="0068273E">
            <w:pPr>
              <w:pStyle w:val="NoSpacing"/>
              <w:rPr>
                <w:b/>
                <w:bCs/>
                <w:sz w:val="20"/>
                <w:szCs w:val="20"/>
              </w:rPr>
            </w:pPr>
          </w:p>
        </w:tc>
        <w:tc>
          <w:tcPr>
            <w:tcW w:w="0" w:type="auto"/>
            <w:hideMark/>
          </w:tcPr>
          <w:p w14:paraId="3A0553CC" w14:textId="77777777" w:rsidR="009C778C" w:rsidRPr="00F33A88" w:rsidRDefault="009C778C" w:rsidP="0068273E">
            <w:pPr>
              <w:pStyle w:val="NoSpacing"/>
              <w:rPr>
                <w:b/>
                <w:bCs/>
                <w:sz w:val="20"/>
                <w:szCs w:val="20"/>
              </w:rPr>
            </w:pPr>
          </w:p>
        </w:tc>
        <w:tc>
          <w:tcPr>
            <w:tcW w:w="0" w:type="auto"/>
            <w:hideMark/>
          </w:tcPr>
          <w:p w14:paraId="796C97AA" w14:textId="77777777" w:rsidR="009C778C" w:rsidRPr="00F33A88" w:rsidRDefault="009C778C" w:rsidP="0068273E">
            <w:pPr>
              <w:pStyle w:val="NoSpacing"/>
              <w:rPr>
                <w:sz w:val="20"/>
                <w:szCs w:val="20"/>
              </w:rPr>
            </w:pPr>
            <w:r w:rsidRPr="00F33A88">
              <w:rPr>
                <w:sz w:val="20"/>
                <w:szCs w:val="20"/>
              </w:rPr>
              <w:t>(7.23)</w:t>
            </w:r>
          </w:p>
        </w:tc>
        <w:tc>
          <w:tcPr>
            <w:tcW w:w="0" w:type="auto"/>
            <w:hideMark/>
          </w:tcPr>
          <w:p w14:paraId="56035DCD" w14:textId="77777777" w:rsidR="009C778C" w:rsidRPr="00F33A88" w:rsidRDefault="009C778C" w:rsidP="0068273E">
            <w:pPr>
              <w:pStyle w:val="NoSpacing"/>
              <w:rPr>
                <w:sz w:val="20"/>
                <w:szCs w:val="20"/>
              </w:rPr>
            </w:pPr>
          </w:p>
        </w:tc>
        <w:tc>
          <w:tcPr>
            <w:tcW w:w="0" w:type="auto"/>
            <w:hideMark/>
          </w:tcPr>
          <w:p w14:paraId="5A3263DA" w14:textId="77777777" w:rsidR="009C778C" w:rsidRPr="00F33A88" w:rsidRDefault="009C778C" w:rsidP="0068273E">
            <w:pPr>
              <w:pStyle w:val="NoSpacing"/>
              <w:rPr>
                <w:sz w:val="20"/>
                <w:szCs w:val="20"/>
              </w:rPr>
            </w:pPr>
          </w:p>
        </w:tc>
        <w:tc>
          <w:tcPr>
            <w:tcW w:w="0" w:type="auto"/>
            <w:hideMark/>
          </w:tcPr>
          <w:p w14:paraId="5A2D8EFD" w14:textId="77777777" w:rsidR="009C778C" w:rsidRPr="00F33A88" w:rsidRDefault="009C778C" w:rsidP="0068273E">
            <w:pPr>
              <w:pStyle w:val="NoSpacing"/>
              <w:rPr>
                <w:sz w:val="20"/>
                <w:szCs w:val="20"/>
              </w:rPr>
            </w:pPr>
            <w:r w:rsidRPr="00F33A88">
              <w:rPr>
                <w:sz w:val="20"/>
                <w:szCs w:val="20"/>
              </w:rPr>
              <w:t>(12.34)</w:t>
            </w:r>
          </w:p>
        </w:tc>
        <w:tc>
          <w:tcPr>
            <w:tcW w:w="0" w:type="auto"/>
            <w:hideMark/>
          </w:tcPr>
          <w:p w14:paraId="20D37639" w14:textId="77777777" w:rsidR="009C778C" w:rsidRPr="00F33A88" w:rsidRDefault="009C778C" w:rsidP="0068273E">
            <w:pPr>
              <w:pStyle w:val="NoSpacing"/>
              <w:rPr>
                <w:sz w:val="20"/>
                <w:szCs w:val="20"/>
              </w:rPr>
            </w:pPr>
            <w:r w:rsidRPr="00F33A88">
              <w:rPr>
                <w:sz w:val="20"/>
                <w:szCs w:val="20"/>
              </w:rPr>
              <w:t>(12.02)</w:t>
            </w:r>
          </w:p>
        </w:tc>
        <w:tc>
          <w:tcPr>
            <w:tcW w:w="0" w:type="auto"/>
            <w:hideMark/>
          </w:tcPr>
          <w:p w14:paraId="6B6B3B47" w14:textId="77777777" w:rsidR="009C778C" w:rsidRPr="00F33A88" w:rsidRDefault="009C778C" w:rsidP="0068273E">
            <w:pPr>
              <w:pStyle w:val="NoSpacing"/>
              <w:rPr>
                <w:sz w:val="20"/>
                <w:szCs w:val="20"/>
              </w:rPr>
            </w:pPr>
            <w:r w:rsidRPr="00F33A88">
              <w:rPr>
                <w:sz w:val="20"/>
                <w:szCs w:val="20"/>
              </w:rPr>
              <w:t>(12.33)</w:t>
            </w:r>
          </w:p>
        </w:tc>
      </w:tr>
      <w:tr w:rsidR="009C778C" w:rsidRPr="00F33A88" w14:paraId="1420F6AB" w14:textId="77777777" w:rsidTr="000650D6">
        <w:tc>
          <w:tcPr>
            <w:tcW w:w="0" w:type="auto"/>
            <w:hideMark/>
          </w:tcPr>
          <w:p w14:paraId="76F30979" w14:textId="77777777" w:rsidR="009C778C" w:rsidRPr="00F33A88" w:rsidRDefault="009C778C" w:rsidP="0068273E">
            <w:pPr>
              <w:pStyle w:val="NoSpacing"/>
              <w:rPr>
                <w:b/>
                <w:bCs/>
                <w:sz w:val="20"/>
                <w:szCs w:val="20"/>
              </w:rPr>
            </w:pPr>
            <w:proofErr w:type="spellStart"/>
            <w:r w:rsidRPr="00F33A88">
              <w:rPr>
                <w:b/>
                <w:bCs/>
                <w:sz w:val="20"/>
                <w:szCs w:val="20"/>
              </w:rPr>
              <w:t>STDSALE</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64BF6489" w14:textId="77777777" w:rsidR="009C778C" w:rsidRPr="00F33A88" w:rsidRDefault="009C778C" w:rsidP="0068273E">
            <w:pPr>
              <w:pStyle w:val="NoSpacing"/>
              <w:rPr>
                <w:b/>
                <w:bCs/>
                <w:sz w:val="20"/>
                <w:szCs w:val="20"/>
              </w:rPr>
            </w:pPr>
          </w:p>
        </w:tc>
        <w:tc>
          <w:tcPr>
            <w:tcW w:w="0" w:type="auto"/>
            <w:hideMark/>
          </w:tcPr>
          <w:p w14:paraId="1D80C618" w14:textId="77777777" w:rsidR="009C778C" w:rsidRPr="00F33A88" w:rsidRDefault="009C778C" w:rsidP="0068273E">
            <w:pPr>
              <w:pStyle w:val="NoSpacing"/>
              <w:rPr>
                <w:sz w:val="20"/>
                <w:szCs w:val="20"/>
              </w:rPr>
            </w:pPr>
            <w:r w:rsidRPr="00F33A88">
              <w:rPr>
                <w:sz w:val="20"/>
                <w:szCs w:val="20"/>
              </w:rPr>
              <w:t>0.397***</w:t>
            </w:r>
          </w:p>
        </w:tc>
        <w:tc>
          <w:tcPr>
            <w:tcW w:w="0" w:type="auto"/>
            <w:hideMark/>
          </w:tcPr>
          <w:p w14:paraId="703C56E4" w14:textId="77777777" w:rsidR="009C778C" w:rsidRPr="00F33A88" w:rsidRDefault="009C778C" w:rsidP="0068273E">
            <w:pPr>
              <w:pStyle w:val="NoSpacing"/>
              <w:rPr>
                <w:sz w:val="20"/>
                <w:szCs w:val="20"/>
              </w:rPr>
            </w:pPr>
          </w:p>
        </w:tc>
        <w:tc>
          <w:tcPr>
            <w:tcW w:w="0" w:type="auto"/>
            <w:hideMark/>
          </w:tcPr>
          <w:p w14:paraId="55DE504E" w14:textId="77777777" w:rsidR="009C778C" w:rsidRPr="00F33A88" w:rsidRDefault="009C778C" w:rsidP="0068273E">
            <w:pPr>
              <w:pStyle w:val="NoSpacing"/>
              <w:rPr>
                <w:sz w:val="20"/>
                <w:szCs w:val="20"/>
              </w:rPr>
            </w:pPr>
          </w:p>
        </w:tc>
        <w:tc>
          <w:tcPr>
            <w:tcW w:w="0" w:type="auto"/>
            <w:hideMark/>
          </w:tcPr>
          <w:p w14:paraId="4CBB9455" w14:textId="77777777" w:rsidR="009C778C" w:rsidRPr="00F33A88" w:rsidRDefault="009C778C" w:rsidP="0068273E">
            <w:pPr>
              <w:pStyle w:val="NoSpacing"/>
              <w:rPr>
                <w:sz w:val="20"/>
                <w:szCs w:val="20"/>
              </w:rPr>
            </w:pPr>
            <w:r w:rsidRPr="00F33A88">
              <w:rPr>
                <w:sz w:val="20"/>
                <w:szCs w:val="20"/>
              </w:rPr>
              <w:t>0.424***</w:t>
            </w:r>
          </w:p>
        </w:tc>
        <w:tc>
          <w:tcPr>
            <w:tcW w:w="0" w:type="auto"/>
            <w:hideMark/>
          </w:tcPr>
          <w:p w14:paraId="53364C1B" w14:textId="77777777" w:rsidR="009C778C" w:rsidRPr="00F33A88" w:rsidRDefault="009C778C" w:rsidP="0068273E">
            <w:pPr>
              <w:pStyle w:val="NoSpacing"/>
              <w:rPr>
                <w:sz w:val="20"/>
                <w:szCs w:val="20"/>
              </w:rPr>
            </w:pPr>
            <w:r w:rsidRPr="00F33A88">
              <w:rPr>
                <w:sz w:val="20"/>
                <w:szCs w:val="20"/>
              </w:rPr>
              <w:t>0.423***</w:t>
            </w:r>
          </w:p>
        </w:tc>
        <w:tc>
          <w:tcPr>
            <w:tcW w:w="0" w:type="auto"/>
            <w:hideMark/>
          </w:tcPr>
          <w:p w14:paraId="65128FBB" w14:textId="77777777" w:rsidR="009C778C" w:rsidRPr="00F33A88" w:rsidRDefault="009C778C" w:rsidP="0068273E">
            <w:pPr>
              <w:pStyle w:val="NoSpacing"/>
              <w:rPr>
                <w:sz w:val="20"/>
                <w:szCs w:val="20"/>
              </w:rPr>
            </w:pPr>
            <w:r w:rsidRPr="00F33A88">
              <w:rPr>
                <w:sz w:val="20"/>
                <w:szCs w:val="20"/>
              </w:rPr>
              <w:t>0.426***</w:t>
            </w:r>
          </w:p>
        </w:tc>
      </w:tr>
      <w:tr w:rsidR="009C778C" w:rsidRPr="00F33A88" w14:paraId="53DCB747" w14:textId="77777777" w:rsidTr="000650D6">
        <w:tc>
          <w:tcPr>
            <w:tcW w:w="0" w:type="auto"/>
            <w:hideMark/>
          </w:tcPr>
          <w:p w14:paraId="4FA3A9A7" w14:textId="77777777" w:rsidR="009C778C" w:rsidRPr="00F33A88" w:rsidRDefault="009C778C" w:rsidP="0068273E">
            <w:pPr>
              <w:pStyle w:val="NoSpacing"/>
              <w:rPr>
                <w:b/>
                <w:bCs/>
                <w:sz w:val="20"/>
                <w:szCs w:val="20"/>
              </w:rPr>
            </w:pPr>
          </w:p>
        </w:tc>
        <w:tc>
          <w:tcPr>
            <w:tcW w:w="0" w:type="auto"/>
            <w:hideMark/>
          </w:tcPr>
          <w:p w14:paraId="54B059F6" w14:textId="77777777" w:rsidR="009C778C" w:rsidRPr="00F33A88" w:rsidRDefault="009C778C" w:rsidP="0068273E">
            <w:pPr>
              <w:pStyle w:val="NoSpacing"/>
              <w:rPr>
                <w:b/>
                <w:bCs/>
                <w:sz w:val="20"/>
                <w:szCs w:val="20"/>
              </w:rPr>
            </w:pPr>
          </w:p>
        </w:tc>
        <w:tc>
          <w:tcPr>
            <w:tcW w:w="0" w:type="auto"/>
            <w:hideMark/>
          </w:tcPr>
          <w:p w14:paraId="0C781A99" w14:textId="77777777" w:rsidR="009C778C" w:rsidRPr="00F33A88" w:rsidRDefault="009C778C" w:rsidP="0068273E">
            <w:pPr>
              <w:pStyle w:val="NoSpacing"/>
              <w:rPr>
                <w:sz w:val="20"/>
                <w:szCs w:val="20"/>
              </w:rPr>
            </w:pPr>
            <w:r w:rsidRPr="00F33A88">
              <w:rPr>
                <w:sz w:val="20"/>
                <w:szCs w:val="20"/>
              </w:rPr>
              <w:t>(12.99)</w:t>
            </w:r>
          </w:p>
        </w:tc>
        <w:tc>
          <w:tcPr>
            <w:tcW w:w="0" w:type="auto"/>
            <w:hideMark/>
          </w:tcPr>
          <w:p w14:paraId="76A10618" w14:textId="77777777" w:rsidR="009C778C" w:rsidRPr="00F33A88" w:rsidRDefault="009C778C" w:rsidP="0068273E">
            <w:pPr>
              <w:pStyle w:val="NoSpacing"/>
              <w:rPr>
                <w:sz w:val="20"/>
                <w:szCs w:val="20"/>
              </w:rPr>
            </w:pPr>
          </w:p>
        </w:tc>
        <w:tc>
          <w:tcPr>
            <w:tcW w:w="0" w:type="auto"/>
            <w:hideMark/>
          </w:tcPr>
          <w:p w14:paraId="1A73AE7F" w14:textId="77777777" w:rsidR="009C778C" w:rsidRPr="00F33A88" w:rsidRDefault="009C778C" w:rsidP="0068273E">
            <w:pPr>
              <w:pStyle w:val="NoSpacing"/>
              <w:rPr>
                <w:sz w:val="20"/>
                <w:szCs w:val="20"/>
              </w:rPr>
            </w:pPr>
          </w:p>
        </w:tc>
        <w:tc>
          <w:tcPr>
            <w:tcW w:w="0" w:type="auto"/>
            <w:hideMark/>
          </w:tcPr>
          <w:p w14:paraId="62FA07A4" w14:textId="77777777" w:rsidR="009C778C" w:rsidRPr="00F33A88" w:rsidRDefault="009C778C" w:rsidP="0068273E">
            <w:pPr>
              <w:pStyle w:val="NoSpacing"/>
              <w:rPr>
                <w:sz w:val="20"/>
                <w:szCs w:val="20"/>
              </w:rPr>
            </w:pPr>
            <w:r w:rsidRPr="00F33A88">
              <w:rPr>
                <w:sz w:val="20"/>
                <w:szCs w:val="20"/>
              </w:rPr>
              <w:t>(13.43)</w:t>
            </w:r>
          </w:p>
        </w:tc>
        <w:tc>
          <w:tcPr>
            <w:tcW w:w="0" w:type="auto"/>
            <w:hideMark/>
          </w:tcPr>
          <w:p w14:paraId="2D03FFB0" w14:textId="77777777" w:rsidR="009C778C" w:rsidRPr="00F33A88" w:rsidRDefault="009C778C" w:rsidP="0068273E">
            <w:pPr>
              <w:pStyle w:val="NoSpacing"/>
              <w:rPr>
                <w:sz w:val="20"/>
                <w:szCs w:val="20"/>
              </w:rPr>
            </w:pPr>
            <w:r w:rsidRPr="00F33A88">
              <w:rPr>
                <w:sz w:val="20"/>
                <w:szCs w:val="20"/>
              </w:rPr>
              <w:t>(13.43)</w:t>
            </w:r>
          </w:p>
        </w:tc>
        <w:tc>
          <w:tcPr>
            <w:tcW w:w="0" w:type="auto"/>
            <w:hideMark/>
          </w:tcPr>
          <w:p w14:paraId="0D74C600" w14:textId="77777777" w:rsidR="009C778C" w:rsidRPr="00F33A88" w:rsidRDefault="009C778C" w:rsidP="0068273E">
            <w:pPr>
              <w:pStyle w:val="NoSpacing"/>
              <w:rPr>
                <w:sz w:val="20"/>
                <w:szCs w:val="20"/>
              </w:rPr>
            </w:pPr>
            <w:r w:rsidRPr="00F33A88">
              <w:rPr>
                <w:sz w:val="20"/>
                <w:szCs w:val="20"/>
              </w:rPr>
              <w:t>(13.52)</w:t>
            </w:r>
          </w:p>
        </w:tc>
      </w:tr>
      <w:tr w:rsidR="009C778C" w:rsidRPr="00F33A88" w14:paraId="19510B98" w14:textId="77777777" w:rsidTr="000650D6">
        <w:tc>
          <w:tcPr>
            <w:tcW w:w="0" w:type="auto"/>
            <w:hideMark/>
          </w:tcPr>
          <w:p w14:paraId="5570115B" w14:textId="77777777" w:rsidR="009C778C" w:rsidRPr="00F33A88" w:rsidRDefault="009C778C" w:rsidP="0068273E">
            <w:pPr>
              <w:pStyle w:val="NoSpacing"/>
              <w:rPr>
                <w:b/>
                <w:bCs/>
                <w:sz w:val="20"/>
                <w:szCs w:val="20"/>
              </w:rPr>
            </w:pPr>
            <w:proofErr w:type="spellStart"/>
            <w:r w:rsidRPr="00F33A88">
              <w:rPr>
                <w:b/>
                <w:bCs/>
                <w:sz w:val="20"/>
                <w:szCs w:val="20"/>
              </w:rPr>
              <w:t>CAPITAL_INTENSITY</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4756C5D9" w14:textId="77777777" w:rsidR="009C778C" w:rsidRPr="00F33A88" w:rsidRDefault="009C778C" w:rsidP="0068273E">
            <w:pPr>
              <w:pStyle w:val="NoSpacing"/>
              <w:rPr>
                <w:b/>
                <w:bCs/>
                <w:sz w:val="20"/>
                <w:szCs w:val="20"/>
              </w:rPr>
            </w:pPr>
          </w:p>
        </w:tc>
        <w:tc>
          <w:tcPr>
            <w:tcW w:w="0" w:type="auto"/>
            <w:hideMark/>
          </w:tcPr>
          <w:p w14:paraId="66F0DDFC" w14:textId="77777777" w:rsidR="009C778C" w:rsidRPr="00F33A88" w:rsidRDefault="009C778C" w:rsidP="0068273E">
            <w:pPr>
              <w:pStyle w:val="NoSpacing"/>
              <w:rPr>
                <w:sz w:val="20"/>
                <w:szCs w:val="20"/>
              </w:rPr>
            </w:pPr>
            <w:r w:rsidRPr="00F33A88">
              <w:rPr>
                <w:sz w:val="20"/>
                <w:szCs w:val="20"/>
              </w:rPr>
              <w:t>− 0.160***</w:t>
            </w:r>
          </w:p>
        </w:tc>
        <w:tc>
          <w:tcPr>
            <w:tcW w:w="0" w:type="auto"/>
            <w:hideMark/>
          </w:tcPr>
          <w:p w14:paraId="418109AD" w14:textId="77777777" w:rsidR="009C778C" w:rsidRPr="00F33A88" w:rsidRDefault="009C778C" w:rsidP="0068273E">
            <w:pPr>
              <w:pStyle w:val="NoSpacing"/>
              <w:rPr>
                <w:sz w:val="20"/>
                <w:szCs w:val="20"/>
              </w:rPr>
            </w:pPr>
          </w:p>
        </w:tc>
        <w:tc>
          <w:tcPr>
            <w:tcW w:w="0" w:type="auto"/>
            <w:hideMark/>
          </w:tcPr>
          <w:p w14:paraId="0E5D18BA" w14:textId="77777777" w:rsidR="009C778C" w:rsidRPr="00F33A88" w:rsidRDefault="009C778C" w:rsidP="0068273E">
            <w:pPr>
              <w:pStyle w:val="NoSpacing"/>
              <w:rPr>
                <w:sz w:val="20"/>
                <w:szCs w:val="20"/>
              </w:rPr>
            </w:pPr>
          </w:p>
        </w:tc>
        <w:tc>
          <w:tcPr>
            <w:tcW w:w="0" w:type="auto"/>
            <w:hideMark/>
          </w:tcPr>
          <w:p w14:paraId="248A5A1C" w14:textId="77777777" w:rsidR="009C778C" w:rsidRPr="00F33A88" w:rsidRDefault="009C778C" w:rsidP="0068273E">
            <w:pPr>
              <w:pStyle w:val="NoSpacing"/>
              <w:rPr>
                <w:sz w:val="20"/>
                <w:szCs w:val="20"/>
              </w:rPr>
            </w:pPr>
            <w:r w:rsidRPr="00F33A88">
              <w:rPr>
                <w:sz w:val="20"/>
                <w:szCs w:val="20"/>
              </w:rPr>
              <w:t>− 0.181***</w:t>
            </w:r>
          </w:p>
        </w:tc>
        <w:tc>
          <w:tcPr>
            <w:tcW w:w="0" w:type="auto"/>
            <w:hideMark/>
          </w:tcPr>
          <w:p w14:paraId="6AAFA309" w14:textId="77777777" w:rsidR="009C778C" w:rsidRPr="00F33A88" w:rsidRDefault="009C778C" w:rsidP="0068273E">
            <w:pPr>
              <w:pStyle w:val="NoSpacing"/>
              <w:rPr>
                <w:sz w:val="20"/>
                <w:szCs w:val="20"/>
              </w:rPr>
            </w:pPr>
            <w:r w:rsidRPr="00F33A88">
              <w:rPr>
                <w:sz w:val="20"/>
                <w:szCs w:val="20"/>
              </w:rPr>
              <w:t>− 0.186***</w:t>
            </w:r>
          </w:p>
        </w:tc>
        <w:tc>
          <w:tcPr>
            <w:tcW w:w="0" w:type="auto"/>
            <w:hideMark/>
          </w:tcPr>
          <w:p w14:paraId="6F0E7951" w14:textId="77777777" w:rsidR="009C778C" w:rsidRPr="00F33A88" w:rsidRDefault="009C778C" w:rsidP="0068273E">
            <w:pPr>
              <w:pStyle w:val="NoSpacing"/>
              <w:rPr>
                <w:sz w:val="20"/>
                <w:szCs w:val="20"/>
              </w:rPr>
            </w:pPr>
            <w:r w:rsidRPr="00F33A88">
              <w:rPr>
                <w:sz w:val="20"/>
                <w:szCs w:val="20"/>
              </w:rPr>
              <w:t>− 0.184***</w:t>
            </w:r>
          </w:p>
        </w:tc>
      </w:tr>
      <w:tr w:rsidR="009C778C" w:rsidRPr="00F33A88" w14:paraId="4E462E91" w14:textId="77777777" w:rsidTr="000650D6">
        <w:tc>
          <w:tcPr>
            <w:tcW w:w="0" w:type="auto"/>
            <w:hideMark/>
          </w:tcPr>
          <w:p w14:paraId="553680BD" w14:textId="77777777" w:rsidR="009C778C" w:rsidRPr="00F33A88" w:rsidRDefault="009C778C" w:rsidP="0068273E">
            <w:pPr>
              <w:pStyle w:val="NoSpacing"/>
              <w:rPr>
                <w:b/>
                <w:bCs/>
                <w:sz w:val="20"/>
                <w:szCs w:val="20"/>
              </w:rPr>
            </w:pPr>
          </w:p>
        </w:tc>
        <w:tc>
          <w:tcPr>
            <w:tcW w:w="0" w:type="auto"/>
            <w:hideMark/>
          </w:tcPr>
          <w:p w14:paraId="26F5A72E" w14:textId="77777777" w:rsidR="009C778C" w:rsidRPr="00F33A88" w:rsidRDefault="009C778C" w:rsidP="0068273E">
            <w:pPr>
              <w:pStyle w:val="NoSpacing"/>
              <w:rPr>
                <w:b/>
                <w:bCs/>
                <w:sz w:val="20"/>
                <w:szCs w:val="20"/>
              </w:rPr>
            </w:pPr>
          </w:p>
        </w:tc>
        <w:tc>
          <w:tcPr>
            <w:tcW w:w="0" w:type="auto"/>
            <w:hideMark/>
          </w:tcPr>
          <w:p w14:paraId="391B655B" w14:textId="77777777" w:rsidR="009C778C" w:rsidRPr="00F33A88" w:rsidRDefault="009C778C" w:rsidP="0068273E">
            <w:pPr>
              <w:pStyle w:val="NoSpacing"/>
              <w:rPr>
                <w:sz w:val="20"/>
                <w:szCs w:val="20"/>
              </w:rPr>
            </w:pPr>
            <w:r w:rsidRPr="00F33A88">
              <w:rPr>
                <w:sz w:val="20"/>
                <w:szCs w:val="20"/>
              </w:rPr>
              <w:t>(− 13.63)</w:t>
            </w:r>
          </w:p>
        </w:tc>
        <w:tc>
          <w:tcPr>
            <w:tcW w:w="0" w:type="auto"/>
            <w:hideMark/>
          </w:tcPr>
          <w:p w14:paraId="6B0C1F22" w14:textId="77777777" w:rsidR="009C778C" w:rsidRPr="00F33A88" w:rsidRDefault="009C778C" w:rsidP="0068273E">
            <w:pPr>
              <w:pStyle w:val="NoSpacing"/>
              <w:rPr>
                <w:sz w:val="20"/>
                <w:szCs w:val="20"/>
              </w:rPr>
            </w:pPr>
          </w:p>
        </w:tc>
        <w:tc>
          <w:tcPr>
            <w:tcW w:w="0" w:type="auto"/>
            <w:hideMark/>
          </w:tcPr>
          <w:p w14:paraId="4B135BB4" w14:textId="77777777" w:rsidR="009C778C" w:rsidRPr="00F33A88" w:rsidRDefault="009C778C" w:rsidP="0068273E">
            <w:pPr>
              <w:pStyle w:val="NoSpacing"/>
              <w:rPr>
                <w:sz w:val="20"/>
                <w:szCs w:val="20"/>
              </w:rPr>
            </w:pPr>
          </w:p>
        </w:tc>
        <w:tc>
          <w:tcPr>
            <w:tcW w:w="0" w:type="auto"/>
            <w:hideMark/>
          </w:tcPr>
          <w:p w14:paraId="40B1E813" w14:textId="77777777" w:rsidR="009C778C" w:rsidRPr="00F33A88" w:rsidRDefault="009C778C" w:rsidP="0068273E">
            <w:pPr>
              <w:pStyle w:val="NoSpacing"/>
              <w:rPr>
                <w:sz w:val="20"/>
                <w:szCs w:val="20"/>
              </w:rPr>
            </w:pPr>
            <w:r w:rsidRPr="00F33A88">
              <w:rPr>
                <w:sz w:val="20"/>
                <w:szCs w:val="20"/>
              </w:rPr>
              <w:t>(− 16.52)</w:t>
            </w:r>
          </w:p>
        </w:tc>
        <w:tc>
          <w:tcPr>
            <w:tcW w:w="0" w:type="auto"/>
            <w:hideMark/>
          </w:tcPr>
          <w:p w14:paraId="0420F906" w14:textId="77777777" w:rsidR="009C778C" w:rsidRPr="00F33A88" w:rsidRDefault="009C778C" w:rsidP="0068273E">
            <w:pPr>
              <w:pStyle w:val="NoSpacing"/>
              <w:rPr>
                <w:sz w:val="20"/>
                <w:szCs w:val="20"/>
              </w:rPr>
            </w:pPr>
            <w:r w:rsidRPr="00F33A88">
              <w:rPr>
                <w:sz w:val="20"/>
                <w:szCs w:val="20"/>
              </w:rPr>
              <w:t>(− 16.98)</w:t>
            </w:r>
          </w:p>
        </w:tc>
        <w:tc>
          <w:tcPr>
            <w:tcW w:w="0" w:type="auto"/>
            <w:hideMark/>
          </w:tcPr>
          <w:p w14:paraId="7FFDFFAB" w14:textId="77777777" w:rsidR="009C778C" w:rsidRPr="00F33A88" w:rsidRDefault="009C778C" w:rsidP="0068273E">
            <w:pPr>
              <w:pStyle w:val="NoSpacing"/>
              <w:rPr>
                <w:sz w:val="20"/>
                <w:szCs w:val="20"/>
              </w:rPr>
            </w:pPr>
            <w:r w:rsidRPr="00F33A88">
              <w:rPr>
                <w:sz w:val="20"/>
                <w:szCs w:val="20"/>
              </w:rPr>
              <w:t>(− 16.79)</w:t>
            </w:r>
          </w:p>
        </w:tc>
      </w:tr>
      <w:tr w:rsidR="009C778C" w:rsidRPr="00F33A88" w14:paraId="21F93398" w14:textId="77777777" w:rsidTr="000650D6">
        <w:tc>
          <w:tcPr>
            <w:tcW w:w="0" w:type="auto"/>
            <w:hideMark/>
          </w:tcPr>
          <w:p w14:paraId="75755CCB" w14:textId="77777777" w:rsidR="009C778C" w:rsidRPr="00F33A88" w:rsidRDefault="009C778C" w:rsidP="0068273E">
            <w:pPr>
              <w:pStyle w:val="NoSpacing"/>
              <w:rPr>
                <w:b/>
                <w:bCs/>
                <w:sz w:val="20"/>
                <w:szCs w:val="20"/>
              </w:rPr>
            </w:pPr>
            <w:proofErr w:type="spellStart"/>
            <w:r w:rsidRPr="00F33A88">
              <w:rPr>
                <w:b/>
                <w:bCs/>
                <w:sz w:val="20"/>
                <w:szCs w:val="20"/>
              </w:rPr>
              <w:t>ANALYST</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3275DC12" w14:textId="77777777" w:rsidR="009C778C" w:rsidRPr="00F33A88" w:rsidRDefault="009C778C" w:rsidP="0068273E">
            <w:pPr>
              <w:pStyle w:val="NoSpacing"/>
              <w:rPr>
                <w:b/>
                <w:bCs/>
                <w:sz w:val="20"/>
                <w:szCs w:val="20"/>
              </w:rPr>
            </w:pPr>
          </w:p>
        </w:tc>
        <w:tc>
          <w:tcPr>
            <w:tcW w:w="0" w:type="auto"/>
            <w:hideMark/>
          </w:tcPr>
          <w:p w14:paraId="6E886FFC" w14:textId="77777777" w:rsidR="009C778C" w:rsidRPr="00F33A88" w:rsidRDefault="009C778C" w:rsidP="0068273E">
            <w:pPr>
              <w:pStyle w:val="NoSpacing"/>
              <w:rPr>
                <w:sz w:val="20"/>
                <w:szCs w:val="20"/>
              </w:rPr>
            </w:pPr>
            <w:r w:rsidRPr="00F33A88">
              <w:rPr>
                <w:sz w:val="20"/>
                <w:szCs w:val="20"/>
              </w:rPr>
              <w:t>− 0.010***</w:t>
            </w:r>
          </w:p>
        </w:tc>
        <w:tc>
          <w:tcPr>
            <w:tcW w:w="0" w:type="auto"/>
            <w:hideMark/>
          </w:tcPr>
          <w:p w14:paraId="033D0166" w14:textId="77777777" w:rsidR="009C778C" w:rsidRPr="00F33A88" w:rsidRDefault="009C778C" w:rsidP="0068273E">
            <w:pPr>
              <w:pStyle w:val="NoSpacing"/>
              <w:rPr>
                <w:sz w:val="20"/>
                <w:szCs w:val="20"/>
              </w:rPr>
            </w:pPr>
          </w:p>
        </w:tc>
        <w:tc>
          <w:tcPr>
            <w:tcW w:w="0" w:type="auto"/>
            <w:hideMark/>
          </w:tcPr>
          <w:p w14:paraId="566B5A6E" w14:textId="77777777" w:rsidR="009C778C" w:rsidRPr="00F33A88" w:rsidRDefault="009C778C" w:rsidP="0068273E">
            <w:pPr>
              <w:pStyle w:val="NoSpacing"/>
              <w:rPr>
                <w:sz w:val="20"/>
                <w:szCs w:val="20"/>
              </w:rPr>
            </w:pPr>
          </w:p>
        </w:tc>
        <w:tc>
          <w:tcPr>
            <w:tcW w:w="0" w:type="auto"/>
            <w:hideMark/>
          </w:tcPr>
          <w:p w14:paraId="6F790687" w14:textId="77777777" w:rsidR="009C778C" w:rsidRPr="00F33A88" w:rsidRDefault="009C778C" w:rsidP="0068273E">
            <w:pPr>
              <w:pStyle w:val="NoSpacing"/>
              <w:rPr>
                <w:sz w:val="20"/>
                <w:szCs w:val="20"/>
              </w:rPr>
            </w:pPr>
            <w:r w:rsidRPr="00F33A88">
              <w:rPr>
                <w:sz w:val="20"/>
                <w:szCs w:val="20"/>
              </w:rPr>
              <w:t>− 0.063***</w:t>
            </w:r>
          </w:p>
        </w:tc>
        <w:tc>
          <w:tcPr>
            <w:tcW w:w="0" w:type="auto"/>
            <w:hideMark/>
          </w:tcPr>
          <w:p w14:paraId="10FC4E59" w14:textId="77777777" w:rsidR="009C778C" w:rsidRPr="00F33A88" w:rsidRDefault="009C778C" w:rsidP="0068273E">
            <w:pPr>
              <w:pStyle w:val="NoSpacing"/>
              <w:rPr>
                <w:sz w:val="20"/>
                <w:szCs w:val="20"/>
              </w:rPr>
            </w:pPr>
            <w:r w:rsidRPr="00F33A88">
              <w:rPr>
                <w:sz w:val="20"/>
                <w:szCs w:val="20"/>
              </w:rPr>
              <w:t>− 0.056***</w:t>
            </w:r>
          </w:p>
        </w:tc>
        <w:tc>
          <w:tcPr>
            <w:tcW w:w="0" w:type="auto"/>
            <w:hideMark/>
          </w:tcPr>
          <w:p w14:paraId="3A5675FD" w14:textId="77777777" w:rsidR="009C778C" w:rsidRPr="00F33A88" w:rsidRDefault="009C778C" w:rsidP="0068273E">
            <w:pPr>
              <w:pStyle w:val="NoSpacing"/>
              <w:rPr>
                <w:sz w:val="20"/>
                <w:szCs w:val="20"/>
              </w:rPr>
            </w:pPr>
            <w:r w:rsidRPr="00F33A88">
              <w:rPr>
                <w:sz w:val="20"/>
                <w:szCs w:val="20"/>
              </w:rPr>
              <w:t>− 0.058***</w:t>
            </w:r>
          </w:p>
        </w:tc>
      </w:tr>
      <w:tr w:rsidR="009C778C" w:rsidRPr="00F33A88" w14:paraId="455017D5" w14:textId="77777777" w:rsidTr="000650D6">
        <w:tc>
          <w:tcPr>
            <w:tcW w:w="0" w:type="auto"/>
            <w:hideMark/>
          </w:tcPr>
          <w:p w14:paraId="703D0909" w14:textId="77777777" w:rsidR="009C778C" w:rsidRPr="00F33A88" w:rsidRDefault="009C778C" w:rsidP="0068273E">
            <w:pPr>
              <w:pStyle w:val="NoSpacing"/>
              <w:rPr>
                <w:b/>
                <w:bCs/>
                <w:sz w:val="20"/>
                <w:szCs w:val="20"/>
              </w:rPr>
            </w:pPr>
          </w:p>
        </w:tc>
        <w:tc>
          <w:tcPr>
            <w:tcW w:w="0" w:type="auto"/>
            <w:hideMark/>
          </w:tcPr>
          <w:p w14:paraId="70908EA9" w14:textId="77777777" w:rsidR="009C778C" w:rsidRPr="00F33A88" w:rsidRDefault="009C778C" w:rsidP="0068273E">
            <w:pPr>
              <w:pStyle w:val="NoSpacing"/>
              <w:rPr>
                <w:b/>
                <w:bCs/>
                <w:sz w:val="20"/>
                <w:szCs w:val="20"/>
              </w:rPr>
            </w:pPr>
          </w:p>
        </w:tc>
        <w:tc>
          <w:tcPr>
            <w:tcW w:w="0" w:type="auto"/>
            <w:hideMark/>
          </w:tcPr>
          <w:p w14:paraId="74BDD4EA" w14:textId="77777777" w:rsidR="009C778C" w:rsidRPr="00F33A88" w:rsidRDefault="009C778C" w:rsidP="0068273E">
            <w:pPr>
              <w:pStyle w:val="NoSpacing"/>
              <w:rPr>
                <w:sz w:val="20"/>
                <w:szCs w:val="20"/>
              </w:rPr>
            </w:pPr>
            <w:r w:rsidRPr="00F33A88">
              <w:rPr>
                <w:sz w:val="20"/>
                <w:szCs w:val="20"/>
              </w:rPr>
              <w:t>(− 2.92)</w:t>
            </w:r>
          </w:p>
        </w:tc>
        <w:tc>
          <w:tcPr>
            <w:tcW w:w="0" w:type="auto"/>
            <w:hideMark/>
          </w:tcPr>
          <w:p w14:paraId="319E0806" w14:textId="77777777" w:rsidR="009C778C" w:rsidRPr="00F33A88" w:rsidRDefault="009C778C" w:rsidP="0068273E">
            <w:pPr>
              <w:pStyle w:val="NoSpacing"/>
              <w:rPr>
                <w:sz w:val="20"/>
                <w:szCs w:val="20"/>
              </w:rPr>
            </w:pPr>
          </w:p>
        </w:tc>
        <w:tc>
          <w:tcPr>
            <w:tcW w:w="0" w:type="auto"/>
            <w:hideMark/>
          </w:tcPr>
          <w:p w14:paraId="16A6A121" w14:textId="77777777" w:rsidR="009C778C" w:rsidRPr="00F33A88" w:rsidRDefault="009C778C" w:rsidP="0068273E">
            <w:pPr>
              <w:pStyle w:val="NoSpacing"/>
              <w:rPr>
                <w:sz w:val="20"/>
                <w:szCs w:val="20"/>
              </w:rPr>
            </w:pPr>
          </w:p>
        </w:tc>
        <w:tc>
          <w:tcPr>
            <w:tcW w:w="0" w:type="auto"/>
            <w:hideMark/>
          </w:tcPr>
          <w:p w14:paraId="11802564" w14:textId="77777777" w:rsidR="009C778C" w:rsidRPr="00F33A88" w:rsidRDefault="009C778C" w:rsidP="0068273E">
            <w:pPr>
              <w:pStyle w:val="NoSpacing"/>
              <w:rPr>
                <w:sz w:val="20"/>
                <w:szCs w:val="20"/>
              </w:rPr>
            </w:pPr>
            <w:r w:rsidRPr="00F33A88">
              <w:rPr>
                <w:sz w:val="20"/>
                <w:szCs w:val="20"/>
              </w:rPr>
              <w:t>(− 20.35)</w:t>
            </w:r>
          </w:p>
        </w:tc>
        <w:tc>
          <w:tcPr>
            <w:tcW w:w="0" w:type="auto"/>
            <w:hideMark/>
          </w:tcPr>
          <w:p w14:paraId="7C271BDB" w14:textId="77777777" w:rsidR="009C778C" w:rsidRPr="00F33A88" w:rsidRDefault="009C778C" w:rsidP="0068273E">
            <w:pPr>
              <w:pStyle w:val="NoSpacing"/>
              <w:rPr>
                <w:sz w:val="20"/>
                <w:szCs w:val="20"/>
              </w:rPr>
            </w:pPr>
            <w:r w:rsidRPr="00F33A88">
              <w:rPr>
                <w:sz w:val="20"/>
                <w:szCs w:val="20"/>
              </w:rPr>
              <w:t>(− 17.77)</w:t>
            </w:r>
          </w:p>
        </w:tc>
        <w:tc>
          <w:tcPr>
            <w:tcW w:w="0" w:type="auto"/>
            <w:hideMark/>
          </w:tcPr>
          <w:p w14:paraId="0364990C" w14:textId="77777777" w:rsidR="009C778C" w:rsidRPr="00F33A88" w:rsidRDefault="009C778C" w:rsidP="0068273E">
            <w:pPr>
              <w:pStyle w:val="NoSpacing"/>
              <w:rPr>
                <w:sz w:val="20"/>
                <w:szCs w:val="20"/>
              </w:rPr>
            </w:pPr>
            <w:r w:rsidRPr="00F33A88">
              <w:rPr>
                <w:sz w:val="20"/>
                <w:szCs w:val="20"/>
              </w:rPr>
              <w:t>(− 18.26)</w:t>
            </w:r>
          </w:p>
        </w:tc>
      </w:tr>
      <w:tr w:rsidR="009C778C" w:rsidRPr="00F33A88" w14:paraId="5F425B8D" w14:textId="77777777" w:rsidTr="000650D6">
        <w:tc>
          <w:tcPr>
            <w:tcW w:w="0" w:type="auto"/>
            <w:hideMark/>
          </w:tcPr>
          <w:p w14:paraId="2CAF223E" w14:textId="77777777" w:rsidR="009C778C" w:rsidRPr="00F33A88" w:rsidRDefault="009C778C" w:rsidP="0068273E">
            <w:pPr>
              <w:pStyle w:val="NoSpacing"/>
              <w:rPr>
                <w:b/>
                <w:bCs/>
                <w:sz w:val="20"/>
                <w:szCs w:val="20"/>
              </w:rPr>
            </w:pPr>
            <w:proofErr w:type="spellStart"/>
            <w:r w:rsidRPr="00F33A88">
              <w:rPr>
                <w:b/>
                <w:bCs/>
                <w:sz w:val="20"/>
                <w:szCs w:val="20"/>
              </w:rPr>
              <w:t>ACC_STANDARD</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55C17286" w14:textId="77777777" w:rsidR="009C778C" w:rsidRPr="00F33A88" w:rsidRDefault="009C778C" w:rsidP="0068273E">
            <w:pPr>
              <w:pStyle w:val="NoSpacing"/>
              <w:rPr>
                <w:b/>
                <w:bCs/>
                <w:sz w:val="20"/>
                <w:szCs w:val="20"/>
              </w:rPr>
            </w:pPr>
          </w:p>
        </w:tc>
        <w:tc>
          <w:tcPr>
            <w:tcW w:w="0" w:type="auto"/>
            <w:hideMark/>
          </w:tcPr>
          <w:p w14:paraId="79535BE3" w14:textId="77777777" w:rsidR="009C778C" w:rsidRPr="00F33A88" w:rsidRDefault="009C778C" w:rsidP="0068273E">
            <w:pPr>
              <w:pStyle w:val="NoSpacing"/>
              <w:rPr>
                <w:sz w:val="20"/>
                <w:szCs w:val="20"/>
              </w:rPr>
            </w:pPr>
            <w:r w:rsidRPr="00F33A88">
              <w:rPr>
                <w:sz w:val="20"/>
                <w:szCs w:val="20"/>
              </w:rPr>
              <w:t>0.035***</w:t>
            </w:r>
          </w:p>
        </w:tc>
        <w:tc>
          <w:tcPr>
            <w:tcW w:w="0" w:type="auto"/>
            <w:hideMark/>
          </w:tcPr>
          <w:p w14:paraId="0DF9122C" w14:textId="77777777" w:rsidR="009C778C" w:rsidRPr="00F33A88" w:rsidRDefault="009C778C" w:rsidP="0068273E">
            <w:pPr>
              <w:pStyle w:val="NoSpacing"/>
              <w:rPr>
                <w:sz w:val="20"/>
                <w:szCs w:val="20"/>
              </w:rPr>
            </w:pPr>
          </w:p>
        </w:tc>
        <w:tc>
          <w:tcPr>
            <w:tcW w:w="0" w:type="auto"/>
            <w:hideMark/>
          </w:tcPr>
          <w:p w14:paraId="273ADB75" w14:textId="77777777" w:rsidR="009C778C" w:rsidRPr="00F33A88" w:rsidRDefault="009C778C" w:rsidP="0068273E">
            <w:pPr>
              <w:pStyle w:val="NoSpacing"/>
              <w:rPr>
                <w:sz w:val="20"/>
                <w:szCs w:val="20"/>
              </w:rPr>
            </w:pPr>
          </w:p>
        </w:tc>
        <w:tc>
          <w:tcPr>
            <w:tcW w:w="0" w:type="auto"/>
            <w:hideMark/>
          </w:tcPr>
          <w:p w14:paraId="1801D732" w14:textId="77777777" w:rsidR="009C778C" w:rsidRPr="00F33A88" w:rsidRDefault="009C778C" w:rsidP="0068273E">
            <w:pPr>
              <w:pStyle w:val="NoSpacing"/>
              <w:rPr>
                <w:sz w:val="20"/>
                <w:szCs w:val="20"/>
              </w:rPr>
            </w:pPr>
            <w:r w:rsidRPr="00F33A88">
              <w:rPr>
                <w:sz w:val="20"/>
                <w:szCs w:val="20"/>
              </w:rPr>
              <w:t>0.089***</w:t>
            </w:r>
          </w:p>
        </w:tc>
        <w:tc>
          <w:tcPr>
            <w:tcW w:w="0" w:type="auto"/>
            <w:hideMark/>
          </w:tcPr>
          <w:p w14:paraId="19A95BC7" w14:textId="77777777" w:rsidR="009C778C" w:rsidRPr="00F33A88" w:rsidRDefault="009C778C" w:rsidP="0068273E">
            <w:pPr>
              <w:pStyle w:val="NoSpacing"/>
              <w:rPr>
                <w:sz w:val="20"/>
                <w:szCs w:val="20"/>
              </w:rPr>
            </w:pPr>
            <w:r w:rsidRPr="00F33A88">
              <w:rPr>
                <w:sz w:val="20"/>
                <w:szCs w:val="20"/>
              </w:rPr>
              <w:t>0.102***</w:t>
            </w:r>
          </w:p>
        </w:tc>
        <w:tc>
          <w:tcPr>
            <w:tcW w:w="0" w:type="auto"/>
            <w:hideMark/>
          </w:tcPr>
          <w:p w14:paraId="1132A721" w14:textId="77777777" w:rsidR="009C778C" w:rsidRPr="00F33A88" w:rsidRDefault="009C778C" w:rsidP="0068273E">
            <w:pPr>
              <w:pStyle w:val="NoSpacing"/>
              <w:rPr>
                <w:sz w:val="20"/>
                <w:szCs w:val="20"/>
              </w:rPr>
            </w:pPr>
            <w:r w:rsidRPr="00F33A88">
              <w:rPr>
                <w:sz w:val="20"/>
                <w:szCs w:val="20"/>
              </w:rPr>
              <w:t>0.100***</w:t>
            </w:r>
          </w:p>
        </w:tc>
      </w:tr>
      <w:tr w:rsidR="009C778C" w:rsidRPr="00F33A88" w14:paraId="19B57D25" w14:textId="77777777" w:rsidTr="000650D6">
        <w:tc>
          <w:tcPr>
            <w:tcW w:w="0" w:type="auto"/>
            <w:hideMark/>
          </w:tcPr>
          <w:p w14:paraId="0FBF23C4" w14:textId="77777777" w:rsidR="009C778C" w:rsidRPr="00F33A88" w:rsidRDefault="009C778C" w:rsidP="0068273E">
            <w:pPr>
              <w:pStyle w:val="NoSpacing"/>
              <w:rPr>
                <w:b/>
                <w:bCs/>
                <w:sz w:val="20"/>
                <w:szCs w:val="20"/>
              </w:rPr>
            </w:pPr>
          </w:p>
        </w:tc>
        <w:tc>
          <w:tcPr>
            <w:tcW w:w="0" w:type="auto"/>
            <w:hideMark/>
          </w:tcPr>
          <w:p w14:paraId="32CBCD20" w14:textId="77777777" w:rsidR="009C778C" w:rsidRPr="00F33A88" w:rsidRDefault="009C778C" w:rsidP="0068273E">
            <w:pPr>
              <w:pStyle w:val="NoSpacing"/>
              <w:rPr>
                <w:b/>
                <w:bCs/>
                <w:sz w:val="20"/>
                <w:szCs w:val="20"/>
              </w:rPr>
            </w:pPr>
          </w:p>
        </w:tc>
        <w:tc>
          <w:tcPr>
            <w:tcW w:w="0" w:type="auto"/>
            <w:hideMark/>
          </w:tcPr>
          <w:p w14:paraId="4F8923EF" w14:textId="77777777" w:rsidR="009C778C" w:rsidRPr="00F33A88" w:rsidRDefault="009C778C" w:rsidP="0068273E">
            <w:pPr>
              <w:pStyle w:val="NoSpacing"/>
              <w:rPr>
                <w:sz w:val="20"/>
                <w:szCs w:val="20"/>
              </w:rPr>
            </w:pPr>
            <w:r w:rsidRPr="00F33A88">
              <w:rPr>
                <w:sz w:val="20"/>
                <w:szCs w:val="20"/>
              </w:rPr>
              <w:t>(2.73)</w:t>
            </w:r>
          </w:p>
        </w:tc>
        <w:tc>
          <w:tcPr>
            <w:tcW w:w="0" w:type="auto"/>
            <w:hideMark/>
          </w:tcPr>
          <w:p w14:paraId="5B346376" w14:textId="77777777" w:rsidR="009C778C" w:rsidRPr="00F33A88" w:rsidRDefault="009C778C" w:rsidP="0068273E">
            <w:pPr>
              <w:pStyle w:val="NoSpacing"/>
              <w:rPr>
                <w:sz w:val="20"/>
                <w:szCs w:val="20"/>
              </w:rPr>
            </w:pPr>
          </w:p>
        </w:tc>
        <w:tc>
          <w:tcPr>
            <w:tcW w:w="0" w:type="auto"/>
            <w:hideMark/>
          </w:tcPr>
          <w:p w14:paraId="03D88554" w14:textId="77777777" w:rsidR="009C778C" w:rsidRPr="00F33A88" w:rsidRDefault="009C778C" w:rsidP="0068273E">
            <w:pPr>
              <w:pStyle w:val="NoSpacing"/>
              <w:rPr>
                <w:sz w:val="20"/>
                <w:szCs w:val="20"/>
              </w:rPr>
            </w:pPr>
          </w:p>
        </w:tc>
        <w:tc>
          <w:tcPr>
            <w:tcW w:w="0" w:type="auto"/>
            <w:hideMark/>
          </w:tcPr>
          <w:p w14:paraId="247FAABA" w14:textId="77777777" w:rsidR="009C778C" w:rsidRPr="00F33A88" w:rsidRDefault="009C778C" w:rsidP="0068273E">
            <w:pPr>
              <w:pStyle w:val="NoSpacing"/>
              <w:rPr>
                <w:sz w:val="20"/>
                <w:szCs w:val="20"/>
              </w:rPr>
            </w:pPr>
            <w:r w:rsidRPr="00F33A88">
              <w:rPr>
                <w:sz w:val="20"/>
                <w:szCs w:val="20"/>
              </w:rPr>
              <w:t>(8.72)</w:t>
            </w:r>
          </w:p>
        </w:tc>
        <w:tc>
          <w:tcPr>
            <w:tcW w:w="0" w:type="auto"/>
            <w:hideMark/>
          </w:tcPr>
          <w:p w14:paraId="50C578C9" w14:textId="77777777" w:rsidR="009C778C" w:rsidRPr="00F33A88" w:rsidRDefault="009C778C" w:rsidP="0068273E">
            <w:pPr>
              <w:pStyle w:val="NoSpacing"/>
              <w:rPr>
                <w:sz w:val="20"/>
                <w:szCs w:val="20"/>
              </w:rPr>
            </w:pPr>
            <w:r w:rsidRPr="00F33A88">
              <w:rPr>
                <w:sz w:val="20"/>
                <w:szCs w:val="20"/>
              </w:rPr>
              <w:t>(9.74)</w:t>
            </w:r>
          </w:p>
        </w:tc>
        <w:tc>
          <w:tcPr>
            <w:tcW w:w="0" w:type="auto"/>
            <w:hideMark/>
          </w:tcPr>
          <w:p w14:paraId="42B7A158" w14:textId="77777777" w:rsidR="009C778C" w:rsidRPr="00F33A88" w:rsidRDefault="009C778C" w:rsidP="0068273E">
            <w:pPr>
              <w:pStyle w:val="NoSpacing"/>
              <w:rPr>
                <w:sz w:val="20"/>
                <w:szCs w:val="20"/>
              </w:rPr>
            </w:pPr>
            <w:r w:rsidRPr="00F33A88">
              <w:rPr>
                <w:sz w:val="20"/>
                <w:szCs w:val="20"/>
              </w:rPr>
              <w:t>(9.61)</w:t>
            </w:r>
          </w:p>
        </w:tc>
      </w:tr>
      <w:tr w:rsidR="009C778C" w:rsidRPr="00F33A88" w14:paraId="727B569F" w14:textId="77777777" w:rsidTr="000650D6">
        <w:tc>
          <w:tcPr>
            <w:tcW w:w="0" w:type="auto"/>
            <w:hideMark/>
          </w:tcPr>
          <w:p w14:paraId="628EB58D" w14:textId="77777777" w:rsidR="009C778C" w:rsidRPr="00F33A88" w:rsidRDefault="009C778C" w:rsidP="0068273E">
            <w:pPr>
              <w:pStyle w:val="NoSpacing"/>
              <w:rPr>
                <w:b/>
                <w:bCs/>
                <w:sz w:val="20"/>
                <w:szCs w:val="20"/>
              </w:rPr>
            </w:pPr>
            <w:proofErr w:type="spellStart"/>
            <w:r w:rsidRPr="00F33A88">
              <w:rPr>
                <w:b/>
                <w:bCs/>
                <w:sz w:val="20"/>
                <w:szCs w:val="20"/>
              </w:rPr>
              <w:t>GDPGROWTH</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17D7DC82" w14:textId="77777777" w:rsidR="009C778C" w:rsidRPr="00F33A88" w:rsidRDefault="009C778C" w:rsidP="0068273E">
            <w:pPr>
              <w:pStyle w:val="NoSpacing"/>
              <w:rPr>
                <w:b/>
                <w:bCs/>
                <w:sz w:val="20"/>
                <w:szCs w:val="20"/>
              </w:rPr>
            </w:pPr>
          </w:p>
        </w:tc>
        <w:tc>
          <w:tcPr>
            <w:tcW w:w="0" w:type="auto"/>
            <w:hideMark/>
          </w:tcPr>
          <w:p w14:paraId="4F332B7C" w14:textId="77777777" w:rsidR="009C778C" w:rsidRPr="00F33A88" w:rsidRDefault="009C778C" w:rsidP="0068273E">
            <w:pPr>
              <w:pStyle w:val="NoSpacing"/>
              <w:rPr>
                <w:sz w:val="20"/>
                <w:szCs w:val="20"/>
              </w:rPr>
            </w:pPr>
            <w:r w:rsidRPr="00F33A88">
              <w:rPr>
                <w:sz w:val="20"/>
                <w:szCs w:val="20"/>
              </w:rPr>
              <w:t>− 0.418</w:t>
            </w:r>
          </w:p>
        </w:tc>
        <w:tc>
          <w:tcPr>
            <w:tcW w:w="0" w:type="auto"/>
            <w:hideMark/>
          </w:tcPr>
          <w:p w14:paraId="79182017" w14:textId="77777777" w:rsidR="009C778C" w:rsidRPr="00F33A88" w:rsidRDefault="009C778C" w:rsidP="0068273E">
            <w:pPr>
              <w:pStyle w:val="NoSpacing"/>
              <w:rPr>
                <w:sz w:val="20"/>
                <w:szCs w:val="20"/>
              </w:rPr>
            </w:pPr>
          </w:p>
        </w:tc>
        <w:tc>
          <w:tcPr>
            <w:tcW w:w="0" w:type="auto"/>
            <w:hideMark/>
          </w:tcPr>
          <w:p w14:paraId="2D940FB6" w14:textId="77777777" w:rsidR="009C778C" w:rsidRPr="00F33A88" w:rsidRDefault="009C778C" w:rsidP="0068273E">
            <w:pPr>
              <w:pStyle w:val="NoSpacing"/>
              <w:rPr>
                <w:sz w:val="20"/>
                <w:szCs w:val="20"/>
              </w:rPr>
            </w:pPr>
          </w:p>
        </w:tc>
        <w:tc>
          <w:tcPr>
            <w:tcW w:w="0" w:type="auto"/>
            <w:hideMark/>
          </w:tcPr>
          <w:p w14:paraId="242B8E9D" w14:textId="77777777" w:rsidR="009C778C" w:rsidRPr="00F33A88" w:rsidRDefault="009C778C" w:rsidP="0068273E">
            <w:pPr>
              <w:pStyle w:val="NoSpacing"/>
              <w:rPr>
                <w:sz w:val="20"/>
                <w:szCs w:val="20"/>
              </w:rPr>
            </w:pPr>
            <w:r w:rsidRPr="00F33A88">
              <w:rPr>
                <w:sz w:val="20"/>
                <w:szCs w:val="20"/>
              </w:rPr>
              <w:t>0.259</w:t>
            </w:r>
          </w:p>
        </w:tc>
        <w:tc>
          <w:tcPr>
            <w:tcW w:w="0" w:type="auto"/>
            <w:hideMark/>
          </w:tcPr>
          <w:p w14:paraId="360ADA2D" w14:textId="77777777" w:rsidR="009C778C" w:rsidRPr="00F33A88" w:rsidRDefault="009C778C" w:rsidP="0068273E">
            <w:pPr>
              <w:pStyle w:val="NoSpacing"/>
              <w:rPr>
                <w:sz w:val="20"/>
                <w:szCs w:val="20"/>
              </w:rPr>
            </w:pPr>
            <w:r w:rsidRPr="00F33A88">
              <w:rPr>
                <w:sz w:val="20"/>
                <w:szCs w:val="20"/>
              </w:rPr>
              <w:t>0.217</w:t>
            </w:r>
          </w:p>
        </w:tc>
        <w:tc>
          <w:tcPr>
            <w:tcW w:w="0" w:type="auto"/>
            <w:hideMark/>
          </w:tcPr>
          <w:p w14:paraId="5960D294" w14:textId="77777777" w:rsidR="009C778C" w:rsidRPr="00F33A88" w:rsidRDefault="009C778C" w:rsidP="0068273E">
            <w:pPr>
              <w:pStyle w:val="NoSpacing"/>
              <w:rPr>
                <w:sz w:val="20"/>
                <w:szCs w:val="20"/>
              </w:rPr>
            </w:pPr>
            <w:r w:rsidRPr="00F33A88">
              <w:rPr>
                <w:sz w:val="20"/>
                <w:szCs w:val="20"/>
              </w:rPr>
              <w:t>0.186</w:t>
            </w:r>
          </w:p>
        </w:tc>
      </w:tr>
      <w:tr w:rsidR="009C778C" w:rsidRPr="00F33A88" w14:paraId="1FE9EFF6" w14:textId="77777777" w:rsidTr="000650D6">
        <w:tc>
          <w:tcPr>
            <w:tcW w:w="0" w:type="auto"/>
            <w:hideMark/>
          </w:tcPr>
          <w:p w14:paraId="00B71052" w14:textId="77777777" w:rsidR="009C778C" w:rsidRPr="00F33A88" w:rsidRDefault="009C778C" w:rsidP="0068273E">
            <w:pPr>
              <w:pStyle w:val="NoSpacing"/>
              <w:rPr>
                <w:b/>
                <w:bCs/>
                <w:sz w:val="20"/>
                <w:szCs w:val="20"/>
              </w:rPr>
            </w:pPr>
          </w:p>
        </w:tc>
        <w:tc>
          <w:tcPr>
            <w:tcW w:w="0" w:type="auto"/>
            <w:hideMark/>
          </w:tcPr>
          <w:p w14:paraId="09F9C553" w14:textId="77777777" w:rsidR="009C778C" w:rsidRPr="00F33A88" w:rsidRDefault="009C778C" w:rsidP="0068273E">
            <w:pPr>
              <w:pStyle w:val="NoSpacing"/>
              <w:rPr>
                <w:b/>
                <w:bCs/>
                <w:sz w:val="20"/>
                <w:szCs w:val="20"/>
              </w:rPr>
            </w:pPr>
          </w:p>
        </w:tc>
        <w:tc>
          <w:tcPr>
            <w:tcW w:w="0" w:type="auto"/>
            <w:hideMark/>
          </w:tcPr>
          <w:p w14:paraId="4E13C916" w14:textId="77777777" w:rsidR="009C778C" w:rsidRPr="00F33A88" w:rsidRDefault="009C778C" w:rsidP="0068273E">
            <w:pPr>
              <w:pStyle w:val="NoSpacing"/>
              <w:rPr>
                <w:sz w:val="20"/>
                <w:szCs w:val="20"/>
              </w:rPr>
            </w:pPr>
            <w:r w:rsidRPr="00F33A88">
              <w:rPr>
                <w:sz w:val="20"/>
                <w:szCs w:val="20"/>
              </w:rPr>
              <w:t>(− 1.60)</w:t>
            </w:r>
          </w:p>
        </w:tc>
        <w:tc>
          <w:tcPr>
            <w:tcW w:w="0" w:type="auto"/>
            <w:hideMark/>
          </w:tcPr>
          <w:p w14:paraId="68161E5B" w14:textId="77777777" w:rsidR="009C778C" w:rsidRPr="00F33A88" w:rsidRDefault="009C778C" w:rsidP="0068273E">
            <w:pPr>
              <w:pStyle w:val="NoSpacing"/>
              <w:rPr>
                <w:sz w:val="20"/>
                <w:szCs w:val="20"/>
              </w:rPr>
            </w:pPr>
          </w:p>
        </w:tc>
        <w:tc>
          <w:tcPr>
            <w:tcW w:w="0" w:type="auto"/>
            <w:hideMark/>
          </w:tcPr>
          <w:p w14:paraId="3397649F" w14:textId="77777777" w:rsidR="009C778C" w:rsidRPr="00F33A88" w:rsidRDefault="009C778C" w:rsidP="0068273E">
            <w:pPr>
              <w:pStyle w:val="NoSpacing"/>
              <w:rPr>
                <w:sz w:val="20"/>
                <w:szCs w:val="20"/>
              </w:rPr>
            </w:pPr>
          </w:p>
        </w:tc>
        <w:tc>
          <w:tcPr>
            <w:tcW w:w="0" w:type="auto"/>
            <w:hideMark/>
          </w:tcPr>
          <w:p w14:paraId="51FC0040" w14:textId="77777777" w:rsidR="009C778C" w:rsidRPr="00F33A88" w:rsidRDefault="009C778C" w:rsidP="0068273E">
            <w:pPr>
              <w:pStyle w:val="NoSpacing"/>
              <w:rPr>
                <w:sz w:val="20"/>
                <w:szCs w:val="20"/>
              </w:rPr>
            </w:pPr>
            <w:r w:rsidRPr="00F33A88">
              <w:rPr>
                <w:sz w:val="20"/>
                <w:szCs w:val="20"/>
              </w:rPr>
              <w:t>(1.57)</w:t>
            </w:r>
          </w:p>
        </w:tc>
        <w:tc>
          <w:tcPr>
            <w:tcW w:w="0" w:type="auto"/>
            <w:hideMark/>
          </w:tcPr>
          <w:p w14:paraId="4BA284F2" w14:textId="77777777" w:rsidR="009C778C" w:rsidRPr="00F33A88" w:rsidRDefault="009C778C" w:rsidP="0068273E">
            <w:pPr>
              <w:pStyle w:val="NoSpacing"/>
              <w:rPr>
                <w:sz w:val="20"/>
                <w:szCs w:val="20"/>
              </w:rPr>
            </w:pPr>
            <w:r w:rsidRPr="00F33A88">
              <w:rPr>
                <w:sz w:val="20"/>
                <w:szCs w:val="20"/>
              </w:rPr>
              <w:t>(1.32)</w:t>
            </w:r>
          </w:p>
        </w:tc>
        <w:tc>
          <w:tcPr>
            <w:tcW w:w="0" w:type="auto"/>
            <w:hideMark/>
          </w:tcPr>
          <w:p w14:paraId="34D30EC2" w14:textId="77777777" w:rsidR="009C778C" w:rsidRPr="00F33A88" w:rsidRDefault="009C778C" w:rsidP="0068273E">
            <w:pPr>
              <w:pStyle w:val="NoSpacing"/>
              <w:rPr>
                <w:sz w:val="20"/>
                <w:szCs w:val="20"/>
              </w:rPr>
            </w:pPr>
            <w:r w:rsidRPr="00F33A88">
              <w:rPr>
                <w:sz w:val="20"/>
                <w:szCs w:val="20"/>
              </w:rPr>
              <w:t>(1.13)</w:t>
            </w:r>
          </w:p>
        </w:tc>
      </w:tr>
      <w:tr w:rsidR="009C778C" w:rsidRPr="00F33A88" w14:paraId="0B0820BC" w14:textId="77777777" w:rsidTr="000650D6">
        <w:tc>
          <w:tcPr>
            <w:tcW w:w="0" w:type="auto"/>
            <w:hideMark/>
          </w:tcPr>
          <w:p w14:paraId="6CA76EC8" w14:textId="77777777" w:rsidR="009C778C" w:rsidRPr="00F33A88" w:rsidRDefault="009C778C" w:rsidP="0068273E">
            <w:pPr>
              <w:pStyle w:val="NoSpacing"/>
              <w:rPr>
                <w:b/>
                <w:bCs/>
                <w:sz w:val="20"/>
                <w:szCs w:val="20"/>
              </w:rPr>
            </w:pPr>
            <w:proofErr w:type="spellStart"/>
            <w:r w:rsidRPr="00F33A88">
              <w:rPr>
                <w:b/>
                <w:bCs/>
                <w:sz w:val="20"/>
                <w:szCs w:val="20"/>
              </w:rPr>
              <w:t>INFLATION</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6E51D442" w14:textId="77777777" w:rsidR="009C778C" w:rsidRPr="00F33A88" w:rsidRDefault="009C778C" w:rsidP="0068273E">
            <w:pPr>
              <w:pStyle w:val="NoSpacing"/>
              <w:rPr>
                <w:b/>
                <w:bCs/>
                <w:sz w:val="20"/>
                <w:szCs w:val="20"/>
              </w:rPr>
            </w:pPr>
          </w:p>
        </w:tc>
        <w:tc>
          <w:tcPr>
            <w:tcW w:w="0" w:type="auto"/>
            <w:hideMark/>
          </w:tcPr>
          <w:p w14:paraId="5448CD81" w14:textId="77777777" w:rsidR="009C778C" w:rsidRPr="00F33A88" w:rsidRDefault="009C778C" w:rsidP="0068273E">
            <w:pPr>
              <w:pStyle w:val="NoSpacing"/>
              <w:rPr>
                <w:sz w:val="20"/>
                <w:szCs w:val="20"/>
              </w:rPr>
            </w:pPr>
            <w:r w:rsidRPr="00F33A88">
              <w:rPr>
                <w:sz w:val="20"/>
                <w:szCs w:val="20"/>
              </w:rPr>
              <w:t>1.375***</w:t>
            </w:r>
          </w:p>
        </w:tc>
        <w:tc>
          <w:tcPr>
            <w:tcW w:w="0" w:type="auto"/>
            <w:hideMark/>
          </w:tcPr>
          <w:p w14:paraId="0800AC80" w14:textId="77777777" w:rsidR="009C778C" w:rsidRPr="00F33A88" w:rsidRDefault="009C778C" w:rsidP="0068273E">
            <w:pPr>
              <w:pStyle w:val="NoSpacing"/>
              <w:rPr>
                <w:sz w:val="20"/>
                <w:szCs w:val="20"/>
              </w:rPr>
            </w:pPr>
          </w:p>
        </w:tc>
        <w:tc>
          <w:tcPr>
            <w:tcW w:w="0" w:type="auto"/>
            <w:hideMark/>
          </w:tcPr>
          <w:p w14:paraId="1CE66DCA" w14:textId="77777777" w:rsidR="009C778C" w:rsidRPr="00F33A88" w:rsidRDefault="009C778C" w:rsidP="0068273E">
            <w:pPr>
              <w:pStyle w:val="NoSpacing"/>
              <w:rPr>
                <w:sz w:val="20"/>
                <w:szCs w:val="20"/>
              </w:rPr>
            </w:pPr>
          </w:p>
        </w:tc>
        <w:tc>
          <w:tcPr>
            <w:tcW w:w="0" w:type="auto"/>
            <w:hideMark/>
          </w:tcPr>
          <w:p w14:paraId="4F0E9634" w14:textId="77777777" w:rsidR="009C778C" w:rsidRPr="00F33A88" w:rsidRDefault="009C778C" w:rsidP="0068273E">
            <w:pPr>
              <w:pStyle w:val="NoSpacing"/>
              <w:rPr>
                <w:sz w:val="20"/>
                <w:szCs w:val="20"/>
              </w:rPr>
            </w:pPr>
            <w:r w:rsidRPr="00F33A88">
              <w:rPr>
                <w:sz w:val="20"/>
                <w:szCs w:val="20"/>
              </w:rPr>
              <w:t>2.137***</w:t>
            </w:r>
          </w:p>
        </w:tc>
        <w:tc>
          <w:tcPr>
            <w:tcW w:w="0" w:type="auto"/>
            <w:hideMark/>
          </w:tcPr>
          <w:p w14:paraId="7DA52F17" w14:textId="77777777" w:rsidR="009C778C" w:rsidRPr="00F33A88" w:rsidRDefault="009C778C" w:rsidP="0068273E">
            <w:pPr>
              <w:pStyle w:val="NoSpacing"/>
              <w:rPr>
                <w:sz w:val="20"/>
                <w:szCs w:val="20"/>
              </w:rPr>
            </w:pPr>
            <w:r w:rsidRPr="00F33A88">
              <w:rPr>
                <w:sz w:val="20"/>
                <w:szCs w:val="20"/>
              </w:rPr>
              <w:t>2.252***</w:t>
            </w:r>
          </w:p>
        </w:tc>
        <w:tc>
          <w:tcPr>
            <w:tcW w:w="0" w:type="auto"/>
            <w:hideMark/>
          </w:tcPr>
          <w:p w14:paraId="450C7C44" w14:textId="77777777" w:rsidR="009C778C" w:rsidRPr="00F33A88" w:rsidRDefault="009C778C" w:rsidP="0068273E">
            <w:pPr>
              <w:pStyle w:val="NoSpacing"/>
              <w:rPr>
                <w:sz w:val="20"/>
                <w:szCs w:val="20"/>
              </w:rPr>
            </w:pPr>
            <w:r w:rsidRPr="00F33A88">
              <w:rPr>
                <w:sz w:val="20"/>
                <w:szCs w:val="20"/>
              </w:rPr>
              <w:t>2.238***</w:t>
            </w:r>
          </w:p>
        </w:tc>
      </w:tr>
      <w:tr w:rsidR="009C778C" w:rsidRPr="00F33A88" w14:paraId="3E717F34" w14:textId="77777777" w:rsidTr="000650D6">
        <w:tc>
          <w:tcPr>
            <w:tcW w:w="0" w:type="auto"/>
            <w:hideMark/>
          </w:tcPr>
          <w:p w14:paraId="51DC9294" w14:textId="77777777" w:rsidR="009C778C" w:rsidRPr="00F33A88" w:rsidRDefault="009C778C" w:rsidP="0068273E">
            <w:pPr>
              <w:pStyle w:val="NoSpacing"/>
              <w:rPr>
                <w:b/>
                <w:bCs/>
                <w:sz w:val="20"/>
                <w:szCs w:val="20"/>
              </w:rPr>
            </w:pPr>
          </w:p>
        </w:tc>
        <w:tc>
          <w:tcPr>
            <w:tcW w:w="0" w:type="auto"/>
            <w:hideMark/>
          </w:tcPr>
          <w:p w14:paraId="15F02025" w14:textId="77777777" w:rsidR="009C778C" w:rsidRPr="00F33A88" w:rsidRDefault="009C778C" w:rsidP="0068273E">
            <w:pPr>
              <w:pStyle w:val="NoSpacing"/>
              <w:rPr>
                <w:b/>
                <w:bCs/>
                <w:sz w:val="20"/>
                <w:szCs w:val="20"/>
              </w:rPr>
            </w:pPr>
          </w:p>
        </w:tc>
        <w:tc>
          <w:tcPr>
            <w:tcW w:w="0" w:type="auto"/>
            <w:hideMark/>
          </w:tcPr>
          <w:p w14:paraId="380DDFE4" w14:textId="77777777" w:rsidR="009C778C" w:rsidRPr="00F33A88" w:rsidRDefault="009C778C" w:rsidP="0068273E">
            <w:pPr>
              <w:pStyle w:val="NoSpacing"/>
              <w:rPr>
                <w:sz w:val="20"/>
                <w:szCs w:val="20"/>
              </w:rPr>
            </w:pPr>
            <w:r w:rsidRPr="00F33A88">
              <w:rPr>
                <w:sz w:val="20"/>
                <w:szCs w:val="20"/>
              </w:rPr>
              <w:t>(3.99)</w:t>
            </w:r>
          </w:p>
        </w:tc>
        <w:tc>
          <w:tcPr>
            <w:tcW w:w="0" w:type="auto"/>
            <w:hideMark/>
          </w:tcPr>
          <w:p w14:paraId="07530D5E" w14:textId="77777777" w:rsidR="009C778C" w:rsidRPr="00F33A88" w:rsidRDefault="009C778C" w:rsidP="0068273E">
            <w:pPr>
              <w:pStyle w:val="NoSpacing"/>
              <w:rPr>
                <w:sz w:val="20"/>
                <w:szCs w:val="20"/>
              </w:rPr>
            </w:pPr>
          </w:p>
        </w:tc>
        <w:tc>
          <w:tcPr>
            <w:tcW w:w="0" w:type="auto"/>
            <w:hideMark/>
          </w:tcPr>
          <w:p w14:paraId="183472F8" w14:textId="77777777" w:rsidR="009C778C" w:rsidRPr="00F33A88" w:rsidRDefault="009C778C" w:rsidP="0068273E">
            <w:pPr>
              <w:pStyle w:val="NoSpacing"/>
              <w:rPr>
                <w:sz w:val="20"/>
                <w:szCs w:val="20"/>
              </w:rPr>
            </w:pPr>
          </w:p>
        </w:tc>
        <w:tc>
          <w:tcPr>
            <w:tcW w:w="0" w:type="auto"/>
            <w:hideMark/>
          </w:tcPr>
          <w:p w14:paraId="2F2B40D4" w14:textId="77777777" w:rsidR="009C778C" w:rsidRPr="00F33A88" w:rsidRDefault="009C778C" w:rsidP="0068273E">
            <w:pPr>
              <w:pStyle w:val="NoSpacing"/>
              <w:rPr>
                <w:sz w:val="20"/>
                <w:szCs w:val="20"/>
              </w:rPr>
            </w:pPr>
            <w:r w:rsidRPr="00F33A88">
              <w:rPr>
                <w:sz w:val="20"/>
                <w:szCs w:val="20"/>
              </w:rPr>
              <w:t>(9.05)</w:t>
            </w:r>
          </w:p>
        </w:tc>
        <w:tc>
          <w:tcPr>
            <w:tcW w:w="0" w:type="auto"/>
            <w:hideMark/>
          </w:tcPr>
          <w:p w14:paraId="2962C95A" w14:textId="77777777" w:rsidR="009C778C" w:rsidRPr="00F33A88" w:rsidRDefault="009C778C" w:rsidP="0068273E">
            <w:pPr>
              <w:pStyle w:val="NoSpacing"/>
              <w:rPr>
                <w:sz w:val="20"/>
                <w:szCs w:val="20"/>
              </w:rPr>
            </w:pPr>
            <w:r w:rsidRPr="00F33A88">
              <w:rPr>
                <w:sz w:val="20"/>
                <w:szCs w:val="20"/>
              </w:rPr>
              <w:t>(9.55)</w:t>
            </w:r>
          </w:p>
        </w:tc>
        <w:tc>
          <w:tcPr>
            <w:tcW w:w="0" w:type="auto"/>
            <w:hideMark/>
          </w:tcPr>
          <w:p w14:paraId="4DD34E59" w14:textId="77777777" w:rsidR="009C778C" w:rsidRPr="00F33A88" w:rsidRDefault="009C778C" w:rsidP="0068273E">
            <w:pPr>
              <w:pStyle w:val="NoSpacing"/>
              <w:rPr>
                <w:sz w:val="20"/>
                <w:szCs w:val="20"/>
              </w:rPr>
            </w:pPr>
            <w:r w:rsidRPr="00F33A88">
              <w:rPr>
                <w:sz w:val="20"/>
                <w:szCs w:val="20"/>
              </w:rPr>
              <w:t>(9.47)</w:t>
            </w:r>
          </w:p>
        </w:tc>
      </w:tr>
      <w:tr w:rsidR="009C778C" w:rsidRPr="00F33A88" w14:paraId="3D41AFF3" w14:textId="77777777" w:rsidTr="000650D6">
        <w:tc>
          <w:tcPr>
            <w:tcW w:w="0" w:type="auto"/>
            <w:hideMark/>
          </w:tcPr>
          <w:p w14:paraId="2329C3B0" w14:textId="77777777" w:rsidR="009C778C" w:rsidRPr="00F33A88" w:rsidRDefault="009C778C" w:rsidP="0068273E">
            <w:pPr>
              <w:pStyle w:val="NoSpacing"/>
              <w:rPr>
                <w:b/>
                <w:bCs/>
                <w:sz w:val="20"/>
                <w:szCs w:val="20"/>
              </w:rPr>
            </w:pPr>
            <w:r w:rsidRPr="00F33A88">
              <w:rPr>
                <w:b/>
                <w:bCs/>
                <w:sz w:val="20"/>
                <w:szCs w:val="20"/>
              </w:rPr>
              <w:t>CONSTANT</w:t>
            </w:r>
          </w:p>
        </w:tc>
        <w:tc>
          <w:tcPr>
            <w:tcW w:w="0" w:type="auto"/>
            <w:hideMark/>
          </w:tcPr>
          <w:p w14:paraId="1444E998" w14:textId="77777777" w:rsidR="009C778C" w:rsidRPr="00F33A88" w:rsidRDefault="009C778C" w:rsidP="0068273E">
            <w:pPr>
              <w:pStyle w:val="NoSpacing"/>
              <w:rPr>
                <w:b/>
                <w:bCs/>
                <w:sz w:val="20"/>
                <w:szCs w:val="20"/>
              </w:rPr>
            </w:pPr>
          </w:p>
        </w:tc>
        <w:tc>
          <w:tcPr>
            <w:tcW w:w="0" w:type="auto"/>
            <w:hideMark/>
          </w:tcPr>
          <w:p w14:paraId="32C2179A" w14:textId="77777777" w:rsidR="009C778C" w:rsidRPr="00F33A88" w:rsidRDefault="009C778C" w:rsidP="0068273E">
            <w:pPr>
              <w:pStyle w:val="NoSpacing"/>
              <w:rPr>
                <w:sz w:val="20"/>
                <w:szCs w:val="20"/>
              </w:rPr>
            </w:pPr>
            <w:r w:rsidRPr="00F33A88">
              <w:rPr>
                <w:sz w:val="20"/>
                <w:szCs w:val="20"/>
              </w:rPr>
              <w:t>0.513***</w:t>
            </w:r>
          </w:p>
        </w:tc>
        <w:tc>
          <w:tcPr>
            <w:tcW w:w="0" w:type="auto"/>
            <w:hideMark/>
          </w:tcPr>
          <w:p w14:paraId="5B104F4D" w14:textId="77777777" w:rsidR="009C778C" w:rsidRPr="00F33A88" w:rsidRDefault="009C778C" w:rsidP="0068273E">
            <w:pPr>
              <w:pStyle w:val="NoSpacing"/>
              <w:rPr>
                <w:sz w:val="20"/>
                <w:szCs w:val="20"/>
              </w:rPr>
            </w:pPr>
            <w:r w:rsidRPr="00F33A88">
              <w:rPr>
                <w:sz w:val="20"/>
                <w:szCs w:val="20"/>
              </w:rPr>
              <w:t>0.544***</w:t>
            </w:r>
          </w:p>
        </w:tc>
        <w:tc>
          <w:tcPr>
            <w:tcW w:w="0" w:type="auto"/>
            <w:hideMark/>
          </w:tcPr>
          <w:p w14:paraId="1BBF2D71" w14:textId="77777777" w:rsidR="009C778C" w:rsidRPr="00F33A88" w:rsidRDefault="009C778C" w:rsidP="0068273E">
            <w:pPr>
              <w:pStyle w:val="NoSpacing"/>
              <w:rPr>
                <w:sz w:val="20"/>
                <w:szCs w:val="20"/>
              </w:rPr>
            </w:pPr>
            <w:r w:rsidRPr="00F33A88">
              <w:rPr>
                <w:sz w:val="20"/>
                <w:szCs w:val="20"/>
              </w:rPr>
              <w:t>0.543***</w:t>
            </w:r>
          </w:p>
        </w:tc>
        <w:tc>
          <w:tcPr>
            <w:tcW w:w="0" w:type="auto"/>
            <w:hideMark/>
          </w:tcPr>
          <w:p w14:paraId="103F142E" w14:textId="77777777" w:rsidR="009C778C" w:rsidRPr="00F33A88" w:rsidRDefault="009C778C" w:rsidP="0068273E">
            <w:pPr>
              <w:pStyle w:val="NoSpacing"/>
              <w:rPr>
                <w:sz w:val="20"/>
                <w:szCs w:val="20"/>
              </w:rPr>
            </w:pPr>
            <w:r w:rsidRPr="00F33A88">
              <w:rPr>
                <w:sz w:val="20"/>
                <w:szCs w:val="20"/>
              </w:rPr>
              <w:t>0.504***</w:t>
            </w:r>
          </w:p>
        </w:tc>
        <w:tc>
          <w:tcPr>
            <w:tcW w:w="0" w:type="auto"/>
            <w:hideMark/>
          </w:tcPr>
          <w:p w14:paraId="5EF5F12A" w14:textId="77777777" w:rsidR="009C778C" w:rsidRPr="00F33A88" w:rsidRDefault="009C778C" w:rsidP="0068273E">
            <w:pPr>
              <w:pStyle w:val="NoSpacing"/>
              <w:rPr>
                <w:sz w:val="20"/>
                <w:szCs w:val="20"/>
              </w:rPr>
            </w:pPr>
            <w:r w:rsidRPr="00F33A88">
              <w:rPr>
                <w:sz w:val="20"/>
                <w:szCs w:val="20"/>
              </w:rPr>
              <w:t>0.496***</w:t>
            </w:r>
          </w:p>
        </w:tc>
        <w:tc>
          <w:tcPr>
            <w:tcW w:w="0" w:type="auto"/>
            <w:hideMark/>
          </w:tcPr>
          <w:p w14:paraId="1C31CAE7" w14:textId="77777777" w:rsidR="009C778C" w:rsidRPr="00F33A88" w:rsidRDefault="009C778C" w:rsidP="0068273E">
            <w:pPr>
              <w:pStyle w:val="NoSpacing"/>
              <w:rPr>
                <w:sz w:val="20"/>
                <w:szCs w:val="20"/>
              </w:rPr>
            </w:pPr>
            <w:r w:rsidRPr="00F33A88">
              <w:rPr>
                <w:sz w:val="20"/>
                <w:szCs w:val="20"/>
              </w:rPr>
              <w:t>0.523***</w:t>
            </w:r>
          </w:p>
        </w:tc>
      </w:tr>
      <w:tr w:rsidR="009C778C" w:rsidRPr="00F33A88" w14:paraId="7DBA0D14" w14:textId="77777777" w:rsidTr="000650D6">
        <w:tc>
          <w:tcPr>
            <w:tcW w:w="0" w:type="auto"/>
            <w:hideMark/>
          </w:tcPr>
          <w:p w14:paraId="1C07C151" w14:textId="77777777" w:rsidR="009C778C" w:rsidRPr="00F33A88" w:rsidRDefault="009C778C" w:rsidP="0068273E">
            <w:pPr>
              <w:pStyle w:val="NoSpacing"/>
              <w:rPr>
                <w:b/>
                <w:bCs/>
                <w:sz w:val="20"/>
                <w:szCs w:val="20"/>
              </w:rPr>
            </w:pPr>
          </w:p>
        </w:tc>
        <w:tc>
          <w:tcPr>
            <w:tcW w:w="0" w:type="auto"/>
            <w:hideMark/>
          </w:tcPr>
          <w:p w14:paraId="708FF134" w14:textId="77777777" w:rsidR="009C778C" w:rsidRPr="00F33A88" w:rsidRDefault="009C778C" w:rsidP="0068273E">
            <w:pPr>
              <w:pStyle w:val="NoSpacing"/>
              <w:rPr>
                <w:b/>
                <w:bCs/>
                <w:sz w:val="20"/>
                <w:szCs w:val="20"/>
              </w:rPr>
            </w:pPr>
          </w:p>
        </w:tc>
        <w:tc>
          <w:tcPr>
            <w:tcW w:w="0" w:type="auto"/>
            <w:hideMark/>
          </w:tcPr>
          <w:p w14:paraId="5D253B3E" w14:textId="77777777" w:rsidR="009C778C" w:rsidRPr="00F33A88" w:rsidRDefault="009C778C" w:rsidP="0068273E">
            <w:pPr>
              <w:pStyle w:val="NoSpacing"/>
              <w:rPr>
                <w:sz w:val="20"/>
                <w:szCs w:val="20"/>
              </w:rPr>
            </w:pPr>
            <w:r w:rsidRPr="00F33A88">
              <w:rPr>
                <w:sz w:val="20"/>
                <w:szCs w:val="20"/>
              </w:rPr>
              <w:t>(10.96)</w:t>
            </w:r>
          </w:p>
        </w:tc>
        <w:tc>
          <w:tcPr>
            <w:tcW w:w="0" w:type="auto"/>
            <w:hideMark/>
          </w:tcPr>
          <w:p w14:paraId="785EB454" w14:textId="77777777" w:rsidR="009C778C" w:rsidRPr="00F33A88" w:rsidRDefault="009C778C" w:rsidP="0068273E">
            <w:pPr>
              <w:pStyle w:val="NoSpacing"/>
              <w:rPr>
                <w:sz w:val="20"/>
                <w:szCs w:val="20"/>
              </w:rPr>
            </w:pPr>
            <w:r w:rsidRPr="00F33A88">
              <w:rPr>
                <w:sz w:val="20"/>
                <w:szCs w:val="20"/>
              </w:rPr>
              <w:t>(96.85)</w:t>
            </w:r>
          </w:p>
        </w:tc>
        <w:tc>
          <w:tcPr>
            <w:tcW w:w="0" w:type="auto"/>
            <w:hideMark/>
          </w:tcPr>
          <w:p w14:paraId="6438EF8D" w14:textId="77777777" w:rsidR="009C778C" w:rsidRPr="00F33A88" w:rsidRDefault="009C778C" w:rsidP="0068273E">
            <w:pPr>
              <w:pStyle w:val="NoSpacing"/>
              <w:rPr>
                <w:sz w:val="20"/>
                <w:szCs w:val="20"/>
              </w:rPr>
            </w:pPr>
            <w:r w:rsidRPr="00F33A88">
              <w:rPr>
                <w:sz w:val="20"/>
                <w:szCs w:val="20"/>
              </w:rPr>
              <w:t>(96.54)</w:t>
            </w:r>
          </w:p>
        </w:tc>
        <w:tc>
          <w:tcPr>
            <w:tcW w:w="0" w:type="auto"/>
            <w:hideMark/>
          </w:tcPr>
          <w:p w14:paraId="774AE9EF" w14:textId="77777777" w:rsidR="009C778C" w:rsidRPr="00F33A88" w:rsidRDefault="009C778C" w:rsidP="0068273E">
            <w:pPr>
              <w:pStyle w:val="NoSpacing"/>
              <w:rPr>
                <w:sz w:val="20"/>
                <w:szCs w:val="20"/>
              </w:rPr>
            </w:pPr>
            <w:r w:rsidRPr="00F33A88">
              <w:rPr>
                <w:sz w:val="20"/>
                <w:szCs w:val="20"/>
              </w:rPr>
              <w:t>(25.96)</w:t>
            </w:r>
          </w:p>
        </w:tc>
        <w:tc>
          <w:tcPr>
            <w:tcW w:w="0" w:type="auto"/>
            <w:hideMark/>
          </w:tcPr>
          <w:p w14:paraId="0FFD5D61" w14:textId="77777777" w:rsidR="009C778C" w:rsidRPr="00F33A88" w:rsidRDefault="009C778C" w:rsidP="0068273E">
            <w:pPr>
              <w:pStyle w:val="NoSpacing"/>
              <w:rPr>
                <w:sz w:val="20"/>
                <w:szCs w:val="20"/>
              </w:rPr>
            </w:pPr>
            <w:r w:rsidRPr="00F33A88">
              <w:rPr>
                <w:sz w:val="20"/>
                <w:szCs w:val="20"/>
              </w:rPr>
              <w:t>(25.55)</w:t>
            </w:r>
          </w:p>
        </w:tc>
        <w:tc>
          <w:tcPr>
            <w:tcW w:w="0" w:type="auto"/>
            <w:hideMark/>
          </w:tcPr>
          <w:p w14:paraId="05F406EB" w14:textId="77777777" w:rsidR="009C778C" w:rsidRPr="00F33A88" w:rsidRDefault="009C778C" w:rsidP="0068273E">
            <w:pPr>
              <w:pStyle w:val="NoSpacing"/>
              <w:rPr>
                <w:sz w:val="20"/>
                <w:szCs w:val="20"/>
              </w:rPr>
            </w:pPr>
            <w:r w:rsidRPr="00F33A88">
              <w:rPr>
                <w:sz w:val="20"/>
                <w:szCs w:val="20"/>
              </w:rPr>
              <w:t>(26.35)</w:t>
            </w:r>
          </w:p>
        </w:tc>
      </w:tr>
      <w:tr w:rsidR="005D5079" w:rsidRPr="00F33A88" w14:paraId="79984ECA" w14:textId="77777777" w:rsidTr="000650D6">
        <w:tc>
          <w:tcPr>
            <w:tcW w:w="0" w:type="auto"/>
            <w:hideMark/>
          </w:tcPr>
          <w:p w14:paraId="6D545530" w14:textId="77777777" w:rsidR="005D5079" w:rsidRPr="00F33A88" w:rsidRDefault="005D5079" w:rsidP="0068273E">
            <w:pPr>
              <w:pStyle w:val="NoSpacing"/>
              <w:rPr>
                <w:b/>
                <w:bCs/>
                <w:sz w:val="20"/>
                <w:szCs w:val="20"/>
              </w:rPr>
            </w:pPr>
            <w:r w:rsidRPr="00F33A88">
              <w:rPr>
                <w:b/>
                <w:bCs/>
                <w:sz w:val="20"/>
                <w:szCs w:val="20"/>
              </w:rPr>
              <w:t>YEAR, INDUSTRY &amp; COUNTRY FE</w:t>
            </w:r>
          </w:p>
        </w:tc>
        <w:tc>
          <w:tcPr>
            <w:tcW w:w="0" w:type="auto"/>
          </w:tcPr>
          <w:p w14:paraId="6594C2CE" w14:textId="08061B5C" w:rsidR="005D5079" w:rsidRPr="00F33A88" w:rsidRDefault="005D5079" w:rsidP="0068273E">
            <w:pPr>
              <w:pStyle w:val="NoSpacing"/>
              <w:rPr>
                <w:b/>
                <w:bCs/>
                <w:sz w:val="20"/>
                <w:szCs w:val="20"/>
              </w:rPr>
            </w:pPr>
          </w:p>
        </w:tc>
        <w:tc>
          <w:tcPr>
            <w:tcW w:w="0" w:type="auto"/>
            <w:hideMark/>
          </w:tcPr>
          <w:p w14:paraId="1702537F" w14:textId="77777777" w:rsidR="005D5079" w:rsidRPr="00F33A88" w:rsidRDefault="005D5079" w:rsidP="0068273E">
            <w:pPr>
              <w:pStyle w:val="NoSpacing"/>
              <w:rPr>
                <w:sz w:val="20"/>
                <w:szCs w:val="20"/>
              </w:rPr>
            </w:pPr>
            <w:r w:rsidRPr="00F33A88">
              <w:rPr>
                <w:sz w:val="20"/>
                <w:szCs w:val="20"/>
              </w:rPr>
              <w:t>Yes</w:t>
            </w:r>
          </w:p>
        </w:tc>
        <w:tc>
          <w:tcPr>
            <w:tcW w:w="0" w:type="auto"/>
            <w:hideMark/>
          </w:tcPr>
          <w:p w14:paraId="4F49EFE0" w14:textId="77777777" w:rsidR="005D5079" w:rsidRPr="00F33A88" w:rsidRDefault="005D5079" w:rsidP="0068273E">
            <w:pPr>
              <w:pStyle w:val="NoSpacing"/>
              <w:rPr>
                <w:sz w:val="20"/>
                <w:szCs w:val="20"/>
              </w:rPr>
            </w:pPr>
            <w:r w:rsidRPr="00F33A88">
              <w:rPr>
                <w:sz w:val="20"/>
                <w:szCs w:val="20"/>
              </w:rPr>
              <w:t>No</w:t>
            </w:r>
          </w:p>
        </w:tc>
        <w:tc>
          <w:tcPr>
            <w:tcW w:w="0" w:type="auto"/>
            <w:hideMark/>
          </w:tcPr>
          <w:p w14:paraId="62843BD1" w14:textId="77777777" w:rsidR="005D5079" w:rsidRPr="00F33A88" w:rsidRDefault="005D5079" w:rsidP="0068273E">
            <w:pPr>
              <w:pStyle w:val="NoSpacing"/>
              <w:rPr>
                <w:sz w:val="20"/>
                <w:szCs w:val="20"/>
              </w:rPr>
            </w:pPr>
            <w:r w:rsidRPr="00F33A88">
              <w:rPr>
                <w:sz w:val="20"/>
                <w:szCs w:val="20"/>
              </w:rPr>
              <w:t>No</w:t>
            </w:r>
          </w:p>
        </w:tc>
        <w:tc>
          <w:tcPr>
            <w:tcW w:w="0" w:type="auto"/>
            <w:hideMark/>
          </w:tcPr>
          <w:p w14:paraId="05F799CB" w14:textId="77777777" w:rsidR="005D5079" w:rsidRPr="00F33A88" w:rsidRDefault="005D5079" w:rsidP="0068273E">
            <w:pPr>
              <w:pStyle w:val="NoSpacing"/>
              <w:rPr>
                <w:sz w:val="20"/>
                <w:szCs w:val="20"/>
              </w:rPr>
            </w:pPr>
            <w:r w:rsidRPr="00F33A88">
              <w:rPr>
                <w:sz w:val="20"/>
                <w:szCs w:val="20"/>
              </w:rPr>
              <w:t>No</w:t>
            </w:r>
          </w:p>
        </w:tc>
        <w:tc>
          <w:tcPr>
            <w:tcW w:w="0" w:type="auto"/>
            <w:hideMark/>
          </w:tcPr>
          <w:p w14:paraId="06D3C48F" w14:textId="77777777" w:rsidR="005D5079" w:rsidRPr="00F33A88" w:rsidRDefault="005D5079" w:rsidP="0068273E">
            <w:pPr>
              <w:pStyle w:val="NoSpacing"/>
              <w:rPr>
                <w:sz w:val="20"/>
                <w:szCs w:val="20"/>
              </w:rPr>
            </w:pPr>
            <w:r w:rsidRPr="00F33A88">
              <w:rPr>
                <w:sz w:val="20"/>
                <w:szCs w:val="20"/>
              </w:rPr>
              <w:t>No</w:t>
            </w:r>
          </w:p>
        </w:tc>
        <w:tc>
          <w:tcPr>
            <w:tcW w:w="0" w:type="auto"/>
            <w:hideMark/>
          </w:tcPr>
          <w:p w14:paraId="05286431" w14:textId="77777777" w:rsidR="005D5079" w:rsidRPr="00F33A88" w:rsidRDefault="005D5079" w:rsidP="0068273E">
            <w:pPr>
              <w:pStyle w:val="NoSpacing"/>
              <w:rPr>
                <w:sz w:val="20"/>
                <w:szCs w:val="20"/>
              </w:rPr>
            </w:pPr>
            <w:r w:rsidRPr="00F33A88">
              <w:rPr>
                <w:sz w:val="20"/>
                <w:szCs w:val="20"/>
              </w:rPr>
              <w:t>No</w:t>
            </w:r>
          </w:p>
        </w:tc>
      </w:tr>
      <w:tr w:rsidR="009C778C" w:rsidRPr="00F33A88" w14:paraId="1DC05B0F" w14:textId="77777777" w:rsidTr="000650D6">
        <w:tc>
          <w:tcPr>
            <w:tcW w:w="0" w:type="auto"/>
            <w:hideMark/>
          </w:tcPr>
          <w:p w14:paraId="631394EA" w14:textId="77777777" w:rsidR="009C778C" w:rsidRPr="00F33A88" w:rsidRDefault="009C778C" w:rsidP="0068273E">
            <w:pPr>
              <w:pStyle w:val="NoSpacing"/>
              <w:rPr>
                <w:b/>
                <w:bCs/>
                <w:sz w:val="20"/>
                <w:szCs w:val="20"/>
              </w:rPr>
            </w:pPr>
            <w:r w:rsidRPr="00F33A88">
              <w:rPr>
                <w:b/>
                <w:bCs/>
                <w:sz w:val="20"/>
                <w:szCs w:val="20"/>
              </w:rPr>
              <w:t>Number of observations</w:t>
            </w:r>
          </w:p>
        </w:tc>
        <w:tc>
          <w:tcPr>
            <w:tcW w:w="0" w:type="auto"/>
            <w:hideMark/>
          </w:tcPr>
          <w:p w14:paraId="0144C6D4" w14:textId="77777777" w:rsidR="009C778C" w:rsidRPr="00F33A88" w:rsidRDefault="009C778C" w:rsidP="0068273E">
            <w:pPr>
              <w:pStyle w:val="NoSpacing"/>
              <w:rPr>
                <w:b/>
                <w:bCs/>
                <w:sz w:val="20"/>
                <w:szCs w:val="20"/>
              </w:rPr>
            </w:pPr>
          </w:p>
        </w:tc>
        <w:tc>
          <w:tcPr>
            <w:tcW w:w="0" w:type="auto"/>
            <w:hideMark/>
          </w:tcPr>
          <w:p w14:paraId="468C631F" w14:textId="77777777" w:rsidR="009C778C" w:rsidRPr="00F33A88" w:rsidRDefault="009C778C" w:rsidP="0068273E">
            <w:pPr>
              <w:pStyle w:val="NoSpacing"/>
              <w:rPr>
                <w:sz w:val="20"/>
                <w:szCs w:val="20"/>
              </w:rPr>
            </w:pPr>
            <w:r w:rsidRPr="00F33A88">
              <w:rPr>
                <w:sz w:val="20"/>
                <w:szCs w:val="20"/>
              </w:rPr>
              <w:t>66,286</w:t>
            </w:r>
          </w:p>
        </w:tc>
        <w:tc>
          <w:tcPr>
            <w:tcW w:w="0" w:type="auto"/>
            <w:hideMark/>
          </w:tcPr>
          <w:p w14:paraId="12C36745" w14:textId="77777777" w:rsidR="009C778C" w:rsidRPr="00F33A88" w:rsidRDefault="009C778C" w:rsidP="0068273E">
            <w:pPr>
              <w:pStyle w:val="NoSpacing"/>
              <w:rPr>
                <w:sz w:val="20"/>
                <w:szCs w:val="20"/>
              </w:rPr>
            </w:pPr>
            <w:r w:rsidRPr="00F33A88">
              <w:rPr>
                <w:sz w:val="20"/>
                <w:szCs w:val="20"/>
              </w:rPr>
              <w:t>66,286</w:t>
            </w:r>
          </w:p>
        </w:tc>
        <w:tc>
          <w:tcPr>
            <w:tcW w:w="0" w:type="auto"/>
            <w:hideMark/>
          </w:tcPr>
          <w:p w14:paraId="6D5D7A2F" w14:textId="77777777" w:rsidR="009C778C" w:rsidRPr="00F33A88" w:rsidRDefault="009C778C" w:rsidP="0068273E">
            <w:pPr>
              <w:pStyle w:val="NoSpacing"/>
              <w:rPr>
                <w:sz w:val="20"/>
                <w:szCs w:val="20"/>
              </w:rPr>
            </w:pPr>
            <w:r w:rsidRPr="00F33A88">
              <w:rPr>
                <w:sz w:val="20"/>
                <w:szCs w:val="20"/>
              </w:rPr>
              <w:t>66,286</w:t>
            </w:r>
          </w:p>
        </w:tc>
        <w:tc>
          <w:tcPr>
            <w:tcW w:w="0" w:type="auto"/>
            <w:hideMark/>
          </w:tcPr>
          <w:p w14:paraId="36255F27" w14:textId="77777777" w:rsidR="009C778C" w:rsidRPr="00F33A88" w:rsidRDefault="009C778C" w:rsidP="0068273E">
            <w:pPr>
              <w:pStyle w:val="NoSpacing"/>
              <w:rPr>
                <w:sz w:val="20"/>
                <w:szCs w:val="20"/>
              </w:rPr>
            </w:pPr>
            <w:r w:rsidRPr="00F33A88">
              <w:rPr>
                <w:sz w:val="20"/>
                <w:szCs w:val="20"/>
              </w:rPr>
              <w:t>66,286</w:t>
            </w:r>
          </w:p>
        </w:tc>
        <w:tc>
          <w:tcPr>
            <w:tcW w:w="0" w:type="auto"/>
            <w:hideMark/>
          </w:tcPr>
          <w:p w14:paraId="52C01B3B" w14:textId="77777777" w:rsidR="009C778C" w:rsidRPr="00F33A88" w:rsidRDefault="009C778C" w:rsidP="0068273E">
            <w:pPr>
              <w:pStyle w:val="NoSpacing"/>
              <w:rPr>
                <w:sz w:val="20"/>
                <w:szCs w:val="20"/>
              </w:rPr>
            </w:pPr>
            <w:r w:rsidRPr="00F33A88">
              <w:rPr>
                <w:sz w:val="20"/>
                <w:szCs w:val="20"/>
              </w:rPr>
              <w:t>66,286</w:t>
            </w:r>
          </w:p>
        </w:tc>
        <w:tc>
          <w:tcPr>
            <w:tcW w:w="0" w:type="auto"/>
            <w:hideMark/>
          </w:tcPr>
          <w:p w14:paraId="2EE18BE3" w14:textId="77777777" w:rsidR="009C778C" w:rsidRPr="00F33A88" w:rsidRDefault="009C778C" w:rsidP="0068273E">
            <w:pPr>
              <w:pStyle w:val="NoSpacing"/>
              <w:rPr>
                <w:sz w:val="20"/>
                <w:szCs w:val="20"/>
              </w:rPr>
            </w:pPr>
            <w:r w:rsidRPr="00F33A88">
              <w:rPr>
                <w:sz w:val="20"/>
                <w:szCs w:val="20"/>
              </w:rPr>
              <w:t>66,286</w:t>
            </w:r>
          </w:p>
        </w:tc>
      </w:tr>
      <w:tr w:rsidR="009C778C" w:rsidRPr="00F33A88" w14:paraId="5705408F" w14:textId="77777777" w:rsidTr="000650D6">
        <w:tc>
          <w:tcPr>
            <w:tcW w:w="0" w:type="auto"/>
            <w:hideMark/>
          </w:tcPr>
          <w:p w14:paraId="77720EE2" w14:textId="77777777" w:rsidR="009C778C" w:rsidRPr="00F33A88" w:rsidRDefault="009C778C" w:rsidP="0068273E">
            <w:pPr>
              <w:pStyle w:val="NoSpacing"/>
              <w:rPr>
                <w:b/>
                <w:bCs/>
                <w:sz w:val="20"/>
                <w:szCs w:val="20"/>
              </w:rPr>
            </w:pPr>
            <w:r w:rsidRPr="00F33A88">
              <w:rPr>
                <w:b/>
                <w:bCs/>
                <w:sz w:val="20"/>
                <w:szCs w:val="20"/>
              </w:rPr>
              <w:t>Adj. R-squared</w:t>
            </w:r>
          </w:p>
        </w:tc>
        <w:tc>
          <w:tcPr>
            <w:tcW w:w="0" w:type="auto"/>
            <w:hideMark/>
          </w:tcPr>
          <w:p w14:paraId="6DB1FC65" w14:textId="77777777" w:rsidR="009C778C" w:rsidRPr="00F33A88" w:rsidRDefault="009C778C" w:rsidP="0068273E">
            <w:pPr>
              <w:pStyle w:val="NoSpacing"/>
              <w:rPr>
                <w:b/>
                <w:bCs/>
                <w:sz w:val="20"/>
                <w:szCs w:val="20"/>
              </w:rPr>
            </w:pPr>
          </w:p>
        </w:tc>
        <w:tc>
          <w:tcPr>
            <w:tcW w:w="0" w:type="auto"/>
            <w:hideMark/>
          </w:tcPr>
          <w:p w14:paraId="602C981D" w14:textId="77777777" w:rsidR="009C778C" w:rsidRPr="00F33A88" w:rsidRDefault="009C778C" w:rsidP="0068273E">
            <w:pPr>
              <w:pStyle w:val="NoSpacing"/>
              <w:rPr>
                <w:sz w:val="20"/>
                <w:szCs w:val="20"/>
              </w:rPr>
            </w:pPr>
            <w:r w:rsidRPr="00F33A88">
              <w:rPr>
                <w:sz w:val="20"/>
                <w:szCs w:val="20"/>
              </w:rPr>
              <w:t>0.108</w:t>
            </w:r>
          </w:p>
        </w:tc>
        <w:tc>
          <w:tcPr>
            <w:tcW w:w="0" w:type="auto"/>
            <w:hideMark/>
          </w:tcPr>
          <w:p w14:paraId="29D48041" w14:textId="77777777" w:rsidR="009C778C" w:rsidRPr="00F33A88" w:rsidRDefault="009C778C" w:rsidP="0068273E">
            <w:pPr>
              <w:pStyle w:val="NoSpacing"/>
              <w:rPr>
                <w:sz w:val="20"/>
                <w:szCs w:val="20"/>
              </w:rPr>
            </w:pPr>
            <w:r w:rsidRPr="00F33A88">
              <w:rPr>
                <w:sz w:val="20"/>
                <w:szCs w:val="20"/>
              </w:rPr>
              <w:t>0.004</w:t>
            </w:r>
          </w:p>
        </w:tc>
        <w:tc>
          <w:tcPr>
            <w:tcW w:w="0" w:type="auto"/>
            <w:hideMark/>
          </w:tcPr>
          <w:p w14:paraId="584910C8" w14:textId="77777777" w:rsidR="009C778C" w:rsidRPr="00F33A88" w:rsidRDefault="009C778C" w:rsidP="0068273E">
            <w:pPr>
              <w:pStyle w:val="NoSpacing"/>
              <w:rPr>
                <w:sz w:val="20"/>
                <w:szCs w:val="20"/>
              </w:rPr>
            </w:pPr>
            <w:r w:rsidRPr="00F33A88">
              <w:rPr>
                <w:sz w:val="20"/>
                <w:szCs w:val="20"/>
              </w:rPr>
              <w:t>0.004</w:t>
            </w:r>
          </w:p>
        </w:tc>
        <w:tc>
          <w:tcPr>
            <w:tcW w:w="0" w:type="auto"/>
            <w:hideMark/>
          </w:tcPr>
          <w:p w14:paraId="0615BA54" w14:textId="77777777" w:rsidR="009C778C" w:rsidRPr="00F33A88" w:rsidRDefault="009C778C" w:rsidP="0068273E">
            <w:pPr>
              <w:pStyle w:val="NoSpacing"/>
              <w:rPr>
                <w:sz w:val="20"/>
                <w:szCs w:val="20"/>
              </w:rPr>
            </w:pPr>
            <w:r w:rsidRPr="00F33A88">
              <w:rPr>
                <w:sz w:val="20"/>
                <w:szCs w:val="20"/>
              </w:rPr>
              <w:t>0.052</w:t>
            </w:r>
          </w:p>
        </w:tc>
        <w:tc>
          <w:tcPr>
            <w:tcW w:w="0" w:type="auto"/>
            <w:hideMark/>
          </w:tcPr>
          <w:p w14:paraId="0A99CAB0" w14:textId="77777777" w:rsidR="009C778C" w:rsidRPr="00F33A88" w:rsidRDefault="009C778C" w:rsidP="0068273E">
            <w:pPr>
              <w:pStyle w:val="NoSpacing"/>
              <w:rPr>
                <w:sz w:val="20"/>
                <w:szCs w:val="20"/>
              </w:rPr>
            </w:pPr>
            <w:r w:rsidRPr="00F33A88">
              <w:rPr>
                <w:sz w:val="20"/>
                <w:szCs w:val="20"/>
              </w:rPr>
              <w:t>0.053</w:t>
            </w:r>
          </w:p>
        </w:tc>
        <w:tc>
          <w:tcPr>
            <w:tcW w:w="0" w:type="auto"/>
            <w:hideMark/>
          </w:tcPr>
          <w:p w14:paraId="49016ED2" w14:textId="77777777" w:rsidR="009C778C" w:rsidRPr="00F33A88" w:rsidRDefault="009C778C" w:rsidP="0068273E">
            <w:pPr>
              <w:pStyle w:val="NoSpacing"/>
              <w:rPr>
                <w:sz w:val="20"/>
                <w:szCs w:val="20"/>
              </w:rPr>
            </w:pPr>
            <w:r w:rsidRPr="00F33A88">
              <w:rPr>
                <w:sz w:val="20"/>
                <w:szCs w:val="20"/>
              </w:rPr>
              <w:t>0.054</w:t>
            </w:r>
          </w:p>
        </w:tc>
      </w:tr>
      <w:tr w:rsidR="009C778C" w:rsidRPr="00F33A88" w14:paraId="26DBBF0E" w14:textId="77777777" w:rsidTr="000650D6">
        <w:tc>
          <w:tcPr>
            <w:tcW w:w="0" w:type="auto"/>
            <w:hideMark/>
          </w:tcPr>
          <w:p w14:paraId="7F8A98B8" w14:textId="77777777" w:rsidR="009C778C" w:rsidRPr="00F33A88" w:rsidRDefault="009C778C" w:rsidP="0068273E">
            <w:pPr>
              <w:pStyle w:val="NoSpacing"/>
              <w:rPr>
                <w:b/>
                <w:bCs/>
                <w:sz w:val="20"/>
                <w:szCs w:val="20"/>
              </w:rPr>
            </w:pPr>
            <w:r w:rsidRPr="00F33A88">
              <w:rPr>
                <w:b/>
                <w:bCs/>
                <w:sz w:val="20"/>
                <w:szCs w:val="20"/>
              </w:rPr>
              <w:t xml:space="preserve">F-stat </w:t>
            </w:r>
            <w:proofErr w:type="spellStart"/>
            <w:r w:rsidRPr="00F33A88">
              <w:rPr>
                <w:b/>
                <w:bCs/>
                <w:sz w:val="20"/>
                <w:szCs w:val="20"/>
              </w:rPr>
              <w:t>DOMESTIC</w:t>
            </w:r>
            <w:r w:rsidRPr="00F33A88">
              <w:rPr>
                <w:b/>
                <w:bCs/>
                <w:sz w:val="20"/>
                <w:szCs w:val="20"/>
                <w:vertAlign w:val="subscript"/>
              </w:rPr>
              <w:t>t</w:t>
            </w:r>
            <w:proofErr w:type="spellEnd"/>
            <w:r w:rsidRPr="00F33A88">
              <w:rPr>
                <w:b/>
                <w:bCs/>
                <w:sz w:val="20"/>
                <w:szCs w:val="20"/>
                <w:vertAlign w:val="subscript"/>
              </w:rPr>
              <w:t> − 1</w:t>
            </w:r>
            <w:r w:rsidRPr="00F33A88">
              <w:rPr>
                <w:b/>
                <w:bCs/>
                <w:sz w:val="20"/>
                <w:szCs w:val="20"/>
              </w:rPr>
              <w:t> = </w:t>
            </w:r>
            <w:proofErr w:type="spellStart"/>
            <w:r w:rsidRPr="00F33A88">
              <w:rPr>
                <w:b/>
                <w:bCs/>
                <w:sz w:val="20"/>
                <w:szCs w:val="20"/>
              </w:rPr>
              <w:t>FOREIGN</w:t>
            </w:r>
            <w:r w:rsidRPr="00F33A88">
              <w:rPr>
                <w:b/>
                <w:bCs/>
                <w:sz w:val="20"/>
                <w:szCs w:val="20"/>
                <w:vertAlign w:val="subscript"/>
              </w:rPr>
              <w:t>t</w:t>
            </w:r>
            <w:proofErr w:type="spellEnd"/>
            <w:r w:rsidRPr="00F33A88">
              <w:rPr>
                <w:b/>
                <w:bCs/>
                <w:sz w:val="20"/>
                <w:szCs w:val="20"/>
                <w:vertAlign w:val="subscript"/>
              </w:rPr>
              <w:t> − 1</w:t>
            </w:r>
          </w:p>
        </w:tc>
        <w:tc>
          <w:tcPr>
            <w:tcW w:w="0" w:type="auto"/>
            <w:hideMark/>
          </w:tcPr>
          <w:p w14:paraId="0311C4D5" w14:textId="77777777" w:rsidR="009C778C" w:rsidRPr="00F33A88" w:rsidRDefault="009C778C" w:rsidP="0068273E">
            <w:pPr>
              <w:pStyle w:val="NoSpacing"/>
              <w:rPr>
                <w:b/>
                <w:bCs/>
                <w:sz w:val="20"/>
                <w:szCs w:val="20"/>
              </w:rPr>
            </w:pPr>
          </w:p>
        </w:tc>
        <w:tc>
          <w:tcPr>
            <w:tcW w:w="0" w:type="auto"/>
            <w:hideMark/>
          </w:tcPr>
          <w:p w14:paraId="5BB8C7C4" w14:textId="77777777" w:rsidR="009C778C" w:rsidRPr="00F33A88" w:rsidRDefault="009C778C" w:rsidP="0068273E">
            <w:pPr>
              <w:pStyle w:val="NoSpacing"/>
              <w:rPr>
                <w:sz w:val="20"/>
                <w:szCs w:val="20"/>
              </w:rPr>
            </w:pPr>
            <w:r w:rsidRPr="00F33A88">
              <w:rPr>
                <w:sz w:val="20"/>
                <w:szCs w:val="20"/>
              </w:rPr>
              <w:t>7.58***</w:t>
            </w:r>
          </w:p>
        </w:tc>
        <w:tc>
          <w:tcPr>
            <w:tcW w:w="0" w:type="auto"/>
            <w:hideMark/>
          </w:tcPr>
          <w:p w14:paraId="5AD4805F" w14:textId="77777777" w:rsidR="009C778C" w:rsidRPr="00F33A88" w:rsidRDefault="009C778C" w:rsidP="0068273E">
            <w:pPr>
              <w:pStyle w:val="NoSpacing"/>
              <w:rPr>
                <w:sz w:val="20"/>
                <w:szCs w:val="20"/>
              </w:rPr>
            </w:pPr>
          </w:p>
        </w:tc>
        <w:tc>
          <w:tcPr>
            <w:tcW w:w="0" w:type="auto"/>
            <w:hideMark/>
          </w:tcPr>
          <w:p w14:paraId="254DA903" w14:textId="77777777" w:rsidR="009C778C" w:rsidRPr="00F33A88" w:rsidRDefault="009C778C" w:rsidP="0068273E">
            <w:pPr>
              <w:pStyle w:val="NoSpacing"/>
              <w:rPr>
                <w:sz w:val="20"/>
                <w:szCs w:val="20"/>
              </w:rPr>
            </w:pPr>
            <w:r w:rsidRPr="00F33A88">
              <w:rPr>
                <w:sz w:val="20"/>
                <w:szCs w:val="20"/>
              </w:rPr>
              <w:t>0.17</w:t>
            </w:r>
          </w:p>
        </w:tc>
        <w:tc>
          <w:tcPr>
            <w:tcW w:w="0" w:type="auto"/>
            <w:hideMark/>
          </w:tcPr>
          <w:p w14:paraId="2F598C2B" w14:textId="77777777" w:rsidR="009C778C" w:rsidRPr="00F33A88" w:rsidRDefault="009C778C" w:rsidP="0068273E">
            <w:pPr>
              <w:pStyle w:val="NoSpacing"/>
              <w:rPr>
                <w:sz w:val="20"/>
                <w:szCs w:val="20"/>
              </w:rPr>
            </w:pPr>
          </w:p>
        </w:tc>
        <w:tc>
          <w:tcPr>
            <w:tcW w:w="0" w:type="auto"/>
            <w:hideMark/>
          </w:tcPr>
          <w:p w14:paraId="19630A51" w14:textId="77777777" w:rsidR="009C778C" w:rsidRPr="00F33A88" w:rsidRDefault="009C778C" w:rsidP="0068273E">
            <w:pPr>
              <w:pStyle w:val="NoSpacing"/>
              <w:rPr>
                <w:sz w:val="20"/>
                <w:szCs w:val="20"/>
              </w:rPr>
            </w:pPr>
          </w:p>
        </w:tc>
        <w:tc>
          <w:tcPr>
            <w:tcW w:w="0" w:type="auto"/>
            <w:hideMark/>
          </w:tcPr>
          <w:p w14:paraId="078F7DDA" w14:textId="77777777" w:rsidR="009C778C" w:rsidRPr="00F33A88" w:rsidRDefault="009C778C" w:rsidP="0068273E">
            <w:pPr>
              <w:pStyle w:val="NoSpacing"/>
              <w:rPr>
                <w:sz w:val="20"/>
                <w:szCs w:val="20"/>
              </w:rPr>
            </w:pPr>
            <w:r w:rsidRPr="00F33A88">
              <w:rPr>
                <w:sz w:val="20"/>
                <w:szCs w:val="20"/>
              </w:rPr>
              <w:t>40.47***</w:t>
            </w:r>
          </w:p>
        </w:tc>
      </w:tr>
      <w:tr w:rsidR="009C778C" w:rsidRPr="00F33A88" w14:paraId="2BA418FD" w14:textId="77777777" w:rsidTr="000650D6">
        <w:tc>
          <w:tcPr>
            <w:tcW w:w="0" w:type="auto"/>
            <w:hideMark/>
          </w:tcPr>
          <w:p w14:paraId="573D5207" w14:textId="77777777" w:rsidR="009C778C" w:rsidRPr="00F33A88" w:rsidRDefault="009C778C" w:rsidP="0068273E">
            <w:pPr>
              <w:pStyle w:val="NoSpacing"/>
              <w:rPr>
                <w:b/>
                <w:bCs/>
                <w:sz w:val="20"/>
                <w:szCs w:val="20"/>
              </w:rPr>
            </w:pPr>
            <w:r w:rsidRPr="00F33A88">
              <w:rPr>
                <w:b/>
                <w:bCs/>
                <w:sz w:val="20"/>
                <w:szCs w:val="20"/>
              </w:rPr>
              <w:t>(</w:t>
            </w:r>
            <w:r w:rsidRPr="00F33A88">
              <w:rPr>
                <w:b/>
                <w:bCs/>
                <w:i/>
                <w:iCs/>
                <w:sz w:val="20"/>
                <w:szCs w:val="20"/>
              </w:rPr>
              <w:t>p</w:t>
            </w:r>
            <w:r w:rsidRPr="00F33A88">
              <w:rPr>
                <w:b/>
                <w:bCs/>
                <w:sz w:val="20"/>
                <w:szCs w:val="20"/>
              </w:rPr>
              <w:t>-Value)</w:t>
            </w:r>
          </w:p>
        </w:tc>
        <w:tc>
          <w:tcPr>
            <w:tcW w:w="0" w:type="auto"/>
            <w:hideMark/>
          </w:tcPr>
          <w:p w14:paraId="6680BD7E" w14:textId="77777777" w:rsidR="009C778C" w:rsidRPr="00F33A88" w:rsidRDefault="009C778C" w:rsidP="0068273E">
            <w:pPr>
              <w:pStyle w:val="NoSpacing"/>
              <w:rPr>
                <w:b/>
                <w:bCs/>
                <w:sz w:val="20"/>
                <w:szCs w:val="20"/>
              </w:rPr>
            </w:pPr>
          </w:p>
        </w:tc>
        <w:tc>
          <w:tcPr>
            <w:tcW w:w="0" w:type="auto"/>
            <w:hideMark/>
          </w:tcPr>
          <w:p w14:paraId="73F27AA3" w14:textId="77777777" w:rsidR="009C778C" w:rsidRPr="00F33A88" w:rsidRDefault="009C778C" w:rsidP="0068273E">
            <w:pPr>
              <w:pStyle w:val="NoSpacing"/>
              <w:rPr>
                <w:sz w:val="20"/>
                <w:szCs w:val="20"/>
              </w:rPr>
            </w:pPr>
            <w:r w:rsidRPr="00F33A88">
              <w:rPr>
                <w:sz w:val="20"/>
                <w:szCs w:val="20"/>
              </w:rPr>
              <w:t>(&lt; 0.01)</w:t>
            </w:r>
          </w:p>
        </w:tc>
        <w:tc>
          <w:tcPr>
            <w:tcW w:w="0" w:type="auto"/>
            <w:hideMark/>
          </w:tcPr>
          <w:p w14:paraId="3857C6B0" w14:textId="77777777" w:rsidR="009C778C" w:rsidRPr="00F33A88" w:rsidRDefault="009C778C" w:rsidP="0068273E">
            <w:pPr>
              <w:pStyle w:val="NoSpacing"/>
              <w:rPr>
                <w:sz w:val="20"/>
                <w:szCs w:val="20"/>
              </w:rPr>
            </w:pPr>
          </w:p>
        </w:tc>
        <w:tc>
          <w:tcPr>
            <w:tcW w:w="0" w:type="auto"/>
            <w:hideMark/>
          </w:tcPr>
          <w:p w14:paraId="1A6E1100" w14:textId="77777777" w:rsidR="009C778C" w:rsidRPr="00F33A88" w:rsidRDefault="009C778C" w:rsidP="0068273E">
            <w:pPr>
              <w:pStyle w:val="NoSpacing"/>
              <w:rPr>
                <w:sz w:val="20"/>
                <w:szCs w:val="20"/>
              </w:rPr>
            </w:pPr>
            <w:r w:rsidRPr="00F33A88">
              <w:rPr>
                <w:sz w:val="20"/>
                <w:szCs w:val="20"/>
              </w:rPr>
              <w:t>(0.68)</w:t>
            </w:r>
          </w:p>
        </w:tc>
        <w:tc>
          <w:tcPr>
            <w:tcW w:w="0" w:type="auto"/>
            <w:hideMark/>
          </w:tcPr>
          <w:p w14:paraId="0B8EF649" w14:textId="77777777" w:rsidR="009C778C" w:rsidRPr="00F33A88" w:rsidRDefault="009C778C" w:rsidP="0068273E">
            <w:pPr>
              <w:pStyle w:val="NoSpacing"/>
              <w:rPr>
                <w:sz w:val="20"/>
                <w:szCs w:val="20"/>
              </w:rPr>
            </w:pPr>
          </w:p>
        </w:tc>
        <w:tc>
          <w:tcPr>
            <w:tcW w:w="0" w:type="auto"/>
            <w:hideMark/>
          </w:tcPr>
          <w:p w14:paraId="068AF45D" w14:textId="77777777" w:rsidR="009C778C" w:rsidRPr="00F33A88" w:rsidRDefault="009C778C" w:rsidP="0068273E">
            <w:pPr>
              <w:pStyle w:val="NoSpacing"/>
              <w:rPr>
                <w:sz w:val="20"/>
                <w:szCs w:val="20"/>
              </w:rPr>
            </w:pPr>
          </w:p>
        </w:tc>
        <w:tc>
          <w:tcPr>
            <w:tcW w:w="0" w:type="auto"/>
            <w:hideMark/>
          </w:tcPr>
          <w:p w14:paraId="1BCD3CD9" w14:textId="77777777" w:rsidR="009C778C" w:rsidRPr="00F33A88" w:rsidRDefault="009C778C" w:rsidP="0068273E">
            <w:pPr>
              <w:pStyle w:val="NoSpacing"/>
              <w:rPr>
                <w:sz w:val="20"/>
                <w:szCs w:val="20"/>
              </w:rPr>
            </w:pPr>
            <w:r w:rsidRPr="00F33A88">
              <w:rPr>
                <w:sz w:val="20"/>
                <w:szCs w:val="20"/>
              </w:rPr>
              <w:t>(&lt; 0.01)</w:t>
            </w:r>
          </w:p>
        </w:tc>
      </w:tr>
    </w:tbl>
    <w:p w14:paraId="521184C2" w14:textId="77777777" w:rsidR="000650D6" w:rsidRDefault="000650D6" w:rsidP="009C778C">
      <w:pPr>
        <w:rPr>
          <w:rFonts w:cstheme="minorHAnsi"/>
          <w:sz w:val="24"/>
          <w:szCs w:val="24"/>
        </w:rPr>
      </w:pPr>
    </w:p>
    <w:p w14:paraId="515F78AD" w14:textId="5BCFE859" w:rsidR="009C778C" w:rsidRPr="009C778C" w:rsidRDefault="009C778C" w:rsidP="009C778C">
      <w:pPr>
        <w:rPr>
          <w:rFonts w:cstheme="minorHAnsi"/>
          <w:sz w:val="24"/>
          <w:szCs w:val="24"/>
        </w:rPr>
      </w:pPr>
      <w:r w:rsidRPr="009C778C">
        <w:rPr>
          <w:rFonts w:cstheme="minorHAnsi"/>
          <w:sz w:val="24"/>
          <w:szCs w:val="24"/>
        </w:rPr>
        <w:t>To provide greater details for the baseline model, column (2) of </w:t>
      </w:r>
      <w:hyperlink r:id="rId87" w:anchor="t0020" w:history="1">
        <w:r w:rsidRPr="009C778C">
          <w:rPr>
            <w:rStyle w:val="Hyperlink"/>
            <w:rFonts w:cstheme="minorHAnsi"/>
            <w:sz w:val="24"/>
            <w:szCs w:val="24"/>
          </w:rPr>
          <w:t>Table 4</w:t>
        </w:r>
      </w:hyperlink>
      <w:r w:rsidRPr="009C778C">
        <w:rPr>
          <w:rFonts w:cstheme="minorHAnsi"/>
          <w:sz w:val="24"/>
          <w:szCs w:val="24"/>
        </w:rPr>
        <w:t> reports the estimation results when </w:t>
      </w:r>
      <w:r w:rsidRPr="009C778C">
        <w:rPr>
          <w:rFonts w:cstheme="minorHAnsi"/>
          <w:i/>
          <w:iCs/>
          <w:sz w:val="24"/>
          <w:szCs w:val="24"/>
        </w:rPr>
        <w:t>TOTAL</w:t>
      </w:r>
      <w:r w:rsidRPr="009C778C">
        <w:rPr>
          <w:rFonts w:cstheme="minorHAnsi"/>
          <w:sz w:val="24"/>
          <w:szCs w:val="24"/>
        </w:rPr>
        <w:t> is the only independent variable included in the regression, while column (3) reports the estimation results when </w:t>
      </w:r>
      <w:r w:rsidRPr="009C778C">
        <w:rPr>
          <w:rFonts w:cstheme="minorHAnsi"/>
          <w:i/>
          <w:iCs/>
          <w:sz w:val="24"/>
          <w:szCs w:val="24"/>
        </w:rPr>
        <w:t>DOMESTIC</w:t>
      </w:r>
      <w:r w:rsidRPr="009C778C">
        <w:rPr>
          <w:rFonts w:cstheme="minorHAnsi"/>
          <w:sz w:val="24"/>
          <w:szCs w:val="24"/>
        </w:rPr>
        <w:t> and </w:t>
      </w:r>
      <w:r w:rsidRPr="009C778C">
        <w:rPr>
          <w:rFonts w:cstheme="minorHAnsi"/>
          <w:i/>
          <w:iCs/>
          <w:sz w:val="24"/>
          <w:szCs w:val="24"/>
        </w:rPr>
        <w:t>FOREIGN</w:t>
      </w:r>
      <w:r w:rsidRPr="009C778C">
        <w:rPr>
          <w:rFonts w:cstheme="minorHAnsi"/>
          <w:sz w:val="24"/>
          <w:szCs w:val="24"/>
        </w:rPr>
        <w:t> are the only independent variables included in the regression. Column (4) reports the benchmark regression when only the control variables are included in the regression. Consistent with column (1) and prior studies (</w:t>
      </w:r>
      <w:hyperlink r:id="rId88" w:anchor="bb0115" w:history="1">
        <w:r w:rsidRPr="009C778C">
          <w:rPr>
            <w:rStyle w:val="Hyperlink"/>
            <w:rFonts w:cstheme="minorHAnsi"/>
            <w:sz w:val="24"/>
            <w:szCs w:val="24"/>
          </w:rPr>
          <w:t>Cornett et al., 2008</w:t>
        </w:r>
      </w:hyperlink>
      <w:r w:rsidRPr="009C778C">
        <w:rPr>
          <w:rFonts w:cstheme="minorHAnsi"/>
          <w:sz w:val="24"/>
          <w:szCs w:val="24"/>
        </w:rPr>
        <w:t>, </w:t>
      </w:r>
      <w:hyperlink r:id="rId89" w:anchor="bb0120" w:history="1">
        <w:r w:rsidRPr="009C778C">
          <w:rPr>
            <w:rStyle w:val="Hyperlink"/>
            <w:rFonts w:cstheme="minorHAnsi"/>
            <w:sz w:val="24"/>
            <w:szCs w:val="24"/>
          </w:rPr>
          <w:t>Cornett et al., 2009</w:t>
        </w:r>
      </w:hyperlink>
      <w:r w:rsidRPr="009C778C">
        <w:rPr>
          <w:rFonts w:cstheme="minorHAnsi"/>
          <w:sz w:val="24"/>
          <w:szCs w:val="24"/>
        </w:rPr>
        <w:t>, </w:t>
      </w:r>
      <w:proofErr w:type="spellStart"/>
      <w:r>
        <w:fldChar w:fldCharType="begin"/>
      </w:r>
      <w:r>
        <w:instrText>HYPERLINK "https://0-www-sciencedirect-com.libus.csd.mu.edu/science/article/pii/S0929119916300724" \l "bb0105"</w:instrText>
      </w:r>
      <w:r>
        <w:fldChar w:fldCharType="separate"/>
      </w:r>
      <w:r w:rsidRPr="009C778C">
        <w:rPr>
          <w:rStyle w:val="Hyperlink"/>
          <w:rFonts w:cstheme="minorHAnsi"/>
          <w:sz w:val="24"/>
          <w:szCs w:val="24"/>
        </w:rPr>
        <w:t>Chhaochharia</w:t>
      </w:r>
      <w:proofErr w:type="spellEnd"/>
      <w:r w:rsidRPr="009C778C">
        <w:rPr>
          <w:rStyle w:val="Hyperlink"/>
          <w:rFonts w:cstheme="minorHAnsi"/>
          <w:sz w:val="24"/>
          <w:szCs w:val="24"/>
        </w:rPr>
        <w:t xml:space="preserve"> et al., 2012</w:t>
      </w:r>
      <w:r>
        <w:rPr>
          <w:rStyle w:val="Hyperlink"/>
          <w:rFonts w:cstheme="minorHAnsi"/>
          <w:sz w:val="24"/>
          <w:szCs w:val="24"/>
        </w:rPr>
        <w:fldChar w:fldCharType="end"/>
      </w:r>
      <w:r w:rsidRPr="009C778C">
        <w:rPr>
          <w:rFonts w:cstheme="minorHAnsi"/>
          <w:sz w:val="24"/>
          <w:szCs w:val="24"/>
        </w:rPr>
        <w:t>), </w:t>
      </w:r>
      <w:r w:rsidRPr="009C778C">
        <w:rPr>
          <w:rFonts w:cstheme="minorHAnsi"/>
          <w:i/>
          <w:iCs/>
          <w:sz w:val="24"/>
          <w:szCs w:val="24"/>
        </w:rPr>
        <w:t>TOTAL</w:t>
      </w:r>
      <w:r w:rsidRPr="009C778C">
        <w:rPr>
          <w:rFonts w:cstheme="minorHAnsi"/>
          <w:sz w:val="24"/>
          <w:szCs w:val="24"/>
        </w:rPr>
        <w:t> is significantly and negatively related to </w:t>
      </w:r>
      <w:r w:rsidRPr="009C778C">
        <w:rPr>
          <w:rFonts w:cstheme="minorHAnsi"/>
          <w:i/>
          <w:iCs/>
          <w:sz w:val="24"/>
          <w:szCs w:val="24"/>
        </w:rPr>
        <w:t>Agg. EM</w:t>
      </w:r>
      <w:r w:rsidRPr="009C778C">
        <w:rPr>
          <w:rFonts w:cstheme="minorHAnsi"/>
          <w:sz w:val="24"/>
          <w:szCs w:val="24"/>
        </w:rPr>
        <w:t> in columns (2) and (5).</w:t>
      </w:r>
    </w:p>
    <w:p w14:paraId="56A56BB9" w14:textId="77777777" w:rsidR="009C778C" w:rsidRPr="009C778C" w:rsidRDefault="009C778C" w:rsidP="009C778C">
      <w:pPr>
        <w:rPr>
          <w:rFonts w:cstheme="minorHAnsi"/>
          <w:sz w:val="24"/>
          <w:szCs w:val="24"/>
        </w:rPr>
      </w:pPr>
      <w:r w:rsidRPr="009C778C">
        <w:rPr>
          <w:rFonts w:cstheme="minorHAnsi"/>
          <w:sz w:val="24"/>
          <w:szCs w:val="24"/>
        </w:rPr>
        <w:t>Our model specification performs well when compared to the literature. Our baseline model explains 0.108 of the variation in </w:t>
      </w:r>
      <w:r w:rsidRPr="009C778C">
        <w:rPr>
          <w:rFonts w:cstheme="minorHAnsi"/>
          <w:i/>
          <w:iCs/>
          <w:sz w:val="24"/>
          <w:szCs w:val="24"/>
        </w:rPr>
        <w:t>Agg. EM</w:t>
      </w:r>
      <w:r w:rsidRPr="009C778C">
        <w:rPr>
          <w:rFonts w:cstheme="minorHAnsi"/>
          <w:sz w:val="24"/>
          <w:szCs w:val="24"/>
        </w:rPr>
        <w:t>. For comparison, </w:t>
      </w:r>
      <w:proofErr w:type="spellStart"/>
      <w:r>
        <w:fldChar w:fldCharType="begin"/>
      </w:r>
      <w:r>
        <w:instrText>HYPERLINK "https://0-www-sciencedirect-com.libus.csd.mu.edu/science/article/pii/S0929119916300724" \l "bb0105"</w:instrText>
      </w:r>
      <w:r>
        <w:fldChar w:fldCharType="separate"/>
      </w:r>
      <w:r w:rsidRPr="009C778C">
        <w:rPr>
          <w:rStyle w:val="Hyperlink"/>
          <w:rFonts w:cstheme="minorHAnsi"/>
          <w:sz w:val="24"/>
          <w:szCs w:val="24"/>
        </w:rPr>
        <w:t>Chhaochharia</w:t>
      </w:r>
      <w:proofErr w:type="spellEnd"/>
      <w:r w:rsidRPr="009C778C">
        <w:rPr>
          <w:rStyle w:val="Hyperlink"/>
          <w:rFonts w:cstheme="minorHAnsi"/>
          <w:sz w:val="24"/>
          <w:szCs w:val="24"/>
        </w:rPr>
        <w:t xml:space="preserve"> et al. (2012)</w:t>
      </w:r>
      <w:r>
        <w:rPr>
          <w:rStyle w:val="Hyperlink"/>
          <w:rFonts w:cstheme="minorHAnsi"/>
          <w:sz w:val="24"/>
          <w:szCs w:val="24"/>
        </w:rPr>
        <w:fldChar w:fldCharType="end"/>
      </w:r>
      <w:r w:rsidRPr="009C778C">
        <w:rPr>
          <w:rFonts w:cstheme="minorHAnsi"/>
          <w:sz w:val="24"/>
          <w:szCs w:val="24"/>
        </w:rPr>
        <w:t> report an adjusted R-squared of 0.099 when relating institutional ownership to absolute value of </w:t>
      </w:r>
      <w:hyperlink r:id="rId90" w:tooltip="Learn more about discretionary accruals from ScienceDirect's AI-generated Topic Pages" w:history="1">
        <w:r w:rsidRPr="009C778C">
          <w:rPr>
            <w:rStyle w:val="Hyperlink"/>
            <w:rFonts w:cstheme="minorHAnsi"/>
            <w:sz w:val="24"/>
            <w:szCs w:val="24"/>
          </w:rPr>
          <w:t>discretionary accruals</w:t>
        </w:r>
      </w:hyperlink>
      <w:r w:rsidRPr="009C778C">
        <w:rPr>
          <w:rFonts w:cstheme="minorHAnsi"/>
          <w:sz w:val="24"/>
          <w:szCs w:val="24"/>
        </w:rPr>
        <w:t> estimated using the modified Jones model. </w:t>
      </w:r>
      <w:hyperlink r:id="rId91" w:anchor="bb0025" w:history="1">
        <w:r w:rsidRPr="009C778C">
          <w:rPr>
            <w:rStyle w:val="Hyperlink"/>
            <w:rFonts w:cstheme="minorHAnsi"/>
            <w:sz w:val="24"/>
            <w:szCs w:val="24"/>
          </w:rPr>
          <w:t>Ayers et al. (2011)</w:t>
        </w:r>
      </w:hyperlink>
      <w:r w:rsidRPr="009C778C">
        <w:rPr>
          <w:rFonts w:cstheme="minorHAnsi"/>
          <w:sz w:val="24"/>
          <w:szCs w:val="24"/>
        </w:rPr>
        <w:t> report an adjusted R-squared of 0.076 when relating the presence of local and distant institutional investors to absolute value of abnormal accruals. </w:t>
      </w:r>
      <w:hyperlink r:id="rId92" w:anchor="bb0115" w:history="1">
        <w:r w:rsidRPr="009C778C">
          <w:rPr>
            <w:rStyle w:val="Hyperlink"/>
            <w:rFonts w:cstheme="minorHAnsi"/>
            <w:sz w:val="24"/>
            <w:szCs w:val="24"/>
          </w:rPr>
          <w:t>Cornett et al. (2008)</w:t>
        </w:r>
      </w:hyperlink>
      <w:r w:rsidRPr="009C778C">
        <w:rPr>
          <w:rFonts w:cstheme="minorHAnsi"/>
          <w:sz w:val="24"/>
          <w:szCs w:val="24"/>
        </w:rPr>
        <w:t> report a higher adjusted R-squared (0.418) likely because they use a much more homogenous group of firms than either this paper or </w:t>
      </w:r>
      <w:proofErr w:type="spellStart"/>
      <w:r>
        <w:fldChar w:fldCharType="begin"/>
      </w:r>
      <w:r>
        <w:instrText>HYPERLINK "https://0-www-sciencedirect-com.libus.csd.mu.edu/science/article/pii/S0929119916300724" \l "bb0105"</w:instrText>
      </w:r>
      <w:r>
        <w:fldChar w:fldCharType="separate"/>
      </w:r>
      <w:r w:rsidRPr="009C778C">
        <w:rPr>
          <w:rStyle w:val="Hyperlink"/>
          <w:rFonts w:cstheme="minorHAnsi"/>
          <w:sz w:val="24"/>
          <w:szCs w:val="24"/>
        </w:rPr>
        <w:t>Chhaochharia</w:t>
      </w:r>
      <w:proofErr w:type="spellEnd"/>
      <w:r w:rsidRPr="009C778C">
        <w:rPr>
          <w:rStyle w:val="Hyperlink"/>
          <w:rFonts w:cstheme="minorHAnsi"/>
          <w:sz w:val="24"/>
          <w:szCs w:val="24"/>
        </w:rPr>
        <w:t xml:space="preserve"> et al. (2012)</w:t>
      </w:r>
      <w:r>
        <w:rPr>
          <w:rStyle w:val="Hyperlink"/>
          <w:rFonts w:cstheme="minorHAnsi"/>
          <w:sz w:val="24"/>
          <w:szCs w:val="24"/>
        </w:rPr>
        <w:fldChar w:fldCharType="end"/>
      </w:r>
      <w:r w:rsidRPr="009C778C">
        <w:rPr>
          <w:rFonts w:cstheme="minorHAnsi"/>
          <w:sz w:val="24"/>
          <w:szCs w:val="24"/>
        </w:rPr>
        <w:t> and </w:t>
      </w:r>
      <w:hyperlink r:id="rId93" w:anchor="bb0025" w:history="1">
        <w:r w:rsidRPr="009C778C">
          <w:rPr>
            <w:rStyle w:val="Hyperlink"/>
            <w:rFonts w:cstheme="minorHAnsi"/>
            <w:sz w:val="24"/>
            <w:szCs w:val="24"/>
          </w:rPr>
          <w:t>Ayers et al. (2011)</w:t>
        </w:r>
      </w:hyperlink>
      <w:r w:rsidRPr="009C778C">
        <w:rPr>
          <w:rFonts w:cstheme="minorHAnsi"/>
          <w:sz w:val="24"/>
          <w:szCs w:val="24"/>
        </w:rPr>
        <w:t>. </w:t>
      </w:r>
      <w:hyperlink r:id="rId94" w:anchor="bb0115" w:history="1">
        <w:r w:rsidRPr="009C778C">
          <w:rPr>
            <w:rStyle w:val="Hyperlink"/>
            <w:rFonts w:cstheme="minorHAnsi"/>
            <w:sz w:val="24"/>
            <w:szCs w:val="24"/>
          </w:rPr>
          <w:t>Cornett et al. (2008)</w:t>
        </w:r>
      </w:hyperlink>
      <w:r w:rsidRPr="009C778C">
        <w:rPr>
          <w:rFonts w:cstheme="minorHAnsi"/>
          <w:sz w:val="24"/>
          <w:szCs w:val="24"/>
        </w:rPr>
        <w:t> study S&amp;P100, which are the largest U.S. firms by market capitalization.</w:t>
      </w:r>
    </w:p>
    <w:p w14:paraId="2322811C" w14:textId="77777777" w:rsidR="009C778C" w:rsidRPr="009C778C" w:rsidRDefault="009C778C" w:rsidP="005D5079">
      <w:pPr>
        <w:pStyle w:val="Heading3"/>
      </w:pPr>
      <w:r w:rsidRPr="009C778C">
        <w:t>4.1.1. Endogeneity checks</w:t>
      </w:r>
    </w:p>
    <w:p w14:paraId="7DBFCE09" w14:textId="77777777" w:rsidR="009C778C" w:rsidRPr="009C778C" w:rsidRDefault="009C778C" w:rsidP="009C778C">
      <w:pPr>
        <w:rPr>
          <w:rFonts w:cstheme="minorHAnsi"/>
          <w:sz w:val="24"/>
          <w:szCs w:val="24"/>
        </w:rPr>
      </w:pPr>
      <w:r w:rsidRPr="009C778C">
        <w:rPr>
          <w:rFonts w:cstheme="minorHAnsi"/>
          <w:sz w:val="24"/>
          <w:szCs w:val="24"/>
        </w:rPr>
        <w:t>An alternative explanation for the results in </w:t>
      </w:r>
      <w:hyperlink r:id="rId95" w:anchor="t0020" w:history="1">
        <w:r w:rsidRPr="009C778C">
          <w:rPr>
            <w:rStyle w:val="Hyperlink"/>
            <w:rFonts w:cstheme="minorHAnsi"/>
            <w:sz w:val="24"/>
            <w:szCs w:val="24"/>
          </w:rPr>
          <w:t>Table 4</w:t>
        </w:r>
      </w:hyperlink>
      <w:r w:rsidRPr="009C778C">
        <w:rPr>
          <w:rFonts w:cstheme="minorHAnsi"/>
          <w:sz w:val="24"/>
          <w:szCs w:val="24"/>
        </w:rPr>
        <w:t xml:space="preserve"> is that domestic institutional investors are more skilled than foreign counterparts at identifying local firms with higher quality financial statements. In other words, our results arise not from domestic institutions being more effective monitors but from them being better stock pickers. It is worth noting that in the latter case, domestic institutions still enjoy local information advantages over foreign ones, which is a key ingredient for monitoring effectiveness if an investor chooses to monitor. It is also possible that foreign institutions systematically prefer certain types of </w:t>
      </w:r>
      <w:proofErr w:type="gramStart"/>
      <w:r w:rsidRPr="009C778C">
        <w:rPr>
          <w:rFonts w:cstheme="minorHAnsi"/>
          <w:sz w:val="24"/>
          <w:szCs w:val="24"/>
        </w:rPr>
        <w:t>firms</w:t>
      </w:r>
      <w:proofErr w:type="gramEnd"/>
      <w:r w:rsidRPr="009C778C">
        <w:rPr>
          <w:rFonts w:cstheme="minorHAnsi"/>
          <w:sz w:val="24"/>
          <w:szCs w:val="24"/>
        </w:rPr>
        <w:t xml:space="preserve"> and those firms happen to more opportunistically report earnings. In short, endogeneity may influence our results. To address this concern, we conduct four robustness checks: 1) a two-stage least-squares </w:t>
      </w:r>
      <w:hyperlink r:id="rId96" w:tooltip="Learn more about instrumental variable from ScienceDirect's AI-generated Topic Pages" w:history="1">
        <w:r w:rsidRPr="009C778C">
          <w:rPr>
            <w:rStyle w:val="Hyperlink"/>
            <w:rFonts w:cstheme="minorHAnsi"/>
            <w:sz w:val="24"/>
            <w:szCs w:val="24"/>
          </w:rPr>
          <w:t>instrumental variable</w:t>
        </w:r>
      </w:hyperlink>
      <w:r w:rsidRPr="009C778C">
        <w:rPr>
          <w:rFonts w:cstheme="minorHAnsi"/>
          <w:sz w:val="24"/>
          <w:szCs w:val="24"/>
        </w:rPr>
        <w:t> (2SLS-IV) analysis; 2) a reverse casualty analysis; 3) the dynamic panel generalized-method-of-moments (GMM) analysis; and 4) a propensity-score-matching (PSM) analysis. Our results remain qualitatively similar in these robustness checks. To conserve space, we do not report the results in the paper, but make them available in the Internet Appendix.</w:t>
      </w:r>
    </w:p>
    <w:p w14:paraId="42501852" w14:textId="77777777" w:rsidR="009C778C" w:rsidRPr="009C778C" w:rsidRDefault="009C778C" w:rsidP="005D5079">
      <w:pPr>
        <w:pStyle w:val="Heading3"/>
      </w:pPr>
      <w:r w:rsidRPr="009C778C">
        <w:t>4.1.2. Other robustness checks</w:t>
      </w:r>
    </w:p>
    <w:p w14:paraId="15C1CEBE" w14:textId="77777777" w:rsidR="009C778C" w:rsidRPr="009C778C" w:rsidRDefault="009C778C" w:rsidP="009C778C">
      <w:pPr>
        <w:rPr>
          <w:rFonts w:cstheme="minorHAnsi"/>
          <w:sz w:val="24"/>
          <w:szCs w:val="24"/>
        </w:rPr>
      </w:pPr>
      <w:r w:rsidRPr="009C778C">
        <w:rPr>
          <w:rFonts w:cstheme="minorHAnsi"/>
          <w:sz w:val="24"/>
          <w:szCs w:val="24"/>
        </w:rPr>
        <w:t>We perform additional tests for more robustness. The results are reported in </w:t>
      </w:r>
      <w:bookmarkStart w:id="71" w:name="bs009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"s0095"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Appendix C</w:t>
      </w:r>
      <w:r w:rsidRPr="009C778C">
        <w:rPr>
          <w:rFonts w:cstheme="minorHAnsi"/>
          <w:sz w:val="24"/>
          <w:szCs w:val="24"/>
        </w:rPr>
        <w:fldChar w:fldCharType="end"/>
      </w:r>
      <w:bookmarkEnd w:id="71"/>
      <w:r w:rsidRPr="009C778C">
        <w:rPr>
          <w:rFonts w:cstheme="minorHAnsi"/>
          <w:sz w:val="24"/>
          <w:szCs w:val="24"/>
        </w:rPr>
        <w:t>. Column (1) reports the regression results when we estimate the baseline model replacing industry with firm fixed effects. Column (2) reports the estimation results of the baseline model when we replace firm-level clustering with country-level clustering. Column (3) reports the regression results when we estimate the baseline model using robust standard errors adjusted for heteroscedasticity and two-way clustering by firm and year. As missing institutional ownership values are set to zero, we follow the literature (e.g., </w:t>
      </w:r>
      <w:hyperlink r:id="rId97" w:anchor="bb0150" w:history="1">
        <w:r w:rsidRPr="009C778C">
          <w:rPr>
            <w:rStyle w:val="Hyperlink"/>
            <w:rFonts w:cstheme="minorHAnsi"/>
            <w:sz w:val="24"/>
            <w:szCs w:val="24"/>
          </w:rPr>
          <w:t>Ferreira and Matos, 2008</w:t>
        </w:r>
      </w:hyperlink>
      <w:r w:rsidRPr="009C778C">
        <w:rPr>
          <w:rFonts w:cstheme="minorHAnsi"/>
          <w:sz w:val="24"/>
          <w:szCs w:val="24"/>
        </w:rPr>
        <w:t>) and re-run the baseline model using only observations with non-missing institutional ownership to mitigate the concern that the missing data may influence our inference. The results are reported in column (4). As </w:t>
      </w:r>
      <w:hyperlink r:id="rId98" w:anchor="t0005" w:history="1">
        <w:r w:rsidRPr="009C778C">
          <w:rPr>
            <w:rStyle w:val="Hyperlink"/>
            <w:rFonts w:cstheme="minorHAnsi"/>
            <w:sz w:val="24"/>
            <w:szCs w:val="24"/>
          </w:rPr>
          <w:t>Table 1</w:t>
        </w:r>
      </w:hyperlink>
      <w:bookmarkEnd w:id="56"/>
      <w:r w:rsidRPr="009C778C">
        <w:rPr>
          <w:rFonts w:cstheme="minorHAnsi"/>
          <w:sz w:val="24"/>
          <w:szCs w:val="24"/>
        </w:rPr>
        <w:t> shows, Japan has a much larger number of firm-year observations than other countries. To alleviate the concern that one country may drive our results, similar to </w:t>
      </w:r>
      <w:bookmarkStart w:id="72" w:name="bbb013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"bb0130"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DeFond</w:t>
      </w:r>
      <w:proofErr w:type="spellEnd"/>
      <w:r w:rsidRPr="009C778C">
        <w:rPr>
          <w:rStyle w:val="Hyperlink"/>
          <w:rFonts w:cstheme="minorHAnsi"/>
          <w:sz w:val="24"/>
          <w:szCs w:val="24"/>
        </w:rPr>
        <w:t xml:space="preserve"> et al. (2007)</w:t>
      </w:r>
      <w:r w:rsidRPr="009C778C">
        <w:rPr>
          <w:rFonts w:cstheme="minorHAnsi"/>
          <w:sz w:val="24"/>
          <w:szCs w:val="24"/>
        </w:rPr>
        <w:fldChar w:fldCharType="end"/>
      </w:r>
      <w:bookmarkEnd w:id="72"/>
      <w:r w:rsidRPr="009C778C">
        <w:rPr>
          <w:rFonts w:cstheme="minorHAnsi"/>
          <w:sz w:val="24"/>
          <w:szCs w:val="24"/>
        </w:rPr>
        <w:t>, we re-run the baseline model after excluding Japan from the sample. The results are reported in column (5). Although both the correlation matrix and the VIF analysis indicate that the multicollinearity problem is not a serious concern for this study, for additional robustness, we re-run the baseline model after dropping the domestic and foreign institutional ownership variables and including in their place the ratio of domestic institutional ownership over foreign institutional ownership. The results are reported in column (6). Column (7) reports the estimation results of the baseline model when we exclude the 2008 Global Financial Crisis (i.e., sample years from 2007 to 2009), as managers' incentives to manage earnings and institutions' willingness to invest may have been different in the crisis years. Column (8) reports the regression results when we add to the baseline model a cross-listing dummy (</w:t>
      </w:r>
      <w:r w:rsidRPr="009C778C">
        <w:rPr>
          <w:rFonts w:cstheme="minorHAnsi"/>
          <w:i/>
          <w:iCs/>
          <w:sz w:val="24"/>
          <w:szCs w:val="24"/>
        </w:rPr>
        <w:t>CROSS_LISTING</w:t>
      </w:r>
      <w:r w:rsidRPr="009C778C">
        <w:rPr>
          <w:rFonts w:cstheme="minorHAnsi"/>
          <w:sz w:val="24"/>
          <w:szCs w:val="24"/>
        </w:rPr>
        <w:t xml:space="preserve">), which is an indicator variable that equals one if a firm is cross-listed on a foreign exchange, including the cross-listing of common shares, global depository receipts (GDRs), and American depository receipts (ADRs). Last, we </w:t>
      </w:r>
      <w:proofErr w:type="gramStart"/>
      <w:r w:rsidRPr="009C778C">
        <w:rPr>
          <w:rFonts w:cstheme="minorHAnsi"/>
          <w:sz w:val="24"/>
          <w:szCs w:val="24"/>
        </w:rPr>
        <w:t>control for</w:t>
      </w:r>
      <w:proofErr w:type="gramEnd"/>
      <w:r w:rsidRPr="009C778C">
        <w:rPr>
          <w:rFonts w:cstheme="minorHAnsi"/>
          <w:sz w:val="24"/>
          <w:szCs w:val="24"/>
        </w:rPr>
        <w:t xml:space="preserve"> the governance characteristics of investee firms by adding to the baseline model the G-index. The G-index is a composite measure of 41 firm-level governance attributes and comes from </w:t>
      </w:r>
      <w:hyperlink r:id="rId99" w:anchor="bb0005" w:history="1">
        <w:r w:rsidRPr="009C778C">
          <w:rPr>
            <w:rStyle w:val="Hyperlink"/>
            <w:rFonts w:cstheme="minorHAnsi"/>
            <w:sz w:val="24"/>
            <w:szCs w:val="24"/>
          </w:rPr>
          <w:t>Aggarwal et al. (2011)</w:t>
        </w:r>
      </w:hyperlink>
      <w:r w:rsidRPr="009C778C">
        <w:rPr>
          <w:rFonts w:cstheme="minorHAnsi"/>
          <w:sz w:val="24"/>
          <w:szCs w:val="24"/>
        </w:rPr>
        <w:t>. The results are reported in column (9). We lose a substantial number of observations when we impose the data requirement of G-index, because the sample of </w:t>
      </w:r>
      <w:hyperlink r:id="rId100" w:anchor="bb0005" w:history="1">
        <w:r w:rsidRPr="009C778C">
          <w:rPr>
            <w:rStyle w:val="Hyperlink"/>
            <w:rFonts w:cstheme="minorHAnsi"/>
            <w:sz w:val="24"/>
            <w:szCs w:val="24"/>
          </w:rPr>
          <w:t>Aggarwal et al. (2011)</w:t>
        </w:r>
      </w:hyperlink>
      <w:r w:rsidRPr="009C778C">
        <w:rPr>
          <w:rFonts w:cstheme="minorHAnsi"/>
          <w:sz w:val="24"/>
          <w:szCs w:val="24"/>
        </w:rPr>
        <w:t> covers large firms in developed countries from 2004 to 2008, while our sample consists of a larger number of smaller firms, includes developing countries, and spans 2001 to 2013. Our results hold in each of these robustness checks.</w:t>
      </w:r>
    </w:p>
    <w:p w14:paraId="47251767" w14:textId="77777777" w:rsidR="009C778C" w:rsidRPr="009C778C" w:rsidRDefault="009C778C" w:rsidP="005D5079">
      <w:pPr>
        <w:pStyle w:val="Heading2"/>
      </w:pPr>
      <w:r w:rsidRPr="009C778C">
        <w:t>4.2. Additional evidence for the role of information asymmetry</w:t>
      </w:r>
    </w:p>
    <w:p w14:paraId="74FFB616" w14:textId="77777777" w:rsidR="009C778C" w:rsidRPr="009C778C" w:rsidRDefault="0044383A" w:rsidP="009C778C">
      <w:pPr>
        <w:rPr>
          <w:rFonts w:cstheme="minorHAnsi"/>
          <w:sz w:val="24"/>
          <w:szCs w:val="24"/>
        </w:rPr>
      </w:pPr>
      <w:hyperlink r:id="rId101" w:anchor="en0010" w:history="1">
        <w:r w:rsidR="009C778C" w:rsidRPr="009C778C">
          <w:rPr>
            <w:rStyle w:val="Hyperlink"/>
            <w:rFonts w:cstheme="minorHAnsi"/>
            <w:sz w:val="24"/>
            <w:szCs w:val="24"/>
          </w:rPr>
          <w:t>H1a</w:t>
        </w:r>
      </w:hyperlink>
      <w:r w:rsidR="009C778C" w:rsidRPr="009C778C">
        <w:rPr>
          <w:rFonts w:cstheme="minorHAnsi"/>
          <w:sz w:val="24"/>
          <w:szCs w:val="24"/>
        </w:rPr>
        <w:t> predicts that the “Hometown Advantage” is more pronounced when information asymmetry is higher. To test </w:t>
      </w:r>
      <w:hyperlink r:id="rId102" w:anchor="en0010" w:history="1">
        <w:r w:rsidR="009C778C" w:rsidRPr="009C778C">
          <w:rPr>
            <w:rStyle w:val="Hyperlink"/>
            <w:rFonts w:cstheme="minorHAnsi"/>
            <w:sz w:val="24"/>
            <w:szCs w:val="24"/>
          </w:rPr>
          <w:t>H1a</w:t>
        </w:r>
      </w:hyperlink>
      <w:r w:rsidR="009C778C" w:rsidRPr="009C778C">
        <w:rPr>
          <w:rFonts w:cstheme="minorHAnsi"/>
          <w:sz w:val="24"/>
          <w:szCs w:val="24"/>
        </w:rPr>
        <w:t>, we partition the sample into two groups based on information acquisition and processing costs at the firm and country levels. </w:t>
      </w:r>
      <w:hyperlink r:id="rId103" w:anchor="en0010" w:history="1">
        <w:r w:rsidR="009C778C" w:rsidRPr="009C778C">
          <w:rPr>
            <w:rStyle w:val="Hyperlink"/>
            <w:rFonts w:cstheme="minorHAnsi"/>
            <w:sz w:val="24"/>
            <w:szCs w:val="24"/>
          </w:rPr>
          <w:t>H1a</w:t>
        </w:r>
      </w:hyperlink>
      <w:r w:rsidR="009C778C" w:rsidRPr="009C778C">
        <w:rPr>
          <w:rFonts w:cstheme="minorHAnsi"/>
          <w:sz w:val="24"/>
          <w:szCs w:val="24"/>
        </w:rPr>
        <w:t> predicts that the coefficient difference between </w:t>
      </w:r>
      <w:proofErr w:type="spellStart"/>
      <w:r w:rsidR="009C778C" w:rsidRPr="009C778C">
        <w:rPr>
          <w:rFonts w:cstheme="minorHAnsi"/>
          <w:i/>
          <w:iCs/>
          <w:sz w:val="24"/>
          <w:szCs w:val="24"/>
        </w:rPr>
        <w:t>DOMESTIC</w:t>
      </w:r>
      <w:r w:rsidR="009C778C" w:rsidRPr="009C778C">
        <w:rPr>
          <w:rFonts w:cstheme="minorHAnsi"/>
          <w:i/>
          <w:iCs/>
          <w:sz w:val="24"/>
          <w:szCs w:val="24"/>
          <w:vertAlign w:val="subscript"/>
        </w:rPr>
        <w:t>t</w:t>
      </w:r>
      <w:proofErr w:type="spellEnd"/>
      <w:r w:rsidR="009C778C" w:rsidRPr="009C778C">
        <w:rPr>
          <w:rFonts w:cstheme="minorHAnsi"/>
          <w:i/>
          <w:iCs/>
          <w:sz w:val="24"/>
          <w:szCs w:val="24"/>
          <w:vertAlign w:val="subscript"/>
        </w:rPr>
        <w:t> − 1</w:t>
      </w:r>
      <w:r w:rsidR="009C778C" w:rsidRPr="009C778C">
        <w:rPr>
          <w:rFonts w:cstheme="minorHAnsi"/>
          <w:sz w:val="24"/>
          <w:szCs w:val="24"/>
        </w:rPr>
        <w:t> and </w:t>
      </w:r>
      <w:proofErr w:type="spellStart"/>
      <w:r w:rsidR="009C778C" w:rsidRPr="009C778C">
        <w:rPr>
          <w:rFonts w:cstheme="minorHAnsi"/>
          <w:i/>
          <w:iCs/>
          <w:sz w:val="24"/>
          <w:szCs w:val="24"/>
        </w:rPr>
        <w:t>FOREIGN</w:t>
      </w:r>
      <w:r w:rsidR="009C778C" w:rsidRPr="009C778C">
        <w:rPr>
          <w:rFonts w:cstheme="minorHAnsi"/>
          <w:i/>
          <w:iCs/>
          <w:sz w:val="24"/>
          <w:szCs w:val="24"/>
          <w:vertAlign w:val="subscript"/>
        </w:rPr>
        <w:t>t</w:t>
      </w:r>
      <w:proofErr w:type="spellEnd"/>
      <w:r w:rsidR="009C778C" w:rsidRPr="009C778C">
        <w:rPr>
          <w:rFonts w:cstheme="minorHAnsi"/>
          <w:i/>
          <w:iCs/>
          <w:sz w:val="24"/>
          <w:szCs w:val="24"/>
          <w:vertAlign w:val="subscript"/>
        </w:rPr>
        <w:t> − 1</w:t>
      </w:r>
      <w:r w:rsidR="009C778C" w:rsidRPr="009C778C">
        <w:rPr>
          <w:rFonts w:cstheme="minorHAnsi"/>
          <w:sz w:val="24"/>
          <w:szCs w:val="24"/>
        </w:rPr>
        <w:t> is more negative in the subgroup with high levels of information costs than the coefficient difference in the subgroup with low levels of information costs. Given this specific directional prediction, we use a one-tail test to test </w:t>
      </w:r>
      <w:hyperlink r:id="rId104" w:anchor="en0010" w:history="1">
        <w:r w:rsidR="009C778C" w:rsidRPr="009C778C">
          <w:rPr>
            <w:rStyle w:val="Hyperlink"/>
            <w:rFonts w:cstheme="minorHAnsi"/>
            <w:sz w:val="24"/>
            <w:szCs w:val="24"/>
          </w:rPr>
          <w:t>H1a</w:t>
        </w:r>
      </w:hyperlink>
      <w:r w:rsidR="009C778C" w:rsidRPr="009C778C">
        <w:rPr>
          <w:rFonts w:cstheme="minorHAnsi"/>
          <w:sz w:val="24"/>
          <w:szCs w:val="24"/>
        </w:rPr>
        <w:t>.</w:t>
      </w:r>
    </w:p>
    <w:p w14:paraId="10F96ADF" w14:textId="77777777" w:rsidR="009C778C" w:rsidRPr="009C778C" w:rsidRDefault="009C778C" w:rsidP="009C778C">
      <w:pPr>
        <w:rPr>
          <w:rFonts w:cstheme="minorHAnsi"/>
          <w:sz w:val="24"/>
          <w:szCs w:val="24"/>
        </w:rPr>
      </w:pPr>
      <w:r w:rsidRPr="009C778C">
        <w:rPr>
          <w:rFonts w:cstheme="minorHAnsi"/>
          <w:sz w:val="24"/>
          <w:szCs w:val="24"/>
        </w:rPr>
        <w:t>To proxy for firm-level information acquisition and processing costs, we use median values of firm size and analyst coverage to separate firms into the subgroups of high and low levels of information costs. Due to more extensive media coverage and more intensive market scrutiny, a larger volume of information is produced for large firms and firms with more analyst coverage. Consequently, we expect investors in small firms and firms with shallow analyst coverage to face a higher level of information acquisition and processing costs. Panel A of </w:t>
      </w:r>
      <w:bookmarkStart w:id="73" w:name="bt002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"t0025"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Table 5</w:t>
      </w:r>
      <w:r w:rsidRPr="009C778C">
        <w:rPr>
          <w:rFonts w:cstheme="minorHAnsi"/>
          <w:sz w:val="24"/>
          <w:szCs w:val="24"/>
        </w:rPr>
        <w:fldChar w:fldCharType="end"/>
      </w:r>
      <w:bookmarkEnd w:id="73"/>
      <w:r w:rsidRPr="009C778C">
        <w:rPr>
          <w:rFonts w:cstheme="minorHAnsi"/>
          <w:sz w:val="24"/>
          <w:szCs w:val="24"/>
        </w:rPr>
        <w:t> reports regression results when we estimate the baseline model separately for the subgroups. Consistent with </w:t>
      </w:r>
      <w:hyperlink r:id="rId105" w:anchor="en0010" w:history="1">
        <w:r w:rsidRPr="009C778C">
          <w:rPr>
            <w:rStyle w:val="Hyperlink"/>
            <w:rFonts w:cstheme="minorHAnsi"/>
            <w:sz w:val="24"/>
            <w:szCs w:val="24"/>
          </w:rPr>
          <w:t>H1a</w:t>
        </w:r>
      </w:hyperlink>
      <w:r w:rsidRPr="009C778C">
        <w:rPr>
          <w:rFonts w:cstheme="minorHAnsi"/>
          <w:sz w:val="24"/>
          <w:szCs w:val="24"/>
        </w:rPr>
        <w:t>, the coefficient difference between </w:t>
      </w:r>
      <w:proofErr w:type="spellStart"/>
      <w:r w:rsidRPr="009C778C">
        <w:rPr>
          <w:rFonts w:cstheme="minorHAnsi"/>
          <w:i/>
          <w:iCs/>
          <w:sz w:val="24"/>
          <w:szCs w:val="24"/>
        </w:rPr>
        <w:t>DOMESTIC</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and </w:t>
      </w:r>
      <w:proofErr w:type="spellStart"/>
      <w:r w:rsidRPr="009C778C">
        <w:rPr>
          <w:rFonts w:cstheme="minorHAnsi"/>
          <w:i/>
          <w:iCs/>
          <w:sz w:val="24"/>
          <w:szCs w:val="24"/>
        </w:rPr>
        <w:t>FOREIGN</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is significantly more negative when the investee firms are smaller (</w:t>
      </w:r>
      <w:r w:rsidRPr="009C778C">
        <w:rPr>
          <w:rFonts w:cstheme="minorHAnsi"/>
          <w:i/>
          <w:iCs/>
          <w:sz w:val="24"/>
          <w:szCs w:val="24"/>
        </w:rPr>
        <w:t>p</w:t>
      </w:r>
      <w:r w:rsidRPr="009C778C">
        <w:rPr>
          <w:rFonts w:cstheme="minorHAnsi"/>
          <w:sz w:val="24"/>
          <w:szCs w:val="24"/>
        </w:rPr>
        <w:t>-value = 0.02) or when fewer analysts follow the investee firms (</w:t>
      </w:r>
      <w:r w:rsidRPr="009C778C">
        <w:rPr>
          <w:rFonts w:cstheme="minorHAnsi"/>
          <w:i/>
          <w:iCs/>
          <w:sz w:val="24"/>
          <w:szCs w:val="24"/>
        </w:rPr>
        <w:t>p</w:t>
      </w:r>
      <w:r w:rsidRPr="009C778C">
        <w:rPr>
          <w:rFonts w:cstheme="minorHAnsi"/>
          <w:sz w:val="24"/>
          <w:szCs w:val="24"/>
        </w:rPr>
        <w:t>-value = 0.03). Consistent with </w:t>
      </w:r>
      <w:hyperlink r:id="rId106" w:anchor="t0020" w:history="1">
        <w:r w:rsidRPr="009C778C">
          <w:rPr>
            <w:rStyle w:val="Hyperlink"/>
            <w:rFonts w:cstheme="minorHAnsi"/>
            <w:sz w:val="24"/>
            <w:szCs w:val="24"/>
          </w:rPr>
          <w:t>Table 4</w:t>
        </w:r>
      </w:hyperlink>
      <w:r w:rsidRPr="009C778C">
        <w:rPr>
          <w:rFonts w:cstheme="minorHAnsi"/>
          <w:sz w:val="24"/>
          <w:szCs w:val="24"/>
        </w:rPr>
        <w:t> and the hometown advantage hypothesis, in each subgroup, </w:t>
      </w:r>
      <w:proofErr w:type="spellStart"/>
      <w:r w:rsidRPr="009C778C">
        <w:rPr>
          <w:rFonts w:cstheme="minorHAnsi"/>
          <w:i/>
          <w:iCs/>
          <w:sz w:val="24"/>
          <w:szCs w:val="24"/>
        </w:rPr>
        <w:t>DOMESTIC</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is significantly and negatively related to earnings management, while </w:t>
      </w:r>
      <w:proofErr w:type="spellStart"/>
      <w:r w:rsidRPr="009C778C">
        <w:rPr>
          <w:rFonts w:cstheme="minorHAnsi"/>
          <w:i/>
          <w:iCs/>
          <w:sz w:val="24"/>
          <w:szCs w:val="24"/>
        </w:rPr>
        <w:t>FOREIGN</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is consistently insignificant; further, in the subgroups of high information acquisition and processing costs, the coefficient estimates of </w:t>
      </w:r>
      <w:proofErr w:type="spellStart"/>
      <w:r w:rsidRPr="009C778C">
        <w:rPr>
          <w:rFonts w:cstheme="minorHAnsi"/>
          <w:i/>
          <w:iCs/>
          <w:sz w:val="24"/>
          <w:szCs w:val="24"/>
        </w:rPr>
        <w:t>DOMESTIC</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and </w:t>
      </w:r>
      <w:proofErr w:type="spellStart"/>
      <w:r w:rsidRPr="009C778C">
        <w:rPr>
          <w:rFonts w:cstheme="minorHAnsi"/>
          <w:i/>
          <w:iCs/>
          <w:sz w:val="24"/>
          <w:szCs w:val="24"/>
        </w:rPr>
        <w:t>FOREIGN</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xml:space="preserve"> are statistically different from each other. In </w:t>
      </w:r>
      <w:proofErr w:type="spellStart"/>
      <w:r w:rsidRPr="009C778C">
        <w:rPr>
          <w:rFonts w:cstheme="minorHAnsi"/>
          <w:sz w:val="24"/>
          <w:szCs w:val="24"/>
        </w:rPr>
        <w:t>untabulated</w:t>
      </w:r>
      <w:proofErr w:type="spellEnd"/>
      <w:r w:rsidRPr="009C778C">
        <w:rPr>
          <w:rFonts w:cstheme="minorHAnsi"/>
          <w:sz w:val="24"/>
          <w:szCs w:val="24"/>
        </w:rPr>
        <w:t xml:space="preserve"> analysis, we follow the literature (e.g., </w:t>
      </w:r>
      <w:bookmarkStart w:id="74" w:name="bbb001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"bb0010"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Agrawal and Chadha, 2005</w:t>
      </w:r>
      <w:r w:rsidRPr="009C778C">
        <w:rPr>
          <w:rFonts w:cstheme="minorHAnsi"/>
          <w:sz w:val="24"/>
          <w:szCs w:val="24"/>
        </w:rPr>
        <w:fldChar w:fldCharType="end"/>
      </w:r>
      <w:bookmarkEnd w:id="74"/>
      <w:r w:rsidRPr="009C778C">
        <w:rPr>
          <w:rFonts w:cstheme="minorHAnsi"/>
          <w:sz w:val="24"/>
          <w:szCs w:val="24"/>
        </w:rPr>
        <w:t>, </w:t>
      </w:r>
      <w:bookmarkStart w:id="75" w:name="bbb006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"bb0060"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Bharath et al., 2009</w:t>
      </w:r>
      <w:r w:rsidRPr="009C778C">
        <w:rPr>
          <w:rFonts w:cstheme="minorHAnsi"/>
          <w:sz w:val="24"/>
          <w:szCs w:val="24"/>
        </w:rPr>
        <w:fldChar w:fldCharType="end"/>
      </w:r>
      <w:bookmarkEnd w:id="75"/>
      <w:r w:rsidRPr="009C778C">
        <w:rPr>
          <w:rFonts w:cstheme="minorHAnsi"/>
          <w:sz w:val="24"/>
          <w:szCs w:val="24"/>
        </w:rPr>
        <w:t>) and use two alternative proxies to measure whether a firm faces a higher level of information acquisition and processing costs, namely whether a firm engages one of the Big-4 auditors (Deloitte, Ernst &amp; Young, KPMG, and PwC) or has greater growth opportunities (defined as the market-to-book ratio being above median). We find qualitatively similar results: consistent with </w:t>
      </w:r>
      <w:hyperlink r:id="rId107" w:anchor="en0010" w:history="1">
        <w:r w:rsidRPr="009C778C">
          <w:rPr>
            <w:rStyle w:val="Hyperlink"/>
            <w:rFonts w:cstheme="minorHAnsi"/>
            <w:sz w:val="24"/>
            <w:szCs w:val="24"/>
          </w:rPr>
          <w:t>H1a</w:t>
        </w:r>
      </w:hyperlink>
      <w:r w:rsidRPr="009C778C">
        <w:rPr>
          <w:rFonts w:cstheme="minorHAnsi"/>
          <w:sz w:val="24"/>
          <w:szCs w:val="24"/>
        </w:rPr>
        <w:t>, the coefficient difference between </w:t>
      </w:r>
      <w:proofErr w:type="spellStart"/>
      <w:r w:rsidRPr="009C778C">
        <w:rPr>
          <w:rFonts w:cstheme="minorHAnsi"/>
          <w:i/>
          <w:iCs/>
          <w:sz w:val="24"/>
          <w:szCs w:val="24"/>
        </w:rPr>
        <w:t>DOMESTIC</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and </w:t>
      </w:r>
      <w:proofErr w:type="spellStart"/>
      <w:r w:rsidRPr="009C778C">
        <w:rPr>
          <w:rFonts w:cstheme="minorHAnsi"/>
          <w:i/>
          <w:iCs/>
          <w:sz w:val="24"/>
          <w:szCs w:val="24"/>
        </w:rPr>
        <w:t>FOREIGN</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is significantly more negative when an investee firm does not engage a Big-4 auditor (</w:t>
      </w:r>
      <w:r w:rsidRPr="009C778C">
        <w:rPr>
          <w:rFonts w:cstheme="minorHAnsi"/>
          <w:i/>
          <w:iCs/>
          <w:sz w:val="24"/>
          <w:szCs w:val="24"/>
        </w:rPr>
        <w:t>p</w:t>
      </w:r>
      <w:r w:rsidRPr="009C778C">
        <w:rPr>
          <w:rFonts w:cstheme="minorHAnsi"/>
          <w:sz w:val="24"/>
          <w:szCs w:val="24"/>
        </w:rPr>
        <w:t>-value = 0.04) or has more growth opportunities (</w:t>
      </w:r>
      <w:r w:rsidRPr="009C778C">
        <w:rPr>
          <w:rFonts w:cstheme="minorHAnsi"/>
          <w:i/>
          <w:iCs/>
          <w:sz w:val="24"/>
          <w:szCs w:val="24"/>
        </w:rPr>
        <w:t>p</w:t>
      </w:r>
      <w:r w:rsidRPr="009C778C">
        <w:rPr>
          <w:rFonts w:cstheme="minorHAnsi"/>
          <w:sz w:val="24"/>
          <w:szCs w:val="24"/>
        </w:rPr>
        <w:t>-value = 0.02). Additionally, </w:t>
      </w:r>
      <w:proofErr w:type="spellStart"/>
      <w:r w:rsidRPr="009C778C">
        <w:rPr>
          <w:rFonts w:cstheme="minorHAnsi"/>
          <w:i/>
          <w:iCs/>
          <w:sz w:val="24"/>
          <w:szCs w:val="24"/>
        </w:rPr>
        <w:t>DOMESTIC</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is always significantly negative, while </w:t>
      </w:r>
      <w:proofErr w:type="spellStart"/>
      <w:r w:rsidRPr="009C778C">
        <w:rPr>
          <w:rFonts w:cstheme="minorHAnsi"/>
          <w:i/>
          <w:iCs/>
          <w:sz w:val="24"/>
          <w:szCs w:val="24"/>
        </w:rPr>
        <w:t>FOREIGN</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is always insignificant.</w:t>
      </w:r>
    </w:p>
    <w:p w14:paraId="4B85B0AC" w14:textId="77777777" w:rsidR="009C778C" w:rsidRPr="000650D6" w:rsidRDefault="009C778C" w:rsidP="005D5079">
      <w:pPr>
        <w:pStyle w:val="NoSpacing"/>
        <w:rPr>
          <w:sz w:val="24"/>
          <w:szCs w:val="24"/>
        </w:rPr>
      </w:pPr>
      <w:r w:rsidRPr="00911EDD">
        <w:rPr>
          <w:b/>
          <w:bCs/>
          <w:sz w:val="24"/>
          <w:szCs w:val="24"/>
        </w:rPr>
        <w:t>Table 5</w:t>
      </w:r>
      <w:r w:rsidRPr="000650D6">
        <w:rPr>
          <w:sz w:val="24"/>
          <w:szCs w:val="24"/>
        </w:rPr>
        <w:t>. Additional evidence for the role of information costs</w:t>
      </w:r>
    </w:p>
    <w:p w14:paraId="62D79125" w14:textId="77777777" w:rsidR="009C778C" w:rsidRPr="000650D6" w:rsidRDefault="009C778C" w:rsidP="005D5079">
      <w:pPr>
        <w:pStyle w:val="NoSpacing"/>
        <w:rPr>
          <w:sz w:val="24"/>
          <w:szCs w:val="24"/>
        </w:rPr>
      </w:pPr>
      <w:r w:rsidRPr="000650D6">
        <w:rPr>
          <w:sz w:val="24"/>
          <w:szCs w:val="24"/>
        </w:rPr>
        <w:t>This table reports estimation results from panel regressions of earnings management on institutional ownership using a sample of non-U.S. firms from 2001 to 2013. The sample is partitioned into high and low levels of information acquisition costs (INFO costs-H and INFO costs-L, respectively) based on median values. All variable definitions are given in </w:t>
      </w:r>
      <w:hyperlink r:id="rId108" w:anchor="s0085" w:history="1">
        <w:r w:rsidRPr="000650D6">
          <w:rPr>
            <w:rStyle w:val="Hyperlink"/>
            <w:rFonts w:cstheme="minorHAnsi"/>
            <w:sz w:val="24"/>
            <w:szCs w:val="24"/>
          </w:rPr>
          <w:t>Appendix A</w:t>
        </w:r>
      </w:hyperlink>
      <w:r w:rsidRPr="000650D6">
        <w:rPr>
          <w:sz w:val="24"/>
          <w:szCs w:val="24"/>
        </w:rPr>
        <w:t>. Each regression includes a constant and year, industry (based on two-digit SIC codes), and country fixed effects (FE). Column of </w:t>
      </w:r>
      <w:r w:rsidRPr="000650D6">
        <w:rPr>
          <w:i/>
          <w:iCs/>
          <w:sz w:val="24"/>
          <w:szCs w:val="24"/>
        </w:rPr>
        <w:t>Pred. Sign</w:t>
      </w:r>
      <w:r w:rsidRPr="000650D6">
        <w:rPr>
          <w:sz w:val="24"/>
          <w:szCs w:val="24"/>
        </w:rPr>
        <w:t> provides expected directional relations between the dependent variable and the main independent variables of interest. Below the coefficient estimates in parentheses are </w:t>
      </w:r>
      <w:r w:rsidRPr="000650D6">
        <w:rPr>
          <w:i/>
          <w:iCs/>
          <w:sz w:val="24"/>
          <w:szCs w:val="24"/>
        </w:rPr>
        <w:t>t</w:t>
      </w:r>
      <w:r w:rsidRPr="000650D6">
        <w:rPr>
          <w:sz w:val="24"/>
          <w:szCs w:val="24"/>
        </w:rPr>
        <w:t>-values adjusted for heteroscedasticity and firm-level clustering. *, **, and *** indicate significance level of less than 0.10, 0.05, and 0.01, respectively.</w:t>
      </w:r>
    </w:p>
    <w:tbl>
      <w:tblPr>
        <w:tblStyle w:val="TableGrid"/>
        <w:tblW w:w="0" w:type="auto"/>
        <w:tblLook w:val="04A0" w:firstRow="1" w:lastRow="0" w:firstColumn="1" w:lastColumn="0" w:noHBand="0" w:noVBand="1"/>
      </w:tblPr>
      <w:tblGrid>
        <w:gridCol w:w="3054"/>
        <w:gridCol w:w="1061"/>
        <w:gridCol w:w="1222"/>
        <w:gridCol w:w="1219"/>
        <w:gridCol w:w="1061"/>
        <w:gridCol w:w="1234"/>
        <w:gridCol w:w="1219"/>
      </w:tblGrid>
      <w:tr w:rsidR="00723473" w:rsidRPr="000650D6" w14:paraId="2095B1D7" w14:textId="77777777" w:rsidTr="002620C8">
        <w:trPr>
          <w:trHeight w:val="144"/>
        </w:trPr>
        <w:tc>
          <w:tcPr>
            <w:tcW w:w="0" w:type="auto"/>
            <w:hideMark/>
          </w:tcPr>
          <w:p w14:paraId="5AC26F9C" w14:textId="77777777" w:rsidR="00723473" w:rsidRPr="000650D6" w:rsidRDefault="00723473" w:rsidP="00F33A88">
            <w:pPr>
              <w:pStyle w:val="NoSpacing"/>
            </w:pPr>
            <w:r w:rsidRPr="000650D6">
              <w:t>Panel A: Partition by firm-level information acquisition and processing costs</w:t>
            </w:r>
          </w:p>
        </w:tc>
        <w:tc>
          <w:tcPr>
            <w:tcW w:w="0" w:type="auto"/>
          </w:tcPr>
          <w:p w14:paraId="7040A842" w14:textId="77777777" w:rsidR="00723473" w:rsidRPr="000650D6" w:rsidRDefault="00723473" w:rsidP="00F33A88">
            <w:pPr>
              <w:pStyle w:val="NoSpacing"/>
            </w:pPr>
          </w:p>
        </w:tc>
        <w:tc>
          <w:tcPr>
            <w:tcW w:w="0" w:type="auto"/>
          </w:tcPr>
          <w:p w14:paraId="194CD0DC" w14:textId="77777777" w:rsidR="00723473" w:rsidRPr="000650D6" w:rsidRDefault="00723473" w:rsidP="00F33A88">
            <w:pPr>
              <w:pStyle w:val="NoSpacing"/>
            </w:pPr>
          </w:p>
        </w:tc>
        <w:tc>
          <w:tcPr>
            <w:tcW w:w="0" w:type="auto"/>
          </w:tcPr>
          <w:p w14:paraId="7B83DE17" w14:textId="4FCD7D4D" w:rsidR="00723473" w:rsidRPr="000650D6" w:rsidRDefault="00723473" w:rsidP="00F33A88">
            <w:pPr>
              <w:pStyle w:val="NoSpacing"/>
            </w:pPr>
          </w:p>
        </w:tc>
        <w:tc>
          <w:tcPr>
            <w:tcW w:w="0" w:type="auto"/>
          </w:tcPr>
          <w:p w14:paraId="0CEC0AC6" w14:textId="77777777" w:rsidR="00723473" w:rsidRPr="000650D6" w:rsidRDefault="00723473" w:rsidP="00F33A88">
            <w:pPr>
              <w:pStyle w:val="NoSpacing"/>
            </w:pPr>
          </w:p>
        </w:tc>
        <w:tc>
          <w:tcPr>
            <w:tcW w:w="0" w:type="auto"/>
          </w:tcPr>
          <w:p w14:paraId="576F5A5B" w14:textId="77777777" w:rsidR="00723473" w:rsidRPr="000650D6" w:rsidRDefault="00723473" w:rsidP="00F33A88">
            <w:pPr>
              <w:pStyle w:val="NoSpacing"/>
            </w:pPr>
          </w:p>
        </w:tc>
        <w:tc>
          <w:tcPr>
            <w:tcW w:w="0" w:type="auto"/>
          </w:tcPr>
          <w:p w14:paraId="02E83068" w14:textId="6762E16F" w:rsidR="00723473" w:rsidRPr="000650D6" w:rsidRDefault="00723473" w:rsidP="00F33A88">
            <w:pPr>
              <w:pStyle w:val="NoSpacing"/>
            </w:pPr>
          </w:p>
        </w:tc>
      </w:tr>
      <w:tr w:rsidR="00723473" w:rsidRPr="000650D6" w14:paraId="3220968E" w14:textId="77777777" w:rsidTr="002620C8">
        <w:trPr>
          <w:trHeight w:val="144"/>
        </w:trPr>
        <w:tc>
          <w:tcPr>
            <w:tcW w:w="0" w:type="auto"/>
            <w:hideMark/>
          </w:tcPr>
          <w:p w14:paraId="29D45775" w14:textId="77777777" w:rsidR="005D5079" w:rsidRPr="000650D6" w:rsidRDefault="005D5079" w:rsidP="00F33A88">
            <w:pPr>
              <w:pStyle w:val="NoSpacing"/>
            </w:pPr>
            <w:r w:rsidRPr="000650D6">
              <w:rPr>
                <w:i/>
                <w:iCs/>
              </w:rPr>
              <w:t>Dep. Var.</w:t>
            </w:r>
            <w:r w:rsidRPr="000650D6">
              <w:t xml:space="preserve"> = Agg. </w:t>
            </w:r>
            <w:proofErr w:type="spellStart"/>
            <w:r w:rsidRPr="000650D6">
              <w:t>EM</w:t>
            </w:r>
            <w:r w:rsidRPr="000650D6">
              <w:rPr>
                <w:vertAlign w:val="subscript"/>
              </w:rPr>
              <w:t>t</w:t>
            </w:r>
            <w:proofErr w:type="spellEnd"/>
          </w:p>
        </w:tc>
        <w:tc>
          <w:tcPr>
            <w:tcW w:w="0" w:type="auto"/>
            <w:hideMark/>
          </w:tcPr>
          <w:p w14:paraId="522BDF85" w14:textId="77777777" w:rsidR="005D5079" w:rsidRPr="000650D6" w:rsidRDefault="005D5079" w:rsidP="00F33A88">
            <w:pPr>
              <w:pStyle w:val="NoSpacing"/>
            </w:pPr>
            <w:r w:rsidRPr="000650D6">
              <w:t>Empty Cell</w:t>
            </w:r>
          </w:p>
        </w:tc>
        <w:tc>
          <w:tcPr>
            <w:tcW w:w="0" w:type="auto"/>
            <w:hideMark/>
          </w:tcPr>
          <w:p w14:paraId="17FEA7B3" w14:textId="77777777" w:rsidR="005D5079" w:rsidRPr="000650D6" w:rsidRDefault="005D5079" w:rsidP="00F33A88">
            <w:pPr>
              <w:pStyle w:val="NoSpacing"/>
            </w:pPr>
            <w:r w:rsidRPr="000650D6">
              <w:t>Firm Size</w:t>
            </w:r>
          </w:p>
        </w:tc>
        <w:tc>
          <w:tcPr>
            <w:tcW w:w="0" w:type="auto"/>
          </w:tcPr>
          <w:p w14:paraId="782ADE1C" w14:textId="12245C89" w:rsidR="005D5079" w:rsidRPr="000650D6" w:rsidRDefault="005D5079" w:rsidP="00F33A88">
            <w:pPr>
              <w:pStyle w:val="NoSpacing"/>
            </w:pPr>
          </w:p>
        </w:tc>
        <w:tc>
          <w:tcPr>
            <w:tcW w:w="0" w:type="auto"/>
            <w:hideMark/>
          </w:tcPr>
          <w:p w14:paraId="1F97CE7C" w14:textId="77777777" w:rsidR="005D5079" w:rsidRPr="000650D6" w:rsidRDefault="005D5079" w:rsidP="00F33A88">
            <w:pPr>
              <w:pStyle w:val="NoSpacing"/>
            </w:pPr>
            <w:r w:rsidRPr="000650D6">
              <w:t>Empty Cell</w:t>
            </w:r>
          </w:p>
        </w:tc>
        <w:tc>
          <w:tcPr>
            <w:tcW w:w="0" w:type="auto"/>
            <w:hideMark/>
          </w:tcPr>
          <w:p w14:paraId="3A665DB4" w14:textId="77777777" w:rsidR="005D5079" w:rsidRPr="000650D6" w:rsidRDefault="005D5079" w:rsidP="00F33A88">
            <w:pPr>
              <w:pStyle w:val="NoSpacing"/>
            </w:pPr>
            <w:r w:rsidRPr="000650D6">
              <w:t>Analyst coverage</w:t>
            </w:r>
          </w:p>
        </w:tc>
        <w:tc>
          <w:tcPr>
            <w:tcW w:w="0" w:type="auto"/>
          </w:tcPr>
          <w:p w14:paraId="1DD93DB2" w14:textId="604E6430" w:rsidR="005D5079" w:rsidRPr="000650D6" w:rsidRDefault="005D5079" w:rsidP="00F33A88">
            <w:pPr>
              <w:pStyle w:val="NoSpacing"/>
            </w:pPr>
          </w:p>
        </w:tc>
      </w:tr>
      <w:tr w:rsidR="00723473" w:rsidRPr="000650D6" w14:paraId="7AB011F3" w14:textId="77777777" w:rsidTr="002620C8">
        <w:trPr>
          <w:trHeight w:val="144"/>
        </w:trPr>
        <w:tc>
          <w:tcPr>
            <w:tcW w:w="0" w:type="auto"/>
            <w:hideMark/>
          </w:tcPr>
          <w:p w14:paraId="273C849A" w14:textId="77777777" w:rsidR="009C778C" w:rsidRPr="000650D6" w:rsidRDefault="009C778C" w:rsidP="00F33A88">
            <w:pPr>
              <w:pStyle w:val="NoSpacing"/>
            </w:pPr>
          </w:p>
        </w:tc>
        <w:tc>
          <w:tcPr>
            <w:tcW w:w="0" w:type="auto"/>
            <w:hideMark/>
          </w:tcPr>
          <w:p w14:paraId="57B7D891" w14:textId="77777777" w:rsidR="009C778C" w:rsidRPr="000650D6" w:rsidRDefault="009C778C" w:rsidP="00F33A88">
            <w:pPr>
              <w:pStyle w:val="NoSpacing"/>
            </w:pPr>
            <w:proofErr w:type="spellStart"/>
            <w:r w:rsidRPr="000650D6">
              <w:rPr>
                <w:i/>
                <w:iCs/>
              </w:rPr>
              <w:t>Pred.Sign</w:t>
            </w:r>
            <w:proofErr w:type="spellEnd"/>
          </w:p>
        </w:tc>
        <w:tc>
          <w:tcPr>
            <w:tcW w:w="0" w:type="auto"/>
            <w:hideMark/>
          </w:tcPr>
          <w:p w14:paraId="42FC1D99" w14:textId="77777777" w:rsidR="009C778C" w:rsidRPr="000650D6" w:rsidRDefault="009C778C" w:rsidP="00F33A88">
            <w:pPr>
              <w:pStyle w:val="NoSpacing"/>
            </w:pPr>
            <w:r w:rsidRPr="000650D6">
              <w:t>Small</w:t>
            </w:r>
            <w:r w:rsidRPr="000650D6">
              <w:br/>
              <w:t xml:space="preserve">(INFO </w:t>
            </w:r>
            <w:proofErr w:type="gramStart"/>
            <w:r w:rsidRPr="000650D6">
              <w:t>costs-H</w:t>
            </w:r>
            <w:proofErr w:type="gramEnd"/>
            <w:r w:rsidRPr="000650D6">
              <w:t>)</w:t>
            </w:r>
          </w:p>
        </w:tc>
        <w:tc>
          <w:tcPr>
            <w:tcW w:w="0" w:type="auto"/>
            <w:hideMark/>
          </w:tcPr>
          <w:p w14:paraId="5D085823" w14:textId="77777777" w:rsidR="009C778C" w:rsidRPr="000650D6" w:rsidRDefault="009C778C" w:rsidP="00F33A88">
            <w:pPr>
              <w:pStyle w:val="NoSpacing"/>
            </w:pPr>
            <w:r w:rsidRPr="000650D6">
              <w:t>Large</w:t>
            </w:r>
            <w:r w:rsidRPr="000650D6">
              <w:br/>
              <w:t xml:space="preserve">(INFO </w:t>
            </w:r>
            <w:proofErr w:type="gramStart"/>
            <w:r w:rsidRPr="000650D6">
              <w:t>costs-L</w:t>
            </w:r>
            <w:proofErr w:type="gramEnd"/>
            <w:r w:rsidRPr="000650D6">
              <w:t>)</w:t>
            </w:r>
          </w:p>
        </w:tc>
        <w:tc>
          <w:tcPr>
            <w:tcW w:w="0" w:type="auto"/>
            <w:hideMark/>
          </w:tcPr>
          <w:p w14:paraId="242A2396" w14:textId="77777777" w:rsidR="009C778C" w:rsidRPr="000650D6" w:rsidRDefault="009C778C" w:rsidP="00F33A88">
            <w:pPr>
              <w:pStyle w:val="NoSpacing"/>
            </w:pPr>
            <w:proofErr w:type="spellStart"/>
            <w:r w:rsidRPr="000650D6">
              <w:rPr>
                <w:i/>
                <w:iCs/>
              </w:rPr>
              <w:t>Pred.Sign</w:t>
            </w:r>
            <w:proofErr w:type="spellEnd"/>
          </w:p>
        </w:tc>
        <w:tc>
          <w:tcPr>
            <w:tcW w:w="0" w:type="auto"/>
            <w:hideMark/>
          </w:tcPr>
          <w:p w14:paraId="7FA40868" w14:textId="77777777" w:rsidR="009C778C" w:rsidRPr="000650D6" w:rsidRDefault="009C778C" w:rsidP="00F33A88">
            <w:pPr>
              <w:pStyle w:val="NoSpacing"/>
            </w:pPr>
            <w:r w:rsidRPr="000650D6">
              <w:t>Low</w:t>
            </w:r>
            <w:r w:rsidRPr="000650D6">
              <w:br/>
              <w:t xml:space="preserve">(INFO </w:t>
            </w:r>
            <w:proofErr w:type="gramStart"/>
            <w:r w:rsidRPr="000650D6">
              <w:t>costs-H</w:t>
            </w:r>
            <w:proofErr w:type="gramEnd"/>
            <w:r w:rsidRPr="000650D6">
              <w:t>)</w:t>
            </w:r>
          </w:p>
        </w:tc>
        <w:tc>
          <w:tcPr>
            <w:tcW w:w="0" w:type="auto"/>
            <w:hideMark/>
          </w:tcPr>
          <w:p w14:paraId="52E37298" w14:textId="77777777" w:rsidR="009C778C" w:rsidRPr="000650D6" w:rsidRDefault="009C778C" w:rsidP="00F33A88">
            <w:pPr>
              <w:pStyle w:val="NoSpacing"/>
            </w:pPr>
            <w:r w:rsidRPr="000650D6">
              <w:t>High</w:t>
            </w:r>
            <w:r w:rsidRPr="000650D6">
              <w:br/>
              <w:t xml:space="preserve">(INFO </w:t>
            </w:r>
            <w:proofErr w:type="gramStart"/>
            <w:r w:rsidRPr="000650D6">
              <w:t>costs-L</w:t>
            </w:r>
            <w:proofErr w:type="gramEnd"/>
            <w:r w:rsidRPr="000650D6">
              <w:t>)</w:t>
            </w:r>
          </w:p>
        </w:tc>
      </w:tr>
      <w:tr w:rsidR="00723473" w:rsidRPr="000650D6" w14:paraId="00D97692" w14:textId="77777777" w:rsidTr="002620C8">
        <w:trPr>
          <w:trHeight w:val="144"/>
        </w:trPr>
        <w:tc>
          <w:tcPr>
            <w:tcW w:w="0" w:type="auto"/>
            <w:hideMark/>
          </w:tcPr>
          <w:p w14:paraId="4FAD8439" w14:textId="77777777" w:rsidR="009C778C" w:rsidRPr="000650D6" w:rsidRDefault="009C778C" w:rsidP="00F33A88">
            <w:pPr>
              <w:pStyle w:val="NoSpacing"/>
            </w:pPr>
          </w:p>
        </w:tc>
        <w:tc>
          <w:tcPr>
            <w:tcW w:w="0" w:type="auto"/>
            <w:hideMark/>
          </w:tcPr>
          <w:p w14:paraId="4EB65CBE" w14:textId="77777777" w:rsidR="009C778C" w:rsidRPr="000650D6" w:rsidRDefault="009C778C" w:rsidP="00F33A88">
            <w:pPr>
              <w:pStyle w:val="NoSpacing"/>
            </w:pPr>
            <w:r w:rsidRPr="000650D6">
              <w:t>Empty Cell</w:t>
            </w:r>
          </w:p>
        </w:tc>
        <w:tc>
          <w:tcPr>
            <w:tcW w:w="0" w:type="auto"/>
            <w:hideMark/>
          </w:tcPr>
          <w:p w14:paraId="4510BD4A" w14:textId="77777777" w:rsidR="009C778C" w:rsidRPr="000650D6" w:rsidRDefault="009C778C" w:rsidP="00F33A88">
            <w:pPr>
              <w:pStyle w:val="NoSpacing"/>
            </w:pPr>
            <w:r w:rsidRPr="000650D6">
              <w:t>(1)</w:t>
            </w:r>
          </w:p>
        </w:tc>
        <w:tc>
          <w:tcPr>
            <w:tcW w:w="0" w:type="auto"/>
            <w:hideMark/>
          </w:tcPr>
          <w:p w14:paraId="2E3A98AD" w14:textId="77777777" w:rsidR="009C778C" w:rsidRPr="000650D6" w:rsidRDefault="009C778C" w:rsidP="00F33A88">
            <w:pPr>
              <w:pStyle w:val="NoSpacing"/>
            </w:pPr>
            <w:r w:rsidRPr="000650D6">
              <w:t>(2)</w:t>
            </w:r>
          </w:p>
        </w:tc>
        <w:tc>
          <w:tcPr>
            <w:tcW w:w="0" w:type="auto"/>
            <w:hideMark/>
          </w:tcPr>
          <w:p w14:paraId="18FFE1B1" w14:textId="77777777" w:rsidR="009C778C" w:rsidRPr="000650D6" w:rsidRDefault="009C778C" w:rsidP="00F33A88">
            <w:pPr>
              <w:pStyle w:val="NoSpacing"/>
            </w:pPr>
            <w:r w:rsidRPr="000650D6">
              <w:t>Empty Cell</w:t>
            </w:r>
          </w:p>
        </w:tc>
        <w:tc>
          <w:tcPr>
            <w:tcW w:w="0" w:type="auto"/>
            <w:hideMark/>
          </w:tcPr>
          <w:p w14:paraId="2B8209A9" w14:textId="77777777" w:rsidR="009C778C" w:rsidRPr="000650D6" w:rsidRDefault="009C778C" w:rsidP="00F33A88">
            <w:pPr>
              <w:pStyle w:val="NoSpacing"/>
            </w:pPr>
            <w:r w:rsidRPr="000650D6">
              <w:t>(3)</w:t>
            </w:r>
          </w:p>
        </w:tc>
        <w:tc>
          <w:tcPr>
            <w:tcW w:w="0" w:type="auto"/>
            <w:hideMark/>
          </w:tcPr>
          <w:p w14:paraId="36B96160" w14:textId="77777777" w:rsidR="009C778C" w:rsidRPr="000650D6" w:rsidRDefault="009C778C" w:rsidP="00F33A88">
            <w:pPr>
              <w:pStyle w:val="NoSpacing"/>
            </w:pPr>
            <w:r w:rsidRPr="000650D6">
              <w:t>(4)</w:t>
            </w:r>
          </w:p>
        </w:tc>
      </w:tr>
      <w:tr w:rsidR="00723473" w:rsidRPr="000650D6" w14:paraId="442B215A" w14:textId="77777777" w:rsidTr="002620C8">
        <w:trPr>
          <w:trHeight w:val="144"/>
        </w:trPr>
        <w:tc>
          <w:tcPr>
            <w:tcW w:w="0" w:type="auto"/>
            <w:hideMark/>
          </w:tcPr>
          <w:p w14:paraId="31A67896" w14:textId="77777777" w:rsidR="009C778C" w:rsidRPr="000650D6" w:rsidRDefault="009C778C" w:rsidP="00F33A88">
            <w:pPr>
              <w:pStyle w:val="NoSpacing"/>
            </w:pPr>
            <w:proofErr w:type="spellStart"/>
            <w:r w:rsidRPr="000650D6">
              <w:t>DOMESTIC</w:t>
            </w:r>
            <w:r w:rsidRPr="000650D6">
              <w:rPr>
                <w:vertAlign w:val="subscript"/>
              </w:rPr>
              <w:t>t</w:t>
            </w:r>
            <w:proofErr w:type="spellEnd"/>
            <w:r w:rsidRPr="000650D6">
              <w:rPr>
                <w:vertAlign w:val="subscript"/>
              </w:rPr>
              <w:t> − 1</w:t>
            </w:r>
          </w:p>
        </w:tc>
        <w:tc>
          <w:tcPr>
            <w:tcW w:w="0" w:type="auto"/>
            <w:hideMark/>
          </w:tcPr>
          <w:p w14:paraId="5A6CD926" w14:textId="77777777" w:rsidR="009C778C" w:rsidRPr="000650D6" w:rsidRDefault="009C778C" w:rsidP="00F33A88">
            <w:pPr>
              <w:pStyle w:val="NoSpacing"/>
            </w:pPr>
            <w:r w:rsidRPr="000650D6">
              <w:t>–</w:t>
            </w:r>
          </w:p>
        </w:tc>
        <w:tc>
          <w:tcPr>
            <w:tcW w:w="0" w:type="auto"/>
            <w:hideMark/>
          </w:tcPr>
          <w:p w14:paraId="1CD3772A" w14:textId="77777777" w:rsidR="009C778C" w:rsidRPr="000650D6" w:rsidRDefault="009C778C" w:rsidP="00F33A88">
            <w:pPr>
              <w:pStyle w:val="NoSpacing"/>
            </w:pPr>
            <w:r w:rsidRPr="000650D6">
              <w:t>− 0.403***</w:t>
            </w:r>
          </w:p>
        </w:tc>
        <w:tc>
          <w:tcPr>
            <w:tcW w:w="0" w:type="auto"/>
            <w:hideMark/>
          </w:tcPr>
          <w:p w14:paraId="778F34B6" w14:textId="77777777" w:rsidR="009C778C" w:rsidRPr="000650D6" w:rsidRDefault="009C778C" w:rsidP="00F33A88">
            <w:pPr>
              <w:pStyle w:val="NoSpacing"/>
            </w:pPr>
            <w:r w:rsidRPr="000650D6">
              <w:t>− 0.295***</w:t>
            </w:r>
          </w:p>
        </w:tc>
        <w:tc>
          <w:tcPr>
            <w:tcW w:w="0" w:type="auto"/>
            <w:hideMark/>
          </w:tcPr>
          <w:p w14:paraId="4BE61BA2" w14:textId="77777777" w:rsidR="009C778C" w:rsidRPr="000650D6" w:rsidRDefault="009C778C" w:rsidP="00F33A88">
            <w:pPr>
              <w:pStyle w:val="NoSpacing"/>
            </w:pPr>
            <w:r w:rsidRPr="000650D6">
              <w:t>–</w:t>
            </w:r>
          </w:p>
        </w:tc>
        <w:tc>
          <w:tcPr>
            <w:tcW w:w="0" w:type="auto"/>
            <w:hideMark/>
          </w:tcPr>
          <w:p w14:paraId="55BEF6E2" w14:textId="77777777" w:rsidR="009C778C" w:rsidRPr="000650D6" w:rsidRDefault="009C778C" w:rsidP="00F33A88">
            <w:pPr>
              <w:pStyle w:val="NoSpacing"/>
            </w:pPr>
            <w:r w:rsidRPr="000650D6">
              <w:t>− 0.481***</w:t>
            </w:r>
          </w:p>
        </w:tc>
        <w:tc>
          <w:tcPr>
            <w:tcW w:w="0" w:type="auto"/>
            <w:hideMark/>
          </w:tcPr>
          <w:p w14:paraId="1A121E8F" w14:textId="77777777" w:rsidR="009C778C" w:rsidRPr="000650D6" w:rsidRDefault="009C778C" w:rsidP="00F33A88">
            <w:pPr>
              <w:pStyle w:val="NoSpacing"/>
            </w:pPr>
            <w:r w:rsidRPr="000650D6">
              <w:t>− 0.182***</w:t>
            </w:r>
          </w:p>
        </w:tc>
      </w:tr>
      <w:tr w:rsidR="00723473" w:rsidRPr="000650D6" w14:paraId="541E4E3A" w14:textId="77777777" w:rsidTr="002620C8">
        <w:trPr>
          <w:trHeight w:val="144"/>
        </w:trPr>
        <w:tc>
          <w:tcPr>
            <w:tcW w:w="0" w:type="auto"/>
            <w:hideMark/>
          </w:tcPr>
          <w:p w14:paraId="45AB4586" w14:textId="77777777" w:rsidR="009C778C" w:rsidRPr="000650D6" w:rsidRDefault="009C778C" w:rsidP="00F33A88">
            <w:pPr>
              <w:pStyle w:val="NoSpacing"/>
            </w:pPr>
          </w:p>
        </w:tc>
        <w:tc>
          <w:tcPr>
            <w:tcW w:w="0" w:type="auto"/>
            <w:hideMark/>
          </w:tcPr>
          <w:p w14:paraId="5696F8A0" w14:textId="77777777" w:rsidR="009C778C" w:rsidRPr="000650D6" w:rsidRDefault="009C778C" w:rsidP="00F33A88">
            <w:pPr>
              <w:pStyle w:val="NoSpacing"/>
            </w:pPr>
          </w:p>
        </w:tc>
        <w:tc>
          <w:tcPr>
            <w:tcW w:w="0" w:type="auto"/>
            <w:hideMark/>
          </w:tcPr>
          <w:p w14:paraId="78CCEEE2" w14:textId="77777777" w:rsidR="009C778C" w:rsidRPr="000650D6" w:rsidRDefault="009C778C" w:rsidP="00F33A88">
            <w:pPr>
              <w:pStyle w:val="NoSpacing"/>
            </w:pPr>
            <w:r w:rsidRPr="000650D6">
              <w:t>(− 5.09)</w:t>
            </w:r>
          </w:p>
        </w:tc>
        <w:tc>
          <w:tcPr>
            <w:tcW w:w="0" w:type="auto"/>
            <w:hideMark/>
          </w:tcPr>
          <w:p w14:paraId="68F54F5B" w14:textId="77777777" w:rsidR="009C778C" w:rsidRPr="000650D6" w:rsidRDefault="009C778C" w:rsidP="00F33A88">
            <w:pPr>
              <w:pStyle w:val="NoSpacing"/>
            </w:pPr>
            <w:r w:rsidRPr="000650D6">
              <w:t>(− 3.53)</w:t>
            </w:r>
          </w:p>
        </w:tc>
        <w:tc>
          <w:tcPr>
            <w:tcW w:w="0" w:type="auto"/>
            <w:hideMark/>
          </w:tcPr>
          <w:p w14:paraId="25F24E9F" w14:textId="77777777" w:rsidR="009C778C" w:rsidRPr="000650D6" w:rsidRDefault="009C778C" w:rsidP="00F33A88">
            <w:pPr>
              <w:pStyle w:val="NoSpacing"/>
            </w:pPr>
          </w:p>
        </w:tc>
        <w:tc>
          <w:tcPr>
            <w:tcW w:w="0" w:type="auto"/>
            <w:hideMark/>
          </w:tcPr>
          <w:p w14:paraId="5BBEE734" w14:textId="77777777" w:rsidR="009C778C" w:rsidRPr="000650D6" w:rsidRDefault="009C778C" w:rsidP="00F33A88">
            <w:pPr>
              <w:pStyle w:val="NoSpacing"/>
            </w:pPr>
            <w:r w:rsidRPr="000650D6">
              <w:t>(− 5.41)</w:t>
            </w:r>
          </w:p>
        </w:tc>
        <w:tc>
          <w:tcPr>
            <w:tcW w:w="0" w:type="auto"/>
            <w:hideMark/>
          </w:tcPr>
          <w:p w14:paraId="45B88DA2" w14:textId="77777777" w:rsidR="009C778C" w:rsidRPr="000650D6" w:rsidRDefault="009C778C" w:rsidP="00F33A88">
            <w:pPr>
              <w:pStyle w:val="NoSpacing"/>
            </w:pPr>
            <w:r w:rsidRPr="000650D6">
              <w:t>(− 2.61)</w:t>
            </w:r>
          </w:p>
        </w:tc>
      </w:tr>
      <w:tr w:rsidR="00723473" w:rsidRPr="000650D6" w14:paraId="056ACE15" w14:textId="77777777" w:rsidTr="002620C8">
        <w:trPr>
          <w:trHeight w:val="144"/>
        </w:trPr>
        <w:tc>
          <w:tcPr>
            <w:tcW w:w="0" w:type="auto"/>
            <w:hideMark/>
          </w:tcPr>
          <w:p w14:paraId="29ABE0C3" w14:textId="77777777" w:rsidR="009C778C" w:rsidRPr="000650D6" w:rsidRDefault="009C778C" w:rsidP="00F33A88">
            <w:pPr>
              <w:pStyle w:val="NoSpacing"/>
            </w:pPr>
            <w:proofErr w:type="spellStart"/>
            <w:r w:rsidRPr="000650D6">
              <w:t>FOREIGN</w:t>
            </w:r>
            <w:r w:rsidRPr="000650D6">
              <w:rPr>
                <w:vertAlign w:val="subscript"/>
              </w:rPr>
              <w:t>t</w:t>
            </w:r>
            <w:proofErr w:type="spellEnd"/>
            <w:r w:rsidRPr="000650D6">
              <w:rPr>
                <w:vertAlign w:val="subscript"/>
              </w:rPr>
              <w:t> − 1</w:t>
            </w:r>
          </w:p>
        </w:tc>
        <w:tc>
          <w:tcPr>
            <w:tcW w:w="0" w:type="auto"/>
            <w:hideMark/>
          </w:tcPr>
          <w:p w14:paraId="41DA5C93" w14:textId="77777777" w:rsidR="009C778C" w:rsidRPr="000650D6" w:rsidRDefault="009C778C" w:rsidP="00F33A88">
            <w:pPr>
              <w:pStyle w:val="NoSpacing"/>
            </w:pPr>
            <w:r w:rsidRPr="000650D6">
              <w:t>–</w:t>
            </w:r>
          </w:p>
        </w:tc>
        <w:tc>
          <w:tcPr>
            <w:tcW w:w="0" w:type="auto"/>
            <w:hideMark/>
          </w:tcPr>
          <w:p w14:paraId="711E5508" w14:textId="77777777" w:rsidR="009C778C" w:rsidRPr="000650D6" w:rsidRDefault="009C778C" w:rsidP="00F33A88">
            <w:pPr>
              <w:pStyle w:val="NoSpacing"/>
            </w:pPr>
            <w:r w:rsidRPr="000650D6">
              <w:t>0.130</w:t>
            </w:r>
          </w:p>
        </w:tc>
        <w:tc>
          <w:tcPr>
            <w:tcW w:w="0" w:type="auto"/>
            <w:hideMark/>
          </w:tcPr>
          <w:p w14:paraId="33B107BF" w14:textId="77777777" w:rsidR="009C778C" w:rsidRPr="000650D6" w:rsidRDefault="009C778C" w:rsidP="00F33A88">
            <w:pPr>
              <w:pStyle w:val="NoSpacing"/>
            </w:pPr>
            <w:r w:rsidRPr="000650D6">
              <w:t>− 0.100</w:t>
            </w:r>
          </w:p>
        </w:tc>
        <w:tc>
          <w:tcPr>
            <w:tcW w:w="0" w:type="auto"/>
            <w:hideMark/>
          </w:tcPr>
          <w:p w14:paraId="2982FD56" w14:textId="77777777" w:rsidR="009C778C" w:rsidRPr="000650D6" w:rsidRDefault="009C778C" w:rsidP="00F33A88">
            <w:pPr>
              <w:pStyle w:val="NoSpacing"/>
            </w:pPr>
            <w:r w:rsidRPr="000650D6">
              <w:t>–</w:t>
            </w:r>
          </w:p>
        </w:tc>
        <w:tc>
          <w:tcPr>
            <w:tcW w:w="0" w:type="auto"/>
            <w:hideMark/>
          </w:tcPr>
          <w:p w14:paraId="213D82A4" w14:textId="77777777" w:rsidR="009C778C" w:rsidRPr="000650D6" w:rsidRDefault="009C778C" w:rsidP="00F33A88">
            <w:pPr>
              <w:pStyle w:val="NoSpacing"/>
            </w:pPr>
            <w:r w:rsidRPr="000650D6">
              <w:t>0.001</w:t>
            </w:r>
          </w:p>
        </w:tc>
        <w:tc>
          <w:tcPr>
            <w:tcW w:w="0" w:type="auto"/>
            <w:hideMark/>
          </w:tcPr>
          <w:p w14:paraId="4FC9A279" w14:textId="77777777" w:rsidR="009C778C" w:rsidRPr="000650D6" w:rsidRDefault="009C778C" w:rsidP="00F33A88">
            <w:pPr>
              <w:pStyle w:val="NoSpacing"/>
            </w:pPr>
            <w:r w:rsidRPr="000650D6">
              <w:t>− 0.053</w:t>
            </w:r>
          </w:p>
        </w:tc>
      </w:tr>
      <w:tr w:rsidR="00723473" w:rsidRPr="000650D6" w14:paraId="45F76A5C" w14:textId="77777777" w:rsidTr="002620C8">
        <w:trPr>
          <w:trHeight w:val="144"/>
        </w:trPr>
        <w:tc>
          <w:tcPr>
            <w:tcW w:w="0" w:type="auto"/>
            <w:hideMark/>
          </w:tcPr>
          <w:p w14:paraId="6D70B219" w14:textId="77777777" w:rsidR="009C778C" w:rsidRPr="000650D6" w:rsidRDefault="009C778C" w:rsidP="00F33A88">
            <w:pPr>
              <w:pStyle w:val="NoSpacing"/>
            </w:pPr>
          </w:p>
        </w:tc>
        <w:tc>
          <w:tcPr>
            <w:tcW w:w="0" w:type="auto"/>
            <w:hideMark/>
          </w:tcPr>
          <w:p w14:paraId="176D6B4F" w14:textId="77777777" w:rsidR="009C778C" w:rsidRPr="000650D6" w:rsidRDefault="009C778C" w:rsidP="00F33A88">
            <w:pPr>
              <w:pStyle w:val="NoSpacing"/>
            </w:pPr>
          </w:p>
        </w:tc>
        <w:tc>
          <w:tcPr>
            <w:tcW w:w="0" w:type="auto"/>
            <w:hideMark/>
          </w:tcPr>
          <w:p w14:paraId="5BBA83D9" w14:textId="77777777" w:rsidR="009C778C" w:rsidRPr="000650D6" w:rsidRDefault="009C778C" w:rsidP="00F33A88">
            <w:pPr>
              <w:pStyle w:val="NoSpacing"/>
            </w:pPr>
            <w:r w:rsidRPr="000650D6">
              <w:t>(0.73)</w:t>
            </w:r>
          </w:p>
        </w:tc>
        <w:tc>
          <w:tcPr>
            <w:tcW w:w="0" w:type="auto"/>
            <w:hideMark/>
          </w:tcPr>
          <w:p w14:paraId="1D6106FB" w14:textId="77777777" w:rsidR="009C778C" w:rsidRPr="000650D6" w:rsidRDefault="009C778C" w:rsidP="00F33A88">
            <w:pPr>
              <w:pStyle w:val="NoSpacing"/>
            </w:pPr>
            <w:r w:rsidRPr="000650D6">
              <w:t>(− 1.45)</w:t>
            </w:r>
          </w:p>
        </w:tc>
        <w:tc>
          <w:tcPr>
            <w:tcW w:w="0" w:type="auto"/>
            <w:hideMark/>
          </w:tcPr>
          <w:p w14:paraId="2E559B49" w14:textId="77777777" w:rsidR="009C778C" w:rsidRPr="000650D6" w:rsidRDefault="009C778C" w:rsidP="00F33A88">
            <w:pPr>
              <w:pStyle w:val="NoSpacing"/>
            </w:pPr>
          </w:p>
        </w:tc>
        <w:tc>
          <w:tcPr>
            <w:tcW w:w="0" w:type="auto"/>
            <w:hideMark/>
          </w:tcPr>
          <w:p w14:paraId="2532F9AA" w14:textId="77777777" w:rsidR="009C778C" w:rsidRPr="000650D6" w:rsidRDefault="009C778C" w:rsidP="00F33A88">
            <w:pPr>
              <w:pStyle w:val="NoSpacing"/>
            </w:pPr>
            <w:r w:rsidRPr="000650D6">
              <w:t>(0.01)</w:t>
            </w:r>
          </w:p>
        </w:tc>
        <w:tc>
          <w:tcPr>
            <w:tcW w:w="0" w:type="auto"/>
            <w:hideMark/>
          </w:tcPr>
          <w:p w14:paraId="2FA0C6CD" w14:textId="77777777" w:rsidR="009C778C" w:rsidRPr="000650D6" w:rsidRDefault="009C778C" w:rsidP="00F33A88">
            <w:pPr>
              <w:pStyle w:val="NoSpacing"/>
            </w:pPr>
            <w:r w:rsidRPr="000650D6">
              <w:t>(− 0.81)</w:t>
            </w:r>
          </w:p>
        </w:tc>
      </w:tr>
      <w:tr w:rsidR="00723473" w:rsidRPr="000650D6" w14:paraId="1AB95DDE" w14:textId="77777777" w:rsidTr="002620C8">
        <w:trPr>
          <w:trHeight w:val="144"/>
        </w:trPr>
        <w:tc>
          <w:tcPr>
            <w:tcW w:w="0" w:type="auto"/>
            <w:hideMark/>
          </w:tcPr>
          <w:p w14:paraId="3FB814A1" w14:textId="77777777" w:rsidR="005D5079" w:rsidRPr="000650D6" w:rsidRDefault="005D5079" w:rsidP="00F33A88">
            <w:pPr>
              <w:pStyle w:val="NoSpacing"/>
            </w:pPr>
            <w:proofErr w:type="spellStart"/>
            <w:r w:rsidRPr="000650D6">
              <w:t>SIZE</w:t>
            </w:r>
            <w:r w:rsidRPr="000650D6">
              <w:rPr>
                <w:vertAlign w:val="subscript"/>
              </w:rPr>
              <w:t>t</w:t>
            </w:r>
            <w:proofErr w:type="spellEnd"/>
            <w:r w:rsidRPr="000650D6">
              <w:rPr>
                <w:vertAlign w:val="subscript"/>
              </w:rPr>
              <w:t> − 1</w:t>
            </w:r>
          </w:p>
        </w:tc>
        <w:tc>
          <w:tcPr>
            <w:tcW w:w="0" w:type="auto"/>
            <w:hideMark/>
          </w:tcPr>
          <w:p w14:paraId="13FC29BA" w14:textId="77777777" w:rsidR="005D5079" w:rsidRPr="000650D6" w:rsidRDefault="005D5079" w:rsidP="00F33A88">
            <w:pPr>
              <w:pStyle w:val="NoSpacing"/>
            </w:pPr>
          </w:p>
        </w:tc>
        <w:tc>
          <w:tcPr>
            <w:tcW w:w="0" w:type="auto"/>
            <w:hideMark/>
          </w:tcPr>
          <w:p w14:paraId="4BD971C0" w14:textId="77777777" w:rsidR="005D5079" w:rsidRPr="000650D6" w:rsidRDefault="005D5079" w:rsidP="00F33A88">
            <w:pPr>
              <w:pStyle w:val="NoSpacing"/>
            </w:pPr>
            <w:r w:rsidRPr="000650D6">
              <w:t>− 0.006</w:t>
            </w:r>
          </w:p>
        </w:tc>
        <w:tc>
          <w:tcPr>
            <w:tcW w:w="0" w:type="auto"/>
            <w:hideMark/>
          </w:tcPr>
          <w:p w14:paraId="6FEDC0E4" w14:textId="77777777" w:rsidR="005D5079" w:rsidRPr="000650D6" w:rsidRDefault="005D5079" w:rsidP="00F33A88">
            <w:pPr>
              <w:pStyle w:val="NoSpacing"/>
            </w:pPr>
            <w:r w:rsidRPr="000650D6">
              <w:t>− 0.022***</w:t>
            </w:r>
          </w:p>
        </w:tc>
        <w:tc>
          <w:tcPr>
            <w:tcW w:w="0" w:type="auto"/>
            <w:hideMark/>
          </w:tcPr>
          <w:p w14:paraId="0F0DEB7C" w14:textId="77777777" w:rsidR="005D5079" w:rsidRPr="000650D6" w:rsidRDefault="005D5079" w:rsidP="00F33A88">
            <w:pPr>
              <w:pStyle w:val="NoSpacing"/>
            </w:pPr>
          </w:p>
        </w:tc>
        <w:tc>
          <w:tcPr>
            <w:tcW w:w="0" w:type="auto"/>
            <w:hideMark/>
          </w:tcPr>
          <w:p w14:paraId="240FA2E1" w14:textId="77777777" w:rsidR="005D5079" w:rsidRPr="000650D6" w:rsidRDefault="005D5079" w:rsidP="00F33A88">
            <w:pPr>
              <w:pStyle w:val="NoSpacing"/>
            </w:pPr>
            <w:r w:rsidRPr="000650D6">
              <w:t>− 0.023***</w:t>
            </w:r>
          </w:p>
        </w:tc>
        <w:tc>
          <w:tcPr>
            <w:tcW w:w="0" w:type="auto"/>
            <w:hideMark/>
          </w:tcPr>
          <w:p w14:paraId="06E85960" w14:textId="77777777" w:rsidR="005D5079" w:rsidRPr="000650D6" w:rsidRDefault="005D5079" w:rsidP="00F33A88">
            <w:pPr>
              <w:pStyle w:val="NoSpacing"/>
            </w:pPr>
            <w:r w:rsidRPr="000650D6">
              <w:t>− 0.016***</w:t>
            </w:r>
          </w:p>
        </w:tc>
      </w:tr>
      <w:tr w:rsidR="00723473" w:rsidRPr="000650D6" w14:paraId="22C07833" w14:textId="77777777" w:rsidTr="002620C8">
        <w:trPr>
          <w:trHeight w:val="144"/>
        </w:trPr>
        <w:tc>
          <w:tcPr>
            <w:tcW w:w="0" w:type="auto"/>
            <w:hideMark/>
          </w:tcPr>
          <w:p w14:paraId="5452C4A5" w14:textId="77777777" w:rsidR="005D5079" w:rsidRPr="000650D6" w:rsidRDefault="005D5079" w:rsidP="00F33A88">
            <w:pPr>
              <w:pStyle w:val="NoSpacing"/>
            </w:pPr>
          </w:p>
        </w:tc>
        <w:tc>
          <w:tcPr>
            <w:tcW w:w="0" w:type="auto"/>
            <w:hideMark/>
          </w:tcPr>
          <w:p w14:paraId="064ED439" w14:textId="77777777" w:rsidR="005D5079" w:rsidRPr="000650D6" w:rsidRDefault="005D5079" w:rsidP="00F33A88">
            <w:pPr>
              <w:pStyle w:val="NoSpacing"/>
            </w:pPr>
          </w:p>
        </w:tc>
        <w:tc>
          <w:tcPr>
            <w:tcW w:w="0" w:type="auto"/>
            <w:hideMark/>
          </w:tcPr>
          <w:p w14:paraId="19303FDD" w14:textId="77777777" w:rsidR="005D5079" w:rsidRPr="000650D6" w:rsidRDefault="005D5079" w:rsidP="00F33A88">
            <w:pPr>
              <w:pStyle w:val="NoSpacing"/>
            </w:pPr>
            <w:r w:rsidRPr="000650D6">
              <w:t>(− 0.84)</w:t>
            </w:r>
          </w:p>
        </w:tc>
        <w:tc>
          <w:tcPr>
            <w:tcW w:w="0" w:type="auto"/>
            <w:hideMark/>
          </w:tcPr>
          <w:p w14:paraId="6B0EBAC1" w14:textId="77777777" w:rsidR="005D5079" w:rsidRPr="000650D6" w:rsidRDefault="005D5079" w:rsidP="00F33A88">
            <w:pPr>
              <w:pStyle w:val="NoSpacing"/>
            </w:pPr>
            <w:r w:rsidRPr="000650D6">
              <w:t>(− 4.32)</w:t>
            </w:r>
          </w:p>
        </w:tc>
        <w:tc>
          <w:tcPr>
            <w:tcW w:w="0" w:type="auto"/>
            <w:hideMark/>
          </w:tcPr>
          <w:p w14:paraId="2F1F642B" w14:textId="77777777" w:rsidR="005D5079" w:rsidRPr="000650D6" w:rsidRDefault="005D5079" w:rsidP="00F33A88">
            <w:pPr>
              <w:pStyle w:val="NoSpacing"/>
            </w:pPr>
          </w:p>
        </w:tc>
        <w:tc>
          <w:tcPr>
            <w:tcW w:w="0" w:type="auto"/>
            <w:hideMark/>
          </w:tcPr>
          <w:p w14:paraId="62528861" w14:textId="77777777" w:rsidR="005D5079" w:rsidRPr="000650D6" w:rsidRDefault="005D5079" w:rsidP="00F33A88">
            <w:pPr>
              <w:pStyle w:val="NoSpacing"/>
            </w:pPr>
            <w:r w:rsidRPr="000650D6">
              <w:t>(− 4.46)</w:t>
            </w:r>
          </w:p>
        </w:tc>
        <w:tc>
          <w:tcPr>
            <w:tcW w:w="0" w:type="auto"/>
            <w:hideMark/>
          </w:tcPr>
          <w:p w14:paraId="1346EB60" w14:textId="77777777" w:rsidR="005D5079" w:rsidRPr="000650D6" w:rsidRDefault="005D5079" w:rsidP="00F33A88">
            <w:pPr>
              <w:pStyle w:val="NoSpacing"/>
            </w:pPr>
            <w:r w:rsidRPr="000650D6">
              <w:t>(− 3.86)</w:t>
            </w:r>
          </w:p>
        </w:tc>
      </w:tr>
      <w:tr w:rsidR="00723473" w:rsidRPr="000650D6" w14:paraId="7C2C9E57" w14:textId="77777777" w:rsidTr="002620C8">
        <w:trPr>
          <w:trHeight w:val="144"/>
        </w:trPr>
        <w:tc>
          <w:tcPr>
            <w:tcW w:w="0" w:type="auto"/>
            <w:hideMark/>
          </w:tcPr>
          <w:p w14:paraId="4CD00A74" w14:textId="77777777" w:rsidR="009C778C" w:rsidRPr="000650D6" w:rsidRDefault="009C778C" w:rsidP="00F33A88">
            <w:pPr>
              <w:pStyle w:val="NoSpacing"/>
            </w:pPr>
            <w:proofErr w:type="spellStart"/>
            <w:r w:rsidRPr="000650D6">
              <w:t>ROA</w:t>
            </w:r>
            <w:r w:rsidRPr="000650D6">
              <w:rPr>
                <w:vertAlign w:val="subscript"/>
              </w:rPr>
              <w:t>t</w:t>
            </w:r>
            <w:proofErr w:type="spellEnd"/>
            <w:r w:rsidRPr="000650D6">
              <w:rPr>
                <w:vertAlign w:val="subscript"/>
              </w:rPr>
              <w:t> − 1</w:t>
            </w:r>
          </w:p>
        </w:tc>
        <w:tc>
          <w:tcPr>
            <w:tcW w:w="0" w:type="auto"/>
            <w:hideMark/>
          </w:tcPr>
          <w:p w14:paraId="642DDA62" w14:textId="77777777" w:rsidR="009C778C" w:rsidRPr="000650D6" w:rsidRDefault="009C778C" w:rsidP="00F33A88">
            <w:pPr>
              <w:pStyle w:val="NoSpacing"/>
            </w:pPr>
          </w:p>
        </w:tc>
        <w:tc>
          <w:tcPr>
            <w:tcW w:w="0" w:type="auto"/>
            <w:hideMark/>
          </w:tcPr>
          <w:p w14:paraId="4E1FBE10" w14:textId="77777777" w:rsidR="009C778C" w:rsidRPr="000650D6" w:rsidRDefault="009C778C" w:rsidP="00F33A88">
            <w:pPr>
              <w:pStyle w:val="NoSpacing"/>
            </w:pPr>
            <w:r w:rsidRPr="000650D6">
              <w:t>− 0.584***</w:t>
            </w:r>
          </w:p>
        </w:tc>
        <w:tc>
          <w:tcPr>
            <w:tcW w:w="0" w:type="auto"/>
            <w:hideMark/>
          </w:tcPr>
          <w:p w14:paraId="32CB4B33" w14:textId="77777777" w:rsidR="009C778C" w:rsidRPr="000650D6" w:rsidRDefault="009C778C" w:rsidP="00F33A88">
            <w:pPr>
              <w:pStyle w:val="NoSpacing"/>
            </w:pPr>
            <w:r w:rsidRPr="000650D6">
              <w:t>− 0.908***</w:t>
            </w:r>
          </w:p>
        </w:tc>
        <w:tc>
          <w:tcPr>
            <w:tcW w:w="0" w:type="auto"/>
            <w:hideMark/>
          </w:tcPr>
          <w:p w14:paraId="3C109FC5" w14:textId="77777777" w:rsidR="009C778C" w:rsidRPr="000650D6" w:rsidRDefault="009C778C" w:rsidP="00F33A88">
            <w:pPr>
              <w:pStyle w:val="NoSpacing"/>
            </w:pPr>
          </w:p>
        </w:tc>
        <w:tc>
          <w:tcPr>
            <w:tcW w:w="0" w:type="auto"/>
            <w:hideMark/>
          </w:tcPr>
          <w:p w14:paraId="64CE23E7" w14:textId="77777777" w:rsidR="009C778C" w:rsidRPr="000650D6" w:rsidRDefault="009C778C" w:rsidP="00F33A88">
            <w:pPr>
              <w:pStyle w:val="NoSpacing"/>
            </w:pPr>
            <w:r w:rsidRPr="000650D6">
              <w:t>− 0.593***</w:t>
            </w:r>
          </w:p>
        </w:tc>
        <w:tc>
          <w:tcPr>
            <w:tcW w:w="0" w:type="auto"/>
            <w:hideMark/>
          </w:tcPr>
          <w:p w14:paraId="53443EDE" w14:textId="77777777" w:rsidR="009C778C" w:rsidRPr="000650D6" w:rsidRDefault="009C778C" w:rsidP="00F33A88">
            <w:pPr>
              <w:pStyle w:val="NoSpacing"/>
            </w:pPr>
            <w:r w:rsidRPr="000650D6">
              <w:t>− 0.680***</w:t>
            </w:r>
          </w:p>
        </w:tc>
      </w:tr>
      <w:tr w:rsidR="00723473" w:rsidRPr="000650D6" w14:paraId="359DF37D" w14:textId="77777777" w:rsidTr="002620C8">
        <w:trPr>
          <w:trHeight w:val="144"/>
        </w:trPr>
        <w:tc>
          <w:tcPr>
            <w:tcW w:w="0" w:type="auto"/>
            <w:hideMark/>
          </w:tcPr>
          <w:p w14:paraId="56C36BB0" w14:textId="77777777" w:rsidR="009C778C" w:rsidRPr="000650D6" w:rsidRDefault="009C778C" w:rsidP="00F33A88">
            <w:pPr>
              <w:pStyle w:val="NoSpacing"/>
            </w:pPr>
          </w:p>
        </w:tc>
        <w:tc>
          <w:tcPr>
            <w:tcW w:w="0" w:type="auto"/>
            <w:hideMark/>
          </w:tcPr>
          <w:p w14:paraId="220710FC" w14:textId="77777777" w:rsidR="009C778C" w:rsidRPr="000650D6" w:rsidRDefault="009C778C" w:rsidP="00F33A88">
            <w:pPr>
              <w:pStyle w:val="NoSpacing"/>
            </w:pPr>
          </w:p>
        </w:tc>
        <w:tc>
          <w:tcPr>
            <w:tcW w:w="0" w:type="auto"/>
            <w:hideMark/>
          </w:tcPr>
          <w:p w14:paraId="0423696B" w14:textId="77777777" w:rsidR="009C778C" w:rsidRPr="000650D6" w:rsidRDefault="009C778C" w:rsidP="00F33A88">
            <w:pPr>
              <w:pStyle w:val="NoSpacing"/>
            </w:pPr>
            <w:r w:rsidRPr="000650D6">
              <w:t>(− 13.06)</w:t>
            </w:r>
          </w:p>
        </w:tc>
        <w:tc>
          <w:tcPr>
            <w:tcW w:w="0" w:type="auto"/>
            <w:hideMark/>
          </w:tcPr>
          <w:p w14:paraId="5D8FE77D" w14:textId="77777777" w:rsidR="009C778C" w:rsidRPr="000650D6" w:rsidRDefault="009C778C" w:rsidP="00F33A88">
            <w:pPr>
              <w:pStyle w:val="NoSpacing"/>
            </w:pPr>
            <w:r w:rsidRPr="000650D6">
              <w:t>(− 11.09)</w:t>
            </w:r>
          </w:p>
        </w:tc>
        <w:tc>
          <w:tcPr>
            <w:tcW w:w="0" w:type="auto"/>
            <w:hideMark/>
          </w:tcPr>
          <w:p w14:paraId="74B09A65" w14:textId="77777777" w:rsidR="009C778C" w:rsidRPr="000650D6" w:rsidRDefault="009C778C" w:rsidP="00F33A88">
            <w:pPr>
              <w:pStyle w:val="NoSpacing"/>
            </w:pPr>
          </w:p>
        </w:tc>
        <w:tc>
          <w:tcPr>
            <w:tcW w:w="0" w:type="auto"/>
            <w:hideMark/>
          </w:tcPr>
          <w:p w14:paraId="36201BCA" w14:textId="77777777" w:rsidR="009C778C" w:rsidRPr="000650D6" w:rsidRDefault="009C778C" w:rsidP="00F33A88">
            <w:pPr>
              <w:pStyle w:val="NoSpacing"/>
            </w:pPr>
            <w:r w:rsidRPr="000650D6">
              <w:t>(− 11.62)</w:t>
            </w:r>
          </w:p>
        </w:tc>
        <w:tc>
          <w:tcPr>
            <w:tcW w:w="0" w:type="auto"/>
            <w:hideMark/>
          </w:tcPr>
          <w:p w14:paraId="08D6DB0B" w14:textId="77777777" w:rsidR="009C778C" w:rsidRPr="000650D6" w:rsidRDefault="009C778C" w:rsidP="00F33A88">
            <w:pPr>
              <w:pStyle w:val="NoSpacing"/>
            </w:pPr>
            <w:r w:rsidRPr="000650D6">
              <w:t>(− 12.39)</w:t>
            </w:r>
          </w:p>
        </w:tc>
      </w:tr>
      <w:tr w:rsidR="00723473" w:rsidRPr="000650D6" w14:paraId="5F81A535" w14:textId="77777777" w:rsidTr="002620C8">
        <w:trPr>
          <w:trHeight w:val="144"/>
        </w:trPr>
        <w:tc>
          <w:tcPr>
            <w:tcW w:w="0" w:type="auto"/>
            <w:hideMark/>
          </w:tcPr>
          <w:p w14:paraId="0792C89F" w14:textId="77777777" w:rsidR="009C778C" w:rsidRPr="000650D6" w:rsidRDefault="009C778C" w:rsidP="00F33A88">
            <w:pPr>
              <w:pStyle w:val="NoSpacing"/>
            </w:pPr>
            <w:proofErr w:type="spellStart"/>
            <w:r w:rsidRPr="000650D6">
              <w:t>MTB</w:t>
            </w:r>
            <w:r w:rsidRPr="000650D6">
              <w:rPr>
                <w:vertAlign w:val="subscript"/>
              </w:rPr>
              <w:t>t</w:t>
            </w:r>
            <w:proofErr w:type="spellEnd"/>
            <w:r w:rsidRPr="000650D6">
              <w:rPr>
                <w:vertAlign w:val="subscript"/>
              </w:rPr>
              <w:t> − 1</w:t>
            </w:r>
          </w:p>
        </w:tc>
        <w:tc>
          <w:tcPr>
            <w:tcW w:w="0" w:type="auto"/>
            <w:hideMark/>
          </w:tcPr>
          <w:p w14:paraId="252736CF" w14:textId="77777777" w:rsidR="009C778C" w:rsidRPr="000650D6" w:rsidRDefault="009C778C" w:rsidP="00F33A88">
            <w:pPr>
              <w:pStyle w:val="NoSpacing"/>
            </w:pPr>
          </w:p>
        </w:tc>
        <w:tc>
          <w:tcPr>
            <w:tcW w:w="0" w:type="auto"/>
            <w:hideMark/>
          </w:tcPr>
          <w:p w14:paraId="6C6E5BC5" w14:textId="77777777" w:rsidR="009C778C" w:rsidRPr="000650D6" w:rsidRDefault="009C778C" w:rsidP="00F33A88">
            <w:pPr>
              <w:pStyle w:val="NoSpacing"/>
            </w:pPr>
            <w:r w:rsidRPr="000650D6">
              <w:t>− 0.001</w:t>
            </w:r>
          </w:p>
        </w:tc>
        <w:tc>
          <w:tcPr>
            <w:tcW w:w="0" w:type="auto"/>
            <w:hideMark/>
          </w:tcPr>
          <w:p w14:paraId="60C373B9" w14:textId="77777777" w:rsidR="009C778C" w:rsidRPr="000650D6" w:rsidRDefault="009C778C" w:rsidP="00F33A88">
            <w:pPr>
              <w:pStyle w:val="NoSpacing"/>
            </w:pPr>
            <w:r w:rsidRPr="000650D6">
              <w:t>− 0.019</w:t>
            </w:r>
          </w:p>
        </w:tc>
        <w:tc>
          <w:tcPr>
            <w:tcW w:w="0" w:type="auto"/>
            <w:hideMark/>
          </w:tcPr>
          <w:p w14:paraId="453B746C" w14:textId="77777777" w:rsidR="009C778C" w:rsidRPr="000650D6" w:rsidRDefault="009C778C" w:rsidP="00F33A88">
            <w:pPr>
              <w:pStyle w:val="NoSpacing"/>
            </w:pPr>
          </w:p>
        </w:tc>
        <w:tc>
          <w:tcPr>
            <w:tcW w:w="0" w:type="auto"/>
            <w:hideMark/>
          </w:tcPr>
          <w:p w14:paraId="14EE2283" w14:textId="77777777" w:rsidR="009C778C" w:rsidRPr="000650D6" w:rsidRDefault="009C778C" w:rsidP="00F33A88">
            <w:pPr>
              <w:pStyle w:val="NoSpacing"/>
            </w:pPr>
            <w:r w:rsidRPr="000650D6">
              <w:t>− 0.016</w:t>
            </w:r>
          </w:p>
        </w:tc>
        <w:tc>
          <w:tcPr>
            <w:tcW w:w="0" w:type="auto"/>
            <w:hideMark/>
          </w:tcPr>
          <w:p w14:paraId="0EAEB5D0" w14:textId="77777777" w:rsidR="009C778C" w:rsidRPr="000650D6" w:rsidRDefault="009C778C" w:rsidP="00F33A88">
            <w:pPr>
              <w:pStyle w:val="NoSpacing"/>
            </w:pPr>
            <w:r w:rsidRPr="000650D6">
              <w:t>− 0.016</w:t>
            </w:r>
          </w:p>
        </w:tc>
      </w:tr>
      <w:tr w:rsidR="00723473" w:rsidRPr="000650D6" w14:paraId="4A44B1EF" w14:textId="77777777" w:rsidTr="002620C8">
        <w:trPr>
          <w:trHeight w:val="144"/>
        </w:trPr>
        <w:tc>
          <w:tcPr>
            <w:tcW w:w="0" w:type="auto"/>
            <w:hideMark/>
          </w:tcPr>
          <w:p w14:paraId="0BABC862" w14:textId="77777777" w:rsidR="009C778C" w:rsidRPr="000650D6" w:rsidRDefault="009C778C" w:rsidP="00F33A88">
            <w:pPr>
              <w:pStyle w:val="NoSpacing"/>
            </w:pPr>
          </w:p>
        </w:tc>
        <w:tc>
          <w:tcPr>
            <w:tcW w:w="0" w:type="auto"/>
            <w:hideMark/>
          </w:tcPr>
          <w:p w14:paraId="5833212E" w14:textId="77777777" w:rsidR="009C778C" w:rsidRPr="000650D6" w:rsidRDefault="009C778C" w:rsidP="00F33A88">
            <w:pPr>
              <w:pStyle w:val="NoSpacing"/>
            </w:pPr>
          </w:p>
        </w:tc>
        <w:tc>
          <w:tcPr>
            <w:tcW w:w="0" w:type="auto"/>
            <w:hideMark/>
          </w:tcPr>
          <w:p w14:paraId="3C8CC9C9" w14:textId="77777777" w:rsidR="009C778C" w:rsidRPr="000650D6" w:rsidRDefault="009C778C" w:rsidP="00F33A88">
            <w:pPr>
              <w:pStyle w:val="NoSpacing"/>
            </w:pPr>
            <w:r w:rsidRPr="000650D6">
              <w:t>(− 0.07)</w:t>
            </w:r>
          </w:p>
        </w:tc>
        <w:tc>
          <w:tcPr>
            <w:tcW w:w="0" w:type="auto"/>
            <w:hideMark/>
          </w:tcPr>
          <w:p w14:paraId="00260954" w14:textId="77777777" w:rsidR="009C778C" w:rsidRPr="000650D6" w:rsidRDefault="009C778C" w:rsidP="00F33A88">
            <w:pPr>
              <w:pStyle w:val="NoSpacing"/>
            </w:pPr>
            <w:r w:rsidRPr="000650D6">
              <w:t>(− 1.41)</w:t>
            </w:r>
          </w:p>
        </w:tc>
        <w:tc>
          <w:tcPr>
            <w:tcW w:w="0" w:type="auto"/>
            <w:hideMark/>
          </w:tcPr>
          <w:p w14:paraId="4E407ECE" w14:textId="77777777" w:rsidR="009C778C" w:rsidRPr="000650D6" w:rsidRDefault="009C778C" w:rsidP="00F33A88">
            <w:pPr>
              <w:pStyle w:val="NoSpacing"/>
            </w:pPr>
          </w:p>
        </w:tc>
        <w:tc>
          <w:tcPr>
            <w:tcW w:w="0" w:type="auto"/>
            <w:hideMark/>
          </w:tcPr>
          <w:p w14:paraId="1B4D93E2" w14:textId="77777777" w:rsidR="009C778C" w:rsidRPr="000650D6" w:rsidRDefault="009C778C" w:rsidP="00F33A88">
            <w:pPr>
              <w:pStyle w:val="NoSpacing"/>
            </w:pPr>
            <w:r w:rsidRPr="000650D6">
              <w:t>(− 1.04)</w:t>
            </w:r>
          </w:p>
        </w:tc>
        <w:tc>
          <w:tcPr>
            <w:tcW w:w="0" w:type="auto"/>
            <w:hideMark/>
          </w:tcPr>
          <w:p w14:paraId="0A2F0E4F" w14:textId="77777777" w:rsidR="009C778C" w:rsidRPr="000650D6" w:rsidRDefault="009C778C" w:rsidP="00F33A88">
            <w:pPr>
              <w:pStyle w:val="NoSpacing"/>
            </w:pPr>
            <w:r w:rsidRPr="000650D6">
              <w:t>(− 1.21)</w:t>
            </w:r>
          </w:p>
        </w:tc>
      </w:tr>
      <w:tr w:rsidR="00723473" w:rsidRPr="000650D6" w14:paraId="3AFF36D0" w14:textId="77777777" w:rsidTr="002620C8">
        <w:trPr>
          <w:trHeight w:val="144"/>
        </w:trPr>
        <w:tc>
          <w:tcPr>
            <w:tcW w:w="0" w:type="auto"/>
            <w:hideMark/>
          </w:tcPr>
          <w:p w14:paraId="486AF15E" w14:textId="77777777" w:rsidR="009C778C" w:rsidRPr="000650D6" w:rsidRDefault="009C778C" w:rsidP="00F33A88">
            <w:pPr>
              <w:pStyle w:val="NoSpacing"/>
            </w:pPr>
            <w:proofErr w:type="spellStart"/>
            <w:r w:rsidRPr="000650D6">
              <w:t>SALEGROWTH</w:t>
            </w:r>
            <w:r w:rsidRPr="000650D6">
              <w:rPr>
                <w:vertAlign w:val="subscript"/>
              </w:rPr>
              <w:t>t</w:t>
            </w:r>
            <w:proofErr w:type="spellEnd"/>
            <w:r w:rsidRPr="000650D6">
              <w:rPr>
                <w:vertAlign w:val="subscript"/>
              </w:rPr>
              <w:t> − 1</w:t>
            </w:r>
          </w:p>
        </w:tc>
        <w:tc>
          <w:tcPr>
            <w:tcW w:w="0" w:type="auto"/>
            <w:hideMark/>
          </w:tcPr>
          <w:p w14:paraId="49BA914B" w14:textId="77777777" w:rsidR="009C778C" w:rsidRPr="000650D6" w:rsidRDefault="009C778C" w:rsidP="00F33A88">
            <w:pPr>
              <w:pStyle w:val="NoSpacing"/>
            </w:pPr>
          </w:p>
        </w:tc>
        <w:tc>
          <w:tcPr>
            <w:tcW w:w="0" w:type="auto"/>
            <w:hideMark/>
          </w:tcPr>
          <w:p w14:paraId="1564C48A" w14:textId="77777777" w:rsidR="009C778C" w:rsidRPr="000650D6" w:rsidRDefault="009C778C" w:rsidP="00F33A88">
            <w:pPr>
              <w:pStyle w:val="NoSpacing"/>
            </w:pPr>
            <w:r w:rsidRPr="000650D6">
              <w:t>0.014</w:t>
            </w:r>
          </w:p>
        </w:tc>
        <w:tc>
          <w:tcPr>
            <w:tcW w:w="0" w:type="auto"/>
            <w:hideMark/>
          </w:tcPr>
          <w:p w14:paraId="55D490E3" w14:textId="77777777" w:rsidR="009C778C" w:rsidRPr="000650D6" w:rsidRDefault="009C778C" w:rsidP="00F33A88">
            <w:pPr>
              <w:pStyle w:val="NoSpacing"/>
            </w:pPr>
            <w:r w:rsidRPr="000650D6">
              <w:t>0.086***</w:t>
            </w:r>
          </w:p>
        </w:tc>
        <w:tc>
          <w:tcPr>
            <w:tcW w:w="0" w:type="auto"/>
            <w:hideMark/>
          </w:tcPr>
          <w:p w14:paraId="56C73B7D" w14:textId="77777777" w:rsidR="009C778C" w:rsidRPr="000650D6" w:rsidRDefault="009C778C" w:rsidP="00F33A88">
            <w:pPr>
              <w:pStyle w:val="NoSpacing"/>
            </w:pPr>
          </w:p>
        </w:tc>
        <w:tc>
          <w:tcPr>
            <w:tcW w:w="0" w:type="auto"/>
            <w:hideMark/>
          </w:tcPr>
          <w:p w14:paraId="3442213F" w14:textId="77777777" w:rsidR="009C778C" w:rsidRPr="000650D6" w:rsidRDefault="009C778C" w:rsidP="00F33A88">
            <w:pPr>
              <w:pStyle w:val="NoSpacing"/>
            </w:pPr>
            <w:r w:rsidRPr="000650D6">
              <w:t>0.047***</w:t>
            </w:r>
          </w:p>
        </w:tc>
        <w:tc>
          <w:tcPr>
            <w:tcW w:w="0" w:type="auto"/>
            <w:hideMark/>
          </w:tcPr>
          <w:p w14:paraId="68024ADF" w14:textId="77777777" w:rsidR="009C778C" w:rsidRPr="000650D6" w:rsidRDefault="009C778C" w:rsidP="00F33A88">
            <w:pPr>
              <w:pStyle w:val="NoSpacing"/>
            </w:pPr>
            <w:r w:rsidRPr="000650D6">
              <w:t>− 0.013</w:t>
            </w:r>
          </w:p>
        </w:tc>
      </w:tr>
      <w:tr w:rsidR="00723473" w:rsidRPr="000650D6" w14:paraId="0F2BDC48" w14:textId="77777777" w:rsidTr="002620C8">
        <w:trPr>
          <w:trHeight w:val="144"/>
        </w:trPr>
        <w:tc>
          <w:tcPr>
            <w:tcW w:w="0" w:type="auto"/>
            <w:hideMark/>
          </w:tcPr>
          <w:p w14:paraId="6BE68F52" w14:textId="77777777" w:rsidR="009C778C" w:rsidRPr="000650D6" w:rsidRDefault="009C778C" w:rsidP="00F33A88">
            <w:pPr>
              <w:pStyle w:val="NoSpacing"/>
            </w:pPr>
          </w:p>
        </w:tc>
        <w:tc>
          <w:tcPr>
            <w:tcW w:w="0" w:type="auto"/>
            <w:hideMark/>
          </w:tcPr>
          <w:p w14:paraId="07151AC1" w14:textId="77777777" w:rsidR="009C778C" w:rsidRPr="000650D6" w:rsidRDefault="009C778C" w:rsidP="00F33A88">
            <w:pPr>
              <w:pStyle w:val="NoSpacing"/>
            </w:pPr>
          </w:p>
        </w:tc>
        <w:tc>
          <w:tcPr>
            <w:tcW w:w="0" w:type="auto"/>
            <w:hideMark/>
          </w:tcPr>
          <w:p w14:paraId="4FB00932" w14:textId="77777777" w:rsidR="009C778C" w:rsidRPr="000650D6" w:rsidRDefault="009C778C" w:rsidP="00F33A88">
            <w:pPr>
              <w:pStyle w:val="NoSpacing"/>
            </w:pPr>
            <w:r w:rsidRPr="000650D6">
              <w:t>(0.94)</w:t>
            </w:r>
          </w:p>
        </w:tc>
        <w:tc>
          <w:tcPr>
            <w:tcW w:w="0" w:type="auto"/>
            <w:hideMark/>
          </w:tcPr>
          <w:p w14:paraId="2F5DAE03" w14:textId="77777777" w:rsidR="009C778C" w:rsidRPr="000650D6" w:rsidRDefault="009C778C" w:rsidP="00F33A88">
            <w:pPr>
              <w:pStyle w:val="NoSpacing"/>
            </w:pPr>
            <w:r w:rsidRPr="000650D6">
              <w:t>(3.04)</w:t>
            </w:r>
          </w:p>
        </w:tc>
        <w:tc>
          <w:tcPr>
            <w:tcW w:w="0" w:type="auto"/>
            <w:hideMark/>
          </w:tcPr>
          <w:p w14:paraId="37E983AE" w14:textId="77777777" w:rsidR="009C778C" w:rsidRPr="000650D6" w:rsidRDefault="009C778C" w:rsidP="00F33A88">
            <w:pPr>
              <w:pStyle w:val="NoSpacing"/>
            </w:pPr>
          </w:p>
        </w:tc>
        <w:tc>
          <w:tcPr>
            <w:tcW w:w="0" w:type="auto"/>
            <w:hideMark/>
          </w:tcPr>
          <w:p w14:paraId="146D74D8" w14:textId="77777777" w:rsidR="009C778C" w:rsidRPr="000650D6" w:rsidRDefault="009C778C" w:rsidP="00F33A88">
            <w:pPr>
              <w:pStyle w:val="NoSpacing"/>
            </w:pPr>
            <w:r w:rsidRPr="000650D6">
              <w:t>(2.78)</w:t>
            </w:r>
          </w:p>
        </w:tc>
        <w:tc>
          <w:tcPr>
            <w:tcW w:w="0" w:type="auto"/>
            <w:hideMark/>
          </w:tcPr>
          <w:p w14:paraId="462832A6" w14:textId="77777777" w:rsidR="009C778C" w:rsidRPr="000650D6" w:rsidRDefault="009C778C" w:rsidP="00F33A88">
            <w:pPr>
              <w:pStyle w:val="NoSpacing"/>
            </w:pPr>
            <w:r w:rsidRPr="000650D6">
              <w:t>(− 0.88)</w:t>
            </w:r>
          </w:p>
        </w:tc>
      </w:tr>
      <w:tr w:rsidR="00723473" w:rsidRPr="000650D6" w14:paraId="5259AF38" w14:textId="77777777" w:rsidTr="002620C8">
        <w:trPr>
          <w:trHeight w:val="144"/>
        </w:trPr>
        <w:tc>
          <w:tcPr>
            <w:tcW w:w="0" w:type="auto"/>
            <w:hideMark/>
          </w:tcPr>
          <w:p w14:paraId="20AE5EB2" w14:textId="77777777" w:rsidR="009C778C" w:rsidRPr="000650D6" w:rsidRDefault="009C778C" w:rsidP="00F33A88">
            <w:pPr>
              <w:pStyle w:val="NoSpacing"/>
            </w:pPr>
            <w:proofErr w:type="spellStart"/>
            <w:r w:rsidRPr="000650D6">
              <w:t>LEV</w:t>
            </w:r>
            <w:r w:rsidRPr="000650D6">
              <w:rPr>
                <w:vertAlign w:val="subscript"/>
              </w:rPr>
              <w:t>t</w:t>
            </w:r>
            <w:proofErr w:type="spellEnd"/>
            <w:r w:rsidRPr="000650D6">
              <w:rPr>
                <w:vertAlign w:val="subscript"/>
              </w:rPr>
              <w:t> − 1</w:t>
            </w:r>
          </w:p>
        </w:tc>
        <w:tc>
          <w:tcPr>
            <w:tcW w:w="0" w:type="auto"/>
            <w:hideMark/>
          </w:tcPr>
          <w:p w14:paraId="5C739067" w14:textId="77777777" w:rsidR="009C778C" w:rsidRPr="000650D6" w:rsidRDefault="009C778C" w:rsidP="00F33A88">
            <w:pPr>
              <w:pStyle w:val="NoSpacing"/>
            </w:pPr>
          </w:p>
        </w:tc>
        <w:tc>
          <w:tcPr>
            <w:tcW w:w="0" w:type="auto"/>
            <w:hideMark/>
          </w:tcPr>
          <w:p w14:paraId="5877B308" w14:textId="77777777" w:rsidR="009C778C" w:rsidRPr="000650D6" w:rsidRDefault="009C778C" w:rsidP="00F33A88">
            <w:pPr>
              <w:pStyle w:val="NoSpacing"/>
            </w:pPr>
            <w:r w:rsidRPr="000650D6">
              <w:t>0.212***</w:t>
            </w:r>
          </w:p>
        </w:tc>
        <w:tc>
          <w:tcPr>
            <w:tcW w:w="0" w:type="auto"/>
            <w:hideMark/>
          </w:tcPr>
          <w:p w14:paraId="031C1E2A" w14:textId="77777777" w:rsidR="009C778C" w:rsidRPr="000650D6" w:rsidRDefault="009C778C" w:rsidP="00F33A88">
            <w:pPr>
              <w:pStyle w:val="NoSpacing"/>
            </w:pPr>
            <w:r w:rsidRPr="000650D6">
              <w:t>0.219***</w:t>
            </w:r>
          </w:p>
        </w:tc>
        <w:tc>
          <w:tcPr>
            <w:tcW w:w="0" w:type="auto"/>
            <w:hideMark/>
          </w:tcPr>
          <w:p w14:paraId="68BDE615" w14:textId="77777777" w:rsidR="009C778C" w:rsidRPr="000650D6" w:rsidRDefault="009C778C" w:rsidP="00F33A88">
            <w:pPr>
              <w:pStyle w:val="NoSpacing"/>
            </w:pPr>
          </w:p>
        </w:tc>
        <w:tc>
          <w:tcPr>
            <w:tcW w:w="0" w:type="auto"/>
            <w:hideMark/>
          </w:tcPr>
          <w:p w14:paraId="58308FA4" w14:textId="77777777" w:rsidR="009C778C" w:rsidRPr="000650D6" w:rsidRDefault="009C778C" w:rsidP="00F33A88">
            <w:pPr>
              <w:pStyle w:val="NoSpacing"/>
            </w:pPr>
            <w:r w:rsidRPr="000650D6">
              <w:t>0.322***</w:t>
            </w:r>
          </w:p>
        </w:tc>
        <w:tc>
          <w:tcPr>
            <w:tcW w:w="0" w:type="auto"/>
            <w:hideMark/>
          </w:tcPr>
          <w:p w14:paraId="5A037984" w14:textId="77777777" w:rsidR="009C778C" w:rsidRPr="000650D6" w:rsidRDefault="009C778C" w:rsidP="00F33A88">
            <w:pPr>
              <w:pStyle w:val="NoSpacing"/>
            </w:pPr>
            <w:r w:rsidRPr="000650D6">
              <w:t>0.047</w:t>
            </w:r>
          </w:p>
        </w:tc>
      </w:tr>
      <w:tr w:rsidR="00723473" w:rsidRPr="000650D6" w14:paraId="5AC9D463" w14:textId="77777777" w:rsidTr="002620C8">
        <w:trPr>
          <w:trHeight w:val="144"/>
        </w:trPr>
        <w:tc>
          <w:tcPr>
            <w:tcW w:w="0" w:type="auto"/>
            <w:hideMark/>
          </w:tcPr>
          <w:p w14:paraId="55A3D142" w14:textId="77777777" w:rsidR="009C778C" w:rsidRPr="000650D6" w:rsidRDefault="009C778C" w:rsidP="00F33A88">
            <w:pPr>
              <w:pStyle w:val="NoSpacing"/>
            </w:pPr>
          </w:p>
        </w:tc>
        <w:tc>
          <w:tcPr>
            <w:tcW w:w="0" w:type="auto"/>
            <w:hideMark/>
          </w:tcPr>
          <w:p w14:paraId="089FA99F" w14:textId="77777777" w:rsidR="009C778C" w:rsidRPr="000650D6" w:rsidRDefault="009C778C" w:rsidP="00F33A88">
            <w:pPr>
              <w:pStyle w:val="NoSpacing"/>
            </w:pPr>
          </w:p>
        </w:tc>
        <w:tc>
          <w:tcPr>
            <w:tcW w:w="0" w:type="auto"/>
            <w:hideMark/>
          </w:tcPr>
          <w:p w14:paraId="703AE7AA" w14:textId="77777777" w:rsidR="009C778C" w:rsidRPr="000650D6" w:rsidRDefault="009C778C" w:rsidP="00F33A88">
            <w:pPr>
              <w:pStyle w:val="NoSpacing"/>
            </w:pPr>
            <w:r w:rsidRPr="000650D6">
              <w:t>(4.52)</w:t>
            </w:r>
          </w:p>
        </w:tc>
        <w:tc>
          <w:tcPr>
            <w:tcW w:w="0" w:type="auto"/>
            <w:hideMark/>
          </w:tcPr>
          <w:p w14:paraId="1ED659B9" w14:textId="77777777" w:rsidR="009C778C" w:rsidRPr="000650D6" w:rsidRDefault="009C778C" w:rsidP="00F33A88">
            <w:pPr>
              <w:pStyle w:val="NoSpacing"/>
            </w:pPr>
            <w:r w:rsidRPr="000650D6">
              <w:t>(5.11)</w:t>
            </w:r>
          </w:p>
        </w:tc>
        <w:tc>
          <w:tcPr>
            <w:tcW w:w="0" w:type="auto"/>
            <w:hideMark/>
          </w:tcPr>
          <w:p w14:paraId="203CD684" w14:textId="77777777" w:rsidR="009C778C" w:rsidRPr="000650D6" w:rsidRDefault="009C778C" w:rsidP="00F33A88">
            <w:pPr>
              <w:pStyle w:val="NoSpacing"/>
            </w:pPr>
          </w:p>
        </w:tc>
        <w:tc>
          <w:tcPr>
            <w:tcW w:w="0" w:type="auto"/>
            <w:hideMark/>
          </w:tcPr>
          <w:p w14:paraId="58FE444B" w14:textId="77777777" w:rsidR="009C778C" w:rsidRPr="000650D6" w:rsidRDefault="009C778C" w:rsidP="00F33A88">
            <w:pPr>
              <w:pStyle w:val="NoSpacing"/>
            </w:pPr>
            <w:r w:rsidRPr="000650D6">
              <w:t>(7.22)</w:t>
            </w:r>
          </w:p>
        </w:tc>
        <w:tc>
          <w:tcPr>
            <w:tcW w:w="0" w:type="auto"/>
            <w:hideMark/>
          </w:tcPr>
          <w:p w14:paraId="2D8ECFE2" w14:textId="77777777" w:rsidR="009C778C" w:rsidRPr="000650D6" w:rsidRDefault="009C778C" w:rsidP="00F33A88">
            <w:pPr>
              <w:pStyle w:val="NoSpacing"/>
            </w:pPr>
            <w:r w:rsidRPr="000650D6">
              <w:t>(1.19)</w:t>
            </w:r>
          </w:p>
        </w:tc>
      </w:tr>
      <w:tr w:rsidR="00723473" w:rsidRPr="000650D6" w14:paraId="23700D11" w14:textId="77777777" w:rsidTr="002620C8">
        <w:trPr>
          <w:trHeight w:val="144"/>
        </w:trPr>
        <w:tc>
          <w:tcPr>
            <w:tcW w:w="0" w:type="auto"/>
            <w:hideMark/>
          </w:tcPr>
          <w:p w14:paraId="0BE5B827" w14:textId="77777777" w:rsidR="009C778C" w:rsidRPr="000650D6" w:rsidRDefault="009C778C" w:rsidP="00F33A88">
            <w:pPr>
              <w:pStyle w:val="NoSpacing"/>
            </w:pPr>
            <w:proofErr w:type="spellStart"/>
            <w:r w:rsidRPr="000650D6">
              <w:t>STDSALE</w:t>
            </w:r>
            <w:r w:rsidRPr="000650D6">
              <w:rPr>
                <w:vertAlign w:val="subscript"/>
              </w:rPr>
              <w:t>t</w:t>
            </w:r>
            <w:proofErr w:type="spellEnd"/>
            <w:r w:rsidRPr="000650D6">
              <w:rPr>
                <w:vertAlign w:val="subscript"/>
              </w:rPr>
              <w:t> − 1</w:t>
            </w:r>
          </w:p>
        </w:tc>
        <w:tc>
          <w:tcPr>
            <w:tcW w:w="0" w:type="auto"/>
            <w:hideMark/>
          </w:tcPr>
          <w:p w14:paraId="06D67003" w14:textId="77777777" w:rsidR="009C778C" w:rsidRPr="000650D6" w:rsidRDefault="009C778C" w:rsidP="00F33A88">
            <w:pPr>
              <w:pStyle w:val="NoSpacing"/>
            </w:pPr>
          </w:p>
        </w:tc>
        <w:tc>
          <w:tcPr>
            <w:tcW w:w="0" w:type="auto"/>
            <w:hideMark/>
          </w:tcPr>
          <w:p w14:paraId="6B93CD46" w14:textId="77777777" w:rsidR="009C778C" w:rsidRPr="000650D6" w:rsidRDefault="009C778C" w:rsidP="00F33A88">
            <w:pPr>
              <w:pStyle w:val="NoSpacing"/>
            </w:pPr>
            <w:r w:rsidRPr="000650D6">
              <w:t>0.423***</w:t>
            </w:r>
          </w:p>
        </w:tc>
        <w:tc>
          <w:tcPr>
            <w:tcW w:w="0" w:type="auto"/>
            <w:hideMark/>
          </w:tcPr>
          <w:p w14:paraId="2036DA63" w14:textId="77777777" w:rsidR="009C778C" w:rsidRPr="000650D6" w:rsidRDefault="009C778C" w:rsidP="00F33A88">
            <w:pPr>
              <w:pStyle w:val="NoSpacing"/>
            </w:pPr>
            <w:r w:rsidRPr="000650D6">
              <w:t>0.376***</w:t>
            </w:r>
          </w:p>
        </w:tc>
        <w:tc>
          <w:tcPr>
            <w:tcW w:w="0" w:type="auto"/>
            <w:hideMark/>
          </w:tcPr>
          <w:p w14:paraId="7364C76D" w14:textId="77777777" w:rsidR="009C778C" w:rsidRPr="000650D6" w:rsidRDefault="009C778C" w:rsidP="00F33A88">
            <w:pPr>
              <w:pStyle w:val="NoSpacing"/>
            </w:pPr>
          </w:p>
        </w:tc>
        <w:tc>
          <w:tcPr>
            <w:tcW w:w="0" w:type="auto"/>
            <w:hideMark/>
          </w:tcPr>
          <w:p w14:paraId="7C439B07" w14:textId="77777777" w:rsidR="009C778C" w:rsidRPr="000650D6" w:rsidRDefault="009C778C" w:rsidP="00F33A88">
            <w:pPr>
              <w:pStyle w:val="NoSpacing"/>
            </w:pPr>
            <w:r w:rsidRPr="000650D6">
              <w:t>0.436***</w:t>
            </w:r>
          </w:p>
        </w:tc>
        <w:tc>
          <w:tcPr>
            <w:tcW w:w="0" w:type="auto"/>
            <w:hideMark/>
          </w:tcPr>
          <w:p w14:paraId="489F5441" w14:textId="77777777" w:rsidR="009C778C" w:rsidRPr="000650D6" w:rsidRDefault="009C778C" w:rsidP="00F33A88">
            <w:pPr>
              <w:pStyle w:val="NoSpacing"/>
            </w:pPr>
            <w:r w:rsidRPr="000650D6">
              <w:t>0.287***</w:t>
            </w:r>
          </w:p>
        </w:tc>
      </w:tr>
      <w:tr w:rsidR="00723473" w:rsidRPr="000650D6" w14:paraId="205D8F32" w14:textId="77777777" w:rsidTr="002620C8">
        <w:trPr>
          <w:trHeight w:val="144"/>
        </w:trPr>
        <w:tc>
          <w:tcPr>
            <w:tcW w:w="0" w:type="auto"/>
            <w:hideMark/>
          </w:tcPr>
          <w:p w14:paraId="1CB21BA5" w14:textId="77777777" w:rsidR="009C778C" w:rsidRPr="000650D6" w:rsidRDefault="009C778C" w:rsidP="00F33A88">
            <w:pPr>
              <w:pStyle w:val="NoSpacing"/>
            </w:pPr>
          </w:p>
        </w:tc>
        <w:tc>
          <w:tcPr>
            <w:tcW w:w="0" w:type="auto"/>
            <w:hideMark/>
          </w:tcPr>
          <w:p w14:paraId="77DB53F1" w14:textId="77777777" w:rsidR="009C778C" w:rsidRPr="000650D6" w:rsidRDefault="009C778C" w:rsidP="00F33A88">
            <w:pPr>
              <w:pStyle w:val="NoSpacing"/>
            </w:pPr>
          </w:p>
        </w:tc>
        <w:tc>
          <w:tcPr>
            <w:tcW w:w="0" w:type="auto"/>
            <w:hideMark/>
          </w:tcPr>
          <w:p w14:paraId="34303DF0" w14:textId="77777777" w:rsidR="009C778C" w:rsidRPr="000650D6" w:rsidRDefault="009C778C" w:rsidP="00F33A88">
            <w:pPr>
              <w:pStyle w:val="NoSpacing"/>
            </w:pPr>
            <w:r w:rsidRPr="000650D6">
              <w:t>(10.11)</w:t>
            </w:r>
          </w:p>
        </w:tc>
        <w:tc>
          <w:tcPr>
            <w:tcW w:w="0" w:type="auto"/>
            <w:hideMark/>
          </w:tcPr>
          <w:p w14:paraId="39C4DD8E" w14:textId="77777777" w:rsidR="009C778C" w:rsidRPr="000650D6" w:rsidRDefault="009C778C" w:rsidP="00F33A88">
            <w:pPr>
              <w:pStyle w:val="NoSpacing"/>
            </w:pPr>
            <w:r w:rsidRPr="000650D6">
              <w:t>(8.54)</w:t>
            </w:r>
          </w:p>
        </w:tc>
        <w:tc>
          <w:tcPr>
            <w:tcW w:w="0" w:type="auto"/>
            <w:hideMark/>
          </w:tcPr>
          <w:p w14:paraId="5074615C" w14:textId="77777777" w:rsidR="009C778C" w:rsidRPr="000650D6" w:rsidRDefault="009C778C" w:rsidP="00F33A88">
            <w:pPr>
              <w:pStyle w:val="NoSpacing"/>
            </w:pPr>
          </w:p>
        </w:tc>
        <w:tc>
          <w:tcPr>
            <w:tcW w:w="0" w:type="auto"/>
            <w:hideMark/>
          </w:tcPr>
          <w:p w14:paraId="1BC7D8EC" w14:textId="77777777" w:rsidR="009C778C" w:rsidRPr="000650D6" w:rsidRDefault="009C778C" w:rsidP="00F33A88">
            <w:pPr>
              <w:pStyle w:val="NoSpacing"/>
            </w:pPr>
            <w:r w:rsidRPr="000650D6">
              <w:t>(10.66)</w:t>
            </w:r>
          </w:p>
        </w:tc>
        <w:tc>
          <w:tcPr>
            <w:tcW w:w="0" w:type="auto"/>
            <w:hideMark/>
          </w:tcPr>
          <w:p w14:paraId="5CD988AF" w14:textId="77777777" w:rsidR="009C778C" w:rsidRPr="000650D6" w:rsidRDefault="009C778C" w:rsidP="00F33A88">
            <w:pPr>
              <w:pStyle w:val="NoSpacing"/>
            </w:pPr>
            <w:r w:rsidRPr="000650D6">
              <w:t>(7.23)</w:t>
            </w:r>
          </w:p>
        </w:tc>
      </w:tr>
      <w:tr w:rsidR="00723473" w:rsidRPr="000650D6" w14:paraId="06A0AC97" w14:textId="77777777" w:rsidTr="002620C8">
        <w:trPr>
          <w:trHeight w:val="144"/>
        </w:trPr>
        <w:tc>
          <w:tcPr>
            <w:tcW w:w="0" w:type="auto"/>
            <w:hideMark/>
          </w:tcPr>
          <w:p w14:paraId="404B410A" w14:textId="77777777" w:rsidR="009C778C" w:rsidRPr="000650D6" w:rsidRDefault="009C778C" w:rsidP="00F33A88">
            <w:pPr>
              <w:pStyle w:val="NoSpacing"/>
            </w:pPr>
            <w:proofErr w:type="spellStart"/>
            <w:r w:rsidRPr="000650D6">
              <w:t>CAPITAL_INTENSITY</w:t>
            </w:r>
            <w:r w:rsidRPr="000650D6">
              <w:rPr>
                <w:vertAlign w:val="subscript"/>
              </w:rPr>
              <w:t>t</w:t>
            </w:r>
            <w:proofErr w:type="spellEnd"/>
            <w:r w:rsidRPr="000650D6">
              <w:rPr>
                <w:vertAlign w:val="subscript"/>
              </w:rPr>
              <w:t> − 1</w:t>
            </w:r>
          </w:p>
        </w:tc>
        <w:tc>
          <w:tcPr>
            <w:tcW w:w="0" w:type="auto"/>
            <w:hideMark/>
          </w:tcPr>
          <w:p w14:paraId="220AE83D" w14:textId="77777777" w:rsidR="009C778C" w:rsidRPr="000650D6" w:rsidRDefault="009C778C" w:rsidP="00F33A88">
            <w:pPr>
              <w:pStyle w:val="NoSpacing"/>
            </w:pPr>
          </w:p>
        </w:tc>
        <w:tc>
          <w:tcPr>
            <w:tcW w:w="0" w:type="auto"/>
            <w:hideMark/>
          </w:tcPr>
          <w:p w14:paraId="177C2A34" w14:textId="77777777" w:rsidR="009C778C" w:rsidRPr="000650D6" w:rsidRDefault="009C778C" w:rsidP="00F33A88">
            <w:pPr>
              <w:pStyle w:val="NoSpacing"/>
            </w:pPr>
            <w:r w:rsidRPr="000650D6">
              <w:t>− 0.164***</w:t>
            </w:r>
          </w:p>
        </w:tc>
        <w:tc>
          <w:tcPr>
            <w:tcW w:w="0" w:type="auto"/>
            <w:hideMark/>
          </w:tcPr>
          <w:p w14:paraId="116BCFA8" w14:textId="77777777" w:rsidR="009C778C" w:rsidRPr="000650D6" w:rsidRDefault="009C778C" w:rsidP="00F33A88">
            <w:pPr>
              <w:pStyle w:val="NoSpacing"/>
            </w:pPr>
            <w:r w:rsidRPr="000650D6">
              <w:t>− 0.156***</w:t>
            </w:r>
          </w:p>
        </w:tc>
        <w:tc>
          <w:tcPr>
            <w:tcW w:w="0" w:type="auto"/>
            <w:hideMark/>
          </w:tcPr>
          <w:p w14:paraId="700A0D6F" w14:textId="77777777" w:rsidR="009C778C" w:rsidRPr="000650D6" w:rsidRDefault="009C778C" w:rsidP="00F33A88">
            <w:pPr>
              <w:pStyle w:val="NoSpacing"/>
            </w:pPr>
          </w:p>
        </w:tc>
        <w:tc>
          <w:tcPr>
            <w:tcW w:w="0" w:type="auto"/>
            <w:hideMark/>
          </w:tcPr>
          <w:p w14:paraId="4CB25E60" w14:textId="77777777" w:rsidR="009C778C" w:rsidRPr="000650D6" w:rsidRDefault="009C778C" w:rsidP="00F33A88">
            <w:pPr>
              <w:pStyle w:val="NoSpacing"/>
            </w:pPr>
            <w:r w:rsidRPr="000650D6">
              <w:t>− 0.217***</w:t>
            </w:r>
          </w:p>
        </w:tc>
        <w:tc>
          <w:tcPr>
            <w:tcW w:w="0" w:type="auto"/>
            <w:hideMark/>
          </w:tcPr>
          <w:p w14:paraId="71DB56DF" w14:textId="77777777" w:rsidR="009C778C" w:rsidRPr="000650D6" w:rsidRDefault="009C778C" w:rsidP="00F33A88">
            <w:pPr>
              <w:pStyle w:val="NoSpacing"/>
            </w:pPr>
            <w:r w:rsidRPr="000650D6">
              <w:t>− 0.075***</w:t>
            </w:r>
          </w:p>
        </w:tc>
      </w:tr>
      <w:tr w:rsidR="00723473" w:rsidRPr="000650D6" w14:paraId="6D4EFCEA" w14:textId="77777777" w:rsidTr="002620C8">
        <w:trPr>
          <w:trHeight w:val="144"/>
        </w:trPr>
        <w:tc>
          <w:tcPr>
            <w:tcW w:w="0" w:type="auto"/>
            <w:hideMark/>
          </w:tcPr>
          <w:p w14:paraId="5D09CED5" w14:textId="77777777" w:rsidR="009C778C" w:rsidRPr="000650D6" w:rsidRDefault="009C778C" w:rsidP="00F33A88">
            <w:pPr>
              <w:pStyle w:val="NoSpacing"/>
            </w:pPr>
          </w:p>
        </w:tc>
        <w:tc>
          <w:tcPr>
            <w:tcW w:w="0" w:type="auto"/>
            <w:hideMark/>
          </w:tcPr>
          <w:p w14:paraId="5C50A123" w14:textId="77777777" w:rsidR="009C778C" w:rsidRPr="000650D6" w:rsidRDefault="009C778C" w:rsidP="00F33A88">
            <w:pPr>
              <w:pStyle w:val="NoSpacing"/>
            </w:pPr>
          </w:p>
        </w:tc>
        <w:tc>
          <w:tcPr>
            <w:tcW w:w="0" w:type="auto"/>
            <w:hideMark/>
          </w:tcPr>
          <w:p w14:paraId="1C429ACD" w14:textId="77777777" w:rsidR="009C778C" w:rsidRPr="000650D6" w:rsidRDefault="009C778C" w:rsidP="00F33A88">
            <w:pPr>
              <w:pStyle w:val="NoSpacing"/>
            </w:pPr>
            <w:r w:rsidRPr="000650D6">
              <w:t>(− 9.53)</w:t>
            </w:r>
          </w:p>
        </w:tc>
        <w:tc>
          <w:tcPr>
            <w:tcW w:w="0" w:type="auto"/>
            <w:hideMark/>
          </w:tcPr>
          <w:p w14:paraId="42397135" w14:textId="77777777" w:rsidR="009C778C" w:rsidRPr="000650D6" w:rsidRDefault="009C778C" w:rsidP="00F33A88">
            <w:pPr>
              <w:pStyle w:val="NoSpacing"/>
            </w:pPr>
            <w:r w:rsidRPr="000650D6">
              <w:t>(− 9.95)</w:t>
            </w:r>
          </w:p>
        </w:tc>
        <w:tc>
          <w:tcPr>
            <w:tcW w:w="0" w:type="auto"/>
            <w:hideMark/>
          </w:tcPr>
          <w:p w14:paraId="30B8C3B7" w14:textId="77777777" w:rsidR="009C778C" w:rsidRPr="000650D6" w:rsidRDefault="009C778C" w:rsidP="00F33A88">
            <w:pPr>
              <w:pStyle w:val="NoSpacing"/>
            </w:pPr>
          </w:p>
        </w:tc>
        <w:tc>
          <w:tcPr>
            <w:tcW w:w="0" w:type="auto"/>
            <w:hideMark/>
          </w:tcPr>
          <w:p w14:paraId="3B390591" w14:textId="77777777" w:rsidR="009C778C" w:rsidRPr="000650D6" w:rsidRDefault="009C778C" w:rsidP="00F33A88">
            <w:pPr>
              <w:pStyle w:val="NoSpacing"/>
            </w:pPr>
            <w:r w:rsidRPr="000650D6">
              <w:t>(− 12.65)</w:t>
            </w:r>
          </w:p>
        </w:tc>
        <w:tc>
          <w:tcPr>
            <w:tcW w:w="0" w:type="auto"/>
            <w:hideMark/>
          </w:tcPr>
          <w:p w14:paraId="15976D76" w14:textId="77777777" w:rsidR="009C778C" w:rsidRPr="000650D6" w:rsidRDefault="009C778C" w:rsidP="00F33A88">
            <w:pPr>
              <w:pStyle w:val="NoSpacing"/>
            </w:pPr>
            <w:r w:rsidRPr="000650D6">
              <w:t>(− 5.51)</w:t>
            </w:r>
          </w:p>
        </w:tc>
      </w:tr>
      <w:tr w:rsidR="00723473" w:rsidRPr="000650D6" w14:paraId="5514B0AD" w14:textId="77777777" w:rsidTr="002620C8">
        <w:trPr>
          <w:trHeight w:val="144"/>
        </w:trPr>
        <w:tc>
          <w:tcPr>
            <w:tcW w:w="0" w:type="auto"/>
            <w:hideMark/>
          </w:tcPr>
          <w:p w14:paraId="0A498DEE" w14:textId="77777777" w:rsidR="009C778C" w:rsidRPr="000650D6" w:rsidRDefault="009C778C" w:rsidP="00F33A88">
            <w:pPr>
              <w:pStyle w:val="NoSpacing"/>
            </w:pPr>
            <w:proofErr w:type="spellStart"/>
            <w:r w:rsidRPr="000650D6">
              <w:t>ANALYST</w:t>
            </w:r>
            <w:r w:rsidRPr="000650D6">
              <w:rPr>
                <w:vertAlign w:val="subscript"/>
              </w:rPr>
              <w:t>t</w:t>
            </w:r>
            <w:proofErr w:type="spellEnd"/>
            <w:r w:rsidRPr="000650D6">
              <w:rPr>
                <w:vertAlign w:val="subscript"/>
              </w:rPr>
              <w:t> − 1</w:t>
            </w:r>
          </w:p>
        </w:tc>
        <w:tc>
          <w:tcPr>
            <w:tcW w:w="0" w:type="auto"/>
            <w:hideMark/>
          </w:tcPr>
          <w:p w14:paraId="42D68CBF" w14:textId="77777777" w:rsidR="009C778C" w:rsidRPr="000650D6" w:rsidRDefault="009C778C" w:rsidP="00F33A88">
            <w:pPr>
              <w:pStyle w:val="NoSpacing"/>
            </w:pPr>
          </w:p>
        </w:tc>
        <w:tc>
          <w:tcPr>
            <w:tcW w:w="0" w:type="auto"/>
            <w:hideMark/>
          </w:tcPr>
          <w:p w14:paraId="3BE25873" w14:textId="77777777" w:rsidR="009C778C" w:rsidRPr="000650D6" w:rsidRDefault="009C778C" w:rsidP="00F33A88">
            <w:pPr>
              <w:pStyle w:val="NoSpacing"/>
            </w:pPr>
            <w:r w:rsidRPr="000650D6">
              <w:t>− 0.021***</w:t>
            </w:r>
          </w:p>
        </w:tc>
        <w:tc>
          <w:tcPr>
            <w:tcW w:w="0" w:type="auto"/>
            <w:hideMark/>
          </w:tcPr>
          <w:p w14:paraId="7567FE2E" w14:textId="77777777" w:rsidR="009C778C" w:rsidRPr="000650D6" w:rsidRDefault="009C778C" w:rsidP="00F33A88">
            <w:pPr>
              <w:pStyle w:val="NoSpacing"/>
            </w:pPr>
            <w:r w:rsidRPr="000650D6">
              <w:t>− 0.004</w:t>
            </w:r>
          </w:p>
        </w:tc>
        <w:tc>
          <w:tcPr>
            <w:tcW w:w="0" w:type="auto"/>
            <w:hideMark/>
          </w:tcPr>
          <w:p w14:paraId="318F12B6" w14:textId="77777777" w:rsidR="009C778C" w:rsidRPr="000650D6" w:rsidRDefault="009C778C" w:rsidP="00F33A88">
            <w:pPr>
              <w:pStyle w:val="NoSpacing"/>
            </w:pPr>
          </w:p>
        </w:tc>
        <w:tc>
          <w:tcPr>
            <w:tcW w:w="0" w:type="auto"/>
            <w:hideMark/>
          </w:tcPr>
          <w:p w14:paraId="58CDAE73" w14:textId="77777777" w:rsidR="009C778C" w:rsidRPr="000650D6" w:rsidRDefault="009C778C" w:rsidP="00F33A88">
            <w:pPr>
              <w:pStyle w:val="NoSpacing"/>
            </w:pPr>
            <w:r w:rsidRPr="000650D6">
              <w:t>− 0.017</w:t>
            </w:r>
          </w:p>
        </w:tc>
        <w:tc>
          <w:tcPr>
            <w:tcW w:w="0" w:type="auto"/>
            <w:hideMark/>
          </w:tcPr>
          <w:p w14:paraId="65AA65EA" w14:textId="77777777" w:rsidR="009C778C" w:rsidRPr="000650D6" w:rsidRDefault="009C778C" w:rsidP="00F33A88">
            <w:pPr>
              <w:pStyle w:val="NoSpacing"/>
            </w:pPr>
            <w:r w:rsidRPr="000650D6">
              <w:t>− 0.008</w:t>
            </w:r>
          </w:p>
        </w:tc>
      </w:tr>
      <w:tr w:rsidR="00723473" w:rsidRPr="000650D6" w14:paraId="3DD26BB2" w14:textId="77777777" w:rsidTr="002620C8">
        <w:trPr>
          <w:trHeight w:val="144"/>
        </w:trPr>
        <w:tc>
          <w:tcPr>
            <w:tcW w:w="0" w:type="auto"/>
            <w:hideMark/>
          </w:tcPr>
          <w:p w14:paraId="15CAC18E" w14:textId="77777777" w:rsidR="009C778C" w:rsidRPr="000650D6" w:rsidRDefault="009C778C" w:rsidP="00F33A88">
            <w:pPr>
              <w:pStyle w:val="NoSpacing"/>
            </w:pPr>
          </w:p>
        </w:tc>
        <w:tc>
          <w:tcPr>
            <w:tcW w:w="0" w:type="auto"/>
            <w:hideMark/>
          </w:tcPr>
          <w:p w14:paraId="1E701CDC" w14:textId="77777777" w:rsidR="009C778C" w:rsidRPr="000650D6" w:rsidRDefault="009C778C" w:rsidP="00F33A88">
            <w:pPr>
              <w:pStyle w:val="NoSpacing"/>
            </w:pPr>
          </w:p>
        </w:tc>
        <w:tc>
          <w:tcPr>
            <w:tcW w:w="0" w:type="auto"/>
            <w:hideMark/>
          </w:tcPr>
          <w:p w14:paraId="4E0FE735" w14:textId="77777777" w:rsidR="009C778C" w:rsidRPr="000650D6" w:rsidRDefault="009C778C" w:rsidP="00F33A88">
            <w:pPr>
              <w:pStyle w:val="NoSpacing"/>
            </w:pPr>
            <w:r w:rsidRPr="000650D6">
              <w:t>(− 3.44)</w:t>
            </w:r>
          </w:p>
        </w:tc>
        <w:tc>
          <w:tcPr>
            <w:tcW w:w="0" w:type="auto"/>
            <w:hideMark/>
          </w:tcPr>
          <w:p w14:paraId="5325BA70" w14:textId="77777777" w:rsidR="009C778C" w:rsidRPr="000650D6" w:rsidRDefault="009C778C" w:rsidP="00F33A88">
            <w:pPr>
              <w:pStyle w:val="NoSpacing"/>
            </w:pPr>
            <w:r w:rsidRPr="000650D6">
              <w:t>(− 0.82)</w:t>
            </w:r>
          </w:p>
        </w:tc>
        <w:tc>
          <w:tcPr>
            <w:tcW w:w="0" w:type="auto"/>
            <w:hideMark/>
          </w:tcPr>
          <w:p w14:paraId="696E40E3" w14:textId="77777777" w:rsidR="009C778C" w:rsidRPr="000650D6" w:rsidRDefault="009C778C" w:rsidP="00F33A88">
            <w:pPr>
              <w:pStyle w:val="NoSpacing"/>
            </w:pPr>
          </w:p>
        </w:tc>
        <w:tc>
          <w:tcPr>
            <w:tcW w:w="0" w:type="auto"/>
            <w:hideMark/>
          </w:tcPr>
          <w:p w14:paraId="45BC3B60" w14:textId="77777777" w:rsidR="009C778C" w:rsidRPr="000650D6" w:rsidRDefault="009C778C" w:rsidP="00F33A88">
            <w:pPr>
              <w:pStyle w:val="NoSpacing"/>
            </w:pPr>
            <w:r w:rsidRPr="000650D6">
              <w:t>(− 1.31)</w:t>
            </w:r>
          </w:p>
        </w:tc>
        <w:tc>
          <w:tcPr>
            <w:tcW w:w="0" w:type="auto"/>
            <w:hideMark/>
          </w:tcPr>
          <w:p w14:paraId="613EB5D4" w14:textId="77777777" w:rsidR="009C778C" w:rsidRPr="000650D6" w:rsidRDefault="009C778C" w:rsidP="00F33A88">
            <w:pPr>
              <w:pStyle w:val="NoSpacing"/>
            </w:pPr>
            <w:r w:rsidRPr="000650D6">
              <w:t>(− 1.45)</w:t>
            </w:r>
          </w:p>
        </w:tc>
      </w:tr>
      <w:tr w:rsidR="00723473" w:rsidRPr="000650D6" w14:paraId="31B2A95D" w14:textId="77777777" w:rsidTr="002620C8">
        <w:trPr>
          <w:trHeight w:val="144"/>
        </w:trPr>
        <w:tc>
          <w:tcPr>
            <w:tcW w:w="0" w:type="auto"/>
            <w:hideMark/>
          </w:tcPr>
          <w:p w14:paraId="4C7A51CC" w14:textId="77777777" w:rsidR="009C778C" w:rsidRPr="000650D6" w:rsidRDefault="009C778C" w:rsidP="00F33A88">
            <w:pPr>
              <w:pStyle w:val="NoSpacing"/>
            </w:pPr>
            <w:proofErr w:type="spellStart"/>
            <w:r w:rsidRPr="000650D6">
              <w:t>ACC_STANDARD</w:t>
            </w:r>
            <w:r w:rsidRPr="000650D6">
              <w:rPr>
                <w:vertAlign w:val="subscript"/>
              </w:rPr>
              <w:t>t</w:t>
            </w:r>
            <w:proofErr w:type="spellEnd"/>
            <w:r w:rsidRPr="000650D6">
              <w:rPr>
                <w:vertAlign w:val="subscript"/>
              </w:rPr>
              <w:t> − 1</w:t>
            </w:r>
          </w:p>
        </w:tc>
        <w:tc>
          <w:tcPr>
            <w:tcW w:w="0" w:type="auto"/>
            <w:hideMark/>
          </w:tcPr>
          <w:p w14:paraId="0BA0D98D" w14:textId="77777777" w:rsidR="009C778C" w:rsidRPr="000650D6" w:rsidRDefault="009C778C" w:rsidP="00F33A88">
            <w:pPr>
              <w:pStyle w:val="NoSpacing"/>
            </w:pPr>
          </w:p>
        </w:tc>
        <w:tc>
          <w:tcPr>
            <w:tcW w:w="0" w:type="auto"/>
            <w:hideMark/>
          </w:tcPr>
          <w:p w14:paraId="34C6B2EA" w14:textId="77777777" w:rsidR="009C778C" w:rsidRPr="000650D6" w:rsidRDefault="009C778C" w:rsidP="00F33A88">
            <w:pPr>
              <w:pStyle w:val="NoSpacing"/>
            </w:pPr>
            <w:r w:rsidRPr="000650D6">
              <w:t>0.030*</w:t>
            </w:r>
          </w:p>
        </w:tc>
        <w:tc>
          <w:tcPr>
            <w:tcW w:w="0" w:type="auto"/>
            <w:hideMark/>
          </w:tcPr>
          <w:p w14:paraId="45CA99CB" w14:textId="77777777" w:rsidR="009C778C" w:rsidRPr="000650D6" w:rsidRDefault="009C778C" w:rsidP="00F33A88">
            <w:pPr>
              <w:pStyle w:val="NoSpacing"/>
            </w:pPr>
            <w:r w:rsidRPr="000650D6">
              <w:t>0.028</w:t>
            </w:r>
          </w:p>
        </w:tc>
        <w:tc>
          <w:tcPr>
            <w:tcW w:w="0" w:type="auto"/>
            <w:hideMark/>
          </w:tcPr>
          <w:p w14:paraId="087AD1F9" w14:textId="77777777" w:rsidR="009C778C" w:rsidRPr="000650D6" w:rsidRDefault="009C778C" w:rsidP="00F33A88">
            <w:pPr>
              <w:pStyle w:val="NoSpacing"/>
            </w:pPr>
          </w:p>
        </w:tc>
        <w:tc>
          <w:tcPr>
            <w:tcW w:w="0" w:type="auto"/>
            <w:hideMark/>
          </w:tcPr>
          <w:p w14:paraId="6AD5ED09" w14:textId="77777777" w:rsidR="009C778C" w:rsidRPr="000650D6" w:rsidRDefault="009C778C" w:rsidP="00F33A88">
            <w:pPr>
              <w:pStyle w:val="NoSpacing"/>
            </w:pPr>
            <w:r w:rsidRPr="000650D6">
              <w:t>0.049**</w:t>
            </w:r>
          </w:p>
        </w:tc>
        <w:tc>
          <w:tcPr>
            <w:tcW w:w="0" w:type="auto"/>
            <w:hideMark/>
          </w:tcPr>
          <w:p w14:paraId="2BF35939" w14:textId="77777777" w:rsidR="009C778C" w:rsidRPr="000650D6" w:rsidRDefault="009C778C" w:rsidP="00F33A88">
            <w:pPr>
              <w:pStyle w:val="NoSpacing"/>
            </w:pPr>
            <w:r w:rsidRPr="000650D6">
              <w:t>0.017</w:t>
            </w:r>
          </w:p>
        </w:tc>
      </w:tr>
      <w:tr w:rsidR="00723473" w:rsidRPr="000650D6" w14:paraId="6349B123" w14:textId="77777777" w:rsidTr="002620C8">
        <w:trPr>
          <w:trHeight w:val="144"/>
        </w:trPr>
        <w:tc>
          <w:tcPr>
            <w:tcW w:w="0" w:type="auto"/>
            <w:hideMark/>
          </w:tcPr>
          <w:p w14:paraId="2E181D78" w14:textId="77777777" w:rsidR="009C778C" w:rsidRPr="000650D6" w:rsidRDefault="009C778C" w:rsidP="00F33A88">
            <w:pPr>
              <w:pStyle w:val="NoSpacing"/>
            </w:pPr>
          </w:p>
        </w:tc>
        <w:tc>
          <w:tcPr>
            <w:tcW w:w="0" w:type="auto"/>
            <w:hideMark/>
          </w:tcPr>
          <w:p w14:paraId="6E2F3F69" w14:textId="77777777" w:rsidR="009C778C" w:rsidRPr="000650D6" w:rsidRDefault="009C778C" w:rsidP="00F33A88">
            <w:pPr>
              <w:pStyle w:val="NoSpacing"/>
            </w:pPr>
          </w:p>
        </w:tc>
        <w:tc>
          <w:tcPr>
            <w:tcW w:w="0" w:type="auto"/>
            <w:hideMark/>
          </w:tcPr>
          <w:p w14:paraId="25A08F8A" w14:textId="77777777" w:rsidR="009C778C" w:rsidRPr="000650D6" w:rsidRDefault="009C778C" w:rsidP="00F33A88">
            <w:pPr>
              <w:pStyle w:val="NoSpacing"/>
            </w:pPr>
            <w:r w:rsidRPr="000650D6">
              <w:t>(1.73)</w:t>
            </w:r>
          </w:p>
        </w:tc>
        <w:tc>
          <w:tcPr>
            <w:tcW w:w="0" w:type="auto"/>
            <w:hideMark/>
          </w:tcPr>
          <w:p w14:paraId="1BAF664B" w14:textId="77777777" w:rsidR="009C778C" w:rsidRPr="000650D6" w:rsidRDefault="009C778C" w:rsidP="00F33A88">
            <w:pPr>
              <w:pStyle w:val="NoSpacing"/>
            </w:pPr>
            <w:r w:rsidRPr="000650D6">
              <w:t>(1.54)</w:t>
            </w:r>
          </w:p>
        </w:tc>
        <w:tc>
          <w:tcPr>
            <w:tcW w:w="0" w:type="auto"/>
            <w:hideMark/>
          </w:tcPr>
          <w:p w14:paraId="32F417D3" w14:textId="77777777" w:rsidR="009C778C" w:rsidRPr="000650D6" w:rsidRDefault="009C778C" w:rsidP="00F33A88">
            <w:pPr>
              <w:pStyle w:val="NoSpacing"/>
            </w:pPr>
          </w:p>
        </w:tc>
        <w:tc>
          <w:tcPr>
            <w:tcW w:w="0" w:type="auto"/>
            <w:hideMark/>
          </w:tcPr>
          <w:p w14:paraId="5942C58E" w14:textId="77777777" w:rsidR="009C778C" w:rsidRPr="000650D6" w:rsidRDefault="009C778C" w:rsidP="00F33A88">
            <w:pPr>
              <w:pStyle w:val="NoSpacing"/>
            </w:pPr>
            <w:r w:rsidRPr="000650D6">
              <w:t>(2.52)</w:t>
            </w:r>
          </w:p>
        </w:tc>
        <w:tc>
          <w:tcPr>
            <w:tcW w:w="0" w:type="auto"/>
            <w:hideMark/>
          </w:tcPr>
          <w:p w14:paraId="71A1B27F" w14:textId="77777777" w:rsidR="009C778C" w:rsidRPr="000650D6" w:rsidRDefault="009C778C" w:rsidP="00F33A88">
            <w:pPr>
              <w:pStyle w:val="NoSpacing"/>
            </w:pPr>
            <w:r w:rsidRPr="000650D6">
              <w:t>(1.16)</w:t>
            </w:r>
          </w:p>
        </w:tc>
      </w:tr>
      <w:tr w:rsidR="00723473" w:rsidRPr="000650D6" w14:paraId="5C5DA54C" w14:textId="77777777" w:rsidTr="002620C8">
        <w:trPr>
          <w:trHeight w:val="144"/>
        </w:trPr>
        <w:tc>
          <w:tcPr>
            <w:tcW w:w="0" w:type="auto"/>
            <w:hideMark/>
          </w:tcPr>
          <w:p w14:paraId="1D1D876D" w14:textId="77777777" w:rsidR="009C778C" w:rsidRPr="000650D6" w:rsidRDefault="009C778C" w:rsidP="00F33A88">
            <w:pPr>
              <w:pStyle w:val="NoSpacing"/>
            </w:pPr>
            <w:proofErr w:type="spellStart"/>
            <w:r w:rsidRPr="000650D6">
              <w:t>GDPGROWTH</w:t>
            </w:r>
            <w:r w:rsidRPr="000650D6">
              <w:rPr>
                <w:vertAlign w:val="subscript"/>
              </w:rPr>
              <w:t>t</w:t>
            </w:r>
            <w:proofErr w:type="spellEnd"/>
            <w:r w:rsidRPr="000650D6">
              <w:rPr>
                <w:vertAlign w:val="subscript"/>
              </w:rPr>
              <w:t> − 1</w:t>
            </w:r>
          </w:p>
        </w:tc>
        <w:tc>
          <w:tcPr>
            <w:tcW w:w="0" w:type="auto"/>
            <w:hideMark/>
          </w:tcPr>
          <w:p w14:paraId="10E10FCE" w14:textId="77777777" w:rsidR="009C778C" w:rsidRPr="000650D6" w:rsidRDefault="009C778C" w:rsidP="00F33A88">
            <w:pPr>
              <w:pStyle w:val="NoSpacing"/>
            </w:pPr>
          </w:p>
        </w:tc>
        <w:tc>
          <w:tcPr>
            <w:tcW w:w="0" w:type="auto"/>
            <w:hideMark/>
          </w:tcPr>
          <w:p w14:paraId="252815F3" w14:textId="77777777" w:rsidR="009C778C" w:rsidRPr="000650D6" w:rsidRDefault="009C778C" w:rsidP="00F33A88">
            <w:pPr>
              <w:pStyle w:val="NoSpacing"/>
            </w:pPr>
            <w:r w:rsidRPr="000650D6">
              <w:t>− 0.833**</w:t>
            </w:r>
          </w:p>
        </w:tc>
        <w:tc>
          <w:tcPr>
            <w:tcW w:w="0" w:type="auto"/>
            <w:hideMark/>
          </w:tcPr>
          <w:p w14:paraId="0DDEC307" w14:textId="77777777" w:rsidR="009C778C" w:rsidRPr="000650D6" w:rsidRDefault="009C778C" w:rsidP="00F33A88">
            <w:pPr>
              <w:pStyle w:val="NoSpacing"/>
            </w:pPr>
            <w:r w:rsidRPr="000650D6">
              <w:t>0.382</w:t>
            </w:r>
          </w:p>
        </w:tc>
        <w:tc>
          <w:tcPr>
            <w:tcW w:w="0" w:type="auto"/>
            <w:hideMark/>
          </w:tcPr>
          <w:p w14:paraId="35EC9C6A" w14:textId="77777777" w:rsidR="009C778C" w:rsidRPr="000650D6" w:rsidRDefault="009C778C" w:rsidP="00F33A88">
            <w:pPr>
              <w:pStyle w:val="NoSpacing"/>
            </w:pPr>
          </w:p>
        </w:tc>
        <w:tc>
          <w:tcPr>
            <w:tcW w:w="0" w:type="auto"/>
            <w:hideMark/>
          </w:tcPr>
          <w:p w14:paraId="5139632D" w14:textId="77777777" w:rsidR="009C778C" w:rsidRPr="000650D6" w:rsidRDefault="009C778C" w:rsidP="00F33A88">
            <w:pPr>
              <w:pStyle w:val="NoSpacing"/>
            </w:pPr>
            <w:r w:rsidRPr="000650D6">
              <w:t>− 0.608*</w:t>
            </w:r>
          </w:p>
        </w:tc>
        <w:tc>
          <w:tcPr>
            <w:tcW w:w="0" w:type="auto"/>
            <w:hideMark/>
          </w:tcPr>
          <w:p w14:paraId="219E98EE" w14:textId="77777777" w:rsidR="009C778C" w:rsidRPr="000650D6" w:rsidRDefault="009C778C" w:rsidP="00F33A88">
            <w:pPr>
              <w:pStyle w:val="NoSpacing"/>
            </w:pPr>
            <w:r w:rsidRPr="000650D6">
              <w:t>0.054</w:t>
            </w:r>
          </w:p>
        </w:tc>
      </w:tr>
      <w:tr w:rsidR="00723473" w:rsidRPr="000650D6" w14:paraId="2E4254BC" w14:textId="77777777" w:rsidTr="002620C8">
        <w:trPr>
          <w:trHeight w:val="144"/>
        </w:trPr>
        <w:tc>
          <w:tcPr>
            <w:tcW w:w="0" w:type="auto"/>
            <w:hideMark/>
          </w:tcPr>
          <w:p w14:paraId="0F9B2F5A" w14:textId="77777777" w:rsidR="009C778C" w:rsidRPr="000650D6" w:rsidRDefault="009C778C" w:rsidP="00F33A88">
            <w:pPr>
              <w:pStyle w:val="NoSpacing"/>
            </w:pPr>
          </w:p>
        </w:tc>
        <w:tc>
          <w:tcPr>
            <w:tcW w:w="0" w:type="auto"/>
            <w:hideMark/>
          </w:tcPr>
          <w:p w14:paraId="4F7441E6" w14:textId="77777777" w:rsidR="009C778C" w:rsidRPr="000650D6" w:rsidRDefault="009C778C" w:rsidP="00F33A88">
            <w:pPr>
              <w:pStyle w:val="NoSpacing"/>
            </w:pPr>
          </w:p>
        </w:tc>
        <w:tc>
          <w:tcPr>
            <w:tcW w:w="0" w:type="auto"/>
            <w:hideMark/>
          </w:tcPr>
          <w:p w14:paraId="3A10E2DB" w14:textId="77777777" w:rsidR="009C778C" w:rsidRPr="000650D6" w:rsidRDefault="009C778C" w:rsidP="00F33A88">
            <w:pPr>
              <w:pStyle w:val="NoSpacing"/>
            </w:pPr>
            <w:r w:rsidRPr="000650D6">
              <w:t>(− 2.46)</w:t>
            </w:r>
          </w:p>
        </w:tc>
        <w:tc>
          <w:tcPr>
            <w:tcW w:w="0" w:type="auto"/>
            <w:hideMark/>
          </w:tcPr>
          <w:p w14:paraId="34DBBE48" w14:textId="77777777" w:rsidR="009C778C" w:rsidRPr="000650D6" w:rsidRDefault="009C778C" w:rsidP="00F33A88">
            <w:pPr>
              <w:pStyle w:val="NoSpacing"/>
            </w:pPr>
            <w:r w:rsidRPr="000650D6">
              <w:t>(0.91)</w:t>
            </w:r>
          </w:p>
        </w:tc>
        <w:tc>
          <w:tcPr>
            <w:tcW w:w="0" w:type="auto"/>
            <w:hideMark/>
          </w:tcPr>
          <w:p w14:paraId="6D1F9803" w14:textId="77777777" w:rsidR="009C778C" w:rsidRPr="000650D6" w:rsidRDefault="009C778C" w:rsidP="00F33A88">
            <w:pPr>
              <w:pStyle w:val="NoSpacing"/>
            </w:pPr>
          </w:p>
        </w:tc>
        <w:tc>
          <w:tcPr>
            <w:tcW w:w="0" w:type="auto"/>
            <w:hideMark/>
          </w:tcPr>
          <w:p w14:paraId="70178C58" w14:textId="77777777" w:rsidR="009C778C" w:rsidRPr="000650D6" w:rsidRDefault="009C778C" w:rsidP="00F33A88">
            <w:pPr>
              <w:pStyle w:val="NoSpacing"/>
            </w:pPr>
            <w:r w:rsidRPr="000650D6">
              <w:t>(− 1.83)</w:t>
            </w:r>
          </w:p>
        </w:tc>
        <w:tc>
          <w:tcPr>
            <w:tcW w:w="0" w:type="auto"/>
            <w:hideMark/>
          </w:tcPr>
          <w:p w14:paraId="5270037B" w14:textId="77777777" w:rsidR="009C778C" w:rsidRPr="000650D6" w:rsidRDefault="009C778C" w:rsidP="00F33A88">
            <w:pPr>
              <w:pStyle w:val="NoSpacing"/>
            </w:pPr>
            <w:r w:rsidRPr="000650D6">
              <w:t>(0.12)</w:t>
            </w:r>
          </w:p>
        </w:tc>
      </w:tr>
      <w:tr w:rsidR="00723473" w:rsidRPr="000650D6" w14:paraId="41B6A4D0" w14:textId="77777777" w:rsidTr="002620C8">
        <w:trPr>
          <w:trHeight w:val="144"/>
        </w:trPr>
        <w:tc>
          <w:tcPr>
            <w:tcW w:w="0" w:type="auto"/>
            <w:hideMark/>
          </w:tcPr>
          <w:p w14:paraId="41B97BFA" w14:textId="77777777" w:rsidR="009C778C" w:rsidRPr="000650D6" w:rsidRDefault="009C778C" w:rsidP="00F33A88">
            <w:pPr>
              <w:pStyle w:val="NoSpacing"/>
            </w:pPr>
            <w:proofErr w:type="spellStart"/>
            <w:r w:rsidRPr="000650D6">
              <w:t>INFLATION</w:t>
            </w:r>
            <w:r w:rsidRPr="000650D6">
              <w:rPr>
                <w:vertAlign w:val="subscript"/>
              </w:rPr>
              <w:t>t</w:t>
            </w:r>
            <w:proofErr w:type="spellEnd"/>
            <w:r w:rsidRPr="000650D6">
              <w:rPr>
                <w:vertAlign w:val="subscript"/>
              </w:rPr>
              <w:t> − 1</w:t>
            </w:r>
          </w:p>
        </w:tc>
        <w:tc>
          <w:tcPr>
            <w:tcW w:w="0" w:type="auto"/>
            <w:hideMark/>
          </w:tcPr>
          <w:p w14:paraId="03D5EAD5" w14:textId="77777777" w:rsidR="009C778C" w:rsidRPr="000650D6" w:rsidRDefault="009C778C" w:rsidP="00F33A88">
            <w:pPr>
              <w:pStyle w:val="NoSpacing"/>
            </w:pPr>
          </w:p>
        </w:tc>
        <w:tc>
          <w:tcPr>
            <w:tcW w:w="0" w:type="auto"/>
            <w:hideMark/>
          </w:tcPr>
          <w:p w14:paraId="409EAC05" w14:textId="77777777" w:rsidR="009C778C" w:rsidRPr="000650D6" w:rsidRDefault="009C778C" w:rsidP="00F33A88">
            <w:pPr>
              <w:pStyle w:val="NoSpacing"/>
            </w:pPr>
            <w:r w:rsidRPr="000650D6">
              <w:t>0.411</w:t>
            </w:r>
          </w:p>
        </w:tc>
        <w:tc>
          <w:tcPr>
            <w:tcW w:w="0" w:type="auto"/>
            <w:hideMark/>
          </w:tcPr>
          <w:p w14:paraId="223A0FF7" w14:textId="77777777" w:rsidR="009C778C" w:rsidRPr="000650D6" w:rsidRDefault="009C778C" w:rsidP="00F33A88">
            <w:pPr>
              <w:pStyle w:val="NoSpacing"/>
            </w:pPr>
            <w:r w:rsidRPr="000650D6">
              <w:t>2.150***</w:t>
            </w:r>
          </w:p>
        </w:tc>
        <w:tc>
          <w:tcPr>
            <w:tcW w:w="0" w:type="auto"/>
            <w:hideMark/>
          </w:tcPr>
          <w:p w14:paraId="28832989" w14:textId="77777777" w:rsidR="009C778C" w:rsidRPr="000650D6" w:rsidRDefault="009C778C" w:rsidP="00F33A88">
            <w:pPr>
              <w:pStyle w:val="NoSpacing"/>
            </w:pPr>
          </w:p>
        </w:tc>
        <w:tc>
          <w:tcPr>
            <w:tcW w:w="0" w:type="auto"/>
            <w:hideMark/>
          </w:tcPr>
          <w:p w14:paraId="4ADD2617" w14:textId="77777777" w:rsidR="009C778C" w:rsidRPr="000650D6" w:rsidRDefault="009C778C" w:rsidP="00F33A88">
            <w:pPr>
              <w:pStyle w:val="NoSpacing"/>
            </w:pPr>
            <w:r w:rsidRPr="000650D6">
              <w:t>1.158**</w:t>
            </w:r>
          </w:p>
        </w:tc>
        <w:tc>
          <w:tcPr>
            <w:tcW w:w="0" w:type="auto"/>
            <w:hideMark/>
          </w:tcPr>
          <w:p w14:paraId="210B1879" w14:textId="77777777" w:rsidR="009C778C" w:rsidRPr="000650D6" w:rsidRDefault="009C778C" w:rsidP="00F33A88">
            <w:pPr>
              <w:pStyle w:val="NoSpacing"/>
            </w:pPr>
            <w:r w:rsidRPr="000650D6">
              <w:t>1.442**</w:t>
            </w:r>
          </w:p>
        </w:tc>
      </w:tr>
      <w:tr w:rsidR="00723473" w:rsidRPr="000650D6" w14:paraId="16FE7029" w14:textId="77777777" w:rsidTr="002620C8">
        <w:trPr>
          <w:trHeight w:val="144"/>
        </w:trPr>
        <w:tc>
          <w:tcPr>
            <w:tcW w:w="0" w:type="auto"/>
            <w:hideMark/>
          </w:tcPr>
          <w:p w14:paraId="16DD84A6" w14:textId="77777777" w:rsidR="009C778C" w:rsidRPr="000650D6" w:rsidRDefault="009C778C" w:rsidP="00F33A88">
            <w:pPr>
              <w:pStyle w:val="NoSpacing"/>
            </w:pPr>
          </w:p>
        </w:tc>
        <w:tc>
          <w:tcPr>
            <w:tcW w:w="0" w:type="auto"/>
            <w:hideMark/>
          </w:tcPr>
          <w:p w14:paraId="4B3699EA" w14:textId="77777777" w:rsidR="009C778C" w:rsidRPr="000650D6" w:rsidRDefault="009C778C" w:rsidP="00F33A88">
            <w:pPr>
              <w:pStyle w:val="NoSpacing"/>
            </w:pPr>
          </w:p>
        </w:tc>
        <w:tc>
          <w:tcPr>
            <w:tcW w:w="0" w:type="auto"/>
            <w:hideMark/>
          </w:tcPr>
          <w:p w14:paraId="08BB7609" w14:textId="77777777" w:rsidR="009C778C" w:rsidRPr="000650D6" w:rsidRDefault="009C778C" w:rsidP="00F33A88">
            <w:pPr>
              <w:pStyle w:val="NoSpacing"/>
            </w:pPr>
            <w:r w:rsidRPr="000650D6">
              <w:t>(0.88)</w:t>
            </w:r>
          </w:p>
        </w:tc>
        <w:tc>
          <w:tcPr>
            <w:tcW w:w="0" w:type="auto"/>
            <w:hideMark/>
          </w:tcPr>
          <w:p w14:paraId="1AABEA73" w14:textId="77777777" w:rsidR="009C778C" w:rsidRPr="000650D6" w:rsidRDefault="009C778C" w:rsidP="00F33A88">
            <w:pPr>
              <w:pStyle w:val="NoSpacing"/>
            </w:pPr>
            <w:r w:rsidRPr="000650D6">
              <w:t>(4.01)</w:t>
            </w:r>
          </w:p>
        </w:tc>
        <w:tc>
          <w:tcPr>
            <w:tcW w:w="0" w:type="auto"/>
            <w:hideMark/>
          </w:tcPr>
          <w:p w14:paraId="504DF393" w14:textId="77777777" w:rsidR="009C778C" w:rsidRPr="000650D6" w:rsidRDefault="009C778C" w:rsidP="00F33A88">
            <w:pPr>
              <w:pStyle w:val="NoSpacing"/>
            </w:pPr>
          </w:p>
        </w:tc>
        <w:tc>
          <w:tcPr>
            <w:tcW w:w="0" w:type="auto"/>
            <w:hideMark/>
          </w:tcPr>
          <w:p w14:paraId="59863846" w14:textId="77777777" w:rsidR="009C778C" w:rsidRPr="000650D6" w:rsidRDefault="009C778C" w:rsidP="00F33A88">
            <w:pPr>
              <w:pStyle w:val="NoSpacing"/>
            </w:pPr>
            <w:r w:rsidRPr="000650D6">
              <w:t>(2.55)</w:t>
            </w:r>
          </w:p>
        </w:tc>
        <w:tc>
          <w:tcPr>
            <w:tcW w:w="0" w:type="auto"/>
            <w:hideMark/>
          </w:tcPr>
          <w:p w14:paraId="0D29C886" w14:textId="77777777" w:rsidR="009C778C" w:rsidRPr="000650D6" w:rsidRDefault="009C778C" w:rsidP="00F33A88">
            <w:pPr>
              <w:pStyle w:val="NoSpacing"/>
            </w:pPr>
            <w:r w:rsidRPr="000650D6">
              <w:t>(2.55)</w:t>
            </w:r>
          </w:p>
        </w:tc>
      </w:tr>
      <w:tr w:rsidR="00723473" w:rsidRPr="000650D6" w14:paraId="68990D94" w14:textId="77777777" w:rsidTr="002620C8">
        <w:trPr>
          <w:trHeight w:val="144"/>
        </w:trPr>
        <w:tc>
          <w:tcPr>
            <w:tcW w:w="0" w:type="auto"/>
            <w:hideMark/>
          </w:tcPr>
          <w:p w14:paraId="3A218034" w14:textId="77777777" w:rsidR="009C778C" w:rsidRPr="000650D6" w:rsidRDefault="009C778C" w:rsidP="00F33A88">
            <w:pPr>
              <w:pStyle w:val="NoSpacing"/>
            </w:pPr>
            <w:r w:rsidRPr="000650D6">
              <w:t>CONSTANT, YEAR,</w:t>
            </w:r>
            <w:r w:rsidRPr="000650D6">
              <w:br/>
              <w:t>INDUSTRY &amp; COUNTRY FE</w:t>
            </w:r>
          </w:p>
        </w:tc>
        <w:tc>
          <w:tcPr>
            <w:tcW w:w="0" w:type="auto"/>
            <w:hideMark/>
          </w:tcPr>
          <w:p w14:paraId="32402448" w14:textId="77777777" w:rsidR="009C778C" w:rsidRPr="000650D6" w:rsidRDefault="009C778C" w:rsidP="00F33A88">
            <w:pPr>
              <w:pStyle w:val="NoSpacing"/>
            </w:pPr>
          </w:p>
        </w:tc>
        <w:tc>
          <w:tcPr>
            <w:tcW w:w="0" w:type="auto"/>
            <w:hideMark/>
          </w:tcPr>
          <w:p w14:paraId="61BCAC61" w14:textId="77777777" w:rsidR="009C778C" w:rsidRPr="000650D6" w:rsidRDefault="009C778C" w:rsidP="00F33A88">
            <w:pPr>
              <w:pStyle w:val="NoSpacing"/>
            </w:pPr>
            <w:r w:rsidRPr="000650D6">
              <w:t>Yes</w:t>
            </w:r>
          </w:p>
        </w:tc>
        <w:tc>
          <w:tcPr>
            <w:tcW w:w="0" w:type="auto"/>
            <w:hideMark/>
          </w:tcPr>
          <w:p w14:paraId="1E2DF75B" w14:textId="77777777" w:rsidR="009C778C" w:rsidRPr="000650D6" w:rsidRDefault="009C778C" w:rsidP="00F33A88">
            <w:pPr>
              <w:pStyle w:val="NoSpacing"/>
            </w:pPr>
            <w:r w:rsidRPr="000650D6">
              <w:t>Yes</w:t>
            </w:r>
          </w:p>
        </w:tc>
        <w:tc>
          <w:tcPr>
            <w:tcW w:w="0" w:type="auto"/>
            <w:hideMark/>
          </w:tcPr>
          <w:p w14:paraId="64772A09" w14:textId="77777777" w:rsidR="009C778C" w:rsidRPr="000650D6" w:rsidRDefault="009C778C" w:rsidP="00F33A88">
            <w:pPr>
              <w:pStyle w:val="NoSpacing"/>
            </w:pPr>
          </w:p>
        </w:tc>
        <w:tc>
          <w:tcPr>
            <w:tcW w:w="0" w:type="auto"/>
            <w:hideMark/>
          </w:tcPr>
          <w:p w14:paraId="4A947C27" w14:textId="77777777" w:rsidR="009C778C" w:rsidRPr="000650D6" w:rsidRDefault="009C778C" w:rsidP="00F33A88">
            <w:pPr>
              <w:pStyle w:val="NoSpacing"/>
            </w:pPr>
            <w:r w:rsidRPr="000650D6">
              <w:t>Yes</w:t>
            </w:r>
          </w:p>
        </w:tc>
        <w:tc>
          <w:tcPr>
            <w:tcW w:w="0" w:type="auto"/>
            <w:hideMark/>
          </w:tcPr>
          <w:p w14:paraId="3D6BB8B0" w14:textId="77777777" w:rsidR="009C778C" w:rsidRPr="000650D6" w:rsidRDefault="009C778C" w:rsidP="00F33A88">
            <w:pPr>
              <w:pStyle w:val="NoSpacing"/>
            </w:pPr>
            <w:r w:rsidRPr="000650D6">
              <w:t>Yes</w:t>
            </w:r>
          </w:p>
        </w:tc>
      </w:tr>
      <w:tr w:rsidR="00723473" w:rsidRPr="000650D6" w14:paraId="2CB869AE" w14:textId="77777777" w:rsidTr="002620C8">
        <w:trPr>
          <w:trHeight w:val="144"/>
        </w:trPr>
        <w:tc>
          <w:tcPr>
            <w:tcW w:w="0" w:type="auto"/>
            <w:hideMark/>
          </w:tcPr>
          <w:p w14:paraId="52AAD835" w14:textId="77777777" w:rsidR="009C778C" w:rsidRPr="000650D6" w:rsidRDefault="009C778C" w:rsidP="00F33A88">
            <w:pPr>
              <w:pStyle w:val="NoSpacing"/>
            </w:pPr>
            <w:r w:rsidRPr="000650D6">
              <w:t>Number of observations</w:t>
            </w:r>
          </w:p>
        </w:tc>
        <w:tc>
          <w:tcPr>
            <w:tcW w:w="0" w:type="auto"/>
            <w:hideMark/>
          </w:tcPr>
          <w:p w14:paraId="7F35433D" w14:textId="77777777" w:rsidR="009C778C" w:rsidRPr="000650D6" w:rsidRDefault="009C778C" w:rsidP="00F33A88">
            <w:pPr>
              <w:pStyle w:val="NoSpacing"/>
            </w:pPr>
          </w:p>
        </w:tc>
        <w:tc>
          <w:tcPr>
            <w:tcW w:w="0" w:type="auto"/>
            <w:hideMark/>
          </w:tcPr>
          <w:p w14:paraId="39618122" w14:textId="77777777" w:rsidR="009C778C" w:rsidRPr="000650D6" w:rsidRDefault="009C778C" w:rsidP="00F33A88">
            <w:pPr>
              <w:pStyle w:val="NoSpacing"/>
            </w:pPr>
            <w:r w:rsidRPr="000650D6">
              <w:t>33,100</w:t>
            </w:r>
          </w:p>
        </w:tc>
        <w:tc>
          <w:tcPr>
            <w:tcW w:w="0" w:type="auto"/>
            <w:hideMark/>
          </w:tcPr>
          <w:p w14:paraId="6CA3C67F" w14:textId="77777777" w:rsidR="009C778C" w:rsidRPr="000650D6" w:rsidRDefault="009C778C" w:rsidP="00F33A88">
            <w:pPr>
              <w:pStyle w:val="NoSpacing"/>
            </w:pPr>
            <w:r w:rsidRPr="000650D6">
              <w:t>33,186</w:t>
            </w:r>
          </w:p>
        </w:tc>
        <w:tc>
          <w:tcPr>
            <w:tcW w:w="0" w:type="auto"/>
            <w:hideMark/>
          </w:tcPr>
          <w:p w14:paraId="6202EB79" w14:textId="77777777" w:rsidR="009C778C" w:rsidRPr="000650D6" w:rsidRDefault="009C778C" w:rsidP="00F33A88">
            <w:pPr>
              <w:pStyle w:val="NoSpacing"/>
            </w:pPr>
          </w:p>
        </w:tc>
        <w:tc>
          <w:tcPr>
            <w:tcW w:w="0" w:type="auto"/>
            <w:hideMark/>
          </w:tcPr>
          <w:p w14:paraId="25106C2E" w14:textId="77777777" w:rsidR="009C778C" w:rsidRPr="000650D6" w:rsidRDefault="009C778C" w:rsidP="00F33A88">
            <w:pPr>
              <w:pStyle w:val="NoSpacing"/>
            </w:pPr>
            <w:r w:rsidRPr="000650D6">
              <w:t>36,466</w:t>
            </w:r>
          </w:p>
        </w:tc>
        <w:tc>
          <w:tcPr>
            <w:tcW w:w="0" w:type="auto"/>
            <w:hideMark/>
          </w:tcPr>
          <w:p w14:paraId="0212F7C8" w14:textId="77777777" w:rsidR="009C778C" w:rsidRPr="000650D6" w:rsidRDefault="009C778C" w:rsidP="00F33A88">
            <w:pPr>
              <w:pStyle w:val="NoSpacing"/>
            </w:pPr>
            <w:r w:rsidRPr="000650D6">
              <w:t>29,820</w:t>
            </w:r>
          </w:p>
        </w:tc>
      </w:tr>
      <w:tr w:rsidR="00723473" w:rsidRPr="000650D6" w14:paraId="74190517" w14:textId="77777777" w:rsidTr="002620C8">
        <w:trPr>
          <w:trHeight w:val="144"/>
        </w:trPr>
        <w:tc>
          <w:tcPr>
            <w:tcW w:w="0" w:type="auto"/>
            <w:hideMark/>
          </w:tcPr>
          <w:p w14:paraId="39BB10A1" w14:textId="77777777" w:rsidR="009C778C" w:rsidRPr="000650D6" w:rsidRDefault="009C778C" w:rsidP="00F33A88">
            <w:pPr>
              <w:pStyle w:val="NoSpacing"/>
            </w:pPr>
            <w:r w:rsidRPr="000650D6">
              <w:t>Adj. R-squared</w:t>
            </w:r>
          </w:p>
        </w:tc>
        <w:tc>
          <w:tcPr>
            <w:tcW w:w="0" w:type="auto"/>
            <w:hideMark/>
          </w:tcPr>
          <w:p w14:paraId="5879C7DA" w14:textId="77777777" w:rsidR="009C778C" w:rsidRPr="000650D6" w:rsidRDefault="009C778C" w:rsidP="00F33A88">
            <w:pPr>
              <w:pStyle w:val="NoSpacing"/>
            </w:pPr>
          </w:p>
        </w:tc>
        <w:tc>
          <w:tcPr>
            <w:tcW w:w="0" w:type="auto"/>
            <w:hideMark/>
          </w:tcPr>
          <w:p w14:paraId="52F4EE74" w14:textId="77777777" w:rsidR="009C778C" w:rsidRPr="000650D6" w:rsidRDefault="009C778C" w:rsidP="00F33A88">
            <w:pPr>
              <w:pStyle w:val="NoSpacing"/>
            </w:pPr>
            <w:r w:rsidRPr="000650D6">
              <w:t>0.094</w:t>
            </w:r>
          </w:p>
        </w:tc>
        <w:tc>
          <w:tcPr>
            <w:tcW w:w="0" w:type="auto"/>
            <w:hideMark/>
          </w:tcPr>
          <w:p w14:paraId="196CC670" w14:textId="77777777" w:rsidR="009C778C" w:rsidRPr="000650D6" w:rsidRDefault="009C778C" w:rsidP="00F33A88">
            <w:pPr>
              <w:pStyle w:val="NoSpacing"/>
            </w:pPr>
            <w:r w:rsidRPr="000650D6">
              <w:t>0.121</w:t>
            </w:r>
          </w:p>
        </w:tc>
        <w:tc>
          <w:tcPr>
            <w:tcW w:w="0" w:type="auto"/>
            <w:hideMark/>
          </w:tcPr>
          <w:p w14:paraId="7D05788C" w14:textId="77777777" w:rsidR="009C778C" w:rsidRPr="000650D6" w:rsidRDefault="009C778C" w:rsidP="00F33A88">
            <w:pPr>
              <w:pStyle w:val="NoSpacing"/>
            </w:pPr>
          </w:p>
        </w:tc>
        <w:tc>
          <w:tcPr>
            <w:tcW w:w="0" w:type="auto"/>
            <w:hideMark/>
          </w:tcPr>
          <w:p w14:paraId="55EE8619" w14:textId="77777777" w:rsidR="009C778C" w:rsidRPr="000650D6" w:rsidRDefault="009C778C" w:rsidP="00F33A88">
            <w:pPr>
              <w:pStyle w:val="NoSpacing"/>
            </w:pPr>
            <w:r w:rsidRPr="000650D6">
              <w:t>0.098</w:t>
            </w:r>
          </w:p>
        </w:tc>
        <w:tc>
          <w:tcPr>
            <w:tcW w:w="0" w:type="auto"/>
            <w:hideMark/>
          </w:tcPr>
          <w:p w14:paraId="3A9B5502" w14:textId="77777777" w:rsidR="009C778C" w:rsidRPr="000650D6" w:rsidRDefault="009C778C" w:rsidP="00F33A88">
            <w:pPr>
              <w:pStyle w:val="NoSpacing"/>
            </w:pPr>
            <w:r w:rsidRPr="000650D6">
              <w:t>0.102</w:t>
            </w:r>
          </w:p>
        </w:tc>
      </w:tr>
      <w:tr w:rsidR="00723473" w:rsidRPr="000650D6" w14:paraId="6015426C" w14:textId="77777777" w:rsidTr="002620C8">
        <w:trPr>
          <w:trHeight w:val="144"/>
        </w:trPr>
        <w:tc>
          <w:tcPr>
            <w:tcW w:w="0" w:type="auto"/>
            <w:hideMark/>
          </w:tcPr>
          <w:p w14:paraId="7EE53B9D" w14:textId="77777777" w:rsidR="009C778C" w:rsidRPr="000650D6" w:rsidRDefault="009C778C" w:rsidP="00F33A88">
            <w:pPr>
              <w:pStyle w:val="NoSpacing"/>
            </w:pPr>
            <w:r w:rsidRPr="000650D6">
              <w:t xml:space="preserve">F-stat </w:t>
            </w:r>
            <w:proofErr w:type="spellStart"/>
            <w:r w:rsidRPr="000650D6">
              <w:t>DOMESTIC</w:t>
            </w:r>
            <w:r w:rsidRPr="000650D6">
              <w:rPr>
                <w:vertAlign w:val="subscript"/>
              </w:rPr>
              <w:t>t</w:t>
            </w:r>
            <w:proofErr w:type="spellEnd"/>
            <w:r w:rsidRPr="000650D6">
              <w:rPr>
                <w:vertAlign w:val="subscript"/>
              </w:rPr>
              <w:t> − 1</w:t>
            </w:r>
            <w:r w:rsidRPr="000650D6">
              <w:t> = FOREIGN </w:t>
            </w:r>
            <w:r w:rsidRPr="000650D6">
              <w:rPr>
                <w:vertAlign w:val="subscript"/>
              </w:rPr>
              <w:t>t − 1</w:t>
            </w:r>
          </w:p>
        </w:tc>
        <w:tc>
          <w:tcPr>
            <w:tcW w:w="0" w:type="auto"/>
            <w:hideMark/>
          </w:tcPr>
          <w:p w14:paraId="3B2CE468" w14:textId="77777777" w:rsidR="009C778C" w:rsidRPr="000650D6" w:rsidRDefault="009C778C" w:rsidP="00F33A88">
            <w:pPr>
              <w:pStyle w:val="NoSpacing"/>
            </w:pPr>
          </w:p>
        </w:tc>
        <w:tc>
          <w:tcPr>
            <w:tcW w:w="0" w:type="auto"/>
            <w:hideMark/>
          </w:tcPr>
          <w:p w14:paraId="444332B0" w14:textId="77777777" w:rsidR="009C778C" w:rsidRPr="000650D6" w:rsidRDefault="009C778C" w:rsidP="00F33A88">
            <w:pPr>
              <w:pStyle w:val="NoSpacing"/>
            </w:pPr>
            <w:r w:rsidRPr="000650D6">
              <w:t>7.01***</w:t>
            </w:r>
          </w:p>
        </w:tc>
        <w:tc>
          <w:tcPr>
            <w:tcW w:w="0" w:type="auto"/>
            <w:hideMark/>
          </w:tcPr>
          <w:p w14:paraId="60FC59A9" w14:textId="77777777" w:rsidR="009C778C" w:rsidRPr="000650D6" w:rsidRDefault="009C778C" w:rsidP="00F33A88">
            <w:pPr>
              <w:pStyle w:val="NoSpacing"/>
            </w:pPr>
            <w:r w:rsidRPr="000650D6">
              <w:t>3.00*</w:t>
            </w:r>
          </w:p>
        </w:tc>
        <w:tc>
          <w:tcPr>
            <w:tcW w:w="0" w:type="auto"/>
            <w:hideMark/>
          </w:tcPr>
          <w:p w14:paraId="4C088C6C" w14:textId="77777777" w:rsidR="009C778C" w:rsidRPr="000650D6" w:rsidRDefault="009C778C" w:rsidP="00F33A88">
            <w:pPr>
              <w:pStyle w:val="NoSpacing"/>
            </w:pPr>
          </w:p>
        </w:tc>
        <w:tc>
          <w:tcPr>
            <w:tcW w:w="0" w:type="auto"/>
            <w:hideMark/>
          </w:tcPr>
          <w:p w14:paraId="7EFFF7E0" w14:textId="77777777" w:rsidR="009C778C" w:rsidRPr="000650D6" w:rsidRDefault="009C778C" w:rsidP="00F33A88">
            <w:pPr>
              <w:pStyle w:val="NoSpacing"/>
            </w:pPr>
            <w:r w:rsidRPr="000650D6">
              <w:t>5.64**</w:t>
            </w:r>
          </w:p>
        </w:tc>
        <w:tc>
          <w:tcPr>
            <w:tcW w:w="0" w:type="auto"/>
            <w:hideMark/>
          </w:tcPr>
          <w:p w14:paraId="3CD55B1D" w14:textId="77777777" w:rsidR="009C778C" w:rsidRPr="000650D6" w:rsidRDefault="009C778C" w:rsidP="00F33A88">
            <w:pPr>
              <w:pStyle w:val="NoSpacing"/>
            </w:pPr>
            <w:r w:rsidRPr="000650D6">
              <w:t>1.82</w:t>
            </w:r>
          </w:p>
        </w:tc>
      </w:tr>
      <w:tr w:rsidR="00723473" w:rsidRPr="000650D6" w14:paraId="7A0672F7" w14:textId="77777777" w:rsidTr="002620C8">
        <w:trPr>
          <w:trHeight w:val="144"/>
        </w:trPr>
        <w:tc>
          <w:tcPr>
            <w:tcW w:w="0" w:type="auto"/>
            <w:hideMark/>
          </w:tcPr>
          <w:p w14:paraId="2AA20FBD" w14:textId="77777777" w:rsidR="009C778C" w:rsidRPr="000650D6" w:rsidRDefault="009C778C" w:rsidP="00F33A88">
            <w:pPr>
              <w:pStyle w:val="NoSpacing"/>
            </w:pPr>
            <w:r w:rsidRPr="000650D6">
              <w:t>(</w:t>
            </w:r>
            <w:r w:rsidRPr="000650D6">
              <w:rPr>
                <w:i/>
                <w:iCs/>
              </w:rPr>
              <w:t>p</w:t>
            </w:r>
            <w:r w:rsidRPr="000650D6">
              <w:t>-value)</w:t>
            </w:r>
          </w:p>
        </w:tc>
        <w:tc>
          <w:tcPr>
            <w:tcW w:w="0" w:type="auto"/>
            <w:hideMark/>
          </w:tcPr>
          <w:p w14:paraId="26428BB8" w14:textId="77777777" w:rsidR="009C778C" w:rsidRPr="000650D6" w:rsidRDefault="009C778C" w:rsidP="00F33A88">
            <w:pPr>
              <w:pStyle w:val="NoSpacing"/>
            </w:pPr>
          </w:p>
        </w:tc>
        <w:tc>
          <w:tcPr>
            <w:tcW w:w="0" w:type="auto"/>
            <w:hideMark/>
          </w:tcPr>
          <w:p w14:paraId="61F6E550" w14:textId="77777777" w:rsidR="009C778C" w:rsidRPr="000650D6" w:rsidRDefault="009C778C" w:rsidP="00F33A88">
            <w:pPr>
              <w:pStyle w:val="NoSpacing"/>
            </w:pPr>
            <w:r w:rsidRPr="000650D6">
              <w:t>(&lt; 0.01)</w:t>
            </w:r>
          </w:p>
        </w:tc>
        <w:tc>
          <w:tcPr>
            <w:tcW w:w="0" w:type="auto"/>
            <w:hideMark/>
          </w:tcPr>
          <w:p w14:paraId="57C8153D" w14:textId="77777777" w:rsidR="009C778C" w:rsidRPr="000650D6" w:rsidRDefault="009C778C" w:rsidP="00F33A88">
            <w:pPr>
              <w:pStyle w:val="NoSpacing"/>
            </w:pPr>
            <w:r w:rsidRPr="000650D6">
              <w:t>(0.08)</w:t>
            </w:r>
          </w:p>
        </w:tc>
        <w:tc>
          <w:tcPr>
            <w:tcW w:w="0" w:type="auto"/>
            <w:hideMark/>
          </w:tcPr>
          <w:p w14:paraId="31E3A392" w14:textId="77777777" w:rsidR="009C778C" w:rsidRPr="000650D6" w:rsidRDefault="009C778C" w:rsidP="00F33A88">
            <w:pPr>
              <w:pStyle w:val="NoSpacing"/>
            </w:pPr>
          </w:p>
        </w:tc>
        <w:tc>
          <w:tcPr>
            <w:tcW w:w="0" w:type="auto"/>
            <w:hideMark/>
          </w:tcPr>
          <w:p w14:paraId="0506ECC9" w14:textId="77777777" w:rsidR="009C778C" w:rsidRPr="000650D6" w:rsidRDefault="009C778C" w:rsidP="00F33A88">
            <w:pPr>
              <w:pStyle w:val="NoSpacing"/>
            </w:pPr>
            <w:r w:rsidRPr="000650D6">
              <w:t>(0.02)</w:t>
            </w:r>
          </w:p>
        </w:tc>
        <w:tc>
          <w:tcPr>
            <w:tcW w:w="0" w:type="auto"/>
            <w:hideMark/>
          </w:tcPr>
          <w:p w14:paraId="75B69F34" w14:textId="77777777" w:rsidR="009C778C" w:rsidRPr="000650D6" w:rsidRDefault="009C778C" w:rsidP="00F33A88">
            <w:pPr>
              <w:pStyle w:val="NoSpacing"/>
            </w:pPr>
            <w:r w:rsidRPr="000650D6">
              <w:t>(0.18)</w:t>
            </w:r>
          </w:p>
        </w:tc>
      </w:tr>
      <w:tr w:rsidR="00723473" w:rsidRPr="000650D6" w14:paraId="083AF93F" w14:textId="77777777" w:rsidTr="002620C8">
        <w:trPr>
          <w:trHeight w:val="144"/>
        </w:trPr>
        <w:tc>
          <w:tcPr>
            <w:tcW w:w="0" w:type="auto"/>
            <w:hideMark/>
          </w:tcPr>
          <w:p w14:paraId="6DC76BFD" w14:textId="77777777" w:rsidR="005D5079" w:rsidRPr="000650D6" w:rsidRDefault="005D5079" w:rsidP="00F33A88">
            <w:pPr>
              <w:pStyle w:val="NoSpacing"/>
            </w:pPr>
            <w:r w:rsidRPr="000650D6">
              <w:t>F-stat INFO costs-H (DOMESTIC </w:t>
            </w:r>
            <w:r w:rsidRPr="000650D6">
              <w:rPr>
                <w:vertAlign w:val="subscript"/>
              </w:rPr>
              <w:t>t − 1</w:t>
            </w:r>
            <w:r w:rsidRPr="000650D6">
              <w:t> - FOREIGN </w:t>
            </w:r>
            <w:r w:rsidRPr="000650D6">
              <w:rPr>
                <w:vertAlign w:val="subscript"/>
              </w:rPr>
              <w:t>t − 1</w:t>
            </w:r>
            <w:r w:rsidRPr="000650D6">
              <w:t>) &lt; INFO costs-L (DOMESTIC </w:t>
            </w:r>
            <w:r w:rsidRPr="000650D6">
              <w:rPr>
                <w:vertAlign w:val="subscript"/>
              </w:rPr>
              <w:t>t − 1</w:t>
            </w:r>
            <w:r w:rsidRPr="000650D6">
              <w:t> - FOREIGN </w:t>
            </w:r>
            <w:r w:rsidRPr="000650D6">
              <w:rPr>
                <w:vertAlign w:val="subscript"/>
              </w:rPr>
              <w:t>t − 1</w:t>
            </w:r>
            <w:r w:rsidRPr="000650D6">
              <w:t>)</w:t>
            </w:r>
          </w:p>
        </w:tc>
        <w:tc>
          <w:tcPr>
            <w:tcW w:w="0" w:type="auto"/>
          </w:tcPr>
          <w:p w14:paraId="1686C2F9" w14:textId="77777777" w:rsidR="005D5079" w:rsidRPr="000650D6" w:rsidRDefault="005D5079" w:rsidP="00F33A88">
            <w:pPr>
              <w:pStyle w:val="NoSpacing"/>
            </w:pPr>
          </w:p>
        </w:tc>
        <w:tc>
          <w:tcPr>
            <w:tcW w:w="0" w:type="auto"/>
          </w:tcPr>
          <w:p w14:paraId="4AF279E3" w14:textId="77777777" w:rsidR="005D5079" w:rsidRPr="000650D6" w:rsidRDefault="005D5079" w:rsidP="00F33A88">
            <w:pPr>
              <w:pStyle w:val="NoSpacing"/>
            </w:pPr>
          </w:p>
        </w:tc>
        <w:tc>
          <w:tcPr>
            <w:tcW w:w="0" w:type="auto"/>
          </w:tcPr>
          <w:p w14:paraId="533AD27B" w14:textId="77777777" w:rsidR="005D5079" w:rsidRPr="000650D6" w:rsidRDefault="005D5079" w:rsidP="00F33A88">
            <w:pPr>
              <w:pStyle w:val="NoSpacing"/>
            </w:pPr>
          </w:p>
        </w:tc>
        <w:tc>
          <w:tcPr>
            <w:tcW w:w="0" w:type="auto"/>
          </w:tcPr>
          <w:p w14:paraId="12A98A6F" w14:textId="77777777" w:rsidR="005D5079" w:rsidRPr="000650D6" w:rsidRDefault="005D5079" w:rsidP="00F33A88">
            <w:pPr>
              <w:pStyle w:val="NoSpacing"/>
            </w:pPr>
          </w:p>
        </w:tc>
        <w:tc>
          <w:tcPr>
            <w:tcW w:w="0" w:type="auto"/>
          </w:tcPr>
          <w:p w14:paraId="0D307E52" w14:textId="77777777" w:rsidR="005D5079" w:rsidRPr="000650D6" w:rsidRDefault="005D5079" w:rsidP="00F33A88">
            <w:pPr>
              <w:pStyle w:val="NoSpacing"/>
            </w:pPr>
          </w:p>
        </w:tc>
        <w:tc>
          <w:tcPr>
            <w:tcW w:w="0" w:type="auto"/>
          </w:tcPr>
          <w:p w14:paraId="64756F48" w14:textId="0B6CF388" w:rsidR="005D5079" w:rsidRPr="000650D6" w:rsidRDefault="005D5079" w:rsidP="00F33A88">
            <w:pPr>
              <w:pStyle w:val="NoSpacing"/>
            </w:pPr>
          </w:p>
        </w:tc>
      </w:tr>
      <w:tr w:rsidR="00723473" w:rsidRPr="000650D6" w14:paraId="5530BBA7" w14:textId="77777777" w:rsidTr="002620C8">
        <w:trPr>
          <w:trHeight w:val="144"/>
        </w:trPr>
        <w:tc>
          <w:tcPr>
            <w:tcW w:w="0" w:type="auto"/>
            <w:hideMark/>
          </w:tcPr>
          <w:p w14:paraId="5978A26D" w14:textId="77777777" w:rsidR="00723473" w:rsidRPr="000650D6" w:rsidRDefault="00723473" w:rsidP="00F33A88">
            <w:pPr>
              <w:pStyle w:val="NoSpacing"/>
            </w:pPr>
            <w:r w:rsidRPr="000650D6">
              <w:t>Empty Cell</w:t>
            </w:r>
          </w:p>
        </w:tc>
        <w:tc>
          <w:tcPr>
            <w:tcW w:w="0" w:type="auto"/>
            <w:hideMark/>
          </w:tcPr>
          <w:p w14:paraId="03FC26D0" w14:textId="77777777" w:rsidR="00723473" w:rsidRPr="000650D6" w:rsidRDefault="00723473" w:rsidP="00F33A88">
            <w:pPr>
              <w:pStyle w:val="NoSpacing"/>
            </w:pPr>
          </w:p>
        </w:tc>
        <w:tc>
          <w:tcPr>
            <w:tcW w:w="0" w:type="auto"/>
            <w:hideMark/>
          </w:tcPr>
          <w:p w14:paraId="46E5D0B0" w14:textId="77777777" w:rsidR="00723473" w:rsidRPr="000650D6" w:rsidRDefault="00723473" w:rsidP="00F33A88">
            <w:pPr>
              <w:pStyle w:val="NoSpacing"/>
            </w:pPr>
            <w:r w:rsidRPr="000650D6">
              <w:t>4.47**</w:t>
            </w:r>
          </w:p>
        </w:tc>
        <w:tc>
          <w:tcPr>
            <w:tcW w:w="0" w:type="auto"/>
          </w:tcPr>
          <w:p w14:paraId="7B69ACA9" w14:textId="445D35CD" w:rsidR="00723473" w:rsidRPr="000650D6" w:rsidRDefault="00723473" w:rsidP="00F33A88">
            <w:pPr>
              <w:pStyle w:val="NoSpacing"/>
            </w:pPr>
          </w:p>
        </w:tc>
        <w:tc>
          <w:tcPr>
            <w:tcW w:w="0" w:type="auto"/>
            <w:hideMark/>
          </w:tcPr>
          <w:p w14:paraId="2011CAF4" w14:textId="77777777" w:rsidR="00723473" w:rsidRPr="000650D6" w:rsidRDefault="00723473" w:rsidP="00F33A88">
            <w:pPr>
              <w:pStyle w:val="NoSpacing"/>
            </w:pPr>
          </w:p>
        </w:tc>
        <w:tc>
          <w:tcPr>
            <w:tcW w:w="0" w:type="auto"/>
            <w:hideMark/>
          </w:tcPr>
          <w:p w14:paraId="29487D33" w14:textId="77777777" w:rsidR="00723473" w:rsidRPr="000650D6" w:rsidRDefault="00723473" w:rsidP="00F33A88">
            <w:pPr>
              <w:pStyle w:val="NoSpacing"/>
            </w:pPr>
            <w:r w:rsidRPr="000650D6">
              <w:t>3.89**</w:t>
            </w:r>
          </w:p>
        </w:tc>
        <w:tc>
          <w:tcPr>
            <w:tcW w:w="0" w:type="auto"/>
          </w:tcPr>
          <w:p w14:paraId="65A3BA58" w14:textId="32F62DD1" w:rsidR="00723473" w:rsidRPr="000650D6" w:rsidRDefault="00723473" w:rsidP="00F33A88">
            <w:pPr>
              <w:pStyle w:val="NoSpacing"/>
            </w:pPr>
          </w:p>
        </w:tc>
      </w:tr>
      <w:tr w:rsidR="00723473" w:rsidRPr="000650D6" w14:paraId="266EDAFF" w14:textId="77777777" w:rsidTr="002620C8">
        <w:trPr>
          <w:trHeight w:val="144"/>
        </w:trPr>
        <w:tc>
          <w:tcPr>
            <w:tcW w:w="0" w:type="auto"/>
            <w:hideMark/>
          </w:tcPr>
          <w:p w14:paraId="499BCEE8" w14:textId="77777777" w:rsidR="00723473" w:rsidRPr="000650D6" w:rsidRDefault="00723473" w:rsidP="00F33A88">
            <w:pPr>
              <w:pStyle w:val="NoSpacing"/>
            </w:pPr>
            <w:r w:rsidRPr="000650D6">
              <w:t>(</w:t>
            </w:r>
            <w:r w:rsidRPr="000650D6">
              <w:rPr>
                <w:i/>
                <w:iCs/>
              </w:rPr>
              <w:t>p</w:t>
            </w:r>
            <w:r w:rsidRPr="000650D6">
              <w:t>-value)</w:t>
            </w:r>
          </w:p>
        </w:tc>
        <w:tc>
          <w:tcPr>
            <w:tcW w:w="0" w:type="auto"/>
            <w:hideMark/>
          </w:tcPr>
          <w:p w14:paraId="795D80EE" w14:textId="77777777" w:rsidR="00723473" w:rsidRPr="000650D6" w:rsidRDefault="00723473" w:rsidP="00F33A88">
            <w:pPr>
              <w:pStyle w:val="NoSpacing"/>
            </w:pPr>
          </w:p>
        </w:tc>
        <w:tc>
          <w:tcPr>
            <w:tcW w:w="0" w:type="auto"/>
            <w:hideMark/>
          </w:tcPr>
          <w:p w14:paraId="5C28FA1C" w14:textId="77777777" w:rsidR="00723473" w:rsidRPr="000650D6" w:rsidRDefault="00723473" w:rsidP="00F33A88">
            <w:pPr>
              <w:pStyle w:val="NoSpacing"/>
            </w:pPr>
            <w:r w:rsidRPr="000650D6">
              <w:t>(0.02)</w:t>
            </w:r>
          </w:p>
        </w:tc>
        <w:tc>
          <w:tcPr>
            <w:tcW w:w="0" w:type="auto"/>
          </w:tcPr>
          <w:p w14:paraId="132824D2" w14:textId="46AC5440" w:rsidR="00723473" w:rsidRPr="000650D6" w:rsidRDefault="00723473" w:rsidP="00F33A88">
            <w:pPr>
              <w:pStyle w:val="NoSpacing"/>
            </w:pPr>
          </w:p>
        </w:tc>
        <w:tc>
          <w:tcPr>
            <w:tcW w:w="0" w:type="auto"/>
            <w:hideMark/>
          </w:tcPr>
          <w:p w14:paraId="06195799" w14:textId="77777777" w:rsidR="00723473" w:rsidRPr="000650D6" w:rsidRDefault="00723473" w:rsidP="00F33A88">
            <w:pPr>
              <w:pStyle w:val="NoSpacing"/>
            </w:pPr>
          </w:p>
        </w:tc>
        <w:tc>
          <w:tcPr>
            <w:tcW w:w="0" w:type="auto"/>
            <w:hideMark/>
          </w:tcPr>
          <w:p w14:paraId="700B59A4" w14:textId="77777777" w:rsidR="00723473" w:rsidRPr="000650D6" w:rsidRDefault="00723473" w:rsidP="00F33A88">
            <w:pPr>
              <w:pStyle w:val="NoSpacing"/>
            </w:pPr>
            <w:r w:rsidRPr="000650D6">
              <w:t>(0.03)</w:t>
            </w:r>
          </w:p>
        </w:tc>
        <w:tc>
          <w:tcPr>
            <w:tcW w:w="0" w:type="auto"/>
          </w:tcPr>
          <w:p w14:paraId="15422AC1" w14:textId="5174270F" w:rsidR="00723473" w:rsidRPr="000650D6" w:rsidRDefault="00723473" w:rsidP="00F33A88">
            <w:pPr>
              <w:pStyle w:val="NoSpacing"/>
            </w:pPr>
          </w:p>
        </w:tc>
      </w:tr>
    </w:tbl>
    <w:p w14:paraId="0C20A999" w14:textId="77777777" w:rsidR="009633A7" w:rsidRPr="009C778C" w:rsidRDefault="009633A7" w:rsidP="00F33A88">
      <w:pPr>
        <w:pStyle w:val="NoSpacing"/>
        <w:rPr>
          <w:vanish/>
          <w:sz w:val="24"/>
          <w:szCs w:val="24"/>
        </w:rPr>
      </w:pPr>
    </w:p>
    <w:tbl>
      <w:tblPr>
        <w:tblStyle w:val="TableGrid"/>
        <w:tblW w:w="5000" w:type="pct"/>
        <w:tblLook w:val="04A0" w:firstRow="1" w:lastRow="0" w:firstColumn="1" w:lastColumn="0" w:noHBand="0" w:noVBand="1"/>
      </w:tblPr>
      <w:tblGrid>
        <w:gridCol w:w="3587"/>
        <w:gridCol w:w="810"/>
        <w:gridCol w:w="1231"/>
        <w:gridCol w:w="1216"/>
        <w:gridCol w:w="796"/>
        <w:gridCol w:w="1216"/>
        <w:gridCol w:w="1214"/>
      </w:tblGrid>
      <w:tr w:rsidR="009B2C80" w:rsidRPr="002620C8" w14:paraId="2828B208" w14:textId="77777777" w:rsidTr="009B2C80">
        <w:tc>
          <w:tcPr>
            <w:tcW w:w="1781" w:type="pct"/>
            <w:hideMark/>
          </w:tcPr>
          <w:p w14:paraId="2A28D80C" w14:textId="77777777" w:rsidR="00723473" w:rsidRPr="002620C8" w:rsidRDefault="00723473" w:rsidP="00F33A88">
            <w:pPr>
              <w:pStyle w:val="NoSpacing"/>
            </w:pPr>
            <w:r w:rsidRPr="002620C8">
              <w:t>Panel B: Partition by country-level information acquisition and processing costs</w:t>
            </w:r>
          </w:p>
        </w:tc>
        <w:tc>
          <w:tcPr>
            <w:tcW w:w="402" w:type="pct"/>
          </w:tcPr>
          <w:p w14:paraId="05F05811" w14:textId="77777777" w:rsidR="00723473" w:rsidRPr="002620C8" w:rsidRDefault="00723473" w:rsidP="00F33A88">
            <w:pPr>
              <w:pStyle w:val="NoSpacing"/>
            </w:pPr>
          </w:p>
        </w:tc>
        <w:tc>
          <w:tcPr>
            <w:tcW w:w="611" w:type="pct"/>
          </w:tcPr>
          <w:p w14:paraId="706F2691" w14:textId="77777777" w:rsidR="00723473" w:rsidRPr="002620C8" w:rsidRDefault="00723473" w:rsidP="00F33A88">
            <w:pPr>
              <w:pStyle w:val="NoSpacing"/>
            </w:pPr>
          </w:p>
        </w:tc>
        <w:tc>
          <w:tcPr>
            <w:tcW w:w="604" w:type="pct"/>
          </w:tcPr>
          <w:p w14:paraId="732770D3" w14:textId="77777777" w:rsidR="00723473" w:rsidRPr="002620C8" w:rsidRDefault="00723473" w:rsidP="00F33A88">
            <w:pPr>
              <w:pStyle w:val="NoSpacing"/>
            </w:pPr>
          </w:p>
        </w:tc>
        <w:tc>
          <w:tcPr>
            <w:tcW w:w="395" w:type="pct"/>
          </w:tcPr>
          <w:p w14:paraId="0151F908" w14:textId="77777777" w:rsidR="00723473" w:rsidRPr="002620C8" w:rsidRDefault="00723473" w:rsidP="00F33A88">
            <w:pPr>
              <w:pStyle w:val="NoSpacing"/>
            </w:pPr>
          </w:p>
        </w:tc>
        <w:tc>
          <w:tcPr>
            <w:tcW w:w="604" w:type="pct"/>
          </w:tcPr>
          <w:p w14:paraId="4B203B13" w14:textId="1B7F64FD" w:rsidR="00723473" w:rsidRPr="002620C8" w:rsidRDefault="00723473" w:rsidP="00F33A88">
            <w:pPr>
              <w:pStyle w:val="NoSpacing"/>
            </w:pPr>
          </w:p>
        </w:tc>
        <w:tc>
          <w:tcPr>
            <w:tcW w:w="604" w:type="pct"/>
          </w:tcPr>
          <w:p w14:paraId="7CB43380" w14:textId="76C2CC69" w:rsidR="00723473" w:rsidRPr="002620C8" w:rsidRDefault="00723473" w:rsidP="00F33A88">
            <w:pPr>
              <w:pStyle w:val="NoSpacing"/>
            </w:pPr>
          </w:p>
        </w:tc>
      </w:tr>
      <w:tr w:rsidR="001F01FF" w:rsidRPr="002620C8" w14:paraId="03C6C526" w14:textId="77777777" w:rsidTr="009B2C80">
        <w:tc>
          <w:tcPr>
            <w:tcW w:w="1781" w:type="pct"/>
            <w:hideMark/>
          </w:tcPr>
          <w:p w14:paraId="3C42B28D" w14:textId="77777777" w:rsidR="00723473" w:rsidRPr="002620C8" w:rsidRDefault="00723473" w:rsidP="00F33A88">
            <w:pPr>
              <w:pStyle w:val="NoSpacing"/>
            </w:pPr>
            <w:r w:rsidRPr="002620C8">
              <w:rPr>
                <w:i/>
                <w:iCs/>
              </w:rPr>
              <w:t>Dep. Var.</w:t>
            </w:r>
            <w:r w:rsidRPr="002620C8">
              <w:t xml:space="preserve"> = Agg. </w:t>
            </w:r>
            <w:proofErr w:type="spellStart"/>
            <w:r w:rsidRPr="002620C8">
              <w:t>EM</w:t>
            </w:r>
            <w:r w:rsidRPr="002620C8">
              <w:rPr>
                <w:vertAlign w:val="subscript"/>
              </w:rPr>
              <w:t>t</w:t>
            </w:r>
            <w:proofErr w:type="spellEnd"/>
          </w:p>
        </w:tc>
        <w:tc>
          <w:tcPr>
            <w:tcW w:w="402" w:type="pct"/>
            <w:hideMark/>
          </w:tcPr>
          <w:p w14:paraId="65C8964C" w14:textId="77777777" w:rsidR="00723473" w:rsidRPr="002620C8" w:rsidRDefault="00723473" w:rsidP="00F33A88">
            <w:pPr>
              <w:pStyle w:val="NoSpacing"/>
            </w:pPr>
            <w:r w:rsidRPr="002620C8">
              <w:t>Empty Cell</w:t>
            </w:r>
          </w:p>
        </w:tc>
        <w:tc>
          <w:tcPr>
            <w:tcW w:w="611" w:type="pct"/>
            <w:hideMark/>
          </w:tcPr>
          <w:p w14:paraId="78914057" w14:textId="77777777" w:rsidR="00723473" w:rsidRPr="002620C8" w:rsidRDefault="00723473" w:rsidP="00F33A88">
            <w:pPr>
              <w:pStyle w:val="NoSpacing"/>
            </w:pPr>
            <w:r w:rsidRPr="002620C8">
              <w:t>Prevalence of insider trading</w:t>
            </w:r>
          </w:p>
        </w:tc>
        <w:tc>
          <w:tcPr>
            <w:tcW w:w="604" w:type="pct"/>
          </w:tcPr>
          <w:p w14:paraId="5B3AE1F6" w14:textId="0F5986B3" w:rsidR="00723473" w:rsidRPr="002620C8" w:rsidRDefault="00723473" w:rsidP="00F33A88">
            <w:pPr>
              <w:pStyle w:val="NoSpacing"/>
            </w:pPr>
          </w:p>
        </w:tc>
        <w:tc>
          <w:tcPr>
            <w:tcW w:w="395" w:type="pct"/>
            <w:hideMark/>
          </w:tcPr>
          <w:p w14:paraId="7CFB79F9" w14:textId="77777777" w:rsidR="00723473" w:rsidRPr="002620C8" w:rsidRDefault="00723473" w:rsidP="00F33A88">
            <w:pPr>
              <w:pStyle w:val="NoSpacing"/>
            </w:pPr>
            <w:r w:rsidRPr="002620C8">
              <w:t>Empty Cell</w:t>
            </w:r>
          </w:p>
        </w:tc>
        <w:tc>
          <w:tcPr>
            <w:tcW w:w="604" w:type="pct"/>
            <w:hideMark/>
          </w:tcPr>
          <w:p w14:paraId="6F7249FA" w14:textId="77777777" w:rsidR="00723473" w:rsidRPr="002620C8" w:rsidRDefault="00723473" w:rsidP="00F33A88">
            <w:pPr>
              <w:pStyle w:val="NoSpacing"/>
            </w:pPr>
            <w:r w:rsidRPr="002620C8">
              <w:t>Disclosure quality</w:t>
            </w:r>
          </w:p>
        </w:tc>
        <w:tc>
          <w:tcPr>
            <w:tcW w:w="604" w:type="pct"/>
          </w:tcPr>
          <w:p w14:paraId="56833CF7" w14:textId="4270762C" w:rsidR="00723473" w:rsidRPr="002620C8" w:rsidRDefault="00723473" w:rsidP="00F33A88">
            <w:pPr>
              <w:pStyle w:val="NoSpacing"/>
            </w:pPr>
          </w:p>
        </w:tc>
      </w:tr>
      <w:tr w:rsidR="001F01FF" w:rsidRPr="002620C8" w14:paraId="5CC131C0" w14:textId="77777777" w:rsidTr="009B2C80">
        <w:tc>
          <w:tcPr>
            <w:tcW w:w="1781" w:type="pct"/>
            <w:hideMark/>
          </w:tcPr>
          <w:p w14:paraId="7B85E81E" w14:textId="77777777" w:rsidR="009C778C" w:rsidRPr="002620C8" w:rsidRDefault="009C778C" w:rsidP="00F33A88">
            <w:pPr>
              <w:pStyle w:val="NoSpacing"/>
            </w:pPr>
          </w:p>
        </w:tc>
        <w:tc>
          <w:tcPr>
            <w:tcW w:w="402" w:type="pct"/>
            <w:hideMark/>
          </w:tcPr>
          <w:p w14:paraId="5B26B245" w14:textId="77777777" w:rsidR="009C778C" w:rsidRPr="002620C8" w:rsidRDefault="009C778C" w:rsidP="00F33A88">
            <w:pPr>
              <w:pStyle w:val="NoSpacing"/>
            </w:pPr>
            <w:r w:rsidRPr="002620C8">
              <w:rPr>
                <w:i/>
                <w:iCs/>
              </w:rPr>
              <w:t>Pred.</w:t>
            </w:r>
            <w:r w:rsidRPr="002620C8">
              <w:br/>
            </w:r>
            <w:r w:rsidRPr="002620C8">
              <w:rPr>
                <w:i/>
                <w:iCs/>
              </w:rPr>
              <w:t>Sign</w:t>
            </w:r>
          </w:p>
        </w:tc>
        <w:tc>
          <w:tcPr>
            <w:tcW w:w="611" w:type="pct"/>
            <w:hideMark/>
          </w:tcPr>
          <w:p w14:paraId="7691E624" w14:textId="77777777" w:rsidR="009C778C" w:rsidRPr="002620C8" w:rsidRDefault="009C778C" w:rsidP="00F33A88">
            <w:pPr>
              <w:pStyle w:val="NoSpacing"/>
            </w:pPr>
            <w:r w:rsidRPr="002620C8">
              <w:t>High</w:t>
            </w:r>
            <w:r w:rsidRPr="002620C8">
              <w:br/>
              <w:t xml:space="preserve">(INFO </w:t>
            </w:r>
            <w:proofErr w:type="gramStart"/>
            <w:r w:rsidRPr="002620C8">
              <w:t>costs-H</w:t>
            </w:r>
            <w:proofErr w:type="gramEnd"/>
            <w:r w:rsidRPr="002620C8">
              <w:t>)</w:t>
            </w:r>
          </w:p>
        </w:tc>
        <w:tc>
          <w:tcPr>
            <w:tcW w:w="604" w:type="pct"/>
            <w:hideMark/>
          </w:tcPr>
          <w:p w14:paraId="5636F48E" w14:textId="77777777" w:rsidR="009C778C" w:rsidRPr="002620C8" w:rsidRDefault="009C778C" w:rsidP="00F33A88">
            <w:pPr>
              <w:pStyle w:val="NoSpacing"/>
            </w:pPr>
            <w:r w:rsidRPr="002620C8">
              <w:t>Low</w:t>
            </w:r>
            <w:r w:rsidRPr="002620C8">
              <w:br/>
              <w:t xml:space="preserve">(INFO </w:t>
            </w:r>
            <w:proofErr w:type="gramStart"/>
            <w:r w:rsidRPr="002620C8">
              <w:t>costs-L</w:t>
            </w:r>
            <w:proofErr w:type="gramEnd"/>
            <w:r w:rsidRPr="002620C8">
              <w:t>)</w:t>
            </w:r>
          </w:p>
        </w:tc>
        <w:tc>
          <w:tcPr>
            <w:tcW w:w="395" w:type="pct"/>
            <w:hideMark/>
          </w:tcPr>
          <w:p w14:paraId="1550C0A2" w14:textId="77777777" w:rsidR="009C778C" w:rsidRPr="002620C8" w:rsidRDefault="009C778C" w:rsidP="00F33A88">
            <w:pPr>
              <w:pStyle w:val="NoSpacing"/>
            </w:pPr>
            <w:r w:rsidRPr="002620C8">
              <w:rPr>
                <w:i/>
                <w:iCs/>
              </w:rPr>
              <w:t>Pred.</w:t>
            </w:r>
            <w:r w:rsidRPr="002620C8">
              <w:br/>
            </w:r>
            <w:r w:rsidRPr="002620C8">
              <w:rPr>
                <w:i/>
                <w:iCs/>
              </w:rPr>
              <w:t>Sign</w:t>
            </w:r>
          </w:p>
        </w:tc>
        <w:tc>
          <w:tcPr>
            <w:tcW w:w="604" w:type="pct"/>
            <w:hideMark/>
          </w:tcPr>
          <w:p w14:paraId="55FAC08C" w14:textId="77777777" w:rsidR="009C778C" w:rsidRPr="002620C8" w:rsidRDefault="009C778C" w:rsidP="00F33A88">
            <w:pPr>
              <w:pStyle w:val="NoSpacing"/>
            </w:pPr>
            <w:r w:rsidRPr="002620C8">
              <w:t>Low</w:t>
            </w:r>
            <w:r w:rsidRPr="002620C8">
              <w:br/>
              <w:t xml:space="preserve">(INFO </w:t>
            </w:r>
            <w:proofErr w:type="gramStart"/>
            <w:r w:rsidRPr="002620C8">
              <w:t>costs-H</w:t>
            </w:r>
            <w:proofErr w:type="gramEnd"/>
            <w:r w:rsidRPr="002620C8">
              <w:t>)</w:t>
            </w:r>
          </w:p>
        </w:tc>
        <w:tc>
          <w:tcPr>
            <w:tcW w:w="604" w:type="pct"/>
            <w:hideMark/>
          </w:tcPr>
          <w:p w14:paraId="0FB98F75" w14:textId="77777777" w:rsidR="009C778C" w:rsidRPr="002620C8" w:rsidRDefault="009C778C" w:rsidP="00F33A88">
            <w:pPr>
              <w:pStyle w:val="NoSpacing"/>
            </w:pPr>
            <w:r w:rsidRPr="002620C8">
              <w:t>High</w:t>
            </w:r>
            <w:r w:rsidRPr="002620C8">
              <w:br/>
              <w:t xml:space="preserve">(INFO </w:t>
            </w:r>
            <w:proofErr w:type="gramStart"/>
            <w:r w:rsidRPr="002620C8">
              <w:t>costs-L</w:t>
            </w:r>
            <w:proofErr w:type="gramEnd"/>
            <w:r w:rsidRPr="002620C8">
              <w:t>)</w:t>
            </w:r>
          </w:p>
        </w:tc>
      </w:tr>
      <w:tr w:rsidR="001F01FF" w:rsidRPr="002620C8" w14:paraId="01F03E82" w14:textId="77777777" w:rsidTr="009B2C80">
        <w:tc>
          <w:tcPr>
            <w:tcW w:w="1781" w:type="pct"/>
            <w:hideMark/>
          </w:tcPr>
          <w:p w14:paraId="7A9E8011" w14:textId="77777777" w:rsidR="009C778C" w:rsidRPr="002620C8" w:rsidRDefault="009C778C" w:rsidP="00F33A88">
            <w:pPr>
              <w:pStyle w:val="NoSpacing"/>
            </w:pPr>
          </w:p>
        </w:tc>
        <w:tc>
          <w:tcPr>
            <w:tcW w:w="402" w:type="pct"/>
            <w:hideMark/>
          </w:tcPr>
          <w:p w14:paraId="2DA40CE7" w14:textId="77777777" w:rsidR="009C778C" w:rsidRPr="002620C8" w:rsidRDefault="009C778C" w:rsidP="00F33A88">
            <w:pPr>
              <w:pStyle w:val="NoSpacing"/>
            </w:pPr>
          </w:p>
        </w:tc>
        <w:tc>
          <w:tcPr>
            <w:tcW w:w="611" w:type="pct"/>
            <w:hideMark/>
          </w:tcPr>
          <w:p w14:paraId="098FD629" w14:textId="77777777" w:rsidR="009C778C" w:rsidRPr="002620C8" w:rsidRDefault="009C778C" w:rsidP="00F33A88">
            <w:pPr>
              <w:pStyle w:val="NoSpacing"/>
            </w:pPr>
            <w:r w:rsidRPr="002620C8">
              <w:t>(1)</w:t>
            </w:r>
          </w:p>
        </w:tc>
        <w:tc>
          <w:tcPr>
            <w:tcW w:w="604" w:type="pct"/>
            <w:hideMark/>
          </w:tcPr>
          <w:p w14:paraId="6E178702" w14:textId="77777777" w:rsidR="009C778C" w:rsidRPr="002620C8" w:rsidRDefault="009C778C" w:rsidP="00F33A88">
            <w:pPr>
              <w:pStyle w:val="NoSpacing"/>
            </w:pPr>
            <w:r w:rsidRPr="002620C8">
              <w:t>(2)</w:t>
            </w:r>
          </w:p>
        </w:tc>
        <w:tc>
          <w:tcPr>
            <w:tcW w:w="395" w:type="pct"/>
            <w:hideMark/>
          </w:tcPr>
          <w:p w14:paraId="17A346B3" w14:textId="77777777" w:rsidR="009C778C" w:rsidRPr="002620C8" w:rsidRDefault="009C778C" w:rsidP="00F33A88">
            <w:pPr>
              <w:pStyle w:val="NoSpacing"/>
            </w:pPr>
          </w:p>
        </w:tc>
        <w:tc>
          <w:tcPr>
            <w:tcW w:w="604" w:type="pct"/>
            <w:hideMark/>
          </w:tcPr>
          <w:p w14:paraId="6DDBF4F3" w14:textId="77777777" w:rsidR="009C778C" w:rsidRPr="002620C8" w:rsidRDefault="009C778C" w:rsidP="00F33A88">
            <w:pPr>
              <w:pStyle w:val="NoSpacing"/>
            </w:pPr>
            <w:r w:rsidRPr="002620C8">
              <w:t>(3)</w:t>
            </w:r>
          </w:p>
        </w:tc>
        <w:tc>
          <w:tcPr>
            <w:tcW w:w="604" w:type="pct"/>
            <w:hideMark/>
          </w:tcPr>
          <w:p w14:paraId="2A5109C3" w14:textId="77777777" w:rsidR="009C778C" w:rsidRPr="002620C8" w:rsidRDefault="009C778C" w:rsidP="00F33A88">
            <w:pPr>
              <w:pStyle w:val="NoSpacing"/>
            </w:pPr>
            <w:r w:rsidRPr="002620C8">
              <w:t>(4)</w:t>
            </w:r>
          </w:p>
        </w:tc>
      </w:tr>
      <w:tr w:rsidR="001F01FF" w:rsidRPr="002620C8" w14:paraId="565F590F" w14:textId="77777777" w:rsidTr="009B2C80">
        <w:tc>
          <w:tcPr>
            <w:tcW w:w="1781" w:type="pct"/>
            <w:hideMark/>
          </w:tcPr>
          <w:p w14:paraId="789AAB55" w14:textId="77777777" w:rsidR="009C778C" w:rsidRPr="002620C8" w:rsidRDefault="009C778C" w:rsidP="00F33A88">
            <w:pPr>
              <w:pStyle w:val="NoSpacing"/>
            </w:pPr>
            <w:proofErr w:type="spellStart"/>
            <w:r w:rsidRPr="002620C8">
              <w:t>DOMESTIC</w:t>
            </w:r>
            <w:r w:rsidRPr="002620C8">
              <w:rPr>
                <w:vertAlign w:val="subscript"/>
              </w:rPr>
              <w:t>t</w:t>
            </w:r>
            <w:proofErr w:type="spellEnd"/>
            <w:r w:rsidRPr="002620C8">
              <w:rPr>
                <w:vertAlign w:val="subscript"/>
              </w:rPr>
              <w:t> − 1</w:t>
            </w:r>
          </w:p>
        </w:tc>
        <w:tc>
          <w:tcPr>
            <w:tcW w:w="402" w:type="pct"/>
            <w:hideMark/>
          </w:tcPr>
          <w:p w14:paraId="60ABDF3B" w14:textId="77777777" w:rsidR="009C778C" w:rsidRPr="002620C8" w:rsidRDefault="009C778C" w:rsidP="00F33A88">
            <w:pPr>
              <w:pStyle w:val="NoSpacing"/>
            </w:pPr>
            <w:r w:rsidRPr="002620C8">
              <w:t>–</w:t>
            </w:r>
          </w:p>
        </w:tc>
        <w:tc>
          <w:tcPr>
            <w:tcW w:w="611" w:type="pct"/>
            <w:hideMark/>
          </w:tcPr>
          <w:p w14:paraId="3C9FB4DF" w14:textId="77777777" w:rsidR="009C778C" w:rsidRPr="002620C8" w:rsidRDefault="009C778C" w:rsidP="00F33A88">
            <w:pPr>
              <w:pStyle w:val="NoSpacing"/>
            </w:pPr>
            <w:r w:rsidRPr="002620C8">
              <w:t>− 0.463***</w:t>
            </w:r>
          </w:p>
        </w:tc>
        <w:tc>
          <w:tcPr>
            <w:tcW w:w="604" w:type="pct"/>
            <w:hideMark/>
          </w:tcPr>
          <w:p w14:paraId="55EAB211" w14:textId="77777777" w:rsidR="009C778C" w:rsidRPr="002620C8" w:rsidRDefault="009C778C" w:rsidP="00F33A88">
            <w:pPr>
              <w:pStyle w:val="NoSpacing"/>
            </w:pPr>
            <w:r w:rsidRPr="002620C8">
              <w:t>− 0.296***</w:t>
            </w:r>
          </w:p>
        </w:tc>
        <w:tc>
          <w:tcPr>
            <w:tcW w:w="395" w:type="pct"/>
            <w:hideMark/>
          </w:tcPr>
          <w:p w14:paraId="27BE14F6" w14:textId="77777777" w:rsidR="009C778C" w:rsidRPr="002620C8" w:rsidRDefault="009C778C" w:rsidP="00F33A88">
            <w:pPr>
              <w:pStyle w:val="NoSpacing"/>
            </w:pPr>
            <w:r w:rsidRPr="002620C8">
              <w:t>–</w:t>
            </w:r>
          </w:p>
        </w:tc>
        <w:tc>
          <w:tcPr>
            <w:tcW w:w="604" w:type="pct"/>
            <w:hideMark/>
          </w:tcPr>
          <w:p w14:paraId="4236F297" w14:textId="77777777" w:rsidR="009C778C" w:rsidRPr="002620C8" w:rsidRDefault="009C778C" w:rsidP="00F33A88">
            <w:pPr>
              <w:pStyle w:val="NoSpacing"/>
            </w:pPr>
            <w:r w:rsidRPr="002620C8">
              <w:t>− 0.419***</w:t>
            </w:r>
          </w:p>
        </w:tc>
        <w:tc>
          <w:tcPr>
            <w:tcW w:w="604" w:type="pct"/>
            <w:hideMark/>
          </w:tcPr>
          <w:p w14:paraId="510560CC" w14:textId="77777777" w:rsidR="009C778C" w:rsidRPr="002620C8" w:rsidRDefault="009C778C" w:rsidP="00F33A88">
            <w:pPr>
              <w:pStyle w:val="NoSpacing"/>
            </w:pPr>
            <w:r w:rsidRPr="002620C8">
              <w:t>− 0.283***</w:t>
            </w:r>
          </w:p>
        </w:tc>
      </w:tr>
      <w:tr w:rsidR="001F01FF" w:rsidRPr="002620C8" w14:paraId="240AA6DF" w14:textId="77777777" w:rsidTr="009B2C80">
        <w:tc>
          <w:tcPr>
            <w:tcW w:w="1781" w:type="pct"/>
            <w:hideMark/>
          </w:tcPr>
          <w:p w14:paraId="22E88452" w14:textId="77777777" w:rsidR="009C778C" w:rsidRPr="002620C8" w:rsidRDefault="009C778C" w:rsidP="00F33A88">
            <w:pPr>
              <w:pStyle w:val="NoSpacing"/>
            </w:pPr>
          </w:p>
        </w:tc>
        <w:tc>
          <w:tcPr>
            <w:tcW w:w="402" w:type="pct"/>
            <w:hideMark/>
          </w:tcPr>
          <w:p w14:paraId="4D28F888" w14:textId="77777777" w:rsidR="009C778C" w:rsidRPr="002620C8" w:rsidRDefault="009C778C" w:rsidP="00F33A88">
            <w:pPr>
              <w:pStyle w:val="NoSpacing"/>
            </w:pPr>
          </w:p>
        </w:tc>
        <w:tc>
          <w:tcPr>
            <w:tcW w:w="611" w:type="pct"/>
            <w:hideMark/>
          </w:tcPr>
          <w:p w14:paraId="37D362D5" w14:textId="77777777" w:rsidR="009C778C" w:rsidRPr="002620C8" w:rsidRDefault="009C778C" w:rsidP="00F33A88">
            <w:pPr>
              <w:pStyle w:val="NoSpacing"/>
            </w:pPr>
            <w:r w:rsidRPr="002620C8">
              <w:t>(− 4.19)</w:t>
            </w:r>
          </w:p>
        </w:tc>
        <w:tc>
          <w:tcPr>
            <w:tcW w:w="604" w:type="pct"/>
            <w:hideMark/>
          </w:tcPr>
          <w:p w14:paraId="43834EA9" w14:textId="77777777" w:rsidR="009C778C" w:rsidRPr="002620C8" w:rsidRDefault="009C778C" w:rsidP="00F33A88">
            <w:pPr>
              <w:pStyle w:val="NoSpacing"/>
            </w:pPr>
            <w:r w:rsidRPr="002620C8">
              <w:t>(− 4.43)</w:t>
            </w:r>
          </w:p>
        </w:tc>
        <w:tc>
          <w:tcPr>
            <w:tcW w:w="395" w:type="pct"/>
            <w:hideMark/>
          </w:tcPr>
          <w:p w14:paraId="1F6D7599" w14:textId="77777777" w:rsidR="009C778C" w:rsidRPr="002620C8" w:rsidRDefault="009C778C" w:rsidP="00F33A88">
            <w:pPr>
              <w:pStyle w:val="NoSpacing"/>
            </w:pPr>
          </w:p>
        </w:tc>
        <w:tc>
          <w:tcPr>
            <w:tcW w:w="604" w:type="pct"/>
            <w:hideMark/>
          </w:tcPr>
          <w:p w14:paraId="45453E02" w14:textId="77777777" w:rsidR="009C778C" w:rsidRPr="002620C8" w:rsidRDefault="009C778C" w:rsidP="00F33A88">
            <w:pPr>
              <w:pStyle w:val="NoSpacing"/>
            </w:pPr>
            <w:r w:rsidRPr="002620C8">
              <w:t>(− 5.42)</w:t>
            </w:r>
          </w:p>
        </w:tc>
        <w:tc>
          <w:tcPr>
            <w:tcW w:w="604" w:type="pct"/>
            <w:hideMark/>
          </w:tcPr>
          <w:p w14:paraId="0C689AE3" w14:textId="77777777" w:rsidR="009C778C" w:rsidRPr="002620C8" w:rsidRDefault="009C778C" w:rsidP="00F33A88">
            <w:pPr>
              <w:pStyle w:val="NoSpacing"/>
            </w:pPr>
            <w:r w:rsidRPr="002620C8">
              <w:t>(− 3.40)</w:t>
            </w:r>
          </w:p>
        </w:tc>
      </w:tr>
      <w:tr w:rsidR="001F01FF" w:rsidRPr="002620C8" w14:paraId="750B2F5A" w14:textId="77777777" w:rsidTr="009B2C80">
        <w:tc>
          <w:tcPr>
            <w:tcW w:w="1781" w:type="pct"/>
            <w:hideMark/>
          </w:tcPr>
          <w:p w14:paraId="47B07986" w14:textId="77777777" w:rsidR="009C778C" w:rsidRPr="002620C8" w:rsidRDefault="009C778C" w:rsidP="00F33A88">
            <w:pPr>
              <w:pStyle w:val="NoSpacing"/>
            </w:pPr>
            <w:proofErr w:type="spellStart"/>
            <w:r w:rsidRPr="002620C8">
              <w:t>FOREIGN</w:t>
            </w:r>
            <w:r w:rsidRPr="002620C8">
              <w:rPr>
                <w:vertAlign w:val="subscript"/>
              </w:rPr>
              <w:t>t</w:t>
            </w:r>
            <w:proofErr w:type="spellEnd"/>
            <w:r w:rsidRPr="002620C8">
              <w:rPr>
                <w:vertAlign w:val="subscript"/>
              </w:rPr>
              <w:t> − 1</w:t>
            </w:r>
          </w:p>
        </w:tc>
        <w:tc>
          <w:tcPr>
            <w:tcW w:w="402" w:type="pct"/>
            <w:hideMark/>
          </w:tcPr>
          <w:p w14:paraId="5832F294" w14:textId="77777777" w:rsidR="009C778C" w:rsidRPr="002620C8" w:rsidRDefault="009C778C" w:rsidP="00F33A88">
            <w:pPr>
              <w:pStyle w:val="NoSpacing"/>
            </w:pPr>
            <w:r w:rsidRPr="002620C8">
              <w:t>–</w:t>
            </w:r>
          </w:p>
        </w:tc>
        <w:tc>
          <w:tcPr>
            <w:tcW w:w="611" w:type="pct"/>
            <w:hideMark/>
          </w:tcPr>
          <w:p w14:paraId="3590FCFF" w14:textId="77777777" w:rsidR="009C778C" w:rsidRPr="002620C8" w:rsidRDefault="009C778C" w:rsidP="00F33A88">
            <w:pPr>
              <w:pStyle w:val="NoSpacing"/>
            </w:pPr>
            <w:r w:rsidRPr="002620C8">
              <w:t>− 0.053</w:t>
            </w:r>
          </w:p>
        </w:tc>
        <w:tc>
          <w:tcPr>
            <w:tcW w:w="604" w:type="pct"/>
            <w:hideMark/>
          </w:tcPr>
          <w:p w14:paraId="16468553" w14:textId="77777777" w:rsidR="009C778C" w:rsidRPr="002620C8" w:rsidRDefault="009C778C" w:rsidP="00F33A88">
            <w:pPr>
              <w:pStyle w:val="NoSpacing"/>
            </w:pPr>
            <w:r w:rsidRPr="002620C8">
              <w:t>− 0.036</w:t>
            </w:r>
          </w:p>
        </w:tc>
        <w:tc>
          <w:tcPr>
            <w:tcW w:w="395" w:type="pct"/>
            <w:hideMark/>
          </w:tcPr>
          <w:p w14:paraId="2A758DF5" w14:textId="77777777" w:rsidR="009C778C" w:rsidRPr="002620C8" w:rsidRDefault="009C778C" w:rsidP="00F33A88">
            <w:pPr>
              <w:pStyle w:val="NoSpacing"/>
            </w:pPr>
            <w:r w:rsidRPr="002620C8">
              <w:t>–</w:t>
            </w:r>
          </w:p>
        </w:tc>
        <w:tc>
          <w:tcPr>
            <w:tcW w:w="604" w:type="pct"/>
            <w:hideMark/>
          </w:tcPr>
          <w:p w14:paraId="7AD3AA72" w14:textId="77777777" w:rsidR="009C778C" w:rsidRPr="002620C8" w:rsidRDefault="009C778C" w:rsidP="00F33A88">
            <w:pPr>
              <w:pStyle w:val="NoSpacing"/>
            </w:pPr>
            <w:r w:rsidRPr="002620C8">
              <w:t>− 0.015</w:t>
            </w:r>
          </w:p>
        </w:tc>
        <w:tc>
          <w:tcPr>
            <w:tcW w:w="604" w:type="pct"/>
            <w:hideMark/>
          </w:tcPr>
          <w:p w14:paraId="253ECB55" w14:textId="77777777" w:rsidR="009C778C" w:rsidRPr="002620C8" w:rsidRDefault="009C778C" w:rsidP="00F33A88">
            <w:pPr>
              <w:pStyle w:val="NoSpacing"/>
            </w:pPr>
            <w:r w:rsidRPr="002620C8">
              <w:t>− 0.146</w:t>
            </w:r>
          </w:p>
        </w:tc>
      </w:tr>
      <w:tr w:rsidR="001F01FF" w:rsidRPr="002620C8" w14:paraId="6BD4D4F6" w14:textId="77777777" w:rsidTr="009B2C80">
        <w:tc>
          <w:tcPr>
            <w:tcW w:w="1781" w:type="pct"/>
            <w:hideMark/>
          </w:tcPr>
          <w:p w14:paraId="492487BB" w14:textId="77777777" w:rsidR="009C778C" w:rsidRPr="002620C8" w:rsidRDefault="009C778C" w:rsidP="00F33A88">
            <w:pPr>
              <w:pStyle w:val="NoSpacing"/>
            </w:pPr>
          </w:p>
        </w:tc>
        <w:tc>
          <w:tcPr>
            <w:tcW w:w="402" w:type="pct"/>
            <w:hideMark/>
          </w:tcPr>
          <w:p w14:paraId="1977EA7A" w14:textId="77777777" w:rsidR="009C778C" w:rsidRPr="002620C8" w:rsidRDefault="009C778C" w:rsidP="00F33A88">
            <w:pPr>
              <w:pStyle w:val="NoSpacing"/>
            </w:pPr>
          </w:p>
        </w:tc>
        <w:tc>
          <w:tcPr>
            <w:tcW w:w="611" w:type="pct"/>
            <w:hideMark/>
          </w:tcPr>
          <w:p w14:paraId="286B001F" w14:textId="77777777" w:rsidR="009C778C" w:rsidRPr="002620C8" w:rsidRDefault="009C778C" w:rsidP="00F33A88">
            <w:pPr>
              <w:pStyle w:val="NoSpacing"/>
            </w:pPr>
            <w:r w:rsidRPr="002620C8">
              <w:t>(− 0.40)</w:t>
            </w:r>
          </w:p>
        </w:tc>
        <w:tc>
          <w:tcPr>
            <w:tcW w:w="604" w:type="pct"/>
            <w:hideMark/>
          </w:tcPr>
          <w:p w14:paraId="2BF068C6" w14:textId="77777777" w:rsidR="009C778C" w:rsidRPr="002620C8" w:rsidRDefault="009C778C" w:rsidP="00F33A88">
            <w:pPr>
              <w:pStyle w:val="NoSpacing"/>
            </w:pPr>
            <w:r w:rsidRPr="002620C8">
              <w:t>(− 0.47)</w:t>
            </w:r>
          </w:p>
        </w:tc>
        <w:tc>
          <w:tcPr>
            <w:tcW w:w="395" w:type="pct"/>
            <w:hideMark/>
          </w:tcPr>
          <w:p w14:paraId="40F040A8" w14:textId="77777777" w:rsidR="009C778C" w:rsidRPr="002620C8" w:rsidRDefault="009C778C" w:rsidP="00F33A88">
            <w:pPr>
              <w:pStyle w:val="NoSpacing"/>
            </w:pPr>
          </w:p>
        </w:tc>
        <w:tc>
          <w:tcPr>
            <w:tcW w:w="604" w:type="pct"/>
            <w:hideMark/>
          </w:tcPr>
          <w:p w14:paraId="5BED46DE" w14:textId="77777777" w:rsidR="009C778C" w:rsidRPr="002620C8" w:rsidRDefault="009C778C" w:rsidP="00F33A88">
            <w:pPr>
              <w:pStyle w:val="NoSpacing"/>
            </w:pPr>
            <w:r w:rsidRPr="002620C8">
              <w:t>(− 0.20)</w:t>
            </w:r>
          </w:p>
        </w:tc>
        <w:tc>
          <w:tcPr>
            <w:tcW w:w="604" w:type="pct"/>
            <w:hideMark/>
          </w:tcPr>
          <w:p w14:paraId="38C4AAAF" w14:textId="77777777" w:rsidR="009C778C" w:rsidRPr="002620C8" w:rsidRDefault="009C778C" w:rsidP="00F33A88">
            <w:pPr>
              <w:pStyle w:val="NoSpacing"/>
            </w:pPr>
            <w:r w:rsidRPr="002620C8">
              <w:t>(− 0.81)</w:t>
            </w:r>
          </w:p>
        </w:tc>
      </w:tr>
      <w:tr w:rsidR="001F01FF" w:rsidRPr="002620C8" w14:paraId="755A6F9F" w14:textId="77777777" w:rsidTr="009B2C80">
        <w:tc>
          <w:tcPr>
            <w:tcW w:w="1781" w:type="pct"/>
            <w:hideMark/>
          </w:tcPr>
          <w:p w14:paraId="5EFAD5F4" w14:textId="77777777" w:rsidR="009C778C" w:rsidRPr="002620C8" w:rsidRDefault="009C778C" w:rsidP="00F33A88">
            <w:pPr>
              <w:pStyle w:val="NoSpacing"/>
            </w:pPr>
            <w:proofErr w:type="spellStart"/>
            <w:r w:rsidRPr="002620C8">
              <w:t>SIZE</w:t>
            </w:r>
            <w:r w:rsidRPr="002620C8">
              <w:rPr>
                <w:vertAlign w:val="subscript"/>
              </w:rPr>
              <w:t>t</w:t>
            </w:r>
            <w:proofErr w:type="spellEnd"/>
            <w:r w:rsidRPr="002620C8">
              <w:rPr>
                <w:vertAlign w:val="subscript"/>
              </w:rPr>
              <w:t> − 1</w:t>
            </w:r>
          </w:p>
        </w:tc>
        <w:tc>
          <w:tcPr>
            <w:tcW w:w="402" w:type="pct"/>
            <w:hideMark/>
          </w:tcPr>
          <w:p w14:paraId="57EEE3C1" w14:textId="77777777" w:rsidR="009C778C" w:rsidRPr="002620C8" w:rsidRDefault="009C778C" w:rsidP="00F33A88">
            <w:pPr>
              <w:pStyle w:val="NoSpacing"/>
            </w:pPr>
          </w:p>
        </w:tc>
        <w:tc>
          <w:tcPr>
            <w:tcW w:w="611" w:type="pct"/>
            <w:hideMark/>
          </w:tcPr>
          <w:p w14:paraId="02A45575" w14:textId="77777777" w:rsidR="009C778C" w:rsidRPr="002620C8" w:rsidRDefault="009C778C" w:rsidP="00F33A88">
            <w:pPr>
              <w:pStyle w:val="NoSpacing"/>
            </w:pPr>
            <w:r w:rsidRPr="002620C8">
              <w:t>− 0.013**</w:t>
            </w:r>
          </w:p>
        </w:tc>
        <w:tc>
          <w:tcPr>
            <w:tcW w:w="604" w:type="pct"/>
            <w:hideMark/>
          </w:tcPr>
          <w:p w14:paraId="756F2405" w14:textId="77777777" w:rsidR="009C778C" w:rsidRPr="002620C8" w:rsidRDefault="009C778C" w:rsidP="00F33A88">
            <w:pPr>
              <w:pStyle w:val="NoSpacing"/>
            </w:pPr>
            <w:r w:rsidRPr="002620C8">
              <w:t>− 0.030***</w:t>
            </w:r>
          </w:p>
        </w:tc>
        <w:tc>
          <w:tcPr>
            <w:tcW w:w="395" w:type="pct"/>
            <w:hideMark/>
          </w:tcPr>
          <w:p w14:paraId="43C5CEB4" w14:textId="77777777" w:rsidR="009C778C" w:rsidRPr="002620C8" w:rsidRDefault="009C778C" w:rsidP="00F33A88">
            <w:pPr>
              <w:pStyle w:val="NoSpacing"/>
            </w:pPr>
          </w:p>
        </w:tc>
        <w:tc>
          <w:tcPr>
            <w:tcW w:w="604" w:type="pct"/>
            <w:hideMark/>
          </w:tcPr>
          <w:p w14:paraId="169795C0" w14:textId="77777777" w:rsidR="009C778C" w:rsidRPr="002620C8" w:rsidRDefault="009C778C" w:rsidP="00F33A88">
            <w:pPr>
              <w:pStyle w:val="NoSpacing"/>
            </w:pPr>
            <w:r w:rsidRPr="002620C8">
              <w:t>− 0.027***</w:t>
            </w:r>
          </w:p>
        </w:tc>
        <w:tc>
          <w:tcPr>
            <w:tcW w:w="604" w:type="pct"/>
            <w:hideMark/>
          </w:tcPr>
          <w:p w14:paraId="5058AFBB" w14:textId="77777777" w:rsidR="009C778C" w:rsidRPr="002620C8" w:rsidRDefault="009C778C" w:rsidP="00F33A88">
            <w:pPr>
              <w:pStyle w:val="NoSpacing"/>
            </w:pPr>
            <w:r w:rsidRPr="002620C8">
              <w:t>− 0.022***</w:t>
            </w:r>
          </w:p>
        </w:tc>
      </w:tr>
      <w:tr w:rsidR="001F01FF" w:rsidRPr="002620C8" w14:paraId="6E5C4F70" w14:textId="77777777" w:rsidTr="009B2C80">
        <w:tc>
          <w:tcPr>
            <w:tcW w:w="1781" w:type="pct"/>
            <w:hideMark/>
          </w:tcPr>
          <w:p w14:paraId="29792D09" w14:textId="77777777" w:rsidR="009C778C" w:rsidRPr="002620C8" w:rsidRDefault="009C778C" w:rsidP="00F33A88">
            <w:pPr>
              <w:pStyle w:val="NoSpacing"/>
            </w:pPr>
          </w:p>
        </w:tc>
        <w:tc>
          <w:tcPr>
            <w:tcW w:w="402" w:type="pct"/>
            <w:hideMark/>
          </w:tcPr>
          <w:p w14:paraId="28C178EE" w14:textId="77777777" w:rsidR="009C778C" w:rsidRPr="002620C8" w:rsidRDefault="009C778C" w:rsidP="00F33A88">
            <w:pPr>
              <w:pStyle w:val="NoSpacing"/>
            </w:pPr>
          </w:p>
        </w:tc>
        <w:tc>
          <w:tcPr>
            <w:tcW w:w="611" w:type="pct"/>
            <w:hideMark/>
          </w:tcPr>
          <w:p w14:paraId="214900F4" w14:textId="77777777" w:rsidR="009C778C" w:rsidRPr="002620C8" w:rsidRDefault="009C778C" w:rsidP="00F33A88">
            <w:pPr>
              <w:pStyle w:val="NoSpacing"/>
            </w:pPr>
            <w:r w:rsidRPr="002620C8">
              <w:t>(− 2.11)</w:t>
            </w:r>
          </w:p>
        </w:tc>
        <w:tc>
          <w:tcPr>
            <w:tcW w:w="604" w:type="pct"/>
            <w:hideMark/>
          </w:tcPr>
          <w:p w14:paraId="08B656DA" w14:textId="77777777" w:rsidR="009C778C" w:rsidRPr="002620C8" w:rsidRDefault="009C778C" w:rsidP="00F33A88">
            <w:pPr>
              <w:pStyle w:val="NoSpacing"/>
            </w:pPr>
            <w:r w:rsidRPr="002620C8">
              <w:t>(− 8.02)</w:t>
            </w:r>
          </w:p>
        </w:tc>
        <w:tc>
          <w:tcPr>
            <w:tcW w:w="395" w:type="pct"/>
            <w:hideMark/>
          </w:tcPr>
          <w:p w14:paraId="562EA43D" w14:textId="77777777" w:rsidR="009C778C" w:rsidRPr="002620C8" w:rsidRDefault="009C778C" w:rsidP="00F33A88">
            <w:pPr>
              <w:pStyle w:val="NoSpacing"/>
            </w:pPr>
          </w:p>
        </w:tc>
        <w:tc>
          <w:tcPr>
            <w:tcW w:w="604" w:type="pct"/>
            <w:hideMark/>
          </w:tcPr>
          <w:p w14:paraId="565F9718" w14:textId="77777777" w:rsidR="009C778C" w:rsidRPr="002620C8" w:rsidRDefault="009C778C" w:rsidP="00F33A88">
            <w:pPr>
              <w:pStyle w:val="NoSpacing"/>
            </w:pPr>
            <w:r w:rsidRPr="002620C8">
              <w:t>(− 7.43)</w:t>
            </w:r>
          </w:p>
        </w:tc>
        <w:tc>
          <w:tcPr>
            <w:tcW w:w="604" w:type="pct"/>
            <w:hideMark/>
          </w:tcPr>
          <w:p w14:paraId="2C3452E1" w14:textId="77777777" w:rsidR="009C778C" w:rsidRPr="002620C8" w:rsidRDefault="009C778C" w:rsidP="00F33A88">
            <w:pPr>
              <w:pStyle w:val="NoSpacing"/>
            </w:pPr>
            <w:r w:rsidRPr="002620C8">
              <w:t>(− 3.06)</w:t>
            </w:r>
          </w:p>
        </w:tc>
      </w:tr>
      <w:tr w:rsidR="001F01FF" w:rsidRPr="002620C8" w14:paraId="1E5C2176" w14:textId="77777777" w:rsidTr="009B2C80">
        <w:tc>
          <w:tcPr>
            <w:tcW w:w="1781" w:type="pct"/>
            <w:hideMark/>
          </w:tcPr>
          <w:p w14:paraId="66606363" w14:textId="77777777" w:rsidR="009C778C" w:rsidRPr="002620C8" w:rsidRDefault="009C778C" w:rsidP="00F33A88">
            <w:pPr>
              <w:pStyle w:val="NoSpacing"/>
            </w:pPr>
            <w:proofErr w:type="spellStart"/>
            <w:r w:rsidRPr="002620C8">
              <w:t>ROA</w:t>
            </w:r>
            <w:r w:rsidRPr="002620C8">
              <w:rPr>
                <w:vertAlign w:val="subscript"/>
              </w:rPr>
              <w:t>t</w:t>
            </w:r>
            <w:proofErr w:type="spellEnd"/>
            <w:r w:rsidRPr="002620C8">
              <w:rPr>
                <w:vertAlign w:val="subscript"/>
              </w:rPr>
              <w:t> − 1</w:t>
            </w:r>
          </w:p>
        </w:tc>
        <w:tc>
          <w:tcPr>
            <w:tcW w:w="402" w:type="pct"/>
            <w:hideMark/>
          </w:tcPr>
          <w:p w14:paraId="1AD1B5CB" w14:textId="77777777" w:rsidR="009C778C" w:rsidRPr="002620C8" w:rsidRDefault="009C778C" w:rsidP="00F33A88">
            <w:pPr>
              <w:pStyle w:val="NoSpacing"/>
            </w:pPr>
          </w:p>
        </w:tc>
        <w:tc>
          <w:tcPr>
            <w:tcW w:w="611" w:type="pct"/>
            <w:hideMark/>
          </w:tcPr>
          <w:p w14:paraId="7A37E4A4" w14:textId="77777777" w:rsidR="009C778C" w:rsidRPr="002620C8" w:rsidRDefault="009C778C" w:rsidP="00F33A88">
            <w:pPr>
              <w:pStyle w:val="NoSpacing"/>
            </w:pPr>
            <w:r w:rsidRPr="002620C8">
              <w:t>− 0.799***</w:t>
            </w:r>
          </w:p>
        </w:tc>
        <w:tc>
          <w:tcPr>
            <w:tcW w:w="604" w:type="pct"/>
            <w:hideMark/>
          </w:tcPr>
          <w:p w14:paraId="4D4B54C0" w14:textId="77777777" w:rsidR="009C778C" w:rsidRPr="002620C8" w:rsidRDefault="009C778C" w:rsidP="00F33A88">
            <w:pPr>
              <w:pStyle w:val="NoSpacing"/>
            </w:pPr>
            <w:r w:rsidRPr="002620C8">
              <w:t>− 0.522***</w:t>
            </w:r>
          </w:p>
        </w:tc>
        <w:tc>
          <w:tcPr>
            <w:tcW w:w="395" w:type="pct"/>
            <w:hideMark/>
          </w:tcPr>
          <w:p w14:paraId="5DFF1640" w14:textId="77777777" w:rsidR="009C778C" w:rsidRPr="002620C8" w:rsidRDefault="009C778C" w:rsidP="00F33A88">
            <w:pPr>
              <w:pStyle w:val="NoSpacing"/>
            </w:pPr>
          </w:p>
        </w:tc>
        <w:tc>
          <w:tcPr>
            <w:tcW w:w="604" w:type="pct"/>
            <w:hideMark/>
          </w:tcPr>
          <w:p w14:paraId="1E05808D" w14:textId="77777777" w:rsidR="009C778C" w:rsidRPr="002620C8" w:rsidRDefault="009C778C" w:rsidP="00F33A88">
            <w:pPr>
              <w:pStyle w:val="NoSpacing"/>
            </w:pPr>
            <w:r w:rsidRPr="002620C8">
              <w:t>− 0.676***</w:t>
            </w:r>
          </w:p>
        </w:tc>
        <w:tc>
          <w:tcPr>
            <w:tcW w:w="604" w:type="pct"/>
            <w:hideMark/>
          </w:tcPr>
          <w:p w14:paraId="542158E5" w14:textId="77777777" w:rsidR="009C778C" w:rsidRPr="002620C8" w:rsidRDefault="009C778C" w:rsidP="00F33A88">
            <w:pPr>
              <w:pStyle w:val="NoSpacing"/>
            </w:pPr>
            <w:r w:rsidRPr="002620C8">
              <w:t>− 0.569***</w:t>
            </w:r>
          </w:p>
        </w:tc>
      </w:tr>
      <w:tr w:rsidR="001F01FF" w:rsidRPr="002620C8" w14:paraId="70558A11" w14:textId="77777777" w:rsidTr="009B2C80">
        <w:tc>
          <w:tcPr>
            <w:tcW w:w="1781" w:type="pct"/>
            <w:hideMark/>
          </w:tcPr>
          <w:p w14:paraId="4F7C5E4B" w14:textId="77777777" w:rsidR="009C778C" w:rsidRPr="002620C8" w:rsidRDefault="009C778C" w:rsidP="00F33A88">
            <w:pPr>
              <w:pStyle w:val="NoSpacing"/>
            </w:pPr>
          </w:p>
        </w:tc>
        <w:tc>
          <w:tcPr>
            <w:tcW w:w="402" w:type="pct"/>
            <w:hideMark/>
          </w:tcPr>
          <w:p w14:paraId="713A4673" w14:textId="77777777" w:rsidR="009C778C" w:rsidRPr="002620C8" w:rsidRDefault="009C778C" w:rsidP="00F33A88">
            <w:pPr>
              <w:pStyle w:val="NoSpacing"/>
            </w:pPr>
          </w:p>
        </w:tc>
        <w:tc>
          <w:tcPr>
            <w:tcW w:w="611" w:type="pct"/>
            <w:hideMark/>
          </w:tcPr>
          <w:p w14:paraId="63AD967F" w14:textId="77777777" w:rsidR="009C778C" w:rsidRPr="002620C8" w:rsidRDefault="009C778C" w:rsidP="00F33A88">
            <w:pPr>
              <w:pStyle w:val="NoSpacing"/>
            </w:pPr>
            <w:r w:rsidRPr="002620C8">
              <w:t>(− 11.11)</w:t>
            </w:r>
          </w:p>
        </w:tc>
        <w:tc>
          <w:tcPr>
            <w:tcW w:w="604" w:type="pct"/>
            <w:hideMark/>
          </w:tcPr>
          <w:p w14:paraId="1573758F" w14:textId="77777777" w:rsidR="009C778C" w:rsidRPr="002620C8" w:rsidRDefault="009C778C" w:rsidP="00F33A88">
            <w:pPr>
              <w:pStyle w:val="NoSpacing"/>
            </w:pPr>
            <w:r w:rsidRPr="002620C8">
              <w:t>(− 11.53)</w:t>
            </w:r>
          </w:p>
        </w:tc>
        <w:tc>
          <w:tcPr>
            <w:tcW w:w="395" w:type="pct"/>
            <w:hideMark/>
          </w:tcPr>
          <w:p w14:paraId="0971A640" w14:textId="77777777" w:rsidR="009C778C" w:rsidRPr="002620C8" w:rsidRDefault="009C778C" w:rsidP="00F33A88">
            <w:pPr>
              <w:pStyle w:val="NoSpacing"/>
            </w:pPr>
          </w:p>
        </w:tc>
        <w:tc>
          <w:tcPr>
            <w:tcW w:w="604" w:type="pct"/>
            <w:hideMark/>
          </w:tcPr>
          <w:p w14:paraId="68039AAC" w14:textId="77777777" w:rsidR="009C778C" w:rsidRPr="002620C8" w:rsidRDefault="009C778C" w:rsidP="00F33A88">
            <w:pPr>
              <w:pStyle w:val="NoSpacing"/>
            </w:pPr>
            <w:r w:rsidRPr="002620C8">
              <w:t>(− 12.99)</w:t>
            </w:r>
          </w:p>
        </w:tc>
        <w:tc>
          <w:tcPr>
            <w:tcW w:w="604" w:type="pct"/>
            <w:hideMark/>
          </w:tcPr>
          <w:p w14:paraId="6D51A5E1" w14:textId="77777777" w:rsidR="009C778C" w:rsidRPr="002620C8" w:rsidRDefault="009C778C" w:rsidP="00F33A88">
            <w:pPr>
              <w:pStyle w:val="NoSpacing"/>
            </w:pPr>
            <w:r w:rsidRPr="002620C8">
              <w:t>(− 9.66)</w:t>
            </w:r>
          </w:p>
        </w:tc>
      </w:tr>
      <w:tr w:rsidR="001F01FF" w:rsidRPr="002620C8" w14:paraId="55E0F45D" w14:textId="77777777" w:rsidTr="009B2C80">
        <w:tc>
          <w:tcPr>
            <w:tcW w:w="1781" w:type="pct"/>
            <w:hideMark/>
          </w:tcPr>
          <w:p w14:paraId="1C9EAC95" w14:textId="77777777" w:rsidR="009C778C" w:rsidRPr="002620C8" w:rsidRDefault="009C778C" w:rsidP="00F33A88">
            <w:pPr>
              <w:pStyle w:val="NoSpacing"/>
            </w:pPr>
            <w:proofErr w:type="spellStart"/>
            <w:r w:rsidRPr="002620C8">
              <w:t>MTB</w:t>
            </w:r>
            <w:r w:rsidRPr="002620C8">
              <w:rPr>
                <w:vertAlign w:val="subscript"/>
              </w:rPr>
              <w:t>t</w:t>
            </w:r>
            <w:proofErr w:type="spellEnd"/>
            <w:r w:rsidRPr="002620C8">
              <w:rPr>
                <w:vertAlign w:val="subscript"/>
              </w:rPr>
              <w:t> − 1</w:t>
            </w:r>
          </w:p>
        </w:tc>
        <w:tc>
          <w:tcPr>
            <w:tcW w:w="402" w:type="pct"/>
            <w:hideMark/>
          </w:tcPr>
          <w:p w14:paraId="0E4F9418" w14:textId="77777777" w:rsidR="009C778C" w:rsidRPr="002620C8" w:rsidRDefault="009C778C" w:rsidP="00F33A88">
            <w:pPr>
              <w:pStyle w:val="NoSpacing"/>
            </w:pPr>
          </w:p>
        </w:tc>
        <w:tc>
          <w:tcPr>
            <w:tcW w:w="611" w:type="pct"/>
            <w:hideMark/>
          </w:tcPr>
          <w:p w14:paraId="1DF10688" w14:textId="77777777" w:rsidR="009C778C" w:rsidRPr="002620C8" w:rsidRDefault="009C778C" w:rsidP="00F33A88">
            <w:pPr>
              <w:pStyle w:val="NoSpacing"/>
            </w:pPr>
            <w:r w:rsidRPr="002620C8">
              <w:t>0.001</w:t>
            </w:r>
          </w:p>
        </w:tc>
        <w:tc>
          <w:tcPr>
            <w:tcW w:w="604" w:type="pct"/>
            <w:hideMark/>
          </w:tcPr>
          <w:p w14:paraId="42945085" w14:textId="77777777" w:rsidR="009C778C" w:rsidRPr="002620C8" w:rsidRDefault="009C778C" w:rsidP="00F33A88">
            <w:pPr>
              <w:pStyle w:val="NoSpacing"/>
            </w:pPr>
            <w:r w:rsidRPr="002620C8">
              <w:t>− 0.025**</w:t>
            </w:r>
          </w:p>
        </w:tc>
        <w:tc>
          <w:tcPr>
            <w:tcW w:w="395" w:type="pct"/>
            <w:hideMark/>
          </w:tcPr>
          <w:p w14:paraId="4EE1D23C" w14:textId="77777777" w:rsidR="009C778C" w:rsidRPr="002620C8" w:rsidRDefault="009C778C" w:rsidP="00F33A88">
            <w:pPr>
              <w:pStyle w:val="NoSpacing"/>
            </w:pPr>
          </w:p>
        </w:tc>
        <w:tc>
          <w:tcPr>
            <w:tcW w:w="604" w:type="pct"/>
            <w:hideMark/>
          </w:tcPr>
          <w:p w14:paraId="484B326B" w14:textId="77777777" w:rsidR="009C778C" w:rsidRPr="002620C8" w:rsidRDefault="009C778C" w:rsidP="00F33A88">
            <w:pPr>
              <w:pStyle w:val="NoSpacing"/>
            </w:pPr>
            <w:r w:rsidRPr="002620C8">
              <w:t>− 0.032***</w:t>
            </w:r>
          </w:p>
        </w:tc>
        <w:tc>
          <w:tcPr>
            <w:tcW w:w="604" w:type="pct"/>
            <w:hideMark/>
          </w:tcPr>
          <w:p w14:paraId="07DA1EEC" w14:textId="77777777" w:rsidR="009C778C" w:rsidRPr="002620C8" w:rsidRDefault="009C778C" w:rsidP="00F33A88">
            <w:pPr>
              <w:pStyle w:val="NoSpacing"/>
            </w:pPr>
            <w:r w:rsidRPr="002620C8">
              <w:t>− 0.008</w:t>
            </w:r>
          </w:p>
        </w:tc>
      </w:tr>
      <w:tr w:rsidR="001F01FF" w:rsidRPr="002620C8" w14:paraId="2C595FCF" w14:textId="77777777" w:rsidTr="009B2C80">
        <w:tc>
          <w:tcPr>
            <w:tcW w:w="1781" w:type="pct"/>
            <w:hideMark/>
          </w:tcPr>
          <w:p w14:paraId="320B6934" w14:textId="77777777" w:rsidR="009C778C" w:rsidRPr="002620C8" w:rsidRDefault="009C778C" w:rsidP="00F33A88">
            <w:pPr>
              <w:pStyle w:val="NoSpacing"/>
            </w:pPr>
          </w:p>
        </w:tc>
        <w:tc>
          <w:tcPr>
            <w:tcW w:w="402" w:type="pct"/>
            <w:hideMark/>
          </w:tcPr>
          <w:p w14:paraId="7ACFCC6C" w14:textId="77777777" w:rsidR="009C778C" w:rsidRPr="002620C8" w:rsidRDefault="009C778C" w:rsidP="00F33A88">
            <w:pPr>
              <w:pStyle w:val="NoSpacing"/>
            </w:pPr>
          </w:p>
        </w:tc>
        <w:tc>
          <w:tcPr>
            <w:tcW w:w="611" w:type="pct"/>
            <w:hideMark/>
          </w:tcPr>
          <w:p w14:paraId="10E257F4" w14:textId="77777777" w:rsidR="009C778C" w:rsidRPr="002620C8" w:rsidRDefault="009C778C" w:rsidP="00F33A88">
            <w:pPr>
              <w:pStyle w:val="NoSpacing"/>
            </w:pPr>
            <w:r w:rsidRPr="002620C8">
              <w:t>(0.04)</w:t>
            </w:r>
          </w:p>
        </w:tc>
        <w:tc>
          <w:tcPr>
            <w:tcW w:w="604" w:type="pct"/>
            <w:hideMark/>
          </w:tcPr>
          <w:p w14:paraId="5654E3E9" w14:textId="77777777" w:rsidR="009C778C" w:rsidRPr="002620C8" w:rsidRDefault="009C778C" w:rsidP="00F33A88">
            <w:pPr>
              <w:pStyle w:val="NoSpacing"/>
            </w:pPr>
            <w:r w:rsidRPr="002620C8">
              <w:t>(− 2.27)</w:t>
            </w:r>
          </w:p>
        </w:tc>
        <w:tc>
          <w:tcPr>
            <w:tcW w:w="395" w:type="pct"/>
            <w:hideMark/>
          </w:tcPr>
          <w:p w14:paraId="11B84B4C" w14:textId="77777777" w:rsidR="009C778C" w:rsidRPr="002620C8" w:rsidRDefault="009C778C" w:rsidP="00F33A88">
            <w:pPr>
              <w:pStyle w:val="NoSpacing"/>
            </w:pPr>
          </w:p>
        </w:tc>
        <w:tc>
          <w:tcPr>
            <w:tcW w:w="604" w:type="pct"/>
            <w:hideMark/>
          </w:tcPr>
          <w:p w14:paraId="662D5A6E" w14:textId="77777777" w:rsidR="009C778C" w:rsidRPr="002620C8" w:rsidRDefault="009C778C" w:rsidP="00F33A88">
            <w:pPr>
              <w:pStyle w:val="NoSpacing"/>
            </w:pPr>
            <w:r w:rsidRPr="002620C8">
              <w:t>(− 2.59)</w:t>
            </w:r>
          </w:p>
        </w:tc>
        <w:tc>
          <w:tcPr>
            <w:tcW w:w="604" w:type="pct"/>
            <w:hideMark/>
          </w:tcPr>
          <w:p w14:paraId="74F31429" w14:textId="77777777" w:rsidR="009C778C" w:rsidRPr="002620C8" w:rsidRDefault="009C778C" w:rsidP="00F33A88">
            <w:pPr>
              <w:pStyle w:val="NoSpacing"/>
            </w:pPr>
            <w:r w:rsidRPr="002620C8">
              <w:t>(− 0.49)</w:t>
            </w:r>
          </w:p>
        </w:tc>
      </w:tr>
      <w:tr w:rsidR="001F01FF" w:rsidRPr="002620C8" w14:paraId="6280D8F3" w14:textId="77777777" w:rsidTr="009B2C80">
        <w:tc>
          <w:tcPr>
            <w:tcW w:w="1781" w:type="pct"/>
            <w:hideMark/>
          </w:tcPr>
          <w:p w14:paraId="7BBD45DD" w14:textId="77777777" w:rsidR="009C778C" w:rsidRPr="002620C8" w:rsidRDefault="009C778C" w:rsidP="00F33A88">
            <w:pPr>
              <w:pStyle w:val="NoSpacing"/>
            </w:pPr>
            <w:r w:rsidRPr="002620C8">
              <w:t>SALEGROWTH </w:t>
            </w:r>
            <w:r w:rsidRPr="002620C8">
              <w:rPr>
                <w:vertAlign w:val="subscript"/>
              </w:rPr>
              <w:t>t − 1</w:t>
            </w:r>
          </w:p>
        </w:tc>
        <w:tc>
          <w:tcPr>
            <w:tcW w:w="402" w:type="pct"/>
            <w:hideMark/>
          </w:tcPr>
          <w:p w14:paraId="272E1BEF" w14:textId="77777777" w:rsidR="009C778C" w:rsidRPr="002620C8" w:rsidRDefault="009C778C" w:rsidP="00F33A88">
            <w:pPr>
              <w:pStyle w:val="NoSpacing"/>
            </w:pPr>
          </w:p>
        </w:tc>
        <w:tc>
          <w:tcPr>
            <w:tcW w:w="611" w:type="pct"/>
            <w:hideMark/>
          </w:tcPr>
          <w:p w14:paraId="2EF261FD" w14:textId="77777777" w:rsidR="009C778C" w:rsidRPr="002620C8" w:rsidRDefault="009C778C" w:rsidP="00F33A88">
            <w:pPr>
              <w:pStyle w:val="NoSpacing"/>
            </w:pPr>
            <w:r w:rsidRPr="002620C8">
              <w:t>0.035</w:t>
            </w:r>
          </w:p>
        </w:tc>
        <w:tc>
          <w:tcPr>
            <w:tcW w:w="604" w:type="pct"/>
            <w:hideMark/>
          </w:tcPr>
          <w:p w14:paraId="23A5E94C" w14:textId="77777777" w:rsidR="009C778C" w:rsidRPr="002620C8" w:rsidRDefault="009C778C" w:rsidP="00F33A88">
            <w:pPr>
              <w:pStyle w:val="NoSpacing"/>
            </w:pPr>
            <w:r w:rsidRPr="002620C8">
              <w:t>0.030*</w:t>
            </w:r>
          </w:p>
        </w:tc>
        <w:tc>
          <w:tcPr>
            <w:tcW w:w="395" w:type="pct"/>
            <w:hideMark/>
          </w:tcPr>
          <w:p w14:paraId="2EF3DFE7" w14:textId="77777777" w:rsidR="009C778C" w:rsidRPr="002620C8" w:rsidRDefault="009C778C" w:rsidP="00F33A88">
            <w:pPr>
              <w:pStyle w:val="NoSpacing"/>
            </w:pPr>
          </w:p>
        </w:tc>
        <w:tc>
          <w:tcPr>
            <w:tcW w:w="604" w:type="pct"/>
            <w:hideMark/>
          </w:tcPr>
          <w:p w14:paraId="5CE16BD8" w14:textId="77777777" w:rsidR="009C778C" w:rsidRPr="002620C8" w:rsidRDefault="009C778C" w:rsidP="00F33A88">
            <w:pPr>
              <w:pStyle w:val="NoSpacing"/>
            </w:pPr>
            <w:r w:rsidRPr="002620C8">
              <w:t>0.014</w:t>
            </w:r>
          </w:p>
        </w:tc>
        <w:tc>
          <w:tcPr>
            <w:tcW w:w="604" w:type="pct"/>
            <w:hideMark/>
          </w:tcPr>
          <w:p w14:paraId="4EF32FE2" w14:textId="77777777" w:rsidR="009C778C" w:rsidRPr="002620C8" w:rsidRDefault="009C778C" w:rsidP="00F33A88">
            <w:pPr>
              <w:pStyle w:val="NoSpacing"/>
            </w:pPr>
            <w:r w:rsidRPr="002620C8">
              <w:t>0.059***</w:t>
            </w:r>
          </w:p>
        </w:tc>
      </w:tr>
      <w:tr w:rsidR="001F01FF" w:rsidRPr="002620C8" w14:paraId="1B8B718E" w14:textId="77777777" w:rsidTr="009B2C80">
        <w:tc>
          <w:tcPr>
            <w:tcW w:w="1781" w:type="pct"/>
            <w:hideMark/>
          </w:tcPr>
          <w:p w14:paraId="040FD90B" w14:textId="77777777" w:rsidR="009C778C" w:rsidRPr="002620C8" w:rsidRDefault="009C778C" w:rsidP="00F33A88">
            <w:pPr>
              <w:pStyle w:val="NoSpacing"/>
            </w:pPr>
          </w:p>
        </w:tc>
        <w:tc>
          <w:tcPr>
            <w:tcW w:w="402" w:type="pct"/>
            <w:hideMark/>
          </w:tcPr>
          <w:p w14:paraId="6F062AA6" w14:textId="77777777" w:rsidR="009C778C" w:rsidRPr="002620C8" w:rsidRDefault="009C778C" w:rsidP="00F33A88">
            <w:pPr>
              <w:pStyle w:val="NoSpacing"/>
            </w:pPr>
          </w:p>
        </w:tc>
        <w:tc>
          <w:tcPr>
            <w:tcW w:w="611" w:type="pct"/>
            <w:hideMark/>
          </w:tcPr>
          <w:p w14:paraId="5A9F1039" w14:textId="77777777" w:rsidR="009C778C" w:rsidRPr="002620C8" w:rsidRDefault="009C778C" w:rsidP="00F33A88">
            <w:pPr>
              <w:pStyle w:val="NoSpacing"/>
            </w:pPr>
            <w:r w:rsidRPr="002620C8">
              <w:t>(1.63)</w:t>
            </w:r>
          </w:p>
        </w:tc>
        <w:tc>
          <w:tcPr>
            <w:tcW w:w="604" w:type="pct"/>
            <w:hideMark/>
          </w:tcPr>
          <w:p w14:paraId="233E4688" w14:textId="77777777" w:rsidR="009C778C" w:rsidRPr="002620C8" w:rsidRDefault="009C778C" w:rsidP="00F33A88">
            <w:pPr>
              <w:pStyle w:val="NoSpacing"/>
            </w:pPr>
            <w:r w:rsidRPr="002620C8">
              <w:t>(1.79)</w:t>
            </w:r>
          </w:p>
        </w:tc>
        <w:tc>
          <w:tcPr>
            <w:tcW w:w="395" w:type="pct"/>
            <w:hideMark/>
          </w:tcPr>
          <w:p w14:paraId="2724917F" w14:textId="77777777" w:rsidR="009C778C" w:rsidRPr="002620C8" w:rsidRDefault="009C778C" w:rsidP="00F33A88">
            <w:pPr>
              <w:pStyle w:val="NoSpacing"/>
            </w:pPr>
          </w:p>
        </w:tc>
        <w:tc>
          <w:tcPr>
            <w:tcW w:w="604" w:type="pct"/>
            <w:hideMark/>
          </w:tcPr>
          <w:p w14:paraId="40EE708E" w14:textId="77777777" w:rsidR="009C778C" w:rsidRPr="002620C8" w:rsidRDefault="009C778C" w:rsidP="00F33A88">
            <w:pPr>
              <w:pStyle w:val="NoSpacing"/>
            </w:pPr>
            <w:r w:rsidRPr="002620C8">
              <w:t>(0.86)</w:t>
            </w:r>
          </w:p>
        </w:tc>
        <w:tc>
          <w:tcPr>
            <w:tcW w:w="604" w:type="pct"/>
            <w:hideMark/>
          </w:tcPr>
          <w:p w14:paraId="1660D300" w14:textId="77777777" w:rsidR="009C778C" w:rsidRPr="002620C8" w:rsidRDefault="009C778C" w:rsidP="00F33A88">
            <w:pPr>
              <w:pStyle w:val="NoSpacing"/>
            </w:pPr>
            <w:r w:rsidRPr="002620C8">
              <w:t>(2.72)</w:t>
            </w:r>
          </w:p>
        </w:tc>
      </w:tr>
      <w:tr w:rsidR="001F01FF" w:rsidRPr="002620C8" w14:paraId="7E6E0308" w14:textId="77777777" w:rsidTr="009B2C80">
        <w:tc>
          <w:tcPr>
            <w:tcW w:w="1781" w:type="pct"/>
            <w:hideMark/>
          </w:tcPr>
          <w:p w14:paraId="4F902429" w14:textId="77777777" w:rsidR="009C778C" w:rsidRPr="002620C8" w:rsidRDefault="009C778C" w:rsidP="00F33A88">
            <w:pPr>
              <w:pStyle w:val="NoSpacing"/>
            </w:pPr>
            <w:proofErr w:type="spellStart"/>
            <w:r w:rsidRPr="002620C8">
              <w:t>LEV</w:t>
            </w:r>
            <w:r w:rsidRPr="002620C8">
              <w:rPr>
                <w:vertAlign w:val="subscript"/>
              </w:rPr>
              <w:t>t</w:t>
            </w:r>
            <w:proofErr w:type="spellEnd"/>
            <w:r w:rsidRPr="002620C8">
              <w:rPr>
                <w:vertAlign w:val="subscript"/>
              </w:rPr>
              <w:t> − 1</w:t>
            </w:r>
          </w:p>
        </w:tc>
        <w:tc>
          <w:tcPr>
            <w:tcW w:w="402" w:type="pct"/>
            <w:hideMark/>
          </w:tcPr>
          <w:p w14:paraId="67C80EFC" w14:textId="77777777" w:rsidR="009C778C" w:rsidRPr="002620C8" w:rsidRDefault="009C778C" w:rsidP="00F33A88">
            <w:pPr>
              <w:pStyle w:val="NoSpacing"/>
            </w:pPr>
          </w:p>
        </w:tc>
        <w:tc>
          <w:tcPr>
            <w:tcW w:w="611" w:type="pct"/>
            <w:hideMark/>
          </w:tcPr>
          <w:p w14:paraId="00F3CE70" w14:textId="77777777" w:rsidR="009C778C" w:rsidRPr="002620C8" w:rsidRDefault="009C778C" w:rsidP="00F33A88">
            <w:pPr>
              <w:pStyle w:val="NoSpacing"/>
            </w:pPr>
            <w:r w:rsidRPr="002620C8">
              <w:t>0.367***</w:t>
            </w:r>
          </w:p>
        </w:tc>
        <w:tc>
          <w:tcPr>
            <w:tcW w:w="604" w:type="pct"/>
            <w:hideMark/>
          </w:tcPr>
          <w:p w14:paraId="24435FF4" w14:textId="77777777" w:rsidR="009C778C" w:rsidRPr="002620C8" w:rsidRDefault="009C778C" w:rsidP="00F33A88">
            <w:pPr>
              <w:pStyle w:val="NoSpacing"/>
            </w:pPr>
            <w:r w:rsidRPr="002620C8">
              <w:t>0.084**</w:t>
            </w:r>
          </w:p>
        </w:tc>
        <w:tc>
          <w:tcPr>
            <w:tcW w:w="395" w:type="pct"/>
            <w:hideMark/>
          </w:tcPr>
          <w:p w14:paraId="47C4CF22" w14:textId="77777777" w:rsidR="009C778C" w:rsidRPr="002620C8" w:rsidRDefault="009C778C" w:rsidP="00F33A88">
            <w:pPr>
              <w:pStyle w:val="NoSpacing"/>
            </w:pPr>
          </w:p>
        </w:tc>
        <w:tc>
          <w:tcPr>
            <w:tcW w:w="604" w:type="pct"/>
            <w:hideMark/>
          </w:tcPr>
          <w:p w14:paraId="644B393B" w14:textId="77777777" w:rsidR="009C778C" w:rsidRPr="002620C8" w:rsidRDefault="009C778C" w:rsidP="00F33A88">
            <w:pPr>
              <w:pStyle w:val="NoSpacing"/>
            </w:pPr>
            <w:r w:rsidRPr="002620C8">
              <w:t>0.201***</w:t>
            </w:r>
          </w:p>
        </w:tc>
        <w:tc>
          <w:tcPr>
            <w:tcW w:w="604" w:type="pct"/>
            <w:hideMark/>
          </w:tcPr>
          <w:p w14:paraId="34DF87EB" w14:textId="77777777" w:rsidR="009C778C" w:rsidRPr="002620C8" w:rsidRDefault="009C778C" w:rsidP="00F33A88">
            <w:pPr>
              <w:pStyle w:val="NoSpacing"/>
            </w:pPr>
            <w:r w:rsidRPr="002620C8">
              <w:t>0.282***</w:t>
            </w:r>
          </w:p>
        </w:tc>
      </w:tr>
      <w:tr w:rsidR="001F01FF" w:rsidRPr="002620C8" w14:paraId="2FD332C6" w14:textId="77777777" w:rsidTr="009B2C80">
        <w:tc>
          <w:tcPr>
            <w:tcW w:w="1781" w:type="pct"/>
            <w:hideMark/>
          </w:tcPr>
          <w:p w14:paraId="5D7740BE" w14:textId="77777777" w:rsidR="009C778C" w:rsidRPr="002620C8" w:rsidRDefault="009C778C" w:rsidP="00F33A88">
            <w:pPr>
              <w:pStyle w:val="NoSpacing"/>
            </w:pPr>
          </w:p>
        </w:tc>
        <w:tc>
          <w:tcPr>
            <w:tcW w:w="402" w:type="pct"/>
            <w:hideMark/>
          </w:tcPr>
          <w:p w14:paraId="42FB9629" w14:textId="77777777" w:rsidR="009C778C" w:rsidRPr="002620C8" w:rsidRDefault="009C778C" w:rsidP="00F33A88">
            <w:pPr>
              <w:pStyle w:val="NoSpacing"/>
            </w:pPr>
          </w:p>
        </w:tc>
        <w:tc>
          <w:tcPr>
            <w:tcW w:w="611" w:type="pct"/>
            <w:hideMark/>
          </w:tcPr>
          <w:p w14:paraId="48BC7444" w14:textId="77777777" w:rsidR="009C778C" w:rsidRPr="002620C8" w:rsidRDefault="009C778C" w:rsidP="00F33A88">
            <w:pPr>
              <w:pStyle w:val="NoSpacing"/>
            </w:pPr>
            <w:r w:rsidRPr="002620C8">
              <w:t>(6.74)</w:t>
            </w:r>
          </w:p>
        </w:tc>
        <w:tc>
          <w:tcPr>
            <w:tcW w:w="604" w:type="pct"/>
            <w:hideMark/>
          </w:tcPr>
          <w:p w14:paraId="00C53896" w14:textId="77777777" w:rsidR="009C778C" w:rsidRPr="002620C8" w:rsidRDefault="009C778C" w:rsidP="00F33A88">
            <w:pPr>
              <w:pStyle w:val="NoSpacing"/>
            </w:pPr>
            <w:r w:rsidRPr="002620C8">
              <w:t>(2.38)</w:t>
            </w:r>
          </w:p>
        </w:tc>
        <w:tc>
          <w:tcPr>
            <w:tcW w:w="395" w:type="pct"/>
            <w:hideMark/>
          </w:tcPr>
          <w:p w14:paraId="29188AD7" w14:textId="77777777" w:rsidR="009C778C" w:rsidRPr="002620C8" w:rsidRDefault="009C778C" w:rsidP="00F33A88">
            <w:pPr>
              <w:pStyle w:val="NoSpacing"/>
            </w:pPr>
          </w:p>
        </w:tc>
        <w:tc>
          <w:tcPr>
            <w:tcW w:w="604" w:type="pct"/>
            <w:hideMark/>
          </w:tcPr>
          <w:p w14:paraId="2D93245D" w14:textId="77777777" w:rsidR="009C778C" w:rsidRPr="002620C8" w:rsidRDefault="009C778C" w:rsidP="00F33A88">
            <w:pPr>
              <w:pStyle w:val="NoSpacing"/>
            </w:pPr>
            <w:r w:rsidRPr="002620C8">
              <w:t>(5.61)</w:t>
            </w:r>
          </w:p>
        </w:tc>
        <w:tc>
          <w:tcPr>
            <w:tcW w:w="604" w:type="pct"/>
            <w:hideMark/>
          </w:tcPr>
          <w:p w14:paraId="00E6C2FE" w14:textId="77777777" w:rsidR="009C778C" w:rsidRPr="002620C8" w:rsidRDefault="009C778C" w:rsidP="00F33A88">
            <w:pPr>
              <w:pStyle w:val="NoSpacing"/>
            </w:pPr>
            <w:r w:rsidRPr="002620C8">
              <w:t>(4.71)</w:t>
            </w:r>
          </w:p>
        </w:tc>
      </w:tr>
      <w:tr w:rsidR="001F01FF" w:rsidRPr="002620C8" w14:paraId="51865080" w14:textId="77777777" w:rsidTr="009B2C80">
        <w:tc>
          <w:tcPr>
            <w:tcW w:w="1781" w:type="pct"/>
            <w:hideMark/>
          </w:tcPr>
          <w:p w14:paraId="544FA35E" w14:textId="77777777" w:rsidR="009C778C" w:rsidRPr="002620C8" w:rsidRDefault="009C778C" w:rsidP="00F33A88">
            <w:pPr>
              <w:pStyle w:val="NoSpacing"/>
            </w:pPr>
            <w:r w:rsidRPr="002620C8">
              <w:t>STDSALE </w:t>
            </w:r>
            <w:r w:rsidRPr="002620C8">
              <w:rPr>
                <w:vertAlign w:val="subscript"/>
              </w:rPr>
              <w:t>t − 1</w:t>
            </w:r>
          </w:p>
        </w:tc>
        <w:tc>
          <w:tcPr>
            <w:tcW w:w="402" w:type="pct"/>
            <w:hideMark/>
          </w:tcPr>
          <w:p w14:paraId="0E3B3B26" w14:textId="77777777" w:rsidR="009C778C" w:rsidRPr="002620C8" w:rsidRDefault="009C778C" w:rsidP="00F33A88">
            <w:pPr>
              <w:pStyle w:val="NoSpacing"/>
            </w:pPr>
          </w:p>
        </w:tc>
        <w:tc>
          <w:tcPr>
            <w:tcW w:w="611" w:type="pct"/>
            <w:hideMark/>
          </w:tcPr>
          <w:p w14:paraId="1158C6CC" w14:textId="77777777" w:rsidR="009C778C" w:rsidRPr="002620C8" w:rsidRDefault="009C778C" w:rsidP="00F33A88">
            <w:pPr>
              <w:pStyle w:val="NoSpacing"/>
            </w:pPr>
            <w:r w:rsidRPr="002620C8">
              <w:t>0.472***</w:t>
            </w:r>
          </w:p>
        </w:tc>
        <w:tc>
          <w:tcPr>
            <w:tcW w:w="604" w:type="pct"/>
            <w:hideMark/>
          </w:tcPr>
          <w:p w14:paraId="15CF371C" w14:textId="77777777" w:rsidR="009C778C" w:rsidRPr="002620C8" w:rsidRDefault="009C778C" w:rsidP="00F33A88">
            <w:pPr>
              <w:pStyle w:val="NoSpacing"/>
            </w:pPr>
            <w:r w:rsidRPr="002620C8">
              <w:t>0.348***</w:t>
            </w:r>
          </w:p>
        </w:tc>
        <w:tc>
          <w:tcPr>
            <w:tcW w:w="395" w:type="pct"/>
            <w:hideMark/>
          </w:tcPr>
          <w:p w14:paraId="4981ED16" w14:textId="77777777" w:rsidR="009C778C" w:rsidRPr="002620C8" w:rsidRDefault="009C778C" w:rsidP="00F33A88">
            <w:pPr>
              <w:pStyle w:val="NoSpacing"/>
            </w:pPr>
          </w:p>
        </w:tc>
        <w:tc>
          <w:tcPr>
            <w:tcW w:w="604" w:type="pct"/>
            <w:hideMark/>
          </w:tcPr>
          <w:p w14:paraId="18713C83" w14:textId="77777777" w:rsidR="009C778C" w:rsidRPr="002620C8" w:rsidRDefault="009C778C" w:rsidP="00F33A88">
            <w:pPr>
              <w:pStyle w:val="NoSpacing"/>
            </w:pPr>
            <w:r w:rsidRPr="002620C8">
              <w:t>0.433***</w:t>
            </w:r>
          </w:p>
        </w:tc>
        <w:tc>
          <w:tcPr>
            <w:tcW w:w="604" w:type="pct"/>
            <w:hideMark/>
          </w:tcPr>
          <w:p w14:paraId="4B2B270F" w14:textId="77777777" w:rsidR="009C778C" w:rsidRPr="002620C8" w:rsidRDefault="009C778C" w:rsidP="00F33A88">
            <w:pPr>
              <w:pStyle w:val="NoSpacing"/>
            </w:pPr>
            <w:r w:rsidRPr="002620C8">
              <w:t>0.351***</w:t>
            </w:r>
          </w:p>
        </w:tc>
      </w:tr>
      <w:tr w:rsidR="001F01FF" w:rsidRPr="002620C8" w14:paraId="33FA7803" w14:textId="77777777" w:rsidTr="009B2C80">
        <w:tc>
          <w:tcPr>
            <w:tcW w:w="1781" w:type="pct"/>
            <w:hideMark/>
          </w:tcPr>
          <w:p w14:paraId="28CB277A" w14:textId="77777777" w:rsidR="009C778C" w:rsidRPr="002620C8" w:rsidRDefault="009C778C" w:rsidP="00F33A88">
            <w:pPr>
              <w:pStyle w:val="NoSpacing"/>
            </w:pPr>
          </w:p>
        </w:tc>
        <w:tc>
          <w:tcPr>
            <w:tcW w:w="402" w:type="pct"/>
            <w:hideMark/>
          </w:tcPr>
          <w:p w14:paraId="14B63928" w14:textId="77777777" w:rsidR="009C778C" w:rsidRPr="002620C8" w:rsidRDefault="009C778C" w:rsidP="00F33A88">
            <w:pPr>
              <w:pStyle w:val="NoSpacing"/>
            </w:pPr>
          </w:p>
        </w:tc>
        <w:tc>
          <w:tcPr>
            <w:tcW w:w="611" w:type="pct"/>
            <w:hideMark/>
          </w:tcPr>
          <w:p w14:paraId="2DBB7219" w14:textId="77777777" w:rsidR="009C778C" w:rsidRPr="002620C8" w:rsidRDefault="009C778C" w:rsidP="00F33A88">
            <w:pPr>
              <w:pStyle w:val="NoSpacing"/>
            </w:pPr>
            <w:r w:rsidRPr="002620C8">
              <w:t>(8.62)</w:t>
            </w:r>
          </w:p>
        </w:tc>
        <w:tc>
          <w:tcPr>
            <w:tcW w:w="604" w:type="pct"/>
            <w:hideMark/>
          </w:tcPr>
          <w:p w14:paraId="0B14F643" w14:textId="77777777" w:rsidR="009C778C" w:rsidRPr="002620C8" w:rsidRDefault="009C778C" w:rsidP="00F33A88">
            <w:pPr>
              <w:pStyle w:val="NoSpacing"/>
            </w:pPr>
            <w:r w:rsidRPr="002620C8">
              <w:t>(9.84)</w:t>
            </w:r>
          </w:p>
        </w:tc>
        <w:tc>
          <w:tcPr>
            <w:tcW w:w="395" w:type="pct"/>
            <w:hideMark/>
          </w:tcPr>
          <w:p w14:paraId="3E381F43" w14:textId="77777777" w:rsidR="009C778C" w:rsidRPr="002620C8" w:rsidRDefault="009C778C" w:rsidP="00F33A88">
            <w:pPr>
              <w:pStyle w:val="NoSpacing"/>
            </w:pPr>
          </w:p>
        </w:tc>
        <w:tc>
          <w:tcPr>
            <w:tcW w:w="604" w:type="pct"/>
            <w:hideMark/>
          </w:tcPr>
          <w:p w14:paraId="0A142CA7" w14:textId="77777777" w:rsidR="009C778C" w:rsidRPr="002620C8" w:rsidRDefault="009C778C" w:rsidP="00F33A88">
            <w:pPr>
              <w:pStyle w:val="NoSpacing"/>
            </w:pPr>
            <w:r w:rsidRPr="002620C8">
              <w:t>(11.22)</w:t>
            </w:r>
          </w:p>
        </w:tc>
        <w:tc>
          <w:tcPr>
            <w:tcW w:w="604" w:type="pct"/>
            <w:hideMark/>
          </w:tcPr>
          <w:p w14:paraId="4301B7F1" w14:textId="77777777" w:rsidR="009C778C" w:rsidRPr="002620C8" w:rsidRDefault="009C778C" w:rsidP="00F33A88">
            <w:pPr>
              <w:pStyle w:val="NoSpacing"/>
            </w:pPr>
            <w:r w:rsidRPr="002620C8">
              <w:t>(7.06)</w:t>
            </w:r>
          </w:p>
        </w:tc>
      </w:tr>
      <w:tr w:rsidR="001F01FF" w:rsidRPr="002620C8" w14:paraId="79A5088E" w14:textId="77777777" w:rsidTr="009B2C80">
        <w:tc>
          <w:tcPr>
            <w:tcW w:w="1781" w:type="pct"/>
            <w:hideMark/>
          </w:tcPr>
          <w:p w14:paraId="2ADACE4D" w14:textId="77777777" w:rsidR="009C778C" w:rsidRPr="002620C8" w:rsidRDefault="009C778C" w:rsidP="00F33A88">
            <w:pPr>
              <w:pStyle w:val="NoSpacing"/>
            </w:pPr>
            <w:proofErr w:type="spellStart"/>
            <w:r w:rsidRPr="002620C8">
              <w:t>CAPITAL_INTENSITY</w:t>
            </w:r>
            <w:r w:rsidRPr="002620C8">
              <w:rPr>
                <w:vertAlign w:val="subscript"/>
              </w:rPr>
              <w:t>t</w:t>
            </w:r>
            <w:proofErr w:type="spellEnd"/>
            <w:r w:rsidRPr="002620C8">
              <w:rPr>
                <w:vertAlign w:val="subscript"/>
              </w:rPr>
              <w:t> − 1</w:t>
            </w:r>
          </w:p>
        </w:tc>
        <w:tc>
          <w:tcPr>
            <w:tcW w:w="402" w:type="pct"/>
            <w:hideMark/>
          </w:tcPr>
          <w:p w14:paraId="27293731" w14:textId="77777777" w:rsidR="009C778C" w:rsidRPr="002620C8" w:rsidRDefault="009C778C" w:rsidP="00F33A88">
            <w:pPr>
              <w:pStyle w:val="NoSpacing"/>
            </w:pPr>
          </w:p>
        </w:tc>
        <w:tc>
          <w:tcPr>
            <w:tcW w:w="611" w:type="pct"/>
            <w:hideMark/>
          </w:tcPr>
          <w:p w14:paraId="733716C2" w14:textId="77777777" w:rsidR="009C778C" w:rsidRPr="002620C8" w:rsidRDefault="009C778C" w:rsidP="00F33A88">
            <w:pPr>
              <w:pStyle w:val="NoSpacing"/>
            </w:pPr>
            <w:r w:rsidRPr="002620C8">
              <w:t>− 0.237***</w:t>
            </w:r>
          </w:p>
        </w:tc>
        <w:tc>
          <w:tcPr>
            <w:tcW w:w="604" w:type="pct"/>
            <w:hideMark/>
          </w:tcPr>
          <w:p w14:paraId="23710704" w14:textId="77777777" w:rsidR="009C778C" w:rsidRPr="002620C8" w:rsidRDefault="009C778C" w:rsidP="00F33A88">
            <w:pPr>
              <w:pStyle w:val="NoSpacing"/>
            </w:pPr>
            <w:r w:rsidRPr="002620C8">
              <w:t>− 0.121***</w:t>
            </w:r>
          </w:p>
        </w:tc>
        <w:tc>
          <w:tcPr>
            <w:tcW w:w="395" w:type="pct"/>
            <w:hideMark/>
          </w:tcPr>
          <w:p w14:paraId="4226E5B7" w14:textId="77777777" w:rsidR="009C778C" w:rsidRPr="002620C8" w:rsidRDefault="009C778C" w:rsidP="00F33A88">
            <w:pPr>
              <w:pStyle w:val="NoSpacing"/>
            </w:pPr>
          </w:p>
        </w:tc>
        <w:tc>
          <w:tcPr>
            <w:tcW w:w="604" w:type="pct"/>
            <w:hideMark/>
          </w:tcPr>
          <w:p w14:paraId="69477F56" w14:textId="77777777" w:rsidR="009C778C" w:rsidRPr="002620C8" w:rsidRDefault="009C778C" w:rsidP="00F33A88">
            <w:pPr>
              <w:pStyle w:val="NoSpacing"/>
            </w:pPr>
            <w:r w:rsidRPr="002620C8">
              <w:t>− 0.132***</w:t>
            </w:r>
          </w:p>
        </w:tc>
        <w:tc>
          <w:tcPr>
            <w:tcW w:w="604" w:type="pct"/>
            <w:hideMark/>
          </w:tcPr>
          <w:p w14:paraId="76ECE89F" w14:textId="77777777" w:rsidR="009C778C" w:rsidRPr="002620C8" w:rsidRDefault="009C778C" w:rsidP="00F33A88">
            <w:pPr>
              <w:pStyle w:val="NoSpacing"/>
            </w:pPr>
            <w:r w:rsidRPr="002620C8">
              <w:t>− 0.254***</w:t>
            </w:r>
          </w:p>
        </w:tc>
      </w:tr>
      <w:tr w:rsidR="001F01FF" w:rsidRPr="002620C8" w14:paraId="38BD557C" w14:textId="77777777" w:rsidTr="009B2C80">
        <w:tc>
          <w:tcPr>
            <w:tcW w:w="1781" w:type="pct"/>
            <w:hideMark/>
          </w:tcPr>
          <w:p w14:paraId="4B4625E6" w14:textId="77777777" w:rsidR="009C778C" w:rsidRPr="002620C8" w:rsidRDefault="009C778C" w:rsidP="00F33A88">
            <w:pPr>
              <w:pStyle w:val="NoSpacing"/>
            </w:pPr>
          </w:p>
        </w:tc>
        <w:tc>
          <w:tcPr>
            <w:tcW w:w="402" w:type="pct"/>
            <w:hideMark/>
          </w:tcPr>
          <w:p w14:paraId="5D28BB33" w14:textId="77777777" w:rsidR="009C778C" w:rsidRPr="002620C8" w:rsidRDefault="009C778C" w:rsidP="00F33A88">
            <w:pPr>
              <w:pStyle w:val="NoSpacing"/>
            </w:pPr>
          </w:p>
        </w:tc>
        <w:tc>
          <w:tcPr>
            <w:tcW w:w="611" w:type="pct"/>
            <w:hideMark/>
          </w:tcPr>
          <w:p w14:paraId="7EA27AC6" w14:textId="77777777" w:rsidR="009C778C" w:rsidRPr="002620C8" w:rsidRDefault="009C778C" w:rsidP="00F33A88">
            <w:pPr>
              <w:pStyle w:val="NoSpacing"/>
            </w:pPr>
            <w:r w:rsidRPr="002620C8">
              <w:t>(− 10.37)</w:t>
            </w:r>
          </w:p>
        </w:tc>
        <w:tc>
          <w:tcPr>
            <w:tcW w:w="604" w:type="pct"/>
            <w:hideMark/>
          </w:tcPr>
          <w:p w14:paraId="3A4D09AC" w14:textId="77777777" w:rsidR="009C778C" w:rsidRPr="002620C8" w:rsidRDefault="009C778C" w:rsidP="00F33A88">
            <w:pPr>
              <w:pStyle w:val="NoSpacing"/>
            </w:pPr>
            <w:r w:rsidRPr="002620C8">
              <w:t>(− 9.10)</w:t>
            </w:r>
          </w:p>
        </w:tc>
        <w:tc>
          <w:tcPr>
            <w:tcW w:w="395" w:type="pct"/>
            <w:hideMark/>
          </w:tcPr>
          <w:p w14:paraId="3878DC2F" w14:textId="77777777" w:rsidR="009C778C" w:rsidRPr="002620C8" w:rsidRDefault="009C778C" w:rsidP="00F33A88">
            <w:pPr>
              <w:pStyle w:val="NoSpacing"/>
            </w:pPr>
          </w:p>
        </w:tc>
        <w:tc>
          <w:tcPr>
            <w:tcW w:w="604" w:type="pct"/>
            <w:hideMark/>
          </w:tcPr>
          <w:p w14:paraId="0FA3C29B" w14:textId="77777777" w:rsidR="009C778C" w:rsidRPr="002620C8" w:rsidRDefault="009C778C" w:rsidP="00F33A88">
            <w:pPr>
              <w:pStyle w:val="NoSpacing"/>
            </w:pPr>
            <w:r w:rsidRPr="002620C8">
              <w:t>(− 9.84)</w:t>
            </w:r>
          </w:p>
        </w:tc>
        <w:tc>
          <w:tcPr>
            <w:tcW w:w="604" w:type="pct"/>
            <w:hideMark/>
          </w:tcPr>
          <w:p w14:paraId="186D6B62" w14:textId="77777777" w:rsidR="009C778C" w:rsidRPr="002620C8" w:rsidRDefault="009C778C" w:rsidP="00F33A88">
            <w:pPr>
              <w:pStyle w:val="NoSpacing"/>
            </w:pPr>
            <w:r w:rsidRPr="002620C8">
              <w:t>(− 10.68)</w:t>
            </w:r>
          </w:p>
        </w:tc>
      </w:tr>
      <w:tr w:rsidR="001F01FF" w:rsidRPr="002620C8" w14:paraId="46091A88" w14:textId="77777777" w:rsidTr="009B2C80">
        <w:tc>
          <w:tcPr>
            <w:tcW w:w="1781" w:type="pct"/>
            <w:hideMark/>
          </w:tcPr>
          <w:p w14:paraId="52854971" w14:textId="77777777" w:rsidR="009C778C" w:rsidRPr="002620C8" w:rsidRDefault="009C778C" w:rsidP="00F33A88">
            <w:pPr>
              <w:pStyle w:val="NoSpacing"/>
            </w:pPr>
            <w:proofErr w:type="spellStart"/>
            <w:r w:rsidRPr="002620C8">
              <w:t>ANALYST</w:t>
            </w:r>
            <w:r w:rsidRPr="002620C8">
              <w:rPr>
                <w:vertAlign w:val="subscript"/>
              </w:rPr>
              <w:t>t</w:t>
            </w:r>
            <w:proofErr w:type="spellEnd"/>
            <w:r w:rsidRPr="002620C8">
              <w:rPr>
                <w:vertAlign w:val="subscript"/>
              </w:rPr>
              <w:t> − 1</w:t>
            </w:r>
          </w:p>
        </w:tc>
        <w:tc>
          <w:tcPr>
            <w:tcW w:w="402" w:type="pct"/>
            <w:hideMark/>
          </w:tcPr>
          <w:p w14:paraId="5E5F5442" w14:textId="77777777" w:rsidR="009C778C" w:rsidRPr="002620C8" w:rsidRDefault="009C778C" w:rsidP="00F33A88">
            <w:pPr>
              <w:pStyle w:val="NoSpacing"/>
            </w:pPr>
          </w:p>
        </w:tc>
        <w:tc>
          <w:tcPr>
            <w:tcW w:w="611" w:type="pct"/>
            <w:hideMark/>
          </w:tcPr>
          <w:p w14:paraId="0A304A83" w14:textId="77777777" w:rsidR="009C778C" w:rsidRPr="002620C8" w:rsidRDefault="009C778C" w:rsidP="00F33A88">
            <w:pPr>
              <w:pStyle w:val="NoSpacing"/>
            </w:pPr>
            <w:r w:rsidRPr="002620C8">
              <w:t>− 0.021***</w:t>
            </w:r>
          </w:p>
        </w:tc>
        <w:tc>
          <w:tcPr>
            <w:tcW w:w="604" w:type="pct"/>
            <w:hideMark/>
          </w:tcPr>
          <w:p w14:paraId="79A73198" w14:textId="77777777" w:rsidR="009C778C" w:rsidRPr="002620C8" w:rsidRDefault="009C778C" w:rsidP="00F33A88">
            <w:pPr>
              <w:pStyle w:val="NoSpacing"/>
            </w:pPr>
            <w:r w:rsidRPr="002620C8">
              <w:t>− 0.006</w:t>
            </w:r>
          </w:p>
        </w:tc>
        <w:tc>
          <w:tcPr>
            <w:tcW w:w="395" w:type="pct"/>
            <w:hideMark/>
          </w:tcPr>
          <w:p w14:paraId="1E26824A" w14:textId="77777777" w:rsidR="009C778C" w:rsidRPr="002620C8" w:rsidRDefault="009C778C" w:rsidP="00F33A88">
            <w:pPr>
              <w:pStyle w:val="NoSpacing"/>
            </w:pPr>
          </w:p>
        </w:tc>
        <w:tc>
          <w:tcPr>
            <w:tcW w:w="604" w:type="pct"/>
            <w:hideMark/>
          </w:tcPr>
          <w:p w14:paraId="46612447" w14:textId="77777777" w:rsidR="009C778C" w:rsidRPr="002620C8" w:rsidRDefault="009C778C" w:rsidP="00F33A88">
            <w:pPr>
              <w:pStyle w:val="NoSpacing"/>
            </w:pPr>
            <w:r w:rsidRPr="002620C8">
              <w:t>− 0.008**</w:t>
            </w:r>
          </w:p>
        </w:tc>
        <w:tc>
          <w:tcPr>
            <w:tcW w:w="604" w:type="pct"/>
            <w:hideMark/>
          </w:tcPr>
          <w:p w14:paraId="17B99801" w14:textId="77777777" w:rsidR="009C778C" w:rsidRPr="002620C8" w:rsidRDefault="009C778C" w:rsidP="00F33A88">
            <w:pPr>
              <w:pStyle w:val="NoSpacing"/>
            </w:pPr>
            <w:r w:rsidRPr="002620C8">
              <w:t>− 0.015**</w:t>
            </w:r>
          </w:p>
        </w:tc>
      </w:tr>
      <w:tr w:rsidR="001F01FF" w:rsidRPr="002620C8" w14:paraId="67A3852F" w14:textId="77777777" w:rsidTr="009B2C80">
        <w:tc>
          <w:tcPr>
            <w:tcW w:w="1781" w:type="pct"/>
            <w:hideMark/>
          </w:tcPr>
          <w:p w14:paraId="664BA7C6" w14:textId="77777777" w:rsidR="009C778C" w:rsidRPr="002620C8" w:rsidRDefault="009C778C" w:rsidP="00F33A88">
            <w:pPr>
              <w:pStyle w:val="NoSpacing"/>
            </w:pPr>
          </w:p>
        </w:tc>
        <w:tc>
          <w:tcPr>
            <w:tcW w:w="402" w:type="pct"/>
            <w:hideMark/>
          </w:tcPr>
          <w:p w14:paraId="7F7044FF" w14:textId="77777777" w:rsidR="009C778C" w:rsidRPr="002620C8" w:rsidRDefault="009C778C" w:rsidP="00F33A88">
            <w:pPr>
              <w:pStyle w:val="NoSpacing"/>
            </w:pPr>
          </w:p>
        </w:tc>
        <w:tc>
          <w:tcPr>
            <w:tcW w:w="611" w:type="pct"/>
            <w:hideMark/>
          </w:tcPr>
          <w:p w14:paraId="1113E453" w14:textId="77777777" w:rsidR="009C778C" w:rsidRPr="002620C8" w:rsidRDefault="009C778C" w:rsidP="00F33A88">
            <w:pPr>
              <w:pStyle w:val="NoSpacing"/>
            </w:pPr>
            <w:r w:rsidRPr="002620C8">
              <w:t>(− 3.50)</w:t>
            </w:r>
          </w:p>
        </w:tc>
        <w:tc>
          <w:tcPr>
            <w:tcW w:w="604" w:type="pct"/>
            <w:hideMark/>
          </w:tcPr>
          <w:p w14:paraId="432AF707" w14:textId="77777777" w:rsidR="009C778C" w:rsidRPr="002620C8" w:rsidRDefault="009C778C" w:rsidP="00F33A88">
            <w:pPr>
              <w:pStyle w:val="NoSpacing"/>
            </w:pPr>
            <w:r w:rsidRPr="002620C8">
              <w:t>(− 1.46)</w:t>
            </w:r>
          </w:p>
        </w:tc>
        <w:tc>
          <w:tcPr>
            <w:tcW w:w="395" w:type="pct"/>
            <w:hideMark/>
          </w:tcPr>
          <w:p w14:paraId="6253AE31" w14:textId="77777777" w:rsidR="009C778C" w:rsidRPr="002620C8" w:rsidRDefault="009C778C" w:rsidP="00F33A88">
            <w:pPr>
              <w:pStyle w:val="NoSpacing"/>
            </w:pPr>
          </w:p>
        </w:tc>
        <w:tc>
          <w:tcPr>
            <w:tcW w:w="604" w:type="pct"/>
            <w:hideMark/>
          </w:tcPr>
          <w:p w14:paraId="3F4E8829" w14:textId="77777777" w:rsidR="009C778C" w:rsidRPr="002620C8" w:rsidRDefault="009C778C" w:rsidP="00F33A88">
            <w:pPr>
              <w:pStyle w:val="NoSpacing"/>
            </w:pPr>
            <w:r w:rsidRPr="002620C8">
              <w:t>(− 2.11)</w:t>
            </w:r>
          </w:p>
        </w:tc>
        <w:tc>
          <w:tcPr>
            <w:tcW w:w="604" w:type="pct"/>
            <w:hideMark/>
          </w:tcPr>
          <w:p w14:paraId="42CA581F" w14:textId="77777777" w:rsidR="009C778C" w:rsidRPr="002620C8" w:rsidRDefault="009C778C" w:rsidP="00F33A88">
            <w:pPr>
              <w:pStyle w:val="NoSpacing"/>
            </w:pPr>
            <w:r w:rsidRPr="002620C8">
              <w:t>(− 2.11)</w:t>
            </w:r>
          </w:p>
        </w:tc>
      </w:tr>
      <w:tr w:rsidR="001F01FF" w:rsidRPr="002620C8" w14:paraId="7A995DC4" w14:textId="77777777" w:rsidTr="009B2C80">
        <w:tc>
          <w:tcPr>
            <w:tcW w:w="1781" w:type="pct"/>
            <w:hideMark/>
          </w:tcPr>
          <w:p w14:paraId="073959CF" w14:textId="77777777" w:rsidR="009C778C" w:rsidRPr="002620C8" w:rsidRDefault="009C778C" w:rsidP="00F33A88">
            <w:pPr>
              <w:pStyle w:val="NoSpacing"/>
            </w:pPr>
            <w:proofErr w:type="spellStart"/>
            <w:r w:rsidRPr="002620C8">
              <w:t>ACC_STANDARD</w:t>
            </w:r>
            <w:r w:rsidRPr="002620C8">
              <w:rPr>
                <w:vertAlign w:val="subscript"/>
              </w:rPr>
              <w:t>t</w:t>
            </w:r>
            <w:proofErr w:type="spellEnd"/>
            <w:r w:rsidRPr="002620C8">
              <w:rPr>
                <w:vertAlign w:val="subscript"/>
              </w:rPr>
              <w:t> − 1</w:t>
            </w:r>
          </w:p>
        </w:tc>
        <w:tc>
          <w:tcPr>
            <w:tcW w:w="402" w:type="pct"/>
            <w:hideMark/>
          </w:tcPr>
          <w:p w14:paraId="3E3705BC" w14:textId="77777777" w:rsidR="009C778C" w:rsidRPr="002620C8" w:rsidRDefault="009C778C" w:rsidP="00F33A88">
            <w:pPr>
              <w:pStyle w:val="NoSpacing"/>
            </w:pPr>
          </w:p>
        </w:tc>
        <w:tc>
          <w:tcPr>
            <w:tcW w:w="611" w:type="pct"/>
            <w:hideMark/>
          </w:tcPr>
          <w:p w14:paraId="5FE3C53A" w14:textId="77777777" w:rsidR="009C778C" w:rsidRPr="002620C8" w:rsidRDefault="009C778C" w:rsidP="00F33A88">
            <w:pPr>
              <w:pStyle w:val="NoSpacing"/>
            </w:pPr>
            <w:r w:rsidRPr="002620C8">
              <w:t>0.007</w:t>
            </w:r>
          </w:p>
        </w:tc>
        <w:tc>
          <w:tcPr>
            <w:tcW w:w="604" w:type="pct"/>
            <w:hideMark/>
          </w:tcPr>
          <w:p w14:paraId="40122A4C" w14:textId="77777777" w:rsidR="009C778C" w:rsidRPr="002620C8" w:rsidRDefault="009C778C" w:rsidP="00F33A88">
            <w:pPr>
              <w:pStyle w:val="NoSpacing"/>
            </w:pPr>
            <w:r w:rsidRPr="002620C8">
              <w:t>0.030**</w:t>
            </w:r>
          </w:p>
        </w:tc>
        <w:tc>
          <w:tcPr>
            <w:tcW w:w="395" w:type="pct"/>
            <w:hideMark/>
          </w:tcPr>
          <w:p w14:paraId="13ED727D" w14:textId="77777777" w:rsidR="009C778C" w:rsidRPr="002620C8" w:rsidRDefault="009C778C" w:rsidP="00F33A88">
            <w:pPr>
              <w:pStyle w:val="NoSpacing"/>
            </w:pPr>
          </w:p>
        </w:tc>
        <w:tc>
          <w:tcPr>
            <w:tcW w:w="604" w:type="pct"/>
            <w:hideMark/>
          </w:tcPr>
          <w:p w14:paraId="174DE6D3" w14:textId="77777777" w:rsidR="009C778C" w:rsidRPr="002620C8" w:rsidRDefault="009C778C" w:rsidP="00F33A88">
            <w:pPr>
              <w:pStyle w:val="NoSpacing"/>
            </w:pPr>
            <w:r w:rsidRPr="002620C8">
              <w:t>0.019</w:t>
            </w:r>
          </w:p>
        </w:tc>
        <w:tc>
          <w:tcPr>
            <w:tcW w:w="604" w:type="pct"/>
            <w:hideMark/>
          </w:tcPr>
          <w:p w14:paraId="229CF616" w14:textId="77777777" w:rsidR="009C778C" w:rsidRPr="002620C8" w:rsidRDefault="009C778C" w:rsidP="00F33A88">
            <w:pPr>
              <w:pStyle w:val="NoSpacing"/>
            </w:pPr>
            <w:r w:rsidRPr="002620C8">
              <w:t>0.007</w:t>
            </w:r>
          </w:p>
        </w:tc>
      </w:tr>
      <w:tr w:rsidR="001F01FF" w:rsidRPr="002620C8" w14:paraId="4DB0E465" w14:textId="77777777" w:rsidTr="009B2C80">
        <w:tc>
          <w:tcPr>
            <w:tcW w:w="1781" w:type="pct"/>
            <w:hideMark/>
          </w:tcPr>
          <w:p w14:paraId="68AF15BF" w14:textId="77777777" w:rsidR="009C778C" w:rsidRPr="002620C8" w:rsidRDefault="009C778C" w:rsidP="00F33A88">
            <w:pPr>
              <w:pStyle w:val="NoSpacing"/>
            </w:pPr>
          </w:p>
        </w:tc>
        <w:tc>
          <w:tcPr>
            <w:tcW w:w="402" w:type="pct"/>
            <w:hideMark/>
          </w:tcPr>
          <w:p w14:paraId="1FE22FCF" w14:textId="77777777" w:rsidR="009C778C" w:rsidRPr="002620C8" w:rsidRDefault="009C778C" w:rsidP="00F33A88">
            <w:pPr>
              <w:pStyle w:val="NoSpacing"/>
            </w:pPr>
          </w:p>
        </w:tc>
        <w:tc>
          <w:tcPr>
            <w:tcW w:w="611" w:type="pct"/>
            <w:hideMark/>
          </w:tcPr>
          <w:p w14:paraId="4350CF7F" w14:textId="77777777" w:rsidR="009C778C" w:rsidRPr="002620C8" w:rsidRDefault="009C778C" w:rsidP="00F33A88">
            <w:pPr>
              <w:pStyle w:val="NoSpacing"/>
            </w:pPr>
            <w:r w:rsidRPr="002620C8">
              <w:t>(0.32)</w:t>
            </w:r>
          </w:p>
        </w:tc>
        <w:tc>
          <w:tcPr>
            <w:tcW w:w="604" w:type="pct"/>
            <w:hideMark/>
          </w:tcPr>
          <w:p w14:paraId="0E3516ED" w14:textId="77777777" w:rsidR="009C778C" w:rsidRPr="002620C8" w:rsidRDefault="009C778C" w:rsidP="00F33A88">
            <w:pPr>
              <w:pStyle w:val="NoSpacing"/>
            </w:pPr>
            <w:r w:rsidRPr="002620C8">
              <w:t>(2.08)</w:t>
            </w:r>
          </w:p>
        </w:tc>
        <w:tc>
          <w:tcPr>
            <w:tcW w:w="395" w:type="pct"/>
            <w:hideMark/>
          </w:tcPr>
          <w:p w14:paraId="25BD4922" w14:textId="77777777" w:rsidR="009C778C" w:rsidRPr="002620C8" w:rsidRDefault="009C778C" w:rsidP="00F33A88">
            <w:pPr>
              <w:pStyle w:val="NoSpacing"/>
            </w:pPr>
          </w:p>
        </w:tc>
        <w:tc>
          <w:tcPr>
            <w:tcW w:w="604" w:type="pct"/>
            <w:hideMark/>
          </w:tcPr>
          <w:p w14:paraId="69AB5851" w14:textId="77777777" w:rsidR="009C778C" w:rsidRPr="002620C8" w:rsidRDefault="009C778C" w:rsidP="00F33A88">
            <w:pPr>
              <w:pStyle w:val="NoSpacing"/>
            </w:pPr>
            <w:r w:rsidRPr="002620C8">
              <w:t>(1.16)</w:t>
            </w:r>
          </w:p>
        </w:tc>
        <w:tc>
          <w:tcPr>
            <w:tcW w:w="604" w:type="pct"/>
            <w:hideMark/>
          </w:tcPr>
          <w:p w14:paraId="6D6819C1" w14:textId="77777777" w:rsidR="009C778C" w:rsidRPr="002620C8" w:rsidRDefault="009C778C" w:rsidP="00F33A88">
            <w:pPr>
              <w:pStyle w:val="NoSpacing"/>
            </w:pPr>
            <w:r w:rsidRPr="002620C8">
              <w:t>(0.33)</w:t>
            </w:r>
          </w:p>
        </w:tc>
      </w:tr>
      <w:tr w:rsidR="001F01FF" w:rsidRPr="002620C8" w14:paraId="7D37BFBB" w14:textId="77777777" w:rsidTr="009B2C80">
        <w:tc>
          <w:tcPr>
            <w:tcW w:w="1781" w:type="pct"/>
            <w:hideMark/>
          </w:tcPr>
          <w:p w14:paraId="1636C418" w14:textId="77777777" w:rsidR="009C778C" w:rsidRPr="002620C8" w:rsidRDefault="009C778C" w:rsidP="00F33A88">
            <w:pPr>
              <w:pStyle w:val="NoSpacing"/>
            </w:pPr>
            <w:proofErr w:type="spellStart"/>
            <w:r w:rsidRPr="002620C8">
              <w:t>GDPGROWTH</w:t>
            </w:r>
            <w:r w:rsidRPr="002620C8">
              <w:rPr>
                <w:vertAlign w:val="subscript"/>
              </w:rPr>
              <w:t>t</w:t>
            </w:r>
            <w:proofErr w:type="spellEnd"/>
            <w:r w:rsidRPr="002620C8">
              <w:rPr>
                <w:vertAlign w:val="subscript"/>
              </w:rPr>
              <w:t> − 1</w:t>
            </w:r>
          </w:p>
        </w:tc>
        <w:tc>
          <w:tcPr>
            <w:tcW w:w="402" w:type="pct"/>
            <w:hideMark/>
          </w:tcPr>
          <w:p w14:paraId="4E0D988C" w14:textId="77777777" w:rsidR="009C778C" w:rsidRPr="002620C8" w:rsidRDefault="009C778C" w:rsidP="00F33A88">
            <w:pPr>
              <w:pStyle w:val="NoSpacing"/>
            </w:pPr>
          </w:p>
        </w:tc>
        <w:tc>
          <w:tcPr>
            <w:tcW w:w="611" w:type="pct"/>
            <w:hideMark/>
          </w:tcPr>
          <w:p w14:paraId="7AA205CD" w14:textId="77777777" w:rsidR="009C778C" w:rsidRPr="002620C8" w:rsidRDefault="009C778C" w:rsidP="00F33A88">
            <w:pPr>
              <w:pStyle w:val="NoSpacing"/>
            </w:pPr>
            <w:r w:rsidRPr="002620C8">
              <w:t>− 0.273</w:t>
            </w:r>
          </w:p>
        </w:tc>
        <w:tc>
          <w:tcPr>
            <w:tcW w:w="604" w:type="pct"/>
            <w:hideMark/>
          </w:tcPr>
          <w:p w14:paraId="34C58C99" w14:textId="77777777" w:rsidR="009C778C" w:rsidRPr="002620C8" w:rsidRDefault="009C778C" w:rsidP="00F33A88">
            <w:pPr>
              <w:pStyle w:val="NoSpacing"/>
            </w:pPr>
            <w:r w:rsidRPr="002620C8">
              <w:t>− 0.941**</w:t>
            </w:r>
          </w:p>
        </w:tc>
        <w:tc>
          <w:tcPr>
            <w:tcW w:w="395" w:type="pct"/>
            <w:hideMark/>
          </w:tcPr>
          <w:p w14:paraId="19AF9EA1" w14:textId="77777777" w:rsidR="009C778C" w:rsidRPr="002620C8" w:rsidRDefault="009C778C" w:rsidP="00F33A88">
            <w:pPr>
              <w:pStyle w:val="NoSpacing"/>
            </w:pPr>
          </w:p>
        </w:tc>
        <w:tc>
          <w:tcPr>
            <w:tcW w:w="604" w:type="pct"/>
            <w:hideMark/>
          </w:tcPr>
          <w:p w14:paraId="01654030" w14:textId="77777777" w:rsidR="009C778C" w:rsidRPr="002620C8" w:rsidRDefault="009C778C" w:rsidP="00F33A88">
            <w:pPr>
              <w:pStyle w:val="NoSpacing"/>
            </w:pPr>
            <w:r w:rsidRPr="002620C8">
              <w:t>− 1.348***</w:t>
            </w:r>
          </w:p>
        </w:tc>
        <w:tc>
          <w:tcPr>
            <w:tcW w:w="604" w:type="pct"/>
            <w:hideMark/>
          </w:tcPr>
          <w:p w14:paraId="245C1FAC" w14:textId="77777777" w:rsidR="009C778C" w:rsidRPr="002620C8" w:rsidRDefault="009C778C" w:rsidP="00F33A88">
            <w:pPr>
              <w:pStyle w:val="NoSpacing"/>
            </w:pPr>
            <w:r w:rsidRPr="002620C8">
              <w:t>1.829***</w:t>
            </w:r>
          </w:p>
        </w:tc>
      </w:tr>
      <w:tr w:rsidR="001F01FF" w:rsidRPr="002620C8" w14:paraId="3100B196" w14:textId="77777777" w:rsidTr="009B2C80">
        <w:tc>
          <w:tcPr>
            <w:tcW w:w="1781" w:type="pct"/>
            <w:hideMark/>
          </w:tcPr>
          <w:p w14:paraId="5EC361C1" w14:textId="77777777" w:rsidR="009C778C" w:rsidRPr="002620C8" w:rsidRDefault="009C778C" w:rsidP="00F33A88">
            <w:pPr>
              <w:pStyle w:val="NoSpacing"/>
            </w:pPr>
          </w:p>
        </w:tc>
        <w:tc>
          <w:tcPr>
            <w:tcW w:w="402" w:type="pct"/>
            <w:hideMark/>
          </w:tcPr>
          <w:p w14:paraId="088A123E" w14:textId="77777777" w:rsidR="009C778C" w:rsidRPr="002620C8" w:rsidRDefault="009C778C" w:rsidP="00F33A88">
            <w:pPr>
              <w:pStyle w:val="NoSpacing"/>
            </w:pPr>
          </w:p>
        </w:tc>
        <w:tc>
          <w:tcPr>
            <w:tcW w:w="611" w:type="pct"/>
            <w:hideMark/>
          </w:tcPr>
          <w:p w14:paraId="33EA81EE" w14:textId="77777777" w:rsidR="009C778C" w:rsidRPr="002620C8" w:rsidRDefault="009C778C" w:rsidP="00F33A88">
            <w:pPr>
              <w:pStyle w:val="NoSpacing"/>
            </w:pPr>
            <w:r w:rsidRPr="002620C8">
              <w:t>(− 0.71)</w:t>
            </w:r>
          </w:p>
        </w:tc>
        <w:tc>
          <w:tcPr>
            <w:tcW w:w="604" w:type="pct"/>
            <w:hideMark/>
          </w:tcPr>
          <w:p w14:paraId="46876426" w14:textId="77777777" w:rsidR="009C778C" w:rsidRPr="002620C8" w:rsidRDefault="009C778C" w:rsidP="00F33A88">
            <w:pPr>
              <w:pStyle w:val="NoSpacing"/>
            </w:pPr>
            <w:r w:rsidRPr="002620C8">
              <w:t>(− 2.29)</w:t>
            </w:r>
          </w:p>
        </w:tc>
        <w:tc>
          <w:tcPr>
            <w:tcW w:w="395" w:type="pct"/>
            <w:hideMark/>
          </w:tcPr>
          <w:p w14:paraId="5319D3BB" w14:textId="77777777" w:rsidR="009C778C" w:rsidRPr="002620C8" w:rsidRDefault="009C778C" w:rsidP="00F33A88">
            <w:pPr>
              <w:pStyle w:val="NoSpacing"/>
            </w:pPr>
          </w:p>
        </w:tc>
        <w:tc>
          <w:tcPr>
            <w:tcW w:w="604" w:type="pct"/>
            <w:hideMark/>
          </w:tcPr>
          <w:p w14:paraId="20DC832E" w14:textId="77777777" w:rsidR="009C778C" w:rsidRPr="002620C8" w:rsidRDefault="009C778C" w:rsidP="00F33A88">
            <w:pPr>
              <w:pStyle w:val="NoSpacing"/>
            </w:pPr>
            <w:r w:rsidRPr="002620C8">
              <w:t>(− 4.12)</w:t>
            </w:r>
          </w:p>
        </w:tc>
        <w:tc>
          <w:tcPr>
            <w:tcW w:w="604" w:type="pct"/>
            <w:hideMark/>
          </w:tcPr>
          <w:p w14:paraId="46A131CF" w14:textId="77777777" w:rsidR="009C778C" w:rsidRPr="002620C8" w:rsidRDefault="009C778C" w:rsidP="00F33A88">
            <w:pPr>
              <w:pStyle w:val="NoSpacing"/>
            </w:pPr>
            <w:r w:rsidRPr="002620C8">
              <w:t>(3.26)</w:t>
            </w:r>
          </w:p>
        </w:tc>
      </w:tr>
      <w:tr w:rsidR="001F01FF" w:rsidRPr="002620C8" w14:paraId="53D61A09" w14:textId="77777777" w:rsidTr="009B2C80">
        <w:tc>
          <w:tcPr>
            <w:tcW w:w="1781" w:type="pct"/>
            <w:hideMark/>
          </w:tcPr>
          <w:p w14:paraId="02A983BD" w14:textId="77777777" w:rsidR="009C778C" w:rsidRPr="002620C8" w:rsidRDefault="009C778C" w:rsidP="00F33A88">
            <w:pPr>
              <w:pStyle w:val="NoSpacing"/>
            </w:pPr>
            <w:proofErr w:type="spellStart"/>
            <w:r w:rsidRPr="002620C8">
              <w:t>INFLATION</w:t>
            </w:r>
            <w:r w:rsidRPr="002620C8">
              <w:rPr>
                <w:vertAlign w:val="subscript"/>
              </w:rPr>
              <w:t>t</w:t>
            </w:r>
            <w:proofErr w:type="spellEnd"/>
            <w:r w:rsidRPr="002620C8">
              <w:rPr>
                <w:vertAlign w:val="subscript"/>
              </w:rPr>
              <w:t> − 1</w:t>
            </w:r>
          </w:p>
        </w:tc>
        <w:tc>
          <w:tcPr>
            <w:tcW w:w="402" w:type="pct"/>
            <w:hideMark/>
          </w:tcPr>
          <w:p w14:paraId="3C2F9EA3" w14:textId="77777777" w:rsidR="009C778C" w:rsidRPr="002620C8" w:rsidRDefault="009C778C" w:rsidP="00F33A88">
            <w:pPr>
              <w:pStyle w:val="NoSpacing"/>
            </w:pPr>
          </w:p>
        </w:tc>
        <w:tc>
          <w:tcPr>
            <w:tcW w:w="611" w:type="pct"/>
            <w:hideMark/>
          </w:tcPr>
          <w:p w14:paraId="09E596CE" w14:textId="77777777" w:rsidR="009C778C" w:rsidRPr="002620C8" w:rsidRDefault="009C778C" w:rsidP="00F33A88">
            <w:pPr>
              <w:pStyle w:val="NoSpacing"/>
            </w:pPr>
            <w:r w:rsidRPr="002620C8">
              <w:t>0.506</w:t>
            </w:r>
          </w:p>
        </w:tc>
        <w:tc>
          <w:tcPr>
            <w:tcW w:w="604" w:type="pct"/>
            <w:hideMark/>
          </w:tcPr>
          <w:p w14:paraId="47D7212C" w14:textId="77777777" w:rsidR="009C778C" w:rsidRPr="002620C8" w:rsidRDefault="009C778C" w:rsidP="00F33A88">
            <w:pPr>
              <w:pStyle w:val="NoSpacing"/>
            </w:pPr>
            <w:r w:rsidRPr="002620C8">
              <w:t>1.542**</w:t>
            </w:r>
          </w:p>
        </w:tc>
        <w:tc>
          <w:tcPr>
            <w:tcW w:w="395" w:type="pct"/>
            <w:hideMark/>
          </w:tcPr>
          <w:p w14:paraId="232061A3" w14:textId="77777777" w:rsidR="009C778C" w:rsidRPr="002620C8" w:rsidRDefault="009C778C" w:rsidP="00F33A88">
            <w:pPr>
              <w:pStyle w:val="NoSpacing"/>
            </w:pPr>
          </w:p>
        </w:tc>
        <w:tc>
          <w:tcPr>
            <w:tcW w:w="604" w:type="pct"/>
            <w:hideMark/>
          </w:tcPr>
          <w:p w14:paraId="2C4E7D16" w14:textId="77777777" w:rsidR="009C778C" w:rsidRPr="002620C8" w:rsidRDefault="009C778C" w:rsidP="00F33A88">
            <w:pPr>
              <w:pStyle w:val="NoSpacing"/>
            </w:pPr>
            <w:r w:rsidRPr="002620C8">
              <w:t>1.598***</w:t>
            </w:r>
          </w:p>
        </w:tc>
        <w:tc>
          <w:tcPr>
            <w:tcW w:w="604" w:type="pct"/>
            <w:hideMark/>
          </w:tcPr>
          <w:p w14:paraId="5A218AC9" w14:textId="77777777" w:rsidR="009C778C" w:rsidRPr="002620C8" w:rsidRDefault="009C778C" w:rsidP="00F33A88">
            <w:pPr>
              <w:pStyle w:val="NoSpacing"/>
            </w:pPr>
            <w:r w:rsidRPr="002620C8">
              <w:t>0.258</w:t>
            </w:r>
          </w:p>
        </w:tc>
      </w:tr>
      <w:tr w:rsidR="001F01FF" w:rsidRPr="002620C8" w14:paraId="3CD96902" w14:textId="77777777" w:rsidTr="009B2C80">
        <w:tc>
          <w:tcPr>
            <w:tcW w:w="1781" w:type="pct"/>
            <w:hideMark/>
          </w:tcPr>
          <w:p w14:paraId="57B19D04" w14:textId="77777777" w:rsidR="009C778C" w:rsidRPr="002620C8" w:rsidRDefault="009C778C" w:rsidP="00F33A88">
            <w:pPr>
              <w:pStyle w:val="NoSpacing"/>
            </w:pPr>
          </w:p>
        </w:tc>
        <w:tc>
          <w:tcPr>
            <w:tcW w:w="402" w:type="pct"/>
            <w:hideMark/>
          </w:tcPr>
          <w:p w14:paraId="53E182CF" w14:textId="77777777" w:rsidR="009C778C" w:rsidRPr="002620C8" w:rsidRDefault="009C778C" w:rsidP="00F33A88">
            <w:pPr>
              <w:pStyle w:val="NoSpacing"/>
            </w:pPr>
          </w:p>
        </w:tc>
        <w:tc>
          <w:tcPr>
            <w:tcW w:w="611" w:type="pct"/>
            <w:hideMark/>
          </w:tcPr>
          <w:p w14:paraId="0D642FAC" w14:textId="77777777" w:rsidR="009C778C" w:rsidRPr="002620C8" w:rsidRDefault="009C778C" w:rsidP="00F33A88">
            <w:pPr>
              <w:pStyle w:val="NoSpacing"/>
            </w:pPr>
            <w:r w:rsidRPr="002620C8">
              <w:t>(− 1.96)</w:t>
            </w:r>
          </w:p>
        </w:tc>
        <w:tc>
          <w:tcPr>
            <w:tcW w:w="604" w:type="pct"/>
            <w:hideMark/>
          </w:tcPr>
          <w:p w14:paraId="57857F3F" w14:textId="77777777" w:rsidR="009C778C" w:rsidRPr="002620C8" w:rsidRDefault="009C778C" w:rsidP="00F33A88">
            <w:pPr>
              <w:pStyle w:val="NoSpacing"/>
            </w:pPr>
            <w:r w:rsidRPr="002620C8">
              <w:t>(− 1.22)</w:t>
            </w:r>
          </w:p>
        </w:tc>
        <w:tc>
          <w:tcPr>
            <w:tcW w:w="395" w:type="pct"/>
            <w:hideMark/>
          </w:tcPr>
          <w:p w14:paraId="376F82B5" w14:textId="77777777" w:rsidR="009C778C" w:rsidRPr="002620C8" w:rsidRDefault="009C778C" w:rsidP="00F33A88">
            <w:pPr>
              <w:pStyle w:val="NoSpacing"/>
            </w:pPr>
          </w:p>
        </w:tc>
        <w:tc>
          <w:tcPr>
            <w:tcW w:w="604" w:type="pct"/>
            <w:hideMark/>
          </w:tcPr>
          <w:p w14:paraId="4BF62608" w14:textId="77777777" w:rsidR="009C778C" w:rsidRPr="002620C8" w:rsidRDefault="009C778C" w:rsidP="00F33A88">
            <w:pPr>
              <w:pStyle w:val="NoSpacing"/>
            </w:pPr>
            <w:r w:rsidRPr="002620C8">
              <w:t>(3.17)</w:t>
            </w:r>
          </w:p>
        </w:tc>
        <w:tc>
          <w:tcPr>
            <w:tcW w:w="604" w:type="pct"/>
            <w:hideMark/>
          </w:tcPr>
          <w:p w14:paraId="3D1DD74D" w14:textId="77777777" w:rsidR="009C778C" w:rsidRPr="002620C8" w:rsidRDefault="009C778C" w:rsidP="00F33A88">
            <w:pPr>
              <w:pStyle w:val="NoSpacing"/>
            </w:pPr>
            <w:r w:rsidRPr="002620C8">
              <w:t>(0.46)</w:t>
            </w:r>
          </w:p>
        </w:tc>
      </w:tr>
      <w:tr w:rsidR="001F01FF" w:rsidRPr="002620C8" w14:paraId="5326D255" w14:textId="77777777" w:rsidTr="009B2C80">
        <w:tc>
          <w:tcPr>
            <w:tcW w:w="1781" w:type="pct"/>
            <w:hideMark/>
          </w:tcPr>
          <w:p w14:paraId="7B9E48DD" w14:textId="77777777" w:rsidR="009C778C" w:rsidRPr="002620C8" w:rsidRDefault="009C778C" w:rsidP="00F33A88">
            <w:pPr>
              <w:pStyle w:val="NoSpacing"/>
            </w:pPr>
            <w:r w:rsidRPr="002620C8">
              <w:t>CONSTANT, YEAR,</w:t>
            </w:r>
            <w:r w:rsidRPr="002620C8">
              <w:br/>
              <w:t>INDUSTRY &amp; COUNTRY FE</w:t>
            </w:r>
          </w:p>
        </w:tc>
        <w:tc>
          <w:tcPr>
            <w:tcW w:w="402" w:type="pct"/>
            <w:hideMark/>
          </w:tcPr>
          <w:p w14:paraId="025E5002" w14:textId="77777777" w:rsidR="009C778C" w:rsidRPr="002620C8" w:rsidRDefault="009C778C" w:rsidP="00F33A88">
            <w:pPr>
              <w:pStyle w:val="NoSpacing"/>
            </w:pPr>
          </w:p>
        </w:tc>
        <w:tc>
          <w:tcPr>
            <w:tcW w:w="611" w:type="pct"/>
            <w:hideMark/>
          </w:tcPr>
          <w:p w14:paraId="77300ACE" w14:textId="77777777" w:rsidR="009C778C" w:rsidRPr="002620C8" w:rsidRDefault="009C778C" w:rsidP="00F33A88">
            <w:pPr>
              <w:pStyle w:val="NoSpacing"/>
            </w:pPr>
            <w:r w:rsidRPr="002620C8">
              <w:t>Yes</w:t>
            </w:r>
          </w:p>
        </w:tc>
        <w:tc>
          <w:tcPr>
            <w:tcW w:w="604" w:type="pct"/>
            <w:hideMark/>
          </w:tcPr>
          <w:p w14:paraId="091B75E1" w14:textId="77777777" w:rsidR="009C778C" w:rsidRPr="002620C8" w:rsidRDefault="009C778C" w:rsidP="00F33A88">
            <w:pPr>
              <w:pStyle w:val="NoSpacing"/>
            </w:pPr>
            <w:r w:rsidRPr="002620C8">
              <w:t>Yes</w:t>
            </w:r>
          </w:p>
        </w:tc>
        <w:tc>
          <w:tcPr>
            <w:tcW w:w="395" w:type="pct"/>
            <w:hideMark/>
          </w:tcPr>
          <w:p w14:paraId="7D85F8A6" w14:textId="77777777" w:rsidR="009C778C" w:rsidRPr="002620C8" w:rsidRDefault="009C778C" w:rsidP="00F33A88">
            <w:pPr>
              <w:pStyle w:val="NoSpacing"/>
            </w:pPr>
          </w:p>
        </w:tc>
        <w:tc>
          <w:tcPr>
            <w:tcW w:w="604" w:type="pct"/>
            <w:hideMark/>
          </w:tcPr>
          <w:p w14:paraId="17A0F630" w14:textId="77777777" w:rsidR="009C778C" w:rsidRPr="002620C8" w:rsidRDefault="009C778C" w:rsidP="00F33A88">
            <w:pPr>
              <w:pStyle w:val="NoSpacing"/>
            </w:pPr>
            <w:r w:rsidRPr="002620C8">
              <w:t>Yes</w:t>
            </w:r>
          </w:p>
        </w:tc>
        <w:tc>
          <w:tcPr>
            <w:tcW w:w="604" w:type="pct"/>
            <w:hideMark/>
          </w:tcPr>
          <w:p w14:paraId="151148E9" w14:textId="77777777" w:rsidR="009C778C" w:rsidRPr="002620C8" w:rsidRDefault="009C778C" w:rsidP="00F33A88">
            <w:pPr>
              <w:pStyle w:val="NoSpacing"/>
            </w:pPr>
            <w:r w:rsidRPr="002620C8">
              <w:t>Yes</w:t>
            </w:r>
          </w:p>
        </w:tc>
      </w:tr>
      <w:tr w:rsidR="001F01FF" w:rsidRPr="002620C8" w14:paraId="1584D6F8" w14:textId="77777777" w:rsidTr="009B2C80">
        <w:tc>
          <w:tcPr>
            <w:tcW w:w="1781" w:type="pct"/>
            <w:hideMark/>
          </w:tcPr>
          <w:p w14:paraId="135FEFDB" w14:textId="77777777" w:rsidR="009C778C" w:rsidRPr="002620C8" w:rsidRDefault="009C778C" w:rsidP="00F33A88">
            <w:pPr>
              <w:pStyle w:val="NoSpacing"/>
            </w:pPr>
            <w:r w:rsidRPr="002620C8">
              <w:t>Number of observations</w:t>
            </w:r>
          </w:p>
        </w:tc>
        <w:tc>
          <w:tcPr>
            <w:tcW w:w="402" w:type="pct"/>
            <w:hideMark/>
          </w:tcPr>
          <w:p w14:paraId="62816A64" w14:textId="77777777" w:rsidR="009C778C" w:rsidRPr="002620C8" w:rsidRDefault="009C778C" w:rsidP="00F33A88">
            <w:pPr>
              <w:pStyle w:val="NoSpacing"/>
            </w:pPr>
          </w:p>
        </w:tc>
        <w:tc>
          <w:tcPr>
            <w:tcW w:w="611" w:type="pct"/>
            <w:hideMark/>
          </w:tcPr>
          <w:p w14:paraId="19DB6342" w14:textId="77777777" w:rsidR="009C778C" w:rsidRPr="002620C8" w:rsidRDefault="009C778C" w:rsidP="00F33A88">
            <w:pPr>
              <w:pStyle w:val="NoSpacing"/>
            </w:pPr>
            <w:r w:rsidRPr="002620C8">
              <w:t>26,742</w:t>
            </w:r>
          </w:p>
        </w:tc>
        <w:tc>
          <w:tcPr>
            <w:tcW w:w="604" w:type="pct"/>
            <w:hideMark/>
          </w:tcPr>
          <w:p w14:paraId="107BA828" w14:textId="77777777" w:rsidR="009C778C" w:rsidRPr="002620C8" w:rsidRDefault="009C778C" w:rsidP="00F33A88">
            <w:pPr>
              <w:pStyle w:val="NoSpacing"/>
            </w:pPr>
            <w:r w:rsidRPr="002620C8">
              <w:t>39,544</w:t>
            </w:r>
          </w:p>
        </w:tc>
        <w:tc>
          <w:tcPr>
            <w:tcW w:w="395" w:type="pct"/>
            <w:hideMark/>
          </w:tcPr>
          <w:p w14:paraId="72EEBD73" w14:textId="77777777" w:rsidR="009C778C" w:rsidRPr="002620C8" w:rsidRDefault="009C778C" w:rsidP="00F33A88">
            <w:pPr>
              <w:pStyle w:val="NoSpacing"/>
            </w:pPr>
          </w:p>
        </w:tc>
        <w:tc>
          <w:tcPr>
            <w:tcW w:w="604" w:type="pct"/>
            <w:hideMark/>
          </w:tcPr>
          <w:p w14:paraId="4BE6EA73" w14:textId="77777777" w:rsidR="009C778C" w:rsidRPr="002620C8" w:rsidRDefault="009C778C" w:rsidP="00F33A88">
            <w:pPr>
              <w:pStyle w:val="NoSpacing"/>
            </w:pPr>
            <w:r w:rsidRPr="002620C8">
              <w:t>45,550</w:t>
            </w:r>
          </w:p>
        </w:tc>
        <w:tc>
          <w:tcPr>
            <w:tcW w:w="604" w:type="pct"/>
            <w:hideMark/>
          </w:tcPr>
          <w:p w14:paraId="74BD1969" w14:textId="77777777" w:rsidR="009C778C" w:rsidRPr="002620C8" w:rsidRDefault="009C778C" w:rsidP="00F33A88">
            <w:pPr>
              <w:pStyle w:val="NoSpacing"/>
            </w:pPr>
            <w:r w:rsidRPr="002620C8">
              <w:t>20,736</w:t>
            </w:r>
          </w:p>
        </w:tc>
      </w:tr>
      <w:tr w:rsidR="001F01FF" w:rsidRPr="002620C8" w14:paraId="4F82F1E5" w14:textId="77777777" w:rsidTr="009B2C80">
        <w:tc>
          <w:tcPr>
            <w:tcW w:w="1781" w:type="pct"/>
            <w:hideMark/>
          </w:tcPr>
          <w:p w14:paraId="2437AB75" w14:textId="77777777" w:rsidR="009C778C" w:rsidRPr="002620C8" w:rsidRDefault="009C778C" w:rsidP="00F33A88">
            <w:pPr>
              <w:pStyle w:val="NoSpacing"/>
            </w:pPr>
            <w:r w:rsidRPr="002620C8">
              <w:t>Adj. R-squared</w:t>
            </w:r>
          </w:p>
        </w:tc>
        <w:tc>
          <w:tcPr>
            <w:tcW w:w="402" w:type="pct"/>
            <w:hideMark/>
          </w:tcPr>
          <w:p w14:paraId="06B9664C" w14:textId="77777777" w:rsidR="009C778C" w:rsidRPr="002620C8" w:rsidRDefault="009C778C" w:rsidP="00F33A88">
            <w:pPr>
              <w:pStyle w:val="NoSpacing"/>
            </w:pPr>
          </w:p>
        </w:tc>
        <w:tc>
          <w:tcPr>
            <w:tcW w:w="611" w:type="pct"/>
            <w:hideMark/>
          </w:tcPr>
          <w:p w14:paraId="11962D55" w14:textId="77777777" w:rsidR="009C778C" w:rsidRPr="002620C8" w:rsidRDefault="009C778C" w:rsidP="00F33A88">
            <w:pPr>
              <w:pStyle w:val="NoSpacing"/>
            </w:pPr>
            <w:r w:rsidRPr="002620C8">
              <w:t>0.111</w:t>
            </w:r>
          </w:p>
        </w:tc>
        <w:tc>
          <w:tcPr>
            <w:tcW w:w="604" w:type="pct"/>
            <w:hideMark/>
          </w:tcPr>
          <w:p w14:paraId="4955C070" w14:textId="77777777" w:rsidR="009C778C" w:rsidRPr="002620C8" w:rsidRDefault="009C778C" w:rsidP="00F33A88">
            <w:pPr>
              <w:pStyle w:val="NoSpacing"/>
            </w:pPr>
            <w:r w:rsidRPr="002620C8">
              <w:t>0.103</w:t>
            </w:r>
          </w:p>
        </w:tc>
        <w:tc>
          <w:tcPr>
            <w:tcW w:w="395" w:type="pct"/>
            <w:hideMark/>
          </w:tcPr>
          <w:p w14:paraId="79C4691E" w14:textId="77777777" w:rsidR="009C778C" w:rsidRPr="002620C8" w:rsidRDefault="009C778C" w:rsidP="00F33A88">
            <w:pPr>
              <w:pStyle w:val="NoSpacing"/>
            </w:pPr>
          </w:p>
        </w:tc>
        <w:tc>
          <w:tcPr>
            <w:tcW w:w="604" w:type="pct"/>
            <w:hideMark/>
          </w:tcPr>
          <w:p w14:paraId="7F019B55" w14:textId="77777777" w:rsidR="009C778C" w:rsidRPr="002620C8" w:rsidRDefault="009C778C" w:rsidP="00F33A88">
            <w:pPr>
              <w:pStyle w:val="NoSpacing"/>
            </w:pPr>
            <w:r w:rsidRPr="002620C8">
              <w:t>0.106</w:t>
            </w:r>
          </w:p>
        </w:tc>
        <w:tc>
          <w:tcPr>
            <w:tcW w:w="604" w:type="pct"/>
            <w:hideMark/>
          </w:tcPr>
          <w:p w14:paraId="7BB0FA65" w14:textId="77777777" w:rsidR="009C778C" w:rsidRPr="002620C8" w:rsidRDefault="009C778C" w:rsidP="00F33A88">
            <w:pPr>
              <w:pStyle w:val="NoSpacing"/>
            </w:pPr>
            <w:r w:rsidRPr="002620C8">
              <w:t>0.115</w:t>
            </w:r>
          </w:p>
        </w:tc>
      </w:tr>
      <w:tr w:rsidR="001F01FF" w:rsidRPr="002620C8" w14:paraId="59FD4B44" w14:textId="77777777" w:rsidTr="009B2C80">
        <w:tc>
          <w:tcPr>
            <w:tcW w:w="1781" w:type="pct"/>
            <w:hideMark/>
          </w:tcPr>
          <w:p w14:paraId="6D86CC1C" w14:textId="77777777" w:rsidR="009C778C" w:rsidRPr="002620C8" w:rsidRDefault="009C778C" w:rsidP="00F33A88">
            <w:pPr>
              <w:pStyle w:val="NoSpacing"/>
            </w:pPr>
            <w:r w:rsidRPr="002620C8">
              <w:t xml:space="preserve">F-stat </w:t>
            </w:r>
            <w:proofErr w:type="spellStart"/>
            <w:r w:rsidRPr="002620C8">
              <w:t>DOMESTIC</w:t>
            </w:r>
            <w:r w:rsidRPr="002620C8">
              <w:rPr>
                <w:vertAlign w:val="subscript"/>
              </w:rPr>
              <w:t>t</w:t>
            </w:r>
            <w:proofErr w:type="spellEnd"/>
            <w:r w:rsidRPr="002620C8">
              <w:rPr>
                <w:vertAlign w:val="subscript"/>
              </w:rPr>
              <w:t> − 1</w:t>
            </w:r>
            <w:r w:rsidRPr="002620C8">
              <w:t> = </w:t>
            </w:r>
            <w:proofErr w:type="spellStart"/>
            <w:r w:rsidRPr="002620C8">
              <w:t>FOREIGN</w:t>
            </w:r>
            <w:r w:rsidRPr="002620C8">
              <w:rPr>
                <w:vertAlign w:val="subscript"/>
              </w:rPr>
              <w:t>t</w:t>
            </w:r>
            <w:proofErr w:type="spellEnd"/>
            <w:r w:rsidRPr="002620C8">
              <w:rPr>
                <w:vertAlign w:val="subscript"/>
              </w:rPr>
              <w:t> − 1</w:t>
            </w:r>
          </w:p>
        </w:tc>
        <w:tc>
          <w:tcPr>
            <w:tcW w:w="402" w:type="pct"/>
            <w:hideMark/>
          </w:tcPr>
          <w:p w14:paraId="675139EB" w14:textId="77777777" w:rsidR="009C778C" w:rsidRPr="002620C8" w:rsidRDefault="009C778C" w:rsidP="00F33A88">
            <w:pPr>
              <w:pStyle w:val="NoSpacing"/>
            </w:pPr>
          </w:p>
        </w:tc>
        <w:tc>
          <w:tcPr>
            <w:tcW w:w="611" w:type="pct"/>
            <w:hideMark/>
          </w:tcPr>
          <w:p w14:paraId="3227CE01" w14:textId="77777777" w:rsidR="009C778C" w:rsidRPr="002620C8" w:rsidRDefault="009C778C" w:rsidP="00F33A88">
            <w:pPr>
              <w:pStyle w:val="NoSpacing"/>
            </w:pPr>
            <w:r w:rsidRPr="002620C8">
              <w:t>4.97**</w:t>
            </w:r>
          </w:p>
        </w:tc>
        <w:tc>
          <w:tcPr>
            <w:tcW w:w="604" w:type="pct"/>
            <w:hideMark/>
          </w:tcPr>
          <w:p w14:paraId="3C16C9D7" w14:textId="77777777" w:rsidR="009C778C" w:rsidRPr="002620C8" w:rsidRDefault="009C778C" w:rsidP="00F33A88">
            <w:pPr>
              <w:pStyle w:val="NoSpacing"/>
            </w:pPr>
            <w:r w:rsidRPr="002620C8">
              <w:t>6.01***</w:t>
            </w:r>
          </w:p>
        </w:tc>
        <w:tc>
          <w:tcPr>
            <w:tcW w:w="395" w:type="pct"/>
            <w:hideMark/>
          </w:tcPr>
          <w:p w14:paraId="514A0FE7" w14:textId="77777777" w:rsidR="009C778C" w:rsidRPr="002620C8" w:rsidRDefault="009C778C" w:rsidP="00F33A88">
            <w:pPr>
              <w:pStyle w:val="NoSpacing"/>
            </w:pPr>
          </w:p>
        </w:tc>
        <w:tc>
          <w:tcPr>
            <w:tcW w:w="604" w:type="pct"/>
            <w:hideMark/>
          </w:tcPr>
          <w:p w14:paraId="2150DFBF" w14:textId="77777777" w:rsidR="009C778C" w:rsidRPr="002620C8" w:rsidRDefault="009C778C" w:rsidP="00F33A88">
            <w:pPr>
              <w:pStyle w:val="NoSpacing"/>
            </w:pPr>
            <w:r w:rsidRPr="002620C8">
              <w:t>12.58***</w:t>
            </w:r>
          </w:p>
        </w:tc>
        <w:tc>
          <w:tcPr>
            <w:tcW w:w="604" w:type="pct"/>
            <w:hideMark/>
          </w:tcPr>
          <w:p w14:paraId="36A45929" w14:textId="77777777" w:rsidR="009C778C" w:rsidRPr="002620C8" w:rsidRDefault="009C778C" w:rsidP="00F33A88">
            <w:pPr>
              <w:pStyle w:val="NoSpacing"/>
            </w:pPr>
            <w:r w:rsidRPr="002620C8">
              <w:t>0.48</w:t>
            </w:r>
          </w:p>
        </w:tc>
      </w:tr>
      <w:tr w:rsidR="001F01FF" w:rsidRPr="002620C8" w14:paraId="6AFE75DF" w14:textId="77777777" w:rsidTr="009B2C80">
        <w:tc>
          <w:tcPr>
            <w:tcW w:w="1781" w:type="pct"/>
            <w:hideMark/>
          </w:tcPr>
          <w:p w14:paraId="653D5395" w14:textId="77777777" w:rsidR="009C778C" w:rsidRPr="002620C8" w:rsidRDefault="009C778C" w:rsidP="00F33A88">
            <w:pPr>
              <w:pStyle w:val="NoSpacing"/>
            </w:pPr>
            <w:r w:rsidRPr="002620C8">
              <w:t>(</w:t>
            </w:r>
            <w:r w:rsidRPr="002620C8">
              <w:rPr>
                <w:i/>
                <w:iCs/>
              </w:rPr>
              <w:t>p</w:t>
            </w:r>
            <w:r w:rsidRPr="002620C8">
              <w:t>-Value)</w:t>
            </w:r>
          </w:p>
        </w:tc>
        <w:tc>
          <w:tcPr>
            <w:tcW w:w="402" w:type="pct"/>
            <w:hideMark/>
          </w:tcPr>
          <w:p w14:paraId="7CBC59D6" w14:textId="77777777" w:rsidR="009C778C" w:rsidRPr="002620C8" w:rsidRDefault="009C778C" w:rsidP="00F33A88">
            <w:pPr>
              <w:pStyle w:val="NoSpacing"/>
            </w:pPr>
          </w:p>
        </w:tc>
        <w:tc>
          <w:tcPr>
            <w:tcW w:w="611" w:type="pct"/>
            <w:hideMark/>
          </w:tcPr>
          <w:p w14:paraId="60CF575C" w14:textId="77777777" w:rsidR="009C778C" w:rsidRPr="002620C8" w:rsidRDefault="009C778C" w:rsidP="00F33A88">
            <w:pPr>
              <w:pStyle w:val="NoSpacing"/>
            </w:pPr>
            <w:r w:rsidRPr="002620C8">
              <w:t>(0.03)</w:t>
            </w:r>
          </w:p>
        </w:tc>
        <w:tc>
          <w:tcPr>
            <w:tcW w:w="604" w:type="pct"/>
            <w:hideMark/>
          </w:tcPr>
          <w:p w14:paraId="0D573E90" w14:textId="77777777" w:rsidR="009C778C" w:rsidRPr="002620C8" w:rsidRDefault="009C778C" w:rsidP="00F33A88">
            <w:pPr>
              <w:pStyle w:val="NoSpacing"/>
            </w:pPr>
            <w:r w:rsidRPr="002620C8">
              <w:t>(0.01)</w:t>
            </w:r>
          </w:p>
        </w:tc>
        <w:tc>
          <w:tcPr>
            <w:tcW w:w="395" w:type="pct"/>
            <w:hideMark/>
          </w:tcPr>
          <w:p w14:paraId="6707E17E" w14:textId="77777777" w:rsidR="009C778C" w:rsidRPr="002620C8" w:rsidRDefault="009C778C" w:rsidP="00F33A88">
            <w:pPr>
              <w:pStyle w:val="NoSpacing"/>
            </w:pPr>
          </w:p>
        </w:tc>
        <w:tc>
          <w:tcPr>
            <w:tcW w:w="604" w:type="pct"/>
            <w:hideMark/>
          </w:tcPr>
          <w:p w14:paraId="34628E0B" w14:textId="77777777" w:rsidR="009C778C" w:rsidRPr="002620C8" w:rsidRDefault="009C778C" w:rsidP="00F33A88">
            <w:pPr>
              <w:pStyle w:val="NoSpacing"/>
            </w:pPr>
            <w:r w:rsidRPr="002620C8">
              <w:t>(&lt; 0.01)</w:t>
            </w:r>
          </w:p>
        </w:tc>
        <w:tc>
          <w:tcPr>
            <w:tcW w:w="604" w:type="pct"/>
            <w:hideMark/>
          </w:tcPr>
          <w:p w14:paraId="43F00BB8" w14:textId="77777777" w:rsidR="009C778C" w:rsidRPr="002620C8" w:rsidRDefault="009C778C" w:rsidP="00F33A88">
            <w:pPr>
              <w:pStyle w:val="NoSpacing"/>
            </w:pPr>
            <w:r w:rsidRPr="002620C8">
              <w:t>(0.49)</w:t>
            </w:r>
          </w:p>
        </w:tc>
      </w:tr>
      <w:tr w:rsidR="001F01FF" w:rsidRPr="002620C8" w14:paraId="05108D8F" w14:textId="77777777" w:rsidTr="009B2C80">
        <w:tc>
          <w:tcPr>
            <w:tcW w:w="1781" w:type="pct"/>
            <w:hideMark/>
          </w:tcPr>
          <w:p w14:paraId="41C6808C" w14:textId="77777777" w:rsidR="001F01FF" w:rsidRPr="002620C8" w:rsidRDefault="001F01FF" w:rsidP="00F33A88">
            <w:pPr>
              <w:pStyle w:val="NoSpacing"/>
            </w:pPr>
            <w:r w:rsidRPr="002620C8">
              <w:t>F-stat INFO costs-H (</w:t>
            </w:r>
            <w:proofErr w:type="spellStart"/>
            <w:r w:rsidRPr="002620C8">
              <w:t>DOMESTIC</w:t>
            </w:r>
            <w:r w:rsidRPr="002620C8">
              <w:rPr>
                <w:vertAlign w:val="subscript"/>
              </w:rPr>
              <w:t>t</w:t>
            </w:r>
            <w:proofErr w:type="spellEnd"/>
            <w:r w:rsidRPr="002620C8">
              <w:rPr>
                <w:vertAlign w:val="subscript"/>
              </w:rPr>
              <w:t> − 1</w:t>
            </w:r>
            <w:r w:rsidRPr="002620C8">
              <w:t> − FOREIGN </w:t>
            </w:r>
            <w:r w:rsidRPr="002620C8">
              <w:rPr>
                <w:vertAlign w:val="subscript"/>
              </w:rPr>
              <w:t>t − 1</w:t>
            </w:r>
            <w:r w:rsidRPr="002620C8">
              <w:t>) &lt; INFO costs-L (</w:t>
            </w:r>
            <w:proofErr w:type="spellStart"/>
            <w:r w:rsidRPr="002620C8">
              <w:t>DOMESTIC</w:t>
            </w:r>
            <w:r w:rsidRPr="002620C8">
              <w:rPr>
                <w:vertAlign w:val="subscript"/>
              </w:rPr>
              <w:t>t</w:t>
            </w:r>
            <w:proofErr w:type="spellEnd"/>
            <w:r w:rsidRPr="002620C8">
              <w:rPr>
                <w:vertAlign w:val="subscript"/>
              </w:rPr>
              <w:t> − 1</w:t>
            </w:r>
            <w:r w:rsidRPr="002620C8">
              <w:t> − </w:t>
            </w:r>
            <w:proofErr w:type="spellStart"/>
            <w:r w:rsidRPr="002620C8">
              <w:t>FOREIGN</w:t>
            </w:r>
            <w:r w:rsidRPr="002620C8">
              <w:rPr>
                <w:vertAlign w:val="subscript"/>
              </w:rPr>
              <w:t>t</w:t>
            </w:r>
            <w:proofErr w:type="spellEnd"/>
            <w:r w:rsidRPr="002620C8">
              <w:rPr>
                <w:vertAlign w:val="subscript"/>
              </w:rPr>
              <w:t> − 1</w:t>
            </w:r>
            <w:r w:rsidRPr="002620C8">
              <w:t>)</w:t>
            </w:r>
          </w:p>
        </w:tc>
        <w:tc>
          <w:tcPr>
            <w:tcW w:w="402" w:type="pct"/>
          </w:tcPr>
          <w:p w14:paraId="773E55D2" w14:textId="77777777" w:rsidR="001F01FF" w:rsidRPr="002620C8" w:rsidRDefault="001F01FF" w:rsidP="00F33A88">
            <w:pPr>
              <w:pStyle w:val="NoSpacing"/>
            </w:pPr>
          </w:p>
        </w:tc>
        <w:tc>
          <w:tcPr>
            <w:tcW w:w="611" w:type="pct"/>
          </w:tcPr>
          <w:p w14:paraId="2D6F46C3" w14:textId="77777777" w:rsidR="001F01FF" w:rsidRPr="002620C8" w:rsidRDefault="001F01FF" w:rsidP="00F33A88">
            <w:pPr>
              <w:pStyle w:val="NoSpacing"/>
            </w:pPr>
          </w:p>
        </w:tc>
        <w:tc>
          <w:tcPr>
            <w:tcW w:w="604" w:type="pct"/>
          </w:tcPr>
          <w:p w14:paraId="20FA68DB" w14:textId="77777777" w:rsidR="001F01FF" w:rsidRPr="002620C8" w:rsidRDefault="001F01FF" w:rsidP="00F33A88">
            <w:pPr>
              <w:pStyle w:val="NoSpacing"/>
            </w:pPr>
          </w:p>
        </w:tc>
        <w:tc>
          <w:tcPr>
            <w:tcW w:w="395" w:type="pct"/>
          </w:tcPr>
          <w:p w14:paraId="41954E02" w14:textId="77777777" w:rsidR="001F01FF" w:rsidRPr="002620C8" w:rsidRDefault="001F01FF" w:rsidP="00F33A88">
            <w:pPr>
              <w:pStyle w:val="NoSpacing"/>
            </w:pPr>
          </w:p>
        </w:tc>
        <w:tc>
          <w:tcPr>
            <w:tcW w:w="604" w:type="pct"/>
          </w:tcPr>
          <w:p w14:paraId="17DE8243" w14:textId="77777777" w:rsidR="001F01FF" w:rsidRPr="002620C8" w:rsidRDefault="001F01FF" w:rsidP="00F33A88">
            <w:pPr>
              <w:pStyle w:val="NoSpacing"/>
            </w:pPr>
          </w:p>
        </w:tc>
        <w:tc>
          <w:tcPr>
            <w:tcW w:w="604" w:type="pct"/>
          </w:tcPr>
          <w:p w14:paraId="3EFCD8A8" w14:textId="10FC7FFB" w:rsidR="001F01FF" w:rsidRPr="002620C8" w:rsidRDefault="001F01FF" w:rsidP="00F33A88">
            <w:pPr>
              <w:pStyle w:val="NoSpacing"/>
            </w:pPr>
          </w:p>
        </w:tc>
      </w:tr>
      <w:tr w:rsidR="001F01FF" w:rsidRPr="002620C8" w14:paraId="4C2086FD" w14:textId="77777777" w:rsidTr="009B2C80">
        <w:tc>
          <w:tcPr>
            <w:tcW w:w="1781" w:type="pct"/>
            <w:hideMark/>
          </w:tcPr>
          <w:p w14:paraId="67136955" w14:textId="77777777" w:rsidR="009C778C" w:rsidRPr="002620C8" w:rsidRDefault="009C778C" w:rsidP="00F33A88">
            <w:pPr>
              <w:pStyle w:val="NoSpacing"/>
            </w:pPr>
            <w:r w:rsidRPr="002620C8">
              <w:t>Empty Cell</w:t>
            </w:r>
          </w:p>
        </w:tc>
        <w:tc>
          <w:tcPr>
            <w:tcW w:w="402" w:type="pct"/>
            <w:hideMark/>
          </w:tcPr>
          <w:p w14:paraId="6EBCDF88" w14:textId="77777777" w:rsidR="009C778C" w:rsidRPr="002620C8" w:rsidRDefault="009C778C" w:rsidP="00F33A88">
            <w:pPr>
              <w:pStyle w:val="NoSpacing"/>
            </w:pPr>
          </w:p>
        </w:tc>
        <w:tc>
          <w:tcPr>
            <w:tcW w:w="611" w:type="pct"/>
            <w:hideMark/>
          </w:tcPr>
          <w:p w14:paraId="5ED855B2" w14:textId="77777777" w:rsidR="009C778C" w:rsidRPr="002620C8" w:rsidRDefault="009C778C" w:rsidP="00F33A88">
            <w:pPr>
              <w:pStyle w:val="NoSpacing"/>
            </w:pPr>
            <w:r w:rsidRPr="002620C8">
              <w:t>3.61**</w:t>
            </w:r>
          </w:p>
        </w:tc>
        <w:tc>
          <w:tcPr>
            <w:tcW w:w="604" w:type="pct"/>
            <w:hideMark/>
          </w:tcPr>
          <w:p w14:paraId="2C5C8015" w14:textId="77777777" w:rsidR="009C778C" w:rsidRPr="002620C8" w:rsidRDefault="009C778C" w:rsidP="00F33A88">
            <w:pPr>
              <w:pStyle w:val="NoSpacing"/>
            </w:pPr>
          </w:p>
        </w:tc>
        <w:tc>
          <w:tcPr>
            <w:tcW w:w="395" w:type="pct"/>
            <w:hideMark/>
          </w:tcPr>
          <w:p w14:paraId="73AA671D" w14:textId="77777777" w:rsidR="009C778C" w:rsidRPr="002620C8" w:rsidRDefault="009C778C" w:rsidP="00F33A88">
            <w:pPr>
              <w:pStyle w:val="NoSpacing"/>
            </w:pPr>
          </w:p>
        </w:tc>
        <w:tc>
          <w:tcPr>
            <w:tcW w:w="604" w:type="pct"/>
            <w:hideMark/>
          </w:tcPr>
          <w:p w14:paraId="6B42BA4B" w14:textId="77777777" w:rsidR="009C778C" w:rsidRPr="002620C8" w:rsidRDefault="009C778C" w:rsidP="00F33A88">
            <w:pPr>
              <w:pStyle w:val="NoSpacing"/>
            </w:pPr>
            <w:r w:rsidRPr="002620C8">
              <w:t>3.04**</w:t>
            </w:r>
          </w:p>
        </w:tc>
        <w:tc>
          <w:tcPr>
            <w:tcW w:w="604" w:type="pct"/>
            <w:hideMark/>
          </w:tcPr>
          <w:p w14:paraId="79F1CBB3" w14:textId="77777777" w:rsidR="009C778C" w:rsidRPr="002620C8" w:rsidRDefault="009C778C" w:rsidP="00F33A88">
            <w:pPr>
              <w:pStyle w:val="NoSpacing"/>
            </w:pPr>
          </w:p>
        </w:tc>
      </w:tr>
      <w:tr w:rsidR="001F01FF" w:rsidRPr="002620C8" w14:paraId="3852F4AC" w14:textId="77777777" w:rsidTr="009B2C80">
        <w:tc>
          <w:tcPr>
            <w:tcW w:w="1781" w:type="pct"/>
            <w:hideMark/>
          </w:tcPr>
          <w:p w14:paraId="16E78695" w14:textId="77777777" w:rsidR="009C778C" w:rsidRPr="002620C8" w:rsidRDefault="009C778C" w:rsidP="00F33A88">
            <w:pPr>
              <w:pStyle w:val="NoSpacing"/>
            </w:pPr>
            <w:r w:rsidRPr="002620C8">
              <w:t>(</w:t>
            </w:r>
            <w:r w:rsidRPr="002620C8">
              <w:rPr>
                <w:i/>
                <w:iCs/>
              </w:rPr>
              <w:t>p</w:t>
            </w:r>
            <w:r w:rsidRPr="002620C8">
              <w:t>-Value)</w:t>
            </w:r>
          </w:p>
        </w:tc>
        <w:tc>
          <w:tcPr>
            <w:tcW w:w="402" w:type="pct"/>
            <w:hideMark/>
          </w:tcPr>
          <w:p w14:paraId="4B22C078" w14:textId="77777777" w:rsidR="009C778C" w:rsidRPr="002620C8" w:rsidRDefault="009C778C" w:rsidP="00F33A88">
            <w:pPr>
              <w:pStyle w:val="NoSpacing"/>
            </w:pPr>
          </w:p>
        </w:tc>
        <w:tc>
          <w:tcPr>
            <w:tcW w:w="611" w:type="pct"/>
            <w:hideMark/>
          </w:tcPr>
          <w:p w14:paraId="0F3E9A3B" w14:textId="77777777" w:rsidR="009C778C" w:rsidRPr="002620C8" w:rsidRDefault="009C778C" w:rsidP="00F33A88">
            <w:pPr>
              <w:pStyle w:val="NoSpacing"/>
            </w:pPr>
            <w:r w:rsidRPr="002620C8">
              <w:t>(0.03)</w:t>
            </w:r>
          </w:p>
        </w:tc>
        <w:tc>
          <w:tcPr>
            <w:tcW w:w="604" w:type="pct"/>
            <w:hideMark/>
          </w:tcPr>
          <w:p w14:paraId="6FAF8CB7" w14:textId="77777777" w:rsidR="009C778C" w:rsidRPr="002620C8" w:rsidRDefault="009C778C" w:rsidP="00F33A88">
            <w:pPr>
              <w:pStyle w:val="NoSpacing"/>
            </w:pPr>
          </w:p>
        </w:tc>
        <w:tc>
          <w:tcPr>
            <w:tcW w:w="395" w:type="pct"/>
            <w:hideMark/>
          </w:tcPr>
          <w:p w14:paraId="3CB64D07" w14:textId="77777777" w:rsidR="009C778C" w:rsidRPr="002620C8" w:rsidRDefault="009C778C" w:rsidP="00F33A88">
            <w:pPr>
              <w:pStyle w:val="NoSpacing"/>
            </w:pPr>
          </w:p>
        </w:tc>
        <w:tc>
          <w:tcPr>
            <w:tcW w:w="604" w:type="pct"/>
            <w:hideMark/>
          </w:tcPr>
          <w:p w14:paraId="38B5EBD2" w14:textId="77777777" w:rsidR="009C778C" w:rsidRPr="002620C8" w:rsidRDefault="009C778C" w:rsidP="00F33A88">
            <w:pPr>
              <w:pStyle w:val="NoSpacing"/>
            </w:pPr>
            <w:r w:rsidRPr="002620C8">
              <w:t>(0.04)</w:t>
            </w:r>
          </w:p>
        </w:tc>
        <w:tc>
          <w:tcPr>
            <w:tcW w:w="604" w:type="pct"/>
            <w:hideMark/>
          </w:tcPr>
          <w:p w14:paraId="3624AECE" w14:textId="77777777" w:rsidR="009C778C" w:rsidRPr="002620C8" w:rsidRDefault="009C778C" w:rsidP="00F33A88">
            <w:pPr>
              <w:pStyle w:val="NoSpacing"/>
            </w:pPr>
          </w:p>
        </w:tc>
      </w:tr>
    </w:tbl>
    <w:p w14:paraId="4BC79A82" w14:textId="77777777" w:rsidR="002620C8" w:rsidRDefault="002620C8" w:rsidP="00F33A88">
      <w:pPr>
        <w:pStyle w:val="NoSpacing"/>
        <w:rPr>
          <w:sz w:val="24"/>
          <w:szCs w:val="24"/>
        </w:rPr>
      </w:pPr>
    </w:p>
    <w:p w14:paraId="61812A2C" w14:textId="7F2F11B7" w:rsidR="009C778C" w:rsidRPr="009C778C" w:rsidRDefault="009C778C" w:rsidP="009C778C">
      <w:pPr>
        <w:rPr>
          <w:rFonts w:cstheme="minorHAnsi"/>
          <w:sz w:val="24"/>
          <w:szCs w:val="24"/>
        </w:rPr>
      </w:pPr>
      <w:r w:rsidRPr="009C778C">
        <w:rPr>
          <w:rFonts w:cstheme="minorHAnsi"/>
          <w:sz w:val="24"/>
          <w:szCs w:val="24"/>
        </w:rPr>
        <w:t>To proxy for country-level information acquisition and processing costs, we use </w:t>
      </w:r>
      <w:r w:rsidRPr="009C778C">
        <w:rPr>
          <w:rFonts w:cstheme="minorHAnsi"/>
          <w:i/>
          <w:iCs/>
          <w:sz w:val="24"/>
          <w:szCs w:val="24"/>
        </w:rPr>
        <w:t>Prevalence of Insider Trading</w:t>
      </w:r>
      <w:r w:rsidRPr="009C778C">
        <w:rPr>
          <w:rFonts w:cstheme="minorHAnsi"/>
          <w:sz w:val="24"/>
          <w:szCs w:val="24"/>
        </w:rPr>
        <w:t> and </w:t>
      </w:r>
      <w:r w:rsidRPr="009C778C">
        <w:rPr>
          <w:rFonts w:cstheme="minorHAnsi"/>
          <w:i/>
          <w:iCs/>
          <w:sz w:val="24"/>
          <w:szCs w:val="24"/>
        </w:rPr>
        <w:t>Disclosure Quality</w:t>
      </w:r>
      <w:r w:rsidRPr="009C778C">
        <w:rPr>
          <w:rFonts w:cstheme="minorHAnsi"/>
          <w:sz w:val="24"/>
          <w:szCs w:val="24"/>
        </w:rPr>
        <w:t> from </w:t>
      </w:r>
      <w:hyperlink r:id="rId109" w:anchor="bb0250" w:history="1">
        <w:r w:rsidRPr="009C778C">
          <w:rPr>
            <w:rStyle w:val="Hyperlink"/>
            <w:rFonts w:cstheme="minorHAnsi"/>
            <w:sz w:val="24"/>
            <w:szCs w:val="24"/>
          </w:rPr>
          <w:t>La Porta et al. (2006)</w:t>
        </w:r>
      </w:hyperlink>
      <w:bookmarkEnd w:id="14"/>
      <w:r w:rsidRPr="009C778C">
        <w:rPr>
          <w:rFonts w:cstheme="minorHAnsi"/>
          <w:sz w:val="24"/>
          <w:szCs w:val="24"/>
        </w:rPr>
        <w:t>. </w:t>
      </w:r>
      <w:r w:rsidRPr="009C778C">
        <w:rPr>
          <w:rFonts w:cstheme="minorHAnsi"/>
          <w:i/>
          <w:iCs/>
          <w:sz w:val="24"/>
          <w:szCs w:val="24"/>
        </w:rPr>
        <w:t>Prevalence of Insider Trading</w:t>
      </w:r>
      <w:r w:rsidRPr="009C778C">
        <w:rPr>
          <w:rFonts w:cstheme="minorHAnsi"/>
          <w:sz w:val="24"/>
          <w:szCs w:val="24"/>
        </w:rPr>
        <w:t> is built upon responses from a survey that asks executives if “insider trading in your country’s stock markets is (1 = pervasive, 7 = extremely rare).” </w:t>
      </w:r>
      <w:r w:rsidRPr="009C778C">
        <w:rPr>
          <w:rFonts w:cstheme="minorHAnsi"/>
          <w:i/>
          <w:iCs/>
          <w:sz w:val="24"/>
          <w:szCs w:val="24"/>
        </w:rPr>
        <w:t>Disclosure Quality</w:t>
      </w:r>
      <w:r w:rsidRPr="009C778C">
        <w:rPr>
          <w:rFonts w:cstheme="minorHAnsi"/>
          <w:sz w:val="24"/>
          <w:szCs w:val="24"/>
        </w:rPr>
        <w:t xml:space="preserve"> is an index constructed based on attorneys’ answers to questions regarding: 1) prospectus; 2) compensation; 3) shareholders; 4) inside ownership; 5) contracts irregular; and 6) transactions. </w:t>
      </w:r>
      <w:proofErr w:type="gramStart"/>
      <w:r w:rsidRPr="009C778C">
        <w:rPr>
          <w:rFonts w:cstheme="minorHAnsi"/>
          <w:sz w:val="24"/>
          <w:szCs w:val="24"/>
        </w:rPr>
        <w:t>Similarly</w:t>
      </w:r>
      <w:proofErr w:type="gramEnd"/>
      <w:r w:rsidRPr="009C778C">
        <w:rPr>
          <w:rFonts w:cstheme="minorHAnsi"/>
          <w:sz w:val="24"/>
          <w:szCs w:val="24"/>
        </w:rPr>
        <w:t xml:space="preserve"> to the firm-level analysis, we partition the sample based on median values of </w:t>
      </w:r>
      <w:r w:rsidRPr="009C778C">
        <w:rPr>
          <w:rFonts w:cstheme="minorHAnsi"/>
          <w:i/>
          <w:iCs/>
          <w:sz w:val="24"/>
          <w:szCs w:val="24"/>
        </w:rPr>
        <w:t>Prevalence of Insider Trading</w:t>
      </w:r>
      <w:r w:rsidRPr="009C778C">
        <w:rPr>
          <w:rFonts w:cstheme="minorHAnsi"/>
          <w:sz w:val="24"/>
          <w:szCs w:val="24"/>
        </w:rPr>
        <w:t> and </w:t>
      </w:r>
      <w:r w:rsidRPr="009C778C">
        <w:rPr>
          <w:rFonts w:cstheme="minorHAnsi"/>
          <w:i/>
          <w:iCs/>
          <w:sz w:val="24"/>
          <w:szCs w:val="24"/>
        </w:rPr>
        <w:t>Disclosure Quality</w:t>
      </w:r>
      <w:r w:rsidRPr="009C778C">
        <w:rPr>
          <w:rFonts w:cstheme="minorHAnsi"/>
          <w:sz w:val="24"/>
          <w:szCs w:val="24"/>
        </w:rPr>
        <w:t>. Consistent with </w:t>
      </w:r>
      <w:hyperlink r:id="rId110" w:anchor="en0010" w:history="1">
        <w:r w:rsidRPr="009C778C">
          <w:rPr>
            <w:rStyle w:val="Hyperlink"/>
            <w:rFonts w:cstheme="minorHAnsi"/>
            <w:sz w:val="24"/>
            <w:szCs w:val="24"/>
          </w:rPr>
          <w:t>H1a</w:t>
        </w:r>
      </w:hyperlink>
      <w:bookmarkEnd w:id="11"/>
      <w:r w:rsidRPr="009C778C">
        <w:rPr>
          <w:rFonts w:cstheme="minorHAnsi"/>
          <w:sz w:val="24"/>
          <w:szCs w:val="24"/>
        </w:rPr>
        <w:t>, the comparative monitoring advantage of domestic institutional investors over their foreign peers is significantly larger when the host country has more prevalent insider trading (</w:t>
      </w:r>
      <w:r w:rsidRPr="009C778C">
        <w:rPr>
          <w:rFonts w:cstheme="minorHAnsi"/>
          <w:i/>
          <w:iCs/>
          <w:sz w:val="24"/>
          <w:szCs w:val="24"/>
        </w:rPr>
        <w:t>p</w:t>
      </w:r>
      <w:r w:rsidRPr="009C778C">
        <w:rPr>
          <w:rFonts w:cstheme="minorHAnsi"/>
          <w:sz w:val="24"/>
          <w:szCs w:val="24"/>
        </w:rPr>
        <w:t>-value = 0.03) or poorer disclosure quality (</w:t>
      </w:r>
      <w:r w:rsidRPr="009C778C">
        <w:rPr>
          <w:rFonts w:cstheme="minorHAnsi"/>
          <w:i/>
          <w:iCs/>
          <w:sz w:val="24"/>
          <w:szCs w:val="24"/>
        </w:rPr>
        <w:t>p</w:t>
      </w:r>
      <w:r w:rsidRPr="009C778C">
        <w:rPr>
          <w:rFonts w:cstheme="minorHAnsi"/>
          <w:sz w:val="24"/>
          <w:szCs w:val="24"/>
        </w:rPr>
        <w:t>-value = 0.04). Consistent with </w:t>
      </w:r>
      <w:hyperlink r:id="rId111" w:anchor="en0005" w:history="1">
        <w:r w:rsidRPr="009C778C">
          <w:rPr>
            <w:rStyle w:val="Hyperlink"/>
            <w:rFonts w:cstheme="minorHAnsi"/>
            <w:sz w:val="24"/>
            <w:szCs w:val="24"/>
          </w:rPr>
          <w:t>H1</w:t>
        </w:r>
      </w:hyperlink>
      <w:r w:rsidRPr="009C778C">
        <w:rPr>
          <w:rFonts w:cstheme="minorHAnsi"/>
          <w:sz w:val="24"/>
          <w:szCs w:val="24"/>
        </w:rPr>
        <w:t> and earlier firm-level results, </w:t>
      </w:r>
      <w:proofErr w:type="spellStart"/>
      <w:r w:rsidRPr="009C778C">
        <w:rPr>
          <w:rFonts w:cstheme="minorHAnsi"/>
          <w:i/>
          <w:iCs/>
          <w:sz w:val="24"/>
          <w:szCs w:val="24"/>
        </w:rPr>
        <w:t>DOMESTIC</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enters all the regressions with a significantly negative sign, while </w:t>
      </w:r>
      <w:proofErr w:type="spellStart"/>
      <w:r w:rsidRPr="009C778C">
        <w:rPr>
          <w:rFonts w:cstheme="minorHAnsi"/>
          <w:i/>
          <w:iCs/>
          <w:sz w:val="24"/>
          <w:szCs w:val="24"/>
        </w:rPr>
        <w:t>FOREIGN</w:t>
      </w:r>
      <w:r w:rsidRPr="009C778C">
        <w:rPr>
          <w:rFonts w:cstheme="minorHAnsi"/>
          <w:i/>
          <w:iCs/>
          <w:sz w:val="24"/>
          <w:szCs w:val="24"/>
          <w:vertAlign w:val="subscript"/>
        </w:rPr>
        <w:t>t</w:t>
      </w:r>
      <w:proofErr w:type="spellEnd"/>
      <w:r w:rsidRPr="009C778C">
        <w:rPr>
          <w:rFonts w:cstheme="minorHAnsi"/>
          <w:i/>
          <w:iCs/>
          <w:sz w:val="24"/>
          <w:szCs w:val="24"/>
          <w:vertAlign w:val="subscript"/>
        </w:rPr>
        <w:t> − 1</w:t>
      </w:r>
      <w:r w:rsidRPr="009C778C">
        <w:rPr>
          <w:rFonts w:cstheme="minorHAnsi"/>
          <w:sz w:val="24"/>
          <w:szCs w:val="24"/>
        </w:rPr>
        <w:t> is always insignificant.</w:t>
      </w:r>
    </w:p>
    <w:p w14:paraId="333BC2F6" w14:textId="77777777" w:rsidR="009C778C" w:rsidRPr="009C778C" w:rsidRDefault="009C778C" w:rsidP="00A10CDD">
      <w:pPr>
        <w:pStyle w:val="Heading2"/>
      </w:pPr>
      <w:r w:rsidRPr="009C778C">
        <w:t>4.3. Proximity in region, accounting standards, and culture</w:t>
      </w:r>
    </w:p>
    <w:p w14:paraId="16B31D34" w14:textId="77777777" w:rsidR="009C778C" w:rsidRPr="009C778C" w:rsidRDefault="0044383A" w:rsidP="009C778C">
      <w:pPr>
        <w:rPr>
          <w:rFonts w:cstheme="minorHAnsi"/>
          <w:sz w:val="24"/>
          <w:szCs w:val="24"/>
        </w:rPr>
      </w:pPr>
      <w:hyperlink r:id="rId112" w:anchor="en0015" w:history="1">
        <w:r w:rsidR="009C778C" w:rsidRPr="009C778C">
          <w:rPr>
            <w:rStyle w:val="Hyperlink"/>
            <w:rFonts w:cstheme="minorHAnsi"/>
            <w:sz w:val="24"/>
            <w:szCs w:val="24"/>
          </w:rPr>
          <w:t>H1b</w:t>
        </w:r>
      </w:hyperlink>
      <w:r w:rsidR="009C778C" w:rsidRPr="009C778C">
        <w:rPr>
          <w:rFonts w:cstheme="minorHAnsi"/>
          <w:sz w:val="24"/>
          <w:szCs w:val="24"/>
        </w:rPr>
        <w:t> predicts that as foreign institutional investors gain proximity to monitoring information, they close the gap in monitoring effectiveness between themselves and domestic counterparts. To test </w:t>
      </w:r>
      <w:hyperlink r:id="rId113" w:anchor="en0015" w:history="1">
        <w:r w:rsidR="009C778C" w:rsidRPr="009C778C">
          <w:rPr>
            <w:rStyle w:val="Hyperlink"/>
            <w:rFonts w:cstheme="minorHAnsi"/>
            <w:sz w:val="24"/>
            <w:szCs w:val="24"/>
          </w:rPr>
          <w:t>H1b</w:t>
        </w:r>
      </w:hyperlink>
      <w:r w:rsidR="009C778C" w:rsidRPr="009C778C">
        <w:rPr>
          <w:rFonts w:cstheme="minorHAnsi"/>
          <w:sz w:val="24"/>
          <w:szCs w:val="24"/>
        </w:rPr>
        <w:t>, we explore three dimensions of proximity—whether a foreign institutional investor and its investee firm: 1) are located in the same geographical region, 2) use similar accounting standards, or 3) share similar cultural traits. </w:t>
      </w:r>
      <w:hyperlink r:id="rId114" w:anchor="en0015" w:history="1">
        <w:r w:rsidR="009C778C" w:rsidRPr="009C778C">
          <w:rPr>
            <w:rStyle w:val="Hyperlink"/>
            <w:rFonts w:cstheme="minorHAnsi"/>
            <w:sz w:val="24"/>
            <w:szCs w:val="24"/>
          </w:rPr>
          <w:t>H1b</w:t>
        </w:r>
      </w:hyperlink>
      <w:r w:rsidR="009C778C" w:rsidRPr="009C778C">
        <w:rPr>
          <w:rFonts w:cstheme="minorHAnsi"/>
          <w:sz w:val="24"/>
          <w:szCs w:val="24"/>
        </w:rPr>
        <w:t> predicts that the coefficient difference between </w:t>
      </w:r>
      <w:proofErr w:type="spellStart"/>
      <w:r w:rsidR="009C778C" w:rsidRPr="009C778C">
        <w:rPr>
          <w:rFonts w:cstheme="minorHAnsi"/>
          <w:i/>
          <w:iCs/>
          <w:sz w:val="24"/>
          <w:szCs w:val="24"/>
        </w:rPr>
        <w:t>DOMESTIC</w:t>
      </w:r>
      <w:r w:rsidR="009C778C" w:rsidRPr="009C778C">
        <w:rPr>
          <w:rFonts w:cstheme="minorHAnsi"/>
          <w:i/>
          <w:iCs/>
          <w:sz w:val="24"/>
          <w:szCs w:val="24"/>
          <w:vertAlign w:val="subscript"/>
        </w:rPr>
        <w:t>t</w:t>
      </w:r>
      <w:proofErr w:type="spellEnd"/>
      <w:r w:rsidR="009C778C" w:rsidRPr="009C778C">
        <w:rPr>
          <w:rFonts w:cstheme="minorHAnsi"/>
          <w:i/>
          <w:iCs/>
          <w:sz w:val="24"/>
          <w:szCs w:val="24"/>
          <w:vertAlign w:val="subscript"/>
        </w:rPr>
        <w:t> − 1</w:t>
      </w:r>
      <w:r w:rsidR="009C778C" w:rsidRPr="009C778C">
        <w:rPr>
          <w:rFonts w:cstheme="minorHAnsi"/>
          <w:sz w:val="24"/>
          <w:szCs w:val="24"/>
        </w:rPr>
        <w:t> and </w:t>
      </w:r>
      <w:proofErr w:type="spellStart"/>
      <w:r w:rsidR="009C778C" w:rsidRPr="009C778C">
        <w:rPr>
          <w:rFonts w:cstheme="minorHAnsi"/>
          <w:i/>
          <w:iCs/>
          <w:sz w:val="24"/>
          <w:szCs w:val="24"/>
        </w:rPr>
        <w:t>FOREIGN</w:t>
      </w:r>
      <w:r w:rsidR="009C778C" w:rsidRPr="009C778C">
        <w:rPr>
          <w:rFonts w:cstheme="minorHAnsi"/>
          <w:i/>
          <w:iCs/>
          <w:sz w:val="24"/>
          <w:szCs w:val="24"/>
          <w:vertAlign w:val="subscript"/>
        </w:rPr>
        <w:t>t</w:t>
      </w:r>
      <w:proofErr w:type="spellEnd"/>
      <w:r w:rsidR="009C778C" w:rsidRPr="009C778C">
        <w:rPr>
          <w:rFonts w:cstheme="minorHAnsi"/>
          <w:i/>
          <w:iCs/>
          <w:sz w:val="24"/>
          <w:szCs w:val="24"/>
          <w:vertAlign w:val="subscript"/>
        </w:rPr>
        <w:t> − 1</w:t>
      </w:r>
      <w:r w:rsidR="009C778C" w:rsidRPr="009C778C">
        <w:rPr>
          <w:rFonts w:cstheme="minorHAnsi"/>
          <w:sz w:val="24"/>
          <w:szCs w:val="24"/>
        </w:rPr>
        <w:t> is more negative than the coefficient difference between </w:t>
      </w:r>
      <w:proofErr w:type="spellStart"/>
      <w:r w:rsidR="009C778C" w:rsidRPr="009C778C">
        <w:rPr>
          <w:rFonts w:cstheme="minorHAnsi"/>
          <w:i/>
          <w:iCs/>
          <w:sz w:val="24"/>
          <w:szCs w:val="24"/>
        </w:rPr>
        <w:t>DOMESTIC</w:t>
      </w:r>
      <w:r w:rsidR="009C778C" w:rsidRPr="009C778C">
        <w:rPr>
          <w:rFonts w:cstheme="minorHAnsi"/>
          <w:i/>
          <w:iCs/>
          <w:sz w:val="24"/>
          <w:szCs w:val="24"/>
          <w:vertAlign w:val="subscript"/>
        </w:rPr>
        <w:t>t</w:t>
      </w:r>
      <w:proofErr w:type="spellEnd"/>
      <w:r w:rsidR="009C778C" w:rsidRPr="009C778C">
        <w:rPr>
          <w:rFonts w:cstheme="minorHAnsi"/>
          <w:i/>
          <w:iCs/>
          <w:sz w:val="24"/>
          <w:szCs w:val="24"/>
          <w:vertAlign w:val="subscript"/>
        </w:rPr>
        <w:t> − 1</w:t>
      </w:r>
      <w:r w:rsidR="009C778C" w:rsidRPr="009C778C">
        <w:rPr>
          <w:rFonts w:cstheme="minorHAnsi"/>
          <w:sz w:val="24"/>
          <w:szCs w:val="24"/>
        </w:rPr>
        <w:t> and the ownership variables for foreign institutional investors with one of those traits. </w:t>
      </w:r>
      <w:bookmarkStart w:id="76" w:name="bt0030"/>
      <w:r w:rsidR="009C778C" w:rsidRPr="009C778C">
        <w:rPr>
          <w:rFonts w:cstheme="minorHAnsi"/>
          <w:sz w:val="24"/>
          <w:szCs w:val="24"/>
        </w:rPr>
        <w:fldChar w:fldCharType="begin"/>
      </w:r>
      <w:r w:rsidR="009C778C" w:rsidRPr="009C778C">
        <w:rPr>
          <w:rFonts w:cstheme="minorHAnsi"/>
          <w:sz w:val="24"/>
          <w:szCs w:val="24"/>
        </w:rPr>
        <w:instrText xml:space="preserve"> HYPERLINK "https://0-www-sciencedirect-com.libus.csd.mu.edu/science/article/pii/S0929119916300724" \l "t0030" </w:instrText>
      </w:r>
      <w:r w:rsidR="009C778C" w:rsidRPr="009C778C">
        <w:rPr>
          <w:rFonts w:cstheme="minorHAnsi"/>
          <w:sz w:val="24"/>
          <w:szCs w:val="24"/>
        </w:rPr>
      </w:r>
      <w:r w:rsidR="009C778C" w:rsidRPr="009C778C">
        <w:rPr>
          <w:rFonts w:cstheme="minorHAnsi"/>
          <w:sz w:val="24"/>
          <w:szCs w:val="24"/>
        </w:rPr>
        <w:fldChar w:fldCharType="separate"/>
      </w:r>
      <w:r w:rsidR="009C778C" w:rsidRPr="009C778C">
        <w:rPr>
          <w:rStyle w:val="Hyperlink"/>
          <w:rFonts w:cstheme="minorHAnsi"/>
          <w:sz w:val="24"/>
          <w:szCs w:val="24"/>
        </w:rPr>
        <w:t>Table 6</w:t>
      </w:r>
      <w:r w:rsidR="009C778C" w:rsidRPr="009C778C">
        <w:rPr>
          <w:rFonts w:cstheme="minorHAnsi"/>
          <w:sz w:val="24"/>
          <w:szCs w:val="24"/>
        </w:rPr>
        <w:fldChar w:fldCharType="end"/>
      </w:r>
      <w:r w:rsidR="009C778C" w:rsidRPr="009C778C">
        <w:rPr>
          <w:rFonts w:cstheme="minorHAnsi"/>
          <w:sz w:val="24"/>
          <w:szCs w:val="24"/>
        </w:rPr>
        <w:t> reports the regression results. For easy exposition, we report in </w:t>
      </w:r>
      <w:hyperlink r:id="rId115" w:anchor="t0030" w:history="1">
        <w:r w:rsidR="009C778C" w:rsidRPr="009C778C">
          <w:rPr>
            <w:rStyle w:val="Hyperlink"/>
            <w:rFonts w:cstheme="minorHAnsi"/>
            <w:sz w:val="24"/>
            <w:szCs w:val="24"/>
          </w:rPr>
          <w:t>Table 6</w:t>
        </w:r>
      </w:hyperlink>
      <w:bookmarkEnd w:id="76"/>
      <w:r w:rsidR="009C778C" w:rsidRPr="009C778C">
        <w:rPr>
          <w:rFonts w:cstheme="minorHAnsi"/>
          <w:sz w:val="24"/>
          <w:szCs w:val="24"/>
        </w:rPr>
        <w:t> column (1) the estimation results of the baseline model that was initially reported in </w:t>
      </w:r>
      <w:hyperlink r:id="rId116" w:anchor="t0020" w:history="1">
        <w:r w:rsidR="009C778C" w:rsidRPr="009C778C">
          <w:rPr>
            <w:rStyle w:val="Hyperlink"/>
            <w:rFonts w:cstheme="minorHAnsi"/>
            <w:sz w:val="24"/>
            <w:szCs w:val="24"/>
          </w:rPr>
          <w:t>Table 4</w:t>
        </w:r>
      </w:hyperlink>
      <w:bookmarkEnd w:id="70"/>
      <w:r w:rsidR="009C778C" w:rsidRPr="009C778C">
        <w:rPr>
          <w:rFonts w:cstheme="minorHAnsi"/>
          <w:sz w:val="24"/>
          <w:szCs w:val="24"/>
        </w:rPr>
        <w:t> column (1).</w:t>
      </w:r>
    </w:p>
    <w:p w14:paraId="70741274" w14:textId="77777777" w:rsidR="009C778C" w:rsidRPr="002620C8" w:rsidRDefault="009C778C" w:rsidP="00A10CDD">
      <w:pPr>
        <w:pStyle w:val="NoSpacing"/>
        <w:rPr>
          <w:sz w:val="24"/>
          <w:szCs w:val="24"/>
        </w:rPr>
      </w:pPr>
      <w:r w:rsidRPr="00E92A45">
        <w:rPr>
          <w:b/>
          <w:bCs/>
          <w:sz w:val="24"/>
          <w:szCs w:val="24"/>
        </w:rPr>
        <w:t>Table 6</w:t>
      </w:r>
      <w:r w:rsidRPr="002620C8">
        <w:rPr>
          <w:sz w:val="24"/>
          <w:szCs w:val="24"/>
        </w:rPr>
        <w:t>. Proximity in region, accounting standards, and culture</w:t>
      </w:r>
    </w:p>
    <w:p w14:paraId="2FF4DFAE" w14:textId="77777777" w:rsidR="009C778C" w:rsidRPr="002620C8" w:rsidRDefault="009C778C" w:rsidP="00A10CDD">
      <w:pPr>
        <w:pStyle w:val="NoSpacing"/>
        <w:rPr>
          <w:sz w:val="24"/>
          <w:szCs w:val="24"/>
        </w:rPr>
      </w:pPr>
      <w:r w:rsidRPr="002620C8">
        <w:rPr>
          <w:sz w:val="24"/>
          <w:szCs w:val="24"/>
        </w:rPr>
        <w:t>This table reports estimation results from panel regressions of earnings management on institutional ownership using a sample of non-U.S. firms from 2001 to 2013. All variable definitions are given in </w:t>
      </w:r>
      <w:hyperlink r:id="rId117" w:anchor="s0085" w:history="1">
        <w:r w:rsidRPr="002620C8">
          <w:rPr>
            <w:rStyle w:val="Hyperlink"/>
            <w:rFonts w:cstheme="minorHAnsi"/>
            <w:sz w:val="24"/>
            <w:szCs w:val="24"/>
          </w:rPr>
          <w:t>Appendix A</w:t>
        </w:r>
      </w:hyperlink>
      <w:r w:rsidRPr="002620C8">
        <w:rPr>
          <w:sz w:val="24"/>
          <w:szCs w:val="24"/>
        </w:rPr>
        <w:t>. Each regression includes a constant and year, industry (based on two-digit SIC codes), and country fixed effects (FE). Column of </w:t>
      </w:r>
      <w:r w:rsidRPr="002620C8">
        <w:rPr>
          <w:i/>
          <w:iCs/>
          <w:sz w:val="24"/>
          <w:szCs w:val="24"/>
        </w:rPr>
        <w:t>Pred. Sign</w:t>
      </w:r>
      <w:r w:rsidRPr="002620C8">
        <w:rPr>
          <w:sz w:val="24"/>
          <w:szCs w:val="24"/>
        </w:rPr>
        <w:t> provides expected directional relations between the dependent variable and the main independent variables of interest. Below the coefficient estimates in parentheses are </w:t>
      </w:r>
      <w:r w:rsidRPr="002620C8">
        <w:rPr>
          <w:i/>
          <w:iCs/>
          <w:sz w:val="24"/>
          <w:szCs w:val="24"/>
        </w:rPr>
        <w:t>t</w:t>
      </w:r>
      <w:r w:rsidRPr="002620C8">
        <w:rPr>
          <w:sz w:val="24"/>
          <w:szCs w:val="24"/>
        </w:rPr>
        <w:t>-values adjusted for heteroscedasticity and firm-level clustering. *, **, and *** denote significance level of less than 0.10, 0.05, and 0.01, respectively.</w:t>
      </w:r>
    </w:p>
    <w:tbl>
      <w:tblPr>
        <w:tblStyle w:val="TableGrid"/>
        <w:tblW w:w="0" w:type="auto"/>
        <w:tblLayout w:type="fixed"/>
        <w:tblLook w:val="04A0" w:firstRow="1" w:lastRow="0" w:firstColumn="1" w:lastColumn="0" w:noHBand="0" w:noVBand="1"/>
      </w:tblPr>
      <w:tblGrid>
        <w:gridCol w:w="3595"/>
        <w:gridCol w:w="1260"/>
        <w:gridCol w:w="1350"/>
        <w:gridCol w:w="1350"/>
        <w:gridCol w:w="1260"/>
        <w:gridCol w:w="1255"/>
      </w:tblGrid>
      <w:tr w:rsidR="00F655B2" w:rsidRPr="002620C8" w14:paraId="6FCB1D96" w14:textId="77777777" w:rsidTr="00F655B2">
        <w:tc>
          <w:tcPr>
            <w:tcW w:w="3595" w:type="dxa"/>
            <w:hideMark/>
          </w:tcPr>
          <w:p w14:paraId="6035F3A5" w14:textId="77777777" w:rsidR="009633A7" w:rsidRPr="002620C8" w:rsidRDefault="009633A7" w:rsidP="0066752D">
            <w:pPr>
              <w:pStyle w:val="NoSpacing"/>
            </w:pPr>
            <w:r w:rsidRPr="002620C8">
              <w:t>Empty Cell</w:t>
            </w:r>
          </w:p>
        </w:tc>
        <w:tc>
          <w:tcPr>
            <w:tcW w:w="1260" w:type="dxa"/>
            <w:hideMark/>
          </w:tcPr>
          <w:p w14:paraId="12C327F2" w14:textId="77777777" w:rsidR="009633A7" w:rsidRPr="002620C8" w:rsidRDefault="009633A7" w:rsidP="0066752D">
            <w:pPr>
              <w:pStyle w:val="NoSpacing"/>
            </w:pPr>
            <w:r w:rsidRPr="002620C8">
              <w:t>Empty Cell</w:t>
            </w:r>
          </w:p>
        </w:tc>
        <w:tc>
          <w:tcPr>
            <w:tcW w:w="1350" w:type="dxa"/>
          </w:tcPr>
          <w:p w14:paraId="10D0EE31" w14:textId="7A2C5B9A" w:rsidR="009633A7" w:rsidRPr="002620C8" w:rsidRDefault="009633A7" w:rsidP="0066752D">
            <w:pPr>
              <w:pStyle w:val="NoSpacing"/>
            </w:pPr>
          </w:p>
        </w:tc>
        <w:tc>
          <w:tcPr>
            <w:tcW w:w="1350" w:type="dxa"/>
            <w:hideMark/>
          </w:tcPr>
          <w:p w14:paraId="73B99D17" w14:textId="77777777" w:rsidR="009633A7" w:rsidRPr="002620C8" w:rsidRDefault="009633A7" w:rsidP="0066752D">
            <w:pPr>
              <w:pStyle w:val="NoSpacing"/>
              <w:rPr>
                <w:b/>
                <w:bCs/>
              </w:rPr>
            </w:pPr>
            <w:r w:rsidRPr="002620C8">
              <w:rPr>
                <w:b/>
                <w:bCs/>
                <w:i/>
                <w:iCs/>
              </w:rPr>
              <w:t>Dep. Var.</w:t>
            </w:r>
            <w:r w:rsidRPr="002620C8">
              <w:rPr>
                <w:b/>
                <w:bCs/>
              </w:rPr>
              <w:t xml:space="preserve"> = Agg. </w:t>
            </w:r>
            <w:proofErr w:type="spellStart"/>
            <w:r w:rsidRPr="002620C8">
              <w:rPr>
                <w:b/>
                <w:bCs/>
              </w:rPr>
              <w:t>EM</w:t>
            </w:r>
            <w:r w:rsidRPr="002620C8">
              <w:rPr>
                <w:b/>
                <w:bCs/>
                <w:vertAlign w:val="subscript"/>
              </w:rPr>
              <w:t>t</w:t>
            </w:r>
            <w:proofErr w:type="spellEnd"/>
          </w:p>
        </w:tc>
        <w:tc>
          <w:tcPr>
            <w:tcW w:w="1260" w:type="dxa"/>
          </w:tcPr>
          <w:p w14:paraId="32CC7D82" w14:textId="77777777" w:rsidR="009633A7" w:rsidRPr="002620C8" w:rsidRDefault="009633A7" w:rsidP="0066752D">
            <w:pPr>
              <w:pStyle w:val="NoSpacing"/>
              <w:rPr>
                <w:b/>
                <w:bCs/>
              </w:rPr>
            </w:pPr>
          </w:p>
        </w:tc>
        <w:tc>
          <w:tcPr>
            <w:tcW w:w="1255" w:type="dxa"/>
          </w:tcPr>
          <w:p w14:paraId="3A4E7AD5" w14:textId="3C25083B" w:rsidR="009633A7" w:rsidRPr="002620C8" w:rsidRDefault="009633A7" w:rsidP="0066752D">
            <w:pPr>
              <w:pStyle w:val="NoSpacing"/>
              <w:rPr>
                <w:b/>
                <w:bCs/>
              </w:rPr>
            </w:pPr>
          </w:p>
        </w:tc>
      </w:tr>
      <w:tr w:rsidR="00F655B2" w:rsidRPr="002620C8" w14:paraId="7A5E18BC" w14:textId="77777777" w:rsidTr="00F655B2">
        <w:tc>
          <w:tcPr>
            <w:tcW w:w="3595" w:type="dxa"/>
            <w:hideMark/>
          </w:tcPr>
          <w:p w14:paraId="5E3AE605" w14:textId="77777777" w:rsidR="009633A7" w:rsidRPr="002620C8" w:rsidRDefault="009633A7" w:rsidP="0066752D">
            <w:pPr>
              <w:pStyle w:val="NoSpacing"/>
            </w:pPr>
          </w:p>
        </w:tc>
        <w:tc>
          <w:tcPr>
            <w:tcW w:w="1260" w:type="dxa"/>
            <w:hideMark/>
          </w:tcPr>
          <w:p w14:paraId="149748A0" w14:textId="77777777" w:rsidR="009633A7" w:rsidRPr="002620C8" w:rsidRDefault="009633A7" w:rsidP="0066752D">
            <w:pPr>
              <w:pStyle w:val="NoSpacing"/>
              <w:rPr>
                <w:b/>
                <w:bCs/>
              </w:rPr>
            </w:pPr>
            <w:r w:rsidRPr="002620C8">
              <w:rPr>
                <w:b/>
                <w:bCs/>
                <w:i/>
                <w:iCs/>
              </w:rPr>
              <w:t>Pred.</w:t>
            </w:r>
            <w:r w:rsidRPr="002620C8">
              <w:rPr>
                <w:b/>
                <w:bCs/>
              </w:rPr>
              <w:br/>
            </w:r>
            <w:r w:rsidRPr="002620C8">
              <w:rPr>
                <w:b/>
                <w:bCs/>
                <w:i/>
                <w:iCs/>
              </w:rPr>
              <w:t>Sign</w:t>
            </w:r>
          </w:p>
        </w:tc>
        <w:tc>
          <w:tcPr>
            <w:tcW w:w="1350" w:type="dxa"/>
            <w:hideMark/>
          </w:tcPr>
          <w:p w14:paraId="0AC9F0CE" w14:textId="77777777" w:rsidR="009633A7" w:rsidRPr="002620C8" w:rsidRDefault="009633A7" w:rsidP="0066752D">
            <w:pPr>
              <w:pStyle w:val="NoSpacing"/>
              <w:rPr>
                <w:b/>
                <w:bCs/>
              </w:rPr>
            </w:pPr>
            <w:r w:rsidRPr="002620C8">
              <w:rPr>
                <w:b/>
                <w:bCs/>
              </w:rPr>
              <w:t>Baseline</w:t>
            </w:r>
            <w:r w:rsidRPr="002620C8">
              <w:rPr>
                <w:b/>
                <w:bCs/>
              </w:rPr>
              <w:br/>
              <w:t>(1)</w:t>
            </w:r>
          </w:p>
        </w:tc>
        <w:tc>
          <w:tcPr>
            <w:tcW w:w="1350" w:type="dxa"/>
            <w:hideMark/>
          </w:tcPr>
          <w:p w14:paraId="0027B7AD" w14:textId="77777777" w:rsidR="009633A7" w:rsidRPr="002620C8" w:rsidRDefault="009633A7" w:rsidP="0066752D">
            <w:pPr>
              <w:pStyle w:val="NoSpacing"/>
              <w:rPr>
                <w:b/>
                <w:bCs/>
              </w:rPr>
            </w:pPr>
            <w:r w:rsidRPr="002620C8">
              <w:rPr>
                <w:b/>
                <w:bCs/>
              </w:rPr>
              <w:t>(2)</w:t>
            </w:r>
          </w:p>
        </w:tc>
        <w:tc>
          <w:tcPr>
            <w:tcW w:w="1260" w:type="dxa"/>
            <w:hideMark/>
          </w:tcPr>
          <w:p w14:paraId="0EBE1B1A" w14:textId="77777777" w:rsidR="009633A7" w:rsidRPr="002620C8" w:rsidRDefault="009633A7" w:rsidP="0066752D">
            <w:pPr>
              <w:pStyle w:val="NoSpacing"/>
              <w:rPr>
                <w:b/>
                <w:bCs/>
              </w:rPr>
            </w:pPr>
            <w:r w:rsidRPr="002620C8">
              <w:rPr>
                <w:b/>
                <w:bCs/>
              </w:rPr>
              <w:t>(3)</w:t>
            </w:r>
          </w:p>
        </w:tc>
        <w:tc>
          <w:tcPr>
            <w:tcW w:w="1255" w:type="dxa"/>
            <w:hideMark/>
          </w:tcPr>
          <w:p w14:paraId="2E227137" w14:textId="77777777" w:rsidR="009633A7" w:rsidRPr="002620C8" w:rsidRDefault="009633A7" w:rsidP="0066752D">
            <w:pPr>
              <w:pStyle w:val="NoSpacing"/>
              <w:rPr>
                <w:b/>
                <w:bCs/>
              </w:rPr>
            </w:pPr>
            <w:r w:rsidRPr="002620C8">
              <w:rPr>
                <w:b/>
                <w:bCs/>
              </w:rPr>
              <w:t>(4)</w:t>
            </w:r>
          </w:p>
        </w:tc>
      </w:tr>
      <w:tr w:rsidR="00F655B2" w:rsidRPr="002620C8" w14:paraId="03F80AA3" w14:textId="77777777" w:rsidTr="00F655B2">
        <w:tc>
          <w:tcPr>
            <w:tcW w:w="3595" w:type="dxa"/>
            <w:hideMark/>
          </w:tcPr>
          <w:p w14:paraId="06E7DAD6" w14:textId="77777777" w:rsidR="009C778C" w:rsidRPr="002620C8" w:rsidRDefault="009C778C" w:rsidP="0066752D">
            <w:pPr>
              <w:pStyle w:val="NoSpacing"/>
              <w:rPr>
                <w:b/>
                <w:bCs/>
              </w:rPr>
            </w:pPr>
            <w:proofErr w:type="spellStart"/>
            <w:r w:rsidRPr="002620C8">
              <w:rPr>
                <w:b/>
                <w:bCs/>
              </w:rPr>
              <w:t>DOMESTIC</w:t>
            </w:r>
            <w:r w:rsidRPr="002620C8">
              <w:rPr>
                <w:b/>
                <w:bCs/>
                <w:vertAlign w:val="subscript"/>
              </w:rPr>
              <w:t>t</w:t>
            </w:r>
            <w:proofErr w:type="spellEnd"/>
            <w:r w:rsidRPr="002620C8">
              <w:rPr>
                <w:b/>
                <w:bCs/>
                <w:vertAlign w:val="subscript"/>
              </w:rPr>
              <w:t> − 1</w:t>
            </w:r>
          </w:p>
        </w:tc>
        <w:tc>
          <w:tcPr>
            <w:tcW w:w="1260" w:type="dxa"/>
            <w:hideMark/>
          </w:tcPr>
          <w:p w14:paraId="07C30502" w14:textId="77777777" w:rsidR="009C778C" w:rsidRPr="002620C8" w:rsidRDefault="009C778C" w:rsidP="0066752D">
            <w:pPr>
              <w:pStyle w:val="NoSpacing"/>
            </w:pPr>
            <w:r w:rsidRPr="002620C8">
              <w:rPr>
                <w:b/>
                <w:bCs/>
              </w:rPr>
              <w:t>–</w:t>
            </w:r>
          </w:p>
        </w:tc>
        <w:tc>
          <w:tcPr>
            <w:tcW w:w="1350" w:type="dxa"/>
            <w:hideMark/>
          </w:tcPr>
          <w:p w14:paraId="5FA3D938" w14:textId="77777777" w:rsidR="009C778C" w:rsidRPr="002620C8" w:rsidRDefault="009C778C" w:rsidP="0066752D">
            <w:pPr>
              <w:pStyle w:val="NoSpacing"/>
            </w:pPr>
            <w:r w:rsidRPr="002620C8">
              <w:t>− 0.353***</w:t>
            </w:r>
          </w:p>
        </w:tc>
        <w:tc>
          <w:tcPr>
            <w:tcW w:w="1350" w:type="dxa"/>
            <w:hideMark/>
          </w:tcPr>
          <w:p w14:paraId="2BD11BBA" w14:textId="77777777" w:rsidR="009C778C" w:rsidRPr="002620C8" w:rsidRDefault="009C778C" w:rsidP="0066752D">
            <w:pPr>
              <w:pStyle w:val="NoSpacing"/>
            </w:pPr>
            <w:r w:rsidRPr="002620C8">
              <w:t>− 0.346***</w:t>
            </w:r>
          </w:p>
        </w:tc>
        <w:tc>
          <w:tcPr>
            <w:tcW w:w="1260" w:type="dxa"/>
            <w:hideMark/>
          </w:tcPr>
          <w:p w14:paraId="10217502" w14:textId="77777777" w:rsidR="009C778C" w:rsidRPr="002620C8" w:rsidRDefault="009C778C" w:rsidP="0066752D">
            <w:pPr>
              <w:pStyle w:val="NoSpacing"/>
            </w:pPr>
            <w:r w:rsidRPr="002620C8">
              <w:t>− 0.353***</w:t>
            </w:r>
          </w:p>
        </w:tc>
        <w:tc>
          <w:tcPr>
            <w:tcW w:w="1255" w:type="dxa"/>
            <w:hideMark/>
          </w:tcPr>
          <w:p w14:paraId="6E92774F" w14:textId="77777777" w:rsidR="009C778C" w:rsidRPr="002620C8" w:rsidRDefault="009C778C" w:rsidP="0066752D">
            <w:pPr>
              <w:pStyle w:val="NoSpacing"/>
            </w:pPr>
            <w:r w:rsidRPr="002620C8">
              <w:t>− 0.356***</w:t>
            </w:r>
          </w:p>
        </w:tc>
      </w:tr>
      <w:tr w:rsidR="00F655B2" w:rsidRPr="002620C8" w14:paraId="3288E920" w14:textId="77777777" w:rsidTr="00F655B2">
        <w:tc>
          <w:tcPr>
            <w:tcW w:w="3595" w:type="dxa"/>
            <w:hideMark/>
          </w:tcPr>
          <w:p w14:paraId="5DBCC948" w14:textId="77777777" w:rsidR="009C778C" w:rsidRPr="002620C8" w:rsidRDefault="009C778C" w:rsidP="0066752D">
            <w:pPr>
              <w:pStyle w:val="NoSpacing"/>
              <w:rPr>
                <w:b/>
                <w:bCs/>
              </w:rPr>
            </w:pPr>
          </w:p>
        </w:tc>
        <w:tc>
          <w:tcPr>
            <w:tcW w:w="1260" w:type="dxa"/>
            <w:hideMark/>
          </w:tcPr>
          <w:p w14:paraId="2E82C698" w14:textId="77777777" w:rsidR="009C778C" w:rsidRPr="002620C8" w:rsidRDefault="009C778C" w:rsidP="0066752D">
            <w:pPr>
              <w:pStyle w:val="NoSpacing"/>
            </w:pPr>
          </w:p>
        </w:tc>
        <w:tc>
          <w:tcPr>
            <w:tcW w:w="1350" w:type="dxa"/>
            <w:hideMark/>
          </w:tcPr>
          <w:p w14:paraId="6A097D39" w14:textId="77777777" w:rsidR="009C778C" w:rsidRPr="002620C8" w:rsidRDefault="009C778C" w:rsidP="0066752D">
            <w:pPr>
              <w:pStyle w:val="NoSpacing"/>
            </w:pPr>
            <w:r w:rsidRPr="002620C8">
              <w:t>(− 6.19)</w:t>
            </w:r>
          </w:p>
        </w:tc>
        <w:tc>
          <w:tcPr>
            <w:tcW w:w="1350" w:type="dxa"/>
            <w:hideMark/>
          </w:tcPr>
          <w:p w14:paraId="0915E2E7" w14:textId="77777777" w:rsidR="009C778C" w:rsidRPr="002620C8" w:rsidRDefault="009C778C" w:rsidP="0066752D">
            <w:pPr>
              <w:pStyle w:val="NoSpacing"/>
            </w:pPr>
            <w:r w:rsidRPr="002620C8">
              <w:t>(− 6.08)</w:t>
            </w:r>
          </w:p>
        </w:tc>
        <w:tc>
          <w:tcPr>
            <w:tcW w:w="1260" w:type="dxa"/>
            <w:hideMark/>
          </w:tcPr>
          <w:p w14:paraId="27AE80AD" w14:textId="77777777" w:rsidR="009C778C" w:rsidRPr="002620C8" w:rsidRDefault="009C778C" w:rsidP="0066752D">
            <w:pPr>
              <w:pStyle w:val="NoSpacing"/>
            </w:pPr>
            <w:r w:rsidRPr="002620C8">
              <w:t>(− 6.19)</w:t>
            </w:r>
          </w:p>
        </w:tc>
        <w:tc>
          <w:tcPr>
            <w:tcW w:w="1255" w:type="dxa"/>
            <w:hideMark/>
          </w:tcPr>
          <w:p w14:paraId="6C8B2EA2" w14:textId="77777777" w:rsidR="009C778C" w:rsidRPr="002620C8" w:rsidRDefault="009C778C" w:rsidP="0066752D">
            <w:pPr>
              <w:pStyle w:val="NoSpacing"/>
            </w:pPr>
            <w:r w:rsidRPr="002620C8">
              <w:t>(− 6.26)</w:t>
            </w:r>
          </w:p>
        </w:tc>
      </w:tr>
      <w:tr w:rsidR="00F655B2" w:rsidRPr="002620C8" w14:paraId="070F542B" w14:textId="77777777" w:rsidTr="00F655B2">
        <w:tc>
          <w:tcPr>
            <w:tcW w:w="3595" w:type="dxa"/>
            <w:hideMark/>
          </w:tcPr>
          <w:p w14:paraId="4964363C" w14:textId="77777777" w:rsidR="009C778C" w:rsidRPr="002620C8" w:rsidRDefault="009C778C" w:rsidP="0066752D">
            <w:pPr>
              <w:pStyle w:val="NoSpacing"/>
              <w:rPr>
                <w:b/>
                <w:bCs/>
              </w:rPr>
            </w:pPr>
            <w:proofErr w:type="spellStart"/>
            <w:r w:rsidRPr="002620C8">
              <w:rPr>
                <w:b/>
                <w:bCs/>
              </w:rPr>
              <w:t>FOREIGN</w:t>
            </w:r>
            <w:r w:rsidRPr="002620C8">
              <w:rPr>
                <w:b/>
                <w:bCs/>
                <w:vertAlign w:val="subscript"/>
              </w:rPr>
              <w:t>t</w:t>
            </w:r>
            <w:proofErr w:type="spellEnd"/>
            <w:r w:rsidRPr="002620C8">
              <w:rPr>
                <w:b/>
                <w:bCs/>
                <w:vertAlign w:val="subscript"/>
              </w:rPr>
              <w:t> − 1</w:t>
            </w:r>
          </w:p>
        </w:tc>
        <w:tc>
          <w:tcPr>
            <w:tcW w:w="1260" w:type="dxa"/>
            <w:hideMark/>
          </w:tcPr>
          <w:p w14:paraId="24816BD3" w14:textId="77777777" w:rsidR="009C778C" w:rsidRPr="002620C8" w:rsidRDefault="009C778C" w:rsidP="0066752D">
            <w:pPr>
              <w:pStyle w:val="NoSpacing"/>
            </w:pPr>
            <w:r w:rsidRPr="002620C8">
              <w:rPr>
                <w:b/>
                <w:bCs/>
              </w:rPr>
              <w:t>–</w:t>
            </w:r>
          </w:p>
        </w:tc>
        <w:tc>
          <w:tcPr>
            <w:tcW w:w="1350" w:type="dxa"/>
            <w:hideMark/>
          </w:tcPr>
          <w:p w14:paraId="141230D5" w14:textId="77777777" w:rsidR="009C778C" w:rsidRPr="002620C8" w:rsidRDefault="009C778C" w:rsidP="0066752D">
            <w:pPr>
              <w:pStyle w:val="NoSpacing"/>
            </w:pPr>
            <w:r w:rsidRPr="002620C8">
              <w:t>− 0.090</w:t>
            </w:r>
          </w:p>
        </w:tc>
        <w:tc>
          <w:tcPr>
            <w:tcW w:w="1350" w:type="dxa"/>
            <w:hideMark/>
          </w:tcPr>
          <w:p w14:paraId="18E8112E" w14:textId="77777777" w:rsidR="009C778C" w:rsidRPr="002620C8" w:rsidRDefault="009C778C" w:rsidP="0066752D">
            <w:pPr>
              <w:pStyle w:val="NoSpacing"/>
            </w:pPr>
          </w:p>
        </w:tc>
        <w:tc>
          <w:tcPr>
            <w:tcW w:w="1260" w:type="dxa"/>
            <w:hideMark/>
          </w:tcPr>
          <w:p w14:paraId="19E7D539" w14:textId="77777777" w:rsidR="009C778C" w:rsidRPr="002620C8" w:rsidRDefault="009C778C" w:rsidP="0066752D">
            <w:pPr>
              <w:pStyle w:val="NoSpacing"/>
            </w:pPr>
          </w:p>
        </w:tc>
        <w:tc>
          <w:tcPr>
            <w:tcW w:w="1255" w:type="dxa"/>
            <w:hideMark/>
          </w:tcPr>
          <w:p w14:paraId="6DEBB86E" w14:textId="77777777" w:rsidR="009C778C" w:rsidRPr="002620C8" w:rsidRDefault="009C778C" w:rsidP="0066752D">
            <w:pPr>
              <w:pStyle w:val="NoSpacing"/>
            </w:pPr>
          </w:p>
        </w:tc>
      </w:tr>
      <w:tr w:rsidR="00F655B2" w:rsidRPr="002620C8" w14:paraId="008179BF" w14:textId="77777777" w:rsidTr="00F655B2">
        <w:tc>
          <w:tcPr>
            <w:tcW w:w="3595" w:type="dxa"/>
            <w:hideMark/>
          </w:tcPr>
          <w:p w14:paraId="721CA100" w14:textId="77777777" w:rsidR="009C778C" w:rsidRPr="002620C8" w:rsidRDefault="009C778C" w:rsidP="0066752D">
            <w:pPr>
              <w:pStyle w:val="NoSpacing"/>
              <w:rPr>
                <w:b/>
                <w:bCs/>
              </w:rPr>
            </w:pPr>
          </w:p>
        </w:tc>
        <w:tc>
          <w:tcPr>
            <w:tcW w:w="1260" w:type="dxa"/>
            <w:hideMark/>
          </w:tcPr>
          <w:p w14:paraId="4F5983B8" w14:textId="77777777" w:rsidR="009C778C" w:rsidRPr="002620C8" w:rsidRDefault="009C778C" w:rsidP="0066752D">
            <w:pPr>
              <w:pStyle w:val="NoSpacing"/>
            </w:pPr>
          </w:p>
        </w:tc>
        <w:tc>
          <w:tcPr>
            <w:tcW w:w="1350" w:type="dxa"/>
            <w:hideMark/>
          </w:tcPr>
          <w:p w14:paraId="381F1A76" w14:textId="77777777" w:rsidR="009C778C" w:rsidRPr="002620C8" w:rsidRDefault="009C778C" w:rsidP="0066752D">
            <w:pPr>
              <w:pStyle w:val="NoSpacing"/>
            </w:pPr>
            <w:r w:rsidRPr="002620C8">
              <w:t>(− 1.24)</w:t>
            </w:r>
          </w:p>
        </w:tc>
        <w:tc>
          <w:tcPr>
            <w:tcW w:w="1350" w:type="dxa"/>
            <w:hideMark/>
          </w:tcPr>
          <w:p w14:paraId="1C46FAEF" w14:textId="77777777" w:rsidR="009C778C" w:rsidRPr="002620C8" w:rsidRDefault="009C778C" w:rsidP="0066752D">
            <w:pPr>
              <w:pStyle w:val="NoSpacing"/>
            </w:pPr>
          </w:p>
        </w:tc>
        <w:tc>
          <w:tcPr>
            <w:tcW w:w="1260" w:type="dxa"/>
            <w:hideMark/>
          </w:tcPr>
          <w:p w14:paraId="6A156309" w14:textId="77777777" w:rsidR="009C778C" w:rsidRPr="002620C8" w:rsidRDefault="009C778C" w:rsidP="0066752D">
            <w:pPr>
              <w:pStyle w:val="NoSpacing"/>
            </w:pPr>
          </w:p>
        </w:tc>
        <w:tc>
          <w:tcPr>
            <w:tcW w:w="1255" w:type="dxa"/>
            <w:hideMark/>
          </w:tcPr>
          <w:p w14:paraId="518543A9" w14:textId="77777777" w:rsidR="009C778C" w:rsidRPr="002620C8" w:rsidRDefault="009C778C" w:rsidP="0066752D">
            <w:pPr>
              <w:pStyle w:val="NoSpacing"/>
            </w:pPr>
          </w:p>
        </w:tc>
      </w:tr>
      <w:tr w:rsidR="00F655B2" w:rsidRPr="002620C8" w14:paraId="505F1616" w14:textId="77777777" w:rsidTr="00F655B2">
        <w:tc>
          <w:tcPr>
            <w:tcW w:w="3595" w:type="dxa"/>
            <w:hideMark/>
          </w:tcPr>
          <w:p w14:paraId="02285594" w14:textId="77777777" w:rsidR="009C778C" w:rsidRPr="002620C8" w:rsidRDefault="009C778C" w:rsidP="0066752D">
            <w:pPr>
              <w:pStyle w:val="NoSpacing"/>
              <w:rPr>
                <w:b/>
                <w:bCs/>
              </w:rPr>
            </w:pPr>
            <w:proofErr w:type="spellStart"/>
            <w:r w:rsidRPr="002620C8">
              <w:rPr>
                <w:b/>
                <w:bCs/>
              </w:rPr>
              <w:t>FOREIGN_REGION</w:t>
            </w:r>
            <w:r w:rsidRPr="002620C8">
              <w:rPr>
                <w:b/>
                <w:bCs/>
                <w:vertAlign w:val="subscript"/>
              </w:rPr>
              <w:t>t</w:t>
            </w:r>
            <w:proofErr w:type="spellEnd"/>
            <w:r w:rsidRPr="002620C8">
              <w:rPr>
                <w:b/>
                <w:bCs/>
                <w:vertAlign w:val="subscript"/>
              </w:rPr>
              <w:t> − 1</w:t>
            </w:r>
          </w:p>
        </w:tc>
        <w:tc>
          <w:tcPr>
            <w:tcW w:w="1260" w:type="dxa"/>
            <w:hideMark/>
          </w:tcPr>
          <w:p w14:paraId="6067C34A" w14:textId="77777777" w:rsidR="009C778C" w:rsidRPr="002620C8" w:rsidRDefault="009C778C" w:rsidP="0066752D">
            <w:pPr>
              <w:pStyle w:val="NoSpacing"/>
            </w:pPr>
            <w:r w:rsidRPr="002620C8">
              <w:rPr>
                <w:b/>
                <w:bCs/>
              </w:rPr>
              <w:t>–</w:t>
            </w:r>
          </w:p>
        </w:tc>
        <w:tc>
          <w:tcPr>
            <w:tcW w:w="1350" w:type="dxa"/>
            <w:hideMark/>
          </w:tcPr>
          <w:p w14:paraId="07BBDFE3" w14:textId="77777777" w:rsidR="009C778C" w:rsidRPr="002620C8" w:rsidRDefault="009C778C" w:rsidP="0066752D">
            <w:pPr>
              <w:pStyle w:val="NoSpacing"/>
            </w:pPr>
          </w:p>
        </w:tc>
        <w:tc>
          <w:tcPr>
            <w:tcW w:w="1350" w:type="dxa"/>
            <w:hideMark/>
          </w:tcPr>
          <w:p w14:paraId="4D88C535" w14:textId="77777777" w:rsidR="009C778C" w:rsidRPr="002620C8" w:rsidRDefault="009C778C" w:rsidP="0066752D">
            <w:pPr>
              <w:pStyle w:val="NoSpacing"/>
            </w:pPr>
            <w:r w:rsidRPr="002620C8">
              <w:t>− 6.445*</w:t>
            </w:r>
          </w:p>
        </w:tc>
        <w:tc>
          <w:tcPr>
            <w:tcW w:w="1260" w:type="dxa"/>
            <w:hideMark/>
          </w:tcPr>
          <w:p w14:paraId="13024F82" w14:textId="77777777" w:rsidR="009C778C" w:rsidRPr="002620C8" w:rsidRDefault="009C778C" w:rsidP="0066752D">
            <w:pPr>
              <w:pStyle w:val="NoSpacing"/>
            </w:pPr>
          </w:p>
        </w:tc>
        <w:tc>
          <w:tcPr>
            <w:tcW w:w="1255" w:type="dxa"/>
            <w:hideMark/>
          </w:tcPr>
          <w:p w14:paraId="5AB0EC1E" w14:textId="77777777" w:rsidR="009C778C" w:rsidRPr="002620C8" w:rsidRDefault="009C778C" w:rsidP="0066752D">
            <w:pPr>
              <w:pStyle w:val="NoSpacing"/>
            </w:pPr>
          </w:p>
        </w:tc>
      </w:tr>
      <w:tr w:rsidR="00F655B2" w:rsidRPr="002620C8" w14:paraId="3A5E33E5" w14:textId="77777777" w:rsidTr="00F655B2">
        <w:tc>
          <w:tcPr>
            <w:tcW w:w="3595" w:type="dxa"/>
            <w:hideMark/>
          </w:tcPr>
          <w:p w14:paraId="6ADF2600" w14:textId="77777777" w:rsidR="009C778C" w:rsidRPr="002620C8" w:rsidRDefault="009C778C" w:rsidP="0066752D">
            <w:pPr>
              <w:pStyle w:val="NoSpacing"/>
              <w:rPr>
                <w:b/>
                <w:bCs/>
              </w:rPr>
            </w:pPr>
          </w:p>
        </w:tc>
        <w:tc>
          <w:tcPr>
            <w:tcW w:w="1260" w:type="dxa"/>
            <w:hideMark/>
          </w:tcPr>
          <w:p w14:paraId="0DC1D04E" w14:textId="77777777" w:rsidR="009C778C" w:rsidRPr="002620C8" w:rsidRDefault="009C778C" w:rsidP="0066752D">
            <w:pPr>
              <w:pStyle w:val="NoSpacing"/>
            </w:pPr>
          </w:p>
        </w:tc>
        <w:tc>
          <w:tcPr>
            <w:tcW w:w="1350" w:type="dxa"/>
            <w:hideMark/>
          </w:tcPr>
          <w:p w14:paraId="5F60EF04" w14:textId="77777777" w:rsidR="009C778C" w:rsidRPr="002620C8" w:rsidRDefault="009C778C" w:rsidP="0066752D">
            <w:pPr>
              <w:pStyle w:val="NoSpacing"/>
            </w:pPr>
          </w:p>
        </w:tc>
        <w:tc>
          <w:tcPr>
            <w:tcW w:w="1350" w:type="dxa"/>
            <w:hideMark/>
          </w:tcPr>
          <w:p w14:paraId="24BE4C83" w14:textId="77777777" w:rsidR="009C778C" w:rsidRPr="002620C8" w:rsidRDefault="009C778C" w:rsidP="0066752D">
            <w:pPr>
              <w:pStyle w:val="NoSpacing"/>
            </w:pPr>
            <w:r w:rsidRPr="002620C8">
              <w:t>(− 1.84)</w:t>
            </w:r>
          </w:p>
        </w:tc>
        <w:tc>
          <w:tcPr>
            <w:tcW w:w="1260" w:type="dxa"/>
            <w:hideMark/>
          </w:tcPr>
          <w:p w14:paraId="338A122F" w14:textId="77777777" w:rsidR="009C778C" w:rsidRPr="002620C8" w:rsidRDefault="009C778C" w:rsidP="0066752D">
            <w:pPr>
              <w:pStyle w:val="NoSpacing"/>
            </w:pPr>
          </w:p>
        </w:tc>
        <w:tc>
          <w:tcPr>
            <w:tcW w:w="1255" w:type="dxa"/>
            <w:hideMark/>
          </w:tcPr>
          <w:p w14:paraId="52E871AF" w14:textId="77777777" w:rsidR="009C778C" w:rsidRPr="002620C8" w:rsidRDefault="009C778C" w:rsidP="0066752D">
            <w:pPr>
              <w:pStyle w:val="NoSpacing"/>
            </w:pPr>
          </w:p>
        </w:tc>
      </w:tr>
      <w:tr w:rsidR="00F655B2" w:rsidRPr="002620C8" w14:paraId="1A952C1D" w14:textId="77777777" w:rsidTr="00F655B2">
        <w:tc>
          <w:tcPr>
            <w:tcW w:w="3595" w:type="dxa"/>
            <w:hideMark/>
          </w:tcPr>
          <w:p w14:paraId="4AF9B28E" w14:textId="77777777" w:rsidR="009C778C" w:rsidRPr="002620C8" w:rsidRDefault="009C778C" w:rsidP="0066752D">
            <w:pPr>
              <w:pStyle w:val="NoSpacing"/>
              <w:rPr>
                <w:b/>
                <w:bCs/>
              </w:rPr>
            </w:pPr>
            <w:proofErr w:type="spellStart"/>
            <w:r w:rsidRPr="002620C8">
              <w:rPr>
                <w:b/>
                <w:bCs/>
              </w:rPr>
              <w:t>FOREIGN_ACTG</w:t>
            </w:r>
            <w:r w:rsidRPr="002620C8">
              <w:rPr>
                <w:b/>
                <w:bCs/>
                <w:vertAlign w:val="subscript"/>
              </w:rPr>
              <w:t>t</w:t>
            </w:r>
            <w:proofErr w:type="spellEnd"/>
            <w:r w:rsidRPr="002620C8">
              <w:rPr>
                <w:b/>
                <w:bCs/>
                <w:vertAlign w:val="subscript"/>
              </w:rPr>
              <w:t> − 1</w:t>
            </w:r>
          </w:p>
        </w:tc>
        <w:tc>
          <w:tcPr>
            <w:tcW w:w="1260" w:type="dxa"/>
            <w:hideMark/>
          </w:tcPr>
          <w:p w14:paraId="6843CDAC" w14:textId="77777777" w:rsidR="009C778C" w:rsidRPr="002620C8" w:rsidRDefault="009C778C" w:rsidP="0066752D">
            <w:pPr>
              <w:pStyle w:val="NoSpacing"/>
            </w:pPr>
            <w:r w:rsidRPr="002620C8">
              <w:rPr>
                <w:b/>
                <w:bCs/>
              </w:rPr>
              <w:t>–</w:t>
            </w:r>
          </w:p>
        </w:tc>
        <w:tc>
          <w:tcPr>
            <w:tcW w:w="1350" w:type="dxa"/>
            <w:hideMark/>
          </w:tcPr>
          <w:p w14:paraId="0C362265" w14:textId="77777777" w:rsidR="009C778C" w:rsidRPr="002620C8" w:rsidRDefault="009C778C" w:rsidP="0066752D">
            <w:pPr>
              <w:pStyle w:val="NoSpacing"/>
            </w:pPr>
          </w:p>
        </w:tc>
        <w:tc>
          <w:tcPr>
            <w:tcW w:w="1350" w:type="dxa"/>
            <w:hideMark/>
          </w:tcPr>
          <w:p w14:paraId="13D2272E" w14:textId="77777777" w:rsidR="009C778C" w:rsidRPr="002620C8" w:rsidRDefault="009C778C" w:rsidP="0066752D">
            <w:pPr>
              <w:pStyle w:val="NoSpacing"/>
            </w:pPr>
          </w:p>
        </w:tc>
        <w:tc>
          <w:tcPr>
            <w:tcW w:w="1260" w:type="dxa"/>
            <w:hideMark/>
          </w:tcPr>
          <w:p w14:paraId="0035C2D1" w14:textId="77777777" w:rsidR="009C778C" w:rsidRPr="002620C8" w:rsidRDefault="009C778C" w:rsidP="0066752D">
            <w:pPr>
              <w:pStyle w:val="NoSpacing"/>
            </w:pPr>
            <w:r w:rsidRPr="002620C8">
              <w:t>− 0.192*</w:t>
            </w:r>
          </w:p>
        </w:tc>
        <w:tc>
          <w:tcPr>
            <w:tcW w:w="1255" w:type="dxa"/>
            <w:hideMark/>
          </w:tcPr>
          <w:p w14:paraId="297F7AC2" w14:textId="77777777" w:rsidR="009C778C" w:rsidRPr="002620C8" w:rsidRDefault="009C778C" w:rsidP="0066752D">
            <w:pPr>
              <w:pStyle w:val="NoSpacing"/>
            </w:pPr>
          </w:p>
        </w:tc>
      </w:tr>
      <w:tr w:rsidR="00F655B2" w:rsidRPr="002620C8" w14:paraId="47984264" w14:textId="77777777" w:rsidTr="00F655B2">
        <w:tc>
          <w:tcPr>
            <w:tcW w:w="3595" w:type="dxa"/>
            <w:hideMark/>
          </w:tcPr>
          <w:p w14:paraId="67CA08E8" w14:textId="77777777" w:rsidR="009C778C" w:rsidRPr="002620C8" w:rsidRDefault="009C778C" w:rsidP="0066752D">
            <w:pPr>
              <w:pStyle w:val="NoSpacing"/>
              <w:rPr>
                <w:b/>
                <w:bCs/>
              </w:rPr>
            </w:pPr>
          </w:p>
        </w:tc>
        <w:tc>
          <w:tcPr>
            <w:tcW w:w="1260" w:type="dxa"/>
            <w:hideMark/>
          </w:tcPr>
          <w:p w14:paraId="4CC4AB36" w14:textId="77777777" w:rsidR="009C778C" w:rsidRPr="002620C8" w:rsidRDefault="009C778C" w:rsidP="0066752D">
            <w:pPr>
              <w:pStyle w:val="NoSpacing"/>
            </w:pPr>
          </w:p>
        </w:tc>
        <w:tc>
          <w:tcPr>
            <w:tcW w:w="1350" w:type="dxa"/>
            <w:hideMark/>
          </w:tcPr>
          <w:p w14:paraId="2FE904EB" w14:textId="77777777" w:rsidR="009C778C" w:rsidRPr="002620C8" w:rsidRDefault="009C778C" w:rsidP="0066752D">
            <w:pPr>
              <w:pStyle w:val="NoSpacing"/>
            </w:pPr>
          </w:p>
        </w:tc>
        <w:tc>
          <w:tcPr>
            <w:tcW w:w="1350" w:type="dxa"/>
            <w:hideMark/>
          </w:tcPr>
          <w:p w14:paraId="196E7E18" w14:textId="77777777" w:rsidR="009C778C" w:rsidRPr="002620C8" w:rsidRDefault="009C778C" w:rsidP="0066752D">
            <w:pPr>
              <w:pStyle w:val="NoSpacing"/>
            </w:pPr>
          </w:p>
        </w:tc>
        <w:tc>
          <w:tcPr>
            <w:tcW w:w="1260" w:type="dxa"/>
            <w:hideMark/>
          </w:tcPr>
          <w:p w14:paraId="3EE82693" w14:textId="77777777" w:rsidR="009C778C" w:rsidRPr="002620C8" w:rsidRDefault="009C778C" w:rsidP="0066752D">
            <w:pPr>
              <w:pStyle w:val="NoSpacing"/>
            </w:pPr>
            <w:r w:rsidRPr="002620C8">
              <w:t>(− 1.76)</w:t>
            </w:r>
          </w:p>
        </w:tc>
        <w:tc>
          <w:tcPr>
            <w:tcW w:w="1255" w:type="dxa"/>
            <w:hideMark/>
          </w:tcPr>
          <w:p w14:paraId="6B1CB6A8" w14:textId="77777777" w:rsidR="009C778C" w:rsidRPr="002620C8" w:rsidRDefault="009C778C" w:rsidP="0066752D">
            <w:pPr>
              <w:pStyle w:val="NoSpacing"/>
            </w:pPr>
          </w:p>
        </w:tc>
      </w:tr>
      <w:tr w:rsidR="00F655B2" w:rsidRPr="002620C8" w14:paraId="46168286" w14:textId="77777777" w:rsidTr="00F655B2">
        <w:tc>
          <w:tcPr>
            <w:tcW w:w="3595" w:type="dxa"/>
            <w:hideMark/>
          </w:tcPr>
          <w:p w14:paraId="3737DDCE" w14:textId="77777777" w:rsidR="009C778C" w:rsidRPr="002620C8" w:rsidRDefault="009C778C" w:rsidP="0066752D">
            <w:pPr>
              <w:pStyle w:val="NoSpacing"/>
              <w:rPr>
                <w:b/>
                <w:bCs/>
              </w:rPr>
            </w:pPr>
            <w:proofErr w:type="spellStart"/>
            <w:r w:rsidRPr="002620C8">
              <w:rPr>
                <w:b/>
                <w:bCs/>
              </w:rPr>
              <w:t>FOREIGN_CULTURE</w:t>
            </w:r>
            <w:r w:rsidRPr="002620C8">
              <w:rPr>
                <w:b/>
                <w:bCs/>
                <w:vertAlign w:val="subscript"/>
              </w:rPr>
              <w:t>t</w:t>
            </w:r>
            <w:proofErr w:type="spellEnd"/>
            <w:r w:rsidRPr="002620C8">
              <w:rPr>
                <w:b/>
                <w:bCs/>
                <w:vertAlign w:val="subscript"/>
              </w:rPr>
              <w:t> − 1</w:t>
            </w:r>
          </w:p>
        </w:tc>
        <w:tc>
          <w:tcPr>
            <w:tcW w:w="1260" w:type="dxa"/>
            <w:hideMark/>
          </w:tcPr>
          <w:p w14:paraId="7544FBC1" w14:textId="77777777" w:rsidR="009C778C" w:rsidRPr="002620C8" w:rsidRDefault="009C778C" w:rsidP="0066752D">
            <w:pPr>
              <w:pStyle w:val="NoSpacing"/>
            </w:pPr>
            <w:r w:rsidRPr="002620C8">
              <w:rPr>
                <w:b/>
                <w:bCs/>
              </w:rPr>
              <w:t>–</w:t>
            </w:r>
          </w:p>
        </w:tc>
        <w:tc>
          <w:tcPr>
            <w:tcW w:w="1350" w:type="dxa"/>
            <w:hideMark/>
          </w:tcPr>
          <w:p w14:paraId="727B05BC" w14:textId="77777777" w:rsidR="009C778C" w:rsidRPr="002620C8" w:rsidRDefault="009C778C" w:rsidP="0066752D">
            <w:pPr>
              <w:pStyle w:val="NoSpacing"/>
            </w:pPr>
          </w:p>
        </w:tc>
        <w:tc>
          <w:tcPr>
            <w:tcW w:w="1350" w:type="dxa"/>
            <w:hideMark/>
          </w:tcPr>
          <w:p w14:paraId="7497E96A" w14:textId="77777777" w:rsidR="009C778C" w:rsidRPr="002620C8" w:rsidRDefault="009C778C" w:rsidP="0066752D">
            <w:pPr>
              <w:pStyle w:val="NoSpacing"/>
            </w:pPr>
          </w:p>
        </w:tc>
        <w:tc>
          <w:tcPr>
            <w:tcW w:w="1260" w:type="dxa"/>
            <w:hideMark/>
          </w:tcPr>
          <w:p w14:paraId="02E28BE9" w14:textId="77777777" w:rsidR="009C778C" w:rsidRPr="002620C8" w:rsidRDefault="009C778C" w:rsidP="0066752D">
            <w:pPr>
              <w:pStyle w:val="NoSpacing"/>
            </w:pPr>
          </w:p>
        </w:tc>
        <w:tc>
          <w:tcPr>
            <w:tcW w:w="1255" w:type="dxa"/>
            <w:hideMark/>
          </w:tcPr>
          <w:p w14:paraId="481E1B9F" w14:textId="77777777" w:rsidR="009C778C" w:rsidRPr="002620C8" w:rsidRDefault="009C778C" w:rsidP="0066752D">
            <w:pPr>
              <w:pStyle w:val="NoSpacing"/>
            </w:pPr>
            <w:r w:rsidRPr="002620C8">
              <w:t>− 0.294***</w:t>
            </w:r>
          </w:p>
        </w:tc>
      </w:tr>
      <w:tr w:rsidR="00F655B2" w:rsidRPr="002620C8" w14:paraId="39D3C2AE" w14:textId="77777777" w:rsidTr="00F655B2">
        <w:tc>
          <w:tcPr>
            <w:tcW w:w="3595" w:type="dxa"/>
            <w:hideMark/>
          </w:tcPr>
          <w:p w14:paraId="689A1E67" w14:textId="77777777" w:rsidR="009C778C" w:rsidRPr="002620C8" w:rsidRDefault="009C778C" w:rsidP="0066752D">
            <w:pPr>
              <w:pStyle w:val="NoSpacing"/>
              <w:rPr>
                <w:b/>
                <w:bCs/>
              </w:rPr>
            </w:pPr>
          </w:p>
        </w:tc>
        <w:tc>
          <w:tcPr>
            <w:tcW w:w="1260" w:type="dxa"/>
            <w:hideMark/>
          </w:tcPr>
          <w:p w14:paraId="7B8D3972" w14:textId="77777777" w:rsidR="009C778C" w:rsidRPr="002620C8" w:rsidRDefault="009C778C" w:rsidP="0066752D">
            <w:pPr>
              <w:pStyle w:val="NoSpacing"/>
            </w:pPr>
          </w:p>
        </w:tc>
        <w:tc>
          <w:tcPr>
            <w:tcW w:w="1350" w:type="dxa"/>
            <w:hideMark/>
          </w:tcPr>
          <w:p w14:paraId="73E1B70F" w14:textId="77777777" w:rsidR="009C778C" w:rsidRPr="002620C8" w:rsidRDefault="009C778C" w:rsidP="0066752D">
            <w:pPr>
              <w:pStyle w:val="NoSpacing"/>
            </w:pPr>
          </w:p>
        </w:tc>
        <w:tc>
          <w:tcPr>
            <w:tcW w:w="1350" w:type="dxa"/>
            <w:hideMark/>
          </w:tcPr>
          <w:p w14:paraId="3538A2FA" w14:textId="77777777" w:rsidR="009C778C" w:rsidRPr="002620C8" w:rsidRDefault="009C778C" w:rsidP="0066752D">
            <w:pPr>
              <w:pStyle w:val="NoSpacing"/>
            </w:pPr>
          </w:p>
        </w:tc>
        <w:tc>
          <w:tcPr>
            <w:tcW w:w="1260" w:type="dxa"/>
            <w:hideMark/>
          </w:tcPr>
          <w:p w14:paraId="58D11348" w14:textId="77777777" w:rsidR="009C778C" w:rsidRPr="002620C8" w:rsidRDefault="009C778C" w:rsidP="0066752D">
            <w:pPr>
              <w:pStyle w:val="NoSpacing"/>
            </w:pPr>
          </w:p>
        </w:tc>
        <w:tc>
          <w:tcPr>
            <w:tcW w:w="1255" w:type="dxa"/>
            <w:hideMark/>
          </w:tcPr>
          <w:p w14:paraId="67DD8F6A" w14:textId="77777777" w:rsidR="009C778C" w:rsidRPr="002620C8" w:rsidRDefault="009C778C" w:rsidP="0066752D">
            <w:pPr>
              <w:pStyle w:val="NoSpacing"/>
            </w:pPr>
            <w:r w:rsidRPr="002620C8">
              <w:t>(− 3.02)</w:t>
            </w:r>
          </w:p>
        </w:tc>
      </w:tr>
      <w:tr w:rsidR="00F655B2" w:rsidRPr="002620C8" w14:paraId="7EB64CDD" w14:textId="77777777" w:rsidTr="00F655B2">
        <w:tc>
          <w:tcPr>
            <w:tcW w:w="3595" w:type="dxa"/>
            <w:hideMark/>
          </w:tcPr>
          <w:p w14:paraId="0BE059A4" w14:textId="77777777" w:rsidR="009C778C" w:rsidRPr="002620C8" w:rsidRDefault="009C778C" w:rsidP="0066752D">
            <w:pPr>
              <w:pStyle w:val="NoSpacing"/>
              <w:rPr>
                <w:b/>
                <w:bCs/>
              </w:rPr>
            </w:pPr>
            <w:proofErr w:type="spellStart"/>
            <w:r w:rsidRPr="002620C8">
              <w:rPr>
                <w:b/>
                <w:bCs/>
              </w:rPr>
              <w:t>SIZE</w:t>
            </w:r>
            <w:r w:rsidRPr="002620C8">
              <w:rPr>
                <w:b/>
                <w:bCs/>
                <w:vertAlign w:val="subscript"/>
              </w:rPr>
              <w:t>t</w:t>
            </w:r>
            <w:proofErr w:type="spellEnd"/>
            <w:r w:rsidRPr="002620C8">
              <w:rPr>
                <w:b/>
                <w:bCs/>
                <w:vertAlign w:val="subscript"/>
              </w:rPr>
              <w:t> − 1</w:t>
            </w:r>
          </w:p>
        </w:tc>
        <w:tc>
          <w:tcPr>
            <w:tcW w:w="1260" w:type="dxa"/>
            <w:hideMark/>
          </w:tcPr>
          <w:p w14:paraId="38DBA68B" w14:textId="77777777" w:rsidR="009C778C" w:rsidRPr="002620C8" w:rsidRDefault="009C778C" w:rsidP="0066752D">
            <w:pPr>
              <w:pStyle w:val="NoSpacing"/>
              <w:rPr>
                <w:b/>
                <w:bCs/>
              </w:rPr>
            </w:pPr>
          </w:p>
        </w:tc>
        <w:tc>
          <w:tcPr>
            <w:tcW w:w="1350" w:type="dxa"/>
            <w:hideMark/>
          </w:tcPr>
          <w:p w14:paraId="5D9104A7" w14:textId="77777777" w:rsidR="009C778C" w:rsidRPr="002620C8" w:rsidRDefault="009C778C" w:rsidP="0066752D">
            <w:pPr>
              <w:pStyle w:val="NoSpacing"/>
            </w:pPr>
            <w:r w:rsidRPr="002620C8">
              <w:t>− 0.023***</w:t>
            </w:r>
          </w:p>
        </w:tc>
        <w:tc>
          <w:tcPr>
            <w:tcW w:w="1350" w:type="dxa"/>
            <w:hideMark/>
          </w:tcPr>
          <w:p w14:paraId="1F6C5290" w14:textId="77777777" w:rsidR="009C778C" w:rsidRPr="002620C8" w:rsidRDefault="009C778C" w:rsidP="0066752D">
            <w:pPr>
              <w:pStyle w:val="NoSpacing"/>
            </w:pPr>
            <w:r w:rsidRPr="002620C8">
              <w:t>− 0.024***</w:t>
            </w:r>
          </w:p>
        </w:tc>
        <w:tc>
          <w:tcPr>
            <w:tcW w:w="1260" w:type="dxa"/>
            <w:hideMark/>
          </w:tcPr>
          <w:p w14:paraId="19A81443" w14:textId="77777777" w:rsidR="009C778C" w:rsidRPr="002620C8" w:rsidRDefault="009C778C" w:rsidP="0066752D">
            <w:pPr>
              <w:pStyle w:val="NoSpacing"/>
            </w:pPr>
            <w:r w:rsidRPr="002620C8">
              <w:t>− 0.024***</w:t>
            </w:r>
          </w:p>
        </w:tc>
        <w:tc>
          <w:tcPr>
            <w:tcW w:w="1255" w:type="dxa"/>
            <w:hideMark/>
          </w:tcPr>
          <w:p w14:paraId="601E1FC9" w14:textId="77777777" w:rsidR="009C778C" w:rsidRPr="002620C8" w:rsidRDefault="009C778C" w:rsidP="0066752D">
            <w:pPr>
              <w:pStyle w:val="NoSpacing"/>
            </w:pPr>
            <w:r w:rsidRPr="002620C8">
              <w:t>− 0.024***</w:t>
            </w:r>
          </w:p>
        </w:tc>
      </w:tr>
      <w:tr w:rsidR="00F655B2" w:rsidRPr="002620C8" w14:paraId="7CA892E6" w14:textId="77777777" w:rsidTr="00F655B2">
        <w:tc>
          <w:tcPr>
            <w:tcW w:w="3595" w:type="dxa"/>
            <w:hideMark/>
          </w:tcPr>
          <w:p w14:paraId="32AFBB3D" w14:textId="77777777" w:rsidR="009C778C" w:rsidRPr="002620C8" w:rsidRDefault="009C778C" w:rsidP="0066752D">
            <w:pPr>
              <w:pStyle w:val="NoSpacing"/>
              <w:rPr>
                <w:b/>
                <w:bCs/>
              </w:rPr>
            </w:pPr>
          </w:p>
        </w:tc>
        <w:tc>
          <w:tcPr>
            <w:tcW w:w="1260" w:type="dxa"/>
            <w:hideMark/>
          </w:tcPr>
          <w:p w14:paraId="1AAEDDDE" w14:textId="77777777" w:rsidR="009C778C" w:rsidRPr="002620C8" w:rsidRDefault="009C778C" w:rsidP="0066752D">
            <w:pPr>
              <w:pStyle w:val="NoSpacing"/>
            </w:pPr>
          </w:p>
        </w:tc>
        <w:tc>
          <w:tcPr>
            <w:tcW w:w="1350" w:type="dxa"/>
            <w:hideMark/>
          </w:tcPr>
          <w:p w14:paraId="418244CC" w14:textId="77777777" w:rsidR="009C778C" w:rsidRPr="002620C8" w:rsidRDefault="009C778C" w:rsidP="0066752D">
            <w:pPr>
              <w:pStyle w:val="NoSpacing"/>
            </w:pPr>
            <w:r w:rsidRPr="002620C8">
              <w:t>(− 6.87)</w:t>
            </w:r>
          </w:p>
        </w:tc>
        <w:tc>
          <w:tcPr>
            <w:tcW w:w="1350" w:type="dxa"/>
            <w:hideMark/>
          </w:tcPr>
          <w:p w14:paraId="3D9613F6" w14:textId="77777777" w:rsidR="009C778C" w:rsidRPr="002620C8" w:rsidRDefault="009C778C" w:rsidP="0066752D">
            <w:pPr>
              <w:pStyle w:val="NoSpacing"/>
            </w:pPr>
            <w:r w:rsidRPr="002620C8">
              <w:t>(− 7.45)</w:t>
            </w:r>
          </w:p>
        </w:tc>
        <w:tc>
          <w:tcPr>
            <w:tcW w:w="1260" w:type="dxa"/>
            <w:hideMark/>
          </w:tcPr>
          <w:p w14:paraId="418893A4" w14:textId="77777777" w:rsidR="009C778C" w:rsidRPr="002620C8" w:rsidRDefault="009C778C" w:rsidP="0066752D">
            <w:pPr>
              <w:pStyle w:val="NoSpacing"/>
            </w:pPr>
            <w:r w:rsidRPr="002620C8">
              <w:t>(− 7.47)</w:t>
            </w:r>
          </w:p>
        </w:tc>
        <w:tc>
          <w:tcPr>
            <w:tcW w:w="1255" w:type="dxa"/>
            <w:hideMark/>
          </w:tcPr>
          <w:p w14:paraId="2F94DB29" w14:textId="77777777" w:rsidR="009C778C" w:rsidRPr="002620C8" w:rsidRDefault="009C778C" w:rsidP="0066752D">
            <w:pPr>
              <w:pStyle w:val="NoSpacing"/>
            </w:pPr>
            <w:r w:rsidRPr="002620C8">
              <w:t>(− 7.58)</w:t>
            </w:r>
          </w:p>
        </w:tc>
      </w:tr>
      <w:tr w:rsidR="00F655B2" w:rsidRPr="002620C8" w14:paraId="03671A53" w14:textId="77777777" w:rsidTr="00F655B2">
        <w:tc>
          <w:tcPr>
            <w:tcW w:w="3595" w:type="dxa"/>
            <w:hideMark/>
          </w:tcPr>
          <w:p w14:paraId="6A188E0B" w14:textId="77777777" w:rsidR="009C778C" w:rsidRPr="002620C8" w:rsidRDefault="009C778C" w:rsidP="0066752D">
            <w:pPr>
              <w:pStyle w:val="NoSpacing"/>
              <w:rPr>
                <w:b/>
                <w:bCs/>
              </w:rPr>
            </w:pPr>
            <w:proofErr w:type="spellStart"/>
            <w:r w:rsidRPr="002620C8">
              <w:rPr>
                <w:b/>
                <w:bCs/>
              </w:rPr>
              <w:t>ROA</w:t>
            </w:r>
            <w:r w:rsidRPr="002620C8">
              <w:rPr>
                <w:b/>
                <w:bCs/>
                <w:vertAlign w:val="subscript"/>
              </w:rPr>
              <w:t>t</w:t>
            </w:r>
            <w:proofErr w:type="spellEnd"/>
            <w:r w:rsidRPr="002620C8">
              <w:rPr>
                <w:b/>
                <w:bCs/>
                <w:vertAlign w:val="subscript"/>
              </w:rPr>
              <w:t> − 1</w:t>
            </w:r>
          </w:p>
        </w:tc>
        <w:tc>
          <w:tcPr>
            <w:tcW w:w="1260" w:type="dxa"/>
            <w:hideMark/>
          </w:tcPr>
          <w:p w14:paraId="4B0E2C03" w14:textId="77777777" w:rsidR="009C778C" w:rsidRPr="002620C8" w:rsidRDefault="009C778C" w:rsidP="0066752D">
            <w:pPr>
              <w:pStyle w:val="NoSpacing"/>
              <w:rPr>
                <w:b/>
                <w:bCs/>
              </w:rPr>
            </w:pPr>
          </w:p>
        </w:tc>
        <w:tc>
          <w:tcPr>
            <w:tcW w:w="1350" w:type="dxa"/>
            <w:hideMark/>
          </w:tcPr>
          <w:p w14:paraId="79BB5E21" w14:textId="77777777" w:rsidR="009C778C" w:rsidRPr="002620C8" w:rsidRDefault="009C778C" w:rsidP="0066752D">
            <w:pPr>
              <w:pStyle w:val="NoSpacing"/>
            </w:pPr>
            <w:r w:rsidRPr="002620C8">
              <w:t>− 0.621***</w:t>
            </w:r>
          </w:p>
        </w:tc>
        <w:tc>
          <w:tcPr>
            <w:tcW w:w="1350" w:type="dxa"/>
            <w:hideMark/>
          </w:tcPr>
          <w:p w14:paraId="24171F89" w14:textId="77777777" w:rsidR="009C778C" w:rsidRPr="002620C8" w:rsidRDefault="009C778C" w:rsidP="0066752D">
            <w:pPr>
              <w:pStyle w:val="NoSpacing"/>
            </w:pPr>
            <w:r w:rsidRPr="002620C8">
              <w:t>− 0.621***</w:t>
            </w:r>
          </w:p>
        </w:tc>
        <w:tc>
          <w:tcPr>
            <w:tcW w:w="1260" w:type="dxa"/>
            <w:hideMark/>
          </w:tcPr>
          <w:p w14:paraId="262194E0" w14:textId="77777777" w:rsidR="009C778C" w:rsidRPr="002620C8" w:rsidRDefault="009C778C" w:rsidP="0066752D">
            <w:pPr>
              <w:pStyle w:val="NoSpacing"/>
            </w:pPr>
            <w:r w:rsidRPr="002620C8">
              <w:t>− 0.621***</w:t>
            </w:r>
          </w:p>
        </w:tc>
        <w:tc>
          <w:tcPr>
            <w:tcW w:w="1255" w:type="dxa"/>
            <w:hideMark/>
          </w:tcPr>
          <w:p w14:paraId="71592180" w14:textId="77777777" w:rsidR="009C778C" w:rsidRPr="002620C8" w:rsidRDefault="009C778C" w:rsidP="0066752D">
            <w:pPr>
              <w:pStyle w:val="NoSpacing"/>
            </w:pPr>
            <w:r w:rsidRPr="002620C8">
              <w:t>− 0.621***</w:t>
            </w:r>
          </w:p>
        </w:tc>
      </w:tr>
      <w:tr w:rsidR="00F655B2" w:rsidRPr="002620C8" w14:paraId="1AC3592B" w14:textId="77777777" w:rsidTr="00F655B2">
        <w:tc>
          <w:tcPr>
            <w:tcW w:w="3595" w:type="dxa"/>
            <w:hideMark/>
          </w:tcPr>
          <w:p w14:paraId="25698825" w14:textId="77777777" w:rsidR="009C778C" w:rsidRPr="002620C8" w:rsidRDefault="009C778C" w:rsidP="0066752D">
            <w:pPr>
              <w:pStyle w:val="NoSpacing"/>
              <w:rPr>
                <w:b/>
                <w:bCs/>
              </w:rPr>
            </w:pPr>
          </w:p>
        </w:tc>
        <w:tc>
          <w:tcPr>
            <w:tcW w:w="1260" w:type="dxa"/>
            <w:hideMark/>
          </w:tcPr>
          <w:p w14:paraId="5C98AA70" w14:textId="77777777" w:rsidR="009C778C" w:rsidRPr="002620C8" w:rsidRDefault="009C778C" w:rsidP="0066752D">
            <w:pPr>
              <w:pStyle w:val="NoSpacing"/>
            </w:pPr>
          </w:p>
        </w:tc>
        <w:tc>
          <w:tcPr>
            <w:tcW w:w="1350" w:type="dxa"/>
            <w:hideMark/>
          </w:tcPr>
          <w:p w14:paraId="67CF70F6" w14:textId="77777777" w:rsidR="009C778C" w:rsidRPr="002620C8" w:rsidRDefault="009C778C" w:rsidP="0066752D">
            <w:pPr>
              <w:pStyle w:val="NoSpacing"/>
            </w:pPr>
            <w:r w:rsidRPr="002620C8">
              <w:t>(− 16.12)</w:t>
            </w:r>
          </w:p>
        </w:tc>
        <w:tc>
          <w:tcPr>
            <w:tcW w:w="1350" w:type="dxa"/>
            <w:hideMark/>
          </w:tcPr>
          <w:p w14:paraId="1C2D8B40" w14:textId="77777777" w:rsidR="009C778C" w:rsidRPr="002620C8" w:rsidRDefault="009C778C" w:rsidP="0066752D">
            <w:pPr>
              <w:pStyle w:val="NoSpacing"/>
            </w:pPr>
            <w:r w:rsidRPr="002620C8">
              <w:t>(− 16.11)</w:t>
            </w:r>
          </w:p>
        </w:tc>
        <w:tc>
          <w:tcPr>
            <w:tcW w:w="1260" w:type="dxa"/>
            <w:hideMark/>
          </w:tcPr>
          <w:p w14:paraId="1A43CFB9" w14:textId="77777777" w:rsidR="009C778C" w:rsidRPr="002620C8" w:rsidRDefault="009C778C" w:rsidP="0066752D">
            <w:pPr>
              <w:pStyle w:val="NoSpacing"/>
            </w:pPr>
            <w:r w:rsidRPr="002620C8">
              <w:t>(− 16.09)</w:t>
            </w:r>
          </w:p>
        </w:tc>
        <w:tc>
          <w:tcPr>
            <w:tcW w:w="1255" w:type="dxa"/>
            <w:hideMark/>
          </w:tcPr>
          <w:p w14:paraId="3684ABE6" w14:textId="77777777" w:rsidR="009C778C" w:rsidRPr="002620C8" w:rsidRDefault="009C778C" w:rsidP="0066752D">
            <w:pPr>
              <w:pStyle w:val="NoSpacing"/>
            </w:pPr>
            <w:r w:rsidRPr="002620C8">
              <w:t>(− 16.10)</w:t>
            </w:r>
          </w:p>
        </w:tc>
      </w:tr>
      <w:tr w:rsidR="00F655B2" w:rsidRPr="002620C8" w14:paraId="4B0B34D3" w14:textId="77777777" w:rsidTr="00F655B2">
        <w:tc>
          <w:tcPr>
            <w:tcW w:w="3595" w:type="dxa"/>
            <w:hideMark/>
          </w:tcPr>
          <w:p w14:paraId="53408C74" w14:textId="77777777" w:rsidR="009C778C" w:rsidRPr="002620C8" w:rsidRDefault="009C778C" w:rsidP="0066752D">
            <w:pPr>
              <w:pStyle w:val="NoSpacing"/>
              <w:rPr>
                <w:b/>
                <w:bCs/>
              </w:rPr>
            </w:pPr>
            <w:proofErr w:type="spellStart"/>
            <w:r w:rsidRPr="002620C8">
              <w:rPr>
                <w:b/>
                <w:bCs/>
              </w:rPr>
              <w:t>MTB</w:t>
            </w:r>
            <w:r w:rsidRPr="002620C8">
              <w:rPr>
                <w:b/>
                <w:bCs/>
                <w:vertAlign w:val="subscript"/>
              </w:rPr>
              <w:t>t</w:t>
            </w:r>
            <w:proofErr w:type="spellEnd"/>
            <w:r w:rsidRPr="002620C8">
              <w:rPr>
                <w:b/>
                <w:bCs/>
                <w:vertAlign w:val="subscript"/>
              </w:rPr>
              <w:t> − 1</w:t>
            </w:r>
          </w:p>
        </w:tc>
        <w:tc>
          <w:tcPr>
            <w:tcW w:w="1260" w:type="dxa"/>
            <w:hideMark/>
          </w:tcPr>
          <w:p w14:paraId="6E592311" w14:textId="77777777" w:rsidR="009C778C" w:rsidRPr="002620C8" w:rsidRDefault="009C778C" w:rsidP="0066752D">
            <w:pPr>
              <w:pStyle w:val="NoSpacing"/>
              <w:rPr>
                <w:b/>
                <w:bCs/>
              </w:rPr>
            </w:pPr>
          </w:p>
        </w:tc>
        <w:tc>
          <w:tcPr>
            <w:tcW w:w="1350" w:type="dxa"/>
            <w:hideMark/>
          </w:tcPr>
          <w:p w14:paraId="6CA336B6" w14:textId="77777777" w:rsidR="009C778C" w:rsidRPr="002620C8" w:rsidRDefault="009C778C" w:rsidP="0066752D">
            <w:pPr>
              <w:pStyle w:val="NoSpacing"/>
            </w:pPr>
            <w:r w:rsidRPr="002620C8">
              <w:t>− 0.019*</w:t>
            </w:r>
          </w:p>
        </w:tc>
        <w:tc>
          <w:tcPr>
            <w:tcW w:w="1350" w:type="dxa"/>
            <w:hideMark/>
          </w:tcPr>
          <w:p w14:paraId="4C76E7EA" w14:textId="77777777" w:rsidR="009C778C" w:rsidRPr="002620C8" w:rsidRDefault="009C778C" w:rsidP="0066752D">
            <w:pPr>
              <w:pStyle w:val="NoSpacing"/>
            </w:pPr>
            <w:r w:rsidRPr="002620C8">
              <w:t>− 0.020**</w:t>
            </w:r>
          </w:p>
        </w:tc>
        <w:tc>
          <w:tcPr>
            <w:tcW w:w="1260" w:type="dxa"/>
            <w:hideMark/>
          </w:tcPr>
          <w:p w14:paraId="08ABE955" w14:textId="77777777" w:rsidR="009C778C" w:rsidRPr="002620C8" w:rsidRDefault="009C778C" w:rsidP="0066752D">
            <w:pPr>
              <w:pStyle w:val="NoSpacing"/>
            </w:pPr>
            <w:r w:rsidRPr="002620C8">
              <w:t>− 0.020**</w:t>
            </w:r>
          </w:p>
        </w:tc>
        <w:tc>
          <w:tcPr>
            <w:tcW w:w="1255" w:type="dxa"/>
            <w:hideMark/>
          </w:tcPr>
          <w:p w14:paraId="462315E1" w14:textId="77777777" w:rsidR="009C778C" w:rsidRPr="002620C8" w:rsidRDefault="009C778C" w:rsidP="0066752D">
            <w:pPr>
              <w:pStyle w:val="NoSpacing"/>
            </w:pPr>
            <w:r w:rsidRPr="002620C8">
              <w:t>− 0.021**</w:t>
            </w:r>
          </w:p>
        </w:tc>
      </w:tr>
      <w:tr w:rsidR="00F655B2" w:rsidRPr="002620C8" w14:paraId="404D433E" w14:textId="77777777" w:rsidTr="00F655B2">
        <w:tc>
          <w:tcPr>
            <w:tcW w:w="3595" w:type="dxa"/>
            <w:hideMark/>
          </w:tcPr>
          <w:p w14:paraId="07F66590" w14:textId="77777777" w:rsidR="009C778C" w:rsidRPr="002620C8" w:rsidRDefault="009C778C" w:rsidP="0066752D">
            <w:pPr>
              <w:pStyle w:val="NoSpacing"/>
              <w:rPr>
                <w:b/>
                <w:bCs/>
              </w:rPr>
            </w:pPr>
          </w:p>
        </w:tc>
        <w:tc>
          <w:tcPr>
            <w:tcW w:w="1260" w:type="dxa"/>
            <w:hideMark/>
          </w:tcPr>
          <w:p w14:paraId="12A2EFCD" w14:textId="77777777" w:rsidR="009C778C" w:rsidRPr="002620C8" w:rsidRDefault="009C778C" w:rsidP="0066752D">
            <w:pPr>
              <w:pStyle w:val="NoSpacing"/>
            </w:pPr>
          </w:p>
        </w:tc>
        <w:tc>
          <w:tcPr>
            <w:tcW w:w="1350" w:type="dxa"/>
            <w:hideMark/>
          </w:tcPr>
          <w:p w14:paraId="0FD63E94" w14:textId="77777777" w:rsidR="009C778C" w:rsidRPr="002620C8" w:rsidRDefault="009C778C" w:rsidP="0066752D">
            <w:pPr>
              <w:pStyle w:val="NoSpacing"/>
            </w:pPr>
            <w:r w:rsidRPr="002620C8">
              <w:t>(− 1.90)</w:t>
            </w:r>
          </w:p>
        </w:tc>
        <w:tc>
          <w:tcPr>
            <w:tcW w:w="1350" w:type="dxa"/>
            <w:hideMark/>
          </w:tcPr>
          <w:p w14:paraId="292B6299" w14:textId="77777777" w:rsidR="009C778C" w:rsidRPr="002620C8" w:rsidRDefault="009C778C" w:rsidP="0066752D">
            <w:pPr>
              <w:pStyle w:val="NoSpacing"/>
            </w:pPr>
            <w:r w:rsidRPr="002620C8">
              <w:t>(− 2.01)</w:t>
            </w:r>
          </w:p>
        </w:tc>
        <w:tc>
          <w:tcPr>
            <w:tcW w:w="1260" w:type="dxa"/>
            <w:hideMark/>
          </w:tcPr>
          <w:p w14:paraId="00724F38" w14:textId="77777777" w:rsidR="009C778C" w:rsidRPr="002620C8" w:rsidRDefault="009C778C" w:rsidP="0066752D">
            <w:pPr>
              <w:pStyle w:val="NoSpacing"/>
            </w:pPr>
            <w:r w:rsidRPr="002620C8">
              <w:t>(− 2.03)</w:t>
            </w:r>
          </w:p>
        </w:tc>
        <w:tc>
          <w:tcPr>
            <w:tcW w:w="1255" w:type="dxa"/>
            <w:hideMark/>
          </w:tcPr>
          <w:p w14:paraId="3C55BD55" w14:textId="77777777" w:rsidR="009C778C" w:rsidRPr="002620C8" w:rsidRDefault="009C778C" w:rsidP="0066752D">
            <w:pPr>
              <w:pStyle w:val="NoSpacing"/>
            </w:pPr>
            <w:r w:rsidRPr="002620C8">
              <w:t>(− 2.09)</w:t>
            </w:r>
          </w:p>
        </w:tc>
      </w:tr>
      <w:tr w:rsidR="00F655B2" w:rsidRPr="002620C8" w14:paraId="28DB7DC2" w14:textId="77777777" w:rsidTr="00F655B2">
        <w:tc>
          <w:tcPr>
            <w:tcW w:w="3595" w:type="dxa"/>
            <w:hideMark/>
          </w:tcPr>
          <w:p w14:paraId="6F196CE6" w14:textId="77777777" w:rsidR="009C778C" w:rsidRPr="002620C8" w:rsidRDefault="009C778C" w:rsidP="0066752D">
            <w:pPr>
              <w:pStyle w:val="NoSpacing"/>
              <w:rPr>
                <w:b/>
                <w:bCs/>
              </w:rPr>
            </w:pPr>
            <w:proofErr w:type="spellStart"/>
            <w:r w:rsidRPr="002620C8">
              <w:rPr>
                <w:b/>
                <w:bCs/>
              </w:rPr>
              <w:t>SALEGROWTH</w:t>
            </w:r>
            <w:r w:rsidRPr="002620C8">
              <w:rPr>
                <w:b/>
                <w:bCs/>
                <w:vertAlign w:val="subscript"/>
              </w:rPr>
              <w:t>t</w:t>
            </w:r>
            <w:proofErr w:type="spellEnd"/>
            <w:r w:rsidRPr="002620C8">
              <w:rPr>
                <w:b/>
                <w:bCs/>
                <w:vertAlign w:val="subscript"/>
              </w:rPr>
              <w:t> − 1</w:t>
            </w:r>
          </w:p>
        </w:tc>
        <w:tc>
          <w:tcPr>
            <w:tcW w:w="1260" w:type="dxa"/>
            <w:hideMark/>
          </w:tcPr>
          <w:p w14:paraId="3D73A96B" w14:textId="77777777" w:rsidR="009C778C" w:rsidRPr="002620C8" w:rsidRDefault="009C778C" w:rsidP="0066752D">
            <w:pPr>
              <w:pStyle w:val="NoSpacing"/>
              <w:rPr>
                <w:b/>
                <w:bCs/>
              </w:rPr>
            </w:pPr>
          </w:p>
        </w:tc>
        <w:tc>
          <w:tcPr>
            <w:tcW w:w="1350" w:type="dxa"/>
            <w:hideMark/>
          </w:tcPr>
          <w:p w14:paraId="19373D13" w14:textId="77777777" w:rsidR="009C778C" w:rsidRPr="002620C8" w:rsidRDefault="009C778C" w:rsidP="0066752D">
            <w:pPr>
              <w:pStyle w:val="NoSpacing"/>
            </w:pPr>
            <w:r w:rsidRPr="002620C8">
              <w:t>0.033**</w:t>
            </w:r>
          </w:p>
        </w:tc>
        <w:tc>
          <w:tcPr>
            <w:tcW w:w="1350" w:type="dxa"/>
            <w:hideMark/>
          </w:tcPr>
          <w:p w14:paraId="772EB526" w14:textId="77777777" w:rsidR="009C778C" w:rsidRPr="002620C8" w:rsidRDefault="009C778C" w:rsidP="0066752D">
            <w:pPr>
              <w:pStyle w:val="NoSpacing"/>
            </w:pPr>
            <w:r w:rsidRPr="002620C8">
              <w:t>0.033**</w:t>
            </w:r>
          </w:p>
        </w:tc>
        <w:tc>
          <w:tcPr>
            <w:tcW w:w="1260" w:type="dxa"/>
            <w:hideMark/>
          </w:tcPr>
          <w:p w14:paraId="55E87C4C" w14:textId="77777777" w:rsidR="009C778C" w:rsidRPr="002620C8" w:rsidRDefault="009C778C" w:rsidP="0066752D">
            <w:pPr>
              <w:pStyle w:val="NoSpacing"/>
            </w:pPr>
            <w:r w:rsidRPr="002620C8">
              <w:t>0.033**</w:t>
            </w:r>
          </w:p>
        </w:tc>
        <w:tc>
          <w:tcPr>
            <w:tcW w:w="1255" w:type="dxa"/>
            <w:hideMark/>
          </w:tcPr>
          <w:p w14:paraId="52F55570" w14:textId="77777777" w:rsidR="009C778C" w:rsidRPr="002620C8" w:rsidRDefault="009C778C" w:rsidP="0066752D">
            <w:pPr>
              <w:pStyle w:val="NoSpacing"/>
            </w:pPr>
            <w:r w:rsidRPr="002620C8">
              <w:t>0.033**</w:t>
            </w:r>
          </w:p>
        </w:tc>
      </w:tr>
      <w:tr w:rsidR="00F655B2" w:rsidRPr="002620C8" w14:paraId="40519D67" w14:textId="77777777" w:rsidTr="00F655B2">
        <w:tc>
          <w:tcPr>
            <w:tcW w:w="3595" w:type="dxa"/>
            <w:hideMark/>
          </w:tcPr>
          <w:p w14:paraId="07744DAD" w14:textId="77777777" w:rsidR="009C778C" w:rsidRPr="002620C8" w:rsidRDefault="009C778C" w:rsidP="0066752D">
            <w:pPr>
              <w:pStyle w:val="NoSpacing"/>
              <w:rPr>
                <w:b/>
                <w:bCs/>
              </w:rPr>
            </w:pPr>
          </w:p>
        </w:tc>
        <w:tc>
          <w:tcPr>
            <w:tcW w:w="1260" w:type="dxa"/>
            <w:hideMark/>
          </w:tcPr>
          <w:p w14:paraId="13D4A34B" w14:textId="77777777" w:rsidR="009C778C" w:rsidRPr="002620C8" w:rsidRDefault="009C778C" w:rsidP="0066752D">
            <w:pPr>
              <w:pStyle w:val="NoSpacing"/>
            </w:pPr>
          </w:p>
        </w:tc>
        <w:tc>
          <w:tcPr>
            <w:tcW w:w="1350" w:type="dxa"/>
            <w:hideMark/>
          </w:tcPr>
          <w:p w14:paraId="5F89259F" w14:textId="77777777" w:rsidR="009C778C" w:rsidRPr="002620C8" w:rsidRDefault="009C778C" w:rsidP="0066752D">
            <w:pPr>
              <w:pStyle w:val="NoSpacing"/>
            </w:pPr>
            <w:r w:rsidRPr="002620C8">
              <w:t>(2.44)</w:t>
            </w:r>
          </w:p>
        </w:tc>
        <w:tc>
          <w:tcPr>
            <w:tcW w:w="1350" w:type="dxa"/>
            <w:hideMark/>
          </w:tcPr>
          <w:p w14:paraId="2B753980" w14:textId="77777777" w:rsidR="009C778C" w:rsidRPr="002620C8" w:rsidRDefault="009C778C" w:rsidP="0066752D">
            <w:pPr>
              <w:pStyle w:val="NoSpacing"/>
            </w:pPr>
            <w:r w:rsidRPr="002620C8">
              <w:t>(2.47)</w:t>
            </w:r>
          </w:p>
        </w:tc>
        <w:tc>
          <w:tcPr>
            <w:tcW w:w="1260" w:type="dxa"/>
            <w:hideMark/>
          </w:tcPr>
          <w:p w14:paraId="4B2BBD30" w14:textId="77777777" w:rsidR="009C778C" w:rsidRPr="002620C8" w:rsidRDefault="009C778C" w:rsidP="0066752D">
            <w:pPr>
              <w:pStyle w:val="NoSpacing"/>
            </w:pPr>
            <w:r w:rsidRPr="002620C8">
              <w:t>(2.45)</w:t>
            </w:r>
          </w:p>
        </w:tc>
        <w:tc>
          <w:tcPr>
            <w:tcW w:w="1255" w:type="dxa"/>
            <w:hideMark/>
          </w:tcPr>
          <w:p w14:paraId="6805C489" w14:textId="77777777" w:rsidR="009C778C" w:rsidRPr="002620C8" w:rsidRDefault="009C778C" w:rsidP="0066752D">
            <w:pPr>
              <w:pStyle w:val="NoSpacing"/>
            </w:pPr>
            <w:r w:rsidRPr="002620C8">
              <w:t>(2.45)</w:t>
            </w:r>
          </w:p>
        </w:tc>
      </w:tr>
      <w:tr w:rsidR="00F655B2" w:rsidRPr="002620C8" w14:paraId="162AD735" w14:textId="77777777" w:rsidTr="00F655B2">
        <w:tc>
          <w:tcPr>
            <w:tcW w:w="3595" w:type="dxa"/>
            <w:hideMark/>
          </w:tcPr>
          <w:p w14:paraId="161045E6" w14:textId="77777777" w:rsidR="009C778C" w:rsidRPr="002620C8" w:rsidRDefault="009C778C" w:rsidP="0066752D">
            <w:pPr>
              <w:pStyle w:val="NoSpacing"/>
              <w:rPr>
                <w:b/>
                <w:bCs/>
              </w:rPr>
            </w:pPr>
            <w:proofErr w:type="spellStart"/>
            <w:r w:rsidRPr="002620C8">
              <w:rPr>
                <w:b/>
                <w:bCs/>
              </w:rPr>
              <w:t>LEV</w:t>
            </w:r>
            <w:r w:rsidRPr="002620C8">
              <w:rPr>
                <w:b/>
                <w:bCs/>
                <w:vertAlign w:val="subscript"/>
              </w:rPr>
              <w:t>t</w:t>
            </w:r>
            <w:proofErr w:type="spellEnd"/>
            <w:r w:rsidRPr="002620C8">
              <w:rPr>
                <w:b/>
                <w:bCs/>
                <w:vertAlign w:val="subscript"/>
              </w:rPr>
              <w:t> − 1</w:t>
            </w:r>
          </w:p>
        </w:tc>
        <w:tc>
          <w:tcPr>
            <w:tcW w:w="1260" w:type="dxa"/>
            <w:hideMark/>
          </w:tcPr>
          <w:p w14:paraId="095634FE" w14:textId="77777777" w:rsidR="009C778C" w:rsidRPr="002620C8" w:rsidRDefault="009C778C" w:rsidP="0066752D">
            <w:pPr>
              <w:pStyle w:val="NoSpacing"/>
              <w:rPr>
                <w:b/>
                <w:bCs/>
              </w:rPr>
            </w:pPr>
          </w:p>
        </w:tc>
        <w:tc>
          <w:tcPr>
            <w:tcW w:w="1350" w:type="dxa"/>
            <w:hideMark/>
          </w:tcPr>
          <w:p w14:paraId="4B3B9CBC" w14:textId="77777777" w:rsidR="009C778C" w:rsidRPr="002620C8" w:rsidRDefault="009C778C" w:rsidP="0066752D">
            <w:pPr>
              <w:pStyle w:val="NoSpacing"/>
            </w:pPr>
            <w:r w:rsidRPr="002620C8">
              <w:t>0.228***</w:t>
            </w:r>
          </w:p>
        </w:tc>
        <w:tc>
          <w:tcPr>
            <w:tcW w:w="1350" w:type="dxa"/>
            <w:hideMark/>
          </w:tcPr>
          <w:p w14:paraId="48F8B56F" w14:textId="77777777" w:rsidR="009C778C" w:rsidRPr="002620C8" w:rsidRDefault="009C778C" w:rsidP="0066752D">
            <w:pPr>
              <w:pStyle w:val="NoSpacing"/>
            </w:pPr>
            <w:r w:rsidRPr="002620C8">
              <w:t>0.231***</w:t>
            </w:r>
          </w:p>
        </w:tc>
        <w:tc>
          <w:tcPr>
            <w:tcW w:w="1260" w:type="dxa"/>
            <w:hideMark/>
          </w:tcPr>
          <w:p w14:paraId="085534B3" w14:textId="77777777" w:rsidR="009C778C" w:rsidRPr="002620C8" w:rsidRDefault="009C778C" w:rsidP="0066752D">
            <w:pPr>
              <w:pStyle w:val="NoSpacing"/>
            </w:pPr>
            <w:r w:rsidRPr="002620C8">
              <w:t>0.231***</w:t>
            </w:r>
          </w:p>
        </w:tc>
        <w:tc>
          <w:tcPr>
            <w:tcW w:w="1255" w:type="dxa"/>
            <w:hideMark/>
          </w:tcPr>
          <w:p w14:paraId="47D3748B" w14:textId="77777777" w:rsidR="009C778C" w:rsidRPr="002620C8" w:rsidRDefault="009C778C" w:rsidP="0066752D">
            <w:pPr>
              <w:pStyle w:val="NoSpacing"/>
            </w:pPr>
            <w:r w:rsidRPr="002620C8">
              <w:t>0.232***</w:t>
            </w:r>
          </w:p>
        </w:tc>
      </w:tr>
      <w:tr w:rsidR="00F655B2" w:rsidRPr="002620C8" w14:paraId="53E99A8E" w14:textId="77777777" w:rsidTr="00F655B2">
        <w:tc>
          <w:tcPr>
            <w:tcW w:w="3595" w:type="dxa"/>
            <w:hideMark/>
          </w:tcPr>
          <w:p w14:paraId="048ED683" w14:textId="77777777" w:rsidR="009C778C" w:rsidRPr="002620C8" w:rsidRDefault="009C778C" w:rsidP="0066752D">
            <w:pPr>
              <w:pStyle w:val="NoSpacing"/>
              <w:rPr>
                <w:b/>
                <w:bCs/>
              </w:rPr>
            </w:pPr>
          </w:p>
        </w:tc>
        <w:tc>
          <w:tcPr>
            <w:tcW w:w="1260" w:type="dxa"/>
            <w:hideMark/>
          </w:tcPr>
          <w:p w14:paraId="76C8134A" w14:textId="77777777" w:rsidR="009C778C" w:rsidRPr="002620C8" w:rsidRDefault="009C778C" w:rsidP="0066752D">
            <w:pPr>
              <w:pStyle w:val="NoSpacing"/>
            </w:pPr>
          </w:p>
        </w:tc>
        <w:tc>
          <w:tcPr>
            <w:tcW w:w="1350" w:type="dxa"/>
            <w:hideMark/>
          </w:tcPr>
          <w:p w14:paraId="7498E475" w14:textId="77777777" w:rsidR="009C778C" w:rsidRPr="002620C8" w:rsidRDefault="009C778C" w:rsidP="0066752D">
            <w:pPr>
              <w:pStyle w:val="NoSpacing"/>
            </w:pPr>
            <w:r w:rsidRPr="002620C8">
              <w:t>(7.23)</w:t>
            </w:r>
          </w:p>
        </w:tc>
        <w:tc>
          <w:tcPr>
            <w:tcW w:w="1350" w:type="dxa"/>
            <w:hideMark/>
          </w:tcPr>
          <w:p w14:paraId="28814FF8" w14:textId="77777777" w:rsidR="009C778C" w:rsidRPr="002620C8" w:rsidRDefault="009C778C" w:rsidP="0066752D">
            <w:pPr>
              <w:pStyle w:val="NoSpacing"/>
            </w:pPr>
            <w:r w:rsidRPr="002620C8">
              <w:t>(7.34)</w:t>
            </w:r>
          </w:p>
        </w:tc>
        <w:tc>
          <w:tcPr>
            <w:tcW w:w="1260" w:type="dxa"/>
            <w:hideMark/>
          </w:tcPr>
          <w:p w14:paraId="03E5B37D" w14:textId="77777777" w:rsidR="009C778C" w:rsidRPr="002620C8" w:rsidRDefault="009C778C" w:rsidP="0066752D">
            <w:pPr>
              <w:pStyle w:val="NoSpacing"/>
            </w:pPr>
            <w:r w:rsidRPr="002620C8">
              <w:t>(7.35)</w:t>
            </w:r>
          </w:p>
        </w:tc>
        <w:tc>
          <w:tcPr>
            <w:tcW w:w="1255" w:type="dxa"/>
            <w:hideMark/>
          </w:tcPr>
          <w:p w14:paraId="1E238673" w14:textId="77777777" w:rsidR="009C778C" w:rsidRPr="002620C8" w:rsidRDefault="009C778C" w:rsidP="0066752D">
            <w:pPr>
              <w:pStyle w:val="NoSpacing"/>
            </w:pPr>
            <w:r w:rsidRPr="002620C8">
              <w:t>(7.37)</w:t>
            </w:r>
          </w:p>
        </w:tc>
      </w:tr>
      <w:tr w:rsidR="00F655B2" w:rsidRPr="002620C8" w14:paraId="4EECD181" w14:textId="77777777" w:rsidTr="00F655B2">
        <w:tc>
          <w:tcPr>
            <w:tcW w:w="3595" w:type="dxa"/>
            <w:hideMark/>
          </w:tcPr>
          <w:p w14:paraId="43DB1CF1" w14:textId="77777777" w:rsidR="009C778C" w:rsidRPr="002620C8" w:rsidRDefault="009C778C" w:rsidP="0066752D">
            <w:pPr>
              <w:pStyle w:val="NoSpacing"/>
              <w:rPr>
                <w:b/>
                <w:bCs/>
              </w:rPr>
            </w:pPr>
            <w:proofErr w:type="spellStart"/>
            <w:r w:rsidRPr="002620C8">
              <w:rPr>
                <w:b/>
                <w:bCs/>
              </w:rPr>
              <w:t>STDSALE</w:t>
            </w:r>
            <w:r w:rsidRPr="002620C8">
              <w:rPr>
                <w:b/>
                <w:bCs/>
                <w:vertAlign w:val="subscript"/>
              </w:rPr>
              <w:t>t</w:t>
            </w:r>
            <w:proofErr w:type="spellEnd"/>
            <w:r w:rsidRPr="002620C8">
              <w:rPr>
                <w:b/>
                <w:bCs/>
                <w:vertAlign w:val="subscript"/>
              </w:rPr>
              <w:t> − 1</w:t>
            </w:r>
          </w:p>
        </w:tc>
        <w:tc>
          <w:tcPr>
            <w:tcW w:w="1260" w:type="dxa"/>
            <w:hideMark/>
          </w:tcPr>
          <w:p w14:paraId="47F21DD8" w14:textId="77777777" w:rsidR="009C778C" w:rsidRPr="002620C8" w:rsidRDefault="009C778C" w:rsidP="0066752D">
            <w:pPr>
              <w:pStyle w:val="NoSpacing"/>
              <w:rPr>
                <w:b/>
                <w:bCs/>
              </w:rPr>
            </w:pPr>
          </w:p>
        </w:tc>
        <w:tc>
          <w:tcPr>
            <w:tcW w:w="1350" w:type="dxa"/>
            <w:hideMark/>
          </w:tcPr>
          <w:p w14:paraId="2E6FCE92" w14:textId="77777777" w:rsidR="009C778C" w:rsidRPr="002620C8" w:rsidRDefault="009C778C" w:rsidP="0066752D">
            <w:pPr>
              <w:pStyle w:val="NoSpacing"/>
            </w:pPr>
            <w:r w:rsidRPr="002620C8">
              <w:t>0.397***</w:t>
            </w:r>
          </w:p>
        </w:tc>
        <w:tc>
          <w:tcPr>
            <w:tcW w:w="1350" w:type="dxa"/>
            <w:hideMark/>
          </w:tcPr>
          <w:p w14:paraId="12548E7C" w14:textId="77777777" w:rsidR="009C778C" w:rsidRPr="002620C8" w:rsidRDefault="009C778C" w:rsidP="0066752D">
            <w:pPr>
              <w:pStyle w:val="NoSpacing"/>
            </w:pPr>
            <w:r w:rsidRPr="002620C8">
              <w:t>0.396***</w:t>
            </w:r>
          </w:p>
        </w:tc>
        <w:tc>
          <w:tcPr>
            <w:tcW w:w="1260" w:type="dxa"/>
            <w:hideMark/>
          </w:tcPr>
          <w:p w14:paraId="50EADD8C" w14:textId="77777777" w:rsidR="009C778C" w:rsidRPr="002620C8" w:rsidRDefault="009C778C" w:rsidP="0066752D">
            <w:pPr>
              <w:pStyle w:val="NoSpacing"/>
            </w:pPr>
            <w:r w:rsidRPr="002620C8">
              <w:t>0.398***</w:t>
            </w:r>
          </w:p>
        </w:tc>
        <w:tc>
          <w:tcPr>
            <w:tcW w:w="1255" w:type="dxa"/>
            <w:hideMark/>
          </w:tcPr>
          <w:p w14:paraId="5D422E08" w14:textId="77777777" w:rsidR="009C778C" w:rsidRPr="002620C8" w:rsidRDefault="009C778C" w:rsidP="0066752D">
            <w:pPr>
              <w:pStyle w:val="NoSpacing"/>
            </w:pPr>
            <w:r w:rsidRPr="002620C8">
              <w:t>0.398***</w:t>
            </w:r>
          </w:p>
        </w:tc>
      </w:tr>
      <w:tr w:rsidR="00F655B2" w:rsidRPr="002620C8" w14:paraId="2D9328DE" w14:textId="77777777" w:rsidTr="00F655B2">
        <w:tc>
          <w:tcPr>
            <w:tcW w:w="3595" w:type="dxa"/>
            <w:hideMark/>
          </w:tcPr>
          <w:p w14:paraId="6E2E3194" w14:textId="77777777" w:rsidR="009C778C" w:rsidRPr="002620C8" w:rsidRDefault="009C778C" w:rsidP="0066752D">
            <w:pPr>
              <w:pStyle w:val="NoSpacing"/>
              <w:rPr>
                <w:b/>
                <w:bCs/>
              </w:rPr>
            </w:pPr>
          </w:p>
        </w:tc>
        <w:tc>
          <w:tcPr>
            <w:tcW w:w="1260" w:type="dxa"/>
            <w:hideMark/>
          </w:tcPr>
          <w:p w14:paraId="7D30F44C" w14:textId="77777777" w:rsidR="009C778C" w:rsidRPr="002620C8" w:rsidRDefault="009C778C" w:rsidP="0066752D">
            <w:pPr>
              <w:pStyle w:val="NoSpacing"/>
            </w:pPr>
          </w:p>
        </w:tc>
        <w:tc>
          <w:tcPr>
            <w:tcW w:w="1350" w:type="dxa"/>
            <w:hideMark/>
          </w:tcPr>
          <w:p w14:paraId="5A18F96D" w14:textId="77777777" w:rsidR="009C778C" w:rsidRPr="002620C8" w:rsidRDefault="009C778C" w:rsidP="0066752D">
            <w:pPr>
              <w:pStyle w:val="NoSpacing"/>
            </w:pPr>
            <w:r w:rsidRPr="002620C8">
              <w:t>(12.99)</w:t>
            </w:r>
          </w:p>
        </w:tc>
        <w:tc>
          <w:tcPr>
            <w:tcW w:w="1350" w:type="dxa"/>
            <w:hideMark/>
          </w:tcPr>
          <w:p w14:paraId="0B25A125" w14:textId="77777777" w:rsidR="009C778C" w:rsidRPr="002620C8" w:rsidRDefault="009C778C" w:rsidP="0066752D">
            <w:pPr>
              <w:pStyle w:val="NoSpacing"/>
            </w:pPr>
            <w:r w:rsidRPr="002620C8">
              <w:t>(12.97)</w:t>
            </w:r>
          </w:p>
        </w:tc>
        <w:tc>
          <w:tcPr>
            <w:tcW w:w="1260" w:type="dxa"/>
            <w:hideMark/>
          </w:tcPr>
          <w:p w14:paraId="3DA3B40D" w14:textId="77777777" w:rsidR="009C778C" w:rsidRPr="002620C8" w:rsidRDefault="009C778C" w:rsidP="0066752D">
            <w:pPr>
              <w:pStyle w:val="NoSpacing"/>
            </w:pPr>
            <w:r w:rsidRPr="002620C8">
              <w:t>(13.02)</w:t>
            </w:r>
          </w:p>
        </w:tc>
        <w:tc>
          <w:tcPr>
            <w:tcW w:w="1255" w:type="dxa"/>
            <w:hideMark/>
          </w:tcPr>
          <w:p w14:paraId="4C3F259F" w14:textId="77777777" w:rsidR="009C778C" w:rsidRPr="002620C8" w:rsidRDefault="009C778C" w:rsidP="0066752D">
            <w:pPr>
              <w:pStyle w:val="NoSpacing"/>
            </w:pPr>
            <w:r w:rsidRPr="002620C8">
              <w:t>(13.02)</w:t>
            </w:r>
          </w:p>
        </w:tc>
      </w:tr>
      <w:tr w:rsidR="00F655B2" w:rsidRPr="002620C8" w14:paraId="22F5A2AF" w14:textId="77777777" w:rsidTr="00F655B2">
        <w:tc>
          <w:tcPr>
            <w:tcW w:w="3595" w:type="dxa"/>
            <w:hideMark/>
          </w:tcPr>
          <w:p w14:paraId="019399E7" w14:textId="77777777" w:rsidR="009C778C" w:rsidRPr="002620C8" w:rsidRDefault="009C778C" w:rsidP="0066752D">
            <w:pPr>
              <w:pStyle w:val="NoSpacing"/>
              <w:rPr>
                <w:b/>
                <w:bCs/>
              </w:rPr>
            </w:pPr>
            <w:proofErr w:type="spellStart"/>
            <w:r w:rsidRPr="002620C8">
              <w:rPr>
                <w:b/>
                <w:bCs/>
              </w:rPr>
              <w:t>CAPITAL_INTENSITY</w:t>
            </w:r>
            <w:r w:rsidRPr="002620C8">
              <w:rPr>
                <w:b/>
                <w:bCs/>
                <w:vertAlign w:val="subscript"/>
              </w:rPr>
              <w:t>t</w:t>
            </w:r>
            <w:proofErr w:type="spellEnd"/>
            <w:r w:rsidRPr="002620C8">
              <w:rPr>
                <w:b/>
                <w:bCs/>
                <w:vertAlign w:val="subscript"/>
              </w:rPr>
              <w:t> − 1</w:t>
            </w:r>
          </w:p>
        </w:tc>
        <w:tc>
          <w:tcPr>
            <w:tcW w:w="1260" w:type="dxa"/>
            <w:hideMark/>
          </w:tcPr>
          <w:p w14:paraId="1683F0D0" w14:textId="77777777" w:rsidR="009C778C" w:rsidRPr="002620C8" w:rsidRDefault="009C778C" w:rsidP="0066752D">
            <w:pPr>
              <w:pStyle w:val="NoSpacing"/>
              <w:rPr>
                <w:b/>
                <w:bCs/>
              </w:rPr>
            </w:pPr>
          </w:p>
        </w:tc>
        <w:tc>
          <w:tcPr>
            <w:tcW w:w="1350" w:type="dxa"/>
            <w:hideMark/>
          </w:tcPr>
          <w:p w14:paraId="5EBA1063" w14:textId="77777777" w:rsidR="009C778C" w:rsidRPr="002620C8" w:rsidRDefault="009C778C" w:rsidP="0066752D">
            <w:pPr>
              <w:pStyle w:val="NoSpacing"/>
            </w:pPr>
            <w:r w:rsidRPr="002620C8">
              <w:t>− 0.160***</w:t>
            </w:r>
          </w:p>
        </w:tc>
        <w:tc>
          <w:tcPr>
            <w:tcW w:w="1350" w:type="dxa"/>
            <w:hideMark/>
          </w:tcPr>
          <w:p w14:paraId="23138D7B" w14:textId="77777777" w:rsidR="009C778C" w:rsidRPr="002620C8" w:rsidRDefault="009C778C" w:rsidP="0066752D">
            <w:pPr>
              <w:pStyle w:val="NoSpacing"/>
            </w:pPr>
            <w:r w:rsidRPr="002620C8">
              <w:t>− 0.159***</w:t>
            </w:r>
          </w:p>
        </w:tc>
        <w:tc>
          <w:tcPr>
            <w:tcW w:w="1260" w:type="dxa"/>
            <w:hideMark/>
          </w:tcPr>
          <w:p w14:paraId="40276BDE" w14:textId="77777777" w:rsidR="009C778C" w:rsidRPr="002620C8" w:rsidRDefault="009C778C" w:rsidP="0066752D">
            <w:pPr>
              <w:pStyle w:val="NoSpacing"/>
            </w:pPr>
            <w:r w:rsidRPr="002620C8">
              <w:t>− 0.159***</w:t>
            </w:r>
          </w:p>
        </w:tc>
        <w:tc>
          <w:tcPr>
            <w:tcW w:w="1255" w:type="dxa"/>
            <w:hideMark/>
          </w:tcPr>
          <w:p w14:paraId="436208BA" w14:textId="77777777" w:rsidR="009C778C" w:rsidRPr="002620C8" w:rsidRDefault="009C778C" w:rsidP="0066752D">
            <w:pPr>
              <w:pStyle w:val="NoSpacing"/>
            </w:pPr>
            <w:r w:rsidRPr="002620C8">
              <w:t>− 0.158***</w:t>
            </w:r>
          </w:p>
        </w:tc>
      </w:tr>
      <w:tr w:rsidR="00F655B2" w:rsidRPr="002620C8" w14:paraId="09BC9DEB" w14:textId="77777777" w:rsidTr="00F655B2">
        <w:tc>
          <w:tcPr>
            <w:tcW w:w="3595" w:type="dxa"/>
            <w:hideMark/>
          </w:tcPr>
          <w:p w14:paraId="446EE89E" w14:textId="77777777" w:rsidR="009C778C" w:rsidRPr="002620C8" w:rsidRDefault="009C778C" w:rsidP="0066752D">
            <w:pPr>
              <w:pStyle w:val="NoSpacing"/>
              <w:rPr>
                <w:b/>
                <w:bCs/>
              </w:rPr>
            </w:pPr>
          </w:p>
        </w:tc>
        <w:tc>
          <w:tcPr>
            <w:tcW w:w="1260" w:type="dxa"/>
            <w:hideMark/>
          </w:tcPr>
          <w:p w14:paraId="6DDED574" w14:textId="77777777" w:rsidR="009C778C" w:rsidRPr="002620C8" w:rsidRDefault="009C778C" w:rsidP="0066752D">
            <w:pPr>
              <w:pStyle w:val="NoSpacing"/>
            </w:pPr>
          </w:p>
        </w:tc>
        <w:tc>
          <w:tcPr>
            <w:tcW w:w="1350" w:type="dxa"/>
            <w:hideMark/>
          </w:tcPr>
          <w:p w14:paraId="18AFBE1A" w14:textId="77777777" w:rsidR="009C778C" w:rsidRPr="002620C8" w:rsidRDefault="009C778C" w:rsidP="0066752D">
            <w:pPr>
              <w:pStyle w:val="NoSpacing"/>
            </w:pPr>
            <w:r w:rsidRPr="002620C8">
              <w:t>(− 13.63)</w:t>
            </w:r>
          </w:p>
        </w:tc>
        <w:tc>
          <w:tcPr>
            <w:tcW w:w="1350" w:type="dxa"/>
            <w:hideMark/>
          </w:tcPr>
          <w:p w14:paraId="291CA1C5" w14:textId="77777777" w:rsidR="009C778C" w:rsidRPr="002620C8" w:rsidRDefault="009C778C" w:rsidP="0066752D">
            <w:pPr>
              <w:pStyle w:val="NoSpacing"/>
            </w:pPr>
            <w:r w:rsidRPr="002620C8">
              <w:t>(− 13.65)</w:t>
            </w:r>
          </w:p>
        </w:tc>
        <w:tc>
          <w:tcPr>
            <w:tcW w:w="1260" w:type="dxa"/>
            <w:hideMark/>
          </w:tcPr>
          <w:p w14:paraId="4A76D07E" w14:textId="77777777" w:rsidR="009C778C" w:rsidRPr="002620C8" w:rsidRDefault="009C778C" w:rsidP="0066752D">
            <w:pPr>
              <w:pStyle w:val="NoSpacing"/>
            </w:pPr>
            <w:r w:rsidRPr="002620C8">
              <w:t>(− 13.62)</w:t>
            </w:r>
          </w:p>
        </w:tc>
        <w:tc>
          <w:tcPr>
            <w:tcW w:w="1255" w:type="dxa"/>
            <w:hideMark/>
          </w:tcPr>
          <w:p w14:paraId="4B294804" w14:textId="77777777" w:rsidR="009C778C" w:rsidRPr="002620C8" w:rsidRDefault="009C778C" w:rsidP="0066752D">
            <w:pPr>
              <w:pStyle w:val="NoSpacing"/>
            </w:pPr>
            <w:r w:rsidRPr="002620C8">
              <w:t>(− 13.58)</w:t>
            </w:r>
          </w:p>
        </w:tc>
      </w:tr>
      <w:tr w:rsidR="00F655B2" w:rsidRPr="002620C8" w14:paraId="45FC93BD" w14:textId="77777777" w:rsidTr="00F655B2">
        <w:tc>
          <w:tcPr>
            <w:tcW w:w="3595" w:type="dxa"/>
            <w:hideMark/>
          </w:tcPr>
          <w:p w14:paraId="2402F965" w14:textId="77777777" w:rsidR="009C778C" w:rsidRPr="002620C8" w:rsidRDefault="009C778C" w:rsidP="0066752D">
            <w:pPr>
              <w:pStyle w:val="NoSpacing"/>
              <w:rPr>
                <w:b/>
                <w:bCs/>
              </w:rPr>
            </w:pPr>
            <w:proofErr w:type="spellStart"/>
            <w:r w:rsidRPr="002620C8">
              <w:rPr>
                <w:b/>
                <w:bCs/>
              </w:rPr>
              <w:t>ANALYST</w:t>
            </w:r>
            <w:r w:rsidRPr="002620C8">
              <w:rPr>
                <w:b/>
                <w:bCs/>
                <w:vertAlign w:val="subscript"/>
              </w:rPr>
              <w:t>t</w:t>
            </w:r>
            <w:proofErr w:type="spellEnd"/>
            <w:r w:rsidRPr="002620C8">
              <w:rPr>
                <w:b/>
                <w:bCs/>
                <w:vertAlign w:val="subscript"/>
              </w:rPr>
              <w:t> − 1</w:t>
            </w:r>
          </w:p>
        </w:tc>
        <w:tc>
          <w:tcPr>
            <w:tcW w:w="1260" w:type="dxa"/>
            <w:hideMark/>
          </w:tcPr>
          <w:p w14:paraId="212653F0" w14:textId="77777777" w:rsidR="009C778C" w:rsidRPr="002620C8" w:rsidRDefault="009C778C" w:rsidP="0066752D">
            <w:pPr>
              <w:pStyle w:val="NoSpacing"/>
              <w:rPr>
                <w:b/>
                <w:bCs/>
              </w:rPr>
            </w:pPr>
          </w:p>
        </w:tc>
        <w:tc>
          <w:tcPr>
            <w:tcW w:w="1350" w:type="dxa"/>
            <w:hideMark/>
          </w:tcPr>
          <w:p w14:paraId="566ED329" w14:textId="77777777" w:rsidR="009C778C" w:rsidRPr="002620C8" w:rsidRDefault="009C778C" w:rsidP="0066752D">
            <w:pPr>
              <w:pStyle w:val="NoSpacing"/>
            </w:pPr>
            <w:r w:rsidRPr="002620C8">
              <w:t>− 0.010***</w:t>
            </w:r>
          </w:p>
        </w:tc>
        <w:tc>
          <w:tcPr>
            <w:tcW w:w="1350" w:type="dxa"/>
            <w:hideMark/>
          </w:tcPr>
          <w:p w14:paraId="74A7B5D7" w14:textId="77777777" w:rsidR="009C778C" w:rsidRPr="002620C8" w:rsidRDefault="009C778C" w:rsidP="0066752D">
            <w:pPr>
              <w:pStyle w:val="NoSpacing"/>
            </w:pPr>
            <w:r w:rsidRPr="002620C8">
              <w:t>− 0.012***</w:t>
            </w:r>
          </w:p>
        </w:tc>
        <w:tc>
          <w:tcPr>
            <w:tcW w:w="1260" w:type="dxa"/>
            <w:hideMark/>
          </w:tcPr>
          <w:p w14:paraId="60F7F329" w14:textId="77777777" w:rsidR="009C778C" w:rsidRPr="002620C8" w:rsidRDefault="009C778C" w:rsidP="0066752D">
            <w:pPr>
              <w:pStyle w:val="NoSpacing"/>
            </w:pPr>
            <w:r w:rsidRPr="002620C8">
              <w:t>− 0.012***</w:t>
            </w:r>
          </w:p>
        </w:tc>
        <w:tc>
          <w:tcPr>
            <w:tcW w:w="1255" w:type="dxa"/>
            <w:hideMark/>
          </w:tcPr>
          <w:p w14:paraId="2338680E" w14:textId="77777777" w:rsidR="009C778C" w:rsidRPr="002620C8" w:rsidRDefault="009C778C" w:rsidP="0066752D">
            <w:pPr>
              <w:pStyle w:val="NoSpacing"/>
            </w:pPr>
            <w:r w:rsidRPr="002620C8">
              <w:t>− 0.013***</w:t>
            </w:r>
          </w:p>
        </w:tc>
      </w:tr>
      <w:tr w:rsidR="00F655B2" w:rsidRPr="002620C8" w14:paraId="27D73EF0" w14:textId="77777777" w:rsidTr="00F655B2">
        <w:tc>
          <w:tcPr>
            <w:tcW w:w="3595" w:type="dxa"/>
            <w:hideMark/>
          </w:tcPr>
          <w:p w14:paraId="05BC8B69" w14:textId="77777777" w:rsidR="009C778C" w:rsidRPr="002620C8" w:rsidRDefault="009C778C" w:rsidP="0066752D">
            <w:pPr>
              <w:pStyle w:val="NoSpacing"/>
              <w:rPr>
                <w:b/>
                <w:bCs/>
              </w:rPr>
            </w:pPr>
          </w:p>
        </w:tc>
        <w:tc>
          <w:tcPr>
            <w:tcW w:w="1260" w:type="dxa"/>
            <w:hideMark/>
          </w:tcPr>
          <w:p w14:paraId="2D3CF524" w14:textId="77777777" w:rsidR="009C778C" w:rsidRPr="002620C8" w:rsidRDefault="009C778C" w:rsidP="0066752D">
            <w:pPr>
              <w:pStyle w:val="NoSpacing"/>
            </w:pPr>
          </w:p>
        </w:tc>
        <w:tc>
          <w:tcPr>
            <w:tcW w:w="1350" w:type="dxa"/>
            <w:hideMark/>
          </w:tcPr>
          <w:p w14:paraId="1695302F" w14:textId="77777777" w:rsidR="009C778C" w:rsidRPr="002620C8" w:rsidRDefault="009C778C" w:rsidP="0066752D">
            <w:pPr>
              <w:pStyle w:val="NoSpacing"/>
            </w:pPr>
            <w:r w:rsidRPr="002620C8">
              <w:t>(− 2.92)</w:t>
            </w:r>
          </w:p>
        </w:tc>
        <w:tc>
          <w:tcPr>
            <w:tcW w:w="1350" w:type="dxa"/>
            <w:hideMark/>
          </w:tcPr>
          <w:p w14:paraId="74664733" w14:textId="77777777" w:rsidR="009C778C" w:rsidRPr="002620C8" w:rsidRDefault="009C778C" w:rsidP="0066752D">
            <w:pPr>
              <w:pStyle w:val="NoSpacing"/>
            </w:pPr>
            <w:r w:rsidRPr="002620C8">
              <w:t>(− 3.59)</w:t>
            </w:r>
          </w:p>
        </w:tc>
        <w:tc>
          <w:tcPr>
            <w:tcW w:w="1260" w:type="dxa"/>
            <w:hideMark/>
          </w:tcPr>
          <w:p w14:paraId="12C65E59" w14:textId="77777777" w:rsidR="009C778C" w:rsidRPr="002620C8" w:rsidRDefault="009C778C" w:rsidP="0066752D">
            <w:pPr>
              <w:pStyle w:val="NoSpacing"/>
            </w:pPr>
            <w:r w:rsidRPr="002620C8">
              <w:t>(− 3.36)</w:t>
            </w:r>
          </w:p>
        </w:tc>
        <w:tc>
          <w:tcPr>
            <w:tcW w:w="1255" w:type="dxa"/>
            <w:hideMark/>
          </w:tcPr>
          <w:p w14:paraId="5F1E48AF" w14:textId="77777777" w:rsidR="009C778C" w:rsidRPr="002620C8" w:rsidRDefault="009C778C" w:rsidP="0066752D">
            <w:pPr>
              <w:pStyle w:val="NoSpacing"/>
            </w:pPr>
            <w:r w:rsidRPr="002620C8">
              <w:t>(− 3.93)</w:t>
            </w:r>
          </w:p>
        </w:tc>
      </w:tr>
      <w:tr w:rsidR="00F655B2" w:rsidRPr="002620C8" w14:paraId="00CE827E" w14:textId="77777777" w:rsidTr="00F655B2">
        <w:tc>
          <w:tcPr>
            <w:tcW w:w="3595" w:type="dxa"/>
            <w:hideMark/>
          </w:tcPr>
          <w:p w14:paraId="07963D1B" w14:textId="77777777" w:rsidR="009C778C" w:rsidRPr="002620C8" w:rsidRDefault="009C778C" w:rsidP="0066752D">
            <w:pPr>
              <w:pStyle w:val="NoSpacing"/>
              <w:rPr>
                <w:b/>
                <w:bCs/>
              </w:rPr>
            </w:pPr>
            <w:proofErr w:type="spellStart"/>
            <w:r w:rsidRPr="002620C8">
              <w:rPr>
                <w:b/>
                <w:bCs/>
              </w:rPr>
              <w:t>ACC_STANDARD</w:t>
            </w:r>
            <w:r w:rsidRPr="002620C8">
              <w:rPr>
                <w:b/>
                <w:bCs/>
                <w:vertAlign w:val="subscript"/>
              </w:rPr>
              <w:t>t</w:t>
            </w:r>
            <w:proofErr w:type="spellEnd"/>
            <w:r w:rsidRPr="002620C8">
              <w:rPr>
                <w:b/>
                <w:bCs/>
                <w:vertAlign w:val="subscript"/>
              </w:rPr>
              <w:t> − 1</w:t>
            </w:r>
          </w:p>
        </w:tc>
        <w:tc>
          <w:tcPr>
            <w:tcW w:w="1260" w:type="dxa"/>
            <w:hideMark/>
          </w:tcPr>
          <w:p w14:paraId="29B2E5F7" w14:textId="77777777" w:rsidR="009C778C" w:rsidRPr="002620C8" w:rsidRDefault="009C778C" w:rsidP="0066752D">
            <w:pPr>
              <w:pStyle w:val="NoSpacing"/>
              <w:rPr>
                <w:b/>
                <w:bCs/>
              </w:rPr>
            </w:pPr>
          </w:p>
        </w:tc>
        <w:tc>
          <w:tcPr>
            <w:tcW w:w="1350" w:type="dxa"/>
            <w:hideMark/>
          </w:tcPr>
          <w:p w14:paraId="4F2CEE33" w14:textId="77777777" w:rsidR="009C778C" w:rsidRPr="002620C8" w:rsidRDefault="009C778C" w:rsidP="0066752D">
            <w:pPr>
              <w:pStyle w:val="NoSpacing"/>
            </w:pPr>
            <w:r w:rsidRPr="002620C8">
              <w:t>0.035***</w:t>
            </w:r>
          </w:p>
        </w:tc>
        <w:tc>
          <w:tcPr>
            <w:tcW w:w="1350" w:type="dxa"/>
            <w:hideMark/>
          </w:tcPr>
          <w:p w14:paraId="09BB0095" w14:textId="77777777" w:rsidR="009C778C" w:rsidRPr="002620C8" w:rsidRDefault="009C778C" w:rsidP="0066752D">
            <w:pPr>
              <w:pStyle w:val="NoSpacing"/>
            </w:pPr>
            <w:r w:rsidRPr="002620C8">
              <w:t>0.034***</w:t>
            </w:r>
          </w:p>
        </w:tc>
        <w:tc>
          <w:tcPr>
            <w:tcW w:w="1260" w:type="dxa"/>
            <w:hideMark/>
          </w:tcPr>
          <w:p w14:paraId="661216BD" w14:textId="77777777" w:rsidR="009C778C" w:rsidRPr="002620C8" w:rsidRDefault="009C778C" w:rsidP="0066752D">
            <w:pPr>
              <w:pStyle w:val="NoSpacing"/>
            </w:pPr>
            <w:r w:rsidRPr="002620C8">
              <w:t>0.035***</w:t>
            </w:r>
          </w:p>
        </w:tc>
        <w:tc>
          <w:tcPr>
            <w:tcW w:w="1255" w:type="dxa"/>
            <w:hideMark/>
          </w:tcPr>
          <w:p w14:paraId="5EFF3CDB" w14:textId="77777777" w:rsidR="009C778C" w:rsidRPr="002620C8" w:rsidRDefault="009C778C" w:rsidP="0066752D">
            <w:pPr>
              <w:pStyle w:val="NoSpacing"/>
            </w:pPr>
            <w:r w:rsidRPr="002620C8">
              <w:t>0.034***</w:t>
            </w:r>
          </w:p>
        </w:tc>
      </w:tr>
      <w:tr w:rsidR="00F655B2" w:rsidRPr="002620C8" w14:paraId="4793666E" w14:textId="77777777" w:rsidTr="00F655B2">
        <w:tc>
          <w:tcPr>
            <w:tcW w:w="3595" w:type="dxa"/>
            <w:hideMark/>
          </w:tcPr>
          <w:p w14:paraId="0D70C297" w14:textId="77777777" w:rsidR="009C778C" w:rsidRPr="002620C8" w:rsidRDefault="009C778C" w:rsidP="0066752D">
            <w:pPr>
              <w:pStyle w:val="NoSpacing"/>
              <w:rPr>
                <w:b/>
                <w:bCs/>
              </w:rPr>
            </w:pPr>
          </w:p>
        </w:tc>
        <w:tc>
          <w:tcPr>
            <w:tcW w:w="1260" w:type="dxa"/>
            <w:hideMark/>
          </w:tcPr>
          <w:p w14:paraId="39E5D1C8" w14:textId="77777777" w:rsidR="009C778C" w:rsidRPr="002620C8" w:rsidRDefault="009C778C" w:rsidP="0066752D">
            <w:pPr>
              <w:pStyle w:val="NoSpacing"/>
            </w:pPr>
          </w:p>
        </w:tc>
        <w:tc>
          <w:tcPr>
            <w:tcW w:w="1350" w:type="dxa"/>
            <w:hideMark/>
          </w:tcPr>
          <w:p w14:paraId="40ADAA1B" w14:textId="77777777" w:rsidR="009C778C" w:rsidRPr="002620C8" w:rsidRDefault="009C778C" w:rsidP="0066752D">
            <w:pPr>
              <w:pStyle w:val="NoSpacing"/>
            </w:pPr>
            <w:r w:rsidRPr="002620C8">
              <w:t>(2.73)</w:t>
            </w:r>
          </w:p>
        </w:tc>
        <w:tc>
          <w:tcPr>
            <w:tcW w:w="1350" w:type="dxa"/>
            <w:hideMark/>
          </w:tcPr>
          <w:p w14:paraId="616391B1" w14:textId="77777777" w:rsidR="009C778C" w:rsidRPr="002620C8" w:rsidRDefault="009C778C" w:rsidP="0066752D">
            <w:pPr>
              <w:pStyle w:val="NoSpacing"/>
            </w:pPr>
            <w:r w:rsidRPr="002620C8">
              <w:t>(2.70)</w:t>
            </w:r>
          </w:p>
        </w:tc>
        <w:tc>
          <w:tcPr>
            <w:tcW w:w="1260" w:type="dxa"/>
            <w:hideMark/>
          </w:tcPr>
          <w:p w14:paraId="43D922DE" w14:textId="77777777" w:rsidR="009C778C" w:rsidRPr="002620C8" w:rsidRDefault="009C778C" w:rsidP="0066752D">
            <w:pPr>
              <w:pStyle w:val="NoSpacing"/>
            </w:pPr>
            <w:r w:rsidRPr="002620C8">
              <w:t>(2.75)</w:t>
            </w:r>
          </w:p>
        </w:tc>
        <w:tc>
          <w:tcPr>
            <w:tcW w:w="1255" w:type="dxa"/>
            <w:hideMark/>
          </w:tcPr>
          <w:p w14:paraId="7C1B8A3E" w14:textId="77777777" w:rsidR="009C778C" w:rsidRPr="002620C8" w:rsidRDefault="009C778C" w:rsidP="0066752D">
            <w:pPr>
              <w:pStyle w:val="NoSpacing"/>
            </w:pPr>
            <w:r w:rsidRPr="002620C8">
              <w:t>(2.69)</w:t>
            </w:r>
          </w:p>
        </w:tc>
      </w:tr>
      <w:tr w:rsidR="00F655B2" w:rsidRPr="002620C8" w14:paraId="49138038" w14:textId="77777777" w:rsidTr="00F655B2">
        <w:tc>
          <w:tcPr>
            <w:tcW w:w="3595" w:type="dxa"/>
            <w:hideMark/>
          </w:tcPr>
          <w:p w14:paraId="7CCD782D" w14:textId="77777777" w:rsidR="009C778C" w:rsidRPr="002620C8" w:rsidRDefault="009C778C" w:rsidP="0066752D">
            <w:pPr>
              <w:pStyle w:val="NoSpacing"/>
              <w:rPr>
                <w:b/>
                <w:bCs/>
              </w:rPr>
            </w:pPr>
            <w:proofErr w:type="spellStart"/>
            <w:r w:rsidRPr="002620C8">
              <w:rPr>
                <w:b/>
                <w:bCs/>
              </w:rPr>
              <w:t>GDPGROWTH</w:t>
            </w:r>
            <w:r w:rsidRPr="002620C8">
              <w:rPr>
                <w:b/>
                <w:bCs/>
                <w:vertAlign w:val="subscript"/>
              </w:rPr>
              <w:t>t</w:t>
            </w:r>
            <w:proofErr w:type="spellEnd"/>
            <w:r w:rsidRPr="002620C8">
              <w:rPr>
                <w:b/>
                <w:bCs/>
                <w:vertAlign w:val="subscript"/>
              </w:rPr>
              <w:t> − 1</w:t>
            </w:r>
          </w:p>
        </w:tc>
        <w:tc>
          <w:tcPr>
            <w:tcW w:w="1260" w:type="dxa"/>
            <w:hideMark/>
          </w:tcPr>
          <w:p w14:paraId="71885DF7" w14:textId="77777777" w:rsidR="009C778C" w:rsidRPr="002620C8" w:rsidRDefault="009C778C" w:rsidP="0066752D">
            <w:pPr>
              <w:pStyle w:val="NoSpacing"/>
              <w:rPr>
                <w:b/>
                <w:bCs/>
              </w:rPr>
            </w:pPr>
          </w:p>
        </w:tc>
        <w:tc>
          <w:tcPr>
            <w:tcW w:w="1350" w:type="dxa"/>
            <w:hideMark/>
          </w:tcPr>
          <w:p w14:paraId="1789C43E" w14:textId="77777777" w:rsidR="009C778C" w:rsidRPr="002620C8" w:rsidRDefault="009C778C" w:rsidP="0066752D">
            <w:pPr>
              <w:pStyle w:val="NoSpacing"/>
            </w:pPr>
            <w:r w:rsidRPr="002620C8">
              <w:t>− 0.418</w:t>
            </w:r>
          </w:p>
        </w:tc>
        <w:tc>
          <w:tcPr>
            <w:tcW w:w="1350" w:type="dxa"/>
            <w:hideMark/>
          </w:tcPr>
          <w:p w14:paraId="1B3A4D93" w14:textId="77777777" w:rsidR="009C778C" w:rsidRPr="002620C8" w:rsidRDefault="009C778C" w:rsidP="0066752D">
            <w:pPr>
              <w:pStyle w:val="NoSpacing"/>
            </w:pPr>
            <w:r w:rsidRPr="002620C8">
              <w:t>− 0.426</w:t>
            </w:r>
          </w:p>
        </w:tc>
        <w:tc>
          <w:tcPr>
            <w:tcW w:w="1260" w:type="dxa"/>
            <w:hideMark/>
          </w:tcPr>
          <w:p w14:paraId="26BECC15" w14:textId="77777777" w:rsidR="009C778C" w:rsidRPr="002620C8" w:rsidRDefault="009C778C" w:rsidP="0066752D">
            <w:pPr>
              <w:pStyle w:val="NoSpacing"/>
            </w:pPr>
            <w:r w:rsidRPr="002620C8">
              <w:t>− 0.415</w:t>
            </w:r>
          </w:p>
        </w:tc>
        <w:tc>
          <w:tcPr>
            <w:tcW w:w="1255" w:type="dxa"/>
            <w:hideMark/>
          </w:tcPr>
          <w:p w14:paraId="00A806A4" w14:textId="77777777" w:rsidR="009C778C" w:rsidRPr="002620C8" w:rsidRDefault="009C778C" w:rsidP="0066752D">
            <w:pPr>
              <w:pStyle w:val="NoSpacing"/>
            </w:pPr>
            <w:r w:rsidRPr="002620C8">
              <w:t>− 0.427</w:t>
            </w:r>
          </w:p>
        </w:tc>
      </w:tr>
      <w:tr w:rsidR="00F655B2" w:rsidRPr="002620C8" w14:paraId="13E5BBC9" w14:textId="77777777" w:rsidTr="00F655B2">
        <w:tc>
          <w:tcPr>
            <w:tcW w:w="3595" w:type="dxa"/>
            <w:hideMark/>
          </w:tcPr>
          <w:p w14:paraId="0C2AB87E" w14:textId="77777777" w:rsidR="009C778C" w:rsidRPr="002620C8" w:rsidRDefault="009C778C" w:rsidP="0066752D">
            <w:pPr>
              <w:pStyle w:val="NoSpacing"/>
              <w:rPr>
                <w:b/>
                <w:bCs/>
              </w:rPr>
            </w:pPr>
          </w:p>
        </w:tc>
        <w:tc>
          <w:tcPr>
            <w:tcW w:w="1260" w:type="dxa"/>
            <w:hideMark/>
          </w:tcPr>
          <w:p w14:paraId="5DF4780A" w14:textId="77777777" w:rsidR="009C778C" w:rsidRPr="002620C8" w:rsidRDefault="009C778C" w:rsidP="0066752D">
            <w:pPr>
              <w:pStyle w:val="NoSpacing"/>
            </w:pPr>
          </w:p>
        </w:tc>
        <w:tc>
          <w:tcPr>
            <w:tcW w:w="1350" w:type="dxa"/>
            <w:hideMark/>
          </w:tcPr>
          <w:p w14:paraId="06ADEF4E" w14:textId="77777777" w:rsidR="009C778C" w:rsidRPr="002620C8" w:rsidRDefault="009C778C" w:rsidP="0066752D">
            <w:pPr>
              <w:pStyle w:val="NoSpacing"/>
            </w:pPr>
            <w:r w:rsidRPr="002620C8">
              <w:t>(− 1.60)</w:t>
            </w:r>
          </w:p>
        </w:tc>
        <w:tc>
          <w:tcPr>
            <w:tcW w:w="1350" w:type="dxa"/>
            <w:hideMark/>
          </w:tcPr>
          <w:p w14:paraId="59C22461" w14:textId="77777777" w:rsidR="009C778C" w:rsidRPr="002620C8" w:rsidRDefault="009C778C" w:rsidP="0066752D">
            <w:pPr>
              <w:pStyle w:val="NoSpacing"/>
            </w:pPr>
            <w:r w:rsidRPr="002620C8">
              <w:t>(− 1.63)</w:t>
            </w:r>
          </w:p>
        </w:tc>
        <w:tc>
          <w:tcPr>
            <w:tcW w:w="1260" w:type="dxa"/>
            <w:hideMark/>
          </w:tcPr>
          <w:p w14:paraId="07FA7B0D" w14:textId="77777777" w:rsidR="009C778C" w:rsidRPr="002620C8" w:rsidRDefault="009C778C" w:rsidP="0066752D">
            <w:pPr>
              <w:pStyle w:val="NoSpacing"/>
            </w:pPr>
            <w:r w:rsidRPr="002620C8">
              <w:t>(− 1.59)</w:t>
            </w:r>
          </w:p>
        </w:tc>
        <w:tc>
          <w:tcPr>
            <w:tcW w:w="1255" w:type="dxa"/>
            <w:hideMark/>
          </w:tcPr>
          <w:p w14:paraId="2F4F6516" w14:textId="77777777" w:rsidR="009C778C" w:rsidRPr="002620C8" w:rsidRDefault="009C778C" w:rsidP="0066752D">
            <w:pPr>
              <w:pStyle w:val="NoSpacing"/>
            </w:pPr>
            <w:r w:rsidRPr="002620C8">
              <w:t>(− 1.63)</w:t>
            </w:r>
          </w:p>
        </w:tc>
      </w:tr>
      <w:tr w:rsidR="00F655B2" w:rsidRPr="002620C8" w14:paraId="177BAEA4" w14:textId="77777777" w:rsidTr="00F655B2">
        <w:tc>
          <w:tcPr>
            <w:tcW w:w="3595" w:type="dxa"/>
            <w:hideMark/>
          </w:tcPr>
          <w:p w14:paraId="6F61C9BC" w14:textId="77777777" w:rsidR="009C778C" w:rsidRPr="002620C8" w:rsidRDefault="009C778C" w:rsidP="0066752D">
            <w:pPr>
              <w:pStyle w:val="NoSpacing"/>
              <w:rPr>
                <w:b/>
                <w:bCs/>
              </w:rPr>
            </w:pPr>
            <w:proofErr w:type="spellStart"/>
            <w:r w:rsidRPr="002620C8">
              <w:rPr>
                <w:b/>
                <w:bCs/>
              </w:rPr>
              <w:t>INFLATION</w:t>
            </w:r>
            <w:r w:rsidRPr="002620C8">
              <w:rPr>
                <w:b/>
                <w:bCs/>
                <w:vertAlign w:val="subscript"/>
              </w:rPr>
              <w:t>t</w:t>
            </w:r>
            <w:proofErr w:type="spellEnd"/>
            <w:r w:rsidRPr="002620C8">
              <w:rPr>
                <w:b/>
                <w:bCs/>
                <w:vertAlign w:val="subscript"/>
              </w:rPr>
              <w:t> − 1</w:t>
            </w:r>
          </w:p>
        </w:tc>
        <w:tc>
          <w:tcPr>
            <w:tcW w:w="1260" w:type="dxa"/>
            <w:hideMark/>
          </w:tcPr>
          <w:p w14:paraId="15852896" w14:textId="77777777" w:rsidR="009C778C" w:rsidRPr="002620C8" w:rsidRDefault="009C778C" w:rsidP="0066752D">
            <w:pPr>
              <w:pStyle w:val="NoSpacing"/>
              <w:rPr>
                <w:b/>
                <w:bCs/>
              </w:rPr>
            </w:pPr>
          </w:p>
        </w:tc>
        <w:tc>
          <w:tcPr>
            <w:tcW w:w="1350" w:type="dxa"/>
            <w:hideMark/>
          </w:tcPr>
          <w:p w14:paraId="3072BC90" w14:textId="77777777" w:rsidR="009C778C" w:rsidRPr="002620C8" w:rsidRDefault="009C778C" w:rsidP="0066752D">
            <w:pPr>
              <w:pStyle w:val="NoSpacing"/>
            </w:pPr>
            <w:r w:rsidRPr="002620C8">
              <w:t>1.375***</w:t>
            </w:r>
          </w:p>
        </w:tc>
        <w:tc>
          <w:tcPr>
            <w:tcW w:w="1350" w:type="dxa"/>
            <w:hideMark/>
          </w:tcPr>
          <w:p w14:paraId="3CB8B163" w14:textId="77777777" w:rsidR="009C778C" w:rsidRPr="002620C8" w:rsidRDefault="009C778C" w:rsidP="0066752D">
            <w:pPr>
              <w:pStyle w:val="NoSpacing"/>
            </w:pPr>
            <w:r w:rsidRPr="002620C8">
              <w:t>1.327***</w:t>
            </w:r>
          </w:p>
        </w:tc>
        <w:tc>
          <w:tcPr>
            <w:tcW w:w="1260" w:type="dxa"/>
            <w:hideMark/>
          </w:tcPr>
          <w:p w14:paraId="1479EAF9" w14:textId="77777777" w:rsidR="009C778C" w:rsidRPr="002620C8" w:rsidRDefault="009C778C" w:rsidP="0066752D">
            <w:pPr>
              <w:pStyle w:val="NoSpacing"/>
            </w:pPr>
            <w:r w:rsidRPr="002620C8">
              <w:t>1.389***</w:t>
            </w:r>
          </w:p>
        </w:tc>
        <w:tc>
          <w:tcPr>
            <w:tcW w:w="1255" w:type="dxa"/>
            <w:hideMark/>
          </w:tcPr>
          <w:p w14:paraId="24381B4A" w14:textId="77777777" w:rsidR="009C778C" w:rsidRPr="002620C8" w:rsidRDefault="009C778C" w:rsidP="0066752D">
            <w:pPr>
              <w:pStyle w:val="NoSpacing"/>
            </w:pPr>
            <w:r w:rsidRPr="002620C8">
              <w:t>1.343***</w:t>
            </w:r>
          </w:p>
        </w:tc>
      </w:tr>
      <w:tr w:rsidR="00F655B2" w:rsidRPr="002620C8" w14:paraId="216BD37C" w14:textId="77777777" w:rsidTr="00F655B2">
        <w:tc>
          <w:tcPr>
            <w:tcW w:w="3595" w:type="dxa"/>
            <w:hideMark/>
          </w:tcPr>
          <w:p w14:paraId="7EE78B5D" w14:textId="77777777" w:rsidR="009C778C" w:rsidRPr="002620C8" w:rsidRDefault="009C778C" w:rsidP="0066752D">
            <w:pPr>
              <w:pStyle w:val="NoSpacing"/>
              <w:rPr>
                <w:b/>
                <w:bCs/>
              </w:rPr>
            </w:pPr>
          </w:p>
        </w:tc>
        <w:tc>
          <w:tcPr>
            <w:tcW w:w="1260" w:type="dxa"/>
            <w:hideMark/>
          </w:tcPr>
          <w:p w14:paraId="13DA5B0F" w14:textId="77777777" w:rsidR="009C778C" w:rsidRPr="002620C8" w:rsidRDefault="009C778C" w:rsidP="0066752D">
            <w:pPr>
              <w:pStyle w:val="NoSpacing"/>
            </w:pPr>
          </w:p>
        </w:tc>
        <w:tc>
          <w:tcPr>
            <w:tcW w:w="1350" w:type="dxa"/>
            <w:hideMark/>
          </w:tcPr>
          <w:p w14:paraId="3AE4140F" w14:textId="77777777" w:rsidR="009C778C" w:rsidRPr="002620C8" w:rsidRDefault="009C778C" w:rsidP="0066752D">
            <w:pPr>
              <w:pStyle w:val="NoSpacing"/>
            </w:pPr>
            <w:r w:rsidRPr="002620C8">
              <w:t>(3.99)</w:t>
            </w:r>
          </w:p>
        </w:tc>
        <w:tc>
          <w:tcPr>
            <w:tcW w:w="1350" w:type="dxa"/>
            <w:hideMark/>
          </w:tcPr>
          <w:p w14:paraId="5AE25379" w14:textId="77777777" w:rsidR="009C778C" w:rsidRPr="002620C8" w:rsidRDefault="009C778C" w:rsidP="0066752D">
            <w:pPr>
              <w:pStyle w:val="NoSpacing"/>
            </w:pPr>
            <w:r w:rsidRPr="002620C8">
              <w:t>(3.86)</w:t>
            </w:r>
          </w:p>
        </w:tc>
        <w:tc>
          <w:tcPr>
            <w:tcW w:w="1260" w:type="dxa"/>
            <w:hideMark/>
          </w:tcPr>
          <w:p w14:paraId="37A9227F" w14:textId="77777777" w:rsidR="009C778C" w:rsidRPr="002620C8" w:rsidRDefault="009C778C" w:rsidP="0066752D">
            <w:pPr>
              <w:pStyle w:val="NoSpacing"/>
            </w:pPr>
            <w:r w:rsidRPr="002620C8">
              <w:t>(4.04)</w:t>
            </w:r>
          </w:p>
        </w:tc>
        <w:tc>
          <w:tcPr>
            <w:tcW w:w="1255" w:type="dxa"/>
            <w:hideMark/>
          </w:tcPr>
          <w:p w14:paraId="6E9D3E4C" w14:textId="77777777" w:rsidR="009C778C" w:rsidRPr="002620C8" w:rsidRDefault="009C778C" w:rsidP="0066752D">
            <w:pPr>
              <w:pStyle w:val="NoSpacing"/>
            </w:pPr>
            <w:r w:rsidRPr="002620C8">
              <w:t>(3.90)</w:t>
            </w:r>
          </w:p>
        </w:tc>
      </w:tr>
      <w:tr w:rsidR="00F655B2" w:rsidRPr="002620C8" w14:paraId="37C7008A" w14:textId="77777777" w:rsidTr="00F655B2">
        <w:tc>
          <w:tcPr>
            <w:tcW w:w="3595" w:type="dxa"/>
            <w:hideMark/>
          </w:tcPr>
          <w:p w14:paraId="409D08D9" w14:textId="77777777" w:rsidR="009C778C" w:rsidRPr="002620C8" w:rsidRDefault="009C778C" w:rsidP="0066752D">
            <w:pPr>
              <w:pStyle w:val="NoSpacing"/>
              <w:rPr>
                <w:b/>
                <w:bCs/>
              </w:rPr>
            </w:pPr>
            <w:r w:rsidRPr="002620C8">
              <w:rPr>
                <w:b/>
                <w:bCs/>
              </w:rPr>
              <w:t>CONSTANT, YEAR, INDUSTRY, &amp; COUNTRY FE</w:t>
            </w:r>
          </w:p>
        </w:tc>
        <w:tc>
          <w:tcPr>
            <w:tcW w:w="1260" w:type="dxa"/>
            <w:hideMark/>
          </w:tcPr>
          <w:p w14:paraId="63694DA3" w14:textId="77777777" w:rsidR="009C778C" w:rsidRPr="002620C8" w:rsidRDefault="009C778C" w:rsidP="0066752D">
            <w:pPr>
              <w:pStyle w:val="NoSpacing"/>
              <w:rPr>
                <w:b/>
                <w:bCs/>
              </w:rPr>
            </w:pPr>
          </w:p>
        </w:tc>
        <w:tc>
          <w:tcPr>
            <w:tcW w:w="1350" w:type="dxa"/>
            <w:hideMark/>
          </w:tcPr>
          <w:p w14:paraId="59D45A21" w14:textId="77777777" w:rsidR="009C778C" w:rsidRPr="002620C8" w:rsidRDefault="009C778C" w:rsidP="0066752D">
            <w:pPr>
              <w:pStyle w:val="NoSpacing"/>
            </w:pPr>
            <w:r w:rsidRPr="002620C8">
              <w:t>Yes</w:t>
            </w:r>
          </w:p>
        </w:tc>
        <w:tc>
          <w:tcPr>
            <w:tcW w:w="1350" w:type="dxa"/>
            <w:hideMark/>
          </w:tcPr>
          <w:p w14:paraId="42927DC1" w14:textId="77777777" w:rsidR="009C778C" w:rsidRPr="002620C8" w:rsidRDefault="009C778C" w:rsidP="0066752D">
            <w:pPr>
              <w:pStyle w:val="NoSpacing"/>
            </w:pPr>
            <w:r w:rsidRPr="002620C8">
              <w:t>Yes</w:t>
            </w:r>
          </w:p>
        </w:tc>
        <w:tc>
          <w:tcPr>
            <w:tcW w:w="1260" w:type="dxa"/>
            <w:hideMark/>
          </w:tcPr>
          <w:p w14:paraId="08EF1FD2" w14:textId="77777777" w:rsidR="009C778C" w:rsidRPr="002620C8" w:rsidRDefault="009C778C" w:rsidP="0066752D">
            <w:pPr>
              <w:pStyle w:val="NoSpacing"/>
            </w:pPr>
            <w:r w:rsidRPr="002620C8">
              <w:t>Yes</w:t>
            </w:r>
          </w:p>
        </w:tc>
        <w:tc>
          <w:tcPr>
            <w:tcW w:w="1255" w:type="dxa"/>
            <w:hideMark/>
          </w:tcPr>
          <w:p w14:paraId="58A4726F" w14:textId="77777777" w:rsidR="009C778C" w:rsidRPr="002620C8" w:rsidRDefault="009C778C" w:rsidP="0066752D">
            <w:pPr>
              <w:pStyle w:val="NoSpacing"/>
            </w:pPr>
            <w:r w:rsidRPr="002620C8">
              <w:t>Yes</w:t>
            </w:r>
          </w:p>
        </w:tc>
      </w:tr>
      <w:tr w:rsidR="00F655B2" w:rsidRPr="002620C8" w14:paraId="52D5C9C8" w14:textId="77777777" w:rsidTr="00F655B2">
        <w:tc>
          <w:tcPr>
            <w:tcW w:w="3595" w:type="dxa"/>
            <w:hideMark/>
          </w:tcPr>
          <w:p w14:paraId="686C7D68" w14:textId="77777777" w:rsidR="009C778C" w:rsidRPr="002620C8" w:rsidRDefault="009C778C" w:rsidP="0066752D">
            <w:pPr>
              <w:pStyle w:val="NoSpacing"/>
              <w:rPr>
                <w:b/>
                <w:bCs/>
              </w:rPr>
            </w:pPr>
            <w:r w:rsidRPr="002620C8">
              <w:rPr>
                <w:b/>
                <w:bCs/>
              </w:rPr>
              <w:t>Number of observations</w:t>
            </w:r>
          </w:p>
        </w:tc>
        <w:tc>
          <w:tcPr>
            <w:tcW w:w="1260" w:type="dxa"/>
            <w:hideMark/>
          </w:tcPr>
          <w:p w14:paraId="2513DF5E" w14:textId="77777777" w:rsidR="009C778C" w:rsidRPr="002620C8" w:rsidRDefault="009C778C" w:rsidP="0066752D">
            <w:pPr>
              <w:pStyle w:val="NoSpacing"/>
              <w:rPr>
                <w:b/>
                <w:bCs/>
              </w:rPr>
            </w:pPr>
          </w:p>
        </w:tc>
        <w:tc>
          <w:tcPr>
            <w:tcW w:w="1350" w:type="dxa"/>
            <w:hideMark/>
          </w:tcPr>
          <w:p w14:paraId="066CD1CC" w14:textId="77777777" w:rsidR="009C778C" w:rsidRPr="002620C8" w:rsidRDefault="009C778C" w:rsidP="0066752D">
            <w:pPr>
              <w:pStyle w:val="NoSpacing"/>
            </w:pPr>
          </w:p>
        </w:tc>
        <w:tc>
          <w:tcPr>
            <w:tcW w:w="1350" w:type="dxa"/>
            <w:hideMark/>
          </w:tcPr>
          <w:p w14:paraId="17B93EE0" w14:textId="77777777" w:rsidR="009C778C" w:rsidRPr="002620C8" w:rsidRDefault="009C778C" w:rsidP="0066752D">
            <w:pPr>
              <w:pStyle w:val="NoSpacing"/>
            </w:pPr>
            <w:r w:rsidRPr="002620C8">
              <w:t>66,286</w:t>
            </w:r>
          </w:p>
        </w:tc>
        <w:tc>
          <w:tcPr>
            <w:tcW w:w="1260" w:type="dxa"/>
            <w:hideMark/>
          </w:tcPr>
          <w:p w14:paraId="38ADE0F5" w14:textId="77777777" w:rsidR="009C778C" w:rsidRPr="002620C8" w:rsidRDefault="009C778C" w:rsidP="0066752D">
            <w:pPr>
              <w:pStyle w:val="NoSpacing"/>
            </w:pPr>
            <w:r w:rsidRPr="002620C8">
              <w:t>66,286</w:t>
            </w:r>
          </w:p>
        </w:tc>
        <w:tc>
          <w:tcPr>
            <w:tcW w:w="1255" w:type="dxa"/>
            <w:hideMark/>
          </w:tcPr>
          <w:p w14:paraId="019BD8B8" w14:textId="77777777" w:rsidR="009C778C" w:rsidRPr="002620C8" w:rsidRDefault="009C778C" w:rsidP="0066752D">
            <w:pPr>
              <w:pStyle w:val="NoSpacing"/>
            </w:pPr>
            <w:r w:rsidRPr="002620C8">
              <w:t>66,286</w:t>
            </w:r>
          </w:p>
        </w:tc>
      </w:tr>
      <w:tr w:rsidR="00F655B2" w:rsidRPr="002620C8" w14:paraId="0E51456D" w14:textId="77777777" w:rsidTr="00F655B2">
        <w:tc>
          <w:tcPr>
            <w:tcW w:w="3595" w:type="dxa"/>
            <w:hideMark/>
          </w:tcPr>
          <w:p w14:paraId="6EAAEDAC" w14:textId="77777777" w:rsidR="009C778C" w:rsidRPr="002620C8" w:rsidRDefault="009C778C" w:rsidP="0066752D">
            <w:pPr>
              <w:pStyle w:val="NoSpacing"/>
              <w:rPr>
                <w:b/>
                <w:bCs/>
              </w:rPr>
            </w:pPr>
            <w:r w:rsidRPr="002620C8">
              <w:rPr>
                <w:b/>
                <w:bCs/>
              </w:rPr>
              <w:t>Adj. R-squared</w:t>
            </w:r>
          </w:p>
        </w:tc>
        <w:tc>
          <w:tcPr>
            <w:tcW w:w="1260" w:type="dxa"/>
            <w:hideMark/>
          </w:tcPr>
          <w:p w14:paraId="2E6CD9FE" w14:textId="77777777" w:rsidR="009C778C" w:rsidRPr="002620C8" w:rsidRDefault="009C778C" w:rsidP="0066752D">
            <w:pPr>
              <w:pStyle w:val="NoSpacing"/>
              <w:rPr>
                <w:b/>
                <w:bCs/>
              </w:rPr>
            </w:pPr>
          </w:p>
        </w:tc>
        <w:tc>
          <w:tcPr>
            <w:tcW w:w="1350" w:type="dxa"/>
            <w:hideMark/>
          </w:tcPr>
          <w:p w14:paraId="20F3BE84" w14:textId="77777777" w:rsidR="009C778C" w:rsidRPr="002620C8" w:rsidRDefault="009C778C" w:rsidP="0066752D">
            <w:pPr>
              <w:pStyle w:val="NoSpacing"/>
            </w:pPr>
          </w:p>
        </w:tc>
        <w:tc>
          <w:tcPr>
            <w:tcW w:w="1350" w:type="dxa"/>
            <w:hideMark/>
          </w:tcPr>
          <w:p w14:paraId="41E08E3E" w14:textId="77777777" w:rsidR="009C778C" w:rsidRPr="002620C8" w:rsidRDefault="009C778C" w:rsidP="0066752D">
            <w:pPr>
              <w:pStyle w:val="NoSpacing"/>
            </w:pPr>
            <w:r w:rsidRPr="002620C8">
              <w:t>0.108</w:t>
            </w:r>
          </w:p>
        </w:tc>
        <w:tc>
          <w:tcPr>
            <w:tcW w:w="1260" w:type="dxa"/>
            <w:hideMark/>
          </w:tcPr>
          <w:p w14:paraId="5EBDB484" w14:textId="77777777" w:rsidR="009C778C" w:rsidRPr="002620C8" w:rsidRDefault="009C778C" w:rsidP="0066752D">
            <w:pPr>
              <w:pStyle w:val="NoSpacing"/>
            </w:pPr>
            <w:r w:rsidRPr="002620C8">
              <w:t>0.108</w:t>
            </w:r>
          </w:p>
        </w:tc>
        <w:tc>
          <w:tcPr>
            <w:tcW w:w="1255" w:type="dxa"/>
            <w:hideMark/>
          </w:tcPr>
          <w:p w14:paraId="2EC31D8C" w14:textId="77777777" w:rsidR="009C778C" w:rsidRPr="002620C8" w:rsidRDefault="009C778C" w:rsidP="0066752D">
            <w:pPr>
              <w:pStyle w:val="NoSpacing"/>
            </w:pPr>
            <w:r w:rsidRPr="002620C8">
              <w:t>0.108</w:t>
            </w:r>
          </w:p>
        </w:tc>
      </w:tr>
      <w:tr w:rsidR="00F655B2" w:rsidRPr="002620C8" w14:paraId="60BC7A08" w14:textId="77777777" w:rsidTr="00F655B2">
        <w:tc>
          <w:tcPr>
            <w:tcW w:w="3595" w:type="dxa"/>
            <w:hideMark/>
          </w:tcPr>
          <w:p w14:paraId="332141F0" w14:textId="77777777" w:rsidR="00A10CDD" w:rsidRPr="002620C8" w:rsidRDefault="00A10CDD" w:rsidP="0066752D">
            <w:pPr>
              <w:pStyle w:val="NoSpacing"/>
              <w:rPr>
                <w:b/>
                <w:bCs/>
              </w:rPr>
            </w:pPr>
            <w:r w:rsidRPr="002620C8">
              <w:rPr>
                <w:b/>
                <w:bCs/>
              </w:rPr>
              <w:t xml:space="preserve">F-stat </w:t>
            </w:r>
            <w:proofErr w:type="spellStart"/>
            <w:r w:rsidRPr="002620C8">
              <w:rPr>
                <w:b/>
                <w:bCs/>
              </w:rPr>
              <w:t>DOMESTIC</w:t>
            </w:r>
            <w:r w:rsidRPr="002620C8">
              <w:rPr>
                <w:b/>
                <w:bCs/>
                <w:vertAlign w:val="subscript"/>
              </w:rPr>
              <w:t>t</w:t>
            </w:r>
            <w:proofErr w:type="spellEnd"/>
            <w:r w:rsidRPr="002620C8">
              <w:rPr>
                <w:b/>
                <w:bCs/>
                <w:vertAlign w:val="subscript"/>
              </w:rPr>
              <w:t> − 1</w:t>
            </w:r>
            <w:r w:rsidRPr="002620C8">
              <w:rPr>
                <w:b/>
                <w:bCs/>
              </w:rPr>
              <w:t> = </w:t>
            </w:r>
            <w:proofErr w:type="spellStart"/>
            <w:r w:rsidRPr="002620C8">
              <w:rPr>
                <w:b/>
                <w:bCs/>
              </w:rPr>
              <w:t>FOREIGN_REGION</w:t>
            </w:r>
            <w:r w:rsidRPr="002620C8">
              <w:rPr>
                <w:b/>
                <w:bCs/>
                <w:vertAlign w:val="subscript"/>
              </w:rPr>
              <w:t>t</w:t>
            </w:r>
            <w:proofErr w:type="spellEnd"/>
            <w:r w:rsidRPr="002620C8">
              <w:rPr>
                <w:b/>
                <w:bCs/>
                <w:vertAlign w:val="subscript"/>
              </w:rPr>
              <w:t> − 1</w:t>
            </w:r>
            <w:r w:rsidRPr="002620C8">
              <w:rPr>
                <w:b/>
                <w:bCs/>
              </w:rPr>
              <w:t>/</w:t>
            </w:r>
            <w:proofErr w:type="spellStart"/>
            <w:r w:rsidRPr="002620C8">
              <w:rPr>
                <w:b/>
                <w:bCs/>
              </w:rPr>
              <w:t>ACTG</w:t>
            </w:r>
            <w:r w:rsidRPr="002620C8">
              <w:rPr>
                <w:b/>
                <w:bCs/>
                <w:vertAlign w:val="subscript"/>
              </w:rPr>
              <w:t>t</w:t>
            </w:r>
            <w:proofErr w:type="spellEnd"/>
            <w:r w:rsidRPr="002620C8">
              <w:rPr>
                <w:b/>
                <w:bCs/>
                <w:vertAlign w:val="subscript"/>
              </w:rPr>
              <w:t> − 1</w:t>
            </w:r>
            <w:r w:rsidRPr="002620C8">
              <w:rPr>
                <w:b/>
                <w:bCs/>
              </w:rPr>
              <w:t>/</w:t>
            </w:r>
            <w:proofErr w:type="spellStart"/>
            <w:r w:rsidRPr="002620C8">
              <w:rPr>
                <w:b/>
                <w:bCs/>
              </w:rPr>
              <w:t>CULTURE</w:t>
            </w:r>
            <w:r w:rsidRPr="002620C8">
              <w:rPr>
                <w:b/>
                <w:bCs/>
                <w:vertAlign w:val="subscript"/>
              </w:rPr>
              <w:t>t</w:t>
            </w:r>
            <w:proofErr w:type="spellEnd"/>
            <w:r w:rsidRPr="002620C8">
              <w:rPr>
                <w:b/>
                <w:bCs/>
                <w:vertAlign w:val="subscript"/>
              </w:rPr>
              <w:t> − 1</w:t>
            </w:r>
          </w:p>
        </w:tc>
        <w:tc>
          <w:tcPr>
            <w:tcW w:w="1260" w:type="dxa"/>
          </w:tcPr>
          <w:p w14:paraId="1DEB58AD" w14:textId="77777777" w:rsidR="00A10CDD" w:rsidRPr="002620C8" w:rsidRDefault="00A10CDD" w:rsidP="0066752D">
            <w:pPr>
              <w:pStyle w:val="NoSpacing"/>
              <w:rPr>
                <w:b/>
                <w:bCs/>
              </w:rPr>
            </w:pPr>
          </w:p>
        </w:tc>
        <w:tc>
          <w:tcPr>
            <w:tcW w:w="1350" w:type="dxa"/>
          </w:tcPr>
          <w:p w14:paraId="5EE11799" w14:textId="6A3CA20A" w:rsidR="00A10CDD" w:rsidRPr="002620C8" w:rsidRDefault="00A10CDD" w:rsidP="0066752D">
            <w:pPr>
              <w:pStyle w:val="NoSpacing"/>
              <w:rPr>
                <w:b/>
                <w:bCs/>
              </w:rPr>
            </w:pPr>
          </w:p>
        </w:tc>
        <w:tc>
          <w:tcPr>
            <w:tcW w:w="1350" w:type="dxa"/>
            <w:hideMark/>
          </w:tcPr>
          <w:p w14:paraId="7C5340D7" w14:textId="77777777" w:rsidR="00A10CDD" w:rsidRPr="002620C8" w:rsidRDefault="00A10CDD" w:rsidP="0066752D">
            <w:pPr>
              <w:pStyle w:val="NoSpacing"/>
            </w:pPr>
            <w:r w:rsidRPr="002620C8">
              <w:t>3.04*</w:t>
            </w:r>
          </w:p>
        </w:tc>
        <w:tc>
          <w:tcPr>
            <w:tcW w:w="1260" w:type="dxa"/>
            <w:hideMark/>
          </w:tcPr>
          <w:p w14:paraId="20EB6667" w14:textId="77777777" w:rsidR="00A10CDD" w:rsidRPr="002620C8" w:rsidRDefault="00A10CDD" w:rsidP="0066752D">
            <w:pPr>
              <w:pStyle w:val="NoSpacing"/>
            </w:pPr>
            <w:r w:rsidRPr="002620C8">
              <w:t>0.32</w:t>
            </w:r>
          </w:p>
        </w:tc>
        <w:tc>
          <w:tcPr>
            <w:tcW w:w="1255" w:type="dxa"/>
            <w:hideMark/>
          </w:tcPr>
          <w:p w14:paraId="01C43F49" w14:textId="77777777" w:rsidR="00A10CDD" w:rsidRPr="002620C8" w:rsidRDefault="00A10CDD" w:rsidP="0066752D">
            <w:pPr>
              <w:pStyle w:val="NoSpacing"/>
            </w:pPr>
            <w:r w:rsidRPr="002620C8">
              <w:t>0.31</w:t>
            </w:r>
          </w:p>
        </w:tc>
      </w:tr>
      <w:tr w:rsidR="00F655B2" w:rsidRPr="002620C8" w14:paraId="669A51E7" w14:textId="77777777" w:rsidTr="00F655B2">
        <w:tc>
          <w:tcPr>
            <w:tcW w:w="3595" w:type="dxa"/>
            <w:hideMark/>
          </w:tcPr>
          <w:p w14:paraId="39A26CAF" w14:textId="77777777" w:rsidR="009C778C" w:rsidRPr="002620C8" w:rsidRDefault="009C778C" w:rsidP="0066752D">
            <w:pPr>
              <w:pStyle w:val="NoSpacing"/>
              <w:rPr>
                <w:b/>
                <w:bCs/>
              </w:rPr>
            </w:pPr>
            <w:r w:rsidRPr="002620C8">
              <w:rPr>
                <w:b/>
                <w:bCs/>
              </w:rPr>
              <w:t>(</w:t>
            </w:r>
            <w:r w:rsidRPr="002620C8">
              <w:rPr>
                <w:b/>
                <w:bCs/>
                <w:i/>
                <w:iCs/>
              </w:rPr>
              <w:t>p</w:t>
            </w:r>
            <w:r w:rsidRPr="002620C8">
              <w:rPr>
                <w:b/>
                <w:bCs/>
              </w:rPr>
              <w:t>-Value)</w:t>
            </w:r>
          </w:p>
        </w:tc>
        <w:tc>
          <w:tcPr>
            <w:tcW w:w="1260" w:type="dxa"/>
            <w:hideMark/>
          </w:tcPr>
          <w:p w14:paraId="27305602" w14:textId="77777777" w:rsidR="009C778C" w:rsidRPr="002620C8" w:rsidRDefault="009C778C" w:rsidP="0066752D">
            <w:pPr>
              <w:pStyle w:val="NoSpacing"/>
              <w:rPr>
                <w:b/>
                <w:bCs/>
              </w:rPr>
            </w:pPr>
          </w:p>
        </w:tc>
        <w:tc>
          <w:tcPr>
            <w:tcW w:w="1350" w:type="dxa"/>
            <w:hideMark/>
          </w:tcPr>
          <w:p w14:paraId="04605BCE" w14:textId="77777777" w:rsidR="009C778C" w:rsidRPr="002620C8" w:rsidRDefault="009C778C" w:rsidP="0066752D">
            <w:pPr>
              <w:pStyle w:val="NoSpacing"/>
            </w:pPr>
          </w:p>
        </w:tc>
        <w:tc>
          <w:tcPr>
            <w:tcW w:w="1350" w:type="dxa"/>
            <w:hideMark/>
          </w:tcPr>
          <w:p w14:paraId="7FAE8F7A" w14:textId="77777777" w:rsidR="009C778C" w:rsidRPr="002620C8" w:rsidRDefault="009C778C" w:rsidP="0066752D">
            <w:pPr>
              <w:pStyle w:val="NoSpacing"/>
            </w:pPr>
            <w:r w:rsidRPr="002620C8">
              <w:t>(0.08)</w:t>
            </w:r>
          </w:p>
        </w:tc>
        <w:tc>
          <w:tcPr>
            <w:tcW w:w="1260" w:type="dxa"/>
            <w:hideMark/>
          </w:tcPr>
          <w:p w14:paraId="66C32A83" w14:textId="77777777" w:rsidR="009C778C" w:rsidRPr="002620C8" w:rsidRDefault="009C778C" w:rsidP="0066752D">
            <w:pPr>
              <w:pStyle w:val="NoSpacing"/>
            </w:pPr>
            <w:r w:rsidRPr="002620C8">
              <w:t>(0.57)</w:t>
            </w:r>
          </w:p>
        </w:tc>
        <w:tc>
          <w:tcPr>
            <w:tcW w:w="1255" w:type="dxa"/>
            <w:hideMark/>
          </w:tcPr>
          <w:p w14:paraId="6842D2B5" w14:textId="77777777" w:rsidR="009C778C" w:rsidRPr="002620C8" w:rsidRDefault="009C778C" w:rsidP="0066752D">
            <w:pPr>
              <w:pStyle w:val="NoSpacing"/>
            </w:pPr>
            <w:r w:rsidRPr="002620C8">
              <w:t>(0.58)</w:t>
            </w:r>
          </w:p>
        </w:tc>
      </w:tr>
      <w:tr w:rsidR="00F655B2" w:rsidRPr="002620C8" w14:paraId="0771F565" w14:textId="77777777" w:rsidTr="00F655B2">
        <w:tc>
          <w:tcPr>
            <w:tcW w:w="3595" w:type="dxa"/>
            <w:hideMark/>
          </w:tcPr>
          <w:p w14:paraId="4944F730" w14:textId="77777777" w:rsidR="009C778C" w:rsidRPr="002620C8" w:rsidRDefault="009C778C" w:rsidP="0066752D">
            <w:pPr>
              <w:pStyle w:val="NoSpacing"/>
              <w:rPr>
                <w:b/>
                <w:bCs/>
              </w:rPr>
            </w:pPr>
            <w:r w:rsidRPr="002620C8">
              <w:rPr>
                <w:b/>
                <w:bCs/>
              </w:rPr>
              <w:t>Baseline (DOMESTIC </w:t>
            </w:r>
            <w:r w:rsidRPr="002620C8">
              <w:rPr>
                <w:b/>
                <w:bCs/>
                <w:vertAlign w:val="subscript"/>
              </w:rPr>
              <w:t>t-1</w:t>
            </w:r>
            <w:r w:rsidRPr="002620C8">
              <w:rPr>
                <w:b/>
                <w:bCs/>
              </w:rPr>
              <w:t> - FOREIGN </w:t>
            </w:r>
            <w:r w:rsidRPr="002620C8">
              <w:rPr>
                <w:b/>
                <w:bCs/>
                <w:vertAlign w:val="subscript"/>
              </w:rPr>
              <w:t>t-1</w:t>
            </w:r>
            <w:r w:rsidRPr="002620C8">
              <w:rPr>
                <w:b/>
                <w:bCs/>
              </w:rPr>
              <w:t>) &lt; DOMESTIC </w:t>
            </w:r>
            <w:r w:rsidRPr="002620C8">
              <w:rPr>
                <w:b/>
                <w:bCs/>
                <w:vertAlign w:val="subscript"/>
              </w:rPr>
              <w:t>t-1</w:t>
            </w:r>
            <w:r w:rsidRPr="002620C8">
              <w:rPr>
                <w:b/>
                <w:bCs/>
              </w:rPr>
              <w:t> - FOREIGN_REGION </w:t>
            </w:r>
            <w:r w:rsidRPr="002620C8">
              <w:rPr>
                <w:b/>
                <w:bCs/>
                <w:vertAlign w:val="subscript"/>
              </w:rPr>
              <w:t>t-1</w:t>
            </w:r>
            <w:r w:rsidRPr="002620C8">
              <w:rPr>
                <w:b/>
                <w:bCs/>
              </w:rPr>
              <w:t> /ACTG </w:t>
            </w:r>
            <w:r w:rsidRPr="002620C8">
              <w:rPr>
                <w:b/>
                <w:bCs/>
                <w:vertAlign w:val="subscript"/>
              </w:rPr>
              <w:t>t-1</w:t>
            </w:r>
            <w:r w:rsidRPr="002620C8">
              <w:rPr>
                <w:b/>
                <w:bCs/>
              </w:rPr>
              <w:t> /CULTURE </w:t>
            </w:r>
            <w:r w:rsidRPr="002620C8">
              <w:rPr>
                <w:b/>
                <w:bCs/>
                <w:vertAlign w:val="subscript"/>
              </w:rPr>
              <w:t>t-1</w:t>
            </w:r>
          </w:p>
        </w:tc>
        <w:tc>
          <w:tcPr>
            <w:tcW w:w="1260" w:type="dxa"/>
            <w:hideMark/>
          </w:tcPr>
          <w:p w14:paraId="75CBD855" w14:textId="77777777" w:rsidR="009C778C" w:rsidRPr="002620C8" w:rsidRDefault="009C778C" w:rsidP="0066752D">
            <w:pPr>
              <w:pStyle w:val="NoSpacing"/>
              <w:rPr>
                <w:b/>
                <w:bCs/>
              </w:rPr>
            </w:pPr>
          </w:p>
        </w:tc>
        <w:tc>
          <w:tcPr>
            <w:tcW w:w="1350" w:type="dxa"/>
            <w:hideMark/>
          </w:tcPr>
          <w:p w14:paraId="2837244D" w14:textId="77777777" w:rsidR="009C778C" w:rsidRPr="002620C8" w:rsidRDefault="009C778C" w:rsidP="0066752D">
            <w:pPr>
              <w:pStyle w:val="NoSpacing"/>
            </w:pPr>
          </w:p>
        </w:tc>
        <w:tc>
          <w:tcPr>
            <w:tcW w:w="1350" w:type="dxa"/>
            <w:hideMark/>
          </w:tcPr>
          <w:p w14:paraId="66785558" w14:textId="77777777" w:rsidR="009C778C" w:rsidRPr="002620C8" w:rsidRDefault="009C778C" w:rsidP="0066752D">
            <w:pPr>
              <w:pStyle w:val="NoSpacing"/>
            </w:pPr>
            <w:r w:rsidRPr="002620C8">
              <w:t>5.50**</w:t>
            </w:r>
          </w:p>
        </w:tc>
        <w:tc>
          <w:tcPr>
            <w:tcW w:w="1260" w:type="dxa"/>
            <w:hideMark/>
          </w:tcPr>
          <w:p w14:paraId="316EF3BA" w14:textId="77777777" w:rsidR="009C778C" w:rsidRPr="002620C8" w:rsidRDefault="009C778C" w:rsidP="0066752D">
            <w:pPr>
              <w:pStyle w:val="NoSpacing"/>
            </w:pPr>
            <w:r w:rsidRPr="002620C8">
              <w:t>2.15*</w:t>
            </w:r>
          </w:p>
        </w:tc>
        <w:tc>
          <w:tcPr>
            <w:tcW w:w="1255" w:type="dxa"/>
            <w:hideMark/>
          </w:tcPr>
          <w:p w14:paraId="0888E97C" w14:textId="77777777" w:rsidR="009C778C" w:rsidRPr="002620C8" w:rsidRDefault="009C778C" w:rsidP="0066752D">
            <w:pPr>
              <w:pStyle w:val="NoSpacing"/>
            </w:pPr>
            <w:r w:rsidRPr="002620C8">
              <w:t>3.46**</w:t>
            </w:r>
          </w:p>
        </w:tc>
      </w:tr>
      <w:tr w:rsidR="00F655B2" w:rsidRPr="002620C8" w14:paraId="2102F053" w14:textId="77777777" w:rsidTr="00F655B2">
        <w:tc>
          <w:tcPr>
            <w:tcW w:w="3595" w:type="dxa"/>
            <w:hideMark/>
          </w:tcPr>
          <w:p w14:paraId="39DFD1C6" w14:textId="77777777" w:rsidR="009C778C" w:rsidRPr="002620C8" w:rsidRDefault="009C778C" w:rsidP="0066752D">
            <w:pPr>
              <w:pStyle w:val="NoSpacing"/>
              <w:rPr>
                <w:b/>
                <w:bCs/>
              </w:rPr>
            </w:pPr>
            <w:r w:rsidRPr="002620C8">
              <w:rPr>
                <w:b/>
                <w:bCs/>
              </w:rPr>
              <w:t>(</w:t>
            </w:r>
            <w:r w:rsidRPr="002620C8">
              <w:rPr>
                <w:b/>
                <w:bCs/>
                <w:i/>
                <w:iCs/>
              </w:rPr>
              <w:t>p</w:t>
            </w:r>
            <w:r w:rsidRPr="002620C8">
              <w:rPr>
                <w:b/>
                <w:bCs/>
              </w:rPr>
              <w:t>-Value)</w:t>
            </w:r>
          </w:p>
        </w:tc>
        <w:tc>
          <w:tcPr>
            <w:tcW w:w="1260" w:type="dxa"/>
            <w:hideMark/>
          </w:tcPr>
          <w:p w14:paraId="5A7F679A" w14:textId="77777777" w:rsidR="009C778C" w:rsidRPr="002620C8" w:rsidRDefault="009C778C" w:rsidP="0066752D">
            <w:pPr>
              <w:pStyle w:val="NoSpacing"/>
              <w:rPr>
                <w:b/>
                <w:bCs/>
              </w:rPr>
            </w:pPr>
          </w:p>
        </w:tc>
        <w:tc>
          <w:tcPr>
            <w:tcW w:w="1350" w:type="dxa"/>
            <w:hideMark/>
          </w:tcPr>
          <w:p w14:paraId="64B67482" w14:textId="77777777" w:rsidR="009C778C" w:rsidRPr="002620C8" w:rsidRDefault="009C778C" w:rsidP="0066752D">
            <w:pPr>
              <w:pStyle w:val="NoSpacing"/>
            </w:pPr>
          </w:p>
        </w:tc>
        <w:tc>
          <w:tcPr>
            <w:tcW w:w="1350" w:type="dxa"/>
            <w:hideMark/>
          </w:tcPr>
          <w:p w14:paraId="46A078D7" w14:textId="77777777" w:rsidR="009C778C" w:rsidRPr="002620C8" w:rsidRDefault="009C778C" w:rsidP="0066752D">
            <w:pPr>
              <w:pStyle w:val="NoSpacing"/>
            </w:pPr>
            <w:r w:rsidRPr="002620C8">
              <w:t>(0.01)</w:t>
            </w:r>
          </w:p>
        </w:tc>
        <w:tc>
          <w:tcPr>
            <w:tcW w:w="1260" w:type="dxa"/>
            <w:hideMark/>
          </w:tcPr>
          <w:p w14:paraId="1548B33D" w14:textId="77777777" w:rsidR="009C778C" w:rsidRPr="002620C8" w:rsidRDefault="009C778C" w:rsidP="0066752D">
            <w:pPr>
              <w:pStyle w:val="NoSpacing"/>
            </w:pPr>
            <w:r w:rsidRPr="002620C8">
              <w:t>(0.07)</w:t>
            </w:r>
          </w:p>
        </w:tc>
        <w:tc>
          <w:tcPr>
            <w:tcW w:w="1255" w:type="dxa"/>
            <w:hideMark/>
          </w:tcPr>
          <w:p w14:paraId="2110EA8D" w14:textId="77777777" w:rsidR="009C778C" w:rsidRPr="002620C8" w:rsidRDefault="009C778C" w:rsidP="0066752D">
            <w:pPr>
              <w:pStyle w:val="NoSpacing"/>
            </w:pPr>
            <w:r w:rsidRPr="002620C8">
              <w:t>(0.03)</w:t>
            </w:r>
          </w:p>
        </w:tc>
      </w:tr>
    </w:tbl>
    <w:p w14:paraId="21ACBEDE" w14:textId="77777777" w:rsidR="007908BC" w:rsidRDefault="007908BC" w:rsidP="009C778C">
      <w:pPr>
        <w:rPr>
          <w:rFonts w:cstheme="minorHAnsi"/>
          <w:sz w:val="24"/>
          <w:szCs w:val="24"/>
        </w:rPr>
      </w:pPr>
    </w:p>
    <w:p w14:paraId="08CA7679" w14:textId="3D452BC3" w:rsidR="009C778C" w:rsidRPr="009C778C" w:rsidRDefault="009C778C" w:rsidP="009C778C">
      <w:pPr>
        <w:rPr>
          <w:rFonts w:cstheme="minorHAnsi"/>
          <w:sz w:val="24"/>
          <w:szCs w:val="24"/>
        </w:rPr>
      </w:pPr>
      <w:r w:rsidRPr="009C778C">
        <w:rPr>
          <w:rFonts w:cstheme="minorHAnsi"/>
          <w:sz w:val="24"/>
          <w:szCs w:val="24"/>
        </w:rPr>
        <w:t>For the test of proximity in geographical region, we construct the variable of </w:t>
      </w:r>
      <w:r w:rsidRPr="009C778C">
        <w:rPr>
          <w:rFonts w:cstheme="minorHAnsi"/>
          <w:i/>
          <w:iCs/>
          <w:sz w:val="24"/>
          <w:szCs w:val="24"/>
        </w:rPr>
        <w:t>FOREIGN_REGION</w:t>
      </w:r>
      <w:r w:rsidRPr="009C778C">
        <w:rPr>
          <w:rFonts w:cstheme="minorHAnsi"/>
          <w:i/>
          <w:iCs/>
          <w:sz w:val="24"/>
          <w:szCs w:val="24"/>
          <w:vertAlign w:val="subscript"/>
        </w:rPr>
        <w:t>t − 1</w:t>
      </w:r>
      <w:r w:rsidRPr="009C778C">
        <w:rPr>
          <w:rFonts w:cstheme="minorHAnsi"/>
          <w:sz w:val="24"/>
          <w:szCs w:val="24"/>
        </w:rPr>
        <w:t>, which is the ownership by foreign institutional investors domiciled in the same subregion as the investee firm based on the classification of FactSet. There are 19 subregions in our sample: eastern, middle, northern, southern, and western Africa; central, south, and northern America; central, eastern, southern, south-eastern, and western Asia; eastern, northern, southern, and western Europe; the Caribbean; and Oceania. Column (2) reports the estimation results, where we use the baseline model to relate the extent of earnings management (</w:t>
      </w:r>
      <w:r w:rsidRPr="009C778C">
        <w:rPr>
          <w:rFonts w:cstheme="minorHAnsi"/>
          <w:i/>
          <w:iCs/>
          <w:sz w:val="24"/>
          <w:szCs w:val="24"/>
        </w:rPr>
        <w:t>Agg. EM</w:t>
      </w:r>
      <w:r w:rsidRPr="009C778C">
        <w:rPr>
          <w:rFonts w:cstheme="minorHAnsi"/>
          <w:sz w:val="24"/>
          <w:szCs w:val="24"/>
        </w:rPr>
        <w:t>) to </w:t>
      </w:r>
      <w:r w:rsidRPr="009C778C">
        <w:rPr>
          <w:rFonts w:cstheme="minorHAnsi"/>
          <w:i/>
          <w:iCs/>
          <w:sz w:val="24"/>
          <w:szCs w:val="24"/>
        </w:rPr>
        <w:t>FOREIGN_REGION</w:t>
      </w:r>
      <w:r w:rsidRPr="009C778C">
        <w:rPr>
          <w:rFonts w:cstheme="minorHAnsi"/>
          <w:i/>
          <w:iCs/>
          <w:sz w:val="24"/>
          <w:szCs w:val="24"/>
          <w:vertAlign w:val="subscript"/>
        </w:rPr>
        <w:t>t − 1</w:t>
      </w:r>
      <w:r w:rsidRPr="009C778C">
        <w:rPr>
          <w:rFonts w:cstheme="minorHAnsi"/>
          <w:sz w:val="24"/>
          <w:szCs w:val="24"/>
        </w:rPr>
        <w:t>. Consistent with </w:t>
      </w:r>
      <w:hyperlink r:id="rId118" w:anchor="en0015" w:history="1">
        <w:r w:rsidRPr="009C778C">
          <w:rPr>
            <w:rStyle w:val="Hyperlink"/>
            <w:rFonts w:cstheme="minorHAnsi"/>
            <w:sz w:val="24"/>
            <w:szCs w:val="24"/>
          </w:rPr>
          <w:t>H1b</w:t>
        </w:r>
      </w:hyperlink>
      <w:r w:rsidRPr="009C778C">
        <w:rPr>
          <w:rFonts w:cstheme="minorHAnsi"/>
          <w:sz w:val="24"/>
          <w:szCs w:val="24"/>
        </w:rPr>
        <w:t>, the coefficient difference between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and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significantly more negative than the coefficient difference between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and </w:t>
      </w:r>
      <w:r w:rsidRPr="009C778C">
        <w:rPr>
          <w:rFonts w:cstheme="minorHAnsi"/>
          <w:i/>
          <w:iCs/>
          <w:sz w:val="24"/>
          <w:szCs w:val="24"/>
        </w:rPr>
        <w:t>FOREIGN_REGION</w:t>
      </w:r>
      <w:r w:rsidRPr="009C778C">
        <w:rPr>
          <w:rFonts w:cstheme="minorHAnsi"/>
          <w:i/>
          <w:iCs/>
          <w:sz w:val="24"/>
          <w:szCs w:val="24"/>
          <w:vertAlign w:val="subscript"/>
        </w:rPr>
        <w:t>t − 1</w:t>
      </w:r>
      <w:r w:rsidRPr="009C778C">
        <w:rPr>
          <w:rFonts w:cstheme="minorHAnsi"/>
          <w:sz w:val="24"/>
          <w:szCs w:val="24"/>
        </w:rPr>
        <w:t> (</w:t>
      </w:r>
      <w:r w:rsidRPr="009C778C">
        <w:rPr>
          <w:rFonts w:cstheme="minorHAnsi"/>
          <w:i/>
          <w:iCs/>
          <w:sz w:val="24"/>
          <w:szCs w:val="24"/>
        </w:rPr>
        <w:t>p</w:t>
      </w:r>
      <w:r w:rsidRPr="009C778C">
        <w:rPr>
          <w:rFonts w:cstheme="minorHAnsi"/>
          <w:sz w:val="24"/>
          <w:szCs w:val="24"/>
        </w:rPr>
        <w:t>-value = 0.01). Notably, </w:t>
      </w:r>
      <w:r w:rsidRPr="009C778C">
        <w:rPr>
          <w:rFonts w:cstheme="minorHAnsi"/>
          <w:i/>
          <w:iCs/>
          <w:sz w:val="24"/>
          <w:szCs w:val="24"/>
        </w:rPr>
        <w:t>FOREIGN_REGION</w:t>
      </w:r>
      <w:r w:rsidRPr="009C778C">
        <w:rPr>
          <w:rFonts w:cstheme="minorHAnsi"/>
          <w:i/>
          <w:iCs/>
          <w:sz w:val="24"/>
          <w:szCs w:val="24"/>
          <w:vertAlign w:val="subscript"/>
        </w:rPr>
        <w:t>t − 1</w:t>
      </w:r>
      <w:r w:rsidRPr="009C778C">
        <w:rPr>
          <w:rFonts w:cstheme="minorHAnsi"/>
          <w:sz w:val="24"/>
          <w:szCs w:val="24"/>
        </w:rPr>
        <w:t> carries a negative coefficient of a larger magnitude (− 6.445) than does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(− 0.346); the coefficient equality test rejects the null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 </w:t>
      </w:r>
      <w:r w:rsidRPr="009C778C">
        <w:rPr>
          <w:rFonts w:cstheme="minorHAnsi"/>
          <w:i/>
          <w:iCs/>
          <w:sz w:val="24"/>
          <w:szCs w:val="24"/>
        </w:rPr>
        <w:t>FOREIGN_REGION</w:t>
      </w:r>
      <w:r w:rsidRPr="009C778C">
        <w:rPr>
          <w:rFonts w:cstheme="minorHAnsi"/>
          <w:i/>
          <w:iCs/>
          <w:sz w:val="24"/>
          <w:szCs w:val="24"/>
          <w:vertAlign w:val="subscript"/>
        </w:rPr>
        <w:t>t − 1</w:t>
      </w:r>
      <w:r w:rsidRPr="009C778C">
        <w:rPr>
          <w:rFonts w:cstheme="minorHAnsi"/>
          <w:sz w:val="24"/>
          <w:szCs w:val="24"/>
        </w:rPr>
        <w:t>) with 0.08 significance. Collectively, column (2) results suggest that coming from the same geographical region enables foreign institutional investors to overcome the hometown advantage of domestic counterparts, leading them to be more effective than their domestic peers in mitigating earnings management.</w:t>
      </w:r>
    </w:p>
    <w:p w14:paraId="5A2FBD06" w14:textId="77777777" w:rsidR="009C778C" w:rsidRPr="009C778C" w:rsidRDefault="009C778C" w:rsidP="009C778C">
      <w:pPr>
        <w:rPr>
          <w:rFonts w:cstheme="minorHAnsi"/>
          <w:sz w:val="24"/>
          <w:szCs w:val="24"/>
        </w:rPr>
      </w:pPr>
      <w:r w:rsidRPr="009C778C">
        <w:rPr>
          <w:rFonts w:cstheme="minorHAnsi"/>
          <w:sz w:val="24"/>
          <w:szCs w:val="24"/>
        </w:rPr>
        <w:t>For the test of proximity in accounting standards, we construct the variable of </w:t>
      </w:r>
      <w:r w:rsidRPr="009C778C">
        <w:rPr>
          <w:rFonts w:cstheme="minorHAnsi"/>
          <w:i/>
          <w:iCs/>
          <w:sz w:val="24"/>
          <w:szCs w:val="24"/>
        </w:rPr>
        <w:t>FOREIGN_ACTG</w:t>
      </w:r>
      <w:r w:rsidRPr="009C778C">
        <w:rPr>
          <w:rFonts w:cstheme="minorHAnsi"/>
          <w:i/>
          <w:iCs/>
          <w:sz w:val="24"/>
          <w:szCs w:val="24"/>
          <w:vertAlign w:val="subscript"/>
        </w:rPr>
        <w:t>t − 1</w:t>
      </w:r>
      <w:r w:rsidRPr="009C778C">
        <w:rPr>
          <w:rFonts w:cstheme="minorHAnsi"/>
          <w:sz w:val="24"/>
          <w:szCs w:val="24"/>
        </w:rPr>
        <w:t>, which is the ownership by foreign institutional investors whose home country uses accounting standards comparable to the host country. We obtain the data on the accounting standards of each country from Compustat Global. Column (3) reports the estimation results when we replace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with </w:t>
      </w:r>
      <w:r w:rsidRPr="009C778C">
        <w:rPr>
          <w:rFonts w:cstheme="minorHAnsi"/>
          <w:i/>
          <w:iCs/>
          <w:sz w:val="24"/>
          <w:szCs w:val="24"/>
        </w:rPr>
        <w:t>FOREIGN_ACTG</w:t>
      </w:r>
      <w:r w:rsidRPr="009C778C">
        <w:rPr>
          <w:rFonts w:cstheme="minorHAnsi"/>
          <w:i/>
          <w:iCs/>
          <w:sz w:val="24"/>
          <w:szCs w:val="24"/>
          <w:vertAlign w:val="subscript"/>
        </w:rPr>
        <w:t>t − 1</w:t>
      </w:r>
      <w:r w:rsidRPr="009C778C">
        <w:rPr>
          <w:rFonts w:cstheme="minorHAnsi"/>
          <w:sz w:val="24"/>
          <w:szCs w:val="24"/>
        </w:rPr>
        <w:t> in the baseline model. Consistent with </w:t>
      </w:r>
      <w:hyperlink r:id="rId119" w:anchor="en0015" w:history="1">
        <w:r w:rsidRPr="009C778C">
          <w:rPr>
            <w:rStyle w:val="Hyperlink"/>
            <w:rFonts w:cstheme="minorHAnsi"/>
            <w:sz w:val="24"/>
            <w:szCs w:val="24"/>
          </w:rPr>
          <w:t>H1b</w:t>
        </w:r>
      </w:hyperlink>
      <w:r w:rsidRPr="009C778C">
        <w:rPr>
          <w:rFonts w:cstheme="minorHAnsi"/>
          <w:sz w:val="24"/>
          <w:szCs w:val="24"/>
        </w:rPr>
        <w:t>,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significantly more negative than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FOREIGN_ACTG</w:t>
      </w:r>
      <w:r w:rsidRPr="009C778C">
        <w:rPr>
          <w:rFonts w:cstheme="minorHAnsi"/>
          <w:i/>
          <w:iCs/>
          <w:sz w:val="24"/>
          <w:szCs w:val="24"/>
          <w:vertAlign w:val="subscript"/>
        </w:rPr>
        <w:t>t − 1</w:t>
      </w:r>
      <w:r w:rsidRPr="009C778C">
        <w:rPr>
          <w:rFonts w:cstheme="minorHAnsi"/>
          <w:sz w:val="24"/>
          <w:szCs w:val="24"/>
        </w:rPr>
        <w:t> (</w:t>
      </w:r>
      <w:r w:rsidRPr="009C778C">
        <w:rPr>
          <w:rFonts w:cstheme="minorHAnsi"/>
          <w:i/>
          <w:iCs/>
          <w:sz w:val="24"/>
          <w:szCs w:val="24"/>
        </w:rPr>
        <w:t>p</w:t>
      </w:r>
      <w:r w:rsidRPr="009C778C">
        <w:rPr>
          <w:rFonts w:cstheme="minorHAnsi"/>
          <w:sz w:val="24"/>
          <w:szCs w:val="24"/>
        </w:rPr>
        <w:t>-value = 0.07). Further, </w:t>
      </w:r>
      <w:r w:rsidRPr="009C778C">
        <w:rPr>
          <w:rFonts w:cstheme="minorHAnsi"/>
          <w:i/>
          <w:iCs/>
          <w:sz w:val="24"/>
          <w:szCs w:val="24"/>
        </w:rPr>
        <w:t>FOREIGN_ACTG</w:t>
      </w:r>
      <w:r w:rsidRPr="009C778C">
        <w:rPr>
          <w:rFonts w:cstheme="minorHAnsi"/>
          <w:i/>
          <w:iCs/>
          <w:sz w:val="24"/>
          <w:szCs w:val="24"/>
          <w:vertAlign w:val="subscript"/>
        </w:rPr>
        <w:t>t − 1</w:t>
      </w:r>
      <w:r w:rsidRPr="009C778C">
        <w:rPr>
          <w:rFonts w:cstheme="minorHAnsi"/>
          <w:sz w:val="24"/>
          <w:szCs w:val="24"/>
        </w:rPr>
        <w:t> is significantly and negatively related to </w:t>
      </w:r>
      <w:r w:rsidRPr="009C778C">
        <w:rPr>
          <w:rFonts w:cstheme="minorHAnsi"/>
          <w:i/>
          <w:iCs/>
          <w:sz w:val="24"/>
          <w:szCs w:val="24"/>
        </w:rPr>
        <w:t>Agg. EM</w:t>
      </w:r>
      <w:r w:rsidRPr="009C778C">
        <w:rPr>
          <w:rFonts w:cstheme="minorHAnsi"/>
          <w:sz w:val="24"/>
          <w:szCs w:val="24"/>
        </w:rPr>
        <w:t> and the F-test fails to reject the null of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 </w:t>
      </w:r>
      <w:r w:rsidRPr="009C778C">
        <w:rPr>
          <w:rFonts w:cstheme="minorHAnsi"/>
          <w:i/>
          <w:iCs/>
          <w:sz w:val="24"/>
          <w:szCs w:val="24"/>
        </w:rPr>
        <w:t>FOREIGN_ACTG</w:t>
      </w:r>
      <w:r w:rsidRPr="009C778C">
        <w:rPr>
          <w:rFonts w:cstheme="minorHAnsi"/>
          <w:i/>
          <w:iCs/>
          <w:sz w:val="24"/>
          <w:szCs w:val="24"/>
          <w:vertAlign w:val="subscript"/>
        </w:rPr>
        <w:t>t − 1</w:t>
      </w:r>
      <w:r w:rsidRPr="009C778C">
        <w:rPr>
          <w:rFonts w:cstheme="minorHAnsi"/>
          <w:sz w:val="24"/>
          <w:szCs w:val="24"/>
        </w:rPr>
        <w:t>, suggesting that by shrinking the “distance” in familiarity with the host country's financial reporting practices, foreign institutional investors can become as effective as domestic counterparts in mitigating opportunistic financial reporting. Our results complement the recent evidence that the global harmonization of financial statements reduces information acquisition and processing costs, leading to greater foreign investment (</w:t>
      </w:r>
      <w:bookmarkStart w:id="77" w:name="bbb0135"/>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"bb0135"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DeFond</w:t>
      </w:r>
      <w:proofErr w:type="spellEnd"/>
      <w:r w:rsidRPr="009C778C">
        <w:rPr>
          <w:rStyle w:val="Hyperlink"/>
          <w:rFonts w:cstheme="minorHAnsi"/>
          <w:sz w:val="24"/>
          <w:szCs w:val="24"/>
        </w:rPr>
        <w:t xml:space="preserve"> et al., 2011</w:t>
      </w:r>
      <w:r w:rsidRPr="009C778C">
        <w:rPr>
          <w:rFonts w:cstheme="minorHAnsi"/>
          <w:sz w:val="24"/>
          <w:szCs w:val="24"/>
        </w:rPr>
        <w:fldChar w:fldCharType="end"/>
      </w:r>
      <w:bookmarkEnd w:id="77"/>
      <w:r w:rsidRPr="009C778C">
        <w:rPr>
          <w:rFonts w:cstheme="minorHAnsi"/>
          <w:sz w:val="24"/>
          <w:szCs w:val="24"/>
        </w:rPr>
        <w:t>, </w:t>
      </w:r>
      <w:bookmarkStart w:id="78" w:name="bbb032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"bb0325"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Yu and Wahid, 2014</w:t>
      </w:r>
      <w:r w:rsidRPr="009C778C">
        <w:rPr>
          <w:rFonts w:cstheme="minorHAnsi"/>
          <w:sz w:val="24"/>
          <w:szCs w:val="24"/>
        </w:rPr>
        <w:fldChar w:fldCharType="end"/>
      </w:r>
      <w:bookmarkEnd w:id="78"/>
      <w:r w:rsidRPr="009C778C">
        <w:rPr>
          <w:rFonts w:cstheme="minorHAnsi"/>
          <w:sz w:val="24"/>
          <w:szCs w:val="24"/>
        </w:rPr>
        <w:t>).</w:t>
      </w:r>
    </w:p>
    <w:p w14:paraId="74736A71" w14:textId="77777777" w:rsidR="009C778C" w:rsidRPr="009C778C" w:rsidRDefault="009C778C" w:rsidP="009C778C">
      <w:pPr>
        <w:rPr>
          <w:rFonts w:cstheme="minorHAnsi"/>
          <w:sz w:val="24"/>
          <w:szCs w:val="24"/>
        </w:rPr>
      </w:pPr>
      <w:r w:rsidRPr="009C778C">
        <w:rPr>
          <w:rFonts w:cstheme="minorHAnsi"/>
          <w:sz w:val="24"/>
          <w:szCs w:val="24"/>
        </w:rPr>
        <w:t>For the test of proximity in culture, we construct the variable of </w:t>
      </w:r>
      <w:r w:rsidRPr="009C778C">
        <w:rPr>
          <w:rFonts w:cstheme="minorHAnsi"/>
          <w:i/>
          <w:iCs/>
          <w:sz w:val="24"/>
          <w:szCs w:val="24"/>
        </w:rPr>
        <w:t>FOREIGN_CULTURE</w:t>
      </w:r>
      <w:r w:rsidRPr="009C778C">
        <w:rPr>
          <w:rFonts w:cstheme="minorHAnsi"/>
          <w:i/>
          <w:iCs/>
          <w:sz w:val="24"/>
          <w:szCs w:val="24"/>
          <w:vertAlign w:val="subscript"/>
        </w:rPr>
        <w:t>t − 1</w:t>
      </w:r>
      <w:r w:rsidRPr="009C778C">
        <w:rPr>
          <w:rFonts w:cstheme="minorHAnsi"/>
          <w:sz w:val="24"/>
          <w:szCs w:val="24"/>
        </w:rPr>
        <w:t>, which is the ownership by foreign institutional investors whose home country is similar in cultural tightness as the host country. The concept of cultural tightness was first introduced by </w:t>
      </w:r>
      <w:bookmarkStart w:id="79" w:name="bbb030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"bb0300"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Pelto</w:t>
      </w:r>
      <w:proofErr w:type="spellEnd"/>
      <w:r w:rsidRPr="009C778C">
        <w:rPr>
          <w:rStyle w:val="Hyperlink"/>
          <w:rFonts w:cstheme="minorHAnsi"/>
          <w:sz w:val="24"/>
          <w:szCs w:val="24"/>
        </w:rPr>
        <w:t xml:space="preserve"> (1968)</w:t>
      </w:r>
      <w:r w:rsidRPr="009C778C">
        <w:rPr>
          <w:rFonts w:cstheme="minorHAnsi"/>
          <w:sz w:val="24"/>
          <w:szCs w:val="24"/>
        </w:rPr>
        <w:fldChar w:fldCharType="end"/>
      </w:r>
      <w:bookmarkEnd w:id="79"/>
      <w:r w:rsidRPr="009C778C">
        <w:rPr>
          <w:rFonts w:cstheme="minorHAnsi"/>
          <w:sz w:val="24"/>
          <w:szCs w:val="24"/>
        </w:rPr>
        <w:t> and </w:t>
      </w:r>
      <w:bookmarkStart w:id="80" w:name="bbb031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"bb0310"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Triandis</w:t>
      </w:r>
      <w:proofErr w:type="spellEnd"/>
      <w:r w:rsidRPr="009C778C">
        <w:rPr>
          <w:rStyle w:val="Hyperlink"/>
          <w:rFonts w:cstheme="minorHAnsi"/>
          <w:sz w:val="24"/>
          <w:szCs w:val="24"/>
        </w:rPr>
        <w:t xml:space="preserve"> (1989)</w:t>
      </w:r>
      <w:r w:rsidRPr="009C778C">
        <w:rPr>
          <w:rFonts w:cstheme="minorHAnsi"/>
          <w:sz w:val="24"/>
          <w:szCs w:val="24"/>
        </w:rPr>
        <w:fldChar w:fldCharType="end"/>
      </w:r>
      <w:bookmarkEnd w:id="80"/>
      <w:r w:rsidRPr="009C778C">
        <w:rPr>
          <w:rFonts w:cstheme="minorHAnsi"/>
          <w:sz w:val="24"/>
          <w:szCs w:val="24"/>
        </w:rPr>
        <w:t> and later formalized by </w:t>
      </w:r>
      <w:bookmarkStart w:id="81" w:name="bbb015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"bb0155"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Gelfand et al. (2006)</w:t>
      </w:r>
      <w:r w:rsidRPr="009C778C">
        <w:rPr>
          <w:rFonts w:cstheme="minorHAnsi"/>
          <w:sz w:val="24"/>
          <w:szCs w:val="24"/>
        </w:rPr>
        <w:fldChar w:fldCharType="end"/>
      </w:r>
      <w:r w:rsidRPr="009C778C">
        <w:rPr>
          <w:rFonts w:cstheme="minorHAnsi"/>
          <w:sz w:val="24"/>
          <w:szCs w:val="24"/>
        </w:rPr>
        <w:t> and </w:t>
      </w:r>
      <w:bookmarkStart w:id="82" w:name="bbb016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"bb0160"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Gelfand et al. (2011)</w:t>
      </w:r>
      <w:r w:rsidRPr="009C778C">
        <w:rPr>
          <w:rFonts w:cstheme="minorHAnsi"/>
          <w:sz w:val="24"/>
          <w:szCs w:val="24"/>
        </w:rPr>
        <w:fldChar w:fldCharType="end"/>
      </w:r>
      <w:r w:rsidRPr="009C778C">
        <w:rPr>
          <w:rFonts w:cstheme="minorHAnsi"/>
          <w:sz w:val="24"/>
          <w:szCs w:val="24"/>
        </w:rPr>
        <w:t>. The theory of cultural tightness posits that cultural tightness relates to preferred ways of gathering, processing, and evaluating information when solving problems (</w:t>
      </w:r>
      <w:hyperlink r:id="rId120" w:anchor="bb0155" w:history="1">
        <w:r w:rsidRPr="009C778C">
          <w:rPr>
            <w:rStyle w:val="Hyperlink"/>
            <w:rFonts w:cstheme="minorHAnsi"/>
            <w:sz w:val="24"/>
            <w:szCs w:val="24"/>
          </w:rPr>
          <w:t>Gelfand et al., 2006</w:t>
        </w:r>
      </w:hyperlink>
      <w:r w:rsidRPr="009C778C">
        <w:rPr>
          <w:rFonts w:cstheme="minorHAnsi"/>
          <w:sz w:val="24"/>
          <w:szCs w:val="24"/>
        </w:rPr>
        <w:t>, </w:t>
      </w:r>
      <w:hyperlink r:id="rId121" w:anchor="bb0160" w:history="1">
        <w:r w:rsidRPr="009C778C">
          <w:rPr>
            <w:rStyle w:val="Hyperlink"/>
            <w:rFonts w:cstheme="minorHAnsi"/>
            <w:sz w:val="24"/>
            <w:szCs w:val="24"/>
          </w:rPr>
          <w:t>Gelfand et al., 2011</w:t>
        </w:r>
      </w:hyperlink>
      <w:r w:rsidRPr="009C778C">
        <w:rPr>
          <w:rFonts w:cstheme="minorHAnsi"/>
          <w:sz w:val="24"/>
          <w:szCs w:val="24"/>
        </w:rPr>
        <w:t>). If an investor is similar to the investee firm in gathering, processing, and evaluating information, it is reasonable to assume that the investor faces lower costs in acquiring and processing monitoring information with regard to that firm. We obtain the data on a country's cultural tightness from </w:t>
      </w:r>
      <w:hyperlink r:id="rId122" w:anchor="bb0160" w:history="1">
        <w:r w:rsidRPr="009C778C">
          <w:rPr>
            <w:rStyle w:val="Hyperlink"/>
            <w:rFonts w:cstheme="minorHAnsi"/>
            <w:sz w:val="24"/>
            <w:szCs w:val="24"/>
          </w:rPr>
          <w:t>Gelfand et al. (2011)</w:t>
        </w:r>
      </w:hyperlink>
      <w:r w:rsidRPr="009C778C">
        <w:rPr>
          <w:rFonts w:cstheme="minorHAnsi"/>
          <w:sz w:val="24"/>
          <w:szCs w:val="24"/>
        </w:rPr>
        <w:t>. We rank countries into three groups based on their cultural tightness scores, and classify two countries as similar in cultural tightness if they are in the same tercile. Column (4) reports the regression results when we replace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with </w:t>
      </w:r>
      <w:r w:rsidRPr="009C778C">
        <w:rPr>
          <w:rFonts w:cstheme="minorHAnsi"/>
          <w:i/>
          <w:iCs/>
          <w:sz w:val="24"/>
          <w:szCs w:val="24"/>
        </w:rPr>
        <w:t>FOREIGN_CULTURE</w:t>
      </w:r>
      <w:r w:rsidRPr="009C778C">
        <w:rPr>
          <w:rFonts w:cstheme="minorHAnsi"/>
          <w:i/>
          <w:iCs/>
          <w:sz w:val="24"/>
          <w:szCs w:val="24"/>
          <w:vertAlign w:val="subscript"/>
        </w:rPr>
        <w:t>t − 1</w:t>
      </w:r>
      <w:r w:rsidRPr="009C778C">
        <w:rPr>
          <w:rFonts w:cstheme="minorHAnsi"/>
          <w:sz w:val="24"/>
          <w:szCs w:val="24"/>
        </w:rPr>
        <w:t> in the baseline model. Consistent with </w:t>
      </w:r>
      <w:hyperlink r:id="rId123" w:anchor="en0015" w:history="1">
        <w:r w:rsidRPr="009C778C">
          <w:rPr>
            <w:rStyle w:val="Hyperlink"/>
            <w:rFonts w:cstheme="minorHAnsi"/>
            <w:sz w:val="24"/>
            <w:szCs w:val="24"/>
          </w:rPr>
          <w:t>H1b</w:t>
        </w:r>
      </w:hyperlink>
      <w:bookmarkEnd w:id="12"/>
      <w:r w:rsidRPr="009C778C">
        <w:rPr>
          <w:rFonts w:cstheme="minorHAnsi"/>
          <w:sz w:val="24"/>
          <w:szCs w:val="24"/>
        </w:rPr>
        <w:t>,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significantly more negative than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FOREIGN_CULTURE</w:t>
      </w:r>
      <w:r w:rsidRPr="009C778C">
        <w:rPr>
          <w:rFonts w:cstheme="minorHAnsi"/>
          <w:i/>
          <w:iCs/>
          <w:sz w:val="24"/>
          <w:szCs w:val="24"/>
          <w:vertAlign w:val="subscript"/>
        </w:rPr>
        <w:t>t − 1</w:t>
      </w:r>
      <w:r w:rsidRPr="009C778C">
        <w:rPr>
          <w:rFonts w:cstheme="minorHAnsi"/>
          <w:sz w:val="24"/>
          <w:szCs w:val="24"/>
        </w:rPr>
        <w:t> (</w:t>
      </w:r>
      <w:r w:rsidRPr="009C778C">
        <w:rPr>
          <w:rFonts w:cstheme="minorHAnsi"/>
          <w:i/>
          <w:iCs/>
          <w:sz w:val="24"/>
          <w:szCs w:val="24"/>
        </w:rPr>
        <w:t>p</w:t>
      </w:r>
      <w:r w:rsidRPr="009C778C">
        <w:rPr>
          <w:rFonts w:cstheme="minorHAnsi"/>
          <w:sz w:val="24"/>
          <w:szCs w:val="24"/>
        </w:rPr>
        <w:t>-value = 0.03). In addition, </w:t>
      </w:r>
      <w:r w:rsidRPr="009C778C">
        <w:rPr>
          <w:rFonts w:cstheme="minorHAnsi"/>
          <w:i/>
          <w:iCs/>
          <w:sz w:val="24"/>
          <w:szCs w:val="24"/>
        </w:rPr>
        <w:t>FOREIGN_CULTURE</w:t>
      </w:r>
      <w:r w:rsidRPr="009C778C">
        <w:rPr>
          <w:rFonts w:cstheme="minorHAnsi"/>
          <w:i/>
          <w:iCs/>
          <w:sz w:val="24"/>
          <w:szCs w:val="24"/>
          <w:vertAlign w:val="subscript"/>
        </w:rPr>
        <w:t>t − 1</w:t>
      </w:r>
      <w:r w:rsidRPr="009C778C">
        <w:rPr>
          <w:rFonts w:cstheme="minorHAnsi"/>
          <w:sz w:val="24"/>
          <w:szCs w:val="24"/>
        </w:rPr>
        <w:t> is significantly and negatively related to </w:t>
      </w:r>
      <w:r w:rsidRPr="009C778C">
        <w:rPr>
          <w:rFonts w:cstheme="minorHAnsi"/>
          <w:i/>
          <w:iCs/>
          <w:sz w:val="24"/>
          <w:szCs w:val="24"/>
        </w:rPr>
        <w:t>Agg. EM</w:t>
      </w:r>
      <w:r w:rsidRPr="009C778C">
        <w:rPr>
          <w:rFonts w:cstheme="minorHAnsi"/>
          <w:sz w:val="24"/>
          <w:szCs w:val="24"/>
        </w:rPr>
        <w:t> and the F-test fails to reject the null of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 </w:t>
      </w:r>
      <w:r w:rsidRPr="009C778C">
        <w:rPr>
          <w:rFonts w:cstheme="minorHAnsi"/>
          <w:i/>
          <w:iCs/>
          <w:sz w:val="24"/>
          <w:szCs w:val="24"/>
        </w:rPr>
        <w:t>FOREIGN_CULTURE</w:t>
      </w:r>
      <w:r w:rsidRPr="009C778C">
        <w:rPr>
          <w:rFonts w:cstheme="minorHAnsi"/>
          <w:i/>
          <w:iCs/>
          <w:sz w:val="24"/>
          <w:szCs w:val="24"/>
          <w:vertAlign w:val="subscript"/>
        </w:rPr>
        <w:t>t − 1</w:t>
      </w:r>
      <w:r w:rsidRPr="009C778C">
        <w:rPr>
          <w:rFonts w:cstheme="minorHAnsi"/>
          <w:sz w:val="24"/>
          <w:szCs w:val="24"/>
        </w:rPr>
        <w:t>, suggesting that foreign institutions with similar cultural traits as investee firms can be as effective as domestic institutions in deterring earnings management.</w:t>
      </w:r>
    </w:p>
    <w:p w14:paraId="0AC75409" w14:textId="77777777" w:rsidR="009C778C" w:rsidRPr="009C778C" w:rsidRDefault="009C778C" w:rsidP="009C778C">
      <w:pPr>
        <w:rPr>
          <w:rFonts w:cstheme="minorHAnsi"/>
          <w:sz w:val="24"/>
          <w:szCs w:val="24"/>
        </w:rPr>
      </w:pPr>
      <w:r w:rsidRPr="009C778C">
        <w:rPr>
          <w:rFonts w:cstheme="minorHAnsi"/>
          <w:sz w:val="24"/>
          <w:szCs w:val="24"/>
        </w:rPr>
        <w:t>Although the preceding analysis is useful in helping us gain a deeper understanding of how proximity to monitoring information drives the monitoring effectiveness of institutional investors in an international setting, we acknowledge that the exploration is far from complete. As the existing literature notes, some of the best monitoring outcomes result from “behind-the-scenes engagement” (</w:t>
      </w:r>
      <w:bookmarkStart w:id="83" w:name="bbb009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"bb0090"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Carleton et al., 1998</w:t>
      </w:r>
      <w:r w:rsidRPr="009C778C">
        <w:rPr>
          <w:rFonts w:cstheme="minorHAnsi"/>
          <w:sz w:val="24"/>
          <w:szCs w:val="24"/>
        </w:rPr>
        <w:fldChar w:fldCharType="end"/>
      </w:r>
      <w:r w:rsidRPr="009C778C">
        <w:rPr>
          <w:rFonts w:cstheme="minorHAnsi"/>
          <w:sz w:val="24"/>
          <w:szCs w:val="24"/>
        </w:rPr>
        <w:t>, </w:t>
      </w:r>
      <w:bookmarkStart w:id="84" w:name="bbb005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"bb0055"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Bauer et al., 2013</w:t>
      </w:r>
      <w:r w:rsidRPr="009C778C">
        <w:rPr>
          <w:rFonts w:cstheme="minorHAnsi"/>
          <w:sz w:val="24"/>
          <w:szCs w:val="24"/>
        </w:rPr>
        <w:fldChar w:fldCharType="end"/>
      </w:r>
      <w:r w:rsidRPr="009C778C">
        <w:rPr>
          <w:rFonts w:cstheme="minorHAnsi"/>
          <w:sz w:val="24"/>
          <w:szCs w:val="24"/>
        </w:rPr>
        <w:t>). While we can conjecture that domestic institutional investors are likely to have a comparative monitoring advantage over foreign counterparts in “behind-the-scenes engagement,” we lack the data to empirically test this conjecture. We also lack the data to explore other factors that potentially drive the comparative monitoring advantages of domestic and foreign institutional investors. For example, </w:t>
      </w:r>
      <w:hyperlink r:id="rId124" w:anchor="bb0265" w:history="1">
        <w:r w:rsidRPr="009C778C">
          <w:rPr>
            <w:rStyle w:val="Hyperlink"/>
            <w:rFonts w:cstheme="minorHAnsi"/>
            <w:sz w:val="24"/>
            <w:szCs w:val="24"/>
          </w:rPr>
          <w:t>Lerner (1995)</w:t>
        </w:r>
      </w:hyperlink>
      <w:bookmarkEnd w:id="26"/>
      <w:r w:rsidRPr="009C778C">
        <w:rPr>
          <w:rFonts w:cstheme="minorHAnsi"/>
          <w:sz w:val="24"/>
          <w:szCs w:val="24"/>
        </w:rPr>
        <w:t> and </w:t>
      </w:r>
      <w:bookmarkStart w:id="85" w:name="bbb014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"bb0140"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Degryse</w:t>
      </w:r>
      <w:proofErr w:type="spellEnd"/>
      <w:r w:rsidRPr="009C778C">
        <w:rPr>
          <w:rStyle w:val="Hyperlink"/>
          <w:rFonts w:cstheme="minorHAnsi"/>
          <w:sz w:val="24"/>
          <w:szCs w:val="24"/>
        </w:rPr>
        <w:t xml:space="preserve"> and </w:t>
      </w:r>
      <w:proofErr w:type="spellStart"/>
      <w:r w:rsidRPr="009C778C">
        <w:rPr>
          <w:rStyle w:val="Hyperlink"/>
          <w:rFonts w:cstheme="minorHAnsi"/>
          <w:sz w:val="24"/>
          <w:szCs w:val="24"/>
        </w:rPr>
        <w:t>Ongena</w:t>
      </w:r>
      <w:proofErr w:type="spellEnd"/>
      <w:r w:rsidRPr="009C778C">
        <w:rPr>
          <w:rStyle w:val="Hyperlink"/>
          <w:rFonts w:cstheme="minorHAnsi"/>
          <w:sz w:val="24"/>
          <w:szCs w:val="24"/>
        </w:rPr>
        <w:t xml:space="preserve"> (2005)</w:t>
      </w:r>
      <w:r w:rsidRPr="009C778C">
        <w:rPr>
          <w:rFonts w:cstheme="minorHAnsi"/>
          <w:sz w:val="24"/>
          <w:szCs w:val="24"/>
        </w:rPr>
        <w:fldChar w:fldCharType="end"/>
      </w:r>
      <w:bookmarkEnd w:id="85"/>
      <w:r w:rsidRPr="009C778C">
        <w:rPr>
          <w:rFonts w:cstheme="minorHAnsi"/>
          <w:sz w:val="24"/>
          <w:szCs w:val="24"/>
        </w:rPr>
        <w:t> argue that transportation costs influence the number of on-site visits that can be made by monitors. Despite the limitations, the evidence in this section is instructive in illustrating the drivers behind the monitoring effective of global institutional investors, a subject that is in need of research especially given the tremendous growth of financial assets under their management in recent years.</w:t>
      </w:r>
      <w:bookmarkStart w:id="86" w:name="bfn003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"fn0035"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vertAlign w:val="superscript"/>
        </w:rPr>
        <w:t>7</w:t>
      </w:r>
      <w:r w:rsidRPr="009C778C">
        <w:rPr>
          <w:rFonts w:cstheme="minorHAnsi"/>
          <w:sz w:val="24"/>
          <w:szCs w:val="24"/>
        </w:rPr>
        <w:fldChar w:fldCharType="end"/>
      </w:r>
      <w:bookmarkEnd w:id="86"/>
    </w:p>
    <w:p w14:paraId="1BEF8ECD" w14:textId="77777777" w:rsidR="009C778C" w:rsidRPr="009C778C" w:rsidRDefault="009C778C" w:rsidP="00A10CDD">
      <w:pPr>
        <w:pStyle w:val="Heading2"/>
      </w:pPr>
      <w:r w:rsidRPr="009C778C">
        <w:t>4.4. Proclivity toward activism</w:t>
      </w:r>
    </w:p>
    <w:p w14:paraId="5046046C" w14:textId="77777777" w:rsidR="009C778C" w:rsidRPr="009C778C" w:rsidRDefault="0044383A" w:rsidP="009C778C">
      <w:pPr>
        <w:rPr>
          <w:rFonts w:cstheme="minorHAnsi"/>
          <w:sz w:val="24"/>
          <w:szCs w:val="24"/>
        </w:rPr>
      </w:pPr>
      <w:hyperlink r:id="rId125" w:anchor="en0025" w:history="1">
        <w:r w:rsidR="009C778C" w:rsidRPr="009C778C">
          <w:rPr>
            <w:rStyle w:val="Hyperlink"/>
            <w:rFonts w:cstheme="minorHAnsi"/>
            <w:sz w:val="24"/>
            <w:szCs w:val="24"/>
          </w:rPr>
          <w:t>H2a</w:t>
        </w:r>
      </w:hyperlink>
      <w:r w:rsidR="009C778C" w:rsidRPr="009C778C">
        <w:rPr>
          <w:rFonts w:cstheme="minorHAnsi"/>
          <w:sz w:val="24"/>
          <w:szCs w:val="24"/>
        </w:rPr>
        <w:t> predicts that the comparative advantage of foreign institutional investors in curbing earnings management is larger when agency problems are more severe or governance controls are weaker. To test </w:t>
      </w:r>
      <w:hyperlink r:id="rId126" w:anchor="en0025" w:history="1">
        <w:r w:rsidR="009C778C" w:rsidRPr="009C778C">
          <w:rPr>
            <w:rStyle w:val="Hyperlink"/>
            <w:rFonts w:cstheme="minorHAnsi"/>
            <w:sz w:val="24"/>
            <w:szCs w:val="24"/>
          </w:rPr>
          <w:t>H2a</w:t>
        </w:r>
      </w:hyperlink>
      <w:r w:rsidR="009C778C" w:rsidRPr="009C778C">
        <w:rPr>
          <w:rFonts w:cstheme="minorHAnsi"/>
          <w:sz w:val="24"/>
          <w:szCs w:val="24"/>
        </w:rPr>
        <w:t>, we conduct two cross-sectional investigations—one based on the extent of agency conflicts at investee firms and the other based on the strength of a host country’s governance controls.</w:t>
      </w:r>
    </w:p>
    <w:p w14:paraId="292474AF" w14:textId="77777777" w:rsidR="009C778C" w:rsidRPr="009C778C" w:rsidRDefault="009C778C" w:rsidP="009C778C">
      <w:pPr>
        <w:rPr>
          <w:rFonts w:cstheme="minorHAnsi"/>
          <w:sz w:val="24"/>
          <w:szCs w:val="24"/>
        </w:rPr>
      </w:pPr>
      <w:r w:rsidRPr="009C778C">
        <w:rPr>
          <w:rFonts w:cstheme="minorHAnsi"/>
          <w:sz w:val="24"/>
          <w:szCs w:val="24"/>
        </w:rPr>
        <w:t>In the first test, we separate the sample into two groups based on the median value of a firm's free cash flow (</w:t>
      </w:r>
      <w:bookmarkStart w:id="87" w:name="bbb023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"bb0230"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Jensen, 1986</w:t>
      </w:r>
      <w:r w:rsidRPr="009C778C">
        <w:rPr>
          <w:rFonts w:cstheme="minorHAnsi"/>
          <w:sz w:val="24"/>
          <w:szCs w:val="24"/>
        </w:rPr>
        <w:fldChar w:fldCharType="end"/>
      </w:r>
      <w:bookmarkEnd w:id="87"/>
      <w:r w:rsidRPr="009C778C">
        <w:rPr>
          <w:rFonts w:cstheme="minorHAnsi"/>
          <w:sz w:val="24"/>
          <w:szCs w:val="24"/>
        </w:rPr>
        <w:t>, </w:t>
      </w:r>
      <w:bookmarkStart w:id="88" w:name="bbb025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"bb0255"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Lehn and Poulsen, 1989</w:t>
      </w:r>
      <w:r w:rsidRPr="009C778C">
        <w:rPr>
          <w:rFonts w:cstheme="minorHAnsi"/>
          <w:sz w:val="24"/>
          <w:szCs w:val="24"/>
        </w:rPr>
        <w:fldChar w:fldCharType="end"/>
      </w:r>
      <w:bookmarkEnd w:id="88"/>
      <w:r w:rsidRPr="009C778C">
        <w:rPr>
          <w:rFonts w:cstheme="minorHAnsi"/>
          <w:sz w:val="24"/>
          <w:szCs w:val="24"/>
        </w:rPr>
        <w:t>). </w:t>
      </w:r>
      <w:hyperlink r:id="rId127" w:anchor="en0025" w:history="1">
        <w:r w:rsidRPr="009C778C">
          <w:rPr>
            <w:rStyle w:val="Hyperlink"/>
            <w:rFonts w:cstheme="minorHAnsi"/>
            <w:sz w:val="24"/>
            <w:szCs w:val="24"/>
          </w:rPr>
          <w:t>H2a</w:t>
        </w:r>
      </w:hyperlink>
      <w:r w:rsidRPr="009C778C">
        <w:rPr>
          <w:rFonts w:cstheme="minorHAnsi"/>
          <w:sz w:val="24"/>
          <w:szCs w:val="24"/>
        </w:rPr>
        <w:t> predicts that the coefficient difference between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and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more negative for investee firms with low levels of free cash flow than that difference for firms with high levels of free cash flow. In other words, </w:t>
      </w:r>
      <w:hyperlink r:id="rId128" w:anchor="en0025" w:history="1">
        <w:r w:rsidRPr="009C778C">
          <w:rPr>
            <w:rStyle w:val="Hyperlink"/>
            <w:rFonts w:cstheme="minorHAnsi"/>
            <w:sz w:val="24"/>
            <w:szCs w:val="24"/>
          </w:rPr>
          <w:t>H2a</w:t>
        </w:r>
      </w:hyperlink>
      <w:r w:rsidRPr="009C778C">
        <w:rPr>
          <w:rFonts w:cstheme="minorHAnsi"/>
          <w:sz w:val="24"/>
          <w:szCs w:val="24"/>
        </w:rPr>
        <w:t> predicts that because of their proclivity toward activism, foreign institutional investors gain monitoring effectiveness relative to their domestic peers in firms with greater agency conflicts as measured by free cash flow. As </w:t>
      </w:r>
      <w:bookmarkStart w:id="89" w:name="bt0035"/>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"t0035"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Table 7</w:t>
      </w:r>
      <w:r w:rsidRPr="009C778C">
        <w:rPr>
          <w:rFonts w:cstheme="minorHAnsi"/>
          <w:sz w:val="24"/>
          <w:szCs w:val="24"/>
        </w:rPr>
        <w:fldChar w:fldCharType="end"/>
      </w:r>
      <w:r w:rsidRPr="009C778C">
        <w:rPr>
          <w:rFonts w:cstheme="minorHAnsi"/>
          <w:sz w:val="24"/>
          <w:szCs w:val="24"/>
        </w:rPr>
        <w:t> panel A shows, we find the following supporting evidence for </w:t>
      </w:r>
      <w:hyperlink r:id="rId129" w:anchor="en0025" w:history="1">
        <w:r w:rsidRPr="009C778C">
          <w:rPr>
            <w:rStyle w:val="Hyperlink"/>
            <w:rFonts w:cstheme="minorHAnsi"/>
            <w:sz w:val="24"/>
            <w:szCs w:val="24"/>
          </w:rPr>
          <w:t>H2a</w:t>
        </w:r>
      </w:hyperlink>
      <w:r w:rsidRPr="009C778C">
        <w:rPr>
          <w:rFonts w:cstheme="minorHAnsi"/>
          <w:sz w:val="24"/>
          <w:szCs w:val="24"/>
        </w:rPr>
        <w:t>. First,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significantly more negative for firms with low, rather than high, levels of free cash flow (</w:t>
      </w:r>
      <w:r w:rsidRPr="009C778C">
        <w:rPr>
          <w:rFonts w:cstheme="minorHAnsi"/>
          <w:i/>
          <w:iCs/>
          <w:sz w:val="24"/>
          <w:szCs w:val="24"/>
        </w:rPr>
        <w:t>p</w:t>
      </w:r>
      <w:r w:rsidRPr="009C778C">
        <w:rPr>
          <w:rFonts w:cstheme="minorHAnsi"/>
          <w:sz w:val="24"/>
          <w:szCs w:val="24"/>
        </w:rPr>
        <w:t>-value = 0.03), which is consistent with the prediction of </w:t>
      </w:r>
      <w:hyperlink r:id="rId130" w:anchor="en0025" w:history="1">
        <w:r w:rsidRPr="009C778C">
          <w:rPr>
            <w:rStyle w:val="Hyperlink"/>
            <w:rFonts w:cstheme="minorHAnsi"/>
            <w:sz w:val="24"/>
            <w:szCs w:val="24"/>
          </w:rPr>
          <w:t>H2a</w:t>
        </w:r>
      </w:hyperlink>
      <w:r w:rsidRPr="009C778C">
        <w:rPr>
          <w:rFonts w:cstheme="minorHAnsi"/>
          <w:sz w:val="24"/>
          <w:szCs w:val="24"/>
        </w:rPr>
        <w:t> that the comparative advantage of foreign institutions over domestic institutions in curbing earnings management is larger in environments of high, rather than low, agency conflicts. Second,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significantly negative (coefficient = − 0.155) in the regression of High Free Cash Flow, but is insignificant (coefficient = 0.083) in the regression of Low Free Cash Flow, suggesting again in line with </w:t>
      </w:r>
      <w:hyperlink r:id="rId131" w:anchor="en0025" w:history="1">
        <w:r w:rsidRPr="009C778C">
          <w:rPr>
            <w:rStyle w:val="Hyperlink"/>
            <w:rFonts w:cstheme="minorHAnsi"/>
            <w:sz w:val="24"/>
            <w:szCs w:val="24"/>
          </w:rPr>
          <w:t>H2a</w:t>
        </w:r>
      </w:hyperlink>
      <w:r w:rsidRPr="009C778C">
        <w:rPr>
          <w:rFonts w:cstheme="minorHAnsi"/>
          <w:sz w:val="24"/>
          <w:szCs w:val="24"/>
        </w:rPr>
        <w:t> that the monitoring effect of foreign institutional investors is more pronounced in environments of high, but not low, agency conflicts. Third, a coefficient equality test fails to reject the null of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for firms with high levels of free cash flow, but rejects the null for firms with low levels of free cash flow with 0.02 significance, suggesting, once again consistent with </w:t>
      </w:r>
      <w:hyperlink r:id="rId132" w:anchor="en0025" w:history="1">
        <w:r w:rsidRPr="009C778C">
          <w:rPr>
            <w:rStyle w:val="Hyperlink"/>
            <w:rFonts w:cstheme="minorHAnsi"/>
            <w:sz w:val="24"/>
            <w:szCs w:val="24"/>
          </w:rPr>
          <w:t>H2a</w:t>
        </w:r>
      </w:hyperlink>
      <w:r w:rsidRPr="009C778C">
        <w:rPr>
          <w:rFonts w:cstheme="minorHAnsi"/>
          <w:sz w:val="24"/>
          <w:szCs w:val="24"/>
        </w:rPr>
        <w:t>, that when agency costs are high, their comparative advantage in proclivity toward activism enables foreign institutional investors to overcome the proximity </w:t>
      </w:r>
      <w:r w:rsidRPr="009C778C">
        <w:rPr>
          <w:rFonts w:cstheme="minorHAnsi"/>
          <w:i/>
          <w:iCs/>
          <w:sz w:val="24"/>
          <w:szCs w:val="24"/>
        </w:rPr>
        <w:t>dis</w:t>
      </w:r>
      <w:r w:rsidRPr="009C778C">
        <w:rPr>
          <w:rFonts w:cstheme="minorHAnsi"/>
          <w:sz w:val="24"/>
          <w:szCs w:val="24"/>
        </w:rPr>
        <w:t>-advantage and become as effective as their domestic peers in restraining earnings management.</w:t>
      </w:r>
    </w:p>
    <w:p w14:paraId="769D220E" w14:textId="77777777" w:rsidR="009C778C" w:rsidRPr="00D23818" w:rsidRDefault="009C778C" w:rsidP="00541D5F">
      <w:pPr>
        <w:pStyle w:val="NoSpacing"/>
        <w:rPr>
          <w:sz w:val="24"/>
          <w:szCs w:val="24"/>
        </w:rPr>
      </w:pPr>
      <w:r w:rsidRPr="00E92A45">
        <w:rPr>
          <w:b/>
          <w:bCs/>
          <w:sz w:val="24"/>
          <w:szCs w:val="24"/>
        </w:rPr>
        <w:t>Table 7</w:t>
      </w:r>
      <w:r w:rsidRPr="00D23818">
        <w:rPr>
          <w:sz w:val="24"/>
          <w:szCs w:val="24"/>
        </w:rPr>
        <w:t xml:space="preserve">. Proclivity toward activism. This table reports estimation results from panel regressions of earnings management on institutional ownership using a sample of non-U.S. firms from 2001 to 2013. In Panel A, the sample is separated into two groups based on the median value of free cash flow of the investee firms. In Panel B, the sample is separated into two groups based on whether the investee firms </w:t>
      </w:r>
      <w:proofErr w:type="gramStart"/>
      <w:r w:rsidRPr="00D23818">
        <w:rPr>
          <w:sz w:val="24"/>
          <w:szCs w:val="24"/>
        </w:rPr>
        <w:t>are located in</w:t>
      </w:r>
      <w:proofErr w:type="gramEnd"/>
      <w:r w:rsidRPr="00D23818">
        <w:rPr>
          <w:sz w:val="24"/>
          <w:szCs w:val="24"/>
        </w:rPr>
        <w:t xml:space="preserve"> countries with civil-law or common-law legal origins. All variable definitions are given in </w:t>
      </w:r>
      <w:hyperlink r:id="rId133" w:anchor="s0085" w:history="1">
        <w:r w:rsidRPr="00D23818">
          <w:rPr>
            <w:rStyle w:val="Hyperlink"/>
            <w:rFonts w:cstheme="minorHAnsi"/>
            <w:sz w:val="24"/>
            <w:szCs w:val="24"/>
          </w:rPr>
          <w:t>Appendix A</w:t>
        </w:r>
      </w:hyperlink>
      <w:r w:rsidRPr="00D23818">
        <w:rPr>
          <w:sz w:val="24"/>
          <w:szCs w:val="24"/>
        </w:rPr>
        <w:t>. Each regression includes a constant and year, industry (based on two-digit SIC codes), and country fixed effects (FE). Column of </w:t>
      </w:r>
      <w:r w:rsidRPr="00D23818">
        <w:rPr>
          <w:i/>
          <w:iCs/>
          <w:sz w:val="24"/>
          <w:szCs w:val="24"/>
        </w:rPr>
        <w:t>Pred. Sign</w:t>
      </w:r>
      <w:r w:rsidRPr="00D23818">
        <w:rPr>
          <w:sz w:val="24"/>
          <w:szCs w:val="24"/>
        </w:rPr>
        <w:t> provides expected directional relations between the dependent variable and the main independent variables of interest. Below the coefficient estimates in parentheses are </w:t>
      </w:r>
      <w:r w:rsidRPr="00D23818">
        <w:rPr>
          <w:i/>
          <w:iCs/>
          <w:sz w:val="24"/>
          <w:szCs w:val="24"/>
        </w:rPr>
        <w:t>t</w:t>
      </w:r>
      <w:r w:rsidRPr="00D23818">
        <w:rPr>
          <w:sz w:val="24"/>
          <w:szCs w:val="24"/>
        </w:rPr>
        <w:t>-values adjusted for heteroscedasticity and firm-level clustering. *, **, and *** indicate significance level of less than 0.10, 0.05, and 0.01, respectively.</w:t>
      </w:r>
    </w:p>
    <w:tbl>
      <w:tblPr>
        <w:tblStyle w:val="TableGrid"/>
        <w:tblW w:w="10072" w:type="dxa"/>
        <w:tblLayout w:type="fixed"/>
        <w:tblLook w:val="04A0" w:firstRow="1" w:lastRow="0" w:firstColumn="1" w:lastColumn="0" w:noHBand="0" w:noVBand="1"/>
      </w:tblPr>
      <w:tblGrid>
        <w:gridCol w:w="2965"/>
        <w:gridCol w:w="1080"/>
        <w:gridCol w:w="1260"/>
        <w:gridCol w:w="1440"/>
        <w:gridCol w:w="720"/>
        <w:gridCol w:w="1350"/>
        <w:gridCol w:w="1257"/>
      </w:tblGrid>
      <w:tr w:rsidR="00235B24" w:rsidRPr="009C778C" w14:paraId="2EE06E56" w14:textId="77777777" w:rsidTr="00043BD5">
        <w:tc>
          <w:tcPr>
            <w:tcW w:w="2965" w:type="dxa"/>
            <w:hideMark/>
          </w:tcPr>
          <w:p w14:paraId="7ABAA190" w14:textId="77777777" w:rsidR="00A10CDD" w:rsidRPr="009C778C" w:rsidRDefault="00A10CDD" w:rsidP="00D23818">
            <w:pPr>
              <w:pStyle w:val="NoSpacing"/>
            </w:pPr>
            <w:r w:rsidRPr="009C778C">
              <w:t>Panel A: Are foreign institutional investors more effective monitors in firms with greater agency problems?</w:t>
            </w:r>
          </w:p>
        </w:tc>
        <w:tc>
          <w:tcPr>
            <w:tcW w:w="1080" w:type="dxa"/>
          </w:tcPr>
          <w:p w14:paraId="03E97E2C" w14:textId="77777777" w:rsidR="00A10CDD" w:rsidRPr="009C778C" w:rsidRDefault="00A10CDD" w:rsidP="00D23818">
            <w:pPr>
              <w:pStyle w:val="NoSpacing"/>
            </w:pPr>
          </w:p>
        </w:tc>
        <w:tc>
          <w:tcPr>
            <w:tcW w:w="1260" w:type="dxa"/>
          </w:tcPr>
          <w:p w14:paraId="5CCE898B" w14:textId="7C0C6E1E" w:rsidR="00A10CDD" w:rsidRPr="009C778C" w:rsidRDefault="00A10CDD" w:rsidP="00D23818">
            <w:pPr>
              <w:pStyle w:val="NoSpacing"/>
            </w:pPr>
          </w:p>
        </w:tc>
        <w:tc>
          <w:tcPr>
            <w:tcW w:w="1440" w:type="dxa"/>
          </w:tcPr>
          <w:p w14:paraId="7A7F87CA" w14:textId="77777777" w:rsidR="00A10CDD" w:rsidRPr="009C778C" w:rsidRDefault="00A10CDD" w:rsidP="00D23818">
            <w:pPr>
              <w:pStyle w:val="NoSpacing"/>
            </w:pPr>
          </w:p>
        </w:tc>
        <w:tc>
          <w:tcPr>
            <w:tcW w:w="720" w:type="dxa"/>
          </w:tcPr>
          <w:p w14:paraId="0989389D" w14:textId="77777777" w:rsidR="00A10CDD" w:rsidRPr="009C778C" w:rsidRDefault="00A10CDD" w:rsidP="00D23818">
            <w:pPr>
              <w:pStyle w:val="NoSpacing"/>
            </w:pPr>
          </w:p>
        </w:tc>
        <w:tc>
          <w:tcPr>
            <w:tcW w:w="1350" w:type="dxa"/>
          </w:tcPr>
          <w:p w14:paraId="704D859F" w14:textId="77777777" w:rsidR="00A10CDD" w:rsidRPr="009C778C" w:rsidRDefault="00A10CDD" w:rsidP="00D23818">
            <w:pPr>
              <w:pStyle w:val="NoSpacing"/>
            </w:pPr>
          </w:p>
        </w:tc>
        <w:tc>
          <w:tcPr>
            <w:tcW w:w="1257" w:type="dxa"/>
          </w:tcPr>
          <w:p w14:paraId="0530740B" w14:textId="62769839" w:rsidR="00A10CDD" w:rsidRPr="009C778C" w:rsidRDefault="00A10CDD" w:rsidP="00D23818">
            <w:pPr>
              <w:pStyle w:val="NoSpacing"/>
            </w:pPr>
          </w:p>
        </w:tc>
      </w:tr>
      <w:tr w:rsidR="00235B24" w:rsidRPr="009C778C" w14:paraId="40CF5CD1" w14:textId="77777777" w:rsidTr="00043BD5">
        <w:tc>
          <w:tcPr>
            <w:tcW w:w="2965" w:type="dxa"/>
            <w:hideMark/>
          </w:tcPr>
          <w:p w14:paraId="72F5B6C0" w14:textId="77777777" w:rsidR="00A10CDD" w:rsidRPr="009C778C" w:rsidRDefault="00A10CDD" w:rsidP="00D23818">
            <w:pPr>
              <w:pStyle w:val="NoSpacing"/>
            </w:pPr>
            <w:r w:rsidRPr="009C778C">
              <w:rPr>
                <w:i/>
                <w:iCs/>
              </w:rPr>
              <w:t>Dep. Var.</w:t>
            </w:r>
            <w:r w:rsidRPr="009C778C">
              <w:t xml:space="preserve"> = Agg. </w:t>
            </w:r>
            <w:proofErr w:type="spellStart"/>
            <w:r w:rsidRPr="009C778C">
              <w:t>EM</w:t>
            </w:r>
            <w:r w:rsidRPr="009C778C">
              <w:rPr>
                <w:vertAlign w:val="subscript"/>
              </w:rPr>
              <w:t>t</w:t>
            </w:r>
            <w:proofErr w:type="spellEnd"/>
          </w:p>
        </w:tc>
        <w:tc>
          <w:tcPr>
            <w:tcW w:w="1080" w:type="dxa"/>
            <w:hideMark/>
          </w:tcPr>
          <w:p w14:paraId="5770D7F6" w14:textId="77777777" w:rsidR="00A10CDD" w:rsidRPr="009C778C" w:rsidRDefault="00A10CDD" w:rsidP="00D23818">
            <w:pPr>
              <w:pStyle w:val="NoSpacing"/>
            </w:pPr>
            <w:r w:rsidRPr="009C778C">
              <w:t>Empty Cell</w:t>
            </w:r>
          </w:p>
        </w:tc>
        <w:tc>
          <w:tcPr>
            <w:tcW w:w="1260" w:type="dxa"/>
            <w:hideMark/>
          </w:tcPr>
          <w:p w14:paraId="724F7D6D" w14:textId="77777777" w:rsidR="00A10CDD" w:rsidRPr="009C778C" w:rsidRDefault="00A10CDD" w:rsidP="00D23818">
            <w:pPr>
              <w:pStyle w:val="NoSpacing"/>
            </w:pPr>
            <w:r w:rsidRPr="009C778C">
              <w:t>Free cash flow</w:t>
            </w:r>
          </w:p>
        </w:tc>
        <w:tc>
          <w:tcPr>
            <w:tcW w:w="1440" w:type="dxa"/>
          </w:tcPr>
          <w:p w14:paraId="6E8BC1B8" w14:textId="77777777" w:rsidR="00A10CDD" w:rsidRPr="009C778C" w:rsidRDefault="00A10CDD" w:rsidP="00D23818">
            <w:pPr>
              <w:pStyle w:val="NoSpacing"/>
            </w:pPr>
          </w:p>
        </w:tc>
        <w:tc>
          <w:tcPr>
            <w:tcW w:w="720" w:type="dxa"/>
          </w:tcPr>
          <w:p w14:paraId="0293AB41" w14:textId="77777777" w:rsidR="00A10CDD" w:rsidRPr="009C778C" w:rsidRDefault="00A10CDD" w:rsidP="00D23818">
            <w:pPr>
              <w:pStyle w:val="NoSpacing"/>
            </w:pPr>
          </w:p>
        </w:tc>
        <w:tc>
          <w:tcPr>
            <w:tcW w:w="1350" w:type="dxa"/>
          </w:tcPr>
          <w:p w14:paraId="761D9661" w14:textId="77777777" w:rsidR="00A10CDD" w:rsidRPr="009C778C" w:rsidRDefault="00A10CDD" w:rsidP="00D23818">
            <w:pPr>
              <w:pStyle w:val="NoSpacing"/>
            </w:pPr>
          </w:p>
        </w:tc>
        <w:tc>
          <w:tcPr>
            <w:tcW w:w="1257" w:type="dxa"/>
          </w:tcPr>
          <w:p w14:paraId="1F19EE15" w14:textId="1AF634AC" w:rsidR="00A10CDD" w:rsidRPr="009C778C" w:rsidRDefault="00A10CDD" w:rsidP="00D23818">
            <w:pPr>
              <w:pStyle w:val="NoSpacing"/>
            </w:pPr>
          </w:p>
        </w:tc>
      </w:tr>
      <w:tr w:rsidR="00235B24" w:rsidRPr="009C778C" w14:paraId="09340E27" w14:textId="77777777" w:rsidTr="00043BD5">
        <w:tc>
          <w:tcPr>
            <w:tcW w:w="2965" w:type="dxa"/>
            <w:hideMark/>
          </w:tcPr>
          <w:p w14:paraId="6E2898D0" w14:textId="77777777" w:rsidR="00A10CDD" w:rsidRPr="009C778C" w:rsidRDefault="00A10CDD" w:rsidP="00D23818">
            <w:pPr>
              <w:pStyle w:val="NoSpacing"/>
            </w:pPr>
          </w:p>
        </w:tc>
        <w:tc>
          <w:tcPr>
            <w:tcW w:w="1080" w:type="dxa"/>
            <w:hideMark/>
          </w:tcPr>
          <w:p w14:paraId="267B4A11" w14:textId="77777777" w:rsidR="00A10CDD" w:rsidRPr="009C778C" w:rsidRDefault="00A10CDD" w:rsidP="00D23818">
            <w:pPr>
              <w:pStyle w:val="NoSpacing"/>
            </w:pPr>
            <w:r w:rsidRPr="009C778C">
              <w:rPr>
                <w:i/>
                <w:iCs/>
              </w:rPr>
              <w:t>Pred.</w:t>
            </w:r>
            <w:r w:rsidRPr="009C778C">
              <w:br/>
            </w:r>
            <w:r w:rsidRPr="009C778C">
              <w:rPr>
                <w:i/>
                <w:iCs/>
              </w:rPr>
              <w:t>Sign</w:t>
            </w:r>
          </w:p>
        </w:tc>
        <w:tc>
          <w:tcPr>
            <w:tcW w:w="1260" w:type="dxa"/>
            <w:hideMark/>
          </w:tcPr>
          <w:p w14:paraId="6C200B3C" w14:textId="77777777" w:rsidR="00A10CDD" w:rsidRPr="009C778C" w:rsidRDefault="00A10CDD" w:rsidP="00D23818">
            <w:pPr>
              <w:pStyle w:val="NoSpacing"/>
            </w:pPr>
            <w:r w:rsidRPr="009C778C">
              <w:t>Low</w:t>
            </w:r>
            <w:r w:rsidRPr="009C778C">
              <w:br/>
              <w:t xml:space="preserve">(Agency </w:t>
            </w:r>
            <w:proofErr w:type="gramStart"/>
            <w:r w:rsidRPr="009C778C">
              <w:t>costs-L</w:t>
            </w:r>
            <w:proofErr w:type="gramEnd"/>
            <w:r w:rsidRPr="009C778C">
              <w:t>)</w:t>
            </w:r>
          </w:p>
        </w:tc>
        <w:tc>
          <w:tcPr>
            <w:tcW w:w="1440" w:type="dxa"/>
          </w:tcPr>
          <w:p w14:paraId="62D5343B" w14:textId="6D9E473E" w:rsidR="00A10CDD" w:rsidRPr="009C778C" w:rsidRDefault="00A10CDD" w:rsidP="00D23818">
            <w:pPr>
              <w:pStyle w:val="NoSpacing"/>
            </w:pPr>
          </w:p>
        </w:tc>
        <w:tc>
          <w:tcPr>
            <w:tcW w:w="720" w:type="dxa"/>
            <w:hideMark/>
          </w:tcPr>
          <w:p w14:paraId="2841B545" w14:textId="77777777" w:rsidR="00A10CDD" w:rsidRPr="009C778C" w:rsidRDefault="00A10CDD" w:rsidP="00D23818">
            <w:pPr>
              <w:pStyle w:val="NoSpacing"/>
            </w:pPr>
            <w:r w:rsidRPr="009C778C">
              <w:rPr>
                <w:i/>
                <w:iCs/>
              </w:rPr>
              <w:t>Pred.</w:t>
            </w:r>
            <w:r w:rsidRPr="009C778C">
              <w:br/>
            </w:r>
            <w:r w:rsidRPr="009C778C">
              <w:rPr>
                <w:i/>
                <w:iCs/>
              </w:rPr>
              <w:t>Sign</w:t>
            </w:r>
          </w:p>
        </w:tc>
        <w:tc>
          <w:tcPr>
            <w:tcW w:w="1350" w:type="dxa"/>
            <w:hideMark/>
          </w:tcPr>
          <w:p w14:paraId="14D2AE65" w14:textId="77777777" w:rsidR="00A10CDD" w:rsidRPr="009C778C" w:rsidRDefault="00A10CDD" w:rsidP="00D23818">
            <w:pPr>
              <w:pStyle w:val="NoSpacing"/>
            </w:pPr>
            <w:r w:rsidRPr="009C778C">
              <w:t>High</w:t>
            </w:r>
            <w:r w:rsidRPr="009C778C">
              <w:br/>
              <w:t xml:space="preserve">(Agency </w:t>
            </w:r>
            <w:proofErr w:type="gramStart"/>
            <w:r w:rsidRPr="009C778C">
              <w:t>costs-H</w:t>
            </w:r>
            <w:proofErr w:type="gramEnd"/>
            <w:r w:rsidRPr="009C778C">
              <w:t>)</w:t>
            </w:r>
          </w:p>
        </w:tc>
        <w:tc>
          <w:tcPr>
            <w:tcW w:w="1257" w:type="dxa"/>
          </w:tcPr>
          <w:p w14:paraId="7BD3D8E0" w14:textId="03C76DF9" w:rsidR="00A10CDD" w:rsidRPr="009C778C" w:rsidRDefault="00A10CDD" w:rsidP="00D23818">
            <w:pPr>
              <w:pStyle w:val="NoSpacing"/>
            </w:pPr>
          </w:p>
        </w:tc>
      </w:tr>
      <w:tr w:rsidR="00235B24" w:rsidRPr="009C778C" w14:paraId="2E762BEA" w14:textId="77777777" w:rsidTr="00043BD5">
        <w:tc>
          <w:tcPr>
            <w:tcW w:w="2965" w:type="dxa"/>
            <w:hideMark/>
          </w:tcPr>
          <w:p w14:paraId="2D0F9C8D" w14:textId="77777777" w:rsidR="009C778C" w:rsidRPr="009C778C" w:rsidRDefault="009C778C" w:rsidP="00D23818">
            <w:pPr>
              <w:pStyle w:val="NoSpacing"/>
            </w:pPr>
          </w:p>
        </w:tc>
        <w:tc>
          <w:tcPr>
            <w:tcW w:w="1080" w:type="dxa"/>
            <w:hideMark/>
          </w:tcPr>
          <w:p w14:paraId="4AF59168" w14:textId="77777777" w:rsidR="009C778C" w:rsidRPr="009C778C" w:rsidRDefault="009C778C" w:rsidP="00D23818">
            <w:pPr>
              <w:pStyle w:val="NoSpacing"/>
            </w:pPr>
          </w:p>
        </w:tc>
        <w:tc>
          <w:tcPr>
            <w:tcW w:w="1260" w:type="dxa"/>
            <w:hideMark/>
          </w:tcPr>
          <w:p w14:paraId="49D827DC" w14:textId="77777777" w:rsidR="009C778C" w:rsidRPr="009C778C" w:rsidRDefault="009C778C" w:rsidP="00D23818">
            <w:pPr>
              <w:pStyle w:val="NoSpacing"/>
            </w:pPr>
            <w:r w:rsidRPr="009C778C">
              <w:t>(1)</w:t>
            </w:r>
          </w:p>
        </w:tc>
        <w:tc>
          <w:tcPr>
            <w:tcW w:w="1440" w:type="dxa"/>
            <w:hideMark/>
          </w:tcPr>
          <w:p w14:paraId="047DFE0A" w14:textId="77777777" w:rsidR="009C778C" w:rsidRPr="009C778C" w:rsidRDefault="009C778C" w:rsidP="00D23818">
            <w:pPr>
              <w:pStyle w:val="NoSpacing"/>
            </w:pPr>
            <w:r w:rsidRPr="009C778C">
              <w:t>(2)</w:t>
            </w:r>
          </w:p>
        </w:tc>
        <w:tc>
          <w:tcPr>
            <w:tcW w:w="720" w:type="dxa"/>
            <w:hideMark/>
          </w:tcPr>
          <w:p w14:paraId="7087744F" w14:textId="77777777" w:rsidR="009C778C" w:rsidRPr="009C778C" w:rsidRDefault="009C778C" w:rsidP="00D23818">
            <w:pPr>
              <w:pStyle w:val="NoSpacing"/>
            </w:pPr>
          </w:p>
        </w:tc>
        <w:tc>
          <w:tcPr>
            <w:tcW w:w="1350" w:type="dxa"/>
            <w:hideMark/>
          </w:tcPr>
          <w:p w14:paraId="17860120" w14:textId="77777777" w:rsidR="009C778C" w:rsidRPr="009C778C" w:rsidRDefault="009C778C" w:rsidP="00D23818">
            <w:pPr>
              <w:pStyle w:val="NoSpacing"/>
            </w:pPr>
            <w:r w:rsidRPr="009C778C">
              <w:t>(3)</w:t>
            </w:r>
          </w:p>
        </w:tc>
        <w:tc>
          <w:tcPr>
            <w:tcW w:w="1257" w:type="dxa"/>
            <w:hideMark/>
          </w:tcPr>
          <w:p w14:paraId="0AE5D702" w14:textId="77777777" w:rsidR="009C778C" w:rsidRPr="009C778C" w:rsidRDefault="009C778C" w:rsidP="00D23818">
            <w:pPr>
              <w:pStyle w:val="NoSpacing"/>
            </w:pPr>
            <w:r w:rsidRPr="009C778C">
              <w:t>(4)</w:t>
            </w:r>
          </w:p>
        </w:tc>
      </w:tr>
      <w:tr w:rsidR="00235B24" w:rsidRPr="009C778C" w14:paraId="4745ED1E" w14:textId="77777777" w:rsidTr="00043BD5">
        <w:tc>
          <w:tcPr>
            <w:tcW w:w="2965" w:type="dxa"/>
            <w:hideMark/>
          </w:tcPr>
          <w:p w14:paraId="067F6EBA" w14:textId="77777777" w:rsidR="009C778C" w:rsidRPr="009C778C" w:rsidRDefault="009C778C" w:rsidP="00D23818">
            <w:pPr>
              <w:pStyle w:val="NoSpacing"/>
            </w:pPr>
            <w:proofErr w:type="spellStart"/>
            <w:r w:rsidRPr="009C778C">
              <w:t>DOMESTIC</w:t>
            </w:r>
            <w:r w:rsidRPr="009C778C">
              <w:rPr>
                <w:vertAlign w:val="subscript"/>
              </w:rPr>
              <w:t>t</w:t>
            </w:r>
            <w:proofErr w:type="spellEnd"/>
            <w:r w:rsidRPr="009C778C">
              <w:rPr>
                <w:vertAlign w:val="subscript"/>
              </w:rPr>
              <w:t> − 1</w:t>
            </w:r>
          </w:p>
        </w:tc>
        <w:tc>
          <w:tcPr>
            <w:tcW w:w="1080" w:type="dxa"/>
            <w:hideMark/>
          </w:tcPr>
          <w:p w14:paraId="61C78A51" w14:textId="77777777" w:rsidR="009C778C" w:rsidRPr="009C778C" w:rsidRDefault="009C778C" w:rsidP="00D23818">
            <w:pPr>
              <w:pStyle w:val="NoSpacing"/>
            </w:pPr>
            <w:r w:rsidRPr="009C778C">
              <w:t>–</w:t>
            </w:r>
          </w:p>
        </w:tc>
        <w:tc>
          <w:tcPr>
            <w:tcW w:w="1260" w:type="dxa"/>
            <w:hideMark/>
          </w:tcPr>
          <w:p w14:paraId="3F1240D5" w14:textId="77777777" w:rsidR="009C778C" w:rsidRPr="009C778C" w:rsidRDefault="009C778C" w:rsidP="00D23818">
            <w:pPr>
              <w:pStyle w:val="NoSpacing"/>
            </w:pPr>
            <w:r w:rsidRPr="009C778C">
              <w:t>− 0.293***</w:t>
            </w:r>
          </w:p>
        </w:tc>
        <w:tc>
          <w:tcPr>
            <w:tcW w:w="1440" w:type="dxa"/>
            <w:hideMark/>
          </w:tcPr>
          <w:p w14:paraId="3A4E0B70" w14:textId="77777777" w:rsidR="009C778C" w:rsidRPr="009C778C" w:rsidRDefault="009C778C" w:rsidP="00D23818">
            <w:pPr>
              <w:pStyle w:val="NoSpacing"/>
            </w:pPr>
          </w:p>
        </w:tc>
        <w:tc>
          <w:tcPr>
            <w:tcW w:w="720" w:type="dxa"/>
            <w:hideMark/>
          </w:tcPr>
          <w:p w14:paraId="5F199C48" w14:textId="77777777" w:rsidR="009C778C" w:rsidRPr="009C778C" w:rsidRDefault="009C778C" w:rsidP="00D23818">
            <w:pPr>
              <w:pStyle w:val="NoSpacing"/>
            </w:pPr>
            <w:r w:rsidRPr="009C778C">
              <w:t>–</w:t>
            </w:r>
          </w:p>
        </w:tc>
        <w:tc>
          <w:tcPr>
            <w:tcW w:w="1350" w:type="dxa"/>
            <w:hideMark/>
          </w:tcPr>
          <w:p w14:paraId="748D52C4" w14:textId="77777777" w:rsidR="009C778C" w:rsidRPr="009C778C" w:rsidRDefault="009C778C" w:rsidP="00D23818">
            <w:pPr>
              <w:pStyle w:val="NoSpacing"/>
            </w:pPr>
            <w:r w:rsidRPr="009C778C">
              <w:t>− 0.266***</w:t>
            </w:r>
          </w:p>
        </w:tc>
        <w:tc>
          <w:tcPr>
            <w:tcW w:w="1257" w:type="dxa"/>
            <w:hideMark/>
          </w:tcPr>
          <w:p w14:paraId="6CAD1685" w14:textId="77777777" w:rsidR="009C778C" w:rsidRPr="009C778C" w:rsidRDefault="009C778C" w:rsidP="00D23818">
            <w:pPr>
              <w:pStyle w:val="NoSpacing"/>
            </w:pPr>
          </w:p>
        </w:tc>
      </w:tr>
      <w:tr w:rsidR="00235B24" w:rsidRPr="009C778C" w14:paraId="2A696EBF" w14:textId="77777777" w:rsidTr="00043BD5">
        <w:tc>
          <w:tcPr>
            <w:tcW w:w="2965" w:type="dxa"/>
            <w:hideMark/>
          </w:tcPr>
          <w:p w14:paraId="60A67B07" w14:textId="77777777" w:rsidR="009C778C" w:rsidRPr="009C778C" w:rsidRDefault="009C778C" w:rsidP="00D23818">
            <w:pPr>
              <w:pStyle w:val="NoSpacing"/>
            </w:pPr>
          </w:p>
        </w:tc>
        <w:tc>
          <w:tcPr>
            <w:tcW w:w="1080" w:type="dxa"/>
            <w:hideMark/>
          </w:tcPr>
          <w:p w14:paraId="6DCAA14B" w14:textId="77777777" w:rsidR="009C778C" w:rsidRPr="009C778C" w:rsidRDefault="009C778C" w:rsidP="00D23818">
            <w:pPr>
              <w:pStyle w:val="NoSpacing"/>
            </w:pPr>
          </w:p>
        </w:tc>
        <w:tc>
          <w:tcPr>
            <w:tcW w:w="1260" w:type="dxa"/>
            <w:hideMark/>
          </w:tcPr>
          <w:p w14:paraId="119AADB7" w14:textId="77777777" w:rsidR="009C778C" w:rsidRPr="009C778C" w:rsidRDefault="009C778C" w:rsidP="00D23818">
            <w:pPr>
              <w:pStyle w:val="NoSpacing"/>
            </w:pPr>
            <w:r w:rsidRPr="009C778C">
              <w:t>(− 3.22)</w:t>
            </w:r>
          </w:p>
        </w:tc>
        <w:tc>
          <w:tcPr>
            <w:tcW w:w="1440" w:type="dxa"/>
            <w:hideMark/>
          </w:tcPr>
          <w:p w14:paraId="7606F582" w14:textId="77777777" w:rsidR="009C778C" w:rsidRPr="009C778C" w:rsidRDefault="009C778C" w:rsidP="00D23818">
            <w:pPr>
              <w:pStyle w:val="NoSpacing"/>
            </w:pPr>
          </w:p>
        </w:tc>
        <w:tc>
          <w:tcPr>
            <w:tcW w:w="720" w:type="dxa"/>
            <w:hideMark/>
          </w:tcPr>
          <w:p w14:paraId="040566A1" w14:textId="77777777" w:rsidR="009C778C" w:rsidRPr="009C778C" w:rsidRDefault="009C778C" w:rsidP="00D23818">
            <w:pPr>
              <w:pStyle w:val="NoSpacing"/>
            </w:pPr>
          </w:p>
        </w:tc>
        <w:tc>
          <w:tcPr>
            <w:tcW w:w="1350" w:type="dxa"/>
            <w:hideMark/>
          </w:tcPr>
          <w:p w14:paraId="5E3EDF44" w14:textId="77777777" w:rsidR="009C778C" w:rsidRPr="009C778C" w:rsidRDefault="009C778C" w:rsidP="00D23818">
            <w:pPr>
              <w:pStyle w:val="NoSpacing"/>
            </w:pPr>
            <w:r w:rsidRPr="009C778C">
              <w:t>(− 4.31)</w:t>
            </w:r>
          </w:p>
        </w:tc>
        <w:tc>
          <w:tcPr>
            <w:tcW w:w="1257" w:type="dxa"/>
            <w:hideMark/>
          </w:tcPr>
          <w:p w14:paraId="2D08170F" w14:textId="77777777" w:rsidR="009C778C" w:rsidRPr="009C778C" w:rsidRDefault="009C778C" w:rsidP="00D23818">
            <w:pPr>
              <w:pStyle w:val="NoSpacing"/>
            </w:pPr>
          </w:p>
        </w:tc>
      </w:tr>
      <w:tr w:rsidR="00235B24" w:rsidRPr="009C778C" w14:paraId="6D5DC9CB" w14:textId="77777777" w:rsidTr="00043BD5">
        <w:tc>
          <w:tcPr>
            <w:tcW w:w="2965" w:type="dxa"/>
            <w:hideMark/>
          </w:tcPr>
          <w:p w14:paraId="29CA5620" w14:textId="77777777" w:rsidR="009C778C" w:rsidRPr="009C778C" w:rsidRDefault="009C778C" w:rsidP="00D23818">
            <w:pPr>
              <w:pStyle w:val="NoSpacing"/>
            </w:pPr>
            <w:proofErr w:type="spellStart"/>
            <w:r w:rsidRPr="009C778C">
              <w:t>FOREIGN</w:t>
            </w:r>
            <w:r w:rsidRPr="009C778C">
              <w:rPr>
                <w:vertAlign w:val="subscript"/>
              </w:rPr>
              <w:t>t</w:t>
            </w:r>
            <w:proofErr w:type="spellEnd"/>
            <w:r w:rsidRPr="009C778C">
              <w:rPr>
                <w:vertAlign w:val="subscript"/>
              </w:rPr>
              <w:t> − 1</w:t>
            </w:r>
          </w:p>
        </w:tc>
        <w:tc>
          <w:tcPr>
            <w:tcW w:w="1080" w:type="dxa"/>
            <w:hideMark/>
          </w:tcPr>
          <w:p w14:paraId="5256E111" w14:textId="77777777" w:rsidR="009C778C" w:rsidRPr="009C778C" w:rsidRDefault="009C778C" w:rsidP="00D23818">
            <w:pPr>
              <w:pStyle w:val="NoSpacing"/>
            </w:pPr>
          </w:p>
        </w:tc>
        <w:tc>
          <w:tcPr>
            <w:tcW w:w="1260" w:type="dxa"/>
            <w:hideMark/>
          </w:tcPr>
          <w:p w14:paraId="6A05220A" w14:textId="77777777" w:rsidR="009C778C" w:rsidRPr="009C778C" w:rsidRDefault="009C778C" w:rsidP="00D23818">
            <w:pPr>
              <w:pStyle w:val="NoSpacing"/>
            </w:pPr>
            <w:r w:rsidRPr="009C778C">
              <w:t>0.083</w:t>
            </w:r>
          </w:p>
        </w:tc>
        <w:tc>
          <w:tcPr>
            <w:tcW w:w="1440" w:type="dxa"/>
            <w:hideMark/>
          </w:tcPr>
          <w:p w14:paraId="61F7C3CE" w14:textId="77777777" w:rsidR="009C778C" w:rsidRPr="009C778C" w:rsidRDefault="009C778C" w:rsidP="00D23818">
            <w:pPr>
              <w:pStyle w:val="NoSpacing"/>
            </w:pPr>
          </w:p>
        </w:tc>
        <w:tc>
          <w:tcPr>
            <w:tcW w:w="720" w:type="dxa"/>
            <w:hideMark/>
          </w:tcPr>
          <w:p w14:paraId="791F9E6F" w14:textId="77777777" w:rsidR="009C778C" w:rsidRPr="009C778C" w:rsidRDefault="009C778C" w:rsidP="00D23818">
            <w:pPr>
              <w:pStyle w:val="NoSpacing"/>
            </w:pPr>
            <w:r w:rsidRPr="009C778C">
              <w:t>–</w:t>
            </w:r>
          </w:p>
        </w:tc>
        <w:tc>
          <w:tcPr>
            <w:tcW w:w="1350" w:type="dxa"/>
            <w:hideMark/>
          </w:tcPr>
          <w:p w14:paraId="4D0DF80B" w14:textId="77777777" w:rsidR="009C778C" w:rsidRPr="009C778C" w:rsidRDefault="009C778C" w:rsidP="00D23818">
            <w:pPr>
              <w:pStyle w:val="NoSpacing"/>
            </w:pPr>
            <w:r w:rsidRPr="009C778C">
              <w:t>− 0.155*</w:t>
            </w:r>
          </w:p>
        </w:tc>
        <w:tc>
          <w:tcPr>
            <w:tcW w:w="1257" w:type="dxa"/>
            <w:hideMark/>
          </w:tcPr>
          <w:p w14:paraId="2BF1913E" w14:textId="77777777" w:rsidR="009C778C" w:rsidRPr="009C778C" w:rsidRDefault="009C778C" w:rsidP="00D23818">
            <w:pPr>
              <w:pStyle w:val="NoSpacing"/>
            </w:pPr>
          </w:p>
        </w:tc>
      </w:tr>
      <w:tr w:rsidR="00235B24" w:rsidRPr="009C778C" w14:paraId="4974FE7C" w14:textId="77777777" w:rsidTr="00043BD5">
        <w:tc>
          <w:tcPr>
            <w:tcW w:w="2965" w:type="dxa"/>
            <w:hideMark/>
          </w:tcPr>
          <w:p w14:paraId="42135B85" w14:textId="77777777" w:rsidR="009C778C" w:rsidRPr="009C778C" w:rsidRDefault="009C778C" w:rsidP="00D23818">
            <w:pPr>
              <w:pStyle w:val="NoSpacing"/>
            </w:pPr>
          </w:p>
        </w:tc>
        <w:tc>
          <w:tcPr>
            <w:tcW w:w="1080" w:type="dxa"/>
            <w:hideMark/>
          </w:tcPr>
          <w:p w14:paraId="7BAAD102" w14:textId="77777777" w:rsidR="009C778C" w:rsidRPr="009C778C" w:rsidRDefault="009C778C" w:rsidP="00D23818">
            <w:pPr>
              <w:pStyle w:val="NoSpacing"/>
            </w:pPr>
          </w:p>
        </w:tc>
        <w:tc>
          <w:tcPr>
            <w:tcW w:w="1260" w:type="dxa"/>
            <w:hideMark/>
          </w:tcPr>
          <w:p w14:paraId="632135CE" w14:textId="77777777" w:rsidR="009C778C" w:rsidRPr="009C778C" w:rsidRDefault="009C778C" w:rsidP="00D23818">
            <w:pPr>
              <w:pStyle w:val="NoSpacing"/>
            </w:pPr>
            <w:r w:rsidRPr="009C778C">
              <w:t>(0.67)</w:t>
            </w:r>
          </w:p>
        </w:tc>
        <w:tc>
          <w:tcPr>
            <w:tcW w:w="1440" w:type="dxa"/>
            <w:hideMark/>
          </w:tcPr>
          <w:p w14:paraId="0C1A1840" w14:textId="77777777" w:rsidR="009C778C" w:rsidRPr="009C778C" w:rsidRDefault="009C778C" w:rsidP="00D23818">
            <w:pPr>
              <w:pStyle w:val="NoSpacing"/>
            </w:pPr>
          </w:p>
        </w:tc>
        <w:tc>
          <w:tcPr>
            <w:tcW w:w="720" w:type="dxa"/>
            <w:hideMark/>
          </w:tcPr>
          <w:p w14:paraId="6020FEC1" w14:textId="77777777" w:rsidR="009C778C" w:rsidRPr="009C778C" w:rsidRDefault="009C778C" w:rsidP="00D23818">
            <w:pPr>
              <w:pStyle w:val="NoSpacing"/>
            </w:pPr>
          </w:p>
        </w:tc>
        <w:tc>
          <w:tcPr>
            <w:tcW w:w="1350" w:type="dxa"/>
            <w:hideMark/>
          </w:tcPr>
          <w:p w14:paraId="6CDA1218" w14:textId="77777777" w:rsidR="009C778C" w:rsidRPr="009C778C" w:rsidRDefault="009C778C" w:rsidP="00D23818">
            <w:pPr>
              <w:pStyle w:val="NoSpacing"/>
            </w:pPr>
            <w:r w:rsidRPr="009C778C">
              <w:t>(− 1.95)</w:t>
            </w:r>
          </w:p>
        </w:tc>
        <w:tc>
          <w:tcPr>
            <w:tcW w:w="1257" w:type="dxa"/>
            <w:hideMark/>
          </w:tcPr>
          <w:p w14:paraId="04F516B6" w14:textId="77777777" w:rsidR="009C778C" w:rsidRPr="009C778C" w:rsidRDefault="009C778C" w:rsidP="00D23818">
            <w:pPr>
              <w:pStyle w:val="NoSpacing"/>
            </w:pPr>
          </w:p>
        </w:tc>
      </w:tr>
      <w:tr w:rsidR="00235B24" w:rsidRPr="009C778C" w14:paraId="0EBD506C" w14:textId="77777777" w:rsidTr="00043BD5">
        <w:tc>
          <w:tcPr>
            <w:tcW w:w="2965" w:type="dxa"/>
            <w:hideMark/>
          </w:tcPr>
          <w:p w14:paraId="2853C7FF" w14:textId="77777777" w:rsidR="009C778C" w:rsidRPr="009C778C" w:rsidRDefault="009C778C" w:rsidP="00D23818">
            <w:pPr>
              <w:pStyle w:val="NoSpacing"/>
            </w:pPr>
            <w:proofErr w:type="spellStart"/>
            <w:r w:rsidRPr="009C778C">
              <w:t>DOMESTIC_INDEP</w:t>
            </w:r>
            <w:r w:rsidRPr="009C778C">
              <w:rPr>
                <w:vertAlign w:val="subscript"/>
              </w:rPr>
              <w:t>t</w:t>
            </w:r>
            <w:proofErr w:type="spellEnd"/>
            <w:r w:rsidRPr="009C778C">
              <w:rPr>
                <w:vertAlign w:val="subscript"/>
              </w:rPr>
              <w:t> − 1</w:t>
            </w:r>
          </w:p>
        </w:tc>
        <w:tc>
          <w:tcPr>
            <w:tcW w:w="1080" w:type="dxa"/>
            <w:hideMark/>
          </w:tcPr>
          <w:p w14:paraId="312C3929" w14:textId="4FC79BC1" w:rsidR="009C778C" w:rsidRPr="009C778C" w:rsidRDefault="009C778C" w:rsidP="00D23818">
            <w:pPr>
              <w:pStyle w:val="NoSpacing"/>
            </w:pPr>
            <w:r w:rsidRPr="009C778C">
              <w:t>–</w:t>
            </w:r>
            <w:r w:rsidR="009C15D5">
              <w:t>1</w:t>
            </w:r>
          </w:p>
        </w:tc>
        <w:tc>
          <w:tcPr>
            <w:tcW w:w="1260" w:type="dxa"/>
            <w:hideMark/>
          </w:tcPr>
          <w:p w14:paraId="0899A43A" w14:textId="77777777" w:rsidR="009C778C" w:rsidRPr="009C778C" w:rsidRDefault="009C778C" w:rsidP="00D23818">
            <w:pPr>
              <w:pStyle w:val="NoSpacing"/>
            </w:pPr>
          </w:p>
        </w:tc>
        <w:tc>
          <w:tcPr>
            <w:tcW w:w="1440" w:type="dxa"/>
            <w:hideMark/>
          </w:tcPr>
          <w:p w14:paraId="093DFFBE" w14:textId="77777777" w:rsidR="009C778C" w:rsidRPr="009C778C" w:rsidRDefault="009C778C" w:rsidP="00D23818">
            <w:pPr>
              <w:pStyle w:val="NoSpacing"/>
            </w:pPr>
            <w:r w:rsidRPr="009C778C">
              <w:t>− 0.411***</w:t>
            </w:r>
          </w:p>
        </w:tc>
        <w:tc>
          <w:tcPr>
            <w:tcW w:w="720" w:type="dxa"/>
            <w:hideMark/>
          </w:tcPr>
          <w:p w14:paraId="2A88D81E" w14:textId="77777777" w:rsidR="009C778C" w:rsidRPr="009C778C" w:rsidRDefault="009C778C" w:rsidP="00D23818">
            <w:pPr>
              <w:pStyle w:val="NoSpacing"/>
            </w:pPr>
            <w:r w:rsidRPr="009C778C">
              <w:t>–</w:t>
            </w:r>
          </w:p>
        </w:tc>
        <w:tc>
          <w:tcPr>
            <w:tcW w:w="1350" w:type="dxa"/>
            <w:hideMark/>
          </w:tcPr>
          <w:p w14:paraId="5ED7C44C" w14:textId="77777777" w:rsidR="009C778C" w:rsidRPr="009C778C" w:rsidRDefault="009C778C" w:rsidP="00D23818">
            <w:pPr>
              <w:pStyle w:val="NoSpacing"/>
            </w:pPr>
          </w:p>
        </w:tc>
        <w:tc>
          <w:tcPr>
            <w:tcW w:w="1257" w:type="dxa"/>
            <w:hideMark/>
          </w:tcPr>
          <w:p w14:paraId="169289CE" w14:textId="77777777" w:rsidR="009C778C" w:rsidRPr="009C778C" w:rsidRDefault="009C778C" w:rsidP="00D23818">
            <w:pPr>
              <w:pStyle w:val="NoSpacing"/>
            </w:pPr>
            <w:r w:rsidRPr="009C778C">
              <w:t>− 0.331***</w:t>
            </w:r>
          </w:p>
        </w:tc>
      </w:tr>
      <w:tr w:rsidR="00235B24" w:rsidRPr="009C778C" w14:paraId="3E379856" w14:textId="77777777" w:rsidTr="00043BD5">
        <w:tc>
          <w:tcPr>
            <w:tcW w:w="2965" w:type="dxa"/>
            <w:hideMark/>
          </w:tcPr>
          <w:p w14:paraId="0FC2F5A3" w14:textId="77777777" w:rsidR="009C778C" w:rsidRPr="009C778C" w:rsidRDefault="009C778C" w:rsidP="00D23818">
            <w:pPr>
              <w:pStyle w:val="NoSpacing"/>
            </w:pPr>
          </w:p>
        </w:tc>
        <w:tc>
          <w:tcPr>
            <w:tcW w:w="1080" w:type="dxa"/>
            <w:hideMark/>
          </w:tcPr>
          <w:p w14:paraId="45561CBF" w14:textId="77777777" w:rsidR="009C778C" w:rsidRPr="009C778C" w:rsidRDefault="009C778C" w:rsidP="00D23818">
            <w:pPr>
              <w:pStyle w:val="NoSpacing"/>
            </w:pPr>
          </w:p>
        </w:tc>
        <w:tc>
          <w:tcPr>
            <w:tcW w:w="1260" w:type="dxa"/>
            <w:hideMark/>
          </w:tcPr>
          <w:p w14:paraId="13999D83" w14:textId="77777777" w:rsidR="009C778C" w:rsidRPr="009C778C" w:rsidRDefault="009C778C" w:rsidP="00D23818">
            <w:pPr>
              <w:pStyle w:val="NoSpacing"/>
            </w:pPr>
          </w:p>
        </w:tc>
        <w:tc>
          <w:tcPr>
            <w:tcW w:w="1440" w:type="dxa"/>
            <w:hideMark/>
          </w:tcPr>
          <w:p w14:paraId="073C6111" w14:textId="77777777" w:rsidR="009C778C" w:rsidRPr="009C778C" w:rsidRDefault="009C778C" w:rsidP="00D23818">
            <w:pPr>
              <w:pStyle w:val="NoSpacing"/>
            </w:pPr>
            <w:r w:rsidRPr="009C778C">
              <w:t>(− 2.75)</w:t>
            </w:r>
          </w:p>
        </w:tc>
        <w:tc>
          <w:tcPr>
            <w:tcW w:w="720" w:type="dxa"/>
            <w:hideMark/>
          </w:tcPr>
          <w:p w14:paraId="32647EAD" w14:textId="77777777" w:rsidR="009C778C" w:rsidRPr="009C778C" w:rsidRDefault="009C778C" w:rsidP="00D23818">
            <w:pPr>
              <w:pStyle w:val="NoSpacing"/>
            </w:pPr>
          </w:p>
        </w:tc>
        <w:tc>
          <w:tcPr>
            <w:tcW w:w="1350" w:type="dxa"/>
            <w:hideMark/>
          </w:tcPr>
          <w:p w14:paraId="545C80D9" w14:textId="77777777" w:rsidR="009C778C" w:rsidRPr="009C778C" w:rsidRDefault="009C778C" w:rsidP="00D23818">
            <w:pPr>
              <w:pStyle w:val="NoSpacing"/>
            </w:pPr>
          </w:p>
        </w:tc>
        <w:tc>
          <w:tcPr>
            <w:tcW w:w="1257" w:type="dxa"/>
            <w:hideMark/>
          </w:tcPr>
          <w:p w14:paraId="7BC7E20A" w14:textId="77777777" w:rsidR="009C778C" w:rsidRPr="009C778C" w:rsidRDefault="009C778C" w:rsidP="00D23818">
            <w:pPr>
              <w:pStyle w:val="NoSpacing"/>
            </w:pPr>
            <w:r w:rsidRPr="009C778C">
              <w:t>(− 3.73)</w:t>
            </w:r>
          </w:p>
        </w:tc>
      </w:tr>
      <w:tr w:rsidR="00235B24" w:rsidRPr="009C778C" w14:paraId="47B13CF5" w14:textId="77777777" w:rsidTr="00043BD5">
        <w:tc>
          <w:tcPr>
            <w:tcW w:w="2965" w:type="dxa"/>
            <w:hideMark/>
          </w:tcPr>
          <w:p w14:paraId="75DBFB13" w14:textId="77777777" w:rsidR="009C778C" w:rsidRPr="009C778C" w:rsidRDefault="009C778C" w:rsidP="00D23818">
            <w:pPr>
              <w:pStyle w:val="NoSpacing"/>
            </w:pPr>
            <w:r w:rsidRPr="009C778C">
              <w:t>FOREIGN_INDEP</w:t>
            </w:r>
            <w:r w:rsidRPr="009C778C">
              <w:rPr>
                <w:vertAlign w:val="subscript"/>
              </w:rPr>
              <w:t>t − 1</w:t>
            </w:r>
          </w:p>
        </w:tc>
        <w:tc>
          <w:tcPr>
            <w:tcW w:w="1080" w:type="dxa"/>
            <w:hideMark/>
          </w:tcPr>
          <w:p w14:paraId="133BEDF5" w14:textId="77777777" w:rsidR="009C778C" w:rsidRPr="009C778C" w:rsidRDefault="009C778C" w:rsidP="00D23818">
            <w:pPr>
              <w:pStyle w:val="NoSpacing"/>
            </w:pPr>
          </w:p>
        </w:tc>
        <w:tc>
          <w:tcPr>
            <w:tcW w:w="1260" w:type="dxa"/>
            <w:hideMark/>
          </w:tcPr>
          <w:p w14:paraId="7D2492C3" w14:textId="77777777" w:rsidR="009C778C" w:rsidRPr="009C778C" w:rsidRDefault="009C778C" w:rsidP="00D23818">
            <w:pPr>
              <w:pStyle w:val="NoSpacing"/>
            </w:pPr>
          </w:p>
        </w:tc>
        <w:tc>
          <w:tcPr>
            <w:tcW w:w="1440" w:type="dxa"/>
            <w:hideMark/>
          </w:tcPr>
          <w:p w14:paraId="7F1F3CF8" w14:textId="77777777" w:rsidR="009C778C" w:rsidRPr="009C778C" w:rsidRDefault="009C778C" w:rsidP="00D23818">
            <w:pPr>
              <w:pStyle w:val="NoSpacing"/>
            </w:pPr>
            <w:r w:rsidRPr="009C778C">
              <w:t>0.143</w:t>
            </w:r>
          </w:p>
        </w:tc>
        <w:tc>
          <w:tcPr>
            <w:tcW w:w="720" w:type="dxa"/>
            <w:hideMark/>
          </w:tcPr>
          <w:p w14:paraId="6C72F94A" w14:textId="77777777" w:rsidR="009C778C" w:rsidRPr="009C778C" w:rsidRDefault="009C778C" w:rsidP="00D23818">
            <w:pPr>
              <w:pStyle w:val="NoSpacing"/>
            </w:pPr>
            <w:r w:rsidRPr="009C778C">
              <w:t>–</w:t>
            </w:r>
          </w:p>
        </w:tc>
        <w:tc>
          <w:tcPr>
            <w:tcW w:w="1350" w:type="dxa"/>
            <w:hideMark/>
          </w:tcPr>
          <w:p w14:paraId="11D28E30" w14:textId="77777777" w:rsidR="009C778C" w:rsidRPr="009C778C" w:rsidRDefault="009C778C" w:rsidP="00D23818">
            <w:pPr>
              <w:pStyle w:val="NoSpacing"/>
            </w:pPr>
          </w:p>
        </w:tc>
        <w:tc>
          <w:tcPr>
            <w:tcW w:w="1257" w:type="dxa"/>
            <w:hideMark/>
          </w:tcPr>
          <w:p w14:paraId="55A5761E" w14:textId="77777777" w:rsidR="009C778C" w:rsidRPr="009C778C" w:rsidRDefault="009C778C" w:rsidP="00D23818">
            <w:pPr>
              <w:pStyle w:val="NoSpacing"/>
            </w:pPr>
            <w:r w:rsidRPr="009C778C">
              <w:t>− 0.231**</w:t>
            </w:r>
          </w:p>
        </w:tc>
      </w:tr>
      <w:tr w:rsidR="00235B24" w:rsidRPr="009C778C" w14:paraId="5B812A82" w14:textId="77777777" w:rsidTr="00043BD5">
        <w:tc>
          <w:tcPr>
            <w:tcW w:w="2965" w:type="dxa"/>
            <w:hideMark/>
          </w:tcPr>
          <w:p w14:paraId="757C5798" w14:textId="77777777" w:rsidR="009C778C" w:rsidRPr="009C778C" w:rsidRDefault="009C778C" w:rsidP="00D23818">
            <w:pPr>
              <w:pStyle w:val="NoSpacing"/>
            </w:pPr>
          </w:p>
        </w:tc>
        <w:tc>
          <w:tcPr>
            <w:tcW w:w="1080" w:type="dxa"/>
            <w:hideMark/>
          </w:tcPr>
          <w:p w14:paraId="3E396532" w14:textId="77777777" w:rsidR="009C778C" w:rsidRPr="009C778C" w:rsidRDefault="009C778C" w:rsidP="00D23818">
            <w:pPr>
              <w:pStyle w:val="NoSpacing"/>
            </w:pPr>
          </w:p>
        </w:tc>
        <w:tc>
          <w:tcPr>
            <w:tcW w:w="1260" w:type="dxa"/>
            <w:hideMark/>
          </w:tcPr>
          <w:p w14:paraId="3AEBF61F" w14:textId="77777777" w:rsidR="009C778C" w:rsidRPr="009C778C" w:rsidRDefault="009C778C" w:rsidP="00D23818">
            <w:pPr>
              <w:pStyle w:val="NoSpacing"/>
            </w:pPr>
          </w:p>
        </w:tc>
        <w:tc>
          <w:tcPr>
            <w:tcW w:w="1440" w:type="dxa"/>
            <w:hideMark/>
          </w:tcPr>
          <w:p w14:paraId="094DDDA1" w14:textId="77777777" w:rsidR="009C778C" w:rsidRPr="009C778C" w:rsidRDefault="009C778C" w:rsidP="00D23818">
            <w:pPr>
              <w:pStyle w:val="NoSpacing"/>
            </w:pPr>
            <w:r w:rsidRPr="009C778C">
              <w:t>(0.77)</w:t>
            </w:r>
          </w:p>
        </w:tc>
        <w:tc>
          <w:tcPr>
            <w:tcW w:w="720" w:type="dxa"/>
            <w:hideMark/>
          </w:tcPr>
          <w:p w14:paraId="0B3C1F37" w14:textId="77777777" w:rsidR="009C778C" w:rsidRPr="009C778C" w:rsidRDefault="009C778C" w:rsidP="00D23818">
            <w:pPr>
              <w:pStyle w:val="NoSpacing"/>
            </w:pPr>
          </w:p>
        </w:tc>
        <w:tc>
          <w:tcPr>
            <w:tcW w:w="1350" w:type="dxa"/>
            <w:hideMark/>
          </w:tcPr>
          <w:p w14:paraId="1C863D86" w14:textId="77777777" w:rsidR="009C778C" w:rsidRPr="009C778C" w:rsidRDefault="009C778C" w:rsidP="00D23818">
            <w:pPr>
              <w:pStyle w:val="NoSpacing"/>
            </w:pPr>
          </w:p>
        </w:tc>
        <w:tc>
          <w:tcPr>
            <w:tcW w:w="1257" w:type="dxa"/>
            <w:hideMark/>
          </w:tcPr>
          <w:p w14:paraId="64F30E86" w14:textId="77777777" w:rsidR="009C778C" w:rsidRPr="009C778C" w:rsidRDefault="009C778C" w:rsidP="00D23818">
            <w:pPr>
              <w:pStyle w:val="NoSpacing"/>
            </w:pPr>
            <w:r w:rsidRPr="009C778C">
              <w:t>(− 2.04)</w:t>
            </w:r>
          </w:p>
        </w:tc>
      </w:tr>
      <w:tr w:rsidR="00235B24" w:rsidRPr="009C778C" w14:paraId="4336EF91" w14:textId="77777777" w:rsidTr="00043BD5">
        <w:tc>
          <w:tcPr>
            <w:tcW w:w="2965" w:type="dxa"/>
            <w:hideMark/>
          </w:tcPr>
          <w:p w14:paraId="0548926D" w14:textId="77777777" w:rsidR="009C778C" w:rsidRPr="009C778C" w:rsidRDefault="009C778C" w:rsidP="00D23818">
            <w:pPr>
              <w:pStyle w:val="NoSpacing"/>
            </w:pPr>
            <w:r w:rsidRPr="009C778C">
              <w:t>SIZE</w:t>
            </w:r>
            <w:r w:rsidRPr="009C778C">
              <w:rPr>
                <w:vertAlign w:val="subscript"/>
              </w:rPr>
              <w:t>t − 1</w:t>
            </w:r>
          </w:p>
        </w:tc>
        <w:tc>
          <w:tcPr>
            <w:tcW w:w="1080" w:type="dxa"/>
            <w:hideMark/>
          </w:tcPr>
          <w:p w14:paraId="4C2600DE" w14:textId="77777777" w:rsidR="009C778C" w:rsidRPr="009C778C" w:rsidRDefault="009C778C" w:rsidP="00D23818">
            <w:pPr>
              <w:pStyle w:val="NoSpacing"/>
            </w:pPr>
          </w:p>
        </w:tc>
        <w:tc>
          <w:tcPr>
            <w:tcW w:w="1260" w:type="dxa"/>
            <w:hideMark/>
          </w:tcPr>
          <w:p w14:paraId="68FC1100" w14:textId="77777777" w:rsidR="009C778C" w:rsidRPr="009C778C" w:rsidRDefault="009C778C" w:rsidP="00D23818">
            <w:pPr>
              <w:pStyle w:val="NoSpacing"/>
            </w:pPr>
            <w:r w:rsidRPr="009C778C">
              <w:t>− 0.036***</w:t>
            </w:r>
          </w:p>
        </w:tc>
        <w:tc>
          <w:tcPr>
            <w:tcW w:w="1440" w:type="dxa"/>
            <w:hideMark/>
          </w:tcPr>
          <w:p w14:paraId="29250A5D" w14:textId="77777777" w:rsidR="009C778C" w:rsidRPr="009C778C" w:rsidRDefault="009C778C" w:rsidP="00D23818">
            <w:pPr>
              <w:pStyle w:val="NoSpacing"/>
            </w:pPr>
            <w:r w:rsidRPr="009C778C">
              <w:t>− 0.037***</w:t>
            </w:r>
          </w:p>
        </w:tc>
        <w:tc>
          <w:tcPr>
            <w:tcW w:w="720" w:type="dxa"/>
            <w:hideMark/>
          </w:tcPr>
          <w:p w14:paraId="0D0B51B4" w14:textId="77777777" w:rsidR="009C778C" w:rsidRPr="009C778C" w:rsidRDefault="009C778C" w:rsidP="00D23818">
            <w:pPr>
              <w:pStyle w:val="NoSpacing"/>
            </w:pPr>
          </w:p>
        </w:tc>
        <w:tc>
          <w:tcPr>
            <w:tcW w:w="1350" w:type="dxa"/>
            <w:hideMark/>
          </w:tcPr>
          <w:p w14:paraId="064A178C" w14:textId="77777777" w:rsidR="009C778C" w:rsidRPr="009C778C" w:rsidRDefault="009C778C" w:rsidP="00D23818">
            <w:pPr>
              <w:pStyle w:val="NoSpacing"/>
            </w:pPr>
            <w:r w:rsidRPr="009C778C">
              <w:t>− 0.018***</w:t>
            </w:r>
          </w:p>
        </w:tc>
        <w:tc>
          <w:tcPr>
            <w:tcW w:w="1257" w:type="dxa"/>
            <w:hideMark/>
          </w:tcPr>
          <w:p w14:paraId="63760F54" w14:textId="77777777" w:rsidR="009C778C" w:rsidRPr="009C778C" w:rsidRDefault="009C778C" w:rsidP="00D23818">
            <w:pPr>
              <w:pStyle w:val="NoSpacing"/>
            </w:pPr>
            <w:r w:rsidRPr="009C778C">
              <w:t>− 0.019***</w:t>
            </w:r>
          </w:p>
        </w:tc>
      </w:tr>
      <w:tr w:rsidR="00235B24" w:rsidRPr="009C778C" w14:paraId="04744398" w14:textId="77777777" w:rsidTr="00043BD5">
        <w:tc>
          <w:tcPr>
            <w:tcW w:w="2965" w:type="dxa"/>
            <w:hideMark/>
          </w:tcPr>
          <w:p w14:paraId="2D9176A7" w14:textId="77777777" w:rsidR="009C778C" w:rsidRPr="009C778C" w:rsidRDefault="009C778C" w:rsidP="00D23818">
            <w:pPr>
              <w:pStyle w:val="NoSpacing"/>
            </w:pPr>
          </w:p>
        </w:tc>
        <w:tc>
          <w:tcPr>
            <w:tcW w:w="1080" w:type="dxa"/>
            <w:hideMark/>
          </w:tcPr>
          <w:p w14:paraId="4081AA80" w14:textId="77777777" w:rsidR="009C778C" w:rsidRPr="009C778C" w:rsidRDefault="009C778C" w:rsidP="00D23818">
            <w:pPr>
              <w:pStyle w:val="NoSpacing"/>
            </w:pPr>
          </w:p>
        </w:tc>
        <w:tc>
          <w:tcPr>
            <w:tcW w:w="1260" w:type="dxa"/>
            <w:hideMark/>
          </w:tcPr>
          <w:p w14:paraId="4976D56E" w14:textId="77777777" w:rsidR="009C778C" w:rsidRPr="009C778C" w:rsidRDefault="009C778C" w:rsidP="00D23818">
            <w:pPr>
              <w:pStyle w:val="NoSpacing"/>
            </w:pPr>
            <w:r w:rsidRPr="009C778C">
              <w:t>(− 7.59)</w:t>
            </w:r>
          </w:p>
        </w:tc>
        <w:tc>
          <w:tcPr>
            <w:tcW w:w="1440" w:type="dxa"/>
            <w:hideMark/>
          </w:tcPr>
          <w:p w14:paraId="6EE6AA22" w14:textId="77777777" w:rsidR="009C778C" w:rsidRPr="009C778C" w:rsidRDefault="009C778C" w:rsidP="00D23818">
            <w:pPr>
              <w:pStyle w:val="NoSpacing"/>
            </w:pPr>
            <w:r w:rsidRPr="009C778C">
              <w:t>(− 7.89)</w:t>
            </w:r>
          </w:p>
        </w:tc>
        <w:tc>
          <w:tcPr>
            <w:tcW w:w="720" w:type="dxa"/>
            <w:hideMark/>
          </w:tcPr>
          <w:p w14:paraId="2219DE01" w14:textId="77777777" w:rsidR="009C778C" w:rsidRPr="009C778C" w:rsidRDefault="009C778C" w:rsidP="00D23818">
            <w:pPr>
              <w:pStyle w:val="NoSpacing"/>
            </w:pPr>
          </w:p>
        </w:tc>
        <w:tc>
          <w:tcPr>
            <w:tcW w:w="1350" w:type="dxa"/>
            <w:hideMark/>
          </w:tcPr>
          <w:p w14:paraId="55668562" w14:textId="77777777" w:rsidR="009C778C" w:rsidRPr="009C778C" w:rsidRDefault="009C778C" w:rsidP="00D23818">
            <w:pPr>
              <w:pStyle w:val="NoSpacing"/>
            </w:pPr>
            <w:r w:rsidRPr="009C778C">
              <w:t>(− 4.22)</w:t>
            </w:r>
          </w:p>
        </w:tc>
        <w:tc>
          <w:tcPr>
            <w:tcW w:w="1257" w:type="dxa"/>
            <w:hideMark/>
          </w:tcPr>
          <w:p w14:paraId="5917E335" w14:textId="77777777" w:rsidR="009C778C" w:rsidRPr="009C778C" w:rsidRDefault="009C778C" w:rsidP="00D23818">
            <w:pPr>
              <w:pStyle w:val="NoSpacing"/>
            </w:pPr>
            <w:r w:rsidRPr="009C778C">
              <w:t>(− 4.45)</w:t>
            </w:r>
          </w:p>
        </w:tc>
      </w:tr>
      <w:tr w:rsidR="00235B24" w:rsidRPr="009C778C" w14:paraId="64F28C1F" w14:textId="77777777" w:rsidTr="00043BD5">
        <w:tc>
          <w:tcPr>
            <w:tcW w:w="2965" w:type="dxa"/>
            <w:hideMark/>
          </w:tcPr>
          <w:p w14:paraId="7B51E1CD" w14:textId="77777777" w:rsidR="009C778C" w:rsidRPr="009C778C" w:rsidRDefault="009C778C" w:rsidP="00D23818">
            <w:pPr>
              <w:pStyle w:val="NoSpacing"/>
            </w:pPr>
            <w:r w:rsidRPr="009C778C">
              <w:t>ROA</w:t>
            </w:r>
            <w:r w:rsidRPr="009C778C">
              <w:rPr>
                <w:vertAlign w:val="subscript"/>
              </w:rPr>
              <w:t>t − 1</w:t>
            </w:r>
          </w:p>
        </w:tc>
        <w:tc>
          <w:tcPr>
            <w:tcW w:w="1080" w:type="dxa"/>
            <w:hideMark/>
          </w:tcPr>
          <w:p w14:paraId="0F506F89" w14:textId="77777777" w:rsidR="009C778C" w:rsidRPr="009C778C" w:rsidRDefault="009C778C" w:rsidP="00D23818">
            <w:pPr>
              <w:pStyle w:val="NoSpacing"/>
            </w:pPr>
          </w:p>
        </w:tc>
        <w:tc>
          <w:tcPr>
            <w:tcW w:w="1260" w:type="dxa"/>
            <w:hideMark/>
          </w:tcPr>
          <w:p w14:paraId="1BD38A34" w14:textId="77777777" w:rsidR="009C778C" w:rsidRPr="009C778C" w:rsidRDefault="009C778C" w:rsidP="00D23818">
            <w:pPr>
              <w:pStyle w:val="NoSpacing"/>
            </w:pPr>
            <w:r w:rsidRPr="009C778C">
              <w:t>− 0.548***</w:t>
            </w:r>
          </w:p>
        </w:tc>
        <w:tc>
          <w:tcPr>
            <w:tcW w:w="1440" w:type="dxa"/>
            <w:hideMark/>
          </w:tcPr>
          <w:p w14:paraId="1D699F8B" w14:textId="77777777" w:rsidR="009C778C" w:rsidRPr="009C778C" w:rsidRDefault="009C778C" w:rsidP="00D23818">
            <w:pPr>
              <w:pStyle w:val="NoSpacing"/>
            </w:pPr>
            <w:r w:rsidRPr="009C778C">
              <w:t>− 0.549***</w:t>
            </w:r>
          </w:p>
        </w:tc>
        <w:tc>
          <w:tcPr>
            <w:tcW w:w="720" w:type="dxa"/>
            <w:hideMark/>
          </w:tcPr>
          <w:p w14:paraId="781A693D" w14:textId="77777777" w:rsidR="009C778C" w:rsidRPr="009C778C" w:rsidRDefault="009C778C" w:rsidP="00D23818">
            <w:pPr>
              <w:pStyle w:val="NoSpacing"/>
            </w:pPr>
          </w:p>
        </w:tc>
        <w:tc>
          <w:tcPr>
            <w:tcW w:w="1350" w:type="dxa"/>
            <w:hideMark/>
          </w:tcPr>
          <w:p w14:paraId="28444FE2" w14:textId="77777777" w:rsidR="009C778C" w:rsidRPr="009C778C" w:rsidRDefault="009C778C" w:rsidP="00D23818">
            <w:pPr>
              <w:pStyle w:val="NoSpacing"/>
            </w:pPr>
            <w:r w:rsidRPr="009C778C">
              <w:t>− 0.231***</w:t>
            </w:r>
          </w:p>
        </w:tc>
        <w:tc>
          <w:tcPr>
            <w:tcW w:w="1257" w:type="dxa"/>
            <w:hideMark/>
          </w:tcPr>
          <w:p w14:paraId="5FB95B5B" w14:textId="77777777" w:rsidR="009C778C" w:rsidRPr="009C778C" w:rsidRDefault="009C778C" w:rsidP="00D23818">
            <w:pPr>
              <w:pStyle w:val="NoSpacing"/>
            </w:pPr>
            <w:r w:rsidRPr="009C778C">
              <w:t>− 0.237***</w:t>
            </w:r>
          </w:p>
        </w:tc>
      </w:tr>
      <w:tr w:rsidR="00235B24" w:rsidRPr="009C778C" w14:paraId="5D4421DF" w14:textId="77777777" w:rsidTr="00043BD5">
        <w:tc>
          <w:tcPr>
            <w:tcW w:w="2965" w:type="dxa"/>
            <w:hideMark/>
          </w:tcPr>
          <w:p w14:paraId="47F667D7" w14:textId="77777777" w:rsidR="009C778C" w:rsidRPr="009C778C" w:rsidRDefault="009C778C" w:rsidP="00D23818">
            <w:pPr>
              <w:pStyle w:val="NoSpacing"/>
            </w:pPr>
          </w:p>
        </w:tc>
        <w:tc>
          <w:tcPr>
            <w:tcW w:w="1080" w:type="dxa"/>
            <w:hideMark/>
          </w:tcPr>
          <w:p w14:paraId="52FA7022" w14:textId="77777777" w:rsidR="009C778C" w:rsidRPr="009C778C" w:rsidRDefault="009C778C" w:rsidP="00D23818">
            <w:pPr>
              <w:pStyle w:val="NoSpacing"/>
            </w:pPr>
          </w:p>
        </w:tc>
        <w:tc>
          <w:tcPr>
            <w:tcW w:w="1260" w:type="dxa"/>
            <w:hideMark/>
          </w:tcPr>
          <w:p w14:paraId="6CAC97B3" w14:textId="77777777" w:rsidR="009C778C" w:rsidRPr="009C778C" w:rsidRDefault="009C778C" w:rsidP="00D23818">
            <w:pPr>
              <w:pStyle w:val="NoSpacing"/>
            </w:pPr>
            <w:r w:rsidRPr="009C778C">
              <w:t>(− 10.35)</w:t>
            </w:r>
          </w:p>
        </w:tc>
        <w:tc>
          <w:tcPr>
            <w:tcW w:w="1440" w:type="dxa"/>
            <w:hideMark/>
          </w:tcPr>
          <w:p w14:paraId="34449594" w14:textId="77777777" w:rsidR="009C778C" w:rsidRPr="009C778C" w:rsidRDefault="009C778C" w:rsidP="00D23818">
            <w:pPr>
              <w:pStyle w:val="NoSpacing"/>
            </w:pPr>
            <w:r w:rsidRPr="009C778C">
              <w:t>(− 10.37)</w:t>
            </w:r>
          </w:p>
        </w:tc>
        <w:tc>
          <w:tcPr>
            <w:tcW w:w="720" w:type="dxa"/>
            <w:hideMark/>
          </w:tcPr>
          <w:p w14:paraId="462B29CE" w14:textId="77777777" w:rsidR="009C778C" w:rsidRPr="009C778C" w:rsidRDefault="009C778C" w:rsidP="00D23818">
            <w:pPr>
              <w:pStyle w:val="NoSpacing"/>
            </w:pPr>
          </w:p>
        </w:tc>
        <w:tc>
          <w:tcPr>
            <w:tcW w:w="1350" w:type="dxa"/>
            <w:hideMark/>
          </w:tcPr>
          <w:p w14:paraId="00EF91EA" w14:textId="77777777" w:rsidR="009C778C" w:rsidRPr="009C778C" w:rsidRDefault="009C778C" w:rsidP="00D23818">
            <w:pPr>
              <w:pStyle w:val="NoSpacing"/>
            </w:pPr>
            <w:r w:rsidRPr="009C778C">
              <w:t>(− 4.68)</w:t>
            </w:r>
          </w:p>
        </w:tc>
        <w:tc>
          <w:tcPr>
            <w:tcW w:w="1257" w:type="dxa"/>
            <w:hideMark/>
          </w:tcPr>
          <w:p w14:paraId="01BD7BD4" w14:textId="77777777" w:rsidR="009C778C" w:rsidRPr="009C778C" w:rsidRDefault="009C778C" w:rsidP="00D23818">
            <w:pPr>
              <w:pStyle w:val="NoSpacing"/>
            </w:pPr>
            <w:r w:rsidRPr="009C778C">
              <w:t>(− 4.79)</w:t>
            </w:r>
          </w:p>
        </w:tc>
      </w:tr>
      <w:tr w:rsidR="00235B24" w:rsidRPr="009C778C" w14:paraId="779971B6" w14:textId="77777777" w:rsidTr="00043BD5">
        <w:tc>
          <w:tcPr>
            <w:tcW w:w="2965" w:type="dxa"/>
            <w:hideMark/>
          </w:tcPr>
          <w:p w14:paraId="19D453A6" w14:textId="77777777" w:rsidR="009C778C" w:rsidRPr="009C778C" w:rsidRDefault="009C778C" w:rsidP="00D23818">
            <w:pPr>
              <w:pStyle w:val="NoSpacing"/>
            </w:pPr>
            <w:r w:rsidRPr="009C778C">
              <w:t>MTB</w:t>
            </w:r>
            <w:r w:rsidRPr="009C778C">
              <w:rPr>
                <w:vertAlign w:val="subscript"/>
              </w:rPr>
              <w:t>t − 1</w:t>
            </w:r>
          </w:p>
        </w:tc>
        <w:tc>
          <w:tcPr>
            <w:tcW w:w="1080" w:type="dxa"/>
            <w:hideMark/>
          </w:tcPr>
          <w:p w14:paraId="0199B431" w14:textId="77777777" w:rsidR="009C778C" w:rsidRPr="009C778C" w:rsidRDefault="009C778C" w:rsidP="00D23818">
            <w:pPr>
              <w:pStyle w:val="NoSpacing"/>
            </w:pPr>
          </w:p>
        </w:tc>
        <w:tc>
          <w:tcPr>
            <w:tcW w:w="1260" w:type="dxa"/>
            <w:hideMark/>
          </w:tcPr>
          <w:p w14:paraId="00A267B7" w14:textId="77777777" w:rsidR="009C778C" w:rsidRPr="009C778C" w:rsidRDefault="009C778C" w:rsidP="00D23818">
            <w:pPr>
              <w:pStyle w:val="NoSpacing"/>
            </w:pPr>
            <w:r w:rsidRPr="009C778C">
              <w:t>− 0.009</w:t>
            </w:r>
          </w:p>
        </w:tc>
        <w:tc>
          <w:tcPr>
            <w:tcW w:w="1440" w:type="dxa"/>
            <w:hideMark/>
          </w:tcPr>
          <w:p w14:paraId="71717586" w14:textId="77777777" w:rsidR="009C778C" w:rsidRPr="009C778C" w:rsidRDefault="009C778C" w:rsidP="00D23818">
            <w:pPr>
              <w:pStyle w:val="NoSpacing"/>
            </w:pPr>
            <w:r w:rsidRPr="009C778C">
              <w:t>− 0.010</w:t>
            </w:r>
          </w:p>
        </w:tc>
        <w:tc>
          <w:tcPr>
            <w:tcW w:w="720" w:type="dxa"/>
            <w:hideMark/>
          </w:tcPr>
          <w:p w14:paraId="28B69B2A" w14:textId="77777777" w:rsidR="009C778C" w:rsidRPr="009C778C" w:rsidRDefault="009C778C" w:rsidP="00D23818">
            <w:pPr>
              <w:pStyle w:val="NoSpacing"/>
            </w:pPr>
          </w:p>
        </w:tc>
        <w:tc>
          <w:tcPr>
            <w:tcW w:w="1350" w:type="dxa"/>
            <w:hideMark/>
          </w:tcPr>
          <w:p w14:paraId="006B60C5" w14:textId="77777777" w:rsidR="009C778C" w:rsidRPr="009C778C" w:rsidRDefault="009C778C" w:rsidP="00D23818">
            <w:pPr>
              <w:pStyle w:val="NoSpacing"/>
            </w:pPr>
            <w:r w:rsidRPr="009C778C">
              <w:t>− 0.014</w:t>
            </w:r>
          </w:p>
        </w:tc>
        <w:tc>
          <w:tcPr>
            <w:tcW w:w="1257" w:type="dxa"/>
            <w:hideMark/>
          </w:tcPr>
          <w:p w14:paraId="326C161F" w14:textId="77777777" w:rsidR="009C778C" w:rsidRPr="009C778C" w:rsidRDefault="009C778C" w:rsidP="00D23818">
            <w:pPr>
              <w:pStyle w:val="NoSpacing"/>
            </w:pPr>
            <w:r w:rsidRPr="009C778C">
              <w:t>− 0.015</w:t>
            </w:r>
          </w:p>
        </w:tc>
      </w:tr>
      <w:tr w:rsidR="00235B24" w:rsidRPr="009C778C" w14:paraId="53728047" w14:textId="77777777" w:rsidTr="00043BD5">
        <w:tc>
          <w:tcPr>
            <w:tcW w:w="2965" w:type="dxa"/>
            <w:hideMark/>
          </w:tcPr>
          <w:p w14:paraId="54AC3F46" w14:textId="77777777" w:rsidR="009C778C" w:rsidRPr="009C778C" w:rsidRDefault="009C778C" w:rsidP="00D23818">
            <w:pPr>
              <w:pStyle w:val="NoSpacing"/>
            </w:pPr>
          </w:p>
        </w:tc>
        <w:tc>
          <w:tcPr>
            <w:tcW w:w="1080" w:type="dxa"/>
            <w:hideMark/>
          </w:tcPr>
          <w:p w14:paraId="6F045517" w14:textId="77777777" w:rsidR="009C778C" w:rsidRPr="009C778C" w:rsidRDefault="009C778C" w:rsidP="00D23818">
            <w:pPr>
              <w:pStyle w:val="NoSpacing"/>
            </w:pPr>
          </w:p>
        </w:tc>
        <w:tc>
          <w:tcPr>
            <w:tcW w:w="1260" w:type="dxa"/>
            <w:hideMark/>
          </w:tcPr>
          <w:p w14:paraId="14414C71" w14:textId="77777777" w:rsidR="009C778C" w:rsidRPr="009C778C" w:rsidRDefault="009C778C" w:rsidP="00D23818">
            <w:pPr>
              <w:pStyle w:val="NoSpacing"/>
            </w:pPr>
            <w:r w:rsidRPr="009C778C">
              <w:t>(− 0.57)</w:t>
            </w:r>
          </w:p>
        </w:tc>
        <w:tc>
          <w:tcPr>
            <w:tcW w:w="1440" w:type="dxa"/>
            <w:hideMark/>
          </w:tcPr>
          <w:p w14:paraId="281E52E9" w14:textId="77777777" w:rsidR="009C778C" w:rsidRPr="009C778C" w:rsidRDefault="009C778C" w:rsidP="00D23818">
            <w:pPr>
              <w:pStyle w:val="NoSpacing"/>
            </w:pPr>
            <w:r w:rsidRPr="009C778C">
              <w:t>(− 0.63)</w:t>
            </w:r>
          </w:p>
        </w:tc>
        <w:tc>
          <w:tcPr>
            <w:tcW w:w="720" w:type="dxa"/>
            <w:hideMark/>
          </w:tcPr>
          <w:p w14:paraId="2E5F6F8A" w14:textId="77777777" w:rsidR="009C778C" w:rsidRPr="009C778C" w:rsidRDefault="009C778C" w:rsidP="00D23818">
            <w:pPr>
              <w:pStyle w:val="NoSpacing"/>
            </w:pPr>
          </w:p>
        </w:tc>
        <w:tc>
          <w:tcPr>
            <w:tcW w:w="1350" w:type="dxa"/>
            <w:hideMark/>
          </w:tcPr>
          <w:p w14:paraId="1E46D222" w14:textId="77777777" w:rsidR="009C778C" w:rsidRPr="009C778C" w:rsidRDefault="009C778C" w:rsidP="00D23818">
            <w:pPr>
              <w:pStyle w:val="NoSpacing"/>
            </w:pPr>
            <w:r w:rsidRPr="009C778C">
              <w:t>(− 1.19)</w:t>
            </w:r>
          </w:p>
        </w:tc>
        <w:tc>
          <w:tcPr>
            <w:tcW w:w="1257" w:type="dxa"/>
            <w:hideMark/>
          </w:tcPr>
          <w:p w14:paraId="1DF82364" w14:textId="77777777" w:rsidR="009C778C" w:rsidRPr="009C778C" w:rsidRDefault="009C778C" w:rsidP="00D23818">
            <w:pPr>
              <w:pStyle w:val="NoSpacing"/>
            </w:pPr>
            <w:r w:rsidRPr="009C778C">
              <w:t>(− 1.23)</w:t>
            </w:r>
          </w:p>
        </w:tc>
      </w:tr>
      <w:tr w:rsidR="00235B24" w:rsidRPr="009C778C" w14:paraId="7ABD4F1C" w14:textId="77777777" w:rsidTr="00043BD5">
        <w:tc>
          <w:tcPr>
            <w:tcW w:w="2965" w:type="dxa"/>
            <w:hideMark/>
          </w:tcPr>
          <w:p w14:paraId="6AB01289" w14:textId="77777777" w:rsidR="009C778C" w:rsidRPr="009C778C" w:rsidRDefault="009C778C" w:rsidP="00D23818">
            <w:pPr>
              <w:pStyle w:val="NoSpacing"/>
            </w:pPr>
            <w:r w:rsidRPr="009C778C">
              <w:t>SALEGROWTH</w:t>
            </w:r>
            <w:r w:rsidRPr="009C778C">
              <w:rPr>
                <w:vertAlign w:val="subscript"/>
              </w:rPr>
              <w:t>t − 1</w:t>
            </w:r>
          </w:p>
        </w:tc>
        <w:tc>
          <w:tcPr>
            <w:tcW w:w="1080" w:type="dxa"/>
            <w:hideMark/>
          </w:tcPr>
          <w:p w14:paraId="7FC3FD70" w14:textId="77777777" w:rsidR="009C778C" w:rsidRPr="009C778C" w:rsidRDefault="009C778C" w:rsidP="00D23818">
            <w:pPr>
              <w:pStyle w:val="NoSpacing"/>
            </w:pPr>
          </w:p>
        </w:tc>
        <w:tc>
          <w:tcPr>
            <w:tcW w:w="1260" w:type="dxa"/>
            <w:hideMark/>
          </w:tcPr>
          <w:p w14:paraId="1CDEB291" w14:textId="77777777" w:rsidR="009C778C" w:rsidRPr="009C778C" w:rsidRDefault="009C778C" w:rsidP="00D23818">
            <w:pPr>
              <w:pStyle w:val="NoSpacing"/>
            </w:pPr>
            <w:r w:rsidRPr="009C778C">
              <w:t>0.013</w:t>
            </w:r>
          </w:p>
        </w:tc>
        <w:tc>
          <w:tcPr>
            <w:tcW w:w="1440" w:type="dxa"/>
            <w:hideMark/>
          </w:tcPr>
          <w:p w14:paraId="26752857" w14:textId="77777777" w:rsidR="009C778C" w:rsidRPr="009C778C" w:rsidRDefault="009C778C" w:rsidP="00D23818">
            <w:pPr>
              <w:pStyle w:val="NoSpacing"/>
            </w:pPr>
            <w:r w:rsidRPr="009C778C">
              <w:t>0.013</w:t>
            </w:r>
          </w:p>
        </w:tc>
        <w:tc>
          <w:tcPr>
            <w:tcW w:w="720" w:type="dxa"/>
            <w:hideMark/>
          </w:tcPr>
          <w:p w14:paraId="779945E7" w14:textId="77777777" w:rsidR="009C778C" w:rsidRPr="009C778C" w:rsidRDefault="009C778C" w:rsidP="00D23818">
            <w:pPr>
              <w:pStyle w:val="NoSpacing"/>
            </w:pPr>
          </w:p>
        </w:tc>
        <w:tc>
          <w:tcPr>
            <w:tcW w:w="1350" w:type="dxa"/>
            <w:hideMark/>
          </w:tcPr>
          <w:p w14:paraId="4E1BA6E1" w14:textId="77777777" w:rsidR="009C778C" w:rsidRPr="009C778C" w:rsidRDefault="009C778C" w:rsidP="00D23818">
            <w:pPr>
              <w:pStyle w:val="NoSpacing"/>
            </w:pPr>
            <w:r w:rsidRPr="009C778C">
              <w:t>0.097***</w:t>
            </w:r>
          </w:p>
        </w:tc>
        <w:tc>
          <w:tcPr>
            <w:tcW w:w="1257" w:type="dxa"/>
            <w:hideMark/>
          </w:tcPr>
          <w:p w14:paraId="15DDD83D" w14:textId="77777777" w:rsidR="009C778C" w:rsidRPr="009C778C" w:rsidRDefault="009C778C" w:rsidP="00D23818">
            <w:pPr>
              <w:pStyle w:val="NoSpacing"/>
            </w:pPr>
            <w:r w:rsidRPr="009C778C">
              <w:t>0.097***</w:t>
            </w:r>
          </w:p>
        </w:tc>
      </w:tr>
      <w:tr w:rsidR="00235B24" w:rsidRPr="009C778C" w14:paraId="1780D982" w14:textId="77777777" w:rsidTr="00043BD5">
        <w:tc>
          <w:tcPr>
            <w:tcW w:w="2965" w:type="dxa"/>
            <w:hideMark/>
          </w:tcPr>
          <w:p w14:paraId="4B90D2CB" w14:textId="77777777" w:rsidR="009C778C" w:rsidRPr="009C778C" w:rsidRDefault="009C778C" w:rsidP="00D23818">
            <w:pPr>
              <w:pStyle w:val="NoSpacing"/>
            </w:pPr>
          </w:p>
        </w:tc>
        <w:tc>
          <w:tcPr>
            <w:tcW w:w="1080" w:type="dxa"/>
            <w:hideMark/>
          </w:tcPr>
          <w:p w14:paraId="0DF385B3" w14:textId="77777777" w:rsidR="009C778C" w:rsidRPr="009C778C" w:rsidRDefault="009C778C" w:rsidP="00D23818">
            <w:pPr>
              <w:pStyle w:val="NoSpacing"/>
            </w:pPr>
          </w:p>
        </w:tc>
        <w:tc>
          <w:tcPr>
            <w:tcW w:w="1260" w:type="dxa"/>
            <w:hideMark/>
          </w:tcPr>
          <w:p w14:paraId="525CD03C" w14:textId="77777777" w:rsidR="009C778C" w:rsidRPr="009C778C" w:rsidRDefault="009C778C" w:rsidP="00D23818">
            <w:pPr>
              <w:pStyle w:val="NoSpacing"/>
            </w:pPr>
            <w:r w:rsidRPr="009C778C">
              <w:t>(0.77)</w:t>
            </w:r>
          </w:p>
        </w:tc>
        <w:tc>
          <w:tcPr>
            <w:tcW w:w="1440" w:type="dxa"/>
            <w:hideMark/>
          </w:tcPr>
          <w:p w14:paraId="4DAD6E14" w14:textId="77777777" w:rsidR="009C778C" w:rsidRPr="009C778C" w:rsidRDefault="009C778C" w:rsidP="00D23818">
            <w:pPr>
              <w:pStyle w:val="NoSpacing"/>
            </w:pPr>
            <w:r w:rsidRPr="009C778C">
              <w:t>(0.78)</w:t>
            </w:r>
          </w:p>
        </w:tc>
        <w:tc>
          <w:tcPr>
            <w:tcW w:w="720" w:type="dxa"/>
            <w:hideMark/>
          </w:tcPr>
          <w:p w14:paraId="1164DEC5" w14:textId="77777777" w:rsidR="009C778C" w:rsidRPr="009C778C" w:rsidRDefault="009C778C" w:rsidP="00D23818">
            <w:pPr>
              <w:pStyle w:val="NoSpacing"/>
            </w:pPr>
          </w:p>
        </w:tc>
        <w:tc>
          <w:tcPr>
            <w:tcW w:w="1350" w:type="dxa"/>
            <w:hideMark/>
          </w:tcPr>
          <w:p w14:paraId="65C2D573" w14:textId="77777777" w:rsidR="009C778C" w:rsidRPr="009C778C" w:rsidRDefault="009C778C" w:rsidP="00D23818">
            <w:pPr>
              <w:pStyle w:val="NoSpacing"/>
            </w:pPr>
            <w:r w:rsidRPr="009C778C">
              <w:t>(4.47)</w:t>
            </w:r>
          </w:p>
        </w:tc>
        <w:tc>
          <w:tcPr>
            <w:tcW w:w="1257" w:type="dxa"/>
            <w:hideMark/>
          </w:tcPr>
          <w:p w14:paraId="7E838B38" w14:textId="77777777" w:rsidR="009C778C" w:rsidRPr="009C778C" w:rsidRDefault="009C778C" w:rsidP="00D23818">
            <w:pPr>
              <w:pStyle w:val="NoSpacing"/>
            </w:pPr>
            <w:r w:rsidRPr="009C778C">
              <w:t>(4.45)</w:t>
            </w:r>
          </w:p>
        </w:tc>
      </w:tr>
      <w:tr w:rsidR="00235B24" w:rsidRPr="009C778C" w14:paraId="1033637D" w14:textId="77777777" w:rsidTr="00043BD5">
        <w:tc>
          <w:tcPr>
            <w:tcW w:w="2965" w:type="dxa"/>
            <w:hideMark/>
          </w:tcPr>
          <w:p w14:paraId="452514F0" w14:textId="77777777" w:rsidR="009C15D5" w:rsidRPr="009C778C" w:rsidRDefault="009C15D5" w:rsidP="00D23818">
            <w:pPr>
              <w:pStyle w:val="NoSpacing"/>
            </w:pPr>
            <w:r w:rsidRPr="009C778C">
              <w:t>LEV</w:t>
            </w:r>
            <w:r w:rsidRPr="009C778C">
              <w:rPr>
                <w:vertAlign w:val="subscript"/>
              </w:rPr>
              <w:t>t − 1</w:t>
            </w:r>
          </w:p>
        </w:tc>
        <w:tc>
          <w:tcPr>
            <w:tcW w:w="1080" w:type="dxa"/>
            <w:hideMark/>
          </w:tcPr>
          <w:p w14:paraId="3AA10451" w14:textId="77777777" w:rsidR="009C15D5" w:rsidRPr="009C778C" w:rsidRDefault="009C15D5" w:rsidP="00D23818">
            <w:pPr>
              <w:pStyle w:val="NoSpacing"/>
            </w:pPr>
          </w:p>
        </w:tc>
        <w:tc>
          <w:tcPr>
            <w:tcW w:w="1260" w:type="dxa"/>
            <w:hideMark/>
          </w:tcPr>
          <w:p w14:paraId="4E2F7C0E" w14:textId="77777777" w:rsidR="009C15D5" w:rsidRPr="009C778C" w:rsidRDefault="009C15D5" w:rsidP="00D23818">
            <w:pPr>
              <w:pStyle w:val="NoSpacing"/>
            </w:pPr>
            <w:r w:rsidRPr="009C778C">
              <w:t>0.153***</w:t>
            </w:r>
          </w:p>
        </w:tc>
        <w:tc>
          <w:tcPr>
            <w:tcW w:w="1440" w:type="dxa"/>
            <w:hideMark/>
          </w:tcPr>
          <w:p w14:paraId="0EB6FCC1" w14:textId="77777777" w:rsidR="009C15D5" w:rsidRPr="009C778C" w:rsidRDefault="009C15D5" w:rsidP="00D23818">
            <w:pPr>
              <w:pStyle w:val="NoSpacing"/>
            </w:pPr>
            <w:r w:rsidRPr="009C778C">
              <w:t>0.152***</w:t>
            </w:r>
          </w:p>
        </w:tc>
        <w:tc>
          <w:tcPr>
            <w:tcW w:w="720" w:type="dxa"/>
            <w:hideMark/>
          </w:tcPr>
          <w:p w14:paraId="1D0B3F86" w14:textId="77777777" w:rsidR="009C15D5" w:rsidRPr="009C778C" w:rsidRDefault="009C15D5" w:rsidP="00D23818">
            <w:pPr>
              <w:pStyle w:val="NoSpacing"/>
            </w:pPr>
          </w:p>
        </w:tc>
        <w:tc>
          <w:tcPr>
            <w:tcW w:w="1350" w:type="dxa"/>
            <w:hideMark/>
          </w:tcPr>
          <w:p w14:paraId="5390AF20" w14:textId="77777777" w:rsidR="009C15D5" w:rsidRPr="009C778C" w:rsidRDefault="009C15D5" w:rsidP="00D23818">
            <w:pPr>
              <w:pStyle w:val="NoSpacing"/>
            </w:pPr>
            <w:r w:rsidRPr="009C778C">
              <w:t>0.158***</w:t>
            </w:r>
          </w:p>
        </w:tc>
        <w:tc>
          <w:tcPr>
            <w:tcW w:w="1257" w:type="dxa"/>
            <w:hideMark/>
          </w:tcPr>
          <w:p w14:paraId="709B4859" w14:textId="77777777" w:rsidR="009C15D5" w:rsidRPr="009C778C" w:rsidRDefault="009C15D5" w:rsidP="00D23818">
            <w:pPr>
              <w:pStyle w:val="NoSpacing"/>
            </w:pPr>
            <w:r w:rsidRPr="009C778C">
              <w:t>0.154***</w:t>
            </w:r>
          </w:p>
        </w:tc>
      </w:tr>
      <w:tr w:rsidR="00235B24" w:rsidRPr="009C778C" w14:paraId="60F6FD28" w14:textId="77777777" w:rsidTr="00043BD5">
        <w:tc>
          <w:tcPr>
            <w:tcW w:w="2965" w:type="dxa"/>
            <w:hideMark/>
          </w:tcPr>
          <w:p w14:paraId="1E7C6E48" w14:textId="77777777" w:rsidR="009C15D5" w:rsidRPr="009C778C" w:rsidRDefault="009C15D5" w:rsidP="00D23818">
            <w:pPr>
              <w:pStyle w:val="NoSpacing"/>
            </w:pPr>
          </w:p>
        </w:tc>
        <w:tc>
          <w:tcPr>
            <w:tcW w:w="1080" w:type="dxa"/>
            <w:hideMark/>
          </w:tcPr>
          <w:p w14:paraId="269F78A7" w14:textId="77777777" w:rsidR="009C15D5" w:rsidRPr="009C778C" w:rsidRDefault="009C15D5" w:rsidP="00D23818">
            <w:pPr>
              <w:pStyle w:val="NoSpacing"/>
            </w:pPr>
          </w:p>
        </w:tc>
        <w:tc>
          <w:tcPr>
            <w:tcW w:w="1260" w:type="dxa"/>
            <w:hideMark/>
          </w:tcPr>
          <w:p w14:paraId="4EE476DC" w14:textId="77777777" w:rsidR="009C15D5" w:rsidRPr="009C778C" w:rsidRDefault="009C15D5" w:rsidP="00D23818">
            <w:pPr>
              <w:pStyle w:val="NoSpacing"/>
            </w:pPr>
            <w:r w:rsidRPr="009C778C">
              <w:t>(3.54)</w:t>
            </w:r>
          </w:p>
        </w:tc>
        <w:tc>
          <w:tcPr>
            <w:tcW w:w="1440" w:type="dxa"/>
            <w:hideMark/>
          </w:tcPr>
          <w:p w14:paraId="2DB0A7BF" w14:textId="77777777" w:rsidR="009C15D5" w:rsidRPr="009C778C" w:rsidRDefault="009C15D5" w:rsidP="00D23818">
            <w:pPr>
              <w:pStyle w:val="NoSpacing"/>
            </w:pPr>
            <w:r w:rsidRPr="009C778C">
              <w:t>(3.51)</w:t>
            </w:r>
          </w:p>
        </w:tc>
        <w:tc>
          <w:tcPr>
            <w:tcW w:w="720" w:type="dxa"/>
            <w:hideMark/>
          </w:tcPr>
          <w:p w14:paraId="6D200B59" w14:textId="77777777" w:rsidR="009C15D5" w:rsidRPr="009C778C" w:rsidRDefault="009C15D5" w:rsidP="00D23818">
            <w:pPr>
              <w:pStyle w:val="NoSpacing"/>
            </w:pPr>
          </w:p>
        </w:tc>
        <w:tc>
          <w:tcPr>
            <w:tcW w:w="1350" w:type="dxa"/>
            <w:hideMark/>
          </w:tcPr>
          <w:p w14:paraId="016041AF" w14:textId="77777777" w:rsidR="009C15D5" w:rsidRPr="009C778C" w:rsidRDefault="009C15D5" w:rsidP="00D23818">
            <w:pPr>
              <w:pStyle w:val="NoSpacing"/>
            </w:pPr>
            <w:r w:rsidRPr="009C778C">
              <w:t>(3.60)</w:t>
            </w:r>
          </w:p>
        </w:tc>
        <w:tc>
          <w:tcPr>
            <w:tcW w:w="1257" w:type="dxa"/>
            <w:hideMark/>
          </w:tcPr>
          <w:p w14:paraId="64C47CDC" w14:textId="77777777" w:rsidR="009C15D5" w:rsidRPr="009C778C" w:rsidRDefault="009C15D5" w:rsidP="00D23818">
            <w:pPr>
              <w:pStyle w:val="NoSpacing"/>
            </w:pPr>
            <w:r w:rsidRPr="009C778C">
              <w:t>(3.51)</w:t>
            </w:r>
          </w:p>
        </w:tc>
      </w:tr>
      <w:tr w:rsidR="00235B24" w:rsidRPr="009C778C" w14:paraId="75A55502" w14:textId="77777777" w:rsidTr="00043BD5">
        <w:tc>
          <w:tcPr>
            <w:tcW w:w="2965" w:type="dxa"/>
            <w:hideMark/>
          </w:tcPr>
          <w:p w14:paraId="7E5AC8C9" w14:textId="77777777" w:rsidR="009C778C" w:rsidRPr="009C778C" w:rsidRDefault="009C778C" w:rsidP="00D23818">
            <w:pPr>
              <w:pStyle w:val="NoSpacing"/>
            </w:pPr>
            <w:r w:rsidRPr="009C778C">
              <w:t>STDSALE</w:t>
            </w:r>
            <w:r w:rsidRPr="009C778C">
              <w:rPr>
                <w:vertAlign w:val="subscript"/>
              </w:rPr>
              <w:t>t − 1</w:t>
            </w:r>
          </w:p>
        </w:tc>
        <w:tc>
          <w:tcPr>
            <w:tcW w:w="1080" w:type="dxa"/>
            <w:hideMark/>
          </w:tcPr>
          <w:p w14:paraId="7BD5BE61" w14:textId="77777777" w:rsidR="009C778C" w:rsidRPr="009C778C" w:rsidRDefault="009C778C" w:rsidP="00D23818">
            <w:pPr>
              <w:pStyle w:val="NoSpacing"/>
            </w:pPr>
          </w:p>
        </w:tc>
        <w:tc>
          <w:tcPr>
            <w:tcW w:w="1260" w:type="dxa"/>
            <w:hideMark/>
          </w:tcPr>
          <w:p w14:paraId="51F576B7" w14:textId="77777777" w:rsidR="009C778C" w:rsidRPr="009C778C" w:rsidRDefault="009C778C" w:rsidP="00D23818">
            <w:pPr>
              <w:pStyle w:val="NoSpacing"/>
            </w:pPr>
            <w:r w:rsidRPr="009C778C">
              <w:t>0.374***</w:t>
            </w:r>
          </w:p>
        </w:tc>
        <w:tc>
          <w:tcPr>
            <w:tcW w:w="1440" w:type="dxa"/>
            <w:hideMark/>
          </w:tcPr>
          <w:p w14:paraId="50D81E79" w14:textId="77777777" w:rsidR="009C778C" w:rsidRPr="009C778C" w:rsidRDefault="009C778C" w:rsidP="00D23818">
            <w:pPr>
              <w:pStyle w:val="NoSpacing"/>
            </w:pPr>
            <w:r w:rsidRPr="009C778C">
              <w:t>0.373***</w:t>
            </w:r>
          </w:p>
        </w:tc>
        <w:tc>
          <w:tcPr>
            <w:tcW w:w="720" w:type="dxa"/>
            <w:hideMark/>
          </w:tcPr>
          <w:p w14:paraId="0E15F98D" w14:textId="77777777" w:rsidR="009C778C" w:rsidRPr="009C778C" w:rsidRDefault="009C778C" w:rsidP="00D23818">
            <w:pPr>
              <w:pStyle w:val="NoSpacing"/>
            </w:pPr>
          </w:p>
        </w:tc>
        <w:tc>
          <w:tcPr>
            <w:tcW w:w="1350" w:type="dxa"/>
            <w:hideMark/>
          </w:tcPr>
          <w:p w14:paraId="7C1357C8" w14:textId="77777777" w:rsidR="009C778C" w:rsidRPr="009C778C" w:rsidRDefault="009C778C" w:rsidP="00D23818">
            <w:pPr>
              <w:pStyle w:val="NoSpacing"/>
            </w:pPr>
            <w:r w:rsidRPr="009C778C">
              <w:t>0.402***</w:t>
            </w:r>
          </w:p>
        </w:tc>
        <w:tc>
          <w:tcPr>
            <w:tcW w:w="1257" w:type="dxa"/>
            <w:hideMark/>
          </w:tcPr>
          <w:p w14:paraId="0D1B9164" w14:textId="77777777" w:rsidR="009C778C" w:rsidRPr="009C778C" w:rsidRDefault="009C778C" w:rsidP="00D23818">
            <w:pPr>
              <w:pStyle w:val="NoSpacing"/>
            </w:pPr>
            <w:r w:rsidRPr="009C778C">
              <w:t>0.401***</w:t>
            </w:r>
          </w:p>
        </w:tc>
      </w:tr>
      <w:tr w:rsidR="00235B24" w:rsidRPr="009C778C" w14:paraId="37621777" w14:textId="77777777" w:rsidTr="00043BD5">
        <w:tc>
          <w:tcPr>
            <w:tcW w:w="2965" w:type="dxa"/>
            <w:hideMark/>
          </w:tcPr>
          <w:p w14:paraId="62BB29F5" w14:textId="77777777" w:rsidR="009C778C" w:rsidRPr="009C778C" w:rsidRDefault="009C778C" w:rsidP="00D23818">
            <w:pPr>
              <w:pStyle w:val="NoSpacing"/>
            </w:pPr>
          </w:p>
        </w:tc>
        <w:tc>
          <w:tcPr>
            <w:tcW w:w="1080" w:type="dxa"/>
            <w:hideMark/>
          </w:tcPr>
          <w:p w14:paraId="41457C23" w14:textId="77777777" w:rsidR="009C778C" w:rsidRPr="009C778C" w:rsidRDefault="009C778C" w:rsidP="00D23818">
            <w:pPr>
              <w:pStyle w:val="NoSpacing"/>
            </w:pPr>
          </w:p>
        </w:tc>
        <w:tc>
          <w:tcPr>
            <w:tcW w:w="1260" w:type="dxa"/>
            <w:hideMark/>
          </w:tcPr>
          <w:p w14:paraId="21B82648" w14:textId="77777777" w:rsidR="009C778C" w:rsidRPr="009C778C" w:rsidRDefault="009C778C" w:rsidP="00D23818">
            <w:pPr>
              <w:pStyle w:val="NoSpacing"/>
            </w:pPr>
            <w:r w:rsidRPr="009C778C">
              <w:t>(9.60)</w:t>
            </w:r>
          </w:p>
        </w:tc>
        <w:tc>
          <w:tcPr>
            <w:tcW w:w="1440" w:type="dxa"/>
            <w:hideMark/>
          </w:tcPr>
          <w:p w14:paraId="30A14A49" w14:textId="77777777" w:rsidR="009C778C" w:rsidRPr="009C778C" w:rsidRDefault="009C778C" w:rsidP="00D23818">
            <w:pPr>
              <w:pStyle w:val="NoSpacing"/>
            </w:pPr>
            <w:r w:rsidRPr="009C778C">
              <w:t>(9.54)</w:t>
            </w:r>
          </w:p>
        </w:tc>
        <w:tc>
          <w:tcPr>
            <w:tcW w:w="720" w:type="dxa"/>
            <w:hideMark/>
          </w:tcPr>
          <w:p w14:paraId="36AB99DA" w14:textId="77777777" w:rsidR="009C778C" w:rsidRPr="009C778C" w:rsidRDefault="009C778C" w:rsidP="00D23818">
            <w:pPr>
              <w:pStyle w:val="NoSpacing"/>
            </w:pPr>
          </w:p>
        </w:tc>
        <w:tc>
          <w:tcPr>
            <w:tcW w:w="1350" w:type="dxa"/>
            <w:hideMark/>
          </w:tcPr>
          <w:p w14:paraId="703A1709" w14:textId="77777777" w:rsidR="009C778C" w:rsidRPr="009C778C" w:rsidRDefault="009C778C" w:rsidP="00D23818">
            <w:pPr>
              <w:pStyle w:val="NoSpacing"/>
            </w:pPr>
            <w:r w:rsidRPr="009C778C">
              <w:t>(9.20)</w:t>
            </w:r>
          </w:p>
        </w:tc>
        <w:tc>
          <w:tcPr>
            <w:tcW w:w="1257" w:type="dxa"/>
            <w:hideMark/>
          </w:tcPr>
          <w:p w14:paraId="7F92A21C" w14:textId="77777777" w:rsidR="009C778C" w:rsidRPr="009C778C" w:rsidRDefault="009C778C" w:rsidP="00D23818">
            <w:pPr>
              <w:pStyle w:val="NoSpacing"/>
            </w:pPr>
            <w:r w:rsidRPr="009C778C">
              <w:t>(9.17)</w:t>
            </w:r>
          </w:p>
        </w:tc>
      </w:tr>
      <w:tr w:rsidR="00235B24" w:rsidRPr="009C778C" w14:paraId="4B4A13CD" w14:textId="77777777" w:rsidTr="00043BD5">
        <w:tc>
          <w:tcPr>
            <w:tcW w:w="2965" w:type="dxa"/>
            <w:hideMark/>
          </w:tcPr>
          <w:p w14:paraId="492AFD7B" w14:textId="77777777" w:rsidR="009C778C" w:rsidRPr="009C778C" w:rsidRDefault="009C778C" w:rsidP="00D23818">
            <w:pPr>
              <w:pStyle w:val="NoSpacing"/>
            </w:pPr>
            <w:r w:rsidRPr="009C778C">
              <w:t>CAPITAL_INTENSITY</w:t>
            </w:r>
            <w:r w:rsidRPr="009C778C">
              <w:rPr>
                <w:vertAlign w:val="subscript"/>
              </w:rPr>
              <w:t>t − 1</w:t>
            </w:r>
          </w:p>
        </w:tc>
        <w:tc>
          <w:tcPr>
            <w:tcW w:w="1080" w:type="dxa"/>
            <w:hideMark/>
          </w:tcPr>
          <w:p w14:paraId="114B3BF1" w14:textId="77777777" w:rsidR="009C778C" w:rsidRPr="009C778C" w:rsidRDefault="009C778C" w:rsidP="00D23818">
            <w:pPr>
              <w:pStyle w:val="NoSpacing"/>
            </w:pPr>
          </w:p>
        </w:tc>
        <w:tc>
          <w:tcPr>
            <w:tcW w:w="1260" w:type="dxa"/>
            <w:hideMark/>
          </w:tcPr>
          <w:p w14:paraId="0E474161" w14:textId="77777777" w:rsidR="009C778C" w:rsidRPr="009C778C" w:rsidRDefault="009C778C" w:rsidP="00D23818">
            <w:pPr>
              <w:pStyle w:val="NoSpacing"/>
            </w:pPr>
            <w:r w:rsidRPr="009C778C">
              <w:t>− 0.142***</w:t>
            </w:r>
          </w:p>
        </w:tc>
        <w:tc>
          <w:tcPr>
            <w:tcW w:w="1440" w:type="dxa"/>
            <w:hideMark/>
          </w:tcPr>
          <w:p w14:paraId="5EA3DBE3" w14:textId="77777777" w:rsidR="009C778C" w:rsidRPr="009C778C" w:rsidRDefault="009C778C" w:rsidP="00D23818">
            <w:pPr>
              <w:pStyle w:val="NoSpacing"/>
            </w:pPr>
            <w:r w:rsidRPr="009C778C">
              <w:t>− 0.141***</w:t>
            </w:r>
          </w:p>
        </w:tc>
        <w:tc>
          <w:tcPr>
            <w:tcW w:w="720" w:type="dxa"/>
            <w:hideMark/>
          </w:tcPr>
          <w:p w14:paraId="4F376F67" w14:textId="77777777" w:rsidR="009C778C" w:rsidRPr="009C778C" w:rsidRDefault="009C778C" w:rsidP="00D23818">
            <w:pPr>
              <w:pStyle w:val="NoSpacing"/>
            </w:pPr>
          </w:p>
        </w:tc>
        <w:tc>
          <w:tcPr>
            <w:tcW w:w="1350" w:type="dxa"/>
            <w:hideMark/>
          </w:tcPr>
          <w:p w14:paraId="1CB99764" w14:textId="77777777" w:rsidR="009C778C" w:rsidRPr="009C778C" w:rsidRDefault="009C778C" w:rsidP="00D23818">
            <w:pPr>
              <w:pStyle w:val="NoSpacing"/>
            </w:pPr>
            <w:r w:rsidRPr="009C778C">
              <w:t>− 0.105***</w:t>
            </w:r>
          </w:p>
        </w:tc>
        <w:tc>
          <w:tcPr>
            <w:tcW w:w="1257" w:type="dxa"/>
            <w:hideMark/>
          </w:tcPr>
          <w:p w14:paraId="16F18A0F" w14:textId="77777777" w:rsidR="009C778C" w:rsidRPr="009C778C" w:rsidRDefault="009C778C" w:rsidP="00D23818">
            <w:pPr>
              <w:pStyle w:val="NoSpacing"/>
            </w:pPr>
            <w:r w:rsidRPr="009C778C">
              <w:t>− 0.104***</w:t>
            </w:r>
          </w:p>
        </w:tc>
      </w:tr>
      <w:tr w:rsidR="00235B24" w:rsidRPr="009C778C" w14:paraId="6CADAB8F" w14:textId="77777777" w:rsidTr="00043BD5">
        <w:tc>
          <w:tcPr>
            <w:tcW w:w="2965" w:type="dxa"/>
            <w:hideMark/>
          </w:tcPr>
          <w:p w14:paraId="73E67BB5" w14:textId="77777777" w:rsidR="009C778C" w:rsidRPr="009C778C" w:rsidRDefault="009C778C" w:rsidP="00D23818">
            <w:pPr>
              <w:pStyle w:val="NoSpacing"/>
            </w:pPr>
          </w:p>
        </w:tc>
        <w:tc>
          <w:tcPr>
            <w:tcW w:w="1080" w:type="dxa"/>
            <w:hideMark/>
          </w:tcPr>
          <w:p w14:paraId="6C24BF98" w14:textId="77777777" w:rsidR="009C778C" w:rsidRPr="009C778C" w:rsidRDefault="009C778C" w:rsidP="00D23818">
            <w:pPr>
              <w:pStyle w:val="NoSpacing"/>
            </w:pPr>
          </w:p>
        </w:tc>
        <w:tc>
          <w:tcPr>
            <w:tcW w:w="1260" w:type="dxa"/>
            <w:hideMark/>
          </w:tcPr>
          <w:p w14:paraId="58D71956" w14:textId="77777777" w:rsidR="009C778C" w:rsidRPr="009C778C" w:rsidRDefault="009C778C" w:rsidP="00D23818">
            <w:pPr>
              <w:pStyle w:val="NoSpacing"/>
            </w:pPr>
            <w:r w:rsidRPr="009C778C">
              <w:t>(− 7.52)</w:t>
            </w:r>
          </w:p>
        </w:tc>
        <w:tc>
          <w:tcPr>
            <w:tcW w:w="1440" w:type="dxa"/>
            <w:hideMark/>
          </w:tcPr>
          <w:p w14:paraId="4EF3E078" w14:textId="77777777" w:rsidR="009C778C" w:rsidRPr="009C778C" w:rsidRDefault="009C778C" w:rsidP="00D23818">
            <w:pPr>
              <w:pStyle w:val="NoSpacing"/>
            </w:pPr>
            <w:r w:rsidRPr="009C778C">
              <w:t>(− 7.49)</w:t>
            </w:r>
          </w:p>
        </w:tc>
        <w:tc>
          <w:tcPr>
            <w:tcW w:w="720" w:type="dxa"/>
            <w:hideMark/>
          </w:tcPr>
          <w:p w14:paraId="7CF72877" w14:textId="77777777" w:rsidR="009C778C" w:rsidRPr="009C778C" w:rsidRDefault="009C778C" w:rsidP="00D23818">
            <w:pPr>
              <w:pStyle w:val="NoSpacing"/>
            </w:pPr>
          </w:p>
        </w:tc>
        <w:tc>
          <w:tcPr>
            <w:tcW w:w="1350" w:type="dxa"/>
            <w:hideMark/>
          </w:tcPr>
          <w:p w14:paraId="30D86B5F" w14:textId="77777777" w:rsidR="009C778C" w:rsidRPr="009C778C" w:rsidRDefault="009C778C" w:rsidP="00D23818">
            <w:pPr>
              <w:pStyle w:val="NoSpacing"/>
            </w:pPr>
            <w:r w:rsidRPr="009C778C">
              <w:t>(− 7.04)</w:t>
            </w:r>
          </w:p>
        </w:tc>
        <w:tc>
          <w:tcPr>
            <w:tcW w:w="1257" w:type="dxa"/>
            <w:hideMark/>
          </w:tcPr>
          <w:p w14:paraId="799BE503" w14:textId="77777777" w:rsidR="009C778C" w:rsidRPr="009C778C" w:rsidRDefault="009C778C" w:rsidP="00D23818">
            <w:pPr>
              <w:pStyle w:val="NoSpacing"/>
            </w:pPr>
            <w:r w:rsidRPr="009C778C">
              <w:t>(− 6.99)</w:t>
            </w:r>
          </w:p>
        </w:tc>
      </w:tr>
      <w:tr w:rsidR="00235B24" w:rsidRPr="009C778C" w14:paraId="33393223" w14:textId="77777777" w:rsidTr="00043BD5">
        <w:tc>
          <w:tcPr>
            <w:tcW w:w="2965" w:type="dxa"/>
            <w:hideMark/>
          </w:tcPr>
          <w:p w14:paraId="5D9B765F" w14:textId="77777777" w:rsidR="009C778C" w:rsidRPr="009C778C" w:rsidRDefault="009C778C" w:rsidP="00D23818">
            <w:pPr>
              <w:pStyle w:val="NoSpacing"/>
            </w:pPr>
            <w:r w:rsidRPr="009C778C">
              <w:t>ANALYST</w:t>
            </w:r>
            <w:r w:rsidRPr="009C778C">
              <w:rPr>
                <w:vertAlign w:val="subscript"/>
              </w:rPr>
              <w:t>t − 1</w:t>
            </w:r>
          </w:p>
        </w:tc>
        <w:tc>
          <w:tcPr>
            <w:tcW w:w="1080" w:type="dxa"/>
            <w:hideMark/>
          </w:tcPr>
          <w:p w14:paraId="30190A3B" w14:textId="77777777" w:rsidR="009C778C" w:rsidRPr="009C778C" w:rsidRDefault="009C778C" w:rsidP="00D23818">
            <w:pPr>
              <w:pStyle w:val="NoSpacing"/>
            </w:pPr>
          </w:p>
        </w:tc>
        <w:tc>
          <w:tcPr>
            <w:tcW w:w="1260" w:type="dxa"/>
            <w:hideMark/>
          </w:tcPr>
          <w:p w14:paraId="4BAA4C9B" w14:textId="77777777" w:rsidR="009C778C" w:rsidRPr="009C778C" w:rsidRDefault="009C778C" w:rsidP="00D23818">
            <w:pPr>
              <w:pStyle w:val="NoSpacing"/>
            </w:pPr>
            <w:r w:rsidRPr="009C778C">
              <w:t>− 0.004</w:t>
            </w:r>
          </w:p>
        </w:tc>
        <w:tc>
          <w:tcPr>
            <w:tcW w:w="1440" w:type="dxa"/>
            <w:hideMark/>
          </w:tcPr>
          <w:p w14:paraId="5F49A19C" w14:textId="77777777" w:rsidR="009C778C" w:rsidRPr="009C778C" w:rsidRDefault="009C778C" w:rsidP="00D23818">
            <w:pPr>
              <w:pStyle w:val="NoSpacing"/>
            </w:pPr>
            <w:r w:rsidRPr="009C778C">
              <w:t>− 0.004</w:t>
            </w:r>
          </w:p>
        </w:tc>
        <w:tc>
          <w:tcPr>
            <w:tcW w:w="720" w:type="dxa"/>
            <w:hideMark/>
          </w:tcPr>
          <w:p w14:paraId="26C9CC91" w14:textId="77777777" w:rsidR="009C778C" w:rsidRPr="009C778C" w:rsidRDefault="009C778C" w:rsidP="00D23818">
            <w:pPr>
              <w:pStyle w:val="NoSpacing"/>
            </w:pPr>
          </w:p>
        </w:tc>
        <w:tc>
          <w:tcPr>
            <w:tcW w:w="1350" w:type="dxa"/>
            <w:hideMark/>
          </w:tcPr>
          <w:p w14:paraId="26B9A9EC" w14:textId="77777777" w:rsidR="009C778C" w:rsidRPr="009C778C" w:rsidRDefault="009C778C" w:rsidP="00D23818">
            <w:pPr>
              <w:pStyle w:val="NoSpacing"/>
            </w:pPr>
            <w:r w:rsidRPr="009C778C">
              <w:t>− 0.006</w:t>
            </w:r>
          </w:p>
        </w:tc>
        <w:tc>
          <w:tcPr>
            <w:tcW w:w="1257" w:type="dxa"/>
            <w:hideMark/>
          </w:tcPr>
          <w:p w14:paraId="3BB89502" w14:textId="77777777" w:rsidR="009C778C" w:rsidRPr="009C778C" w:rsidRDefault="009C778C" w:rsidP="00D23818">
            <w:pPr>
              <w:pStyle w:val="NoSpacing"/>
            </w:pPr>
            <w:r w:rsidRPr="009C778C">
              <w:t>− 0.006</w:t>
            </w:r>
          </w:p>
        </w:tc>
      </w:tr>
      <w:tr w:rsidR="00235B24" w:rsidRPr="009C778C" w14:paraId="32164462" w14:textId="77777777" w:rsidTr="00043BD5">
        <w:tc>
          <w:tcPr>
            <w:tcW w:w="2965" w:type="dxa"/>
            <w:hideMark/>
          </w:tcPr>
          <w:p w14:paraId="34453C56" w14:textId="77777777" w:rsidR="009C778C" w:rsidRPr="009C778C" w:rsidRDefault="009C778C" w:rsidP="00D23818">
            <w:pPr>
              <w:pStyle w:val="NoSpacing"/>
            </w:pPr>
          </w:p>
        </w:tc>
        <w:tc>
          <w:tcPr>
            <w:tcW w:w="1080" w:type="dxa"/>
            <w:hideMark/>
          </w:tcPr>
          <w:p w14:paraId="5F287DFE" w14:textId="77777777" w:rsidR="009C778C" w:rsidRPr="009C778C" w:rsidRDefault="009C778C" w:rsidP="00D23818">
            <w:pPr>
              <w:pStyle w:val="NoSpacing"/>
            </w:pPr>
          </w:p>
        </w:tc>
        <w:tc>
          <w:tcPr>
            <w:tcW w:w="1260" w:type="dxa"/>
            <w:hideMark/>
          </w:tcPr>
          <w:p w14:paraId="2F764F71" w14:textId="77777777" w:rsidR="009C778C" w:rsidRPr="009C778C" w:rsidRDefault="009C778C" w:rsidP="00D23818">
            <w:pPr>
              <w:pStyle w:val="NoSpacing"/>
            </w:pPr>
            <w:r w:rsidRPr="009C778C">
              <w:t>(− 0.64)</w:t>
            </w:r>
          </w:p>
        </w:tc>
        <w:tc>
          <w:tcPr>
            <w:tcW w:w="1440" w:type="dxa"/>
            <w:hideMark/>
          </w:tcPr>
          <w:p w14:paraId="68D2778B" w14:textId="77777777" w:rsidR="009C778C" w:rsidRPr="009C778C" w:rsidRDefault="009C778C" w:rsidP="00D23818">
            <w:pPr>
              <w:pStyle w:val="NoSpacing"/>
            </w:pPr>
            <w:r w:rsidRPr="009C778C">
              <w:t>(− 0.65)</w:t>
            </w:r>
          </w:p>
        </w:tc>
        <w:tc>
          <w:tcPr>
            <w:tcW w:w="720" w:type="dxa"/>
            <w:hideMark/>
          </w:tcPr>
          <w:p w14:paraId="6D40F300" w14:textId="77777777" w:rsidR="009C778C" w:rsidRPr="009C778C" w:rsidRDefault="009C778C" w:rsidP="00D23818">
            <w:pPr>
              <w:pStyle w:val="NoSpacing"/>
            </w:pPr>
          </w:p>
        </w:tc>
        <w:tc>
          <w:tcPr>
            <w:tcW w:w="1350" w:type="dxa"/>
            <w:hideMark/>
          </w:tcPr>
          <w:p w14:paraId="6FB7293A" w14:textId="77777777" w:rsidR="009C778C" w:rsidRPr="009C778C" w:rsidRDefault="009C778C" w:rsidP="00D23818">
            <w:pPr>
              <w:pStyle w:val="NoSpacing"/>
            </w:pPr>
            <w:r w:rsidRPr="009C778C">
              <w:t>(− 1.47)</w:t>
            </w:r>
          </w:p>
        </w:tc>
        <w:tc>
          <w:tcPr>
            <w:tcW w:w="1257" w:type="dxa"/>
            <w:hideMark/>
          </w:tcPr>
          <w:p w14:paraId="60B59B5E" w14:textId="77777777" w:rsidR="009C778C" w:rsidRPr="009C778C" w:rsidRDefault="009C778C" w:rsidP="00D23818">
            <w:pPr>
              <w:pStyle w:val="NoSpacing"/>
            </w:pPr>
            <w:r w:rsidRPr="009C778C">
              <w:t>(− 1.56)</w:t>
            </w:r>
          </w:p>
        </w:tc>
      </w:tr>
      <w:tr w:rsidR="00235B24" w:rsidRPr="009C778C" w14:paraId="72D32EA1" w14:textId="77777777" w:rsidTr="00043BD5">
        <w:tc>
          <w:tcPr>
            <w:tcW w:w="2965" w:type="dxa"/>
            <w:hideMark/>
          </w:tcPr>
          <w:p w14:paraId="1B4A3846" w14:textId="77777777" w:rsidR="009C778C" w:rsidRPr="009C778C" w:rsidRDefault="009C778C" w:rsidP="00D23818">
            <w:pPr>
              <w:pStyle w:val="NoSpacing"/>
            </w:pPr>
            <w:r w:rsidRPr="009C778C">
              <w:t>ACC_STANDARD</w:t>
            </w:r>
            <w:r w:rsidRPr="009C778C">
              <w:rPr>
                <w:vertAlign w:val="subscript"/>
              </w:rPr>
              <w:t>t − 1</w:t>
            </w:r>
          </w:p>
        </w:tc>
        <w:tc>
          <w:tcPr>
            <w:tcW w:w="1080" w:type="dxa"/>
            <w:hideMark/>
          </w:tcPr>
          <w:p w14:paraId="095D92A6" w14:textId="77777777" w:rsidR="009C778C" w:rsidRPr="009C778C" w:rsidRDefault="009C778C" w:rsidP="00D23818">
            <w:pPr>
              <w:pStyle w:val="NoSpacing"/>
            </w:pPr>
          </w:p>
        </w:tc>
        <w:tc>
          <w:tcPr>
            <w:tcW w:w="1260" w:type="dxa"/>
            <w:hideMark/>
          </w:tcPr>
          <w:p w14:paraId="65CFAD24" w14:textId="77777777" w:rsidR="009C778C" w:rsidRPr="009C778C" w:rsidRDefault="009C778C" w:rsidP="00D23818">
            <w:pPr>
              <w:pStyle w:val="NoSpacing"/>
            </w:pPr>
            <w:r w:rsidRPr="009C778C">
              <w:t>0.046**</w:t>
            </w:r>
          </w:p>
        </w:tc>
        <w:tc>
          <w:tcPr>
            <w:tcW w:w="1440" w:type="dxa"/>
            <w:hideMark/>
          </w:tcPr>
          <w:p w14:paraId="6B3218D0" w14:textId="77777777" w:rsidR="009C778C" w:rsidRPr="009C778C" w:rsidRDefault="009C778C" w:rsidP="00D23818">
            <w:pPr>
              <w:pStyle w:val="NoSpacing"/>
            </w:pPr>
            <w:r w:rsidRPr="009C778C">
              <w:t>0.046**</w:t>
            </w:r>
          </w:p>
        </w:tc>
        <w:tc>
          <w:tcPr>
            <w:tcW w:w="720" w:type="dxa"/>
            <w:hideMark/>
          </w:tcPr>
          <w:p w14:paraId="7BEEE27D" w14:textId="77777777" w:rsidR="009C778C" w:rsidRPr="009C778C" w:rsidRDefault="009C778C" w:rsidP="00D23818">
            <w:pPr>
              <w:pStyle w:val="NoSpacing"/>
            </w:pPr>
          </w:p>
        </w:tc>
        <w:tc>
          <w:tcPr>
            <w:tcW w:w="1350" w:type="dxa"/>
            <w:hideMark/>
          </w:tcPr>
          <w:p w14:paraId="1673CA3A" w14:textId="77777777" w:rsidR="009C778C" w:rsidRPr="009C778C" w:rsidRDefault="009C778C" w:rsidP="00D23818">
            <w:pPr>
              <w:pStyle w:val="NoSpacing"/>
            </w:pPr>
            <w:r w:rsidRPr="009C778C">
              <w:t>0.023</w:t>
            </w:r>
          </w:p>
        </w:tc>
        <w:tc>
          <w:tcPr>
            <w:tcW w:w="1257" w:type="dxa"/>
            <w:hideMark/>
          </w:tcPr>
          <w:p w14:paraId="7321CD70" w14:textId="77777777" w:rsidR="009C778C" w:rsidRPr="009C778C" w:rsidRDefault="009C778C" w:rsidP="00D23818">
            <w:pPr>
              <w:pStyle w:val="NoSpacing"/>
            </w:pPr>
            <w:r w:rsidRPr="009C778C">
              <w:t>0.023</w:t>
            </w:r>
          </w:p>
        </w:tc>
      </w:tr>
      <w:tr w:rsidR="00235B24" w:rsidRPr="009C778C" w14:paraId="04B4FCED" w14:textId="77777777" w:rsidTr="00043BD5">
        <w:tc>
          <w:tcPr>
            <w:tcW w:w="2965" w:type="dxa"/>
            <w:hideMark/>
          </w:tcPr>
          <w:p w14:paraId="2AB0DAE3" w14:textId="77777777" w:rsidR="009C778C" w:rsidRPr="009C778C" w:rsidRDefault="009C778C" w:rsidP="00D23818">
            <w:pPr>
              <w:pStyle w:val="NoSpacing"/>
            </w:pPr>
          </w:p>
        </w:tc>
        <w:tc>
          <w:tcPr>
            <w:tcW w:w="1080" w:type="dxa"/>
            <w:hideMark/>
          </w:tcPr>
          <w:p w14:paraId="5DCA0ECE" w14:textId="77777777" w:rsidR="009C778C" w:rsidRPr="009C778C" w:rsidRDefault="009C778C" w:rsidP="00D23818">
            <w:pPr>
              <w:pStyle w:val="NoSpacing"/>
            </w:pPr>
          </w:p>
        </w:tc>
        <w:tc>
          <w:tcPr>
            <w:tcW w:w="1260" w:type="dxa"/>
            <w:hideMark/>
          </w:tcPr>
          <w:p w14:paraId="2BA6D499" w14:textId="77777777" w:rsidR="009C778C" w:rsidRPr="009C778C" w:rsidRDefault="009C778C" w:rsidP="00D23818">
            <w:pPr>
              <w:pStyle w:val="NoSpacing"/>
            </w:pPr>
            <w:r w:rsidRPr="009C778C">
              <w:t>(2.32)</w:t>
            </w:r>
          </w:p>
        </w:tc>
        <w:tc>
          <w:tcPr>
            <w:tcW w:w="1440" w:type="dxa"/>
            <w:hideMark/>
          </w:tcPr>
          <w:p w14:paraId="3A36AA4E" w14:textId="77777777" w:rsidR="009C778C" w:rsidRPr="009C778C" w:rsidRDefault="009C778C" w:rsidP="00D23818">
            <w:pPr>
              <w:pStyle w:val="NoSpacing"/>
            </w:pPr>
            <w:r w:rsidRPr="009C778C">
              <w:t>(2.33)</w:t>
            </w:r>
          </w:p>
        </w:tc>
        <w:tc>
          <w:tcPr>
            <w:tcW w:w="720" w:type="dxa"/>
            <w:hideMark/>
          </w:tcPr>
          <w:p w14:paraId="5E303911" w14:textId="77777777" w:rsidR="009C778C" w:rsidRPr="009C778C" w:rsidRDefault="009C778C" w:rsidP="00D23818">
            <w:pPr>
              <w:pStyle w:val="NoSpacing"/>
            </w:pPr>
          </w:p>
        </w:tc>
        <w:tc>
          <w:tcPr>
            <w:tcW w:w="1350" w:type="dxa"/>
            <w:hideMark/>
          </w:tcPr>
          <w:p w14:paraId="7B0A2CFF" w14:textId="77777777" w:rsidR="009C778C" w:rsidRPr="009C778C" w:rsidRDefault="009C778C" w:rsidP="00D23818">
            <w:pPr>
              <w:pStyle w:val="NoSpacing"/>
            </w:pPr>
            <w:r w:rsidRPr="009C778C">
              <w:t>(1.50)</w:t>
            </w:r>
          </w:p>
        </w:tc>
        <w:tc>
          <w:tcPr>
            <w:tcW w:w="1257" w:type="dxa"/>
            <w:hideMark/>
          </w:tcPr>
          <w:p w14:paraId="506D1B16" w14:textId="77777777" w:rsidR="009C778C" w:rsidRPr="009C778C" w:rsidRDefault="009C778C" w:rsidP="00D23818">
            <w:pPr>
              <w:pStyle w:val="NoSpacing"/>
            </w:pPr>
            <w:r w:rsidRPr="009C778C">
              <w:t>(1.48)</w:t>
            </w:r>
          </w:p>
        </w:tc>
      </w:tr>
      <w:tr w:rsidR="00235B24" w:rsidRPr="009C778C" w14:paraId="45F6B8C0" w14:textId="77777777" w:rsidTr="00043BD5">
        <w:tc>
          <w:tcPr>
            <w:tcW w:w="2965" w:type="dxa"/>
            <w:hideMark/>
          </w:tcPr>
          <w:p w14:paraId="2E57D316" w14:textId="77777777" w:rsidR="009C15D5" w:rsidRPr="009C778C" w:rsidRDefault="009C15D5" w:rsidP="00D23818">
            <w:pPr>
              <w:pStyle w:val="NoSpacing"/>
            </w:pPr>
            <w:r w:rsidRPr="009C778C">
              <w:t>GDPGROWTH</w:t>
            </w:r>
            <w:r w:rsidRPr="009C778C">
              <w:rPr>
                <w:vertAlign w:val="subscript"/>
              </w:rPr>
              <w:t>t − 1</w:t>
            </w:r>
          </w:p>
        </w:tc>
        <w:tc>
          <w:tcPr>
            <w:tcW w:w="1080" w:type="dxa"/>
            <w:hideMark/>
          </w:tcPr>
          <w:p w14:paraId="7A49B54D" w14:textId="77777777" w:rsidR="009C15D5" w:rsidRPr="009C778C" w:rsidRDefault="009C15D5" w:rsidP="00D23818">
            <w:pPr>
              <w:pStyle w:val="NoSpacing"/>
            </w:pPr>
          </w:p>
        </w:tc>
        <w:tc>
          <w:tcPr>
            <w:tcW w:w="1260" w:type="dxa"/>
            <w:hideMark/>
          </w:tcPr>
          <w:p w14:paraId="78BD41A8" w14:textId="77777777" w:rsidR="009C15D5" w:rsidRPr="009C778C" w:rsidRDefault="009C15D5" w:rsidP="00D23818">
            <w:pPr>
              <w:pStyle w:val="NoSpacing"/>
            </w:pPr>
            <w:r w:rsidRPr="009C778C">
              <w:t>− 0.911**</w:t>
            </w:r>
          </w:p>
        </w:tc>
        <w:tc>
          <w:tcPr>
            <w:tcW w:w="1440" w:type="dxa"/>
            <w:hideMark/>
          </w:tcPr>
          <w:p w14:paraId="0F8CBF72" w14:textId="77777777" w:rsidR="009C15D5" w:rsidRPr="009C778C" w:rsidRDefault="009C15D5" w:rsidP="00D23818">
            <w:pPr>
              <w:pStyle w:val="NoSpacing"/>
            </w:pPr>
            <w:r w:rsidRPr="009C778C">
              <w:t>− 0.931**</w:t>
            </w:r>
          </w:p>
        </w:tc>
        <w:tc>
          <w:tcPr>
            <w:tcW w:w="720" w:type="dxa"/>
            <w:hideMark/>
          </w:tcPr>
          <w:p w14:paraId="2599442B" w14:textId="77777777" w:rsidR="009C15D5" w:rsidRPr="009C778C" w:rsidRDefault="009C15D5" w:rsidP="00D23818">
            <w:pPr>
              <w:pStyle w:val="NoSpacing"/>
            </w:pPr>
          </w:p>
        </w:tc>
        <w:tc>
          <w:tcPr>
            <w:tcW w:w="1350" w:type="dxa"/>
            <w:hideMark/>
          </w:tcPr>
          <w:p w14:paraId="03D8F19A" w14:textId="77777777" w:rsidR="009C15D5" w:rsidRPr="009C778C" w:rsidRDefault="009C15D5" w:rsidP="00D23818">
            <w:pPr>
              <w:pStyle w:val="NoSpacing"/>
            </w:pPr>
            <w:r w:rsidRPr="009C778C">
              <w:t>0.406</w:t>
            </w:r>
          </w:p>
        </w:tc>
        <w:tc>
          <w:tcPr>
            <w:tcW w:w="1257" w:type="dxa"/>
            <w:hideMark/>
          </w:tcPr>
          <w:p w14:paraId="34B95B77" w14:textId="77777777" w:rsidR="009C15D5" w:rsidRPr="009C778C" w:rsidRDefault="009C15D5" w:rsidP="00D23818">
            <w:pPr>
              <w:pStyle w:val="NoSpacing"/>
            </w:pPr>
            <w:r w:rsidRPr="009C778C">
              <w:t>0.364</w:t>
            </w:r>
          </w:p>
        </w:tc>
      </w:tr>
      <w:tr w:rsidR="00235B24" w:rsidRPr="009C778C" w14:paraId="1399F05A" w14:textId="77777777" w:rsidTr="00043BD5">
        <w:tc>
          <w:tcPr>
            <w:tcW w:w="2965" w:type="dxa"/>
            <w:hideMark/>
          </w:tcPr>
          <w:p w14:paraId="251A7365" w14:textId="77777777" w:rsidR="009C15D5" w:rsidRPr="009C778C" w:rsidRDefault="009C15D5" w:rsidP="00D23818">
            <w:pPr>
              <w:pStyle w:val="NoSpacing"/>
            </w:pPr>
          </w:p>
        </w:tc>
        <w:tc>
          <w:tcPr>
            <w:tcW w:w="1080" w:type="dxa"/>
            <w:hideMark/>
          </w:tcPr>
          <w:p w14:paraId="02C9B4C6" w14:textId="77777777" w:rsidR="009C15D5" w:rsidRPr="009C778C" w:rsidRDefault="009C15D5" w:rsidP="00D23818">
            <w:pPr>
              <w:pStyle w:val="NoSpacing"/>
            </w:pPr>
          </w:p>
        </w:tc>
        <w:tc>
          <w:tcPr>
            <w:tcW w:w="1260" w:type="dxa"/>
            <w:hideMark/>
          </w:tcPr>
          <w:p w14:paraId="0F28C38F" w14:textId="77777777" w:rsidR="009C15D5" w:rsidRPr="009C778C" w:rsidRDefault="009C15D5" w:rsidP="00D23818">
            <w:pPr>
              <w:pStyle w:val="NoSpacing"/>
            </w:pPr>
            <w:r w:rsidRPr="009C778C">
              <w:t>(− 2.25)</w:t>
            </w:r>
          </w:p>
        </w:tc>
        <w:tc>
          <w:tcPr>
            <w:tcW w:w="1440" w:type="dxa"/>
            <w:hideMark/>
          </w:tcPr>
          <w:p w14:paraId="29E2FE33" w14:textId="77777777" w:rsidR="009C15D5" w:rsidRPr="009C778C" w:rsidRDefault="009C15D5" w:rsidP="00D23818">
            <w:pPr>
              <w:pStyle w:val="NoSpacing"/>
            </w:pPr>
            <w:r w:rsidRPr="009C778C">
              <w:t>(− 2.30)</w:t>
            </w:r>
          </w:p>
        </w:tc>
        <w:tc>
          <w:tcPr>
            <w:tcW w:w="720" w:type="dxa"/>
            <w:hideMark/>
          </w:tcPr>
          <w:p w14:paraId="043EAC52" w14:textId="77777777" w:rsidR="009C15D5" w:rsidRPr="009C778C" w:rsidRDefault="009C15D5" w:rsidP="00D23818">
            <w:pPr>
              <w:pStyle w:val="NoSpacing"/>
            </w:pPr>
          </w:p>
        </w:tc>
        <w:tc>
          <w:tcPr>
            <w:tcW w:w="1350" w:type="dxa"/>
            <w:hideMark/>
          </w:tcPr>
          <w:p w14:paraId="73656555" w14:textId="77777777" w:rsidR="009C15D5" w:rsidRPr="009C778C" w:rsidRDefault="009C15D5" w:rsidP="00D23818">
            <w:pPr>
              <w:pStyle w:val="NoSpacing"/>
            </w:pPr>
            <w:r w:rsidRPr="009C778C">
              <w:t>(1.31)</w:t>
            </w:r>
          </w:p>
        </w:tc>
        <w:tc>
          <w:tcPr>
            <w:tcW w:w="1257" w:type="dxa"/>
            <w:hideMark/>
          </w:tcPr>
          <w:p w14:paraId="13ED59C7" w14:textId="77777777" w:rsidR="009C15D5" w:rsidRPr="009C778C" w:rsidRDefault="009C15D5" w:rsidP="00D23818">
            <w:pPr>
              <w:pStyle w:val="NoSpacing"/>
            </w:pPr>
            <w:r w:rsidRPr="009C778C">
              <w:t>(1.17)</w:t>
            </w:r>
          </w:p>
        </w:tc>
      </w:tr>
      <w:tr w:rsidR="00235B24" w:rsidRPr="009C778C" w14:paraId="64631817" w14:textId="77777777" w:rsidTr="00043BD5">
        <w:tc>
          <w:tcPr>
            <w:tcW w:w="2965" w:type="dxa"/>
            <w:hideMark/>
          </w:tcPr>
          <w:p w14:paraId="13A663FF" w14:textId="77777777" w:rsidR="009C778C" w:rsidRPr="009C778C" w:rsidRDefault="009C778C" w:rsidP="00D23818">
            <w:pPr>
              <w:pStyle w:val="NoSpacing"/>
            </w:pPr>
            <w:r w:rsidRPr="009C778C">
              <w:t>INFLATION</w:t>
            </w:r>
            <w:r w:rsidRPr="009C778C">
              <w:rPr>
                <w:vertAlign w:val="subscript"/>
              </w:rPr>
              <w:t>t − 1</w:t>
            </w:r>
          </w:p>
        </w:tc>
        <w:tc>
          <w:tcPr>
            <w:tcW w:w="1080" w:type="dxa"/>
            <w:hideMark/>
          </w:tcPr>
          <w:p w14:paraId="7156E30F" w14:textId="77777777" w:rsidR="009C778C" w:rsidRPr="009C778C" w:rsidRDefault="009C778C" w:rsidP="00D23818">
            <w:pPr>
              <w:pStyle w:val="NoSpacing"/>
            </w:pPr>
          </w:p>
        </w:tc>
        <w:tc>
          <w:tcPr>
            <w:tcW w:w="1260" w:type="dxa"/>
            <w:hideMark/>
          </w:tcPr>
          <w:p w14:paraId="2D51A3D9" w14:textId="77777777" w:rsidR="009C778C" w:rsidRPr="009C778C" w:rsidRDefault="009C778C" w:rsidP="00D23818">
            <w:pPr>
              <w:pStyle w:val="NoSpacing"/>
            </w:pPr>
            <w:r w:rsidRPr="009C778C">
              <w:t>2.911***</w:t>
            </w:r>
          </w:p>
        </w:tc>
        <w:tc>
          <w:tcPr>
            <w:tcW w:w="1440" w:type="dxa"/>
            <w:hideMark/>
          </w:tcPr>
          <w:p w14:paraId="300776CD" w14:textId="77777777" w:rsidR="009C778C" w:rsidRPr="009C778C" w:rsidRDefault="009C778C" w:rsidP="00D23818">
            <w:pPr>
              <w:pStyle w:val="NoSpacing"/>
            </w:pPr>
            <w:r w:rsidRPr="009C778C">
              <w:t>2.900***</w:t>
            </w:r>
          </w:p>
        </w:tc>
        <w:tc>
          <w:tcPr>
            <w:tcW w:w="720" w:type="dxa"/>
            <w:hideMark/>
          </w:tcPr>
          <w:p w14:paraId="29656E71" w14:textId="77777777" w:rsidR="009C778C" w:rsidRPr="009C778C" w:rsidRDefault="009C778C" w:rsidP="00D23818">
            <w:pPr>
              <w:pStyle w:val="NoSpacing"/>
            </w:pPr>
          </w:p>
        </w:tc>
        <w:tc>
          <w:tcPr>
            <w:tcW w:w="1350" w:type="dxa"/>
            <w:hideMark/>
          </w:tcPr>
          <w:p w14:paraId="334AA1F8" w14:textId="77777777" w:rsidR="009C778C" w:rsidRPr="009C778C" w:rsidRDefault="009C778C" w:rsidP="00D23818">
            <w:pPr>
              <w:pStyle w:val="NoSpacing"/>
            </w:pPr>
            <w:r w:rsidRPr="009C778C">
              <w:t>0.160</w:t>
            </w:r>
          </w:p>
        </w:tc>
        <w:tc>
          <w:tcPr>
            <w:tcW w:w="1257" w:type="dxa"/>
            <w:hideMark/>
          </w:tcPr>
          <w:p w14:paraId="5134746B" w14:textId="77777777" w:rsidR="009C778C" w:rsidRPr="009C778C" w:rsidRDefault="009C778C" w:rsidP="00D23818">
            <w:pPr>
              <w:pStyle w:val="NoSpacing"/>
            </w:pPr>
            <w:r w:rsidRPr="009C778C">
              <w:t>0.140</w:t>
            </w:r>
          </w:p>
        </w:tc>
      </w:tr>
      <w:tr w:rsidR="00235B24" w:rsidRPr="009C778C" w14:paraId="1171CDFC" w14:textId="77777777" w:rsidTr="00043BD5">
        <w:tc>
          <w:tcPr>
            <w:tcW w:w="2965" w:type="dxa"/>
            <w:hideMark/>
          </w:tcPr>
          <w:p w14:paraId="48A027C9" w14:textId="77777777" w:rsidR="009C778C" w:rsidRPr="009C778C" w:rsidRDefault="009C778C" w:rsidP="00D23818">
            <w:pPr>
              <w:pStyle w:val="NoSpacing"/>
            </w:pPr>
          </w:p>
        </w:tc>
        <w:tc>
          <w:tcPr>
            <w:tcW w:w="1080" w:type="dxa"/>
            <w:hideMark/>
          </w:tcPr>
          <w:p w14:paraId="43232668" w14:textId="77777777" w:rsidR="009C778C" w:rsidRPr="009C778C" w:rsidRDefault="009C778C" w:rsidP="00D23818">
            <w:pPr>
              <w:pStyle w:val="NoSpacing"/>
            </w:pPr>
          </w:p>
        </w:tc>
        <w:tc>
          <w:tcPr>
            <w:tcW w:w="1260" w:type="dxa"/>
            <w:hideMark/>
          </w:tcPr>
          <w:p w14:paraId="36853C33" w14:textId="77777777" w:rsidR="009C778C" w:rsidRPr="009C778C" w:rsidRDefault="009C778C" w:rsidP="00D23818">
            <w:pPr>
              <w:pStyle w:val="NoSpacing"/>
            </w:pPr>
            <w:r w:rsidRPr="009C778C">
              <w:t>(5.12)</w:t>
            </w:r>
          </w:p>
        </w:tc>
        <w:tc>
          <w:tcPr>
            <w:tcW w:w="1440" w:type="dxa"/>
            <w:hideMark/>
          </w:tcPr>
          <w:p w14:paraId="306330E4" w14:textId="77777777" w:rsidR="009C778C" w:rsidRPr="009C778C" w:rsidRDefault="009C778C" w:rsidP="00D23818">
            <w:pPr>
              <w:pStyle w:val="NoSpacing"/>
            </w:pPr>
            <w:r w:rsidRPr="009C778C">
              <w:t>(5.09)</w:t>
            </w:r>
          </w:p>
        </w:tc>
        <w:tc>
          <w:tcPr>
            <w:tcW w:w="720" w:type="dxa"/>
            <w:hideMark/>
          </w:tcPr>
          <w:p w14:paraId="685775CA" w14:textId="77777777" w:rsidR="009C778C" w:rsidRPr="009C778C" w:rsidRDefault="009C778C" w:rsidP="00D23818">
            <w:pPr>
              <w:pStyle w:val="NoSpacing"/>
            </w:pPr>
          </w:p>
        </w:tc>
        <w:tc>
          <w:tcPr>
            <w:tcW w:w="1350" w:type="dxa"/>
            <w:hideMark/>
          </w:tcPr>
          <w:p w14:paraId="7E4EB3D9" w14:textId="77777777" w:rsidR="009C778C" w:rsidRPr="009C778C" w:rsidRDefault="009C778C" w:rsidP="00D23818">
            <w:pPr>
              <w:pStyle w:val="NoSpacing"/>
            </w:pPr>
            <w:r w:rsidRPr="009C778C">
              <w:t>(0.39)</w:t>
            </w:r>
          </w:p>
        </w:tc>
        <w:tc>
          <w:tcPr>
            <w:tcW w:w="1257" w:type="dxa"/>
            <w:hideMark/>
          </w:tcPr>
          <w:p w14:paraId="2C569A7F" w14:textId="77777777" w:rsidR="009C778C" w:rsidRPr="009C778C" w:rsidRDefault="009C778C" w:rsidP="00D23818">
            <w:pPr>
              <w:pStyle w:val="NoSpacing"/>
            </w:pPr>
            <w:r w:rsidRPr="009C778C">
              <w:t>(0.35)</w:t>
            </w:r>
          </w:p>
        </w:tc>
      </w:tr>
      <w:tr w:rsidR="00235B24" w:rsidRPr="009C778C" w14:paraId="7D066407" w14:textId="77777777" w:rsidTr="00043BD5">
        <w:tc>
          <w:tcPr>
            <w:tcW w:w="2965" w:type="dxa"/>
            <w:hideMark/>
          </w:tcPr>
          <w:p w14:paraId="55F7F9D6" w14:textId="77777777" w:rsidR="009C778C" w:rsidRPr="009C778C" w:rsidRDefault="009C778C" w:rsidP="00D23818">
            <w:pPr>
              <w:pStyle w:val="NoSpacing"/>
            </w:pPr>
            <w:r w:rsidRPr="009C778C">
              <w:t>CONSTANT, YEAR, INDUSTRY &amp; COUNTRY FE</w:t>
            </w:r>
          </w:p>
        </w:tc>
        <w:tc>
          <w:tcPr>
            <w:tcW w:w="1080" w:type="dxa"/>
            <w:hideMark/>
          </w:tcPr>
          <w:p w14:paraId="253876E9" w14:textId="77777777" w:rsidR="009C778C" w:rsidRPr="009C778C" w:rsidRDefault="009C778C" w:rsidP="00D23818">
            <w:pPr>
              <w:pStyle w:val="NoSpacing"/>
            </w:pPr>
          </w:p>
        </w:tc>
        <w:tc>
          <w:tcPr>
            <w:tcW w:w="1260" w:type="dxa"/>
            <w:hideMark/>
          </w:tcPr>
          <w:p w14:paraId="02369F44" w14:textId="77777777" w:rsidR="009C778C" w:rsidRPr="009C778C" w:rsidRDefault="009C778C" w:rsidP="00D23818">
            <w:pPr>
              <w:pStyle w:val="NoSpacing"/>
            </w:pPr>
            <w:r w:rsidRPr="009C778C">
              <w:t>Yes</w:t>
            </w:r>
          </w:p>
        </w:tc>
        <w:tc>
          <w:tcPr>
            <w:tcW w:w="1440" w:type="dxa"/>
            <w:hideMark/>
          </w:tcPr>
          <w:p w14:paraId="0488A649" w14:textId="77777777" w:rsidR="009C778C" w:rsidRPr="009C778C" w:rsidRDefault="009C778C" w:rsidP="00D23818">
            <w:pPr>
              <w:pStyle w:val="NoSpacing"/>
            </w:pPr>
            <w:r w:rsidRPr="009C778C">
              <w:t>Yes</w:t>
            </w:r>
          </w:p>
        </w:tc>
        <w:tc>
          <w:tcPr>
            <w:tcW w:w="720" w:type="dxa"/>
            <w:hideMark/>
          </w:tcPr>
          <w:p w14:paraId="095FE2F1" w14:textId="77777777" w:rsidR="009C778C" w:rsidRPr="009C778C" w:rsidRDefault="009C778C" w:rsidP="00D23818">
            <w:pPr>
              <w:pStyle w:val="NoSpacing"/>
            </w:pPr>
          </w:p>
        </w:tc>
        <w:tc>
          <w:tcPr>
            <w:tcW w:w="1350" w:type="dxa"/>
            <w:hideMark/>
          </w:tcPr>
          <w:p w14:paraId="3E91E64C" w14:textId="77777777" w:rsidR="009C778C" w:rsidRPr="009C778C" w:rsidRDefault="009C778C" w:rsidP="00D23818">
            <w:pPr>
              <w:pStyle w:val="NoSpacing"/>
            </w:pPr>
            <w:r w:rsidRPr="009C778C">
              <w:t>Yes</w:t>
            </w:r>
          </w:p>
        </w:tc>
        <w:tc>
          <w:tcPr>
            <w:tcW w:w="1257" w:type="dxa"/>
            <w:hideMark/>
          </w:tcPr>
          <w:p w14:paraId="7E3CC960" w14:textId="77777777" w:rsidR="009C778C" w:rsidRPr="009C778C" w:rsidRDefault="009C778C" w:rsidP="00D23818">
            <w:pPr>
              <w:pStyle w:val="NoSpacing"/>
            </w:pPr>
            <w:r w:rsidRPr="009C778C">
              <w:t>Yes</w:t>
            </w:r>
          </w:p>
        </w:tc>
      </w:tr>
      <w:tr w:rsidR="00235B24" w:rsidRPr="009C778C" w14:paraId="714D7E26" w14:textId="77777777" w:rsidTr="00043BD5">
        <w:tc>
          <w:tcPr>
            <w:tcW w:w="2965" w:type="dxa"/>
            <w:hideMark/>
          </w:tcPr>
          <w:p w14:paraId="79385FFE" w14:textId="77777777" w:rsidR="009C778C" w:rsidRPr="009C778C" w:rsidRDefault="009C778C" w:rsidP="00D23818">
            <w:pPr>
              <w:pStyle w:val="NoSpacing"/>
            </w:pPr>
            <w:r w:rsidRPr="009C778C">
              <w:t>Number of observations</w:t>
            </w:r>
          </w:p>
        </w:tc>
        <w:tc>
          <w:tcPr>
            <w:tcW w:w="1080" w:type="dxa"/>
            <w:hideMark/>
          </w:tcPr>
          <w:p w14:paraId="02C7926E" w14:textId="77777777" w:rsidR="009C778C" w:rsidRPr="009C778C" w:rsidRDefault="009C778C" w:rsidP="00D23818">
            <w:pPr>
              <w:pStyle w:val="NoSpacing"/>
            </w:pPr>
          </w:p>
        </w:tc>
        <w:tc>
          <w:tcPr>
            <w:tcW w:w="1260" w:type="dxa"/>
            <w:hideMark/>
          </w:tcPr>
          <w:p w14:paraId="3D4942E1" w14:textId="77777777" w:rsidR="009C778C" w:rsidRPr="009C778C" w:rsidRDefault="009C778C" w:rsidP="00D23818">
            <w:pPr>
              <w:pStyle w:val="NoSpacing"/>
            </w:pPr>
            <w:r w:rsidRPr="009C778C">
              <w:t>35,590</w:t>
            </w:r>
          </w:p>
        </w:tc>
        <w:tc>
          <w:tcPr>
            <w:tcW w:w="1440" w:type="dxa"/>
            <w:hideMark/>
          </w:tcPr>
          <w:p w14:paraId="3E977F11" w14:textId="77777777" w:rsidR="009C778C" w:rsidRPr="009C778C" w:rsidRDefault="009C778C" w:rsidP="00D23818">
            <w:pPr>
              <w:pStyle w:val="NoSpacing"/>
            </w:pPr>
            <w:r w:rsidRPr="009C778C">
              <w:t>35,590</w:t>
            </w:r>
          </w:p>
        </w:tc>
        <w:tc>
          <w:tcPr>
            <w:tcW w:w="720" w:type="dxa"/>
            <w:hideMark/>
          </w:tcPr>
          <w:p w14:paraId="54F28B09" w14:textId="77777777" w:rsidR="009C778C" w:rsidRPr="009C778C" w:rsidRDefault="009C778C" w:rsidP="00D23818">
            <w:pPr>
              <w:pStyle w:val="NoSpacing"/>
            </w:pPr>
          </w:p>
        </w:tc>
        <w:tc>
          <w:tcPr>
            <w:tcW w:w="1350" w:type="dxa"/>
            <w:hideMark/>
          </w:tcPr>
          <w:p w14:paraId="77CCCCA1" w14:textId="77777777" w:rsidR="009C778C" w:rsidRPr="009C778C" w:rsidRDefault="009C778C" w:rsidP="00D23818">
            <w:pPr>
              <w:pStyle w:val="NoSpacing"/>
            </w:pPr>
            <w:r w:rsidRPr="009C778C">
              <w:t>30,996</w:t>
            </w:r>
          </w:p>
        </w:tc>
        <w:tc>
          <w:tcPr>
            <w:tcW w:w="1257" w:type="dxa"/>
            <w:hideMark/>
          </w:tcPr>
          <w:p w14:paraId="06D34011" w14:textId="77777777" w:rsidR="009C778C" w:rsidRPr="009C778C" w:rsidRDefault="009C778C" w:rsidP="00D23818">
            <w:pPr>
              <w:pStyle w:val="NoSpacing"/>
            </w:pPr>
            <w:r w:rsidRPr="009C778C">
              <w:t>30,996</w:t>
            </w:r>
          </w:p>
        </w:tc>
      </w:tr>
      <w:tr w:rsidR="00235B24" w:rsidRPr="009C778C" w14:paraId="3C7380CE" w14:textId="77777777" w:rsidTr="00043BD5">
        <w:tc>
          <w:tcPr>
            <w:tcW w:w="2965" w:type="dxa"/>
            <w:hideMark/>
          </w:tcPr>
          <w:p w14:paraId="44ED7DED" w14:textId="77777777" w:rsidR="009C778C" w:rsidRPr="009C778C" w:rsidRDefault="009C778C" w:rsidP="00D23818">
            <w:pPr>
              <w:pStyle w:val="NoSpacing"/>
            </w:pPr>
            <w:r w:rsidRPr="009C778C">
              <w:t>Adj. R-squared</w:t>
            </w:r>
          </w:p>
        </w:tc>
        <w:tc>
          <w:tcPr>
            <w:tcW w:w="1080" w:type="dxa"/>
            <w:hideMark/>
          </w:tcPr>
          <w:p w14:paraId="6604CC54" w14:textId="77777777" w:rsidR="009C778C" w:rsidRPr="009C778C" w:rsidRDefault="009C778C" w:rsidP="00D23818">
            <w:pPr>
              <w:pStyle w:val="NoSpacing"/>
            </w:pPr>
          </w:p>
        </w:tc>
        <w:tc>
          <w:tcPr>
            <w:tcW w:w="1260" w:type="dxa"/>
            <w:hideMark/>
          </w:tcPr>
          <w:p w14:paraId="611FAD8C" w14:textId="77777777" w:rsidR="009C778C" w:rsidRPr="009C778C" w:rsidRDefault="009C778C" w:rsidP="00D23818">
            <w:pPr>
              <w:pStyle w:val="NoSpacing"/>
            </w:pPr>
            <w:r w:rsidRPr="009C778C">
              <w:t>0.121</w:t>
            </w:r>
          </w:p>
        </w:tc>
        <w:tc>
          <w:tcPr>
            <w:tcW w:w="1440" w:type="dxa"/>
            <w:hideMark/>
          </w:tcPr>
          <w:p w14:paraId="1751B771" w14:textId="77777777" w:rsidR="009C778C" w:rsidRPr="009C778C" w:rsidRDefault="009C778C" w:rsidP="00D23818">
            <w:pPr>
              <w:pStyle w:val="NoSpacing"/>
            </w:pPr>
            <w:r w:rsidRPr="009C778C">
              <w:t>0.114</w:t>
            </w:r>
          </w:p>
        </w:tc>
        <w:tc>
          <w:tcPr>
            <w:tcW w:w="720" w:type="dxa"/>
            <w:hideMark/>
          </w:tcPr>
          <w:p w14:paraId="34F72CE3" w14:textId="77777777" w:rsidR="009C778C" w:rsidRPr="009C778C" w:rsidRDefault="009C778C" w:rsidP="00D23818">
            <w:pPr>
              <w:pStyle w:val="NoSpacing"/>
            </w:pPr>
          </w:p>
        </w:tc>
        <w:tc>
          <w:tcPr>
            <w:tcW w:w="1350" w:type="dxa"/>
            <w:hideMark/>
          </w:tcPr>
          <w:p w14:paraId="0981DB35" w14:textId="77777777" w:rsidR="009C778C" w:rsidRPr="009C778C" w:rsidRDefault="009C778C" w:rsidP="00D23818">
            <w:pPr>
              <w:pStyle w:val="NoSpacing"/>
            </w:pPr>
            <w:r w:rsidRPr="009C778C">
              <w:t>0.094</w:t>
            </w:r>
          </w:p>
        </w:tc>
        <w:tc>
          <w:tcPr>
            <w:tcW w:w="1257" w:type="dxa"/>
            <w:hideMark/>
          </w:tcPr>
          <w:p w14:paraId="55C33274" w14:textId="77777777" w:rsidR="009C778C" w:rsidRPr="009C778C" w:rsidRDefault="009C778C" w:rsidP="00D23818">
            <w:pPr>
              <w:pStyle w:val="NoSpacing"/>
            </w:pPr>
            <w:r w:rsidRPr="009C778C">
              <w:t>0.099</w:t>
            </w:r>
          </w:p>
        </w:tc>
      </w:tr>
      <w:tr w:rsidR="00235B24" w:rsidRPr="009C778C" w14:paraId="3BD60B0E" w14:textId="77777777" w:rsidTr="00043BD5">
        <w:tc>
          <w:tcPr>
            <w:tcW w:w="2965" w:type="dxa"/>
            <w:hideMark/>
          </w:tcPr>
          <w:p w14:paraId="3621318F" w14:textId="77777777" w:rsidR="009C778C" w:rsidRPr="009C778C" w:rsidRDefault="009C778C" w:rsidP="00D23818">
            <w:pPr>
              <w:pStyle w:val="NoSpacing"/>
            </w:pPr>
            <w:r w:rsidRPr="009C778C">
              <w:t>F-stat DOMESTIC </w:t>
            </w:r>
            <w:r w:rsidRPr="009C778C">
              <w:rPr>
                <w:vertAlign w:val="subscript"/>
              </w:rPr>
              <w:t>t − 1</w:t>
            </w:r>
            <w:r w:rsidRPr="009C778C">
              <w:t> = FOREIGN</w:t>
            </w:r>
            <w:r w:rsidRPr="009C778C">
              <w:rPr>
                <w:vertAlign w:val="subscript"/>
              </w:rPr>
              <w:t>t − 1</w:t>
            </w:r>
          </w:p>
        </w:tc>
        <w:tc>
          <w:tcPr>
            <w:tcW w:w="1080" w:type="dxa"/>
            <w:hideMark/>
          </w:tcPr>
          <w:p w14:paraId="327702CE" w14:textId="77777777" w:rsidR="009C778C" w:rsidRPr="009C778C" w:rsidRDefault="009C778C" w:rsidP="00D23818">
            <w:pPr>
              <w:pStyle w:val="NoSpacing"/>
            </w:pPr>
          </w:p>
        </w:tc>
        <w:tc>
          <w:tcPr>
            <w:tcW w:w="1260" w:type="dxa"/>
            <w:hideMark/>
          </w:tcPr>
          <w:p w14:paraId="1AB37A18" w14:textId="77777777" w:rsidR="009C778C" w:rsidRPr="009C778C" w:rsidRDefault="009C778C" w:rsidP="00D23818">
            <w:pPr>
              <w:pStyle w:val="NoSpacing"/>
            </w:pPr>
            <w:r w:rsidRPr="009C778C">
              <w:t>5.42**</w:t>
            </w:r>
          </w:p>
        </w:tc>
        <w:tc>
          <w:tcPr>
            <w:tcW w:w="1440" w:type="dxa"/>
            <w:hideMark/>
          </w:tcPr>
          <w:p w14:paraId="725FBBB7" w14:textId="77777777" w:rsidR="009C778C" w:rsidRPr="009C778C" w:rsidRDefault="009C778C" w:rsidP="00D23818">
            <w:pPr>
              <w:pStyle w:val="NoSpacing"/>
            </w:pPr>
            <w:r w:rsidRPr="009C778C">
              <w:t>5.09**</w:t>
            </w:r>
          </w:p>
        </w:tc>
        <w:tc>
          <w:tcPr>
            <w:tcW w:w="720" w:type="dxa"/>
            <w:hideMark/>
          </w:tcPr>
          <w:p w14:paraId="5DB142E1" w14:textId="77777777" w:rsidR="009C778C" w:rsidRPr="009C778C" w:rsidRDefault="009C778C" w:rsidP="00D23818">
            <w:pPr>
              <w:pStyle w:val="NoSpacing"/>
            </w:pPr>
          </w:p>
        </w:tc>
        <w:tc>
          <w:tcPr>
            <w:tcW w:w="1350" w:type="dxa"/>
            <w:hideMark/>
          </w:tcPr>
          <w:p w14:paraId="745FA50D" w14:textId="77777777" w:rsidR="009C778C" w:rsidRPr="009C778C" w:rsidRDefault="009C778C" w:rsidP="00D23818">
            <w:pPr>
              <w:pStyle w:val="NoSpacing"/>
            </w:pPr>
            <w:r w:rsidRPr="009C778C">
              <w:t>1.20</w:t>
            </w:r>
          </w:p>
        </w:tc>
        <w:tc>
          <w:tcPr>
            <w:tcW w:w="1257" w:type="dxa"/>
            <w:hideMark/>
          </w:tcPr>
          <w:p w14:paraId="144BD278" w14:textId="77777777" w:rsidR="009C778C" w:rsidRPr="009C778C" w:rsidRDefault="009C778C" w:rsidP="00D23818">
            <w:pPr>
              <w:pStyle w:val="NoSpacing"/>
            </w:pPr>
            <w:r w:rsidRPr="009C778C">
              <w:t>0.46</w:t>
            </w:r>
          </w:p>
        </w:tc>
      </w:tr>
      <w:tr w:rsidR="00235B24" w:rsidRPr="009C778C" w14:paraId="361D0839" w14:textId="77777777" w:rsidTr="00043BD5">
        <w:tc>
          <w:tcPr>
            <w:tcW w:w="2965" w:type="dxa"/>
            <w:hideMark/>
          </w:tcPr>
          <w:p w14:paraId="1D72DA2D" w14:textId="77777777" w:rsidR="009C778C" w:rsidRPr="009C778C" w:rsidRDefault="009C778C" w:rsidP="00D23818">
            <w:pPr>
              <w:pStyle w:val="NoSpacing"/>
            </w:pPr>
            <w:r w:rsidRPr="009C778C">
              <w:t>(</w:t>
            </w:r>
            <w:r w:rsidRPr="009C778C">
              <w:rPr>
                <w:i/>
                <w:iCs/>
              </w:rPr>
              <w:t>p</w:t>
            </w:r>
            <w:r w:rsidRPr="009C778C">
              <w:t>-value)</w:t>
            </w:r>
          </w:p>
        </w:tc>
        <w:tc>
          <w:tcPr>
            <w:tcW w:w="1080" w:type="dxa"/>
            <w:hideMark/>
          </w:tcPr>
          <w:p w14:paraId="5A28ABC4" w14:textId="77777777" w:rsidR="009C778C" w:rsidRPr="009C778C" w:rsidRDefault="009C778C" w:rsidP="00D23818">
            <w:pPr>
              <w:pStyle w:val="NoSpacing"/>
            </w:pPr>
          </w:p>
        </w:tc>
        <w:tc>
          <w:tcPr>
            <w:tcW w:w="1260" w:type="dxa"/>
            <w:hideMark/>
          </w:tcPr>
          <w:p w14:paraId="6552599D" w14:textId="77777777" w:rsidR="009C778C" w:rsidRPr="009C778C" w:rsidRDefault="009C778C" w:rsidP="00D23818">
            <w:pPr>
              <w:pStyle w:val="NoSpacing"/>
            </w:pPr>
            <w:r w:rsidRPr="009C778C">
              <w:t>(0.02)</w:t>
            </w:r>
          </w:p>
        </w:tc>
        <w:tc>
          <w:tcPr>
            <w:tcW w:w="1440" w:type="dxa"/>
            <w:hideMark/>
          </w:tcPr>
          <w:p w14:paraId="2344CCF4" w14:textId="77777777" w:rsidR="009C778C" w:rsidRPr="009C778C" w:rsidRDefault="009C778C" w:rsidP="00D23818">
            <w:pPr>
              <w:pStyle w:val="NoSpacing"/>
            </w:pPr>
            <w:r w:rsidRPr="009C778C">
              <w:t>(0.02)</w:t>
            </w:r>
          </w:p>
        </w:tc>
        <w:tc>
          <w:tcPr>
            <w:tcW w:w="720" w:type="dxa"/>
            <w:hideMark/>
          </w:tcPr>
          <w:p w14:paraId="21777C37" w14:textId="77777777" w:rsidR="009C778C" w:rsidRPr="009C778C" w:rsidRDefault="009C778C" w:rsidP="00D23818">
            <w:pPr>
              <w:pStyle w:val="NoSpacing"/>
            </w:pPr>
          </w:p>
        </w:tc>
        <w:tc>
          <w:tcPr>
            <w:tcW w:w="1350" w:type="dxa"/>
            <w:hideMark/>
          </w:tcPr>
          <w:p w14:paraId="7FE52012" w14:textId="77777777" w:rsidR="009C778C" w:rsidRPr="009C778C" w:rsidRDefault="009C778C" w:rsidP="00D23818">
            <w:pPr>
              <w:pStyle w:val="NoSpacing"/>
            </w:pPr>
            <w:r w:rsidRPr="009C778C">
              <w:t>(0.27)</w:t>
            </w:r>
          </w:p>
        </w:tc>
        <w:tc>
          <w:tcPr>
            <w:tcW w:w="1257" w:type="dxa"/>
            <w:hideMark/>
          </w:tcPr>
          <w:p w14:paraId="140C476E" w14:textId="77777777" w:rsidR="009C778C" w:rsidRPr="009C778C" w:rsidRDefault="009C778C" w:rsidP="00D23818">
            <w:pPr>
              <w:pStyle w:val="NoSpacing"/>
            </w:pPr>
            <w:r w:rsidRPr="009C778C">
              <w:t>(0.50)</w:t>
            </w:r>
          </w:p>
        </w:tc>
      </w:tr>
      <w:tr w:rsidR="00235B24" w:rsidRPr="009C778C" w14:paraId="405AA008" w14:textId="77777777" w:rsidTr="00043BD5">
        <w:tc>
          <w:tcPr>
            <w:tcW w:w="2965" w:type="dxa"/>
            <w:hideMark/>
          </w:tcPr>
          <w:p w14:paraId="255CFA72" w14:textId="77777777" w:rsidR="00235B24" w:rsidRPr="009C778C" w:rsidRDefault="00235B24" w:rsidP="00D23818">
            <w:pPr>
              <w:pStyle w:val="NoSpacing"/>
            </w:pPr>
            <w:r w:rsidRPr="009C778C">
              <w:t>F-stat Agency costs-L (DOMESTIC </w:t>
            </w:r>
            <w:r w:rsidRPr="009C778C">
              <w:rPr>
                <w:vertAlign w:val="subscript"/>
              </w:rPr>
              <w:t>t − 1</w:t>
            </w:r>
            <w:r w:rsidRPr="009C778C">
              <w:t> − FOREIGN </w:t>
            </w:r>
            <w:r w:rsidRPr="009C778C">
              <w:rPr>
                <w:vertAlign w:val="subscript"/>
              </w:rPr>
              <w:t>t − 1</w:t>
            </w:r>
            <w:r w:rsidRPr="009C778C">
              <w:t>) &lt; Agency costs-H (DOMESTIC </w:t>
            </w:r>
            <w:r w:rsidRPr="009C778C">
              <w:rPr>
                <w:vertAlign w:val="subscript"/>
              </w:rPr>
              <w:t>t − 1</w:t>
            </w:r>
            <w:r w:rsidRPr="009C778C">
              <w:t> − FOREIGN</w:t>
            </w:r>
            <w:r w:rsidRPr="009C778C">
              <w:rPr>
                <w:vertAlign w:val="subscript"/>
              </w:rPr>
              <w:t>t − 1</w:t>
            </w:r>
            <w:r w:rsidRPr="009C778C">
              <w:t>)</w:t>
            </w:r>
          </w:p>
        </w:tc>
        <w:tc>
          <w:tcPr>
            <w:tcW w:w="1080" w:type="dxa"/>
          </w:tcPr>
          <w:p w14:paraId="1817436F" w14:textId="77777777" w:rsidR="00235B24" w:rsidRPr="009C778C" w:rsidRDefault="00235B24" w:rsidP="00D23818">
            <w:pPr>
              <w:pStyle w:val="NoSpacing"/>
            </w:pPr>
          </w:p>
        </w:tc>
        <w:tc>
          <w:tcPr>
            <w:tcW w:w="1260" w:type="dxa"/>
          </w:tcPr>
          <w:p w14:paraId="6367F5CC" w14:textId="3F2C0DB9" w:rsidR="00235B24" w:rsidRPr="009C778C" w:rsidRDefault="00235B24" w:rsidP="00D23818">
            <w:pPr>
              <w:pStyle w:val="NoSpacing"/>
            </w:pPr>
          </w:p>
        </w:tc>
        <w:tc>
          <w:tcPr>
            <w:tcW w:w="1440" w:type="dxa"/>
          </w:tcPr>
          <w:p w14:paraId="72A1A6B2" w14:textId="77777777" w:rsidR="00235B24" w:rsidRPr="009C778C" w:rsidRDefault="00235B24" w:rsidP="00D23818">
            <w:pPr>
              <w:pStyle w:val="NoSpacing"/>
            </w:pPr>
          </w:p>
        </w:tc>
        <w:tc>
          <w:tcPr>
            <w:tcW w:w="720" w:type="dxa"/>
          </w:tcPr>
          <w:p w14:paraId="12D15491" w14:textId="7688A151" w:rsidR="00235B24" w:rsidRPr="009C778C" w:rsidRDefault="00235B24" w:rsidP="00D23818">
            <w:pPr>
              <w:pStyle w:val="NoSpacing"/>
            </w:pPr>
          </w:p>
        </w:tc>
        <w:tc>
          <w:tcPr>
            <w:tcW w:w="1350" w:type="dxa"/>
            <w:hideMark/>
          </w:tcPr>
          <w:p w14:paraId="45711369" w14:textId="77777777" w:rsidR="00235B24" w:rsidRPr="009C778C" w:rsidRDefault="00235B24" w:rsidP="00D23818">
            <w:pPr>
              <w:pStyle w:val="NoSpacing"/>
            </w:pPr>
          </w:p>
        </w:tc>
        <w:tc>
          <w:tcPr>
            <w:tcW w:w="1257" w:type="dxa"/>
          </w:tcPr>
          <w:p w14:paraId="118F451A" w14:textId="409C40DC" w:rsidR="00235B24" w:rsidRPr="009C778C" w:rsidRDefault="00235B24" w:rsidP="00D23818">
            <w:pPr>
              <w:pStyle w:val="NoSpacing"/>
            </w:pPr>
          </w:p>
        </w:tc>
      </w:tr>
      <w:tr w:rsidR="00235B24" w:rsidRPr="009C778C" w14:paraId="0D4ACF89" w14:textId="77777777" w:rsidTr="00043BD5">
        <w:tc>
          <w:tcPr>
            <w:tcW w:w="2965" w:type="dxa"/>
            <w:hideMark/>
          </w:tcPr>
          <w:p w14:paraId="67F63BDE" w14:textId="77777777" w:rsidR="009C15D5" w:rsidRPr="009C778C" w:rsidRDefault="009C15D5" w:rsidP="00D23818">
            <w:pPr>
              <w:pStyle w:val="NoSpacing"/>
            </w:pPr>
          </w:p>
        </w:tc>
        <w:tc>
          <w:tcPr>
            <w:tcW w:w="1080" w:type="dxa"/>
          </w:tcPr>
          <w:p w14:paraId="13B45F63" w14:textId="77777777" w:rsidR="009C15D5" w:rsidRPr="009C778C" w:rsidRDefault="009C15D5" w:rsidP="00D23818">
            <w:pPr>
              <w:pStyle w:val="NoSpacing"/>
            </w:pPr>
          </w:p>
        </w:tc>
        <w:tc>
          <w:tcPr>
            <w:tcW w:w="1260" w:type="dxa"/>
          </w:tcPr>
          <w:p w14:paraId="4373F7DB" w14:textId="18F1EA40" w:rsidR="009C15D5" w:rsidRPr="009C778C" w:rsidRDefault="009C15D5" w:rsidP="00D23818">
            <w:pPr>
              <w:pStyle w:val="NoSpacing"/>
            </w:pPr>
          </w:p>
        </w:tc>
        <w:tc>
          <w:tcPr>
            <w:tcW w:w="1440" w:type="dxa"/>
          </w:tcPr>
          <w:p w14:paraId="52F86CFE" w14:textId="77777777" w:rsidR="009C15D5" w:rsidRPr="009C778C" w:rsidRDefault="009C15D5" w:rsidP="00D23818">
            <w:pPr>
              <w:pStyle w:val="NoSpacing"/>
            </w:pPr>
          </w:p>
        </w:tc>
        <w:tc>
          <w:tcPr>
            <w:tcW w:w="720" w:type="dxa"/>
          </w:tcPr>
          <w:p w14:paraId="6FBA257A" w14:textId="1702F824" w:rsidR="009C15D5" w:rsidRPr="009C778C" w:rsidRDefault="009C15D5" w:rsidP="00D23818">
            <w:pPr>
              <w:pStyle w:val="NoSpacing"/>
            </w:pPr>
          </w:p>
        </w:tc>
        <w:tc>
          <w:tcPr>
            <w:tcW w:w="1350" w:type="dxa"/>
            <w:hideMark/>
          </w:tcPr>
          <w:p w14:paraId="533C999A" w14:textId="77777777" w:rsidR="009C15D5" w:rsidRPr="009C778C" w:rsidRDefault="009C15D5" w:rsidP="00D23818">
            <w:pPr>
              <w:pStyle w:val="NoSpacing"/>
            </w:pPr>
            <w:r w:rsidRPr="009C778C">
              <w:t>(0.03)</w:t>
            </w:r>
          </w:p>
        </w:tc>
        <w:tc>
          <w:tcPr>
            <w:tcW w:w="1257" w:type="dxa"/>
            <w:hideMark/>
          </w:tcPr>
          <w:p w14:paraId="56DD9285" w14:textId="77777777" w:rsidR="009C15D5" w:rsidRPr="009C778C" w:rsidRDefault="009C15D5" w:rsidP="00D23818">
            <w:pPr>
              <w:pStyle w:val="NoSpacing"/>
            </w:pPr>
          </w:p>
        </w:tc>
      </w:tr>
      <w:tr w:rsidR="00235B24" w:rsidRPr="009C778C" w14:paraId="305B9F49" w14:textId="77777777" w:rsidTr="00043BD5">
        <w:tc>
          <w:tcPr>
            <w:tcW w:w="2965" w:type="dxa"/>
            <w:hideMark/>
          </w:tcPr>
          <w:p w14:paraId="20E8CDDF" w14:textId="77777777" w:rsidR="009C15D5" w:rsidRPr="009C778C" w:rsidRDefault="009C15D5" w:rsidP="00D23818">
            <w:pPr>
              <w:pStyle w:val="NoSpacing"/>
            </w:pPr>
            <w:r w:rsidRPr="009C778C">
              <w:t>F-stat Agency costs-L (DOMESTIC_INDEP</w:t>
            </w:r>
            <w:r w:rsidRPr="009C778C">
              <w:rPr>
                <w:vertAlign w:val="subscript"/>
              </w:rPr>
              <w:t>t − 1</w:t>
            </w:r>
            <w:r w:rsidRPr="009C778C">
              <w:t> − FOREIGN_INDEP </w:t>
            </w:r>
            <w:r w:rsidRPr="009C778C">
              <w:rPr>
                <w:vertAlign w:val="subscript"/>
              </w:rPr>
              <w:t>t − 1</w:t>
            </w:r>
            <w:r w:rsidRPr="009C778C">
              <w:t>) &lt; Agency costs-H (DOMESTIC_INDEP</w:t>
            </w:r>
            <w:r w:rsidRPr="009C778C">
              <w:rPr>
                <w:vertAlign w:val="subscript"/>
              </w:rPr>
              <w:t>t − 1</w:t>
            </w:r>
            <w:r w:rsidRPr="009C778C">
              <w:t> − FOREIGN_INDEP</w:t>
            </w:r>
            <w:r w:rsidRPr="009C778C">
              <w:rPr>
                <w:vertAlign w:val="subscript"/>
              </w:rPr>
              <w:t>t − 1</w:t>
            </w:r>
            <w:r w:rsidRPr="009C778C">
              <w:t>)</w:t>
            </w:r>
          </w:p>
        </w:tc>
        <w:tc>
          <w:tcPr>
            <w:tcW w:w="1080" w:type="dxa"/>
          </w:tcPr>
          <w:p w14:paraId="1E2E994A" w14:textId="77777777" w:rsidR="009C15D5" w:rsidRPr="009C778C" w:rsidRDefault="009C15D5" w:rsidP="00D23818">
            <w:pPr>
              <w:pStyle w:val="NoSpacing"/>
            </w:pPr>
          </w:p>
        </w:tc>
        <w:tc>
          <w:tcPr>
            <w:tcW w:w="1260" w:type="dxa"/>
          </w:tcPr>
          <w:p w14:paraId="127D8142" w14:textId="77777777" w:rsidR="009C15D5" w:rsidRPr="009C778C" w:rsidRDefault="009C15D5" w:rsidP="00D23818">
            <w:pPr>
              <w:pStyle w:val="NoSpacing"/>
            </w:pPr>
          </w:p>
        </w:tc>
        <w:tc>
          <w:tcPr>
            <w:tcW w:w="1440" w:type="dxa"/>
          </w:tcPr>
          <w:p w14:paraId="73D48515" w14:textId="77777777" w:rsidR="009C15D5" w:rsidRPr="009C778C" w:rsidRDefault="009C15D5" w:rsidP="00D23818">
            <w:pPr>
              <w:pStyle w:val="NoSpacing"/>
            </w:pPr>
          </w:p>
        </w:tc>
        <w:tc>
          <w:tcPr>
            <w:tcW w:w="720" w:type="dxa"/>
          </w:tcPr>
          <w:p w14:paraId="7CBB707A" w14:textId="3FF0C334" w:rsidR="009C15D5" w:rsidRPr="009C778C" w:rsidRDefault="009C15D5" w:rsidP="00D23818">
            <w:pPr>
              <w:pStyle w:val="NoSpacing"/>
            </w:pPr>
          </w:p>
        </w:tc>
        <w:tc>
          <w:tcPr>
            <w:tcW w:w="1350" w:type="dxa"/>
          </w:tcPr>
          <w:p w14:paraId="0A087EBC" w14:textId="011BC1DC" w:rsidR="009C15D5" w:rsidRPr="009C778C" w:rsidRDefault="009C15D5" w:rsidP="00D23818">
            <w:pPr>
              <w:pStyle w:val="NoSpacing"/>
            </w:pPr>
          </w:p>
        </w:tc>
        <w:tc>
          <w:tcPr>
            <w:tcW w:w="1257" w:type="dxa"/>
            <w:hideMark/>
          </w:tcPr>
          <w:p w14:paraId="02F29C1C" w14:textId="77777777" w:rsidR="009C15D5" w:rsidRPr="009C778C" w:rsidRDefault="009C15D5" w:rsidP="00D23818">
            <w:pPr>
              <w:pStyle w:val="NoSpacing"/>
            </w:pPr>
            <w:r w:rsidRPr="009C778C">
              <w:t>4.95***</w:t>
            </w:r>
          </w:p>
        </w:tc>
      </w:tr>
      <w:tr w:rsidR="00235B24" w:rsidRPr="009C778C" w14:paraId="0146410C" w14:textId="77777777" w:rsidTr="00043BD5">
        <w:tc>
          <w:tcPr>
            <w:tcW w:w="2965" w:type="dxa"/>
            <w:hideMark/>
          </w:tcPr>
          <w:p w14:paraId="046942C0" w14:textId="77777777" w:rsidR="00235B24" w:rsidRPr="009C778C" w:rsidRDefault="00235B24" w:rsidP="00D23818">
            <w:pPr>
              <w:pStyle w:val="NoSpacing"/>
            </w:pPr>
          </w:p>
        </w:tc>
        <w:tc>
          <w:tcPr>
            <w:tcW w:w="1080" w:type="dxa"/>
          </w:tcPr>
          <w:p w14:paraId="5532612B" w14:textId="77777777" w:rsidR="00235B24" w:rsidRPr="009C778C" w:rsidRDefault="00235B24" w:rsidP="00D23818">
            <w:pPr>
              <w:pStyle w:val="NoSpacing"/>
            </w:pPr>
          </w:p>
        </w:tc>
        <w:tc>
          <w:tcPr>
            <w:tcW w:w="1260" w:type="dxa"/>
          </w:tcPr>
          <w:p w14:paraId="08C688EA" w14:textId="77777777" w:rsidR="00235B24" w:rsidRPr="009C778C" w:rsidRDefault="00235B24" w:rsidP="00D23818">
            <w:pPr>
              <w:pStyle w:val="NoSpacing"/>
            </w:pPr>
          </w:p>
        </w:tc>
        <w:tc>
          <w:tcPr>
            <w:tcW w:w="1440" w:type="dxa"/>
          </w:tcPr>
          <w:p w14:paraId="437F27C3" w14:textId="77777777" w:rsidR="00235B24" w:rsidRPr="009C778C" w:rsidRDefault="00235B24" w:rsidP="00D23818">
            <w:pPr>
              <w:pStyle w:val="NoSpacing"/>
            </w:pPr>
          </w:p>
        </w:tc>
        <w:tc>
          <w:tcPr>
            <w:tcW w:w="720" w:type="dxa"/>
          </w:tcPr>
          <w:p w14:paraId="00254ADF" w14:textId="77777777" w:rsidR="00235B24" w:rsidRPr="009C778C" w:rsidRDefault="00235B24" w:rsidP="00D23818">
            <w:pPr>
              <w:pStyle w:val="NoSpacing"/>
            </w:pPr>
          </w:p>
        </w:tc>
        <w:tc>
          <w:tcPr>
            <w:tcW w:w="1350" w:type="dxa"/>
          </w:tcPr>
          <w:p w14:paraId="45FA8771" w14:textId="664872CE" w:rsidR="00235B24" w:rsidRPr="009C778C" w:rsidRDefault="00235B24" w:rsidP="00D23818">
            <w:pPr>
              <w:pStyle w:val="NoSpacing"/>
            </w:pPr>
          </w:p>
        </w:tc>
        <w:tc>
          <w:tcPr>
            <w:tcW w:w="1257" w:type="dxa"/>
            <w:hideMark/>
          </w:tcPr>
          <w:p w14:paraId="372AD550" w14:textId="77777777" w:rsidR="00235B24" w:rsidRPr="009C778C" w:rsidRDefault="00235B24" w:rsidP="00D23818">
            <w:pPr>
              <w:pStyle w:val="NoSpacing"/>
            </w:pPr>
            <w:r w:rsidRPr="009C778C">
              <w:t>(0.01)</w:t>
            </w:r>
          </w:p>
        </w:tc>
      </w:tr>
    </w:tbl>
    <w:p w14:paraId="31FC0F77" w14:textId="77777777" w:rsidR="009C778C" w:rsidRPr="009C778C" w:rsidRDefault="009C778C" w:rsidP="009C778C">
      <w:pPr>
        <w:rPr>
          <w:rFonts w:cstheme="minorHAnsi"/>
          <w:vanish/>
          <w:sz w:val="24"/>
          <w:szCs w:val="24"/>
        </w:rPr>
      </w:pPr>
    </w:p>
    <w:tbl>
      <w:tblPr>
        <w:tblStyle w:val="TableGrid"/>
        <w:tblW w:w="0" w:type="auto"/>
        <w:tblLook w:val="04A0" w:firstRow="1" w:lastRow="0" w:firstColumn="1" w:lastColumn="0" w:noHBand="0" w:noVBand="1"/>
      </w:tblPr>
      <w:tblGrid>
        <w:gridCol w:w="3886"/>
        <w:gridCol w:w="679"/>
        <w:gridCol w:w="1208"/>
        <w:gridCol w:w="1206"/>
        <w:gridCol w:w="679"/>
        <w:gridCol w:w="1206"/>
        <w:gridCol w:w="1206"/>
      </w:tblGrid>
      <w:tr w:rsidR="00B74885" w:rsidRPr="009C778C" w14:paraId="07CE3960" w14:textId="77777777" w:rsidTr="00043BD5">
        <w:tc>
          <w:tcPr>
            <w:tcW w:w="0" w:type="auto"/>
            <w:hideMark/>
          </w:tcPr>
          <w:p w14:paraId="2CB55A6E" w14:textId="77777777" w:rsidR="00B74885" w:rsidRPr="009C778C" w:rsidRDefault="00B74885" w:rsidP="00043BD5">
            <w:pPr>
              <w:pStyle w:val="NoSpacing"/>
            </w:pPr>
            <w:r w:rsidRPr="009C778C">
              <w:t>Panel B: Are foreign institutional investors more effective monitors in countries with weaker corporate governance?</w:t>
            </w:r>
          </w:p>
        </w:tc>
        <w:tc>
          <w:tcPr>
            <w:tcW w:w="0" w:type="auto"/>
          </w:tcPr>
          <w:p w14:paraId="40079B19" w14:textId="77777777" w:rsidR="00B74885" w:rsidRPr="009C778C" w:rsidRDefault="00B74885" w:rsidP="00043BD5">
            <w:pPr>
              <w:pStyle w:val="NoSpacing"/>
            </w:pPr>
          </w:p>
        </w:tc>
        <w:tc>
          <w:tcPr>
            <w:tcW w:w="0" w:type="auto"/>
          </w:tcPr>
          <w:p w14:paraId="7221E255" w14:textId="5BA7662C" w:rsidR="00B74885" w:rsidRPr="009C778C" w:rsidRDefault="00B74885" w:rsidP="00043BD5">
            <w:pPr>
              <w:pStyle w:val="NoSpacing"/>
            </w:pPr>
          </w:p>
        </w:tc>
        <w:tc>
          <w:tcPr>
            <w:tcW w:w="0" w:type="auto"/>
          </w:tcPr>
          <w:p w14:paraId="18F4D4FC" w14:textId="77777777" w:rsidR="00B74885" w:rsidRPr="009C778C" w:rsidRDefault="00B74885" w:rsidP="00043BD5">
            <w:pPr>
              <w:pStyle w:val="NoSpacing"/>
            </w:pPr>
          </w:p>
        </w:tc>
        <w:tc>
          <w:tcPr>
            <w:tcW w:w="0" w:type="auto"/>
          </w:tcPr>
          <w:p w14:paraId="039B9600" w14:textId="77777777" w:rsidR="00B74885" w:rsidRPr="009C778C" w:rsidRDefault="00B74885" w:rsidP="00043BD5">
            <w:pPr>
              <w:pStyle w:val="NoSpacing"/>
            </w:pPr>
          </w:p>
        </w:tc>
        <w:tc>
          <w:tcPr>
            <w:tcW w:w="0" w:type="auto"/>
          </w:tcPr>
          <w:p w14:paraId="02D6384C" w14:textId="77777777" w:rsidR="00B74885" w:rsidRPr="009C778C" w:rsidRDefault="00B74885" w:rsidP="00043BD5">
            <w:pPr>
              <w:pStyle w:val="NoSpacing"/>
            </w:pPr>
          </w:p>
        </w:tc>
        <w:tc>
          <w:tcPr>
            <w:tcW w:w="0" w:type="auto"/>
          </w:tcPr>
          <w:p w14:paraId="2DEA1256" w14:textId="4D22020C" w:rsidR="00B74885" w:rsidRPr="009C778C" w:rsidRDefault="00B74885" w:rsidP="00043BD5">
            <w:pPr>
              <w:pStyle w:val="NoSpacing"/>
            </w:pPr>
          </w:p>
        </w:tc>
      </w:tr>
      <w:tr w:rsidR="00B74885" w:rsidRPr="009C778C" w14:paraId="36CCAD08" w14:textId="77777777" w:rsidTr="00043BD5">
        <w:tc>
          <w:tcPr>
            <w:tcW w:w="0" w:type="auto"/>
            <w:hideMark/>
          </w:tcPr>
          <w:p w14:paraId="0D7BB9F9" w14:textId="77777777" w:rsidR="00B74885" w:rsidRPr="009C778C" w:rsidRDefault="00B74885" w:rsidP="00043BD5">
            <w:pPr>
              <w:pStyle w:val="NoSpacing"/>
            </w:pPr>
            <w:r w:rsidRPr="009C778C">
              <w:rPr>
                <w:i/>
                <w:iCs/>
              </w:rPr>
              <w:t>Dep. Var.</w:t>
            </w:r>
            <w:r w:rsidRPr="009C778C">
              <w:t> = Agg. EM</w:t>
            </w:r>
            <w:r w:rsidRPr="009C778C">
              <w:rPr>
                <w:vertAlign w:val="subscript"/>
              </w:rPr>
              <w:t>t</w:t>
            </w:r>
          </w:p>
        </w:tc>
        <w:tc>
          <w:tcPr>
            <w:tcW w:w="0" w:type="auto"/>
            <w:hideMark/>
          </w:tcPr>
          <w:p w14:paraId="5E9A2B5F" w14:textId="77777777" w:rsidR="00B74885" w:rsidRPr="009C778C" w:rsidRDefault="00B74885" w:rsidP="00043BD5">
            <w:pPr>
              <w:pStyle w:val="NoSpacing"/>
            </w:pPr>
            <w:r w:rsidRPr="009C778C">
              <w:rPr>
                <w:i/>
                <w:iCs/>
              </w:rPr>
              <w:t>Pred.</w:t>
            </w:r>
            <w:r w:rsidRPr="009C778C">
              <w:br/>
            </w:r>
            <w:r w:rsidRPr="009C778C">
              <w:rPr>
                <w:i/>
                <w:iCs/>
              </w:rPr>
              <w:t>Sign</w:t>
            </w:r>
          </w:p>
        </w:tc>
        <w:tc>
          <w:tcPr>
            <w:tcW w:w="0" w:type="auto"/>
            <w:hideMark/>
          </w:tcPr>
          <w:p w14:paraId="4854AE15" w14:textId="77777777" w:rsidR="00B74885" w:rsidRPr="009C778C" w:rsidRDefault="00B74885" w:rsidP="00043BD5">
            <w:pPr>
              <w:pStyle w:val="NoSpacing"/>
            </w:pPr>
            <w:r w:rsidRPr="009C778C">
              <w:t>Common law</w:t>
            </w:r>
            <w:r w:rsidRPr="009C778C">
              <w:br/>
              <w:t>(COM)</w:t>
            </w:r>
          </w:p>
        </w:tc>
        <w:tc>
          <w:tcPr>
            <w:tcW w:w="0" w:type="auto"/>
          </w:tcPr>
          <w:p w14:paraId="5B7EB1E7" w14:textId="7DA1EED7" w:rsidR="00B74885" w:rsidRPr="009C778C" w:rsidRDefault="00B74885" w:rsidP="00043BD5">
            <w:pPr>
              <w:pStyle w:val="NoSpacing"/>
            </w:pPr>
          </w:p>
        </w:tc>
        <w:tc>
          <w:tcPr>
            <w:tcW w:w="0" w:type="auto"/>
            <w:hideMark/>
          </w:tcPr>
          <w:p w14:paraId="267BD551" w14:textId="77777777" w:rsidR="00B74885" w:rsidRPr="009C778C" w:rsidRDefault="00B74885" w:rsidP="00043BD5">
            <w:pPr>
              <w:pStyle w:val="NoSpacing"/>
            </w:pPr>
            <w:r w:rsidRPr="009C778C">
              <w:rPr>
                <w:i/>
                <w:iCs/>
              </w:rPr>
              <w:t>Pred.</w:t>
            </w:r>
            <w:r w:rsidRPr="009C778C">
              <w:br/>
            </w:r>
            <w:r w:rsidRPr="009C778C">
              <w:rPr>
                <w:i/>
                <w:iCs/>
              </w:rPr>
              <w:t>Sign</w:t>
            </w:r>
          </w:p>
        </w:tc>
        <w:tc>
          <w:tcPr>
            <w:tcW w:w="0" w:type="auto"/>
            <w:hideMark/>
          </w:tcPr>
          <w:p w14:paraId="572CB7E5" w14:textId="77777777" w:rsidR="00B74885" w:rsidRPr="009C778C" w:rsidRDefault="00B74885" w:rsidP="00043BD5">
            <w:pPr>
              <w:pStyle w:val="NoSpacing"/>
            </w:pPr>
            <w:r w:rsidRPr="009C778C">
              <w:t>Civil law</w:t>
            </w:r>
            <w:r w:rsidRPr="009C778C">
              <w:br/>
              <w:t>(CIV)</w:t>
            </w:r>
          </w:p>
        </w:tc>
        <w:tc>
          <w:tcPr>
            <w:tcW w:w="0" w:type="auto"/>
          </w:tcPr>
          <w:p w14:paraId="77B35B90" w14:textId="688BD30E" w:rsidR="00B74885" w:rsidRPr="009C778C" w:rsidRDefault="00B74885" w:rsidP="00043BD5">
            <w:pPr>
              <w:pStyle w:val="NoSpacing"/>
            </w:pPr>
          </w:p>
        </w:tc>
      </w:tr>
      <w:tr w:rsidR="00B74885" w:rsidRPr="009C778C" w14:paraId="0FCE601D" w14:textId="77777777" w:rsidTr="00043BD5">
        <w:tc>
          <w:tcPr>
            <w:tcW w:w="0" w:type="auto"/>
            <w:hideMark/>
          </w:tcPr>
          <w:p w14:paraId="6516E059" w14:textId="77777777" w:rsidR="009C778C" w:rsidRPr="009C778C" w:rsidRDefault="009C778C" w:rsidP="00043BD5">
            <w:pPr>
              <w:pStyle w:val="NoSpacing"/>
            </w:pPr>
          </w:p>
        </w:tc>
        <w:tc>
          <w:tcPr>
            <w:tcW w:w="0" w:type="auto"/>
            <w:hideMark/>
          </w:tcPr>
          <w:p w14:paraId="39A9AB5F" w14:textId="77777777" w:rsidR="009C778C" w:rsidRPr="009C778C" w:rsidRDefault="009C778C" w:rsidP="00043BD5">
            <w:pPr>
              <w:pStyle w:val="NoSpacing"/>
            </w:pPr>
          </w:p>
        </w:tc>
        <w:tc>
          <w:tcPr>
            <w:tcW w:w="0" w:type="auto"/>
            <w:hideMark/>
          </w:tcPr>
          <w:p w14:paraId="3D202AB6" w14:textId="77777777" w:rsidR="009C778C" w:rsidRPr="009C778C" w:rsidRDefault="009C778C" w:rsidP="00043BD5">
            <w:pPr>
              <w:pStyle w:val="NoSpacing"/>
            </w:pPr>
            <w:r w:rsidRPr="009C778C">
              <w:t>(1)</w:t>
            </w:r>
          </w:p>
        </w:tc>
        <w:tc>
          <w:tcPr>
            <w:tcW w:w="0" w:type="auto"/>
            <w:hideMark/>
          </w:tcPr>
          <w:p w14:paraId="161361BC" w14:textId="77777777" w:rsidR="009C778C" w:rsidRPr="009C778C" w:rsidRDefault="009C778C" w:rsidP="00043BD5">
            <w:pPr>
              <w:pStyle w:val="NoSpacing"/>
            </w:pPr>
            <w:r w:rsidRPr="009C778C">
              <w:t>(2)</w:t>
            </w:r>
          </w:p>
        </w:tc>
        <w:tc>
          <w:tcPr>
            <w:tcW w:w="0" w:type="auto"/>
            <w:hideMark/>
          </w:tcPr>
          <w:p w14:paraId="00992611" w14:textId="77777777" w:rsidR="009C778C" w:rsidRPr="009C778C" w:rsidRDefault="009C778C" w:rsidP="00043BD5">
            <w:pPr>
              <w:pStyle w:val="NoSpacing"/>
            </w:pPr>
          </w:p>
        </w:tc>
        <w:tc>
          <w:tcPr>
            <w:tcW w:w="0" w:type="auto"/>
            <w:hideMark/>
          </w:tcPr>
          <w:p w14:paraId="0E561992" w14:textId="77777777" w:rsidR="009C778C" w:rsidRPr="009C778C" w:rsidRDefault="009C778C" w:rsidP="00043BD5">
            <w:pPr>
              <w:pStyle w:val="NoSpacing"/>
            </w:pPr>
            <w:r w:rsidRPr="009C778C">
              <w:t>(3)</w:t>
            </w:r>
          </w:p>
        </w:tc>
        <w:tc>
          <w:tcPr>
            <w:tcW w:w="0" w:type="auto"/>
            <w:hideMark/>
          </w:tcPr>
          <w:p w14:paraId="181F9CC8" w14:textId="77777777" w:rsidR="009C778C" w:rsidRPr="009C778C" w:rsidRDefault="009C778C" w:rsidP="00043BD5">
            <w:pPr>
              <w:pStyle w:val="NoSpacing"/>
            </w:pPr>
            <w:r w:rsidRPr="009C778C">
              <w:t>(4)</w:t>
            </w:r>
          </w:p>
        </w:tc>
      </w:tr>
      <w:tr w:rsidR="00B74885" w:rsidRPr="009C778C" w14:paraId="01D79CBC" w14:textId="77777777" w:rsidTr="00043BD5">
        <w:tc>
          <w:tcPr>
            <w:tcW w:w="0" w:type="auto"/>
            <w:hideMark/>
          </w:tcPr>
          <w:p w14:paraId="7B4A043F" w14:textId="77777777" w:rsidR="009C778C" w:rsidRPr="009C778C" w:rsidRDefault="009C778C" w:rsidP="00043BD5">
            <w:pPr>
              <w:pStyle w:val="NoSpacing"/>
            </w:pPr>
            <w:r w:rsidRPr="009C778C">
              <w:t>DOMESTIC</w:t>
            </w:r>
            <w:r w:rsidRPr="009C778C">
              <w:rPr>
                <w:vertAlign w:val="subscript"/>
              </w:rPr>
              <w:t>t − 1</w:t>
            </w:r>
          </w:p>
        </w:tc>
        <w:tc>
          <w:tcPr>
            <w:tcW w:w="0" w:type="auto"/>
            <w:hideMark/>
          </w:tcPr>
          <w:p w14:paraId="6191E6EC" w14:textId="77777777" w:rsidR="009C778C" w:rsidRPr="009C778C" w:rsidRDefault="009C778C" w:rsidP="00043BD5">
            <w:pPr>
              <w:pStyle w:val="NoSpacing"/>
            </w:pPr>
            <w:r w:rsidRPr="009C778C">
              <w:t>–</w:t>
            </w:r>
          </w:p>
        </w:tc>
        <w:tc>
          <w:tcPr>
            <w:tcW w:w="0" w:type="auto"/>
            <w:hideMark/>
          </w:tcPr>
          <w:p w14:paraId="3554E1E6" w14:textId="77777777" w:rsidR="009C778C" w:rsidRPr="009C778C" w:rsidRDefault="009C778C" w:rsidP="00043BD5">
            <w:pPr>
              <w:pStyle w:val="NoSpacing"/>
            </w:pPr>
            <w:r w:rsidRPr="009C778C">
              <w:t>− 0.307***</w:t>
            </w:r>
          </w:p>
        </w:tc>
        <w:tc>
          <w:tcPr>
            <w:tcW w:w="0" w:type="auto"/>
            <w:hideMark/>
          </w:tcPr>
          <w:p w14:paraId="146AF931" w14:textId="77777777" w:rsidR="009C778C" w:rsidRPr="009C778C" w:rsidRDefault="009C778C" w:rsidP="00043BD5">
            <w:pPr>
              <w:pStyle w:val="NoSpacing"/>
            </w:pPr>
            <w:r w:rsidRPr="009C778C">
              <w:t>− 0.305***</w:t>
            </w:r>
          </w:p>
        </w:tc>
        <w:tc>
          <w:tcPr>
            <w:tcW w:w="0" w:type="auto"/>
            <w:hideMark/>
          </w:tcPr>
          <w:p w14:paraId="66E68EF6" w14:textId="77777777" w:rsidR="009C778C" w:rsidRPr="009C778C" w:rsidRDefault="009C778C" w:rsidP="00043BD5">
            <w:pPr>
              <w:pStyle w:val="NoSpacing"/>
            </w:pPr>
            <w:r w:rsidRPr="009C778C">
              <w:t>–</w:t>
            </w:r>
          </w:p>
        </w:tc>
        <w:tc>
          <w:tcPr>
            <w:tcW w:w="0" w:type="auto"/>
            <w:hideMark/>
          </w:tcPr>
          <w:p w14:paraId="36075C1E" w14:textId="77777777" w:rsidR="009C778C" w:rsidRPr="009C778C" w:rsidRDefault="009C778C" w:rsidP="00043BD5">
            <w:pPr>
              <w:pStyle w:val="NoSpacing"/>
            </w:pPr>
            <w:r w:rsidRPr="009C778C">
              <w:t>− 0.390***</w:t>
            </w:r>
          </w:p>
        </w:tc>
        <w:tc>
          <w:tcPr>
            <w:tcW w:w="0" w:type="auto"/>
            <w:hideMark/>
          </w:tcPr>
          <w:p w14:paraId="5365C230" w14:textId="77777777" w:rsidR="009C778C" w:rsidRPr="009C778C" w:rsidRDefault="009C778C" w:rsidP="00043BD5">
            <w:pPr>
              <w:pStyle w:val="NoSpacing"/>
            </w:pPr>
            <w:r w:rsidRPr="009C778C">
              <w:t>− 0.400***</w:t>
            </w:r>
          </w:p>
        </w:tc>
      </w:tr>
      <w:tr w:rsidR="00B74885" w:rsidRPr="009C778C" w14:paraId="7D3C0146" w14:textId="77777777" w:rsidTr="00043BD5">
        <w:tc>
          <w:tcPr>
            <w:tcW w:w="0" w:type="auto"/>
            <w:hideMark/>
          </w:tcPr>
          <w:p w14:paraId="47A47DFC" w14:textId="77777777" w:rsidR="009C778C" w:rsidRPr="009C778C" w:rsidRDefault="009C778C" w:rsidP="00043BD5">
            <w:pPr>
              <w:pStyle w:val="NoSpacing"/>
            </w:pPr>
          </w:p>
        </w:tc>
        <w:tc>
          <w:tcPr>
            <w:tcW w:w="0" w:type="auto"/>
            <w:hideMark/>
          </w:tcPr>
          <w:p w14:paraId="0C821467" w14:textId="77777777" w:rsidR="009C778C" w:rsidRPr="009C778C" w:rsidRDefault="009C778C" w:rsidP="00043BD5">
            <w:pPr>
              <w:pStyle w:val="NoSpacing"/>
            </w:pPr>
          </w:p>
        </w:tc>
        <w:tc>
          <w:tcPr>
            <w:tcW w:w="0" w:type="auto"/>
            <w:hideMark/>
          </w:tcPr>
          <w:p w14:paraId="75557474" w14:textId="77777777" w:rsidR="009C778C" w:rsidRPr="009C778C" w:rsidRDefault="009C778C" w:rsidP="00043BD5">
            <w:pPr>
              <w:pStyle w:val="NoSpacing"/>
            </w:pPr>
            <w:r w:rsidRPr="009C778C">
              <w:t>(− 3.82)</w:t>
            </w:r>
          </w:p>
        </w:tc>
        <w:tc>
          <w:tcPr>
            <w:tcW w:w="0" w:type="auto"/>
            <w:hideMark/>
          </w:tcPr>
          <w:p w14:paraId="6A617974" w14:textId="77777777" w:rsidR="009C778C" w:rsidRPr="009C778C" w:rsidRDefault="009C778C" w:rsidP="00043BD5">
            <w:pPr>
              <w:pStyle w:val="NoSpacing"/>
            </w:pPr>
            <w:r w:rsidRPr="009C778C">
              <w:t>(− 3.78)</w:t>
            </w:r>
          </w:p>
        </w:tc>
        <w:tc>
          <w:tcPr>
            <w:tcW w:w="0" w:type="auto"/>
            <w:hideMark/>
          </w:tcPr>
          <w:p w14:paraId="387D45F6" w14:textId="77777777" w:rsidR="009C778C" w:rsidRPr="009C778C" w:rsidRDefault="009C778C" w:rsidP="00043BD5">
            <w:pPr>
              <w:pStyle w:val="NoSpacing"/>
            </w:pPr>
          </w:p>
        </w:tc>
        <w:tc>
          <w:tcPr>
            <w:tcW w:w="0" w:type="auto"/>
            <w:hideMark/>
          </w:tcPr>
          <w:p w14:paraId="38F1BAA5" w14:textId="77777777" w:rsidR="009C778C" w:rsidRPr="009C778C" w:rsidRDefault="009C778C" w:rsidP="00043BD5">
            <w:pPr>
              <w:pStyle w:val="NoSpacing"/>
            </w:pPr>
            <w:r w:rsidRPr="009C778C">
              <w:t>(− 5.02)</w:t>
            </w:r>
          </w:p>
        </w:tc>
        <w:tc>
          <w:tcPr>
            <w:tcW w:w="0" w:type="auto"/>
            <w:hideMark/>
          </w:tcPr>
          <w:p w14:paraId="2C922256" w14:textId="77777777" w:rsidR="009C778C" w:rsidRPr="009C778C" w:rsidRDefault="009C778C" w:rsidP="00043BD5">
            <w:pPr>
              <w:pStyle w:val="NoSpacing"/>
            </w:pPr>
            <w:r w:rsidRPr="009C778C">
              <w:t>(− 5.18)</w:t>
            </w:r>
          </w:p>
        </w:tc>
      </w:tr>
      <w:tr w:rsidR="00B74885" w:rsidRPr="009C778C" w14:paraId="31F9CFE7" w14:textId="77777777" w:rsidTr="00043BD5">
        <w:tc>
          <w:tcPr>
            <w:tcW w:w="0" w:type="auto"/>
            <w:hideMark/>
          </w:tcPr>
          <w:p w14:paraId="0209D7F0" w14:textId="77777777" w:rsidR="009C778C" w:rsidRPr="009C778C" w:rsidRDefault="009C778C" w:rsidP="00043BD5">
            <w:pPr>
              <w:pStyle w:val="NoSpacing"/>
            </w:pPr>
            <w:r w:rsidRPr="009C778C">
              <w:t>FOREIGN</w:t>
            </w:r>
            <w:r w:rsidRPr="009C778C">
              <w:rPr>
                <w:vertAlign w:val="subscript"/>
              </w:rPr>
              <w:t>t − 1</w:t>
            </w:r>
          </w:p>
        </w:tc>
        <w:tc>
          <w:tcPr>
            <w:tcW w:w="0" w:type="auto"/>
            <w:hideMark/>
          </w:tcPr>
          <w:p w14:paraId="4EADCF41" w14:textId="77777777" w:rsidR="009C778C" w:rsidRPr="009C778C" w:rsidRDefault="009C778C" w:rsidP="00043BD5">
            <w:pPr>
              <w:pStyle w:val="NoSpacing"/>
            </w:pPr>
            <w:r w:rsidRPr="009C778C">
              <w:t>–</w:t>
            </w:r>
          </w:p>
        </w:tc>
        <w:tc>
          <w:tcPr>
            <w:tcW w:w="0" w:type="auto"/>
            <w:hideMark/>
          </w:tcPr>
          <w:p w14:paraId="7CF4CBE0" w14:textId="77777777" w:rsidR="009C778C" w:rsidRPr="009C778C" w:rsidRDefault="009C778C" w:rsidP="00043BD5">
            <w:pPr>
              <w:pStyle w:val="NoSpacing"/>
            </w:pPr>
            <w:r w:rsidRPr="009C778C">
              <w:t>− 0.047</w:t>
            </w:r>
          </w:p>
        </w:tc>
        <w:tc>
          <w:tcPr>
            <w:tcW w:w="0" w:type="auto"/>
            <w:hideMark/>
          </w:tcPr>
          <w:p w14:paraId="563E4A5B" w14:textId="77777777" w:rsidR="009C778C" w:rsidRPr="009C778C" w:rsidRDefault="009C778C" w:rsidP="00043BD5">
            <w:pPr>
              <w:pStyle w:val="NoSpacing"/>
            </w:pPr>
          </w:p>
        </w:tc>
        <w:tc>
          <w:tcPr>
            <w:tcW w:w="0" w:type="auto"/>
            <w:hideMark/>
          </w:tcPr>
          <w:p w14:paraId="2EB77A2C" w14:textId="77777777" w:rsidR="009C778C" w:rsidRPr="009C778C" w:rsidRDefault="009C778C" w:rsidP="00043BD5">
            <w:pPr>
              <w:pStyle w:val="NoSpacing"/>
            </w:pPr>
            <w:r w:rsidRPr="009C778C">
              <w:t>–</w:t>
            </w:r>
          </w:p>
        </w:tc>
        <w:tc>
          <w:tcPr>
            <w:tcW w:w="0" w:type="auto"/>
            <w:hideMark/>
          </w:tcPr>
          <w:p w14:paraId="4FD6C027" w14:textId="77777777" w:rsidR="009C778C" w:rsidRPr="009C778C" w:rsidRDefault="009C778C" w:rsidP="00043BD5">
            <w:pPr>
              <w:pStyle w:val="NoSpacing"/>
            </w:pPr>
            <w:r w:rsidRPr="009C778C">
              <w:t>− 0.038</w:t>
            </w:r>
          </w:p>
        </w:tc>
        <w:tc>
          <w:tcPr>
            <w:tcW w:w="0" w:type="auto"/>
            <w:hideMark/>
          </w:tcPr>
          <w:p w14:paraId="7C966DA8" w14:textId="77777777" w:rsidR="009C778C" w:rsidRPr="009C778C" w:rsidRDefault="009C778C" w:rsidP="00043BD5">
            <w:pPr>
              <w:pStyle w:val="NoSpacing"/>
            </w:pPr>
          </w:p>
        </w:tc>
      </w:tr>
      <w:tr w:rsidR="00B74885" w:rsidRPr="009C778C" w14:paraId="110EDC15" w14:textId="77777777" w:rsidTr="00043BD5">
        <w:tc>
          <w:tcPr>
            <w:tcW w:w="0" w:type="auto"/>
            <w:hideMark/>
          </w:tcPr>
          <w:p w14:paraId="57A98CC9" w14:textId="77777777" w:rsidR="009C778C" w:rsidRPr="009C778C" w:rsidRDefault="009C778C" w:rsidP="00043BD5">
            <w:pPr>
              <w:pStyle w:val="NoSpacing"/>
            </w:pPr>
          </w:p>
        </w:tc>
        <w:tc>
          <w:tcPr>
            <w:tcW w:w="0" w:type="auto"/>
            <w:hideMark/>
          </w:tcPr>
          <w:p w14:paraId="1E8AD9E2" w14:textId="77777777" w:rsidR="009C778C" w:rsidRPr="009C778C" w:rsidRDefault="009C778C" w:rsidP="00043BD5">
            <w:pPr>
              <w:pStyle w:val="NoSpacing"/>
            </w:pPr>
          </w:p>
        </w:tc>
        <w:tc>
          <w:tcPr>
            <w:tcW w:w="0" w:type="auto"/>
            <w:hideMark/>
          </w:tcPr>
          <w:p w14:paraId="4FD564EE" w14:textId="77777777" w:rsidR="009C778C" w:rsidRPr="009C778C" w:rsidRDefault="009C778C" w:rsidP="00043BD5">
            <w:pPr>
              <w:pStyle w:val="NoSpacing"/>
            </w:pPr>
            <w:r w:rsidRPr="009C778C">
              <w:t>(− 0.30)</w:t>
            </w:r>
          </w:p>
        </w:tc>
        <w:tc>
          <w:tcPr>
            <w:tcW w:w="0" w:type="auto"/>
            <w:hideMark/>
          </w:tcPr>
          <w:p w14:paraId="488DD048" w14:textId="77777777" w:rsidR="009C778C" w:rsidRPr="009C778C" w:rsidRDefault="009C778C" w:rsidP="00043BD5">
            <w:pPr>
              <w:pStyle w:val="NoSpacing"/>
            </w:pPr>
          </w:p>
        </w:tc>
        <w:tc>
          <w:tcPr>
            <w:tcW w:w="0" w:type="auto"/>
            <w:hideMark/>
          </w:tcPr>
          <w:p w14:paraId="037C417D" w14:textId="77777777" w:rsidR="009C778C" w:rsidRPr="009C778C" w:rsidRDefault="009C778C" w:rsidP="00043BD5">
            <w:pPr>
              <w:pStyle w:val="NoSpacing"/>
            </w:pPr>
          </w:p>
        </w:tc>
        <w:tc>
          <w:tcPr>
            <w:tcW w:w="0" w:type="auto"/>
            <w:hideMark/>
          </w:tcPr>
          <w:p w14:paraId="50E8F807" w14:textId="77777777" w:rsidR="009C778C" w:rsidRPr="009C778C" w:rsidRDefault="009C778C" w:rsidP="00043BD5">
            <w:pPr>
              <w:pStyle w:val="NoSpacing"/>
            </w:pPr>
            <w:r w:rsidRPr="009C778C">
              <w:t>(− 0.50)</w:t>
            </w:r>
          </w:p>
        </w:tc>
        <w:tc>
          <w:tcPr>
            <w:tcW w:w="0" w:type="auto"/>
            <w:hideMark/>
          </w:tcPr>
          <w:p w14:paraId="14801769" w14:textId="77777777" w:rsidR="009C778C" w:rsidRPr="009C778C" w:rsidRDefault="009C778C" w:rsidP="00043BD5">
            <w:pPr>
              <w:pStyle w:val="NoSpacing"/>
            </w:pPr>
          </w:p>
        </w:tc>
      </w:tr>
      <w:tr w:rsidR="00B74885" w:rsidRPr="009C778C" w14:paraId="7504C798" w14:textId="77777777" w:rsidTr="00043BD5">
        <w:tc>
          <w:tcPr>
            <w:tcW w:w="0" w:type="auto"/>
            <w:hideMark/>
          </w:tcPr>
          <w:p w14:paraId="021DC94E" w14:textId="77777777" w:rsidR="009C778C" w:rsidRPr="009C778C" w:rsidRDefault="009C778C" w:rsidP="00043BD5">
            <w:pPr>
              <w:pStyle w:val="NoSpacing"/>
            </w:pPr>
            <w:r w:rsidRPr="009C778C">
              <w:t>FOREIGN_COM</w:t>
            </w:r>
            <w:r w:rsidRPr="009C778C">
              <w:rPr>
                <w:vertAlign w:val="subscript"/>
              </w:rPr>
              <w:t>t − 1</w:t>
            </w:r>
          </w:p>
        </w:tc>
        <w:tc>
          <w:tcPr>
            <w:tcW w:w="0" w:type="auto"/>
            <w:hideMark/>
          </w:tcPr>
          <w:p w14:paraId="4BC0673D" w14:textId="77777777" w:rsidR="009C778C" w:rsidRPr="009C778C" w:rsidRDefault="009C778C" w:rsidP="00043BD5">
            <w:pPr>
              <w:pStyle w:val="NoSpacing"/>
            </w:pPr>
          </w:p>
        </w:tc>
        <w:tc>
          <w:tcPr>
            <w:tcW w:w="0" w:type="auto"/>
            <w:hideMark/>
          </w:tcPr>
          <w:p w14:paraId="2F4567F4" w14:textId="77777777" w:rsidR="009C778C" w:rsidRPr="009C778C" w:rsidRDefault="009C778C" w:rsidP="00043BD5">
            <w:pPr>
              <w:pStyle w:val="NoSpacing"/>
            </w:pPr>
          </w:p>
        </w:tc>
        <w:tc>
          <w:tcPr>
            <w:tcW w:w="0" w:type="auto"/>
            <w:hideMark/>
          </w:tcPr>
          <w:p w14:paraId="14B1CF7D" w14:textId="77777777" w:rsidR="009C778C" w:rsidRPr="009C778C" w:rsidRDefault="009C778C" w:rsidP="00043BD5">
            <w:pPr>
              <w:pStyle w:val="NoSpacing"/>
            </w:pPr>
            <w:r w:rsidRPr="009C778C">
              <w:t>0.104</w:t>
            </w:r>
          </w:p>
        </w:tc>
        <w:tc>
          <w:tcPr>
            <w:tcW w:w="0" w:type="auto"/>
            <w:hideMark/>
          </w:tcPr>
          <w:p w14:paraId="0471ABB5" w14:textId="77777777" w:rsidR="009C778C" w:rsidRPr="009C778C" w:rsidRDefault="009C778C" w:rsidP="00043BD5">
            <w:pPr>
              <w:pStyle w:val="NoSpacing"/>
            </w:pPr>
            <w:r w:rsidRPr="009C778C">
              <w:t>–</w:t>
            </w:r>
          </w:p>
        </w:tc>
        <w:tc>
          <w:tcPr>
            <w:tcW w:w="0" w:type="auto"/>
            <w:hideMark/>
          </w:tcPr>
          <w:p w14:paraId="17D4E233" w14:textId="77777777" w:rsidR="009C778C" w:rsidRPr="009C778C" w:rsidRDefault="009C778C" w:rsidP="00043BD5">
            <w:pPr>
              <w:pStyle w:val="NoSpacing"/>
            </w:pPr>
          </w:p>
        </w:tc>
        <w:tc>
          <w:tcPr>
            <w:tcW w:w="0" w:type="auto"/>
            <w:hideMark/>
          </w:tcPr>
          <w:p w14:paraId="5CF66EC8" w14:textId="77777777" w:rsidR="009C778C" w:rsidRPr="009C778C" w:rsidRDefault="009C778C" w:rsidP="00043BD5">
            <w:pPr>
              <w:pStyle w:val="NoSpacing"/>
            </w:pPr>
            <w:r w:rsidRPr="009C778C">
              <w:t>− 0.116*</w:t>
            </w:r>
          </w:p>
        </w:tc>
      </w:tr>
      <w:tr w:rsidR="00B74885" w:rsidRPr="009C778C" w14:paraId="762DBF07" w14:textId="77777777" w:rsidTr="00043BD5">
        <w:tc>
          <w:tcPr>
            <w:tcW w:w="0" w:type="auto"/>
            <w:hideMark/>
          </w:tcPr>
          <w:p w14:paraId="536A035C" w14:textId="77777777" w:rsidR="009C778C" w:rsidRPr="009C778C" w:rsidRDefault="009C778C" w:rsidP="00043BD5">
            <w:pPr>
              <w:pStyle w:val="NoSpacing"/>
            </w:pPr>
          </w:p>
        </w:tc>
        <w:tc>
          <w:tcPr>
            <w:tcW w:w="0" w:type="auto"/>
            <w:hideMark/>
          </w:tcPr>
          <w:p w14:paraId="250FC50D" w14:textId="77777777" w:rsidR="009C778C" w:rsidRPr="009C778C" w:rsidRDefault="009C778C" w:rsidP="00043BD5">
            <w:pPr>
              <w:pStyle w:val="NoSpacing"/>
            </w:pPr>
          </w:p>
        </w:tc>
        <w:tc>
          <w:tcPr>
            <w:tcW w:w="0" w:type="auto"/>
            <w:hideMark/>
          </w:tcPr>
          <w:p w14:paraId="69075B63" w14:textId="77777777" w:rsidR="009C778C" w:rsidRPr="009C778C" w:rsidRDefault="009C778C" w:rsidP="00043BD5">
            <w:pPr>
              <w:pStyle w:val="NoSpacing"/>
            </w:pPr>
          </w:p>
        </w:tc>
        <w:tc>
          <w:tcPr>
            <w:tcW w:w="0" w:type="auto"/>
            <w:hideMark/>
          </w:tcPr>
          <w:p w14:paraId="5A49D2BC" w14:textId="77777777" w:rsidR="009C778C" w:rsidRPr="009C778C" w:rsidRDefault="009C778C" w:rsidP="00043BD5">
            <w:pPr>
              <w:pStyle w:val="NoSpacing"/>
            </w:pPr>
            <w:r w:rsidRPr="009C778C">
              <w:t>(0.75)</w:t>
            </w:r>
          </w:p>
        </w:tc>
        <w:tc>
          <w:tcPr>
            <w:tcW w:w="0" w:type="auto"/>
            <w:hideMark/>
          </w:tcPr>
          <w:p w14:paraId="5D26541B" w14:textId="77777777" w:rsidR="009C778C" w:rsidRPr="009C778C" w:rsidRDefault="009C778C" w:rsidP="00043BD5">
            <w:pPr>
              <w:pStyle w:val="NoSpacing"/>
            </w:pPr>
          </w:p>
        </w:tc>
        <w:tc>
          <w:tcPr>
            <w:tcW w:w="0" w:type="auto"/>
            <w:hideMark/>
          </w:tcPr>
          <w:p w14:paraId="22757989" w14:textId="77777777" w:rsidR="009C778C" w:rsidRPr="009C778C" w:rsidRDefault="009C778C" w:rsidP="00043BD5">
            <w:pPr>
              <w:pStyle w:val="NoSpacing"/>
            </w:pPr>
          </w:p>
        </w:tc>
        <w:tc>
          <w:tcPr>
            <w:tcW w:w="0" w:type="auto"/>
            <w:hideMark/>
          </w:tcPr>
          <w:p w14:paraId="0FC43B90" w14:textId="77777777" w:rsidR="009C778C" w:rsidRPr="009C778C" w:rsidRDefault="009C778C" w:rsidP="00043BD5">
            <w:pPr>
              <w:pStyle w:val="NoSpacing"/>
            </w:pPr>
            <w:r w:rsidRPr="009C778C">
              <w:t>(− 1.67)</w:t>
            </w:r>
          </w:p>
        </w:tc>
      </w:tr>
      <w:tr w:rsidR="00B74885" w:rsidRPr="009C778C" w14:paraId="4D2CC718" w14:textId="77777777" w:rsidTr="00043BD5">
        <w:tc>
          <w:tcPr>
            <w:tcW w:w="0" w:type="auto"/>
            <w:hideMark/>
          </w:tcPr>
          <w:p w14:paraId="540666D4" w14:textId="77777777" w:rsidR="009C778C" w:rsidRPr="009C778C" w:rsidRDefault="009C778C" w:rsidP="00043BD5">
            <w:pPr>
              <w:pStyle w:val="NoSpacing"/>
            </w:pPr>
            <w:r w:rsidRPr="009C778C">
              <w:t>FOREIGN_CIV</w:t>
            </w:r>
            <w:r w:rsidRPr="009C778C">
              <w:rPr>
                <w:vertAlign w:val="subscript"/>
              </w:rPr>
              <w:t>t − 1</w:t>
            </w:r>
          </w:p>
        </w:tc>
        <w:tc>
          <w:tcPr>
            <w:tcW w:w="0" w:type="auto"/>
            <w:hideMark/>
          </w:tcPr>
          <w:p w14:paraId="14A3B374" w14:textId="77777777" w:rsidR="009C778C" w:rsidRPr="009C778C" w:rsidRDefault="009C778C" w:rsidP="00043BD5">
            <w:pPr>
              <w:pStyle w:val="NoSpacing"/>
            </w:pPr>
          </w:p>
        </w:tc>
        <w:tc>
          <w:tcPr>
            <w:tcW w:w="0" w:type="auto"/>
            <w:hideMark/>
          </w:tcPr>
          <w:p w14:paraId="672813D9" w14:textId="77777777" w:rsidR="009C778C" w:rsidRPr="009C778C" w:rsidRDefault="009C778C" w:rsidP="00043BD5">
            <w:pPr>
              <w:pStyle w:val="NoSpacing"/>
            </w:pPr>
          </w:p>
        </w:tc>
        <w:tc>
          <w:tcPr>
            <w:tcW w:w="0" w:type="auto"/>
            <w:hideMark/>
          </w:tcPr>
          <w:p w14:paraId="078E5A35" w14:textId="77777777" w:rsidR="009C778C" w:rsidRPr="009C778C" w:rsidRDefault="009C778C" w:rsidP="00043BD5">
            <w:pPr>
              <w:pStyle w:val="NoSpacing"/>
            </w:pPr>
            <w:r w:rsidRPr="009C778C">
              <w:t>0.786**</w:t>
            </w:r>
          </w:p>
        </w:tc>
        <w:tc>
          <w:tcPr>
            <w:tcW w:w="0" w:type="auto"/>
            <w:hideMark/>
          </w:tcPr>
          <w:p w14:paraId="7B2745B8" w14:textId="77777777" w:rsidR="009C778C" w:rsidRPr="009C778C" w:rsidRDefault="009C778C" w:rsidP="00043BD5">
            <w:pPr>
              <w:pStyle w:val="NoSpacing"/>
            </w:pPr>
          </w:p>
        </w:tc>
        <w:tc>
          <w:tcPr>
            <w:tcW w:w="0" w:type="auto"/>
            <w:hideMark/>
          </w:tcPr>
          <w:p w14:paraId="2CAA92F7" w14:textId="77777777" w:rsidR="009C778C" w:rsidRPr="009C778C" w:rsidRDefault="009C778C" w:rsidP="00043BD5">
            <w:pPr>
              <w:pStyle w:val="NoSpacing"/>
            </w:pPr>
          </w:p>
        </w:tc>
        <w:tc>
          <w:tcPr>
            <w:tcW w:w="0" w:type="auto"/>
            <w:hideMark/>
          </w:tcPr>
          <w:p w14:paraId="26D4CF98" w14:textId="77777777" w:rsidR="009C778C" w:rsidRPr="009C778C" w:rsidRDefault="009C778C" w:rsidP="00043BD5">
            <w:pPr>
              <w:pStyle w:val="NoSpacing"/>
            </w:pPr>
            <w:r w:rsidRPr="009C778C">
              <w:t>0.234</w:t>
            </w:r>
          </w:p>
        </w:tc>
      </w:tr>
      <w:tr w:rsidR="00B74885" w:rsidRPr="009C778C" w14:paraId="521CAD15" w14:textId="77777777" w:rsidTr="00043BD5">
        <w:tc>
          <w:tcPr>
            <w:tcW w:w="0" w:type="auto"/>
            <w:hideMark/>
          </w:tcPr>
          <w:p w14:paraId="49DECB7F" w14:textId="77777777" w:rsidR="009C778C" w:rsidRPr="009C778C" w:rsidRDefault="009C778C" w:rsidP="00043BD5">
            <w:pPr>
              <w:pStyle w:val="NoSpacing"/>
            </w:pPr>
          </w:p>
        </w:tc>
        <w:tc>
          <w:tcPr>
            <w:tcW w:w="0" w:type="auto"/>
            <w:hideMark/>
          </w:tcPr>
          <w:p w14:paraId="03319092" w14:textId="77777777" w:rsidR="009C778C" w:rsidRPr="009C778C" w:rsidRDefault="009C778C" w:rsidP="00043BD5">
            <w:pPr>
              <w:pStyle w:val="NoSpacing"/>
            </w:pPr>
          </w:p>
        </w:tc>
        <w:tc>
          <w:tcPr>
            <w:tcW w:w="0" w:type="auto"/>
            <w:hideMark/>
          </w:tcPr>
          <w:p w14:paraId="1F83E4D1" w14:textId="77777777" w:rsidR="009C778C" w:rsidRPr="009C778C" w:rsidRDefault="009C778C" w:rsidP="00043BD5">
            <w:pPr>
              <w:pStyle w:val="NoSpacing"/>
            </w:pPr>
          </w:p>
        </w:tc>
        <w:tc>
          <w:tcPr>
            <w:tcW w:w="0" w:type="auto"/>
            <w:hideMark/>
          </w:tcPr>
          <w:p w14:paraId="21EDED1D" w14:textId="77777777" w:rsidR="009C778C" w:rsidRPr="009C778C" w:rsidRDefault="009C778C" w:rsidP="00043BD5">
            <w:pPr>
              <w:pStyle w:val="NoSpacing"/>
            </w:pPr>
            <w:r w:rsidRPr="009C778C">
              <w:t>(2.22)</w:t>
            </w:r>
          </w:p>
        </w:tc>
        <w:tc>
          <w:tcPr>
            <w:tcW w:w="0" w:type="auto"/>
            <w:hideMark/>
          </w:tcPr>
          <w:p w14:paraId="3FAE2B15" w14:textId="77777777" w:rsidR="009C778C" w:rsidRPr="009C778C" w:rsidRDefault="009C778C" w:rsidP="00043BD5">
            <w:pPr>
              <w:pStyle w:val="NoSpacing"/>
            </w:pPr>
          </w:p>
        </w:tc>
        <w:tc>
          <w:tcPr>
            <w:tcW w:w="0" w:type="auto"/>
            <w:hideMark/>
          </w:tcPr>
          <w:p w14:paraId="17B78B4A" w14:textId="77777777" w:rsidR="009C778C" w:rsidRPr="009C778C" w:rsidRDefault="009C778C" w:rsidP="00043BD5">
            <w:pPr>
              <w:pStyle w:val="NoSpacing"/>
            </w:pPr>
          </w:p>
        </w:tc>
        <w:tc>
          <w:tcPr>
            <w:tcW w:w="0" w:type="auto"/>
            <w:hideMark/>
          </w:tcPr>
          <w:p w14:paraId="7767545F" w14:textId="77777777" w:rsidR="009C778C" w:rsidRPr="009C778C" w:rsidRDefault="009C778C" w:rsidP="00043BD5">
            <w:pPr>
              <w:pStyle w:val="NoSpacing"/>
            </w:pPr>
            <w:r w:rsidRPr="009C778C">
              <w:t>(1.57)</w:t>
            </w:r>
          </w:p>
        </w:tc>
      </w:tr>
      <w:tr w:rsidR="00B74885" w:rsidRPr="009C778C" w14:paraId="5955DD68" w14:textId="77777777" w:rsidTr="00043BD5">
        <w:tc>
          <w:tcPr>
            <w:tcW w:w="0" w:type="auto"/>
            <w:hideMark/>
          </w:tcPr>
          <w:p w14:paraId="3128E01D" w14:textId="77777777" w:rsidR="009C778C" w:rsidRPr="009C778C" w:rsidRDefault="009C778C" w:rsidP="00043BD5">
            <w:pPr>
              <w:pStyle w:val="NoSpacing"/>
            </w:pPr>
            <w:r w:rsidRPr="009C778C">
              <w:t>SIZE</w:t>
            </w:r>
            <w:r w:rsidRPr="009C778C">
              <w:rPr>
                <w:vertAlign w:val="subscript"/>
              </w:rPr>
              <w:t>t − 1</w:t>
            </w:r>
          </w:p>
        </w:tc>
        <w:tc>
          <w:tcPr>
            <w:tcW w:w="0" w:type="auto"/>
            <w:hideMark/>
          </w:tcPr>
          <w:p w14:paraId="082A7814" w14:textId="77777777" w:rsidR="009C778C" w:rsidRPr="009C778C" w:rsidRDefault="009C778C" w:rsidP="00043BD5">
            <w:pPr>
              <w:pStyle w:val="NoSpacing"/>
            </w:pPr>
          </w:p>
        </w:tc>
        <w:tc>
          <w:tcPr>
            <w:tcW w:w="0" w:type="auto"/>
            <w:hideMark/>
          </w:tcPr>
          <w:p w14:paraId="604D4BF0" w14:textId="77777777" w:rsidR="009C778C" w:rsidRPr="009C778C" w:rsidRDefault="009C778C" w:rsidP="00043BD5">
            <w:pPr>
              <w:pStyle w:val="NoSpacing"/>
            </w:pPr>
            <w:r w:rsidRPr="009C778C">
              <w:t>− 0.022***</w:t>
            </w:r>
          </w:p>
        </w:tc>
        <w:tc>
          <w:tcPr>
            <w:tcW w:w="0" w:type="auto"/>
            <w:hideMark/>
          </w:tcPr>
          <w:p w14:paraId="10672AA1" w14:textId="77777777" w:rsidR="009C778C" w:rsidRPr="009C778C" w:rsidRDefault="009C778C" w:rsidP="00043BD5">
            <w:pPr>
              <w:pStyle w:val="NoSpacing"/>
            </w:pPr>
            <w:r w:rsidRPr="009C778C">
              <w:t>− 0.023***</w:t>
            </w:r>
          </w:p>
        </w:tc>
        <w:tc>
          <w:tcPr>
            <w:tcW w:w="0" w:type="auto"/>
            <w:hideMark/>
          </w:tcPr>
          <w:p w14:paraId="60DB204D" w14:textId="77777777" w:rsidR="009C778C" w:rsidRPr="009C778C" w:rsidRDefault="009C778C" w:rsidP="00043BD5">
            <w:pPr>
              <w:pStyle w:val="NoSpacing"/>
            </w:pPr>
          </w:p>
        </w:tc>
        <w:tc>
          <w:tcPr>
            <w:tcW w:w="0" w:type="auto"/>
            <w:hideMark/>
          </w:tcPr>
          <w:p w14:paraId="5173248E" w14:textId="77777777" w:rsidR="009C778C" w:rsidRPr="009C778C" w:rsidRDefault="009C778C" w:rsidP="00043BD5">
            <w:pPr>
              <w:pStyle w:val="NoSpacing"/>
            </w:pPr>
            <w:r w:rsidRPr="009C778C">
              <w:t>− 0.025***</w:t>
            </w:r>
          </w:p>
        </w:tc>
        <w:tc>
          <w:tcPr>
            <w:tcW w:w="0" w:type="auto"/>
            <w:hideMark/>
          </w:tcPr>
          <w:p w14:paraId="494E3BB8" w14:textId="77777777" w:rsidR="009C778C" w:rsidRPr="009C778C" w:rsidRDefault="009C778C" w:rsidP="00043BD5">
            <w:pPr>
              <w:pStyle w:val="NoSpacing"/>
            </w:pPr>
            <w:r w:rsidRPr="009C778C">
              <w:t>− 0.026***</w:t>
            </w:r>
          </w:p>
        </w:tc>
      </w:tr>
      <w:tr w:rsidR="00B74885" w:rsidRPr="009C778C" w14:paraId="4F953AD5" w14:textId="77777777" w:rsidTr="00043BD5">
        <w:tc>
          <w:tcPr>
            <w:tcW w:w="0" w:type="auto"/>
            <w:hideMark/>
          </w:tcPr>
          <w:p w14:paraId="4E1BB745" w14:textId="77777777" w:rsidR="009C778C" w:rsidRPr="009C778C" w:rsidRDefault="009C778C" w:rsidP="00043BD5">
            <w:pPr>
              <w:pStyle w:val="NoSpacing"/>
            </w:pPr>
          </w:p>
        </w:tc>
        <w:tc>
          <w:tcPr>
            <w:tcW w:w="0" w:type="auto"/>
            <w:hideMark/>
          </w:tcPr>
          <w:p w14:paraId="1852BFC4" w14:textId="77777777" w:rsidR="009C778C" w:rsidRPr="009C778C" w:rsidRDefault="009C778C" w:rsidP="00043BD5">
            <w:pPr>
              <w:pStyle w:val="NoSpacing"/>
            </w:pPr>
          </w:p>
        </w:tc>
        <w:tc>
          <w:tcPr>
            <w:tcW w:w="0" w:type="auto"/>
            <w:hideMark/>
          </w:tcPr>
          <w:p w14:paraId="399372AF" w14:textId="77777777" w:rsidR="009C778C" w:rsidRPr="009C778C" w:rsidRDefault="009C778C" w:rsidP="00043BD5">
            <w:pPr>
              <w:pStyle w:val="NoSpacing"/>
            </w:pPr>
            <w:r w:rsidRPr="009C778C">
              <w:t>(− 3.38)</w:t>
            </w:r>
          </w:p>
        </w:tc>
        <w:tc>
          <w:tcPr>
            <w:tcW w:w="0" w:type="auto"/>
            <w:hideMark/>
          </w:tcPr>
          <w:p w14:paraId="68A36B0E" w14:textId="77777777" w:rsidR="009C778C" w:rsidRPr="009C778C" w:rsidRDefault="009C778C" w:rsidP="00043BD5">
            <w:pPr>
              <w:pStyle w:val="NoSpacing"/>
            </w:pPr>
            <w:r w:rsidRPr="009C778C">
              <w:t>(− 3.75)</w:t>
            </w:r>
          </w:p>
        </w:tc>
        <w:tc>
          <w:tcPr>
            <w:tcW w:w="0" w:type="auto"/>
            <w:hideMark/>
          </w:tcPr>
          <w:p w14:paraId="604EDCDD" w14:textId="77777777" w:rsidR="009C778C" w:rsidRPr="009C778C" w:rsidRDefault="009C778C" w:rsidP="00043BD5">
            <w:pPr>
              <w:pStyle w:val="NoSpacing"/>
            </w:pPr>
          </w:p>
        </w:tc>
        <w:tc>
          <w:tcPr>
            <w:tcW w:w="0" w:type="auto"/>
            <w:hideMark/>
          </w:tcPr>
          <w:p w14:paraId="4C7BEFE3" w14:textId="77777777" w:rsidR="009C778C" w:rsidRPr="009C778C" w:rsidRDefault="009C778C" w:rsidP="00043BD5">
            <w:pPr>
              <w:pStyle w:val="NoSpacing"/>
            </w:pPr>
            <w:r w:rsidRPr="009C778C">
              <w:t>(− 6.82)</w:t>
            </w:r>
          </w:p>
        </w:tc>
        <w:tc>
          <w:tcPr>
            <w:tcW w:w="0" w:type="auto"/>
            <w:hideMark/>
          </w:tcPr>
          <w:p w14:paraId="49AEBCFE" w14:textId="77777777" w:rsidR="009C778C" w:rsidRPr="009C778C" w:rsidRDefault="009C778C" w:rsidP="00043BD5">
            <w:pPr>
              <w:pStyle w:val="NoSpacing"/>
            </w:pPr>
            <w:r w:rsidRPr="009C778C">
              <w:t>(− 7.19)</w:t>
            </w:r>
          </w:p>
        </w:tc>
      </w:tr>
      <w:tr w:rsidR="00B74885" w:rsidRPr="009C778C" w14:paraId="327BD1ED" w14:textId="77777777" w:rsidTr="00043BD5">
        <w:tc>
          <w:tcPr>
            <w:tcW w:w="0" w:type="auto"/>
            <w:hideMark/>
          </w:tcPr>
          <w:p w14:paraId="2AFEE010" w14:textId="77777777" w:rsidR="009C778C" w:rsidRPr="009C778C" w:rsidRDefault="009C778C" w:rsidP="00043BD5">
            <w:pPr>
              <w:pStyle w:val="NoSpacing"/>
            </w:pPr>
            <w:r w:rsidRPr="009C778C">
              <w:t>ROA</w:t>
            </w:r>
            <w:r w:rsidRPr="009C778C">
              <w:rPr>
                <w:vertAlign w:val="subscript"/>
              </w:rPr>
              <w:t>t − 1</w:t>
            </w:r>
          </w:p>
        </w:tc>
        <w:tc>
          <w:tcPr>
            <w:tcW w:w="0" w:type="auto"/>
            <w:hideMark/>
          </w:tcPr>
          <w:p w14:paraId="0EE681C2" w14:textId="77777777" w:rsidR="009C778C" w:rsidRPr="009C778C" w:rsidRDefault="009C778C" w:rsidP="00043BD5">
            <w:pPr>
              <w:pStyle w:val="NoSpacing"/>
            </w:pPr>
          </w:p>
        </w:tc>
        <w:tc>
          <w:tcPr>
            <w:tcW w:w="0" w:type="auto"/>
            <w:hideMark/>
          </w:tcPr>
          <w:p w14:paraId="3C0CAEF1" w14:textId="77777777" w:rsidR="009C778C" w:rsidRPr="009C778C" w:rsidRDefault="009C778C" w:rsidP="00043BD5">
            <w:pPr>
              <w:pStyle w:val="NoSpacing"/>
            </w:pPr>
            <w:r w:rsidRPr="009C778C">
              <w:t>− 0.439***</w:t>
            </w:r>
          </w:p>
        </w:tc>
        <w:tc>
          <w:tcPr>
            <w:tcW w:w="0" w:type="auto"/>
            <w:hideMark/>
          </w:tcPr>
          <w:p w14:paraId="4DA0279F" w14:textId="77777777" w:rsidR="009C778C" w:rsidRPr="009C778C" w:rsidRDefault="009C778C" w:rsidP="00043BD5">
            <w:pPr>
              <w:pStyle w:val="NoSpacing"/>
            </w:pPr>
            <w:r w:rsidRPr="009C778C">
              <w:t>− 0.437***</w:t>
            </w:r>
          </w:p>
        </w:tc>
        <w:tc>
          <w:tcPr>
            <w:tcW w:w="0" w:type="auto"/>
            <w:hideMark/>
          </w:tcPr>
          <w:p w14:paraId="141CD0F6" w14:textId="77777777" w:rsidR="009C778C" w:rsidRPr="009C778C" w:rsidRDefault="009C778C" w:rsidP="00043BD5">
            <w:pPr>
              <w:pStyle w:val="NoSpacing"/>
            </w:pPr>
          </w:p>
        </w:tc>
        <w:tc>
          <w:tcPr>
            <w:tcW w:w="0" w:type="auto"/>
            <w:hideMark/>
          </w:tcPr>
          <w:p w14:paraId="30892ACF" w14:textId="77777777" w:rsidR="009C778C" w:rsidRPr="009C778C" w:rsidRDefault="009C778C" w:rsidP="00043BD5">
            <w:pPr>
              <w:pStyle w:val="NoSpacing"/>
            </w:pPr>
            <w:r w:rsidRPr="009C778C">
              <w:t>− 0.857***</w:t>
            </w:r>
          </w:p>
        </w:tc>
        <w:tc>
          <w:tcPr>
            <w:tcW w:w="0" w:type="auto"/>
            <w:hideMark/>
          </w:tcPr>
          <w:p w14:paraId="193C1EF1" w14:textId="77777777" w:rsidR="009C778C" w:rsidRPr="009C778C" w:rsidRDefault="009C778C" w:rsidP="00043BD5">
            <w:pPr>
              <w:pStyle w:val="NoSpacing"/>
            </w:pPr>
            <w:r w:rsidRPr="009C778C">
              <w:t>− 0.861***</w:t>
            </w:r>
          </w:p>
        </w:tc>
      </w:tr>
      <w:tr w:rsidR="00B74885" w:rsidRPr="009C778C" w14:paraId="23427324" w14:textId="77777777" w:rsidTr="00043BD5">
        <w:tc>
          <w:tcPr>
            <w:tcW w:w="0" w:type="auto"/>
            <w:hideMark/>
          </w:tcPr>
          <w:p w14:paraId="53314AC9" w14:textId="77777777" w:rsidR="009C778C" w:rsidRPr="009C778C" w:rsidRDefault="009C778C" w:rsidP="00043BD5">
            <w:pPr>
              <w:pStyle w:val="NoSpacing"/>
            </w:pPr>
          </w:p>
        </w:tc>
        <w:tc>
          <w:tcPr>
            <w:tcW w:w="0" w:type="auto"/>
            <w:hideMark/>
          </w:tcPr>
          <w:p w14:paraId="250EEB1F" w14:textId="77777777" w:rsidR="009C778C" w:rsidRPr="009C778C" w:rsidRDefault="009C778C" w:rsidP="00043BD5">
            <w:pPr>
              <w:pStyle w:val="NoSpacing"/>
            </w:pPr>
          </w:p>
        </w:tc>
        <w:tc>
          <w:tcPr>
            <w:tcW w:w="0" w:type="auto"/>
            <w:hideMark/>
          </w:tcPr>
          <w:p w14:paraId="485EBF88" w14:textId="77777777" w:rsidR="009C778C" w:rsidRPr="009C778C" w:rsidRDefault="009C778C" w:rsidP="00043BD5">
            <w:pPr>
              <w:pStyle w:val="NoSpacing"/>
            </w:pPr>
            <w:r w:rsidRPr="009C778C">
              <w:t>(− 8.63)</w:t>
            </w:r>
          </w:p>
        </w:tc>
        <w:tc>
          <w:tcPr>
            <w:tcW w:w="0" w:type="auto"/>
            <w:hideMark/>
          </w:tcPr>
          <w:p w14:paraId="75E691E1" w14:textId="77777777" w:rsidR="009C778C" w:rsidRPr="009C778C" w:rsidRDefault="009C778C" w:rsidP="00043BD5">
            <w:pPr>
              <w:pStyle w:val="NoSpacing"/>
            </w:pPr>
            <w:r w:rsidRPr="009C778C">
              <w:t>(− 8.63)</w:t>
            </w:r>
          </w:p>
        </w:tc>
        <w:tc>
          <w:tcPr>
            <w:tcW w:w="0" w:type="auto"/>
            <w:hideMark/>
          </w:tcPr>
          <w:p w14:paraId="29775DE6" w14:textId="77777777" w:rsidR="009C778C" w:rsidRPr="009C778C" w:rsidRDefault="009C778C" w:rsidP="00043BD5">
            <w:pPr>
              <w:pStyle w:val="NoSpacing"/>
            </w:pPr>
          </w:p>
        </w:tc>
        <w:tc>
          <w:tcPr>
            <w:tcW w:w="0" w:type="auto"/>
            <w:hideMark/>
          </w:tcPr>
          <w:p w14:paraId="635A0F74" w14:textId="77777777" w:rsidR="009C778C" w:rsidRPr="009C778C" w:rsidRDefault="009C778C" w:rsidP="00043BD5">
            <w:pPr>
              <w:pStyle w:val="NoSpacing"/>
            </w:pPr>
            <w:r w:rsidRPr="009C778C">
              <w:t>(− 13.67)</w:t>
            </w:r>
          </w:p>
        </w:tc>
        <w:tc>
          <w:tcPr>
            <w:tcW w:w="0" w:type="auto"/>
            <w:hideMark/>
          </w:tcPr>
          <w:p w14:paraId="110FB93F" w14:textId="77777777" w:rsidR="009C778C" w:rsidRPr="009C778C" w:rsidRDefault="009C778C" w:rsidP="00043BD5">
            <w:pPr>
              <w:pStyle w:val="NoSpacing"/>
            </w:pPr>
            <w:r w:rsidRPr="009C778C">
              <w:t>(− 13.73)</w:t>
            </w:r>
          </w:p>
        </w:tc>
      </w:tr>
      <w:tr w:rsidR="00B74885" w:rsidRPr="009C778C" w14:paraId="27553A5E" w14:textId="77777777" w:rsidTr="00043BD5">
        <w:tc>
          <w:tcPr>
            <w:tcW w:w="0" w:type="auto"/>
            <w:hideMark/>
          </w:tcPr>
          <w:p w14:paraId="4747E9F8" w14:textId="77777777" w:rsidR="009C778C" w:rsidRPr="009C778C" w:rsidRDefault="009C778C" w:rsidP="00043BD5">
            <w:pPr>
              <w:pStyle w:val="NoSpacing"/>
            </w:pPr>
            <w:r w:rsidRPr="009C778C">
              <w:t>MTB</w:t>
            </w:r>
            <w:r w:rsidRPr="009C778C">
              <w:rPr>
                <w:vertAlign w:val="subscript"/>
              </w:rPr>
              <w:t>t − 1</w:t>
            </w:r>
          </w:p>
        </w:tc>
        <w:tc>
          <w:tcPr>
            <w:tcW w:w="0" w:type="auto"/>
            <w:hideMark/>
          </w:tcPr>
          <w:p w14:paraId="2CE7AA48" w14:textId="77777777" w:rsidR="009C778C" w:rsidRPr="009C778C" w:rsidRDefault="009C778C" w:rsidP="00043BD5">
            <w:pPr>
              <w:pStyle w:val="NoSpacing"/>
            </w:pPr>
          </w:p>
        </w:tc>
        <w:tc>
          <w:tcPr>
            <w:tcW w:w="0" w:type="auto"/>
            <w:hideMark/>
          </w:tcPr>
          <w:p w14:paraId="4E7C682B" w14:textId="77777777" w:rsidR="009C778C" w:rsidRPr="009C778C" w:rsidRDefault="009C778C" w:rsidP="00043BD5">
            <w:pPr>
              <w:pStyle w:val="NoSpacing"/>
            </w:pPr>
            <w:r w:rsidRPr="009C778C">
              <w:t>− 0.017</w:t>
            </w:r>
          </w:p>
        </w:tc>
        <w:tc>
          <w:tcPr>
            <w:tcW w:w="0" w:type="auto"/>
            <w:hideMark/>
          </w:tcPr>
          <w:p w14:paraId="15B51590" w14:textId="77777777" w:rsidR="009C778C" w:rsidRPr="009C778C" w:rsidRDefault="009C778C" w:rsidP="00043BD5">
            <w:pPr>
              <w:pStyle w:val="NoSpacing"/>
            </w:pPr>
            <w:r w:rsidRPr="009C778C">
              <w:t>− 0.019</w:t>
            </w:r>
          </w:p>
        </w:tc>
        <w:tc>
          <w:tcPr>
            <w:tcW w:w="0" w:type="auto"/>
            <w:hideMark/>
          </w:tcPr>
          <w:p w14:paraId="5F08E3EB" w14:textId="77777777" w:rsidR="009C778C" w:rsidRPr="009C778C" w:rsidRDefault="009C778C" w:rsidP="00043BD5">
            <w:pPr>
              <w:pStyle w:val="NoSpacing"/>
            </w:pPr>
          </w:p>
        </w:tc>
        <w:tc>
          <w:tcPr>
            <w:tcW w:w="0" w:type="auto"/>
            <w:hideMark/>
          </w:tcPr>
          <w:p w14:paraId="731C8775" w14:textId="77777777" w:rsidR="009C778C" w:rsidRPr="009C778C" w:rsidRDefault="009C778C" w:rsidP="00043BD5">
            <w:pPr>
              <w:pStyle w:val="NoSpacing"/>
            </w:pPr>
            <w:r w:rsidRPr="009C778C">
              <w:t>− 0.024*</w:t>
            </w:r>
          </w:p>
        </w:tc>
        <w:tc>
          <w:tcPr>
            <w:tcW w:w="0" w:type="auto"/>
            <w:hideMark/>
          </w:tcPr>
          <w:p w14:paraId="28859296" w14:textId="77777777" w:rsidR="009C778C" w:rsidRPr="009C778C" w:rsidRDefault="009C778C" w:rsidP="00043BD5">
            <w:pPr>
              <w:pStyle w:val="NoSpacing"/>
            </w:pPr>
            <w:r w:rsidRPr="009C778C">
              <w:t>− 0.026*</w:t>
            </w:r>
          </w:p>
        </w:tc>
      </w:tr>
      <w:tr w:rsidR="00B74885" w:rsidRPr="009C778C" w14:paraId="1AB3D0CC" w14:textId="77777777" w:rsidTr="00043BD5">
        <w:tc>
          <w:tcPr>
            <w:tcW w:w="0" w:type="auto"/>
            <w:hideMark/>
          </w:tcPr>
          <w:p w14:paraId="0BACF2A1" w14:textId="77777777" w:rsidR="009C778C" w:rsidRPr="009C778C" w:rsidRDefault="009C778C" w:rsidP="00043BD5">
            <w:pPr>
              <w:pStyle w:val="NoSpacing"/>
            </w:pPr>
          </w:p>
        </w:tc>
        <w:tc>
          <w:tcPr>
            <w:tcW w:w="0" w:type="auto"/>
            <w:hideMark/>
          </w:tcPr>
          <w:p w14:paraId="04E4D319" w14:textId="77777777" w:rsidR="009C778C" w:rsidRPr="009C778C" w:rsidRDefault="009C778C" w:rsidP="00043BD5">
            <w:pPr>
              <w:pStyle w:val="NoSpacing"/>
            </w:pPr>
          </w:p>
        </w:tc>
        <w:tc>
          <w:tcPr>
            <w:tcW w:w="0" w:type="auto"/>
            <w:hideMark/>
          </w:tcPr>
          <w:p w14:paraId="598319EE" w14:textId="77777777" w:rsidR="009C778C" w:rsidRPr="009C778C" w:rsidRDefault="009C778C" w:rsidP="00043BD5">
            <w:pPr>
              <w:pStyle w:val="NoSpacing"/>
            </w:pPr>
            <w:r w:rsidRPr="009C778C">
              <w:t>(− 1.21)</w:t>
            </w:r>
          </w:p>
        </w:tc>
        <w:tc>
          <w:tcPr>
            <w:tcW w:w="0" w:type="auto"/>
            <w:hideMark/>
          </w:tcPr>
          <w:p w14:paraId="1586B3FA" w14:textId="77777777" w:rsidR="009C778C" w:rsidRPr="009C778C" w:rsidRDefault="009C778C" w:rsidP="00043BD5">
            <w:pPr>
              <w:pStyle w:val="NoSpacing"/>
            </w:pPr>
            <w:r w:rsidRPr="009C778C">
              <w:t>(− 1.33)</w:t>
            </w:r>
          </w:p>
        </w:tc>
        <w:tc>
          <w:tcPr>
            <w:tcW w:w="0" w:type="auto"/>
            <w:hideMark/>
          </w:tcPr>
          <w:p w14:paraId="6BB3429A" w14:textId="77777777" w:rsidR="009C778C" w:rsidRPr="009C778C" w:rsidRDefault="009C778C" w:rsidP="00043BD5">
            <w:pPr>
              <w:pStyle w:val="NoSpacing"/>
            </w:pPr>
          </w:p>
        </w:tc>
        <w:tc>
          <w:tcPr>
            <w:tcW w:w="0" w:type="auto"/>
            <w:hideMark/>
          </w:tcPr>
          <w:p w14:paraId="570F0468" w14:textId="77777777" w:rsidR="009C778C" w:rsidRPr="009C778C" w:rsidRDefault="009C778C" w:rsidP="00043BD5">
            <w:pPr>
              <w:pStyle w:val="NoSpacing"/>
            </w:pPr>
            <w:r w:rsidRPr="009C778C">
              <w:t>(− 1.77)</w:t>
            </w:r>
          </w:p>
        </w:tc>
        <w:tc>
          <w:tcPr>
            <w:tcW w:w="0" w:type="auto"/>
            <w:hideMark/>
          </w:tcPr>
          <w:p w14:paraId="7628EA5C" w14:textId="77777777" w:rsidR="009C778C" w:rsidRPr="009C778C" w:rsidRDefault="009C778C" w:rsidP="00043BD5">
            <w:pPr>
              <w:pStyle w:val="NoSpacing"/>
            </w:pPr>
            <w:r w:rsidRPr="009C778C">
              <w:t>(− 1.95)</w:t>
            </w:r>
          </w:p>
        </w:tc>
      </w:tr>
      <w:tr w:rsidR="00B74885" w:rsidRPr="009C778C" w14:paraId="396349EA" w14:textId="77777777" w:rsidTr="00043BD5">
        <w:tc>
          <w:tcPr>
            <w:tcW w:w="0" w:type="auto"/>
            <w:hideMark/>
          </w:tcPr>
          <w:p w14:paraId="7F5DE1DF" w14:textId="77777777" w:rsidR="009C778C" w:rsidRPr="009C778C" w:rsidRDefault="009C778C" w:rsidP="00043BD5">
            <w:pPr>
              <w:pStyle w:val="NoSpacing"/>
            </w:pPr>
            <w:r w:rsidRPr="009C778C">
              <w:t>SALEGROWTH</w:t>
            </w:r>
            <w:r w:rsidRPr="009C778C">
              <w:rPr>
                <w:vertAlign w:val="subscript"/>
              </w:rPr>
              <w:t>t − 1</w:t>
            </w:r>
          </w:p>
        </w:tc>
        <w:tc>
          <w:tcPr>
            <w:tcW w:w="0" w:type="auto"/>
            <w:hideMark/>
          </w:tcPr>
          <w:p w14:paraId="4FAF17F4" w14:textId="77777777" w:rsidR="009C778C" w:rsidRPr="009C778C" w:rsidRDefault="009C778C" w:rsidP="00043BD5">
            <w:pPr>
              <w:pStyle w:val="NoSpacing"/>
            </w:pPr>
          </w:p>
        </w:tc>
        <w:tc>
          <w:tcPr>
            <w:tcW w:w="0" w:type="auto"/>
            <w:hideMark/>
          </w:tcPr>
          <w:p w14:paraId="0B36D3DF" w14:textId="77777777" w:rsidR="009C778C" w:rsidRPr="009C778C" w:rsidRDefault="009C778C" w:rsidP="00043BD5">
            <w:pPr>
              <w:pStyle w:val="NoSpacing"/>
            </w:pPr>
            <w:r w:rsidRPr="009C778C">
              <w:t>0.058***</w:t>
            </w:r>
          </w:p>
        </w:tc>
        <w:tc>
          <w:tcPr>
            <w:tcW w:w="0" w:type="auto"/>
            <w:hideMark/>
          </w:tcPr>
          <w:p w14:paraId="516AB886" w14:textId="77777777" w:rsidR="009C778C" w:rsidRPr="009C778C" w:rsidRDefault="009C778C" w:rsidP="00043BD5">
            <w:pPr>
              <w:pStyle w:val="NoSpacing"/>
            </w:pPr>
            <w:r w:rsidRPr="009C778C">
              <w:t>0.058***</w:t>
            </w:r>
          </w:p>
        </w:tc>
        <w:tc>
          <w:tcPr>
            <w:tcW w:w="0" w:type="auto"/>
            <w:hideMark/>
          </w:tcPr>
          <w:p w14:paraId="0635D476" w14:textId="77777777" w:rsidR="009C778C" w:rsidRPr="009C778C" w:rsidRDefault="009C778C" w:rsidP="00043BD5">
            <w:pPr>
              <w:pStyle w:val="NoSpacing"/>
            </w:pPr>
          </w:p>
        </w:tc>
        <w:tc>
          <w:tcPr>
            <w:tcW w:w="0" w:type="auto"/>
            <w:hideMark/>
          </w:tcPr>
          <w:p w14:paraId="5A2455EF" w14:textId="77777777" w:rsidR="009C778C" w:rsidRPr="009C778C" w:rsidRDefault="009C778C" w:rsidP="00043BD5">
            <w:pPr>
              <w:pStyle w:val="NoSpacing"/>
            </w:pPr>
            <w:r w:rsidRPr="009C778C">
              <w:t>− 0.009</w:t>
            </w:r>
          </w:p>
        </w:tc>
        <w:tc>
          <w:tcPr>
            <w:tcW w:w="0" w:type="auto"/>
            <w:hideMark/>
          </w:tcPr>
          <w:p w14:paraId="3F018BF7" w14:textId="77777777" w:rsidR="009C778C" w:rsidRPr="009C778C" w:rsidRDefault="009C778C" w:rsidP="00043BD5">
            <w:pPr>
              <w:pStyle w:val="NoSpacing"/>
            </w:pPr>
            <w:r w:rsidRPr="009C778C">
              <w:t>− 0.009</w:t>
            </w:r>
          </w:p>
        </w:tc>
      </w:tr>
      <w:tr w:rsidR="00B74885" w:rsidRPr="009C778C" w14:paraId="0609A897" w14:textId="77777777" w:rsidTr="00043BD5">
        <w:tc>
          <w:tcPr>
            <w:tcW w:w="0" w:type="auto"/>
            <w:hideMark/>
          </w:tcPr>
          <w:p w14:paraId="31175EEA" w14:textId="77777777" w:rsidR="009C778C" w:rsidRPr="009C778C" w:rsidRDefault="009C778C" w:rsidP="00043BD5">
            <w:pPr>
              <w:pStyle w:val="NoSpacing"/>
            </w:pPr>
          </w:p>
        </w:tc>
        <w:tc>
          <w:tcPr>
            <w:tcW w:w="0" w:type="auto"/>
            <w:hideMark/>
          </w:tcPr>
          <w:p w14:paraId="68A106BB" w14:textId="77777777" w:rsidR="009C778C" w:rsidRPr="009C778C" w:rsidRDefault="009C778C" w:rsidP="00043BD5">
            <w:pPr>
              <w:pStyle w:val="NoSpacing"/>
            </w:pPr>
          </w:p>
        </w:tc>
        <w:tc>
          <w:tcPr>
            <w:tcW w:w="0" w:type="auto"/>
            <w:hideMark/>
          </w:tcPr>
          <w:p w14:paraId="048C17F8" w14:textId="77777777" w:rsidR="009C778C" w:rsidRPr="009C778C" w:rsidRDefault="009C778C" w:rsidP="00043BD5">
            <w:pPr>
              <w:pStyle w:val="NoSpacing"/>
            </w:pPr>
            <w:r w:rsidRPr="009C778C">
              <w:t>(3.35)</w:t>
            </w:r>
          </w:p>
        </w:tc>
        <w:tc>
          <w:tcPr>
            <w:tcW w:w="0" w:type="auto"/>
            <w:hideMark/>
          </w:tcPr>
          <w:p w14:paraId="0D802504" w14:textId="77777777" w:rsidR="009C778C" w:rsidRPr="009C778C" w:rsidRDefault="009C778C" w:rsidP="00043BD5">
            <w:pPr>
              <w:pStyle w:val="NoSpacing"/>
            </w:pPr>
            <w:r w:rsidRPr="009C778C">
              <w:t>(3.35)</w:t>
            </w:r>
          </w:p>
        </w:tc>
        <w:tc>
          <w:tcPr>
            <w:tcW w:w="0" w:type="auto"/>
            <w:hideMark/>
          </w:tcPr>
          <w:p w14:paraId="0818CC78" w14:textId="77777777" w:rsidR="009C778C" w:rsidRPr="009C778C" w:rsidRDefault="009C778C" w:rsidP="00043BD5">
            <w:pPr>
              <w:pStyle w:val="NoSpacing"/>
            </w:pPr>
          </w:p>
        </w:tc>
        <w:tc>
          <w:tcPr>
            <w:tcW w:w="0" w:type="auto"/>
            <w:hideMark/>
          </w:tcPr>
          <w:p w14:paraId="3A68CC0B" w14:textId="77777777" w:rsidR="009C778C" w:rsidRPr="009C778C" w:rsidRDefault="009C778C" w:rsidP="00043BD5">
            <w:pPr>
              <w:pStyle w:val="NoSpacing"/>
            </w:pPr>
            <w:r w:rsidRPr="009C778C">
              <w:t>(− 0.45)</w:t>
            </w:r>
          </w:p>
        </w:tc>
        <w:tc>
          <w:tcPr>
            <w:tcW w:w="0" w:type="auto"/>
            <w:hideMark/>
          </w:tcPr>
          <w:p w14:paraId="6168A187" w14:textId="77777777" w:rsidR="009C778C" w:rsidRPr="009C778C" w:rsidRDefault="009C778C" w:rsidP="00043BD5">
            <w:pPr>
              <w:pStyle w:val="NoSpacing"/>
            </w:pPr>
            <w:r w:rsidRPr="009C778C">
              <w:t>(− 0.45)</w:t>
            </w:r>
          </w:p>
        </w:tc>
      </w:tr>
      <w:tr w:rsidR="00B74885" w:rsidRPr="009C778C" w14:paraId="3F4D07AB" w14:textId="77777777" w:rsidTr="00043BD5">
        <w:tc>
          <w:tcPr>
            <w:tcW w:w="0" w:type="auto"/>
            <w:hideMark/>
          </w:tcPr>
          <w:p w14:paraId="3B955597" w14:textId="77777777" w:rsidR="009C778C" w:rsidRPr="009C778C" w:rsidRDefault="009C778C" w:rsidP="00043BD5">
            <w:pPr>
              <w:pStyle w:val="NoSpacing"/>
            </w:pPr>
            <w:r w:rsidRPr="009C778C">
              <w:t>LEV</w:t>
            </w:r>
            <w:r w:rsidRPr="009C778C">
              <w:rPr>
                <w:vertAlign w:val="subscript"/>
              </w:rPr>
              <w:t>t − 1</w:t>
            </w:r>
          </w:p>
        </w:tc>
        <w:tc>
          <w:tcPr>
            <w:tcW w:w="0" w:type="auto"/>
            <w:hideMark/>
          </w:tcPr>
          <w:p w14:paraId="6B014630" w14:textId="77777777" w:rsidR="009C778C" w:rsidRPr="009C778C" w:rsidRDefault="009C778C" w:rsidP="00043BD5">
            <w:pPr>
              <w:pStyle w:val="NoSpacing"/>
            </w:pPr>
          </w:p>
        </w:tc>
        <w:tc>
          <w:tcPr>
            <w:tcW w:w="0" w:type="auto"/>
            <w:hideMark/>
          </w:tcPr>
          <w:p w14:paraId="2AEE9274" w14:textId="77777777" w:rsidR="009C778C" w:rsidRPr="009C778C" w:rsidRDefault="009C778C" w:rsidP="00043BD5">
            <w:pPr>
              <w:pStyle w:val="NoSpacing"/>
            </w:pPr>
            <w:r w:rsidRPr="009C778C">
              <w:t>0.244***</w:t>
            </w:r>
          </w:p>
        </w:tc>
        <w:tc>
          <w:tcPr>
            <w:tcW w:w="0" w:type="auto"/>
            <w:hideMark/>
          </w:tcPr>
          <w:p w14:paraId="1D753F17" w14:textId="77777777" w:rsidR="009C778C" w:rsidRPr="009C778C" w:rsidRDefault="009C778C" w:rsidP="00043BD5">
            <w:pPr>
              <w:pStyle w:val="NoSpacing"/>
            </w:pPr>
            <w:r w:rsidRPr="009C778C">
              <w:t>0.243***</w:t>
            </w:r>
          </w:p>
        </w:tc>
        <w:tc>
          <w:tcPr>
            <w:tcW w:w="0" w:type="auto"/>
            <w:hideMark/>
          </w:tcPr>
          <w:p w14:paraId="36020BC1" w14:textId="77777777" w:rsidR="009C778C" w:rsidRPr="009C778C" w:rsidRDefault="009C778C" w:rsidP="00043BD5">
            <w:pPr>
              <w:pStyle w:val="NoSpacing"/>
            </w:pPr>
          </w:p>
        </w:tc>
        <w:tc>
          <w:tcPr>
            <w:tcW w:w="0" w:type="auto"/>
            <w:hideMark/>
          </w:tcPr>
          <w:p w14:paraId="0789C003" w14:textId="77777777" w:rsidR="009C778C" w:rsidRPr="009C778C" w:rsidRDefault="009C778C" w:rsidP="00043BD5">
            <w:pPr>
              <w:pStyle w:val="NoSpacing"/>
            </w:pPr>
            <w:r w:rsidRPr="009C778C">
              <w:t>0.224***</w:t>
            </w:r>
          </w:p>
        </w:tc>
        <w:tc>
          <w:tcPr>
            <w:tcW w:w="0" w:type="auto"/>
            <w:hideMark/>
          </w:tcPr>
          <w:p w14:paraId="4A97DED9" w14:textId="77777777" w:rsidR="009C778C" w:rsidRPr="009C778C" w:rsidRDefault="009C778C" w:rsidP="00043BD5">
            <w:pPr>
              <w:pStyle w:val="NoSpacing"/>
            </w:pPr>
            <w:r w:rsidRPr="009C778C">
              <w:t>0.225***</w:t>
            </w:r>
          </w:p>
        </w:tc>
      </w:tr>
      <w:tr w:rsidR="00B74885" w:rsidRPr="009C778C" w14:paraId="7BBBBC82" w14:textId="77777777" w:rsidTr="00043BD5">
        <w:tc>
          <w:tcPr>
            <w:tcW w:w="0" w:type="auto"/>
            <w:hideMark/>
          </w:tcPr>
          <w:p w14:paraId="092C06FD" w14:textId="77777777" w:rsidR="009C778C" w:rsidRPr="009C778C" w:rsidRDefault="009C778C" w:rsidP="00043BD5">
            <w:pPr>
              <w:pStyle w:val="NoSpacing"/>
            </w:pPr>
          </w:p>
        </w:tc>
        <w:tc>
          <w:tcPr>
            <w:tcW w:w="0" w:type="auto"/>
            <w:hideMark/>
          </w:tcPr>
          <w:p w14:paraId="7914BF8B" w14:textId="77777777" w:rsidR="009C778C" w:rsidRPr="009C778C" w:rsidRDefault="009C778C" w:rsidP="00043BD5">
            <w:pPr>
              <w:pStyle w:val="NoSpacing"/>
            </w:pPr>
          </w:p>
        </w:tc>
        <w:tc>
          <w:tcPr>
            <w:tcW w:w="0" w:type="auto"/>
            <w:hideMark/>
          </w:tcPr>
          <w:p w14:paraId="2C053B12" w14:textId="77777777" w:rsidR="009C778C" w:rsidRPr="009C778C" w:rsidRDefault="009C778C" w:rsidP="00043BD5">
            <w:pPr>
              <w:pStyle w:val="NoSpacing"/>
            </w:pPr>
            <w:r w:rsidRPr="009C778C">
              <w:t>(4.30)</w:t>
            </w:r>
          </w:p>
        </w:tc>
        <w:tc>
          <w:tcPr>
            <w:tcW w:w="0" w:type="auto"/>
            <w:hideMark/>
          </w:tcPr>
          <w:p w14:paraId="5FB7F9E1" w14:textId="77777777" w:rsidR="009C778C" w:rsidRPr="009C778C" w:rsidRDefault="009C778C" w:rsidP="00043BD5">
            <w:pPr>
              <w:pStyle w:val="NoSpacing"/>
            </w:pPr>
            <w:r w:rsidRPr="009C778C">
              <w:t>(4.29)</w:t>
            </w:r>
          </w:p>
        </w:tc>
        <w:tc>
          <w:tcPr>
            <w:tcW w:w="0" w:type="auto"/>
            <w:hideMark/>
          </w:tcPr>
          <w:p w14:paraId="2FFA0C7F" w14:textId="77777777" w:rsidR="009C778C" w:rsidRPr="009C778C" w:rsidRDefault="009C778C" w:rsidP="00043BD5">
            <w:pPr>
              <w:pStyle w:val="NoSpacing"/>
            </w:pPr>
          </w:p>
        </w:tc>
        <w:tc>
          <w:tcPr>
            <w:tcW w:w="0" w:type="auto"/>
            <w:hideMark/>
          </w:tcPr>
          <w:p w14:paraId="26BE4339" w14:textId="77777777" w:rsidR="009C778C" w:rsidRPr="009C778C" w:rsidRDefault="009C778C" w:rsidP="00043BD5">
            <w:pPr>
              <w:pStyle w:val="NoSpacing"/>
            </w:pPr>
            <w:r w:rsidRPr="009C778C">
              <w:t>(6.10)</w:t>
            </w:r>
          </w:p>
        </w:tc>
        <w:tc>
          <w:tcPr>
            <w:tcW w:w="0" w:type="auto"/>
            <w:hideMark/>
          </w:tcPr>
          <w:p w14:paraId="6C25A870" w14:textId="77777777" w:rsidR="009C778C" w:rsidRPr="009C778C" w:rsidRDefault="009C778C" w:rsidP="00043BD5">
            <w:pPr>
              <w:pStyle w:val="NoSpacing"/>
            </w:pPr>
            <w:r w:rsidRPr="009C778C">
              <w:t>(6.14)</w:t>
            </w:r>
          </w:p>
        </w:tc>
      </w:tr>
      <w:tr w:rsidR="00B74885" w:rsidRPr="009C778C" w14:paraId="1E840ACB" w14:textId="77777777" w:rsidTr="00043BD5">
        <w:tc>
          <w:tcPr>
            <w:tcW w:w="0" w:type="auto"/>
            <w:hideMark/>
          </w:tcPr>
          <w:p w14:paraId="6C3BAFC0" w14:textId="77777777" w:rsidR="009C778C" w:rsidRPr="009C778C" w:rsidRDefault="009C778C" w:rsidP="00043BD5">
            <w:pPr>
              <w:pStyle w:val="NoSpacing"/>
            </w:pPr>
            <w:r w:rsidRPr="009C778C">
              <w:t>STDSALE</w:t>
            </w:r>
            <w:r w:rsidRPr="009C778C">
              <w:rPr>
                <w:vertAlign w:val="subscript"/>
              </w:rPr>
              <w:t>t − 1</w:t>
            </w:r>
          </w:p>
        </w:tc>
        <w:tc>
          <w:tcPr>
            <w:tcW w:w="0" w:type="auto"/>
            <w:hideMark/>
          </w:tcPr>
          <w:p w14:paraId="48D24193" w14:textId="77777777" w:rsidR="009C778C" w:rsidRPr="009C778C" w:rsidRDefault="009C778C" w:rsidP="00043BD5">
            <w:pPr>
              <w:pStyle w:val="NoSpacing"/>
            </w:pPr>
          </w:p>
        </w:tc>
        <w:tc>
          <w:tcPr>
            <w:tcW w:w="0" w:type="auto"/>
            <w:hideMark/>
          </w:tcPr>
          <w:p w14:paraId="452A82BD" w14:textId="77777777" w:rsidR="009C778C" w:rsidRPr="009C778C" w:rsidRDefault="009C778C" w:rsidP="00043BD5">
            <w:pPr>
              <w:pStyle w:val="NoSpacing"/>
            </w:pPr>
            <w:r w:rsidRPr="009C778C">
              <w:t>0.340***</w:t>
            </w:r>
          </w:p>
        </w:tc>
        <w:tc>
          <w:tcPr>
            <w:tcW w:w="0" w:type="auto"/>
            <w:hideMark/>
          </w:tcPr>
          <w:p w14:paraId="0AE65A70" w14:textId="77777777" w:rsidR="009C778C" w:rsidRPr="009C778C" w:rsidRDefault="009C778C" w:rsidP="00043BD5">
            <w:pPr>
              <w:pStyle w:val="NoSpacing"/>
            </w:pPr>
            <w:r w:rsidRPr="009C778C">
              <w:t>0.340***</w:t>
            </w:r>
          </w:p>
        </w:tc>
        <w:tc>
          <w:tcPr>
            <w:tcW w:w="0" w:type="auto"/>
            <w:hideMark/>
          </w:tcPr>
          <w:p w14:paraId="422842FE" w14:textId="77777777" w:rsidR="009C778C" w:rsidRPr="009C778C" w:rsidRDefault="009C778C" w:rsidP="00043BD5">
            <w:pPr>
              <w:pStyle w:val="NoSpacing"/>
            </w:pPr>
          </w:p>
        </w:tc>
        <w:tc>
          <w:tcPr>
            <w:tcW w:w="0" w:type="auto"/>
            <w:hideMark/>
          </w:tcPr>
          <w:p w14:paraId="1D9EEEFB" w14:textId="77777777" w:rsidR="009C778C" w:rsidRPr="009C778C" w:rsidRDefault="009C778C" w:rsidP="00043BD5">
            <w:pPr>
              <w:pStyle w:val="NoSpacing"/>
            </w:pPr>
            <w:r w:rsidRPr="009C778C">
              <w:t>0.455***</w:t>
            </w:r>
          </w:p>
        </w:tc>
        <w:tc>
          <w:tcPr>
            <w:tcW w:w="0" w:type="auto"/>
            <w:hideMark/>
          </w:tcPr>
          <w:p w14:paraId="7542CB74" w14:textId="77777777" w:rsidR="009C778C" w:rsidRPr="009C778C" w:rsidRDefault="009C778C" w:rsidP="00043BD5">
            <w:pPr>
              <w:pStyle w:val="NoSpacing"/>
            </w:pPr>
            <w:r w:rsidRPr="009C778C">
              <w:t>0.456***</w:t>
            </w:r>
          </w:p>
        </w:tc>
      </w:tr>
      <w:tr w:rsidR="00B74885" w:rsidRPr="009C778C" w14:paraId="4BC32578" w14:textId="77777777" w:rsidTr="00043BD5">
        <w:tc>
          <w:tcPr>
            <w:tcW w:w="0" w:type="auto"/>
            <w:hideMark/>
          </w:tcPr>
          <w:p w14:paraId="4A9EC5B8" w14:textId="77777777" w:rsidR="009C778C" w:rsidRPr="009C778C" w:rsidRDefault="009C778C" w:rsidP="00043BD5">
            <w:pPr>
              <w:pStyle w:val="NoSpacing"/>
            </w:pPr>
          </w:p>
        </w:tc>
        <w:tc>
          <w:tcPr>
            <w:tcW w:w="0" w:type="auto"/>
            <w:hideMark/>
          </w:tcPr>
          <w:p w14:paraId="4813F19F" w14:textId="77777777" w:rsidR="009C778C" w:rsidRPr="009C778C" w:rsidRDefault="009C778C" w:rsidP="00043BD5">
            <w:pPr>
              <w:pStyle w:val="NoSpacing"/>
            </w:pPr>
          </w:p>
        </w:tc>
        <w:tc>
          <w:tcPr>
            <w:tcW w:w="0" w:type="auto"/>
            <w:hideMark/>
          </w:tcPr>
          <w:p w14:paraId="40292911" w14:textId="77777777" w:rsidR="009C778C" w:rsidRPr="009C778C" w:rsidRDefault="009C778C" w:rsidP="00043BD5">
            <w:pPr>
              <w:pStyle w:val="NoSpacing"/>
            </w:pPr>
            <w:r w:rsidRPr="009C778C">
              <w:t>(7.71)</w:t>
            </w:r>
          </w:p>
        </w:tc>
        <w:tc>
          <w:tcPr>
            <w:tcW w:w="0" w:type="auto"/>
            <w:hideMark/>
          </w:tcPr>
          <w:p w14:paraId="061955E2" w14:textId="77777777" w:rsidR="009C778C" w:rsidRPr="009C778C" w:rsidRDefault="009C778C" w:rsidP="00043BD5">
            <w:pPr>
              <w:pStyle w:val="NoSpacing"/>
            </w:pPr>
            <w:r w:rsidRPr="009C778C">
              <w:t>(7.72)</w:t>
            </w:r>
          </w:p>
        </w:tc>
        <w:tc>
          <w:tcPr>
            <w:tcW w:w="0" w:type="auto"/>
            <w:hideMark/>
          </w:tcPr>
          <w:p w14:paraId="15007760" w14:textId="77777777" w:rsidR="009C778C" w:rsidRPr="009C778C" w:rsidRDefault="009C778C" w:rsidP="00043BD5">
            <w:pPr>
              <w:pStyle w:val="NoSpacing"/>
            </w:pPr>
          </w:p>
        </w:tc>
        <w:tc>
          <w:tcPr>
            <w:tcW w:w="0" w:type="auto"/>
            <w:hideMark/>
          </w:tcPr>
          <w:p w14:paraId="4DF06129" w14:textId="77777777" w:rsidR="009C778C" w:rsidRPr="009C778C" w:rsidRDefault="009C778C" w:rsidP="00043BD5">
            <w:pPr>
              <w:pStyle w:val="NoSpacing"/>
            </w:pPr>
            <w:r w:rsidRPr="009C778C">
              <w:t>(11.02)</w:t>
            </w:r>
          </w:p>
        </w:tc>
        <w:tc>
          <w:tcPr>
            <w:tcW w:w="0" w:type="auto"/>
            <w:hideMark/>
          </w:tcPr>
          <w:p w14:paraId="19CC4015" w14:textId="77777777" w:rsidR="009C778C" w:rsidRPr="009C778C" w:rsidRDefault="009C778C" w:rsidP="00043BD5">
            <w:pPr>
              <w:pStyle w:val="NoSpacing"/>
            </w:pPr>
            <w:r w:rsidRPr="009C778C">
              <w:t>(11.04)</w:t>
            </w:r>
          </w:p>
        </w:tc>
      </w:tr>
      <w:tr w:rsidR="00B74885" w:rsidRPr="009C778C" w14:paraId="5275DD16" w14:textId="77777777" w:rsidTr="00043BD5">
        <w:tc>
          <w:tcPr>
            <w:tcW w:w="0" w:type="auto"/>
            <w:hideMark/>
          </w:tcPr>
          <w:p w14:paraId="18813D25" w14:textId="77777777" w:rsidR="009C778C" w:rsidRPr="009C778C" w:rsidRDefault="009C778C" w:rsidP="00043BD5">
            <w:pPr>
              <w:pStyle w:val="NoSpacing"/>
            </w:pPr>
            <w:r w:rsidRPr="009C778C">
              <w:t>CAPITAL_INTENSITY</w:t>
            </w:r>
            <w:r w:rsidRPr="009C778C">
              <w:rPr>
                <w:vertAlign w:val="subscript"/>
              </w:rPr>
              <w:t>t − 1</w:t>
            </w:r>
          </w:p>
        </w:tc>
        <w:tc>
          <w:tcPr>
            <w:tcW w:w="0" w:type="auto"/>
            <w:hideMark/>
          </w:tcPr>
          <w:p w14:paraId="31137209" w14:textId="77777777" w:rsidR="009C778C" w:rsidRPr="009C778C" w:rsidRDefault="009C778C" w:rsidP="00043BD5">
            <w:pPr>
              <w:pStyle w:val="NoSpacing"/>
            </w:pPr>
          </w:p>
        </w:tc>
        <w:tc>
          <w:tcPr>
            <w:tcW w:w="0" w:type="auto"/>
            <w:hideMark/>
          </w:tcPr>
          <w:p w14:paraId="520A8295" w14:textId="77777777" w:rsidR="009C778C" w:rsidRPr="009C778C" w:rsidRDefault="009C778C" w:rsidP="00043BD5">
            <w:pPr>
              <w:pStyle w:val="NoSpacing"/>
            </w:pPr>
            <w:r w:rsidRPr="009C778C">
              <w:t>− 0.214***</w:t>
            </w:r>
          </w:p>
        </w:tc>
        <w:tc>
          <w:tcPr>
            <w:tcW w:w="0" w:type="auto"/>
            <w:hideMark/>
          </w:tcPr>
          <w:p w14:paraId="78407A9F" w14:textId="77777777" w:rsidR="009C778C" w:rsidRPr="009C778C" w:rsidRDefault="009C778C" w:rsidP="00043BD5">
            <w:pPr>
              <w:pStyle w:val="NoSpacing"/>
            </w:pPr>
            <w:r w:rsidRPr="009C778C">
              <w:t>− 0.214***</w:t>
            </w:r>
          </w:p>
        </w:tc>
        <w:tc>
          <w:tcPr>
            <w:tcW w:w="0" w:type="auto"/>
            <w:hideMark/>
          </w:tcPr>
          <w:p w14:paraId="5CAD2690" w14:textId="77777777" w:rsidR="009C778C" w:rsidRPr="009C778C" w:rsidRDefault="009C778C" w:rsidP="00043BD5">
            <w:pPr>
              <w:pStyle w:val="NoSpacing"/>
            </w:pPr>
          </w:p>
        </w:tc>
        <w:tc>
          <w:tcPr>
            <w:tcW w:w="0" w:type="auto"/>
            <w:hideMark/>
          </w:tcPr>
          <w:p w14:paraId="79AD4570" w14:textId="77777777" w:rsidR="009C778C" w:rsidRPr="009C778C" w:rsidRDefault="009C778C" w:rsidP="00043BD5">
            <w:pPr>
              <w:pStyle w:val="NoSpacing"/>
            </w:pPr>
            <w:r w:rsidRPr="009C778C">
              <w:t>− 0.149***</w:t>
            </w:r>
          </w:p>
        </w:tc>
        <w:tc>
          <w:tcPr>
            <w:tcW w:w="0" w:type="auto"/>
            <w:hideMark/>
          </w:tcPr>
          <w:p w14:paraId="074DE5CF" w14:textId="77777777" w:rsidR="009C778C" w:rsidRPr="009C778C" w:rsidRDefault="009C778C" w:rsidP="00043BD5">
            <w:pPr>
              <w:pStyle w:val="NoSpacing"/>
            </w:pPr>
            <w:r w:rsidRPr="009C778C">
              <w:t>− 0.148***</w:t>
            </w:r>
          </w:p>
        </w:tc>
      </w:tr>
      <w:tr w:rsidR="00B74885" w:rsidRPr="009C778C" w14:paraId="7A8AE430" w14:textId="77777777" w:rsidTr="00043BD5">
        <w:tc>
          <w:tcPr>
            <w:tcW w:w="0" w:type="auto"/>
            <w:hideMark/>
          </w:tcPr>
          <w:p w14:paraId="0EAF7940" w14:textId="77777777" w:rsidR="009C778C" w:rsidRPr="009C778C" w:rsidRDefault="009C778C" w:rsidP="00043BD5">
            <w:pPr>
              <w:pStyle w:val="NoSpacing"/>
            </w:pPr>
          </w:p>
        </w:tc>
        <w:tc>
          <w:tcPr>
            <w:tcW w:w="0" w:type="auto"/>
            <w:hideMark/>
          </w:tcPr>
          <w:p w14:paraId="7CCB4112" w14:textId="77777777" w:rsidR="009C778C" w:rsidRPr="009C778C" w:rsidRDefault="009C778C" w:rsidP="00043BD5">
            <w:pPr>
              <w:pStyle w:val="NoSpacing"/>
            </w:pPr>
          </w:p>
        </w:tc>
        <w:tc>
          <w:tcPr>
            <w:tcW w:w="0" w:type="auto"/>
            <w:hideMark/>
          </w:tcPr>
          <w:p w14:paraId="1C8C51EB" w14:textId="77777777" w:rsidR="009C778C" w:rsidRPr="009C778C" w:rsidRDefault="009C778C" w:rsidP="00043BD5">
            <w:pPr>
              <w:pStyle w:val="NoSpacing"/>
            </w:pPr>
            <w:r w:rsidRPr="009C778C">
              <w:t>(− 9.49)</w:t>
            </w:r>
          </w:p>
        </w:tc>
        <w:tc>
          <w:tcPr>
            <w:tcW w:w="0" w:type="auto"/>
            <w:hideMark/>
          </w:tcPr>
          <w:p w14:paraId="4E2F59F2" w14:textId="77777777" w:rsidR="009C778C" w:rsidRPr="009C778C" w:rsidRDefault="009C778C" w:rsidP="00043BD5">
            <w:pPr>
              <w:pStyle w:val="NoSpacing"/>
            </w:pPr>
            <w:r w:rsidRPr="009C778C">
              <w:t>(− 9.49)</w:t>
            </w:r>
          </w:p>
        </w:tc>
        <w:tc>
          <w:tcPr>
            <w:tcW w:w="0" w:type="auto"/>
            <w:hideMark/>
          </w:tcPr>
          <w:p w14:paraId="099A6DE3" w14:textId="77777777" w:rsidR="009C778C" w:rsidRPr="009C778C" w:rsidRDefault="009C778C" w:rsidP="00043BD5">
            <w:pPr>
              <w:pStyle w:val="NoSpacing"/>
            </w:pPr>
          </w:p>
        </w:tc>
        <w:tc>
          <w:tcPr>
            <w:tcW w:w="0" w:type="auto"/>
            <w:hideMark/>
          </w:tcPr>
          <w:p w14:paraId="04765032" w14:textId="77777777" w:rsidR="009C778C" w:rsidRPr="009C778C" w:rsidRDefault="009C778C" w:rsidP="00043BD5">
            <w:pPr>
              <w:pStyle w:val="NoSpacing"/>
            </w:pPr>
            <w:r w:rsidRPr="009C778C">
              <w:t>(− 10.86)</w:t>
            </w:r>
          </w:p>
        </w:tc>
        <w:tc>
          <w:tcPr>
            <w:tcW w:w="0" w:type="auto"/>
            <w:hideMark/>
          </w:tcPr>
          <w:p w14:paraId="49EF4084" w14:textId="77777777" w:rsidR="009C778C" w:rsidRPr="009C778C" w:rsidRDefault="009C778C" w:rsidP="00043BD5">
            <w:pPr>
              <w:pStyle w:val="NoSpacing"/>
            </w:pPr>
            <w:r w:rsidRPr="009C778C">
              <w:t>(− 10.83)</w:t>
            </w:r>
          </w:p>
        </w:tc>
      </w:tr>
      <w:tr w:rsidR="00B74885" w:rsidRPr="009C778C" w14:paraId="443F4715" w14:textId="77777777" w:rsidTr="00043BD5">
        <w:tc>
          <w:tcPr>
            <w:tcW w:w="0" w:type="auto"/>
            <w:hideMark/>
          </w:tcPr>
          <w:p w14:paraId="3D60F648" w14:textId="77777777" w:rsidR="009C778C" w:rsidRPr="009C778C" w:rsidRDefault="009C778C" w:rsidP="00043BD5">
            <w:pPr>
              <w:pStyle w:val="NoSpacing"/>
            </w:pPr>
            <w:r w:rsidRPr="009C778C">
              <w:t>ANALYST</w:t>
            </w:r>
            <w:r w:rsidRPr="009C778C">
              <w:rPr>
                <w:vertAlign w:val="subscript"/>
              </w:rPr>
              <w:t>t − 1</w:t>
            </w:r>
          </w:p>
        </w:tc>
        <w:tc>
          <w:tcPr>
            <w:tcW w:w="0" w:type="auto"/>
            <w:hideMark/>
          </w:tcPr>
          <w:p w14:paraId="4BD4F0E9" w14:textId="77777777" w:rsidR="009C778C" w:rsidRPr="009C778C" w:rsidRDefault="009C778C" w:rsidP="00043BD5">
            <w:pPr>
              <w:pStyle w:val="NoSpacing"/>
            </w:pPr>
          </w:p>
        </w:tc>
        <w:tc>
          <w:tcPr>
            <w:tcW w:w="0" w:type="auto"/>
            <w:hideMark/>
          </w:tcPr>
          <w:p w14:paraId="432B02CC" w14:textId="77777777" w:rsidR="009C778C" w:rsidRPr="009C778C" w:rsidRDefault="009C778C" w:rsidP="00043BD5">
            <w:pPr>
              <w:pStyle w:val="NoSpacing"/>
            </w:pPr>
            <w:r w:rsidRPr="009C778C">
              <w:t>− 0.014**</w:t>
            </w:r>
          </w:p>
        </w:tc>
        <w:tc>
          <w:tcPr>
            <w:tcW w:w="0" w:type="auto"/>
            <w:hideMark/>
          </w:tcPr>
          <w:p w14:paraId="64171204" w14:textId="77777777" w:rsidR="009C778C" w:rsidRPr="009C778C" w:rsidRDefault="009C778C" w:rsidP="00043BD5">
            <w:pPr>
              <w:pStyle w:val="NoSpacing"/>
            </w:pPr>
            <w:r w:rsidRPr="009C778C">
              <w:t>− 0.018***</w:t>
            </w:r>
          </w:p>
        </w:tc>
        <w:tc>
          <w:tcPr>
            <w:tcW w:w="0" w:type="auto"/>
            <w:hideMark/>
          </w:tcPr>
          <w:p w14:paraId="641B0F59" w14:textId="77777777" w:rsidR="009C778C" w:rsidRPr="009C778C" w:rsidRDefault="009C778C" w:rsidP="00043BD5">
            <w:pPr>
              <w:pStyle w:val="NoSpacing"/>
            </w:pPr>
          </w:p>
        </w:tc>
        <w:tc>
          <w:tcPr>
            <w:tcW w:w="0" w:type="auto"/>
            <w:hideMark/>
          </w:tcPr>
          <w:p w14:paraId="7D28B8BF" w14:textId="77777777" w:rsidR="009C778C" w:rsidRPr="009C778C" w:rsidRDefault="009C778C" w:rsidP="00043BD5">
            <w:pPr>
              <w:pStyle w:val="NoSpacing"/>
            </w:pPr>
            <w:r w:rsidRPr="009C778C">
              <w:t>− 0.008**</w:t>
            </w:r>
          </w:p>
        </w:tc>
        <w:tc>
          <w:tcPr>
            <w:tcW w:w="0" w:type="auto"/>
            <w:hideMark/>
          </w:tcPr>
          <w:p w14:paraId="1E447B6A" w14:textId="77777777" w:rsidR="009C778C" w:rsidRPr="009C778C" w:rsidRDefault="009C778C" w:rsidP="00043BD5">
            <w:pPr>
              <w:pStyle w:val="NoSpacing"/>
            </w:pPr>
            <w:r w:rsidRPr="009C778C">
              <w:t>− 0.011***</w:t>
            </w:r>
          </w:p>
        </w:tc>
      </w:tr>
      <w:tr w:rsidR="00B74885" w:rsidRPr="009C778C" w14:paraId="65CEE93F" w14:textId="77777777" w:rsidTr="00043BD5">
        <w:tc>
          <w:tcPr>
            <w:tcW w:w="0" w:type="auto"/>
            <w:hideMark/>
          </w:tcPr>
          <w:p w14:paraId="4A96C599" w14:textId="77777777" w:rsidR="009C778C" w:rsidRPr="009C778C" w:rsidRDefault="009C778C" w:rsidP="00043BD5">
            <w:pPr>
              <w:pStyle w:val="NoSpacing"/>
            </w:pPr>
          </w:p>
        </w:tc>
        <w:tc>
          <w:tcPr>
            <w:tcW w:w="0" w:type="auto"/>
            <w:hideMark/>
          </w:tcPr>
          <w:p w14:paraId="152757AD" w14:textId="77777777" w:rsidR="009C778C" w:rsidRPr="009C778C" w:rsidRDefault="009C778C" w:rsidP="00043BD5">
            <w:pPr>
              <w:pStyle w:val="NoSpacing"/>
            </w:pPr>
          </w:p>
        </w:tc>
        <w:tc>
          <w:tcPr>
            <w:tcW w:w="0" w:type="auto"/>
            <w:hideMark/>
          </w:tcPr>
          <w:p w14:paraId="215B3A34" w14:textId="77777777" w:rsidR="009C778C" w:rsidRPr="009C778C" w:rsidRDefault="009C778C" w:rsidP="00043BD5">
            <w:pPr>
              <w:pStyle w:val="NoSpacing"/>
            </w:pPr>
            <w:r w:rsidRPr="009C778C">
              <w:t>(− 2.23)</w:t>
            </w:r>
          </w:p>
        </w:tc>
        <w:tc>
          <w:tcPr>
            <w:tcW w:w="0" w:type="auto"/>
            <w:hideMark/>
          </w:tcPr>
          <w:p w14:paraId="43D492C4" w14:textId="77777777" w:rsidR="009C778C" w:rsidRPr="009C778C" w:rsidRDefault="009C778C" w:rsidP="00043BD5">
            <w:pPr>
              <w:pStyle w:val="NoSpacing"/>
            </w:pPr>
            <w:r w:rsidRPr="009C778C">
              <w:t>(− 2.79)</w:t>
            </w:r>
          </w:p>
        </w:tc>
        <w:tc>
          <w:tcPr>
            <w:tcW w:w="0" w:type="auto"/>
            <w:hideMark/>
          </w:tcPr>
          <w:p w14:paraId="4D0F33AE" w14:textId="77777777" w:rsidR="009C778C" w:rsidRPr="009C778C" w:rsidRDefault="009C778C" w:rsidP="00043BD5">
            <w:pPr>
              <w:pStyle w:val="NoSpacing"/>
            </w:pPr>
          </w:p>
        </w:tc>
        <w:tc>
          <w:tcPr>
            <w:tcW w:w="0" w:type="auto"/>
            <w:hideMark/>
          </w:tcPr>
          <w:p w14:paraId="5B3E892E" w14:textId="77777777" w:rsidR="009C778C" w:rsidRPr="009C778C" w:rsidRDefault="009C778C" w:rsidP="00043BD5">
            <w:pPr>
              <w:pStyle w:val="NoSpacing"/>
            </w:pPr>
            <w:r w:rsidRPr="009C778C">
              <w:t>(− 2.02)</w:t>
            </w:r>
          </w:p>
        </w:tc>
        <w:tc>
          <w:tcPr>
            <w:tcW w:w="0" w:type="auto"/>
            <w:hideMark/>
          </w:tcPr>
          <w:p w14:paraId="092183EE" w14:textId="77777777" w:rsidR="009C778C" w:rsidRPr="009C778C" w:rsidRDefault="009C778C" w:rsidP="00043BD5">
            <w:pPr>
              <w:pStyle w:val="NoSpacing"/>
            </w:pPr>
            <w:r w:rsidRPr="009C778C">
              <w:t>(− 2.80)</w:t>
            </w:r>
          </w:p>
        </w:tc>
      </w:tr>
      <w:tr w:rsidR="00B74885" w:rsidRPr="009C778C" w14:paraId="72B146E6" w14:textId="77777777" w:rsidTr="00043BD5">
        <w:tc>
          <w:tcPr>
            <w:tcW w:w="0" w:type="auto"/>
            <w:hideMark/>
          </w:tcPr>
          <w:p w14:paraId="4DD70109" w14:textId="77777777" w:rsidR="009C778C" w:rsidRPr="009C778C" w:rsidRDefault="009C778C" w:rsidP="00043BD5">
            <w:pPr>
              <w:pStyle w:val="NoSpacing"/>
            </w:pPr>
            <w:r w:rsidRPr="009C778C">
              <w:t>ACC_STANDARD</w:t>
            </w:r>
            <w:r w:rsidRPr="009C778C">
              <w:rPr>
                <w:vertAlign w:val="subscript"/>
              </w:rPr>
              <w:t>t − 1</w:t>
            </w:r>
          </w:p>
        </w:tc>
        <w:tc>
          <w:tcPr>
            <w:tcW w:w="0" w:type="auto"/>
            <w:hideMark/>
          </w:tcPr>
          <w:p w14:paraId="4C4F865E" w14:textId="77777777" w:rsidR="009C778C" w:rsidRPr="009C778C" w:rsidRDefault="009C778C" w:rsidP="00043BD5">
            <w:pPr>
              <w:pStyle w:val="NoSpacing"/>
            </w:pPr>
          </w:p>
        </w:tc>
        <w:tc>
          <w:tcPr>
            <w:tcW w:w="0" w:type="auto"/>
            <w:hideMark/>
          </w:tcPr>
          <w:p w14:paraId="21E2A4A9" w14:textId="77777777" w:rsidR="009C778C" w:rsidRPr="009C778C" w:rsidRDefault="009C778C" w:rsidP="00043BD5">
            <w:pPr>
              <w:pStyle w:val="NoSpacing"/>
            </w:pPr>
            <w:r w:rsidRPr="009C778C">
              <w:t>0.015</w:t>
            </w:r>
          </w:p>
        </w:tc>
        <w:tc>
          <w:tcPr>
            <w:tcW w:w="0" w:type="auto"/>
            <w:hideMark/>
          </w:tcPr>
          <w:p w14:paraId="0ED39913" w14:textId="77777777" w:rsidR="009C778C" w:rsidRPr="009C778C" w:rsidRDefault="009C778C" w:rsidP="00043BD5">
            <w:pPr>
              <w:pStyle w:val="NoSpacing"/>
            </w:pPr>
            <w:r w:rsidRPr="009C778C">
              <w:t>0.012</w:t>
            </w:r>
          </w:p>
        </w:tc>
        <w:tc>
          <w:tcPr>
            <w:tcW w:w="0" w:type="auto"/>
            <w:hideMark/>
          </w:tcPr>
          <w:p w14:paraId="66A431C9" w14:textId="77777777" w:rsidR="009C778C" w:rsidRPr="009C778C" w:rsidRDefault="009C778C" w:rsidP="00043BD5">
            <w:pPr>
              <w:pStyle w:val="NoSpacing"/>
            </w:pPr>
          </w:p>
        </w:tc>
        <w:tc>
          <w:tcPr>
            <w:tcW w:w="0" w:type="auto"/>
            <w:hideMark/>
          </w:tcPr>
          <w:p w14:paraId="4416DB96" w14:textId="77777777" w:rsidR="009C778C" w:rsidRPr="009C778C" w:rsidRDefault="009C778C" w:rsidP="00043BD5">
            <w:pPr>
              <w:pStyle w:val="NoSpacing"/>
            </w:pPr>
            <w:r w:rsidRPr="009C778C">
              <w:t>− 0.003</w:t>
            </w:r>
          </w:p>
        </w:tc>
        <w:tc>
          <w:tcPr>
            <w:tcW w:w="0" w:type="auto"/>
            <w:hideMark/>
          </w:tcPr>
          <w:p w14:paraId="3BF2F517" w14:textId="77777777" w:rsidR="009C778C" w:rsidRPr="009C778C" w:rsidRDefault="009C778C" w:rsidP="00043BD5">
            <w:pPr>
              <w:pStyle w:val="NoSpacing"/>
            </w:pPr>
            <w:r w:rsidRPr="009C778C">
              <w:t>− 0.002</w:t>
            </w:r>
          </w:p>
        </w:tc>
      </w:tr>
      <w:tr w:rsidR="00B74885" w:rsidRPr="009C778C" w14:paraId="080AEA5E" w14:textId="77777777" w:rsidTr="00043BD5">
        <w:tc>
          <w:tcPr>
            <w:tcW w:w="0" w:type="auto"/>
            <w:hideMark/>
          </w:tcPr>
          <w:p w14:paraId="15F9D3B4" w14:textId="77777777" w:rsidR="009C778C" w:rsidRPr="009C778C" w:rsidRDefault="009C778C" w:rsidP="00043BD5">
            <w:pPr>
              <w:pStyle w:val="NoSpacing"/>
            </w:pPr>
          </w:p>
        </w:tc>
        <w:tc>
          <w:tcPr>
            <w:tcW w:w="0" w:type="auto"/>
            <w:hideMark/>
          </w:tcPr>
          <w:p w14:paraId="2C3B5478" w14:textId="77777777" w:rsidR="009C778C" w:rsidRPr="009C778C" w:rsidRDefault="009C778C" w:rsidP="00043BD5">
            <w:pPr>
              <w:pStyle w:val="NoSpacing"/>
            </w:pPr>
          </w:p>
        </w:tc>
        <w:tc>
          <w:tcPr>
            <w:tcW w:w="0" w:type="auto"/>
            <w:hideMark/>
          </w:tcPr>
          <w:p w14:paraId="7B243C48" w14:textId="77777777" w:rsidR="009C778C" w:rsidRPr="009C778C" w:rsidRDefault="009C778C" w:rsidP="00043BD5">
            <w:pPr>
              <w:pStyle w:val="NoSpacing"/>
            </w:pPr>
            <w:r w:rsidRPr="009C778C">
              <w:t>(0.79)</w:t>
            </w:r>
          </w:p>
        </w:tc>
        <w:tc>
          <w:tcPr>
            <w:tcW w:w="0" w:type="auto"/>
            <w:hideMark/>
          </w:tcPr>
          <w:p w14:paraId="38299B4E" w14:textId="77777777" w:rsidR="009C778C" w:rsidRPr="009C778C" w:rsidRDefault="009C778C" w:rsidP="00043BD5">
            <w:pPr>
              <w:pStyle w:val="NoSpacing"/>
            </w:pPr>
            <w:r w:rsidRPr="009C778C">
              <w:t>(0.63)</w:t>
            </w:r>
          </w:p>
        </w:tc>
        <w:tc>
          <w:tcPr>
            <w:tcW w:w="0" w:type="auto"/>
            <w:hideMark/>
          </w:tcPr>
          <w:p w14:paraId="2F37D0A2" w14:textId="77777777" w:rsidR="009C778C" w:rsidRPr="009C778C" w:rsidRDefault="009C778C" w:rsidP="00043BD5">
            <w:pPr>
              <w:pStyle w:val="NoSpacing"/>
            </w:pPr>
          </w:p>
        </w:tc>
        <w:tc>
          <w:tcPr>
            <w:tcW w:w="0" w:type="auto"/>
            <w:hideMark/>
          </w:tcPr>
          <w:p w14:paraId="0B4BB3C4" w14:textId="77777777" w:rsidR="009C778C" w:rsidRPr="009C778C" w:rsidRDefault="009C778C" w:rsidP="00043BD5">
            <w:pPr>
              <w:pStyle w:val="NoSpacing"/>
            </w:pPr>
            <w:r w:rsidRPr="009C778C">
              <w:t>(− 0.16)</w:t>
            </w:r>
          </w:p>
        </w:tc>
        <w:tc>
          <w:tcPr>
            <w:tcW w:w="0" w:type="auto"/>
            <w:hideMark/>
          </w:tcPr>
          <w:p w14:paraId="723C22AB" w14:textId="77777777" w:rsidR="009C778C" w:rsidRPr="009C778C" w:rsidRDefault="009C778C" w:rsidP="00043BD5">
            <w:pPr>
              <w:pStyle w:val="NoSpacing"/>
            </w:pPr>
            <w:r w:rsidRPr="009C778C">
              <w:t>(− 0.10)</w:t>
            </w:r>
          </w:p>
        </w:tc>
      </w:tr>
      <w:tr w:rsidR="00B74885" w:rsidRPr="009C778C" w14:paraId="24D76189" w14:textId="77777777" w:rsidTr="00043BD5">
        <w:tc>
          <w:tcPr>
            <w:tcW w:w="0" w:type="auto"/>
            <w:hideMark/>
          </w:tcPr>
          <w:p w14:paraId="25CDCF86" w14:textId="77777777" w:rsidR="009C778C" w:rsidRPr="009C778C" w:rsidRDefault="009C778C" w:rsidP="00043BD5">
            <w:pPr>
              <w:pStyle w:val="NoSpacing"/>
            </w:pPr>
            <w:r w:rsidRPr="009C778C">
              <w:t>GDPGROWTH</w:t>
            </w:r>
            <w:r w:rsidRPr="009C778C">
              <w:rPr>
                <w:vertAlign w:val="subscript"/>
              </w:rPr>
              <w:t>t − 1</w:t>
            </w:r>
          </w:p>
        </w:tc>
        <w:tc>
          <w:tcPr>
            <w:tcW w:w="0" w:type="auto"/>
            <w:hideMark/>
          </w:tcPr>
          <w:p w14:paraId="639F0412" w14:textId="77777777" w:rsidR="009C778C" w:rsidRPr="009C778C" w:rsidRDefault="009C778C" w:rsidP="00043BD5">
            <w:pPr>
              <w:pStyle w:val="NoSpacing"/>
            </w:pPr>
          </w:p>
        </w:tc>
        <w:tc>
          <w:tcPr>
            <w:tcW w:w="0" w:type="auto"/>
            <w:hideMark/>
          </w:tcPr>
          <w:p w14:paraId="666C0FD0" w14:textId="77777777" w:rsidR="009C778C" w:rsidRPr="009C778C" w:rsidRDefault="009C778C" w:rsidP="00043BD5">
            <w:pPr>
              <w:pStyle w:val="NoSpacing"/>
            </w:pPr>
            <w:r w:rsidRPr="009C778C">
              <w:t>0.130</w:t>
            </w:r>
          </w:p>
        </w:tc>
        <w:tc>
          <w:tcPr>
            <w:tcW w:w="0" w:type="auto"/>
            <w:hideMark/>
          </w:tcPr>
          <w:p w14:paraId="5AA78045" w14:textId="77777777" w:rsidR="009C778C" w:rsidRPr="009C778C" w:rsidRDefault="009C778C" w:rsidP="00043BD5">
            <w:pPr>
              <w:pStyle w:val="NoSpacing"/>
            </w:pPr>
            <w:r w:rsidRPr="009C778C">
              <w:t>0.112</w:t>
            </w:r>
          </w:p>
        </w:tc>
        <w:tc>
          <w:tcPr>
            <w:tcW w:w="0" w:type="auto"/>
            <w:hideMark/>
          </w:tcPr>
          <w:p w14:paraId="66F0AB82" w14:textId="77777777" w:rsidR="009C778C" w:rsidRPr="009C778C" w:rsidRDefault="009C778C" w:rsidP="00043BD5">
            <w:pPr>
              <w:pStyle w:val="NoSpacing"/>
            </w:pPr>
          </w:p>
        </w:tc>
        <w:tc>
          <w:tcPr>
            <w:tcW w:w="0" w:type="auto"/>
            <w:hideMark/>
          </w:tcPr>
          <w:p w14:paraId="39F08F44" w14:textId="77777777" w:rsidR="009C778C" w:rsidRPr="009C778C" w:rsidRDefault="009C778C" w:rsidP="00043BD5">
            <w:pPr>
              <w:pStyle w:val="NoSpacing"/>
            </w:pPr>
            <w:r w:rsidRPr="009C778C">
              <w:t>− 0.639*</w:t>
            </w:r>
          </w:p>
        </w:tc>
        <w:tc>
          <w:tcPr>
            <w:tcW w:w="0" w:type="auto"/>
            <w:hideMark/>
          </w:tcPr>
          <w:p w14:paraId="5CB4F2E7" w14:textId="77777777" w:rsidR="009C778C" w:rsidRPr="009C778C" w:rsidRDefault="009C778C" w:rsidP="00043BD5">
            <w:pPr>
              <w:pStyle w:val="NoSpacing"/>
            </w:pPr>
            <w:r w:rsidRPr="009C778C">
              <w:t>− 0.666*</w:t>
            </w:r>
          </w:p>
        </w:tc>
      </w:tr>
      <w:tr w:rsidR="00B74885" w:rsidRPr="009C778C" w14:paraId="1CBB6442" w14:textId="77777777" w:rsidTr="00043BD5">
        <w:tc>
          <w:tcPr>
            <w:tcW w:w="0" w:type="auto"/>
            <w:hideMark/>
          </w:tcPr>
          <w:p w14:paraId="75C58189" w14:textId="77777777" w:rsidR="009C778C" w:rsidRPr="009C778C" w:rsidRDefault="009C778C" w:rsidP="00043BD5">
            <w:pPr>
              <w:pStyle w:val="NoSpacing"/>
            </w:pPr>
          </w:p>
        </w:tc>
        <w:tc>
          <w:tcPr>
            <w:tcW w:w="0" w:type="auto"/>
            <w:hideMark/>
          </w:tcPr>
          <w:p w14:paraId="35074A86" w14:textId="77777777" w:rsidR="009C778C" w:rsidRPr="009C778C" w:rsidRDefault="009C778C" w:rsidP="00043BD5">
            <w:pPr>
              <w:pStyle w:val="NoSpacing"/>
            </w:pPr>
          </w:p>
        </w:tc>
        <w:tc>
          <w:tcPr>
            <w:tcW w:w="0" w:type="auto"/>
            <w:hideMark/>
          </w:tcPr>
          <w:p w14:paraId="73C2C3EE" w14:textId="77777777" w:rsidR="009C778C" w:rsidRPr="009C778C" w:rsidRDefault="009C778C" w:rsidP="00043BD5">
            <w:pPr>
              <w:pStyle w:val="NoSpacing"/>
            </w:pPr>
            <w:r w:rsidRPr="009C778C">
              <w:t>(0.29)</w:t>
            </w:r>
          </w:p>
        </w:tc>
        <w:tc>
          <w:tcPr>
            <w:tcW w:w="0" w:type="auto"/>
            <w:hideMark/>
          </w:tcPr>
          <w:p w14:paraId="11E365B8" w14:textId="77777777" w:rsidR="009C778C" w:rsidRPr="009C778C" w:rsidRDefault="009C778C" w:rsidP="00043BD5">
            <w:pPr>
              <w:pStyle w:val="NoSpacing"/>
            </w:pPr>
            <w:r w:rsidRPr="009C778C">
              <w:t>(0.25)</w:t>
            </w:r>
          </w:p>
        </w:tc>
        <w:tc>
          <w:tcPr>
            <w:tcW w:w="0" w:type="auto"/>
            <w:hideMark/>
          </w:tcPr>
          <w:p w14:paraId="5BC1F8D1" w14:textId="77777777" w:rsidR="009C778C" w:rsidRPr="009C778C" w:rsidRDefault="009C778C" w:rsidP="00043BD5">
            <w:pPr>
              <w:pStyle w:val="NoSpacing"/>
            </w:pPr>
          </w:p>
        </w:tc>
        <w:tc>
          <w:tcPr>
            <w:tcW w:w="0" w:type="auto"/>
            <w:hideMark/>
          </w:tcPr>
          <w:p w14:paraId="3B7353E0" w14:textId="77777777" w:rsidR="009C778C" w:rsidRPr="009C778C" w:rsidRDefault="009C778C" w:rsidP="00043BD5">
            <w:pPr>
              <w:pStyle w:val="NoSpacing"/>
            </w:pPr>
            <w:r w:rsidRPr="009C778C">
              <w:t>(− 1.79)</w:t>
            </w:r>
          </w:p>
        </w:tc>
        <w:tc>
          <w:tcPr>
            <w:tcW w:w="0" w:type="auto"/>
            <w:hideMark/>
          </w:tcPr>
          <w:p w14:paraId="52658C12" w14:textId="77777777" w:rsidR="009C778C" w:rsidRPr="009C778C" w:rsidRDefault="009C778C" w:rsidP="00043BD5">
            <w:pPr>
              <w:pStyle w:val="NoSpacing"/>
            </w:pPr>
            <w:r w:rsidRPr="009C778C">
              <w:t>(− 1.86)</w:t>
            </w:r>
          </w:p>
        </w:tc>
      </w:tr>
      <w:tr w:rsidR="00B74885" w:rsidRPr="009C778C" w14:paraId="6CBCE28C" w14:textId="77777777" w:rsidTr="00043BD5">
        <w:tc>
          <w:tcPr>
            <w:tcW w:w="0" w:type="auto"/>
            <w:hideMark/>
          </w:tcPr>
          <w:p w14:paraId="5C020A06" w14:textId="77777777" w:rsidR="009C778C" w:rsidRPr="009C778C" w:rsidRDefault="009C778C" w:rsidP="00043BD5">
            <w:pPr>
              <w:pStyle w:val="NoSpacing"/>
            </w:pPr>
            <w:r w:rsidRPr="009C778C">
              <w:t>INFLATION</w:t>
            </w:r>
            <w:r w:rsidRPr="009C778C">
              <w:rPr>
                <w:vertAlign w:val="subscript"/>
              </w:rPr>
              <w:t>t − 1</w:t>
            </w:r>
          </w:p>
        </w:tc>
        <w:tc>
          <w:tcPr>
            <w:tcW w:w="0" w:type="auto"/>
            <w:hideMark/>
          </w:tcPr>
          <w:p w14:paraId="55475E0C" w14:textId="77777777" w:rsidR="009C778C" w:rsidRPr="009C778C" w:rsidRDefault="009C778C" w:rsidP="00043BD5">
            <w:pPr>
              <w:pStyle w:val="NoSpacing"/>
            </w:pPr>
          </w:p>
        </w:tc>
        <w:tc>
          <w:tcPr>
            <w:tcW w:w="0" w:type="auto"/>
            <w:hideMark/>
          </w:tcPr>
          <w:p w14:paraId="2DEFD258" w14:textId="77777777" w:rsidR="009C778C" w:rsidRPr="009C778C" w:rsidRDefault="009C778C" w:rsidP="00043BD5">
            <w:pPr>
              <w:pStyle w:val="NoSpacing"/>
            </w:pPr>
            <w:r w:rsidRPr="009C778C">
              <w:t>0.708</w:t>
            </w:r>
          </w:p>
        </w:tc>
        <w:tc>
          <w:tcPr>
            <w:tcW w:w="0" w:type="auto"/>
            <w:hideMark/>
          </w:tcPr>
          <w:p w14:paraId="64654798" w14:textId="77777777" w:rsidR="009C778C" w:rsidRPr="009C778C" w:rsidRDefault="009C778C" w:rsidP="00043BD5">
            <w:pPr>
              <w:pStyle w:val="NoSpacing"/>
            </w:pPr>
            <w:r w:rsidRPr="009C778C">
              <w:t>0.701</w:t>
            </w:r>
          </w:p>
        </w:tc>
        <w:tc>
          <w:tcPr>
            <w:tcW w:w="0" w:type="auto"/>
            <w:hideMark/>
          </w:tcPr>
          <w:p w14:paraId="1C7872F4" w14:textId="77777777" w:rsidR="009C778C" w:rsidRPr="009C778C" w:rsidRDefault="009C778C" w:rsidP="00043BD5">
            <w:pPr>
              <w:pStyle w:val="NoSpacing"/>
            </w:pPr>
          </w:p>
        </w:tc>
        <w:tc>
          <w:tcPr>
            <w:tcW w:w="0" w:type="auto"/>
            <w:hideMark/>
          </w:tcPr>
          <w:p w14:paraId="53DEC139" w14:textId="77777777" w:rsidR="009C778C" w:rsidRPr="009C778C" w:rsidRDefault="009C778C" w:rsidP="00043BD5">
            <w:pPr>
              <w:pStyle w:val="NoSpacing"/>
            </w:pPr>
            <w:r w:rsidRPr="009C778C">
              <w:t>1.152**</w:t>
            </w:r>
          </w:p>
        </w:tc>
        <w:tc>
          <w:tcPr>
            <w:tcW w:w="0" w:type="auto"/>
            <w:hideMark/>
          </w:tcPr>
          <w:p w14:paraId="23A78598" w14:textId="77777777" w:rsidR="009C778C" w:rsidRPr="009C778C" w:rsidRDefault="009C778C" w:rsidP="00043BD5">
            <w:pPr>
              <w:pStyle w:val="NoSpacing"/>
            </w:pPr>
            <w:r w:rsidRPr="009C778C">
              <w:t>1.198**</w:t>
            </w:r>
          </w:p>
        </w:tc>
      </w:tr>
      <w:tr w:rsidR="00B74885" w:rsidRPr="009C778C" w14:paraId="0A8B469A" w14:textId="77777777" w:rsidTr="00043BD5">
        <w:tc>
          <w:tcPr>
            <w:tcW w:w="0" w:type="auto"/>
            <w:hideMark/>
          </w:tcPr>
          <w:p w14:paraId="254BF5E5" w14:textId="77777777" w:rsidR="009C778C" w:rsidRPr="009C778C" w:rsidRDefault="009C778C" w:rsidP="00043BD5">
            <w:pPr>
              <w:pStyle w:val="NoSpacing"/>
            </w:pPr>
          </w:p>
        </w:tc>
        <w:tc>
          <w:tcPr>
            <w:tcW w:w="0" w:type="auto"/>
            <w:hideMark/>
          </w:tcPr>
          <w:p w14:paraId="6E250E5B" w14:textId="77777777" w:rsidR="009C778C" w:rsidRPr="009C778C" w:rsidRDefault="009C778C" w:rsidP="00043BD5">
            <w:pPr>
              <w:pStyle w:val="NoSpacing"/>
            </w:pPr>
          </w:p>
        </w:tc>
        <w:tc>
          <w:tcPr>
            <w:tcW w:w="0" w:type="auto"/>
            <w:hideMark/>
          </w:tcPr>
          <w:p w14:paraId="1EA4B3CB" w14:textId="77777777" w:rsidR="009C778C" w:rsidRPr="009C778C" w:rsidRDefault="009C778C" w:rsidP="00043BD5">
            <w:pPr>
              <w:pStyle w:val="NoSpacing"/>
            </w:pPr>
            <w:r w:rsidRPr="009C778C">
              <w:t>(1.36)</w:t>
            </w:r>
          </w:p>
        </w:tc>
        <w:tc>
          <w:tcPr>
            <w:tcW w:w="0" w:type="auto"/>
            <w:hideMark/>
          </w:tcPr>
          <w:p w14:paraId="2F923A9B" w14:textId="77777777" w:rsidR="009C778C" w:rsidRPr="009C778C" w:rsidRDefault="009C778C" w:rsidP="00043BD5">
            <w:pPr>
              <w:pStyle w:val="NoSpacing"/>
            </w:pPr>
            <w:r w:rsidRPr="009C778C">
              <w:t>(1.35)</w:t>
            </w:r>
          </w:p>
        </w:tc>
        <w:tc>
          <w:tcPr>
            <w:tcW w:w="0" w:type="auto"/>
            <w:hideMark/>
          </w:tcPr>
          <w:p w14:paraId="17DF0734" w14:textId="77777777" w:rsidR="009C778C" w:rsidRPr="009C778C" w:rsidRDefault="009C778C" w:rsidP="00043BD5">
            <w:pPr>
              <w:pStyle w:val="NoSpacing"/>
            </w:pPr>
          </w:p>
        </w:tc>
        <w:tc>
          <w:tcPr>
            <w:tcW w:w="0" w:type="auto"/>
            <w:hideMark/>
          </w:tcPr>
          <w:p w14:paraId="622426E3" w14:textId="77777777" w:rsidR="009C778C" w:rsidRPr="009C778C" w:rsidRDefault="009C778C" w:rsidP="00043BD5">
            <w:pPr>
              <w:pStyle w:val="NoSpacing"/>
            </w:pPr>
            <w:r w:rsidRPr="009C778C">
              <w:t>(2.26)</w:t>
            </w:r>
          </w:p>
        </w:tc>
        <w:tc>
          <w:tcPr>
            <w:tcW w:w="0" w:type="auto"/>
            <w:hideMark/>
          </w:tcPr>
          <w:p w14:paraId="1FF4B9DE" w14:textId="77777777" w:rsidR="009C778C" w:rsidRPr="009C778C" w:rsidRDefault="009C778C" w:rsidP="00043BD5">
            <w:pPr>
              <w:pStyle w:val="NoSpacing"/>
            </w:pPr>
            <w:r w:rsidRPr="009C778C">
              <w:t>(2.36)</w:t>
            </w:r>
          </w:p>
        </w:tc>
      </w:tr>
      <w:tr w:rsidR="00B74885" w:rsidRPr="009C778C" w14:paraId="692658CF" w14:textId="77777777" w:rsidTr="00043BD5">
        <w:tc>
          <w:tcPr>
            <w:tcW w:w="0" w:type="auto"/>
            <w:hideMark/>
          </w:tcPr>
          <w:p w14:paraId="1C204A54" w14:textId="77777777" w:rsidR="009C778C" w:rsidRPr="009C778C" w:rsidRDefault="009C778C" w:rsidP="00043BD5">
            <w:pPr>
              <w:pStyle w:val="NoSpacing"/>
            </w:pPr>
            <w:r w:rsidRPr="009C778C">
              <w:t>CONSTANT, YEAR, INDUSTRY &amp; COUNTRY FE</w:t>
            </w:r>
          </w:p>
        </w:tc>
        <w:tc>
          <w:tcPr>
            <w:tcW w:w="0" w:type="auto"/>
            <w:hideMark/>
          </w:tcPr>
          <w:p w14:paraId="1DD03DD4" w14:textId="77777777" w:rsidR="009C778C" w:rsidRPr="009C778C" w:rsidRDefault="009C778C" w:rsidP="00043BD5">
            <w:pPr>
              <w:pStyle w:val="NoSpacing"/>
            </w:pPr>
          </w:p>
        </w:tc>
        <w:tc>
          <w:tcPr>
            <w:tcW w:w="0" w:type="auto"/>
            <w:hideMark/>
          </w:tcPr>
          <w:p w14:paraId="58E0A22A" w14:textId="77777777" w:rsidR="009C778C" w:rsidRPr="009C778C" w:rsidRDefault="009C778C" w:rsidP="00043BD5">
            <w:pPr>
              <w:pStyle w:val="NoSpacing"/>
            </w:pPr>
            <w:r w:rsidRPr="009C778C">
              <w:t>YES</w:t>
            </w:r>
          </w:p>
        </w:tc>
        <w:tc>
          <w:tcPr>
            <w:tcW w:w="0" w:type="auto"/>
            <w:hideMark/>
          </w:tcPr>
          <w:p w14:paraId="3CBA0F48" w14:textId="77777777" w:rsidR="009C778C" w:rsidRPr="009C778C" w:rsidRDefault="009C778C" w:rsidP="00043BD5">
            <w:pPr>
              <w:pStyle w:val="NoSpacing"/>
            </w:pPr>
            <w:r w:rsidRPr="009C778C">
              <w:t>YES</w:t>
            </w:r>
          </w:p>
        </w:tc>
        <w:tc>
          <w:tcPr>
            <w:tcW w:w="0" w:type="auto"/>
            <w:hideMark/>
          </w:tcPr>
          <w:p w14:paraId="48E917D2" w14:textId="77777777" w:rsidR="009C778C" w:rsidRPr="009C778C" w:rsidRDefault="009C778C" w:rsidP="00043BD5">
            <w:pPr>
              <w:pStyle w:val="NoSpacing"/>
            </w:pPr>
          </w:p>
        </w:tc>
        <w:tc>
          <w:tcPr>
            <w:tcW w:w="0" w:type="auto"/>
            <w:hideMark/>
          </w:tcPr>
          <w:p w14:paraId="3143A4E3" w14:textId="77777777" w:rsidR="009C778C" w:rsidRPr="009C778C" w:rsidRDefault="009C778C" w:rsidP="00043BD5">
            <w:pPr>
              <w:pStyle w:val="NoSpacing"/>
            </w:pPr>
            <w:r w:rsidRPr="009C778C">
              <w:t>YES</w:t>
            </w:r>
          </w:p>
        </w:tc>
        <w:tc>
          <w:tcPr>
            <w:tcW w:w="0" w:type="auto"/>
            <w:hideMark/>
          </w:tcPr>
          <w:p w14:paraId="0B196AE4" w14:textId="77777777" w:rsidR="009C778C" w:rsidRPr="009C778C" w:rsidRDefault="009C778C" w:rsidP="00043BD5">
            <w:pPr>
              <w:pStyle w:val="NoSpacing"/>
            </w:pPr>
            <w:r w:rsidRPr="009C778C">
              <w:t>YES</w:t>
            </w:r>
          </w:p>
        </w:tc>
      </w:tr>
      <w:tr w:rsidR="00B74885" w:rsidRPr="009C778C" w14:paraId="21A9A49B" w14:textId="77777777" w:rsidTr="00043BD5">
        <w:tc>
          <w:tcPr>
            <w:tcW w:w="0" w:type="auto"/>
            <w:hideMark/>
          </w:tcPr>
          <w:p w14:paraId="7F29EEF0" w14:textId="77777777" w:rsidR="009C778C" w:rsidRPr="009C778C" w:rsidRDefault="009C778C" w:rsidP="00043BD5">
            <w:pPr>
              <w:pStyle w:val="NoSpacing"/>
            </w:pPr>
            <w:r w:rsidRPr="009C778C">
              <w:t>Number of observations</w:t>
            </w:r>
          </w:p>
        </w:tc>
        <w:tc>
          <w:tcPr>
            <w:tcW w:w="0" w:type="auto"/>
            <w:hideMark/>
          </w:tcPr>
          <w:p w14:paraId="06C0630E" w14:textId="77777777" w:rsidR="009C778C" w:rsidRPr="009C778C" w:rsidRDefault="009C778C" w:rsidP="00043BD5">
            <w:pPr>
              <w:pStyle w:val="NoSpacing"/>
            </w:pPr>
          </w:p>
        </w:tc>
        <w:tc>
          <w:tcPr>
            <w:tcW w:w="0" w:type="auto"/>
            <w:hideMark/>
          </w:tcPr>
          <w:p w14:paraId="1DA4B8ED" w14:textId="77777777" w:rsidR="009C778C" w:rsidRPr="009C778C" w:rsidRDefault="009C778C" w:rsidP="00043BD5">
            <w:pPr>
              <w:pStyle w:val="NoSpacing"/>
            </w:pPr>
            <w:r w:rsidRPr="009C778C">
              <w:t>23,734</w:t>
            </w:r>
          </w:p>
        </w:tc>
        <w:tc>
          <w:tcPr>
            <w:tcW w:w="0" w:type="auto"/>
            <w:hideMark/>
          </w:tcPr>
          <w:p w14:paraId="53570F59" w14:textId="77777777" w:rsidR="009C778C" w:rsidRPr="009C778C" w:rsidRDefault="009C778C" w:rsidP="00043BD5">
            <w:pPr>
              <w:pStyle w:val="NoSpacing"/>
            </w:pPr>
            <w:r w:rsidRPr="009C778C">
              <w:t>23,734</w:t>
            </w:r>
          </w:p>
        </w:tc>
        <w:tc>
          <w:tcPr>
            <w:tcW w:w="0" w:type="auto"/>
            <w:hideMark/>
          </w:tcPr>
          <w:p w14:paraId="4DF4AC76" w14:textId="77777777" w:rsidR="009C778C" w:rsidRPr="009C778C" w:rsidRDefault="009C778C" w:rsidP="00043BD5">
            <w:pPr>
              <w:pStyle w:val="NoSpacing"/>
            </w:pPr>
          </w:p>
        </w:tc>
        <w:tc>
          <w:tcPr>
            <w:tcW w:w="0" w:type="auto"/>
            <w:hideMark/>
          </w:tcPr>
          <w:p w14:paraId="3E89109F" w14:textId="77777777" w:rsidR="009C778C" w:rsidRPr="009C778C" w:rsidRDefault="009C778C" w:rsidP="00043BD5">
            <w:pPr>
              <w:pStyle w:val="NoSpacing"/>
            </w:pPr>
            <w:r w:rsidRPr="009C778C">
              <w:t>42,552</w:t>
            </w:r>
          </w:p>
        </w:tc>
        <w:tc>
          <w:tcPr>
            <w:tcW w:w="0" w:type="auto"/>
            <w:hideMark/>
          </w:tcPr>
          <w:p w14:paraId="2B4F70DD" w14:textId="77777777" w:rsidR="009C778C" w:rsidRPr="009C778C" w:rsidRDefault="009C778C" w:rsidP="00043BD5">
            <w:pPr>
              <w:pStyle w:val="NoSpacing"/>
            </w:pPr>
            <w:r w:rsidRPr="009C778C">
              <w:t>42,552</w:t>
            </w:r>
          </w:p>
        </w:tc>
      </w:tr>
      <w:tr w:rsidR="00B74885" w:rsidRPr="009C778C" w14:paraId="01BF9954" w14:textId="77777777" w:rsidTr="00043BD5">
        <w:tc>
          <w:tcPr>
            <w:tcW w:w="0" w:type="auto"/>
            <w:hideMark/>
          </w:tcPr>
          <w:p w14:paraId="041C8B61" w14:textId="77777777" w:rsidR="009C778C" w:rsidRPr="009C778C" w:rsidRDefault="009C778C" w:rsidP="00043BD5">
            <w:pPr>
              <w:pStyle w:val="NoSpacing"/>
            </w:pPr>
            <w:r w:rsidRPr="009C778C">
              <w:t>Adj. R-squared</w:t>
            </w:r>
          </w:p>
        </w:tc>
        <w:tc>
          <w:tcPr>
            <w:tcW w:w="0" w:type="auto"/>
            <w:hideMark/>
          </w:tcPr>
          <w:p w14:paraId="561BBD23" w14:textId="77777777" w:rsidR="009C778C" w:rsidRPr="009C778C" w:rsidRDefault="009C778C" w:rsidP="00043BD5">
            <w:pPr>
              <w:pStyle w:val="NoSpacing"/>
            </w:pPr>
          </w:p>
        </w:tc>
        <w:tc>
          <w:tcPr>
            <w:tcW w:w="0" w:type="auto"/>
            <w:hideMark/>
          </w:tcPr>
          <w:p w14:paraId="0133CAB3" w14:textId="77777777" w:rsidR="009C778C" w:rsidRPr="009C778C" w:rsidRDefault="009C778C" w:rsidP="00043BD5">
            <w:pPr>
              <w:pStyle w:val="NoSpacing"/>
            </w:pPr>
            <w:r w:rsidRPr="009C778C">
              <w:t>0.105</w:t>
            </w:r>
          </w:p>
        </w:tc>
        <w:tc>
          <w:tcPr>
            <w:tcW w:w="0" w:type="auto"/>
            <w:hideMark/>
          </w:tcPr>
          <w:p w14:paraId="3AF3E67B" w14:textId="77777777" w:rsidR="009C778C" w:rsidRPr="009C778C" w:rsidRDefault="009C778C" w:rsidP="00043BD5">
            <w:pPr>
              <w:pStyle w:val="NoSpacing"/>
            </w:pPr>
            <w:r w:rsidRPr="009C778C">
              <w:t>0.105</w:t>
            </w:r>
          </w:p>
        </w:tc>
        <w:tc>
          <w:tcPr>
            <w:tcW w:w="0" w:type="auto"/>
            <w:hideMark/>
          </w:tcPr>
          <w:p w14:paraId="39DDD207" w14:textId="77777777" w:rsidR="009C778C" w:rsidRPr="009C778C" w:rsidRDefault="009C778C" w:rsidP="00043BD5">
            <w:pPr>
              <w:pStyle w:val="NoSpacing"/>
            </w:pPr>
          </w:p>
        </w:tc>
        <w:tc>
          <w:tcPr>
            <w:tcW w:w="0" w:type="auto"/>
            <w:hideMark/>
          </w:tcPr>
          <w:p w14:paraId="0DCF3794" w14:textId="77777777" w:rsidR="009C778C" w:rsidRPr="009C778C" w:rsidRDefault="009C778C" w:rsidP="00043BD5">
            <w:pPr>
              <w:pStyle w:val="NoSpacing"/>
            </w:pPr>
            <w:r w:rsidRPr="009C778C">
              <w:t>0.112</w:t>
            </w:r>
          </w:p>
        </w:tc>
        <w:tc>
          <w:tcPr>
            <w:tcW w:w="0" w:type="auto"/>
            <w:hideMark/>
          </w:tcPr>
          <w:p w14:paraId="6193E4DB" w14:textId="77777777" w:rsidR="009C778C" w:rsidRPr="009C778C" w:rsidRDefault="009C778C" w:rsidP="00043BD5">
            <w:pPr>
              <w:pStyle w:val="NoSpacing"/>
            </w:pPr>
            <w:r w:rsidRPr="009C778C">
              <w:t>0.112</w:t>
            </w:r>
          </w:p>
        </w:tc>
      </w:tr>
      <w:tr w:rsidR="00B74885" w:rsidRPr="009C778C" w14:paraId="7F9EC5E5" w14:textId="77777777" w:rsidTr="00043BD5">
        <w:tc>
          <w:tcPr>
            <w:tcW w:w="0" w:type="auto"/>
            <w:hideMark/>
          </w:tcPr>
          <w:p w14:paraId="2E69D0FB" w14:textId="77777777" w:rsidR="009C778C" w:rsidRPr="009C778C" w:rsidRDefault="009C778C" w:rsidP="00043BD5">
            <w:pPr>
              <w:pStyle w:val="NoSpacing"/>
            </w:pPr>
            <w:r w:rsidRPr="009C778C">
              <w:t>F-stat DOMESTIC </w:t>
            </w:r>
            <w:r w:rsidRPr="009C778C">
              <w:rPr>
                <w:vertAlign w:val="subscript"/>
              </w:rPr>
              <w:t>t − 1</w:t>
            </w:r>
            <w:r w:rsidRPr="009C778C">
              <w:t> = FOREIGN</w:t>
            </w:r>
            <w:r w:rsidRPr="009C778C">
              <w:rPr>
                <w:vertAlign w:val="subscript"/>
              </w:rPr>
              <w:t>t − 1</w:t>
            </w:r>
          </w:p>
        </w:tc>
        <w:tc>
          <w:tcPr>
            <w:tcW w:w="0" w:type="auto"/>
            <w:hideMark/>
          </w:tcPr>
          <w:p w14:paraId="2C830022" w14:textId="77777777" w:rsidR="009C778C" w:rsidRPr="009C778C" w:rsidRDefault="009C778C" w:rsidP="00043BD5">
            <w:pPr>
              <w:pStyle w:val="NoSpacing"/>
            </w:pPr>
          </w:p>
        </w:tc>
        <w:tc>
          <w:tcPr>
            <w:tcW w:w="0" w:type="auto"/>
            <w:hideMark/>
          </w:tcPr>
          <w:p w14:paraId="38A8E5C1" w14:textId="77777777" w:rsidR="009C778C" w:rsidRPr="009C778C" w:rsidRDefault="009C778C" w:rsidP="00043BD5">
            <w:pPr>
              <w:pStyle w:val="NoSpacing"/>
            </w:pPr>
            <w:r w:rsidRPr="009C778C">
              <w:t>6.33***</w:t>
            </w:r>
          </w:p>
        </w:tc>
        <w:tc>
          <w:tcPr>
            <w:tcW w:w="0" w:type="auto"/>
            <w:hideMark/>
          </w:tcPr>
          <w:p w14:paraId="4282E8F1" w14:textId="77777777" w:rsidR="009C778C" w:rsidRPr="009C778C" w:rsidRDefault="009C778C" w:rsidP="00043BD5">
            <w:pPr>
              <w:pStyle w:val="NoSpacing"/>
            </w:pPr>
          </w:p>
        </w:tc>
        <w:tc>
          <w:tcPr>
            <w:tcW w:w="0" w:type="auto"/>
            <w:hideMark/>
          </w:tcPr>
          <w:p w14:paraId="332F387F" w14:textId="77777777" w:rsidR="009C778C" w:rsidRPr="009C778C" w:rsidRDefault="009C778C" w:rsidP="00043BD5">
            <w:pPr>
              <w:pStyle w:val="NoSpacing"/>
            </w:pPr>
          </w:p>
        </w:tc>
        <w:tc>
          <w:tcPr>
            <w:tcW w:w="0" w:type="auto"/>
            <w:hideMark/>
          </w:tcPr>
          <w:p w14:paraId="35973CE6" w14:textId="77777777" w:rsidR="009C778C" w:rsidRPr="009C778C" w:rsidRDefault="009C778C" w:rsidP="00043BD5">
            <w:pPr>
              <w:pStyle w:val="NoSpacing"/>
            </w:pPr>
            <w:r w:rsidRPr="009C778C">
              <w:t>9.20***</w:t>
            </w:r>
          </w:p>
        </w:tc>
        <w:tc>
          <w:tcPr>
            <w:tcW w:w="0" w:type="auto"/>
            <w:hideMark/>
          </w:tcPr>
          <w:p w14:paraId="06081874" w14:textId="77777777" w:rsidR="009C778C" w:rsidRPr="009C778C" w:rsidRDefault="009C778C" w:rsidP="00043BD5">
            <w:pPr>
              <w:pStyle w:val="NoSpacing"/>
            </w:pPr>
          </w:p>
        </w:tc>
      </w:tr>
      <w:tr w:rsidR="00B74885" w:rsidRPr="009C778C" w14:paraId="7D55FFF8" w14:textId="77777777" w:rsidTr="00043BD5">
        <w:tc>
          <w:tcPr>
            <w:tcW w:w="0" w:type="auto"/>
            <w:hideMark/>
          </w:tcPr>
          <w:p w14:paraId="091AE565" w14:textId="77777777" w:rsidR="009C778C" w:rsidRPr="009C778C" w:rsidRDefault="009C778C" w:rsidP="00043BD5">
            <w:pPr>
              <w:pStyle w:val="NoSpacing"/>
            </w:pPr>
            <w:r w:rsidRPr="009C778C">
              <w:t>(</w:t>
            </w:r>
            <w:r w:rsidRPr="009C778C">
              <w:rPr>
                <w:i/>
                <w:iCs/>
              </w:rPr>
              <w:t>p</w:t>
            </w:r>
            <w:r w:rsidRPr="009C778C">
              <w:t>-Value)</w:t>
            </w:r>
          </w:p>
        </w:tc>
        <w:tc>
          <w:tcPr>
            <w:tcW w:w="0" w:type="auto"/>
            <w:hideMark/>
          </w:tcPr>
          <w:p w14:paraId="67DF0943" w14:textId="77777777" w:rsidR="009C778C" w:rsidRPr="009C778C" w:rsidRDefault="009C778C" w:rsidP="00043BD5">
            <w:pPr>
              <w:pStyle w:val="NoSpacing"/>
            </w:pPr>
          </w:p>
        </w:tc>
        <w:tc>
          <w:tcPr>
            <w:tcW w:w="0" w:type="auto"/>
            <w:hideMark/>
          </w:tcPr>
          <w:p w14:paraId="72734AAB" w14:textId="77777777" w:rsidR="009C778C" w:rsidRPr="009C778C" w:rsidRDefault="009C778C" w:rsidP="00043BD5">
            <w:pPr>
              <w:pStyle w:val="NoSpacing"/>
            </w:pPr>
            <w:r w:rsidRPr="009C778C">
              <w:t>(0.01)</w:t>
            </w:r>
          </w:p>
        </w:tc>
        <w:tc>
          <w:tcPr>
            <w:tcW w:w="0" w:type="auto"/>
            <w:hideMark/>
          </w:tcPr>
          <w:p w14:paraId="4C048193" w14:textId="77777777" w:rsidR="009C778C" w:rsidRPr="009C778C" w:rsidRDefault="009C778C" w:rsidP="00043BD5">
            <w:pPr>
              <w:pStyle w:val="NoSpacing"/>
            </w:pPr>
          </w:p>
        </w:tc>
        <w:tc>
          <w:tcPr>
            <w:tcW w:w="0" w:type="auto"/>
            <w:hideMark/>
          </w:tcPr>
          <w:p w14:paraId="63EBBD31" w14:textId="77777777" w:rsidR="009C778C" w:rsidRPr="009C778C" w:rsidRDefault="009C778C" w:rsidP="00043BD5">
            <w:pPr>
              <w:pStyle w:val="NoSpacing"/>
            </w:pPr>
          </w:p>
        </w:tc>
        <w:tc>
          <w:tcPr>
            <w:tcW w:w="0" w:type="auto"/>
            <w:hideMark/>
          </w:tcPr>
          <w:p w14:paraId="65C5E401" w14:textId="77777777" w:rsidR="009C778C" w:rsidRPr="009C778C" w:rsidRDefault="009C778C" w:rsidP="00043BD5">
            <w:pPr>
              <w:pStyle w:val="NoSpacing"/>
            </w:pPr>
            <w:r w:rsidRPr="009C778C">
              <w:t>(&lt; 0.01)</w:t>
            </w:r>
          </w:p>
        </w:tc>
        <w:tc>
          <w:tcPr>
            <w:tcW w:w="0" w:type="auto"/>
            <w:hideMark/>
          </w:tcPr>
          <w:p w14:paraId="73C8E715" w14:textId="77777777" w:rsidR="009C778C" w:rsidRPr="009C778C" w:rsidRDefault="009C778C" w:rsidP="00043BD5">
            <w:pPr>
              <w:pStyle w:val="NoSpacing"/>
            </w:pPr>
          </w:p>
        </w:tc>
      </w:tr>
      <w:tr w:rsidR="00B74885" w:rsidRPr="009C778C" w14:paraId="580E2DCA" w14:textId="77777777" w:rsidTr="00043BD5">
        <w:tc>
          <w:tcPr>
            <w:tcW w:w="0" w:type="auto"/>
          </w:tcPr>
          <w:p w14:paraId="04005660" w14:textId="77777777" w:rsidR="00B74885" w:rsidRPr="009C778C" w:rsidRDefault="00B74885" w:rsidP="00043BD5">
            <w:pPr>
              <w:pStyle w:val="NoSpacing"/>
            </w:pPr>
          </w:p>
        </w:tc>
        <w:tc>
          <w:tcPr>
            <w:tcW w:w="0" w:type="auto"/>
          </w:tcPr>
          <w:p w14:paraId="1BFE5268" w14:textId="77777777" w:rsidR="00B74885" w:rsidRPr="009C778C" w:rsidRDefault="00B74885" w:rsidP="00043BD5">
            <w:pPr>
              <w:pStyle w:val="NoSpacing"/>
            </w:pPr>
          </w:p>
        </w:tc>
        <w:tc>
          <w:tcPr>
            <w:tcW w:w="0" w:type="auto"/>
          </w:tcPr>
          <w:p w14:paraId="0A52D30E" w14:textId="77777777" w:rsidR="00B74885" w:rsidRPr="009C778C" w:rsidRDefault="00B74885" w:rsidP="00043BD5">
            <w:pPr>
              <w:pStyle w:val="NoSpacing"/>
            </w:pPr>
          </w:p>
        </w:tc>
        <w:tc>
          <w:tcPr>
            <w:tcW w:w="0" w:type="auto"/>
          </w:tcPr>
          <w:p w14:paraId="06AC15BC" w14:textId="3DDAB4B2" w:rsidR="00B74885" w:rsidRPr="009C778C" w:rsidRDefault="00B74885" w:rsidP="00043BD5">
            <w:pPr>
              <w:pStyle w:val="NoSpacing"/>
            </w:pPr>
          </w:p>
        </w:tc>
        <w:tc>
          <w:tcPr>
            <w:tcW w:w="0" w:type="auto"/>
          </w:tcPr>
          <w:p w14:paraId="0C806C5E" w14:textId="77777777" w:rsidR="00B74885" w:rsidRPr="009C778C" w:rsidRDefault="00B74885" w:rsidP="00043BD5">
            <w:pPr>
              <w:pStyle w:val="NoSpacing"/>
            </w:pPr>
          </w:p>
        </w:tc>
        <w:tc>
          <w:tcPr>
            <w:tcW w:w="0" w:type="auto"/>
          </w:tcPr>
          <w:p w14:paraId="6749CA4C" w14:textId="14228CCE" w:rsidR="00B74885" w:rsidRPr="009C778C" w:rsidRDefault="00B74885" w:rsidP="00043BD5">
            <w:pPr>
              <w:pStyle w:val="NoSpacing"/>
            </w:pPr>
          </w:p>
        </w:tc>
        <w:tc>
          <w:tcPr>
            <w:tcW w:w="0" w:type="auto"/>
            <w:hideMark/>
          </w:tcPr>
          <w:p w14:paraId="14E2B388" w14:textId="77777777" w:rsidR="00B74885" w:rsidRPr="009C778C" w:rsidRDefault="00B74885" w:rsidP="00043BD5">
            <w:pPr>
              <w:pStyle w:val="NoSpacing"/>
            </w:pPr>
            <w:r w:rsidRPr="009C778C">
              <w:t>2.48*</w:t>
            </w:r>
          </w:p>
        </w:tc>
      </w:tr>
      <w:tr w:rsidR="00B74885" w:rsidRPr="009C778C" w14:paraId="3BC1377A" w14:textId="77777777" w:rsidTr="00043BD5">
        <w:tc>
          <w:tcPr>
            <w:tcW w:w="0" w:type="auto"/>
            <w:hideMark/>
          </w:tcPr>
          <w:p w14:paraId="1D46ED70" w14:textId="77777777" w:rsidR="00B74885" w:rsidRPr="009C778C" w:rsidRDefault="00B74885" w:rsidP="00043BD5">
            <w:pPr>
              <w:pStyle w:val="NoSpacing"/>
            </w:pPr>
            <w:r w:rsidRPr="009C778C">
              <w:t>(</w:t>
            </w:r>
            <w:r w:rsidRPr="009C778C">
              <w:rPr>
                <w:i/>
                <w:iCs/>
              </w:rPr>
              <w:t>p</w:t>
            </w:r>
            <w:r w:rsidRPr="009C778C">
              <w:t>-Value)</w:t>
            </w:r>
          </w:p>
        </w:tc>
        <w:tc>
          <w:tcPr>
            <w:tcW w:w="0" w:type="auto"/>
          </w:tcPr>
          <w:p w14:paraId="450FB622" w14:textId="77777777" w:rsidR="00B74885" w:rsidRPr="009C778C" w:rsidRDefault="00B74885" w:rsidP="00043BD5">
            <w:pPr>
              <w:pStyle w:val="NoSpacing"/>
            </w:pPr>
          </w:p>
        </w:tc>
        <w:tc>
          <w:tcPr>
            <w:tcW w:w="0" w:type="auto"/>
          </w:tcPr>
          <w:p w14:paraId="06CB0508" w14:textId="77777777" w:rsidR="00B74885" w:rsidRPr="009C778C" w:rsidRDefault="00B74885" w:rsidP="00043BD5">
            <w:pPr>
              <w:pStyle w:val="NoSpacing"/>
            </w:pPr>
          </w:p>
        </w:tc>
        <w:tc>
          <w:tcPr>
            <w:tcW w:w="0" w:type="auto"/>
          </w:tcPr>
          <w:p w14:paraId="358CACBE" w14:textId="77777777" w:rsidR="00B74885" w:rsidRPr="009C778C" w:rsidRDefault="00B74885" w:rsidP="00043BD5">
            <w:pPr>
              <w:pStyle w:val="NoSpacing"/>
            </w:pPr>
          </w:p>
        </w:tc>
        <w:tc>
          <w:tcPr>
            <w:tcW w:w="0" w:type="auto"/>
          </w:tcPr>
          <w:p w14:paraId="70CBCEA3" w14:textId="77777777" w:rsidR="00B74885" w:rsidRPr="009C778C" w:rsidRDefault="00B74885" w:rsidP="00043BD5">
            <w:pPr>
              <w:pStyle w:val="NoSpacing"/>
            </w:pPr>
          </w:p>
        </w:tc>
        <w:tc>
          <w:tcPr>
            <w:tcW w:w="0" w:type="auto"/>
          </w:tcPr>
          <w:p w14:paraId="32FF7FDE" w14:textId="2E08A8F8" w:rsidR="00B74885" w:rsidRPr="009C778C" w:rsidRDefault="00B74885" w:rsidP="00043BD5">
            <w:pPr>
              <w:pStyle w:val="NoSpacing"/>
            </w:pPr>
          </w:p>
        </w:tc>
        <w:tc>
          <w:tcPr>
            <w:tcW w:w="0" w:type="auto"/>
            <w:hideMark/>
          </w:tcPr>
          <w:p w14:paraId="0ED92731" w14:textId="77777777" w:rsidR="00B74885" w:rsidRPr="009C778C" w:rsidRDefault="00B74885" w:rsidP="00043BD5">
            <w:pPr>
              <w:pStyle w:val="NoSpacing"/>
            </w:pPr>
            <w:r w:rsidRPr="009C778C">
              <w:t>(0.06)</w:t>
            </w:r>
          </w:p>
        </w:tc>
      </w:tr>
      <w:tr w:rsidR="00B74885" w:rsidRPr="009C778C" w14:paraId="38A4C64F" w14:textId="77777777" w:rsidTr="00043BD5">
        <w:tc>
          <w:tcPr>
            <w:tcW w:w="0" w:type="auto"/>
            <w:hideMark/>
          </w:tcPr>
          <w:p w14:paraId="1FACDD35" w14:textId="77777777" w:rsidR="00B74885" w:rsidRPr="009C778C" w:rsidRDefault="00B74885" w:rsidP="00043BD5">
            <w:pPr>
              <w:pStyle w:val="NoSpacing"/>
            </w:pPr>
            <w:r w:rsidRPr="009C778C">
              <w:t>F-stat COM (FOREIGN_CIV</w:t>
            </w:r>
            <w:r w:rsidRPr="009C778C">
              <w:rPr>
                <w:vertAlign w:val="subscript"/>
              </w:rPr>
              <w:t>t</w:t>
            </w:r>
            <w:r w:rsidRPr="009C778C">
              <w:t> </w:t>
            </w:r>
            <w:r w:rsidRPr="009C778C">
              <w:rPr>
                <w:vertAlign w:val="subscript"/>
              </w:rPr>
              <w:t>−</w:t>
            </w:r>
            <w:r w:rsidRPr="009C778C">
              <w:t> </w:t>
            </w:r>
            <w:r w:rsidRPr="009C778C">
              <w:rPr>
                <w:vertAlign w:val="subscript"/>
              </w:rPr>
              <w:t>1</w:t>
            </w:r>
            <w:r w:rsidRPr="009C778C">
              <w:t>) &gt; CIV (FOREIGN_CIV </w:t>
            </w:r>
            <w:r w:rsidRPr="009C778C">
              <w:rPr>
                <w:vertAlign w:val="subscript"/>
              </w:rPr>
              <w:t>t</w:t>
            </w:r>
            <w:r w:rsidRPr="009C778C">
              <w:t> </w:t>
            </w:r>
            <w:r w:rsidRPr="009C778C">
              <w:rPr>
                <w:vertAlign w:val="subscript"/>
              </w:rPr>
              <w:t>−</w:t>
            </w:r>
            <w:r w:rsidRPr="009C778C">
              <w:t> </w:t>
            </w:r>
            <w:r w:rsidRPr="009C778C">
              <w:rPr>
                <w:vertAlign w:val="subscript"/>
              </w:rPr>
              <w:t>1</w:t>
            </w:r>
            <w:r w:rsidRPr="009C778C">
              <w:t>)</w:t>
            </w:r>
          </w:p>
        </w:tc>
        <w:tc>
          <w:tcPr>
            <w:tcW w:w="0" w:type="auto"/>
          </w:tcPr>
          <w:p w14:paraId="45AEF513" w14:textId="77777777" w:rsidR="00B74885" w:rsidRPr="009C778C" w:rsidRDefault="00B74885" w:rsidP="00043BD5">
            <w:pPr>
              <w:pStyle w:val="NoSpacing"/>
            </w:pPr>
          </w:p>
        </w:tc>
        <w:tc>
          <w:tcPr>
            <w:tcW w:w="0" w:type="auto"/>
          </w:tcPr>
          <w:p w14:paraId="63FCA3EE" w14:textId="77777777" w:rsidR="00B74885" w:rsidRPr="009C778C" w:rsidRDefault="00B74885" w:rsidP="00043BD5">
            <w:pPr>
              <w:pStyle w:val="NoSpacing"/>
            </w:pPr>
          </w:p>
        </w:tc>
        <w:tc>
          <w:tcPr>
            <w:tcW w:w="0" w:type="auto"/>
          </w:tcPr>
          <w:p w14:paraId="6E29CCFB" w14:textId="77777777" w:rsidR="00B74885" w:rsidRPr="009C778C" w:rsidRDefault="00B74885" w:rsidP="00043BD5">
            <w:pPr>
              <w:pStyle w:val="NoSpacing"/>
            </w:pPr>
          </w:p>
        </w:tc>
        <w:tc>
          <w:tcPr>
            <w:tcW w:w="0" w:type="auto"/>
          </w:tcPr>
          <w:p w14:paraId="54A9AC1F" w14:textId="77777777" w:rsidR="00B74885" w:rsidRPr="009C778C" w:rsidRDefault="00B74885" w:rsidP="00043BD5">
            <w:pPr>
              <w:pStyle w:val="NoSpacing"/>
            </w:pPr>
          </w:p>
        </w:tc>
        <w:tc>
          <w:tcPr>
            <w:tcW w:w="0" w:type="auto"/>
          </w:tcPr>
          <w:p w14:paraId="7E7A1164" w14:textId="7787614E" w:rsidR="00B74885" w:rsidRPr="009C778C" w:rsidRDefault="00B74885" w:rsidP="00043BD5">
            <w:pPr>
              <w:pStyle w:val="NoSpacing"/>
            </w:pPr>
          </w:p>
        </w:tc>
        <w:tc>
          <w:tcPr>
            <w:tcW w:w="0" w:type="auto"/>
            <w:hideMark/>
          </w:tcPr>
          <w:p w14:paraId="2BFA33DF" w14:textId="77777777" w:rsidR="00B74885" w:rsidRPr="009C778C" w:rsidRDefault="00B74885" w:rsidP="00043BD5">
            <w:pPr>
              <w:pStyle w:val="NoSpacing"/>
            </w:pPr>
            <w:r w:rsidRPr="009C778C">
              <w:t>2.57*</w:t>
            </w:r>
          </w:p>
        </w:tc>
      </w:tr>
      <w:tr w:rsidR="00B74885" w:rsidRPr="009C778C" w14:paraId="794657DA" w14:textId="77777777" w:rsidTr="00043BD5">
        <w:tc>
          <w:tcPr>
            <w:tcW w:w="0" w:type="auto"/>
            <w:hideMark/>
          </w:tcPr>
          <w:p w14:paraId="009F6AB6" w14:textId="77777777" w:rsidR="00B74885" w:rsidRPr="009C778C" w:rsidRDefault="00B74885" w:rsidP="00043BD5">
            <w:pPr>
              <w:pStyle w:val="NoSpacing"/>
            </w:pPr>
            <w:r w:rsidRPr="009C778C">
              <w:t>(</w:t>
            </w:r>
            <w:r w:rsidRPr="009C778C">
              <w:rPr>
                <w:i/>
                <w:iCs/>
              </w:rPr>
              <w:t>p</w:t>
            </w:r>
            <w:r w:rsidRPr="009C778C">
              <w:t>-Value)</w:t>
            </w:r>
          </w:p>
        </w:tc>
        <w:tc>
          <w:tcPr>
            <w:tcW w:w="0" w:type="auto"/>
          </w:tcPr>
          <w:p w14:paraId="7ECD7EA9" w14:textId="77777777" w:rsidR="00B74885" w:rsidRPr="009C778C" w:rsidRDefault="00B74885" w:rsidP="00043BD5">
            <w:pPr>
              <w:pStyle w:val="NoSpacing"/>
            </w:pPr>
          </w:p>
        </w:tc>
        <w:tc>
          <w:tcPr>
            <w:tcW w:w="0" w:type="auto"/>
          </w:tcPr>
          <w:p w14:paraId="2C812297" w14:textId="77777777" w:rsidR="00B74885" w:rsidRPr="009C778C" w:rsidRDefault="00B74885" w:rsidP="00043BD5">
            <w:pPr>
              <w:pStyle w:val="NoSpacing"/>
            </w:pPr>
          </w:p>
        </w:tc>
        <w:tc>
          <w:tcPr>
            <w:tcW w:w="0" w:type="auto"/>
          </w:tcPr>
          <w:p w14:paraId="7118D059" w14:textId="77777777" w:rsidR="00B74885" w:rsidRPr="009C778C" w:rsidRDefault="00B74885" w:rsidP="00043BD5">
            <w:pPr>
              <w:pStyle w:val="NoSpacing"/>
            </w:pPr>
          </w:p>
        </w:tc>
        <w:tc>
          <w:tcPr>
            <w:tcW w:w="0" w:type="auto"/>
          </w:tcPr>
          <w:p w14:paraId="5FFDC9D6" w14:textId="77777777" w:rsidR="00B74885" w:rsidRPr="009C778C" w:rsidRDefault="00B74885" w:rsidP="00043BD5">
            <w:pPr>
              <w:pStyle w:val="NoSpacing"/>
            </w:pPr>
          </w:p>
        </w:tc>
        <w:tc>
          <w:tcPr>
            <w:tcW w:w="0" w:type="auto"/>
          </w:tcPr>
          <w:p w14:paraId="24588570" w14:textId="2405767D" w:rsidR="00B74885" w:rsidRPr="009C778C" w:rsidRDefault="00B74885" w:rsidP="00043BD5">
            <w:pPr>
              <w:pStyle w:val="NoSpacing"/>
            </w:pPr>
          </w:p>
        </w:tc>
        <w:tc>
          <w:tcPr>
            <w:tcW w:w="0" w:type="auto"/>
            <w:hideMark/>
          </w:tcPr>
          <w:p w14:paraId="7303F120" w14:textId="77777777" w:rsidR="00B74885" w:rsidRPr="009C778C" w:rsidRDefault="00B74885" w:rsidP="00043BD5">
            <w:pPr>
              <w:pStyle w:val="NoSpacing"/>
            </w:pPr>
            <w:r w:rsidRPr="009C778C">
              <w:t>(0.05)</w:t>
            </w:r>
          </w:p>
        </w:tc>
      </w:tr>
      <w:tr w:rsidR="00B74885" w:rsidRPr="009C778C" w14:paraId="025E38C3" w14:textId="77777777" w:rsidTr="00043BD5">
        <w:tc>
          <w:tcPr>
            <w:tcW w:w="0" w:type="auto"/>
            <w:hideMark/>
          </w:tcPr>
          <w:p w14:paraId="52FBA305" w14:textId="77777777" w:rsidR="00B74885" w:rsidRPr="009C778C" w:rsidRDefault="00B74885" w:rsidP="00043BD5">
            <w:pPr>
              <w:pStyle w:val="NoSpacing"/>
            </w:pPr>
            <w:r w:rsidRPr="009C778C">
              <w:t>F-stat COM (DOMESTIC </w:t>
            </w:r>
            <w:r w:rsidRPr="009C778C">
              <w:rPr>
                <w:vertAlign w:val="subscript"/>
              </w:rPr>
              <w:t>t</w:t>
            </w:r>
            <w:r w:rsidRPr="009C778C">
              <w:t> </w:t>
            </w:r>
            <w:r w:rsidRPr="009C778C">
              <w:rPr>
                <w:vertAlign w:val="subscript"/>
              </w:rPr>
              <w:t>−</w:t>
            </w:r>
            <w:r w:rsidRPr="009C778C">
              <w:t> </w:t>
            </w:r>
            <w:r w:rsidRPr="009C778C">
              <w:rPr>
                <w:vertAlign w:val="subscript"/>
              </w:rPr>
              <w:t>1</w:t>
            </w:r>
            <w:r w:rsidRPr="009C778C">
              <w:t> − FOREIGN </w:t>
            </w:r>
            <w:r w:rsidRPr="009C778C">
              <w:rPr>
                <w:vertAlign w:val="subscript"/>
              </w:rPr>
              <w:t>t</w:t>
            </w:r>
            <w:r w:rsidRPr="009C778C">
              <w:t> </w:t>
            </w:r>
            <w:r w:rsidRPr="009C778C">
              <w:rPr>
                <w:vertAlign w:val="subscript"/>
              </w:rPr>
              <w:t>−</w:t>
            </w:r>
            <w:r w:rsidRPr="009C778C">
              <w:t> </w:t>
            </w:r>
            <w:r w:rsidRPr="009C778C">
              <w:rPr>
                <w:vertAlign w:val="subscript"/>
              </w:rPr>
              <w:t>1</w:t>
            </w:r>
            <w:r w:rsidRPr="009C778C">
              <w:t>) &lt; CIV (DOMESTIC</w:t>
            </w:r>
            <w:r w:rsidRPr="009C778C">
              <w:rPr>
                <w:vertAlign w:val="subscript"/>
              </w:rPr>
              <w:t>t</w:t>
            </w:r>
            <w:r w:rsidRPr="009C778C">
              <w:t> </w:t>
            </w:r>
            <w:r w:rsidRPr="009C778C">
              <w:rPr>
                <w:vertAlign w:val="subscript"/>
              </w:rPr>
              <w:t>−</w:t>
            </w:r>
            <w:r w:rsidRPr="009C778C">
              <w:t> </w:t>
            </w:r>
            <w:r w:rsidRPr="009C778C">
              <w:rPr>
                <w:vertAlign w:val="subscript"/>
              </w:rPr>
              <w:t>1</w:t>
            </w:r>
            <w:r w:rsidRPr="009C778C">
              <w:t> − FOREIGN</w:t>
            </w:r>
            <w:r w:rsidRPr="009C778C">
              <w:rPr>
                <w:vertAlign w:val="subscript"/>
              </w:rPr>
              <w:t>t</w:t>
            </w:r>
            <w:r w:rsidRPr="009C778C">
              <w:t> </w:t>
            </w:r>
            <w:r w:rsidRPr="009C778C">
              <w:rPr>
                <w:vertAlign w:val="subscript"/>
              </w:rPr>
              <w:t>−</w:t>
            </w:r>
            <w:r w:rsidRPr="009C778C">
              <w:t> </w:t>
            </w:r>
            <w:r w:rsidRPr="009C778C">
              <w:rPr>
                <w:vertAlign w:val="subscript"/>
              </w:rPr>
              <w:t>1</w:t>
            </w:r>
            <w:r w:rsidRPr="009C778C">
              <w:t>)</w:t>
            </w:r>
          </w:p>
        </w:tc>
        <w:tc>
          <w:tcPr>
            <w:tcW w:w="0" w:type="auto"/>
          </w:tcPr>
          <w:p w14:paraId="1AA9E6FD" w14:textId="77777777" w:rsidR="00B74885" w:rsidRPr="009C778C" w:rsidRDefault="00B74885" w:rsidP="00043BD5">
            <w:pPr>
              <w:pStyle w:val="NoSpacing"/>
            </w:pPr>
          </w:p>
        </w:tc>
        <w:tc>
          <w:tcPr>
            <w:tcW w:w="0" w:type="auto"/>
          </w:tcPr>
          <w:p w14:paraId="030F282B" w14:textId="77777777" w:rsidR="00B74885" w:rsidRPr="009C778C" w:rsidRDefault="00B74885" w:rsidP="00043BD5">
            <w:pPr>
              <w:pStyle w:val="NoSpacing"/>
            </w:pPr>
          </w:p>
        </w:tc>
        <w:tc>
          <w:tcPr>
            <w:tcW w:w="0" w:type="auto"/>
          </w:tcPr>
          <w:p w14:paraId="7784AC32" w14:textId="77777777" w:rsidR="00B74885" w:rsidRPr="009C778C" w:rsidRDefault="00B74885" w:rsidP="00043BD5">
            <w:pPr>
              <w:pStyle w:val="NoSpacing"/>
            </w:pPr>
          </w:p>
        </w:tc>
        <w:tc>
          <w:tcPr>
            <w:tcW w:w="0" w:type="auto"/>
          </w:tcPr>
          <w:p w14:paraId="37CEEB4F" w14:textId="77777777" w:rsidR="00B74885" w:rsidRPr="009C778C" w:rsidRDefault="00B74885" w:rsidP="00043BD5">
            <w:pPr>
              <w:pStyle w:val="NoSpacing"/>
            </w:pPr>
          </w:p>
        </w:tc>
        <w:tc>
          <w:tcPr>
            <w:tcW w:w="0" w:type="auto"/>
          </w:tcPr>
          <w:p w14:paraId="1AA53085" w14:textId="4E4F4AF6" w:rsidR="00B74885" w:rsidRPr="009C778C" w:rsidRDefault="00B74885" w:rsidP="00043BD5">
            <w:pPr>
              <w:pStyle w:val="NoSpacing"/>
            </w:pPr>
          </w:p>
        </w:tc>
        <w:tc>
          <w:tcPr>
            <w:tcW w:w="0" w:type="auto"/>
            <w:hideMark/>
          </w:tcPr>
          <w:p w14:paraId="4E432E90" w14:textId="77777777" w:rsidR="00B74885" w:rsidRPr="009C778C" w:rsidRDefault="00B74885" w:rsidP="00043BD5">
            <w:pPr>
              <w:pStyle w:val="NoSpacing"/>
            </w:pPr>
            <w:r w:rsidRPr="009C778C">
              <w:t>0.03</w:t>
            </w:r>
          </w:p>
        </w:tc>
      </w:tr>
      <w:tr w:rsidR="00B74885" w:rsidRPr="009C778C" w14:paraId="1961A734" w14:textId="77777777" w:rsidTr="00043BD5">
        <w:tc>
          <w:tcPr>
            <w:tcW w:w="0" w:type="auto"/>
            <w:hideMark/>
          </w:tcPr>
          <w:p w14:paraId="7BAB58A5" w14:textId="77777777" w:rsidR="00B74885" w:rsidRPr="009C778C" w:rsidRDefault="00B74885" w:rsidP="00043BD5">
            <w:pPr>
              <w:pStyle w:val="NoSpacing"/>
            </w:pPr>
            <w:r w:rsidRPr="009C778C">
              <w:t>(</w:t>
            </w:r>
            <w:r w:rsidRPr="009C778C">
              <w:rPr>
                <w:i/>
                <w:iCs/>
              </w:rPr>
              <w:t>p</w:t>
            </w:r>
            <w:r w:rsidRPr="009C778C">
              <w:t>-Value)</w:t>
            </w:r>
          </w:p>
        </w:tc>
        <w:tc>
          <w:tcPr>
            <w:tcW w:w="0" w:type="auto"/>
          </w:tcPr>
          <w:p w14:paraId="7774B7D6" w14:textId="77777777" w:rsidR="00B74885" w:rsidRPr="009C778C" w:rsidRDefault="00B74885" w:rsidP="00043BD5">
            <w:pPr>
              <w:pStyle w:val="NoSpacing"/>
            </w:pPr>
          </w:p>
        </w:tc>
        <w:tc>
          <w:tcPr>
            <w:tcW w:w="0" w:type="auto"/>
          </w:tcPr>
          <w:p w14:paraId="53BD7D5C" w14:textId="77777777" w:rsidR="00B74885" w:rsidRPr="009C778C" w:rsidRDefault="00B74885" w:rsidP="00043BD5">
            <w:pPr>
              <w:pStyle w:val="NoSpacing"/>
            </w:pPr>
          </w:p>
        </w:tc>
        <w:tc>
          <w:tcPr>
            <w:tcW w:w="0" w:type="auto"/>
          </w:tcPr>
          <w:p w14:paraId="277F0C90" w14:textId="77777777" w:rsidR="00B74885" w:rsidRPr="009C778C" w:rsidRDefault="00B74885" w:rsidP="00043BD5">
            <w:pPr>
              <w:pStyle w:val="NoSpacing"/>
            </w:pPr>
          </w:p>
        </w:tc>
        <w:tc>
          <w:tcPr>
            <w:tcW w:w="0" w:type="auto"/>
          </w:tcPr>
          <w:p w14:paraId="5011B77E" w14:textId="77777777" w:rsidR="00B74885" w:rsidRPr="009C778C" w:rsidRDefault="00B74885" w:rsidP="00043BD5">
            <w:pPr>
              <w:pStyle w:val="NoSpacing"/>
            </w:pPr>
          </w:p>
        </w:tc>
        <w:tc>
          <w:tcPr>
            <w:tcW w:w="0" w:type="auto"/>
          </w:tcPr>
          <w:p w14:paraId="73B43A46" w14:textId="7F1249EF" w:rsidR="00B74885" w:rsidRPr="009C778C" w:rsidRDefault="00B74885" w:rsidP="00043BD5">
            <w:pPr>
              <w:pStyle w:val="NoSpacing"/>
            </w:pPr>
          </w:p>
        </w:tc>
        <w:tc>
          <w:tcPr>
            <w:tcW w:w="0" w:type="auto"/>
            <w:hideMark/>
          </w:tcPr>
          <w:p w14:paraId="642C7A6E" w14:textId="77777777" w:rsidR="00B74885" w:rsidRPr="009C778C" w:rsidRDefault="00B74885" w:rsidP="00043BD5">
            <w:pPr>
              <w:pStyle w:val="NoSpacing"/>
            </w:pPr>
            <w:r w:rsidRPr="009C778C">
              <w:t>(0.44)</w:t>
            </w:r>
          </w:p>
        </w:tc>
      </w:tr>
      <w:tr w:rsidR="00B74885" w:rsidRPr="009C778C" w14:paraId="6FC228FB" w14:textId="77777777" w:rsidTr="00043BD5">
        <w:tc>
          <w:tcPr>
            <w:tcW w:w="0" w:type="auto"/>
            <w:hideMark/>
          </w:tcPr>
          <w:p w14:paraId="250FF5F9" w14:textId="77777777" w:rsidR="00B74885" w:rsidRPr="009C778C" w:rsidRDefault="00B74885" w:rsidP="00043BD5">
            <w:pPr>
              <w:pStyle w:val="NoSpacing"/>
            </w:pPr>
            <w:r w:rsidRPr="009C778C">
              <w:t>F-stat COM (DOMESTIC</w:t>
            </w:r>
            <w:r w:rsidRPr="009C778C">
              <w:rPr>
                <w:vertAlign w:val="subscript"/>
              </w:rPr>
              <w:t>t</w:t>
            </w:r>
            <w:r w:rsidRPr="009C778C">
              <w:t> </w:t>
            </w:r>
            <w:r w:rsidRPr="009C778C">
              <w:rPr>
                <w:vertAlign w:val="subscript"/>
              </w:rPr>
              <w:t>−</w:t>
            </w:r>
            <w:r w:rsidRPr="009C778C">
              <w:t> </w:t>
            </w:r>
            <w:r w:rsidRPr="009C778C">
              <w:rPr>
                <w:vertAlign w:val="subscript"/>
              </w:rPr>
              <w:t>1</w:t>
            </w:r>
            <w:r w:rsidRPr="009C778C">
              <w:t> − FOREIGN_CIV</w:t>
            </w:r>
            <w:r w:rsidRPr="009C778C">
              <w:rPr>
                <w:vertAlign w:val="subscript"/>
              </w:rPr>
              <w:t>t</w:t>
            </w:r>
            <w:r w:rsidRPr="009C778C">
              <w:t> </w:t>
            </w:r>
            <w:r w:rsidRPr="009C778C">
              <w:rPr>
                <w:vertAlign w:val="subscript"/>
              </w:rPr>
              <w:t>−</w:t>
            </w:r>
            <w:r w:rsidRPr="009C778C">
              <w:t> </w:t>
            </w:r>
            <w:r w:rsidRPr="009C778C">
              <w:rPr>
                <w:vertAlign w:val="subscript"/>
              </w:rPr>
              <w:t>1</w:t>
            </w:r>
            <w:r w:rsidRPr="009C778C">
              <w:t>) &lt; CIV (DOMESTIC</w:t>
            </w:r>
            <w:r w:rsidRPr="009C778C">
              <w:rPr>
                <w:vertAlign w:val="subscript"/>
              </w:rPr>
              <w:t>t</w:t>
            </w:r>
            <w:r w:rsidRPr="009C778C">
              <w:t> </w:t>
            </w:r>
            <w:r w:rsidRPr="009C778C">
              <w:rPr>
                <w:vertAlign w:val="subscript"/>
              </w:rPr>
              <w:t>−</w:t>
            </w:r>
            <w:r w:rsidRPr="009C778C">
              <w:t> </w:t>
            </w:r>
            <w:r w:rsidRPr="009C778C">
              <w:rPr>
                <w:vertAlign w:val="subscript"/>
              </w:rPr>
              <w:t>1</w:t>
            </w:r>
            <w:r w:rsidRPr="009C778C">
              <w:t> − FOREIGN_COM</w:t>
            </w:r>
            <w:r w:rsidRPr="009C778C">
              <w:rPr>
                <w:vertAlign w:val="subscript"/>
              </w:rPr>
              <w:t>t</w:t>
            </w:r>
            <w:r w:rsidRPr="009C778C">
              <w:t> </w:t>
            </w:r>
            <w:r w:rsidRPr="009C778C">
              <w:rPr>
                <w:vertAlign w:val="subscript"/>
              </w:rPr>
              <w:t>−</w:t>
            </w:r>
            <w:r w:rsidRPr="009C778C">
              <w:t> </w:t>
            </w:r>
            <w:r w:rsidRPr="009C778C">
              <w:rPr>
                <w:vertAlign w:val="subscript"/>
              </w:rPr>
              <w:t>1</w:t>
            </w:r>
            <w:r w:rsidRPr="009C778C">
              <w:t>)</w:t>
            </w:r>
          </w:p>
        </w:tc>
        <w:tc>
          <w:tcPr>
            <w:tcW w:w="0" w:type="auto"/>
          </w:tcPr>
          <w:p w14:paraId="705C0C93" w14:textId="77777777" w:rsidR="00B74885" w:rsidRPr="009C778C" w:rsidRDefault="00B74885" w:rsidP="00043BD5">
            <w:pPr>
              <w:pStyle w:val="NoSpacing"/>
            </w:pPr>
          </w:p>
        </w:tc>
        <w:tc>
          <w:tcPr>
            <w:tcW w:w="0" w:type="auto"/>
          </w:tcPr>
          <w:p w14:paraId="165B494F" w14:textId="77777777" w:rsidR="00B74885" w:rsidRPr="009C778C" w:rsidRDefault="00B74885" w:rsidP="00043BD5">
            <w:pPr>
              <w:pStyle w:val="NoSpacing"/>
            </w:pPr>
          </w:p>
        </w:tc>
        <w:tc>
          <w:tcPr>
            <w:tcW w:w="0" w:type="auto"/>
          </w:tcPr>
          <w:p w14:paraId="47181060" w14:textId="77777777" w:rsidR="00B74885" w:rsidRPr="009C778C" w:rsidRDefault="00B74885" w:rsidP="00043BD5">
            <w:pPr>
              <w:pStyle w:val="NoSpacing"/>
            </w:pPr>
          </w:p>
        </w:tc>
        <w:tc>
          <w:tcPr>
            <w:tcW w:w="0" w:type="auto"/>
          </w:tcPr>
          <w:p w14:paraId="013900F4" w14:textId="77777777" w:rsidR="00B74885" w:rsidRPr="009C778C" w:rsidRDefault="00B74885" w:rsidP="00043BD5">
            <w:pPr>
              <w:pStyle w:val="NoSpacing"/>
            </w:pPr>
          </w:p>
        </w:tc>
        <w:tc>
          <w:tcPr>
            <w:tcW w:w="0" w:type="auto"/>
          </w:tcPr>
          <w:p w14:paraId="5258362E" w14:textId="2BD4FD8E" w:rsidR="00B74885" w:rsidRPr="009C778C" w:rsidRDefault="00B74885" w:rsidP="00043BD5">
            <w:pPr>
              <w:pStyle w:val="NoSpacing"/>
            </w:pPr>
          </w:p>
        </w:tc>
        <w:tc>
          <w:tcPr>
            <w:tcW w:w="0" w:type="auto"/>
            <w:hideMark/>
          </w:tcPr>
          <w:p w14:paraId="1D2356B5" w14:textId="77777777" w:rsidR="00B74885" w:rsidRPr="009C778C" w:rsidRDefault="00B74885" w:rsidP="00043BD5">
            <w:pPr>
              <w:pStyle w:val="NoSpacing"/>
            </w:pPr>
            <w:r w:rsidRPr="009C778C">
              <w:t>3.09**</w:t>
            </w:r>
          </w:p>
        </w:tc>
      </w:tr>
      <w:tr w:rsidR="00B74885" w:rsidRPr="009C778C" w14:paraId="2F90D9E7" w14:textId="77777777" w:rsidTr="00043BD5">
        <w:tc>
          <w:tcPr>
            <w:tcW w:w="0" w:type="auto"/>
            <w:hideMark/>
          </w:tcPr>
          <w:p w14:paraId="38891C85" w14:textId="77777777" w:rsidR="00B74885" w:rsidRPr="009C778C" w:rsidRDefault="00B74885" w:rsidP="00043BD5">
            <w:pPr>
              <w:pStyle w:val="NoSpacing"/>
            </w:pPr>
            <w:r w:rsidRPr="009C778C">
              <w:t>(</w:t>
            </w:r>
            <w:r w:rsidRPr="009C778C">
              <w:rPr>
                <w:i/>
                <w:iCs/>
              </w:rPr>
              <w:t>p</w:t>
            </w:r>
            <w:r w:rsidRPr="009C778C">
              <w:t>-Value)</w:t>
            </w:r>
          </w:p>
        </w:tc>
        <w:tc>
          <w:tcPr>
            <w:tcW w:w="0" w:type="auto"/>
          </w:tcPr>
          <w:p w14:paraId="7F17F6A9" w14:textId="77777777" w:rsidR="00B74885" w:rsidRPr="009C778C" w:rsidRDefault="00B74885" w:rsidP="00043BD5">
            <w:pPr>
              <w:pStyle w:val="NoSpacing"/>
            </w:pPr>
          </w:p>
        </w:tc>
        <w:tc>
          <w:tcPr>
            <w:tcW w:w="0" w:type="auto"/>
          </w:tcPr>
          <w:p w14:paraId="555EBFE8" w14:textId="77777777" w:rsidR="00B74885" w:rsidRPr="009C778C" w:rsidRDefault="00B74885" w:rsidP="00043BD5">
            <w:pPr>
              <w:pStyle w:val="NoSpacing"/>
            </w:pPr>
          </w:p>
        </w:tc>
        <w:tc>
          <w:tcPr>
            <w:tcW w:w="0" w:type="auto"/>
          </w:tcPr>
          <w:p w14:paraId="2EF513B4" w14:textId="77777777" w:rsidR="00B74885" w:rsidRPr="009C778C" w:rsidRDefault="00B74885" w:rsidP="00043BD5">
            <w:pPr>
              <w:pStyle w:val="NoSpacing"/>
            </w:pPr>
          </w:p>
        </w:tc>
        <w:tc>
          <w:tcPr>
            <w:tcW w:w="0" w:type="auto"/>
          </w:tcPr>
          <w:p w14:paraId="0B01B3DD" w14:textId="77777777" w:rsidR="00B74885" w:rsidRPr="009C778C" w:rsidRDefault="00B74885" w:rsidP="00043BD5">
            <w:pPr>
              <w:pStyle w:val="NoSpacing"/>
            </w:pPr>
          </w:p>
        </w:tc>
        <w:tc>
          <w:tcPr>
            <w:tcW w:w="0" w:type="auto"/>
          </w:tcPr>
          <w:p w14:paraId="06AB0D1D" w14:textId="1542A38D" w:rsidR="00B74885" w:rsidRPr="009C778C" w:rsidRDefault="00B74885" w:rsidP="00043BD5">
            <w:pPr>
              <w:pStyle w:val="NoSpacing"/>
            </w:pPr>
          </w:p>
        </w:tc>
        <w:tc>
          <w:tcPr>
            <w:tcW w:w="0" w:type="auto"/>
            <w:hideMark/>
          </w:tcPr>
          <w:p w14:paraId="6B22C29C" w14:textId="77777777" w:rsidR="00B74885" w:rsidRPr="009C778C" w:rsidRDefault="00B74885" w:rsidP="00043BD5">
            <w:pPr>
              <w:pStyle w:val="NoSpacing"/>
            </w:pPr>
            <w:r w:rsidRPr="009C778C">
              <w:t>(0.04)</w:t>
            </w:r>
          </w:p>
        </w:tc>
      </w:tr>
    </w:tbl>
    <w:p w14:paraId="17D060DF" w14:textId="77777777" w:rsidR="00043BD5" w:rsidRDefault="00043BD5" w:rsidP="009C778C">
      <w:pPr>
        <w:rPr>
          <w:rFonts w:cstheme="minorHAnsi"/>
          <w:sz w:val="24"/>
          <w:szCs w:val="24"/>
        </w:rPr>
      </w:pPr>
    </w:p>
    <w:p w14:paraId="630436E0" w14:textId="05D6ADA6" w:rsidR="009C778C" w:rsidRPr="009C778C" w:rsidRDefault="009C778C" w:rsidP="009C778C">
      <w:pPr>
        <w:rPr>
          <w:rFonts w:cstheme="minorHAnsi"/>
          <w:sz w:val="24"/>
          <w:szCs w:val="24"/>
        </w:rPr>
      </w:pPr>
      <w:r w:rsidRPr="009C778C">
        <w:rPr>
          <w:rFonts w:cstheme="minorHAnsi"/>
          <w:sz w:val="24"/>
          <w:szCs w:val="24"/>
        </w:rPr>
        <w:t>To more rigorously test </w:t>
      </w:r>
      <w:hyperlink r:id="rId134" w:anchor="en0025" w:history="1">
        <w:r w:rsidRPr="009C778C">
          <w:rPr>
            <w:rStyle w:val="Hyperlink"/>
            <w:rFonts w:cstheme="minorHAnsi"/>
            <w:sz w:val="24"/>
            <w:szCs w:val="24"/>
          </w:rPr>
          <w:t>H2a</w:t>
        </w:r>
      </w:hyperlink>
      <w:r w:rsidRPr="009C778C">
        <w:rPr>
          <w:rFonts w:cstheme="minorHAnsi"/>
          <w:sz w:val="24"/>
          <w:szCs w:val="24"/>
        </w:rPr>
        <w:t>, we deploy a finer classification of foreign versus domestic institutional investors—independent foreign (</w:t>
      </w:r>
      <w:r w:rsidRPr="009C778C">
        <w:rPr>
          <w:rFonts w:cstheme="minorHAnsi"/>
          <w:i/>
          <w:iCs/>
          <w:sz w:val="24"/>
          <w:szCs w:val="24"/>
        </w:rPr>
        <w:t>FOREIGN_INDEP</w:t>
      </w:r>
      <w:r w:rsidRPr="009C778C">
        <w:rPr>
          <w:rFonts w:cstheme="minorHAnsi"/>
          <w:i/>
          <w:iCs/>
          <w:sz w:val="24"/>
          <w:szCs w:val="24"/>
          <w:vertAlign w:val="subscript"/>
        </w:rPr>
        <w:t>t − 1</w:t>
      </w:r>
      <w:r w:rsidRPr="009C778C">
        <w:rPr>
          <w:rFonts w:cstheme="minorHAnsi"/>
          <w:sz w:val="24"/>
          <w:szCs w:val="24"/>
        </w:rPr>
        <w:t>) versus independent domestic (</w:t>
      </w:r>
      <w:r w:rsidRPr="009C778C">
        <w:rPr>
          <w:rFonts w:cstheme="minorHAnsi"/>
          <w:i/>
          <w:iCs/>
          <w:sz w:val="24"/>
          <w:szCs w:val="24"/>
        </w:rPr>
        <w:t>DOMESTIC_INDEP</w:t>
      </w:r>
      <w:r w:rsidRPr="009C778C">
        <w:rPr>
          <w:rFonts w:cstheme="minorHAnsi"/>
          <w:i/>
          <w:iCs/>
          <w:sz w:val="24"/>
          <w:szCs w:val="24"/>
          <w:vertAlign w:val="subscript"/>
        </w:rPr>
        <w:t>t − 1</w:t>
      </w:r>
      <w:r w:rsidRPr="009C778C">
        <w:rPr>
          <w:rFonts w:cstheme="minorHAnsi"/>
          <w:sz w:val="24"/>
          <w:szCs w:val="24"/>
        </w:rPr>
        <w:t>) institutional investors. Results are reported in </w:t>
      </w:r>
      <w:hyperlink r:id="rId135" w:anchor="t0035" w:history="1">
        <w:r w:rsidRPr="009C778C">
          <w:rPr>
            <w:rStyle w:val="Hyperlink"/>
            <w:rFonts w:cstheme="minorHAnsi"/>
            <w:sz w:val="24"/>
            <w:szCs w:val="24"/>
          </w:rPr>
          <w:t>Table 7</w:t>
        </w:r>
      </w:hyperlink>
      <w:r w:rsidRPr="009C778C">
        <w:rPr>
          <w:rFonts w:cstheme="minorHAnsi"/>
          <w:sz w:val="24"/>
          <w:szCs w:val="24"/>
        </w:rPr>
        <w:t> columns (2) and (4). The literature (e.g., </w:t>
      </w:r>
      <w:hyperlink r:id="rId136" w:anchor="bb0275" w:history="1">
        <w:r w:rsidRPr="009C778C">
          <w:rPr>
            <w:rStyle w:val="Hyperlink"/>
            <w:rFonts w:cstheme="minorHAnsi"/>
            <w:sz w:val="24"/>
            <w:szCs w:val="24"/>
          </w:rPr>
          <w:t>Linck et al., 2008</w:t>
        </w:r>
      </w:hyperlink>
      <w:bookmarkEnd w:id="23"/>
      <w:r w:rsidRPr="009C778C">
        <w:rPr>
          <w:rFonts w:cstheme="minorHAnsi"/>
          <w:sz w:val="24"/>
          <w:szCs w:val="24"/>
        </w:rPr>
        <w:t>) establishes that independent monitors are more effective monitors. Therefore, a natural extension of </w:t>
      </w:r>
      <w:hyperlink r:id="rId137" w:anchor="en0025" w:history="1">
        <w:r w:rsidRPr="009C778C">
          <w:rPr>
            <w:rStyle w:val="Hyperlink"/>
            <w:rFonts w:cstheme="minorHAnsi"/>
            <w:sz w:val="24"/>
            <w:szCs w:val="24"/>
          </w:rPr>
          <w:t>H2a</w:t>
        </w:r>
      </w:hyperlink>
      <w:r w:rsidRPr="009C778C">
        <w:rPr>
          <w:rFonts w:cstheme="minorHAnsi"/>
          <w:sz w:val="24"/>
          <w:szCs w:val="24"/>
        </w:rPr>
        <w:t> is that independent foreign institutional investors have a more negative impact on earnings management. Following the literature (e.g., </w:t>
      </w:r>
      <w:bookmarkStart w:id="90" w:name="bbb007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"bb0070"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Brickley</w:t>
      </w:r>
      <w:proofErr w:type="spellEnd"/>
      <w:r w:rsidRPr="009C778C">
        <w:rPr>
          <w:rStyle w:val="Hyperlink"/>
          <w:rFonts w:cstheme="minorHAnsi"/>
          <w:sz w:val="24"/>
          <w:szCs w:val="24"/>
        </w:rPr>
        <w:t xml:space="preserve"> et al., 1988</w:t>
      </w:r>
      <w:r w:rsidRPr="009C778C">
        <w:rPr>
          <w:rFonts w:cstheme="minorHAnsi"/>
          <w:sz w:val="24"/>
          <w:szCs w:val="24"/>
        </w:rPr>
        <w:fldChar w:fldCharType="end"/>
      </w:r>
      <w:bookmarkEnd w:id="90"/>
      <w:r w:rsidRPr="009C778C">
        <w:rPr>
          <w:rFonts w:cstheme="minorHAnsi"/>
          <w:sz w:val="24"/>
          <w:szCs w:val="24"/>
        </w:rPr>
        <w:t>, </w:t>
      </w:r>
      <w:hyperlink r:id="rId138" w:anchor="bb0150" w:history="1">
        <w:r w:rsidRPr="009C778C">
          <w:rPr>
            <w:rStyle w:val="Hyperlink"/>
            <w:rFonts w:cstheme="minorHAnsi"/>
            <w:sz w:val="24"/>
            <w:szCs w:val="24"/>
          </w:rPr>
          <w:t>Ferreira and Matos, 2008</w:t>
        </w:r>
      </w:hyperlink>
      <w:r w:rsidRPr="009C778C">
        <w:rPr>
          <w:rFonts w:cstheme="minorHAnsi"/>
          <w:sz w:val="24"/>
          <w:szCs w:val="24"/>
        </w:rPr>
        <w:t>), we classify mutual funds and independent investment advisors as independent institutional investors. The results become stronger when we use this finer classification: the coefficient difference-in-difference test (i.e., </w:t>
      </w:r>
      <w:r w:rsidRPr="009C778C">
        <w:rPr>
          <w:rFonts w:cstheme="minorHAnsi"/>
          <w:i/>
          <w:iCs/>
          <w:sz w:val="24"/>
          <w:szCs w:val="24"/>
        </w:rPr>
        <w:t>DOMESTIC_INDEP</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FOREIGN_INDEP</w:t>
      </w:r>
      <w:r w:rsidRPr="009C778C">
        <w:rPr>
          <w:rFonts w:cstheme="minorHAnsi"/>
          <w:i/>
          <w:iCs/>
          <w:sz w:val="24"/>
          <w:szCs w:val="24"/>
          <w:vertAlign w:val="subscript"/>
        </w:rPr>
        <w:t>t − 1</w:t>
      </w:r>
      <w:r w:rsidRPr="009C778C">
        <w:rPr>
          <w:rFonts w:cstheme="minorHAnsi"/>
          <w:sz w:val="24"/>
          <w:szCs w:val="24"/>
        </w:rPr>
        <w:t> across firms with low versus high levels of free cash flow) becomes more significant with 0.01 significance and the coefficient estimates of </w:t>
      </w:r>
      <w:r w:rsidRPr="009C778C">
        <w:rPr>
          <w:rFonts w:cstheme="minorHAnsi"/>
          <w:i/>
          <w:iCs/>
          <w:sz w:val="24"/>
          <w:szCs w:val="24"/>
        </w:rPr>
        <w:t>DOMESTIC_INDEP</w:t>
      </w:r>
      <w:r w:rsidRPr="009C778C">
        <w:rPr>
          <w:rFonts w:cstheme="minorHAnsi"/>
          <w:i/>
          <w:iCs/>
          <w:sz w:val="24"/>
          <w:szCs w:val="24"/>
          <w:vertAlign w:val="subscript"/>
        </w:rPr>
        <w:t>t − 1</w:t>
      </w:r>
      <w:r w:rsidRPr="009C778C">
        <w:rPr>
          <w:rFonts w:cstheme="minorHAnsi"/>
          <w:sz w:val="24"/>
          <w:szCs w:val="24"/>
        </w:rPr>
        <w:t> and </w:t>
      </w:r>
      <w:r w:rsidRPr="009C778C">
        <w:rPr>
          <w:rFonts w:cstheme="minorHAnsi"/>
          <w:i/>
          <w:iCs/>
          <w:sz w:val="24"/>
          <w:szCs w:val="24"/>
        </w:rPr>
        <w:t>FOREIGN_INDEP</w:t>
      </w:r>
      <w:r w:rsidRPr="009C778C">
        <w:rPr>
          <w:rFonts w:cstheme="minorHAnsi"/>
          <w:i/>
          <w:iCs/>
          <w:sz w:val="24"/>
          <w:szCs w:val="24"/>
          <w:vertAlign w:val="subscript"/>
        </w:rPr>
        <w:t>t − 1</w:t>
      </w:r>
      <w:r w:rsidRPr="009C778C">
        <w:rPr>
          <w:rFonts w:cstheme="minorHAnsi"/>
          <w:sz w:val="24"/>
          <w:szCs w:val="24"/>
        </w:rPr>
        <w:t> are negative and of larger magnitudes than those of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and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respectively. To summarize, </w:t>
      </w:r>
      <w:hyperlink r:id="rId139" w:anchor="t0035" w:history="1">
        <w:r w:rsidRPr="009C778C">
          <w:rPr>
            <w:rStyle w:val="Hyperlink"/>
            <w:rFonts w:cstheme="minorHAnsi"/>
            <w:sz w:val="24"/>
            <w:szCs w:val="24"/>
          </w:rPr>
          <w:t>Table 7</w:t>
        </w:r>
      </w:hyperlink>
      <w:r w:rsidRPr="009C778C">
        <w:rPr>
          <w:rFonts w:cstheme="minorHAnsi"/>
          <w:sz w:val="24"/>
          <w:szCs w:val="24"/>
        </w:rPr>
        <w:t> panel A offers strong evidence in support of </w:t>
      </w:r>
      <w:hyperlink r:id="rId140" w:anchor="en0025" w:history="1">
        <w:r w:rsidRPr="009C778C">
          <w:rPr>
            <w:rStyle w:val="Hyperlink"/>
            <w:rFonts w:cstheme="minorHAnsi"/>
            <w:sz w:val="24"/>
            <w:szCs w:val="24"/>
          </w:rPr>
          <w:t>H2a</w:t>
        </w:r>
      </w:hyperlink>
      <w:r w:rsidRPr="009C778C">
        <w:rPr>
          <w:rFonts w:cstheme="minorHAnsi"/>
          <w:sz w:val="24"/>
          <w:szCs w:val="24"/>
        </w:rPr>
        <w:t>.</w:t>
      </w:r>
    </w:p>
    <w:p w14:paraId="33BA25EA" w14:textId="77777777" w:rsidR="009C778C" w:rsidRPr="009C778C" w:rsidRDefault="009C778C" w:rsidP="009C778C">
      <w:pPr>
        <w:rPr>
          <w:rFonts w:cstheme="minorHAnsi"/>
          <w:sz w:val="24"/>
          <w:szCs w:val="24"/>
        </w:rPr>
      </w:pPr>
      <w:r w:rsidRPr="009C778C">
        <w:rPr>
          <w:rFonts w:cstheme="minorHAnsi"/>
          <w:sz w:val="24"/>
          <w:szCs w:val="24"/>
        </w:rPr>
        <w:t>In the second test, we separate the sample into two groups based on the host country’s legal origin. The law and finance literature shows that corporate governance is stronger in common-law countries as opposed to civil-law countries (</w:t>
      </w:r>
      <w:hyperlink r:id="rId141" w:anchor="bb0245" w:history="1">
        <w:r w:rsidRPr="009C778C">
          <w:rPr>
            <w:rStyle w:val="Hyperlink"/>
            <w:rFonts w:cstheme="minorHAnsi"/>
            <w:sz w:val="24"/>
            <w:szCs w:val="24"/>
          </w:rPr>
          <w:t>La Porta et al., 1998</w:t>
        </w:r>
      </w:hyperlink>
      <w:r w:rsidRPr="009C778C">
        <w:rPr>
          <w:rFonts w:cstheme="minorHAnsi"/>
          <w:sz w:val="24"/>
          <w:szCs w:val="24"/>
        </w:rPr>
        <w:t>, </w:t>
      </w:r>
      <w:hyperlink r:id="rId142" w:anchor="bb0005" w:history="1">
        <w:r w:rsidRPr="009C778C">
          <w:rPr>
            <w:rStyle w:val="Hyperlink"/>
            <w:rFonts w:cstheme="minorHAnsi"/>
            <w:sz w:val="24"/>
            <w:szCs w:val="24"/>
          </w:rPr>
          <w:t>Aggarwal et al., 2011</w:t>
        </w:r>
      </w:hyperlink>
      <w:r w:rsidRPr="009C778C">
        <w:rPr>
          <w:rFonts w:cstheme="minorHAnsi"/>
          <w:sz w:val="24"/>
          <w:szCs w:val="24"/>
        </w:rPr>
        <w:t>). </w:t>
      </w:r>
      <w:hyperlink r:id="rId143" w:anchor="en0025" w:history="1">
        <w:r w:rsidRPr="009C778C">
          <w:rPr>
            <w:rStyle w:val="Hyperlink"/>
            <w:rFonts w:cstheme="minorHAnsi"/>
            <w:sz w:val="24"/>
            <w:szCs w:val="24"/>
          </w:rPr>
          <w:t>H2a</w:t>
        </w:r>
      </w:hyperlink>
      <w:r w:rsidRPr="009C778C">
        <w:rPr>
          <w:rFonts w:cstheme="minorHAnsi"/>
          <w:sz w:val="24"/>
          <w:szCs w:val="24"/>
        </w:rPr>
        <w:t> predicts that the coefficient difference between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and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more negative in common-law countries than in civil-law countries. As </w:t>
      </w:r>
      <w:hyperlink r:id="rId144" w:anchor="t0035" w:history="1">
        <w:r w:rsidRPr="009C778C">
          <w:rPr>
            <w:rStyle w:val="Hyperlink"/>
            <w:rFonts w:cstheme="minorHAnsi"/>
            <w:sz w:val="24"/>
            <w:szCs w:val="24"/>
          </w:rPr>
          <w:t>Table 7</w:t>
        </w:r>
      </w:hyperlink>
      <w:r w:rsidRPr="009C778C">
        <w:rPr>
          <w:rFonts w:cstheme="minorHAnsi"/>
          <w:sz w:val="24"/>
          <w:szCs w:val="24"/>
        </w:rPr>
        <w:t> panel B shows, we do not find supporting evidence: the </w:t>
      </w:r>
      <w:r w:rsidRPr="009C778C">
        <w:rPr>
          <w:rFonts w:cstheme="minorHAnsi"/>
          <w:i/>
          <w:iCs/>
          <w:sz w:val="24"/>
          <w:szCs w:val="24"/>
        </w:rPr>
        <w:t>p</w:t>
      </w:r>
      <w:r w:rsidRPr="009C778C">
        <w:rPr>
          <w:rFonts w:cstheme="minorHAnsi"/>
          <w:sz w:val="24"/>
          <w:szCs w:val="24"/>
        </w:rPr>
        <w:t>-value is 0.44 for the one-tailed F-test that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more negative in the common-law regression than in the civil-law regression.</w:t>
      </w:r>
    </w:p>
    <w:p w14:paraId="074D4320" w14:textId="77777777" w:rsidR="009C778C" w:rsidRPr="009C778C" w:rsidRDefault="009C778C" w:rsidP="009C778C">
      <w:pPr>
        <w:rPr>
          <w:rFonts w:cstheme="minorHAnsi"/>
          <w:sz w:val="24"/>
          <w:szCs w:val="24"/>
        </w:rPr>
      </w:pPr>
      <w:r w:rsidRPr="009C778C">
        <w:rPr>
          <w:rFonts w:cstheme="minorHAnsi"/>
          <w:sz w:val="24"/>
          <w:szCs w:val="24"/>
        </w:rPr>
        <w:t>To provide a sharper test, we further classify foreign institutional investors into two groups—those from common-law countries (</w:t>
      </w:r>
      <w:r w:rsidRPr="009C778C">
        <w:rPr>
          <w:rFonts w:cstheme="minorHAnsi"/>
          <w:i/>
          <w:iCs/>
          <w:sz w:val="24"/>
          <w:szCs w:val="24"/>
        </w:rPr>
        <w:t>FOREIGN_COM</w:t>
      </w:r>
      <w:r w:rsidRPr="009C778C">
        <w:rPr>
          <w:rFonts w:cstheme="minorHAnsi"/>
          <w:i/>
          <w:iCs/>
          <w:sz w:val="24"/>
          <w:szCs w:val="24"/>
          <w:vertAlign w:val="subscript"/>
        </w:rPr>
        <w:t>t − 1</w:t>
      </w:r>
      <w:r w:rsidRPr="009C778C">
        <w:rPr>
          <w:rFonts w:cstheme="minorHAnsi"/>
          <w:sz w:val="24"/>
          <w:szCs w:val="24"/>
        </w:rPr>
        <w:t>) and those from civil-law countries (</w:t>
      </w:r>
      <w:r w:rsidRPr="009C778C">
        <w:rPr>
          <w:rFonts w:cstheme="minorHAnsi"/>
          <w:i/>
          <w:iCs/>
          <w:sz w:val="24"/>
          <w:szCs w:val="24"/>
        </w:rPr>
        <w:t>FOREIGN_CIV</w:t>
      </w:r>
      <w:r w:rsidRPr="009C778C">
        <w:rPr>
          <w:rFonts w:cstheme="minorHAnsi"/>
          <w:i/>
          <w:iCs/>
          <w:sz w:val="24"/>
          <w:szCs w:val="24"/>
          <w:vertAlign w:val="subscript"/>
        </w:rPr>
        <w:t>t − 1</w:t>
      </w:r>
      <w:r w:rsidRPr="009C778C">
        <w:rPr>
          <w:rFonts w:cstheme="minorHAnsi"/>
          <w:sz w:val="24"/>
          <w:szCs w:val="24"/>
        </w:rPr>
        <w:t>). </w:t>
      </w:r>
      <w:hyperlink r:id="rId145" w:anchor="bb0005" w:history="1">
        <w:r w:rsidRPr="009C778C">
          <w:rPr>
            <w:rStyle w:val="Hyperlink"/>
            <w:rFonts w:cstheme="minorHAnsi"/>
            <w:sz w:val="24"/>
            <w:szCs w:val="24"/>
          </w:rPr>
          <w:t>Aggarwal et al. (2011)</w:t>
        </w:r>
      </w:hyperlink>
      <w:r w:rsidRPr="009C778C">
        <w:rPr>
          <w:rFonts w:cstheme="minorHAnsi"/>
          <w:sz w:val="24"/>
          <w:szCs w:val="24"/>
        </w:rPr>
        <w:t> find that institutional investors from common-law countries are more effective monitors than those from civil-law countries. Under this sharper contrast, three patterns emerge that are consistent with </w:t>
      </w:r>
      <w:hyperlink r:id="rId146" w:anchor="en0025" w:history="1">
        <w:r w:rsidRPr="009C778C">
          <w:rPr>
            <w:rStyle w:val="Hyperlink"/>
            <w:rFonts w:cstheme="minorHAnsi"/>
            <w:sz w:val="24"/>
            <w:szCs w:val="24"/>
          </w:rPr>
          <w:t>H2a</w:t>
        </w:r>
      </w:hyperlink>
      <w:r w:rsidRPr="009C778C">
        <w:rPr>
          <w:rFonts w:cstheme="minorHAnsi"/>
          <w:sz w:val="24"/>
          <w:szCs w:val="24"/>
        </w:rPr>
        <w:t>. First, of the four varying contracting conditions (i.e., the four outcomes based on the 2X2 matrix of a host country’s legal origin vis-à-vis an institution's legal origin), we find the strongest result for </w:t>
      </w:r>
      <w:r w:rsidRPr="009C778C">
        <w:rPr>
          <w:rFonts w:cstheme="minorHAnsi"/>
          <w:i/>
          <w:iCs/>
          <w:sz w:val="24"/>
          <w:szCs w:val="24"/>
        </w:rPr>
        <w:t>FOREIGN_COM</w:t>
      </w:r>
      <w:r w:rsidRPr="009C778C">
        <w:rPr>
          <w:rFonts w:cstheme="minorHAnsi"/>
          <w:i/>
          <w:iCs/>
          <w:sz w:val="24"/>
          <w:szCs w:val="24"/>
          <w:vertAlign w:val="subscript"/>
        </w:rPr>
        <w:t>t − 1</w:t>
      </w:r>
      <w:r w:rsidRPr="009C778C">
        <w:rPr>
          <w:rFonts w:cstheme="minorHAnsi"/>
          <w:sz w:val="24"/>
          <w:szCs w:val="24"/>
        </w:rPr>
        <w:t> in civil-law countries; specifically, only </w:t>
      </w:r>
      <w:r w:rsidRPr="009C778C">
        <w:rPr>
          <w:rFonts w:cstheme="minorHAnsi"/>
          <w:i/>
          <w:iCs/>
          <w:sz w:val="24"/>
          <w:szCs w:val="24"/>
        </w:rPr>
        <w:t>FOREIGN_COM</w:t>
      </w:r>
      <w:r w:rsidRPr="009C778C">
        <w:rPr>
          <w:rFonts w:cstheme="minorHAnsi"/>
          <w:i/>
          <w:iCs/>
          <w:sz w:val="24"/>
          <w:szCs w:val="24"/>
          <w:vertAlign w:val="subscript"/>
        </w:rPr>
        <w:t>t − 1</w:t>
      </w:r>
      <w:r w:rsidRPr="009C778C">
        <w:rPr>
          <w:rFonts w:cstheme="minorHAnsi"/>
          <w:sz w:val="24"/>
          <w:szCs w:val="24"/>
        </w:rPr>
        <w:t> enters the regression with a significantly negative sign (</w:t>
      </w:r>
      <w:r w:rsidRPr="009C778C">
        <w:rPr>
          <w:rFonts w:cstheme="minorHAnsi"/>
          <w:i/>
          <w:iCs/>
          <w:sz w:val="24"/>
          <w:szCs w:val="24"/>
        </w:rPr>
        <w:t>t</w:t>
      </w:r>
      <w:r w:rsidRPr="009C778C">
        <w:rPr>
          <w:rFonts w:cstheme="minorHAnsi"/>
          <w:sz w:val="24"/>
          <w:szCs w:val="24"/>
        </w:rPr>
        <w:t>-value = − 1.67). Second, one-tailed F-tests of whether </w:t>
      </w:r>
      <w:r w:rsidRPr="009C778C">
        <w:rPr>
          <w:rFonts w:cstheme="minorHAnsi"/>
          <w:i/>
          <w:iCs/>
          <w:sz w:val="24"/>
          <w:szCs w:val="24"/>
        </w:rPr>
        <w:t>FOREIGN_COM</w:t>
      </w:r>
      <w:r w:rsidRPr="009C778C">
        <w:rPr>
          <w:rFonts w:cstheme="minorHAnsi"/>
          <w:i/>
          <w:iCs/>
          <w:sz w:val="24"/>
          <w:szCs w:val="24"/>
          <w:vertAlign w:val="subscript"/>
        </w:rPr>
        <w:t>t − 1</w:t>
      </w:r>
      <w:r w:rsidRPr="009C778C">
        <w:rPr>
          <w:rFonts w:cstheme="minorHAnsi"/>
          <w:sz w:val="24"/>
          <w:szCs w:val="24"/>
        </w:rPr>
        <w:t> and </w:t>
      </w:r>
      <w:r w:rsidRPr="009C778C">
        <w:rPr>
          <w:rFonts w:cstheme="minorHAnsi"/>
          <w:i/>
          <w:iCs/>
          <w:sz w:val="24"/>
          <w:szCs w:val="24"/>
        </w:rPr>
        <w:t>FOREIGN_CIV</w:t>
      </w:r>
      <w:r w:rsidRPr="009C778C">
        <w:rPr>
          <w:rFonts w:cstheme="minorHAnsi"/>
          <w:i/>
          <w:iCs/>
          <w:sz w:val="24"/>
          <w:szCs w:val="24"/>
          <w:vertAlign w:val="subscript"/>
        </w:rPr>
        <w:t>t − 1</w:t>
      </w:r>
      <w:r w:rsidRPr="009C778C">
        <w:rPr>
          <w:rFonts w:cstheme="minorHAnsi"/>
          <w:sz w:val="24"/>
          <w:szCs w:val="24"/>
        </w:rPr>
        <w:t> are more negative in civil-law countries than in common-law countries (i.e., COM(</w:t>
      </w:r>
      <w:r w:rsidRPr="009C778C">
        <w:rPr>
          <w:rFonts w:cstheme="minorHAnsi"/>
          <w:i/>
          <w:iCs/>
          <w:sz w:val="24"/>
          <w:szCs w:val="24"/>
        </w:rPr>
        <w:t>FOREIGN_COM</w:t>
      </w:r>
      <w:r w:rsidRPr="009C778C">
        <w:rPr>
          <w:rFonts w:cstheme="minorHAnsi"/>
          <w:i/>
          <w:iCs/>
          <w:sz w:val="24"/>
          <w:szCs w:val="24"/>
          <w:vertAlign w:val="subscript"/>
        </w:rPr>
        <w:t>t − 1</w:t>
      </w:r>
      <w:r w:rsidRPr="009C778C">
        <w:rPr>
          <w:rFonts w:cstheme="minorHAnsi"/>
          <w:sz w:val="24"/>
          <w:szCs w:val="24"/>
        </w:rPr>
        <w:t>) &gt; CIV(</w:t>
      </w:r>
      <w:r w:rsidRPr="009C778C">
        <w:rPr>
          <w:rFonts w:cstheme="minorHAnsi"/>
          <w:i/>
          <w:iCs/>
          <w:sz w:val="24"/>
          <w:szCs w:val="24"/>
        </w:rPr>
        <w:t>FOREIGN_COM</w:t>
      </w:r>
      <w:r w:rsidRPr="009C778C">
        <w:rPr>
          <w:rFonts w:cstheme="minorHAnsi"/>
          <w:i/>
          <w:iCs/>
          <w:sz w:val="24"/>
          <w:szCs w:val="24"/>
          <w:vertAlign w:val="subscript"/>
        </w:rPr>
        <w:t>t − 1</w:t>
      </w:r>
      <w:r w:rsidRPr="009C778C">
        <w:rPr>
          <w:rFonts w:cstheme="minorHAnsi"/>
          <w:sz w:val="24"/>
          <w:szCs w:val="24"/>
        </w:rPr>
        <w:t>) and COM(</w:t>
      </w:r>
      <w:r w:rsidRPr="009C778C">
        <w:rPr>
          <w:rFonts w:cstheme="minorHAnsi"/>
          <w:i/>
          <w:iCs/>
          <w:sz w:val="24"/>
          <w:szCs w:val="24"/>
        </w:rPr>
        <w:t>FOREIGN_CIV</w:t>
      </w:r>
      <w:r w:rsidRPr="009C778C">
        <w:rPr>
          <w:rFonts w:cstheme="minorHAnsi"/>
          <w:i/>
          <w:iCs/>
          <w:sz w:val="24"/>
          <w:szCs w:val="24"/>
          <w:vertAlign w:val="subscript"/>
        </w:rPr>
        <w:t>t − 1</w:t>
      </w:r>
      <w:r w:rsidRPr="009C778C">
        <w:rPr>
          <w:rFonts w:cstheme="minorHAnsi"/>
          <w:sz w:val="24"/>
          <w:szCs w:val="24"/>
        </w:rPr>
        <w:t>) &gt; CIV(</w:t>
      </w:r>
      <w:r w:rsidRPr="009C778C">
        <w:rPr>
          <w:rFonts w:cstheme="minorHAnsi"/>
          <w:i/>
          <w:iCs/>
          <w:sz w:val="24"/>
          <w:szCs w:val="24"/>
        </w:rPr>
        <w:t>FOREIGN_CIV</w:t>
      </w:r>
      <w:r w:rsidRPr="009C778C">
        <w:rPr>
          <w:rFonts w:cstheme="minorHAnsi"/>
          <w:i/>
          <w:iCs/>
          <w:sz w:val="24"/>
          <w:szCs w:val="24"/>
          <w:vertAlign w:val="subscript"/>
        </w:rPr>
        <w:t>t − 1</w:t>
      </w:r>
      <w:r w:rsidRPr="009C778C">
        <w:rPr>
          <w:rFonts w:cstheme="minorHAnsi"/>
          <w:sz w:val="24"/>
          <w:szCs w:val="24"/>
        </w:rPr>
        <w:t>), respectively) yield a </w:t>
      </w:r>
      <w:r w:rsidRPr="009C778C">
        <w:rPr>
          <w:rFonts w:cstheme="minorHAnsi"/>
          <w:i/>
          <w:iCs/>
          <w:sz w:val="24"/>
          <w:szCs w:val="24"/>
        </w:rPr>
        <w:t>p</w:t>
      </w:r>
      <w:r w:rsidRPr="009C778C">
        <w:rPr>
          <w:rFonts w:cstheme="minorHAnsi"/>
          <w:sz w:val="24"/>
          <w:szCs w:val="24"/>
        </w:rPr>
        <w:t>-value of 0.06 and 0.05, respectively, suggesting that for both types of foreign institutions, they are more effective at monitoring opportunistic financial reporting in civil-law countries than in common-law countries, which is consistent with </w:t>
      </w:r>
      <w:hyperlink r:id="rId147" w:anchor="en0025" w:history="1">
        <w:r w:rsidRPr="009C778C">
          <w:rPr>
            <w:rStyle w:val="Hyperlink"/>
            <w:rFonts w:cstheme="minorHAnsi"/>
            <w:sz w:val="24"/>
            <w:szCs w:val="24"/>
          </w:rPr>
          <w:t>H2a</w:t>
        </w:r>
      </w:hyperlink>
      <w:r w:rsidRPr="009C778C">
        <w:rPr>
          <w:rFonts w:cstheme="minorHAnsi"/>
          <w:sz w:val="24"/>
          <w:szCs w:val="24"/>
        </w:rPr>
        <w:t> in that an increase in the comparative monitoring advantage of foreign institutional investors correlates positively with their monitoring effectiveness. Third, when we design a test that highlights the most extreme comparative monitoring advantage of foreign institutional investors, we find the strongest result for their being effective at deterring earnings management—the one-tailed F-test for COM</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 </w:t>
      </w:r>
      <w:r w:rsidRPr="009C778C">
        <w:rPr>
          <w:rFonts w:cstheme="minorHAnsi"/>
          <w:i/>
          <w:iCs/>
          <w:sz w:val="24"/>
          <w:szCs w:val="24"/>
        </w:rPr>
        <w:t>FOREIGN_CIV</w:t>
      </w:r>
      <w:r w:rsidRPr="009C778C">
        <w:rPr>
          <w:rFonts w:cstheme="minorHAnsi"/>
          <w:i/>
          <w:iCs/>
          <w:sz w:val="24"/>
          <w:szCs w:val="24"/>
          <w:vertAlign w:val="subscript"/>
        </w:rPr>
        <w:t>t − 1</w:t>
      </w:r>
      <w:r w:rsidRPr="009C778C">
        <w:rPr>
          <w:rFonts w:cstheme="minorHAnsi"/>
          <w:sz w:val="24"/>
          <w:szCs w:val="24"/>
        </w:rPr>
        <w:t>) &lt; CIV(</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 </w:t>
      </w:r>
      <w:r w:rsidRPr="009C778C">
        <w:rPr>
          <w:rFonts w:cstheme="minorHAnsi"/>
          <w:i/>
          <w:iCs/>
          <w:sz w:val="24"/>
          <w:szCs w:val="24"/>
        </w:rPr>
        <w:t>FOREIGN_COM</w:t>
      </w:r>
      <w:r w:rsidRPr="009C778C">
        <w:rPr>
          <w:rFonts w:cstheme="minorHAnsi"/>
          <w:i/>
          <w:iCs/>
          <w:sz w:val="24"/>
          <w:szCs w:val="24"/>
          <w:vertAlign w:val="subscript"/>
        </w:rPr>
        <w:t>t − 1</w:t>
      </w:r>
      <w:r w:rsidRPr="009C778C">
        <w:rPr>
          <w:rFonts w:cstheme="minorHAnsi"/>
          <w:sz w:val="24"/>
          <w:szCs w:val="24"/>
        </w:rPr>
        <w:t>) yields a </w:t>
      </w:r>
      <w:r w:rsidRPr="009C778C">
        <w:rPr>
          <w:rFonts w:cstheme="minorHAnsi"/>
          <w:i/>
          <w:iCs/>
          <w:sz w:val="24"/>
          <w:szCs w:val="24"/>
        </w:rPr>
        <w:t>p</w:t>
      </w:r>
      <w:r w:rsidRPr="009C778C">
        <w:rPr>
          <w:rFonts w:cstheme="minorHAnsi"/>
          <w:sz w:val="24"/>
          <w:szCs w:val="24"/>
        </w:rPr>
        <w:t>-value of 0.04.</w:t>
      </w:r>
      <w:bookmarkStart w:id="91" w:name="bfn0040"/>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"fn0040"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vertAlign w:val="superscript"/>
        </w:rPr>
        <w:t>8</w:t>
      </w:r>
      <w:r w:rsidRPr="009C778C">
        <w:rPr>
          <w:rFonts w:cstheme="minorHAnsi"/>
          <w:sz w:val="24"/>
          <w:szCs w:val="24"/>
        </w:rPr>
        <w:fldChar w:fldCharType="end"/>
      </w:r>
      <w:bookmarkEnd w:id="91"/>
    </w:p>
    <w:p w14:paraId="3A14D02F" w14:textId="77777777" w:rsidR="009C778C" w:rsidRPr="009C778C" w:rsidRDefault="009C778C" w:rsidP="009C778C">
      <w:pPr>
        <w:rPr>
          <w:rFonts w:cstheme="minorHAnsi"/>
          <w:sz w:val="24"/>
          <w:szCs w:val="24"/>
        </w:rPr>
      </w:pPr>
      <w:r w:rsidRPr="009C778C">
        <w:rPr>
          <w:rFonts w:cstheme="minorHAnsi"/>
          <w:sz w:val="24"/>
          <w:szCs w:val="24"/>
        </w:rPr>
        <w:t>Taken together, the overall results in </w:t>
      </w:r>
      <w:hyperlink r:id="rId148" w:anchor="t0035" w:history="1">
        <w:r w:rsidRPr="009C778C">
          <w:rPr>
            <w:rStyle w:val="Hyperlink"/>
            <w:rFonts w:cstheme="minorHAnsi"/>
            <w:sz w:val="24"/>
            <w:szCs w:val="24"/>
          </w:rPr>
          <w:t>Table 7</w:t>
        </w:r>
      </w:hyperlink>
      <w:r w:rsidRPr="009C778C">
        <w:rPr>
          <w:rFonts w:cstheme="minorHAnsi"/>
          <w:sz w:val="24"/>
          <w:szCs w:val="24"/>
        </w:rPr>
        <w:t> panel B are consistent with </w:t>
      </w:r>
      <w:hyperlink r:id="rId149" w:anchor="en0025" w:history="1">
        <w:r w:rsidRPr="009C778C">
          <w:rPr>
            <w:rStyle w:val="Hyperlink"/>
            <w:rFonts w:cstheme="minorHAnsi"/>
            <w:sz w:val="24"/>
            <w:szCs w:val="24"/>
          </w:rPr>
          <w:t>H2a</w:t>
        </w:r>
      </w:hyperlink>
      <w:r w:rsidRPr="009C778C">
        <w:rPr>
          <w:rFonts w:cstheme="minorHAnsi"/>
          <w:sz w:val="24"/>
          <w:szCs w:val="24"/>
        </w:rPr>
        <w:t> in that the comparative monitoring advantage of foreign institutional investors, particularly those from common-law countries, works to a greater effect in civil-law countries.</w:t>
      </w:r>
    </w:p>
    <w:p w14:paraId="4B835F55" w14:textId="77777777" w:rsidR="009C778C" w:rsidRPr="009C778C" w:rsidRDefault="009C778C" w:rsidP="00541D5F">
      <w:pPr>
        <w:pStyle w:val="Heading2"/>
      </w:pPr>
      <w:r w:rsidRPr="009C778C">
        <w:t>4.5. Superior monitoring technology</w:t>
      </w:r>
    </w:p>
    <w:p w14:paraId="09ED2BEE" w14:textId="77777777" w:rsidR="009C778C" w:rsidRPr="009C778C" w:rsidRDefault="0044383A" w:rsidP="009C778C">
      <w:pPr>
        <w:rPr>
          <w:rFonts w:cstheme="minorHAnsi"/>
          <w:sz w:val="24"/>
          <w:szCs w:val="24"/>
        </w:rPr>
      </w:pPr>
      <w:hyperlink r:id="rId150" w:anchor="en0030" w:history="1">
        <w:r w:rsidR="009C778C" w:rsidRPr="009C778C">
          <w:rPr>
            <w:rStyle w:val="Hyperlink"/>
            <w:rFonts w:cstheme="minorHAnsi"/>
            <w:sz w:val="24"/>
            <w:szCs w:val="24"/>
          </w:rPr>
          <w:t>H2b</w:t>
        </w:r>
      </w:hyperlink>
      <w:r w:rsidR="009C778C" w:rsidRPr="009C778C">
        <w:rPr>
          <w:rFonts w:cstheme="minorHAnsi"/>
          <w:sz w:val="24"/>
          <w:szCs w:val="24"/>
        </w:rPr>
        <w:t> predicts that the comparative advantage of foreign institutional investors in curbing earnings management is larger when the gap in monitoring technology between them and their domestic peers is bigger. To test </w:t>
      </w:r>
      <w:hyperlink r:id="rId151" w:anchor="en0030" w:history="1">
        <w:r w:rsidR="009C778C" w:rsidRPr="009C778C">
          <w:rPr>
            <w:rStyle w:val="Hyperlink"/>
            <w:rFonts w:cstheme="minorHAnsi"/>
            <w:sz w:val="24"/>
            <w:szCs w:val="24"/>
          </w:rPr>
          <w:t>H2b</w:t>
        </w:r>
      </w:hyperlink>
      <w:r w:rsidR="009C778C" w:rsidRPr="009C778C">
        <w:rPr>
          <w:rFonts w:cstheme="minorHAnsi"/>
          <w:sz w:val="24"/>
          <w:szCs w:val="24"/>
        </w:rPr>
        <w:t>, we separate the sample into two groups—emerging countries (less sophisticated monitoring technology) and developed countries (more advanced monitoring technology)—based on the </w:t>
      </w:r>
      <w:hyperlink r:id="rId152" w:tooltip="Learn more about economic development of from ScienceDirect's AI-generated Topic Pages" w:history="1">
        <w:r w:rsidR="009C778C" w:rsidRPr="009C778C">
          <w:rPr>
            <w:rStyle w:val="Hyperlink"/>
            <w:rFonts w:cstheme="minorHAnsi"/>
            <w:sz w:val="24"/>
            <w:szCs w:val="24"/>
          </w:rPr>
          <w:t>economic development of</w:t>
        </w:r>
      </w:hyperlink>
      <w:r w:rsidR="009C778C" w:rsidRPr="009C778C">
        <w:rPr>
          <w:rFonts w:cstheme="minorHAnsi"/>
          <w:sz w:val="24"/>
          <w:szCs w:val="24"/>
        </w:rPr>
        <w:t> the host country. Again for a sharper test, we discriminate foreign institutional investors from developed countries (</w:t>
      </w:r>
      <w:r w:rsidR="009C778C" w:rsidRPr="009C778C">
        <w:rPr>
          <w:rFonts w:cstheme="minorHAnsi"/>
          <w:i/>
          <w:iCs/>
          <w:sz w:val="24"/>
          <w:szCs w:val="24"/>
        </w:rPr>
        <w:t>FOREIGN_DEVELOP</w:t>
      </w:r>
      <w:r w:rsidR="009C778C" w:rsidRPr="009C778C">
        <w:rPr>
          <w:rFonts w:cstheme="minorHAnsi"/>
          <w:i/>
          <w:iCs/>
          <w:sz w:val="24"/>
          <w:szCs w:val="24"/>
          <w:vertAlign w:val="subscript"/>
        </w:rPr>
        <w:t>t − 1</w:t>
      </w:r>
      <w:r w:rsidR="009C778C" w:rsidRPr="009C778C">
        <w:rPr>
          <w:rFonts w:cstheme="minorHAnsi"/>
          <w:sz w:val="24"/>
          <w:szCs w:val="24"/>
        </w:rPr>
        <w:t>) against those from emerging countries (</w:t>
      </w:r>
      <w:r w:rsidR="009C778C" w:rsidRPr="009C778C">
        <w:rPr>
          <w:rFonts w:cstheme="minorHAnsi"/>
          <w:i/>
          <w:iCs/>
          <w:sz w:val="24"/>
          <w:szCs w:val="24"/>
        </w:rPr>
        <w:t>FOREIGN_EMERG</w:t>
      </w:r>
      <w:r w:rsidR="009C778C" w:rsidRPr="009C778C">
        <w:rPr>
          <w:rFonts w:cstheme="minorHAnsi"/>
          <w:i/>
          <w:iCs/>
          <w:sz w:val="24"/>
          <w:szCs w:val="24"/>
          <w:vertAlign w:val="subscript"/>
        </w:rPr>
        <w:t>t − 1</w:t>
      </w:r>
      <w:r w:rsidR="009C778C" w:rsidRPr="009C778C">
        <w:rPr>
          <w:rFonts w:cstheme="minorHAnsi"/>
          <w:sz w:val="24"/>
          <w:szCs w:val="24"/>
        </w:rPr>
        <w:t>). </w:t>
      </w:r>
      <w:bookmarkStart w:id="92" w:name="bt0040"/>
      <w:r w:rsidR="009C778C" w:rsidRPr="009C778C">
        <w:rPr>
          <w:rFonts w:cstheme="minorHAnsi"/>
          <w:sz w:val="24"/>
          <w:szCs w:val="24"/>
        </w:rPr>
        <w:fldChar w:fldCharType="begin"/>
      </w:r>
      <w:r w:rsidR="009C778C" w:rsidRPr="009C778C">
        <w:rPr>
          <w:rFonts w:cstheme="minorHAnsi"/>
          <w:sz w:val="24"/>
          <w:szCs w:val="24"/>
        </w:rPr>
        <w:instrText xml:space="preserve"> HYPERLINK "https://0-www-sciencedirect-com.libus.csd.mu.edu/science/article/pii/S0929119916300724" \l "t0040" </w:instrText>
      </w:r>
      <w:r w:rsidR="009C778C" w:rsidRPr="009C778C">
        <w:rPr>
          <w:rFonts w:cstheme="minorHAnsi"/>
          <w:sz w:val="24"/>
          <w:szCs w:val="24"/>
        </w:rPr>
      </w:r>
      <w:r w:rsidR="009C778C" w:rsidRPr="009C778C">
        <w:rPr>
          <w:rFonts w:cstheme="minorHAnsi"/>
          <w:sz w:val="24"/>
          <w:szCs w:val="24"/>
        </w:rPr>
        <w:fldChar w:fldCharType="separate"/>
      </w:r>
      <w:r w:rsidR="009C778C" w:rsidRPr="009C778C">
        <w:rPr>
          <w:rStyle w:val="Hyperlink"/>
          <w:rFonts w:cstheme="minorHAnsi"/>
          <w:sz w:val="24"/>
          <w:szCs w:val="24"/>
        </w:rPr>
        <w:t>Table 8</w:t>
      </w:r>
      <w:r w:rsidR="009C778C" w:rsidRPr="009C778C">
        <w:rPr>
          <w:rFonts w:cstheme="minorHAnsi"/>
          <w:sz w:val="24"/>
          <w:szCs w:val="24"/>
        </w:rPr>
        <w:fldChar w:fldCharType="end"/>
      </w:r>
      <w:r w:rsidR="009C778C" w:rsidRPr="009C778C">
        <w:rPr>
          <w:rFonts w:cstheme="minorHAnsi"/>
          <w:sz w:val="24"/>
          <w:szCs w:val="24"/>
        </w:rPr>
        <w:t> gives the regression results.</w:t>
      </w:r>
    </w:p>
    <w:p w14:paraId="6ABAFA16" w14:textId="77777777" w:rsidR="009C778C" w:rsidRPr="009C778C" w:rsidRDefault="009C778C" w:rsidP="00541D5F">
      <w:pPr>
        <w:pStyle w:val="NoSpacing"/>
      </w:pPr>
      <w:r w:rsidRPr="00E92A45">
        <w:rPr>
          <w:b/>
          <w:bCs/>
        </w:rPr>
        <w:t>Table 8</w:t>
      </w:r>
      <w:r w:rsidRPr="009C778C">
        <w:t>. Superior monitoring technology. This table reports estimation results from panel regressions of earnings management on institutional ownership using a sample of non-U.S. firms from 2001 to 2013. The sample is separated into two groups based on whether the investee firms are located in emerging countries (</w:t>
      </w:r>
      <w:r w:rsidRPr="009C778C">
        <w:rPr>
          <w:i/>
          <w:iCs/>
        </w:rPr>
        <w:t>EMERG</w:t>
      </w:r>
      <w:r w:rsidRPr="009C778C">
        <w:t>) or developed countries (</w:t>
      </w:r>
      <w:r w:rsidRPr="009C778C">
        <w:rPr>
          <w:i/>
          <w:iCs/>
        </w:rPr>
        <w:t>DEVELOP</w:t>
      </w:r>
      <w:r w:rsidRPr="009C778C">
        <w:t>). All variable definitions are given in </w:t>
      </w:r>
      <w:hyperlink r:id="rId153" w:anchor="s0085" w:history="1">
        <w:r w:rsidRPr="009C778C">
          <w:rPr>
            <w:rStyle w:val="Hyperlink"/>
            <w:rFonts w:cstheme="minorHAnsi"/>
            <w:sz w:val="24"/>
            <w:szCs w:val="24"/>
          </w:rPr>
          <w:t>Appendix A</w:t>
        </w:r>
      </w:hyperlink>
      <w:r w:rsidRPr="009C778C">
        <w:t>. Each regression includes a constant and year, industry (based on two-digit SIC codes), and country fixed effects (FE). Column of </w:t>
      </w:r>
      <w:r w:rsidRPr="009C778C">
        <w:rPr>
          <w:i/>
          <w:iCs/>
        </w:rPr>
        <w:t>Pred. Sign</w:t>
      </w:r>
      <w:r w:rsidRPr="009C778C">
        <w:t> provides expected directional relations between the dependent variable and the main independent variables of interest. Below the coefficient estimates in parentheses are </w:t>
      </w:r>
      <w:r w:rsidRPr="009C778C">
        <w:rPr>
          <w:i/>
          <w:iCs/>
        </w:rPr>
        <w:t>t</w:t>
      </w:r>
      <w:r w:rsidRPr="009C778C">
        <w:t>-values adjusted for heteroscedasticity and firm-level clustering. *, **, and *** indicate significance level of less than 0.10, 0.05, and 0.01, respectively.</w:t>
      </w:r>
    </w:p>
    <w:tbl>
      <w:tblPr>
        <w:tblStyle w:val="TableGrid"/>
        <w:tblW w:w="10666" w:type="dxa"/>
        <w:tblLayout w:type="fixed"/>
        <w:tblLook w:val="04A0" w:firstRow="1" w:lastRow="0" w:firstColumn="1" w:lastColumn="0" w:noHBand="0" w:noVBand="1"/>
      </w:tblPr>
      <w:tblGrid>
        <w:gridCol w:w="3685"/>
        <w:gridCol w:w="809"/>
        <w:gridCol w:w="1438"/>
        <w:gridCol w:w="1263"/>
        <w:gridCol w:w="900"/>
        <w:gridCol w:w="1279"/>
        <w:gridCol w:w="1292"/>
      </w:tblGrid>
      <w:tr w:rsidR="002E530A" w:rsidRPr="009C778C" w14:paraId="693435D0" w14:textId="77777777" w:rsidTr="009633A7">
        <w:tc>
          <w:tcPr>
            <w:tcW w:w="3685" w:type="dxa"/>
            <w:hideMark/>
          </w:tcPr>
          <w:p w14:paraId="221919C7" w14:textId="77777777" w:rsidR="00BF07BD" w:rsidRPr="009C778C" w:rsidRDefault="00BF07BD" w:rsidP="009C778C">
            <w:pPr>
              <w:rPr>
                <w:rFonts w:cstheme="minorHAnsi"/>
                <w:b/>
                <w:bCs/>
                <w:sz w:val="24"/>
                <w:szCs w:val="24"/>
              </w:rPr>
            </w:pPr>
            <w:r w:rsidRPr="009C778C">
              <w:rPr>
                <w:rFonts w:cstheme="minorHAnsi"/>
                <w:b/>
                <w:bCs/>
                <w:i/>
                <w:iCs/>
                <w:sz w:val="24"/>
                <w:szCs w:val="24"/>
              </w:rPr>
              <w:t>Dep. Var.</w:t>
            </w:r>
            <w:r w:rsidRPr="009C778C">
              <w:rPr>
                <w:rFonts w:cstheme="minorHAnsi"/>
                <w:b/>
                <w:bCs/>
                <w:sz w:val="24"/>
                <w:szCs w:val="24"/>
              </w:rPr>
              <w:t> = Agg. EM</w:t>
            </w:r>
            <w:r w:rsidRPr="009C778C">
              <w:rPr>
                <w:rFonts w:cstheme="minorHAnsi"/>
                <w:b/>
                <w:bCs/>
                <w:sz w:val="24"/>
                <w:szCs w:val="24"/>
                <w:vertAlign w:val="subscript"/>
              </w:rPr>
              <w:t>t</w:t>
            </w:r>
          </w:p>
        </w:tc>
        <w:tc>
          <w:tcPr>
            <w:tcW w:w="809" w:type="dxa"/>
            <w:hideMark/>
          </w:tcPr>
          <w:p w14:paraId="37FE9D78" w14:textId="77777777" w:rsidR="00BF07BD" w:rsidRPr="009C778C" w:rsidRDefault="00BF07BD" w:rsidP="009C778C">
            <w:pPr>
              <w:rPr>
                <w:rFonts w:cstheme="minorHAnsi"/>
                <w:b/>
                <w:bCs/>
                <w:sz w:val="24"/>
                <w:szCs w:val="24"/>
              </w:rPr>
            </w:pPr>
            <w:r w:rsidRPr="009C778C">
              <w:rPr>
                <w:rFonts w:cstheme="minorHAnsi"/>
                <w:b/>
                <w:bCs/>
                <w:i/>
                <w:iCs/>
                <w:sz w:val="24"/>
                <w:szCs w:val="24"/>
              </w:rPr>
              <w:t>Pred.</w:t>
            </w:r>
            <w:r w:rsidRPr="009C778C">
              <w:rPr>
                <w:rFonts w:cstheme="minorHAnsi"/>
                <w:b/>
                <w:bCs/>
                <w:sz w:val="24"/>
                <w:szCs w:val="24"/>
              </w:rPr>
              <w:br/>
            </w:r>
            <w:r w:rsidRPr="009C778C">
              <w:rPr>
                <w:rFonts w:cstheme="minorHAnsi"/>
                <w:b/>
                <w:bCs/>
                <w:i/>
                <w:iCs/>
                <w:sz w:val="24"/>
                <w:szCs w:val="24"/>
              </w:rPr>
              <w:t>Sign</w:t>
            </w:r>
          </w:p>
        </w:tc>
        <w:tc>
          <w:tcPr>
            <w:tcW w:w="1438" w:type="dxa"/>
            <w:hideMark/>
          </w:tcPr>
          <w:p w14:paraId="0A06B8A0" w14:textId="77777777" w:rsidR="00BF07BD" w:rsidRPr="009C778C" w:rsidRDefault="00BF07BD" w:rsidP="009C778C">
            <w:pPr>
              <w:rPr>
                <w:rFonts w:cstheme="minorHAnsi"/>
                <w:b/>
                <w:bCs/>
                <w:sz w:val="24"/>
                <w:szCs w:val="24"/>
              </w:rPr>
            </w:pPr>
            <w:r w:rsidRPr="009C778C">
              <w:rPr>
                <w:rFonts w:cstheme="minorHAnsi"/>
                <w:b/>
                <w:bCs/>
                <w:sz w:val="24"/>
                <w:szCs w:val="24"/>
              </w:rPr>
              <w:t>Developed countries (DEVELOP)</w:t>
            </w:r>
          </w:p>
        </w:tc>
        <w:tc>
          <w:tcPr>
            <w:tcW w:w="1263" w:type="dxa"/>
          </w:tcPr>
          <w:p w14:paraId="3DEBC495" w14:textId="0D1216F0" w:rsidR="00BF07BD" w:rsidRPr="009C778C" w:rsidRDefault="00BF07BD" w:rsidP="009C778C">
            <w:pPr>
              <w:rPr>
                <w:rFonts w:cstheme="minorHAnsi"/>
                <w:b/>
                <w:bCs/>
                <w:sz w:val="24"/>
                <w:szCs w:val="24"/>
              </w:rPr>
            </w:pPr>
          </w:p>
        </w:tc>
        <w:tc>
          <w:tcPr>
            <w:tcW w:w="900" w:type="dxa"/>
            <w:hideMark/>
          </w:tcPr>
          <w:p w14:paraId="18E1669E" w14:textId="77777777" w:rsidR="00BF07BD" w:rsidRPr="009C778C" w:rsidRDefault="00BF07BD" w:rsidP="009C778C">
            <w:pPr>
              <w:rPr>
                <w:rFonts w:cstheme="minorHAnsi"/>
                <w:b/>
                <w:bCs/>
                <w:sz w:val="24"/>
                <w:szCs w:val="24"/>
              </w:rPr>
            </w:pPr>
            <w:r w:rsidRPr="009C778C">
              <w:rPr>
                <w:rFonts w:cstheme="minorHAnsi"/>
                <w:b/>
                <w:bCs/>
                <w:i/>
                <w:iCs/>
                <w:sz w:val="24"/>
                <w:szCs w:val="24"/>
              </w:rPr>
              <w:t>Pred.</w:t>
            </w:r>
            <w:r w:rsidRPr="009C778C">
              <w:rPr>
                <w:rFonts w:cstheme="minorHAnsi"/>
                <w:b/>
                <w:bCs/>
                <w:sz w:val="24"/>
                <w:szCs w:val="24"/>
              </w:rPr>
              <w:br/>
            </w:r>
            <w:r w:rsidRPr="009C778C">
              <w:rPr>
                <w:rFonts w:cstheme="minorHAnsi"/>
                <w:b/>
                <w:bCs/>
                <w:i/>
                <w:iCs/>
                <w:sz w:val="24"/>
                <w:szCs w:val="24"/>
              </w:rPr>
              <w:t>Sign</w:t>
            </w:r>
          </w:p>
        </w:tc>
        <w:tc>
          <w:tcPr>
            <w:tcW w:w="1279" w:type="dxa"/>
            <w:hideMark/>
          </w:tcPr>
          <w:p w14:paraId="58EF7A46" w14:textId="77777777" w:rsidR="00BF07BD" w:rsidRPr="009C778C" w:rsidRDefault="00BF07BD" w:rsidP="009C778C">
            <w:pPr>
              <w:rPr>
                <w:rFonts w:cstheme="minorHAnsi"/>
                <w:b/>
                <w:bCs/>
                <w:sz w:val="24"/>
                <w:szCs w:val="24"/>
              </w:rPr>
            </w:pPr>
            <w:r w:rsidRPr="009C778C">
              <w:rPr>
                <w:rFonts w:cstheme="minorHAnsi"/>
                <w:b/>
                <w:bCs/>
                <w:sz w:val="24"/>
                <w:szCs w:val="24"/>
              </w:rPr>
              <w:t>Emerging countries (EMERG)</w:t>
            </w:r>
          </w:p>
        </w:tc>
        <w:tc>
          <w:tcPr>
            <w:tcW w:w="1292" w:type="dxa"/>
          </w:tcPr>
          <w:p w14:paraId="1A2A70C0" w14:textId="3D9359F9" w:rsidR="00BF07BD" w:rsidRPr="009C778C" w:rsidRDefault="00BF07BD" w:rsidP="009C778C">
            <w:pPr>
              <w:rPr>
                <w:rFonts w:cstheme="minorHAnsi"/>
                <w:b/>
                <w:bCs/>
                <w:sz w:val="24"/>
                <w:szCs w:val="24"/>
              </w:rPr>
            </w:pPr>
          </w:p>
        </w:tc>
      </w:tr>
      <w:tr w:rsidR="002E530A" w:rsidRPr="009C778C" w14:paraId="11FC5E17" w14:textId="77777777" w:rsidTr="009633A7">
        <w:tc>
          <w:tcPr>
            <w:tcW w:w="3685" w:type="dxa"/>
            <w:hideMark/>
          </w:tcPr>
          <w:p w14:paraId="13015205" w14:textId="77777777" w:rsidR="009C778C" w:rsidRPr="009C778C" w:rsidRDefault="009C778C" w:rsidP="009C778C">
            <w:pPr>
              <w:rPr>
                <w:rFonts w:cstheme="minorHAnsi"/>
                <w:b/>
                <w:bCs/>
                <w:sz w:val="24"/>
                <w:szCs w:val="24"/>
              </w:rPr>
            </w:pPr>
          </w:p>
        </w:tc>
        <w:tc>
          <w:tcPr>
            <w:tcW w:w="809" w:type="dxa"/>
            <w:hideMark/>
          </w:tcPr>
          <w:p w14:paraId="34B43B0C" w14:textId="77777777" w:rsidR="009C778C" w:rsidRPr="009C778C" w:rsidRDefault="009C778C" w:rsidP="009C778C">
            <w:pPr>
              <w:rPr>
                <w:rFonts w:cstheme="minorHAnsi"/>
                <w:b/>
                <w:bCs/>
                <w:sz w:val="24"/>
                <w:szCs w:val="24"/>
              </w:rPr>
            </w:pPr>
          </w:p>
        </w:tc>
        <w:tc>
          <w:tcPr>
            <w:tcW w:w="1438" w:type="dxa"/>
            <w:hideMark/>
          </w:tcPr>
          <w:p w14:paraId="0149FBCD" w14:textId="77777777" w:rsidR="009C778C" w:rsidRPr="009C778C" w:rsidRDefault="009C778C" w:rsidP="009C778C">
            <w:pPr>
              <w:rPr>
                <w:rFonts w:cstheme="minorHAnsi"/>
                <w:b/>
                <w:bCs/>
                <w:sz w:val="24"/>
                <w:szCs w:val="24"/>
              </w:rPr>
            </w:pPr>
            <w:r w:rsidRPr="009C778C">
              <w:rPr>
                <w:rFonts w:cstheme="minorHAnsi"/>
                <w:b/>
                <w:bCs/>
                <w:sz w:val="24"/>
                <w:szCs w:val="24"/>
              </w:rPr>
              <w:t>(1)</w:t>
            </w:r>
          </w:p>
        </w:tc>
        <w:tc>
          <w:tcPr>
            <w:tcW w:w="1263" w:type="dxa"/>
            <w:hideMark/>
          </w:tcPr>
          <w:p w14:paraId="0E4DA30B" w14:textId="77777777" w:rsidR="009C778C" w:rsidRPr="009C778C" w:rsidRDefault="009C778C" w:rsidP="009C778C">
            <w:pPr>
              <w:rPr>
                <w:rFonts w:cstheme="minorHAnsi"/>
                <w:b/>
                <w:bCs/>
                <w:sz w:val="24"/>
                <w:szCs w:val="24"/>
              </w:rPr>
            </w:pPr>
            <w:r w:rsidRPr="009C778C">
              <w:rPr>
                <w:rFonts w:cstheme="minorHAnsi"/>
                <w:b/>
                <w:bCs/>
                <w:sz w:val="24"/>
                <w:szCs w:val="24"/>
              </w:rPr>
              <w:t>(2)</w:t>
            </w:r>
          </w:p>
        </w:tc>
        <w:tc>
          <w:tcPr>
            <w:tcW w:w="900" w:type="dxa"/>
            <w:hideMark/>
          </w:tcPr>
          <w:p w14:paraId="53749FFB" w14:textId="77777777" w:rsidR="009C778C" w:rsidRPr="009C778C" w:rsidRDefault="009C778C" w:rsidP="009C778C">
            <w:pPr>
              <w:rPr>
                <w:rFonts w:cstheme="minorHAnsi"/>
                <w:b/>
                <w:bCs/>
                <w:sz w:val="24"/>
                <w:szCs w:val="24"/>
              </w:rPr>
            </w:pPr>
          </w:p>
        </w:tc>
        <w:tc>
          <w:tcPr>
            <w:tcW w:w="1279" w:type="dxa"/>
            <w:hideMark/>
          </w:tcPr>
          <w:p w14:paraId="3C2A545C" w14:textId="77777777" w:rsidR="009C778C" w:rsidRPr="009C778C" w:rsidRDefault="009C778C" w:rsidP="009C778C">
            <w:pPr>
              <w:rPr>
                <w:rFonts w:cstheme="minorHAnsi"/>
                <w:b/>
                <w:bCs/>
                <w:sz w:val="24"/>
                <w:szCs w:val="24"/>
              </w:rPr>
            </w:pPr>
            <w:r w:rsidRPr="009C778C">
              <w:rPr>
                <w:rFonts w:cstheme="minorHAnsi"/>
                <w:b/>
                <w:bCs/>
                <w:sz w:val="24"/>
                <w:szCs w:val="24"/>
              </w:rPr>
              <w:t>(3)</w:t>
            </w:r>
          </w:p>
        </w:tc>
        <w:tc>
          <w:tcPr>
            <w:tcW w:w="1292" w:type="dxa"/>
            <w:hideMark/>
          </w:tcPr>
          <w:p w14:paraId="3EF32C6E" w14:textId="77777777" w:rsidR="009C778C" w:rsidRPr="009C778C" w:rsidRDefault="009C778C" w:rsidP="009C778C">
            <w:pPr>
              <w:rPr>
                <w:rFonts w:cstheme="minorHAnsi"/>
                <w:b/>
                <w:bCs/>
                <w:sz w:val="24"/>
                <w:szCs w:val="24"/>
              </w:rPr>
            </w:pPr>
            <w:r w:rsidRPr="009C778C">
              <w:rPr>
                <w:rFonts w:cstheme="minorHAnsi"/>
                <w:b/>
                <w:bCs/>
                <w:sz w:val="24"/>
                <w:szCs w:val="24"/>
              </w:rPr>
              <w:t>(4)</w:t>
            </w:r>
          </w:p>
        </w:tc>
      </w:tr>
      <w:tr w:rsidR="009633A7" w:rsidRPr="009C778C" w14:paraId="731A1F49" w14:textId="77777777" w:rsidTr="009633A7">
        <w:tc>
          <w:tcPr>
            <w:tcW w:w="3685" w:type="dxa"/>
            <w:hideMark/>
          </w:tcPr>
          <w:p w14:paraId="19B261F0" w14:textId="77777777" w:rsidR="009633A7" w:rsidRPr="009C778C" w:rsidRDefault="009633A7" w:rsidP="009C778C">
            <w:pPr>
              <w:rPr>
                <w:rFonts w:cstheme="minorHAnsi"/>
                <w:b/>
                <w:bCs/>
                <w:sz w:val="24"/>
                <w:szCs w:val="24"/>
              </w:rPr>
            </w:pPr>
            <w:r w:rsidRPr="009C778C">
              <w:rPr>
                <w:rFonts w:cstheme="minorHAnsi"/>
                <w:b/>
                <w:bCs/>
                <w:sz w:val="24"/>
                <w:szCs w:val="24"/>
              </w:rPr>
              <w:t>DOMESTIC</w:t>
            </w:r>
            <w:r w:rsidRPr="009C778C">
              <w:rPr>
                <w:rFonts w:cstheme="minorHAnsi"/>
                <w:b/>
                <w:bCs/>
                <w:sz w:val="24"/>
                <w:szCs w:val="24"/>
                <w:vertAlign w:val="subscript"/>
              </w:rPr>
              <w:t>t − 1</w:t>
            </w:r>
          </w:p>
        </w:tc>
        <w:tc>
          <w:tcPr>
            <w:tcW w:w="809" w:type="dxa"/>
            <w:hideMark/>
          </w:tcPr>
          <w:p w14:paraId="6B63F5E6" w14:textId="77777777" w:rsidR="009633A7" w:rsidRPr="009C778C" w:rsidRDefault="009633A7" w:rsidP="009C778C">
            <w:pPr>
              <w:rPr>
                <w:rFonts w:cstheme="minorHAnsi"/>
                <w:sz w:val="24"/>
                <w:szCs w:val="24"/>
              </w:rPr>
            </w:pPr>
            <w:r w:rsidRPr="009C778C">
              <w:rPr>
                <w:rFonts w:cstheme="minorHAnsi"/>
                <w:b/>
                <w:bCs/>
                <w:sz w:val="24"/>
                <w:szCs w:val="24"/>
              </w:rPr>
              <w:t>–</w:t>
            </w:r>
          </w:p>
        </w:tc>
        <w:tc>
          <w:tcPr>
            <w:tcW w:w="1438" w:type="dxa"/>
            <w:hideMark/>
          </w:tcPr>
          <w:p w14:paraId="74DD5DDB" w14:textId="77777777" w:rsidR="009633A7" w:rsidRPr="009C778C" w:rsidRDefault="009633A7" w:rsidP="009C778C">
            <w:pPr>
              <w:rPr>
                <w:rFonts w:cstheme="minorHAnsi"/>
                <w:sz w:val="24"/>
                <w:szCs w:val="24"/>
              </w:rPr>
            </w:pPr>
            <w:r w:rsidRPr="009C778C">
              <w:rPr>
                <w:rFonts w:cstheme="minorHAnsi"/>
                <w:sz w:val="24"/>
                <w:szCs w:val="24"/>
              </w:rPr>
              <w:t>− 0.303***</w:t>
            </w:r>
          </w:p>
        </w:tc>
        <w:tc>
          <w:tcPr>
            <w:tcW w:w="1263" w:type="dxa"/>
            <w:hideMark/>
          </w:tcPr>
          <w:p w14:paraId="6B668A93" w14:textId="77777777" w:rsidR="009633A7" w:rsidRPr="009C778C" w:rsidRDefault="009633A7" w:rsidP="009C778C">
            <w:pPr>
              <w:rPr>
                <w:rFonts w:cstheme="minorHAnsi"/>
                <w:sz w:val="24"/>
                <w:szCs w:val="24"/>
              </w:rPr>
            </w:pPr>
            <w:r w:rsidRPr="009C778C">
              <w:rPr>
                <w:rFonts w:cstheme="minorHAnsi"/>
                <w:sz w:val="24"/>
                <w:szCs w:val="24"/>
              </w:rPr>
              <w:t>− 0.305***</w:t>
            </w:r>
          </w:p>
        </w:tc>
        <w:tc>
          <w:tcPr>
            <w:tcW w:w="900" w:type="dxa"/>
            <w:hideMark/>
          </w:tcPr>
          <w:p w14:paraId="57DF1885" w14:textId="77777777" w:rsidR="009633A7" w:rsidRPr="009C778C" w:rsidRDefault="009633A7" w:rsidP="009C778C">
            <w:pPr>
              <w:rPr>
                <w:rFonts w:cstheme="minorHAnsi"/>
                <w:sz w:val="24"/>
                <w:szCs w:val="24"/>
              </w:rPr>
            </w:pPr>
            <w:r w:rsidRPr="009C778C">
              <w:rPr>
                <w:rFonts w:cstheme="minorHAnsi"/>
                <w:b/>
                <w:bCs/>
                <w:sz w:val="24"/>
                <w:szCs w:val="24"/>
              </w:rPr>
              <w:t>–</w:t>
            </w:r>
          </w:p>
        </w:tc>
        <w:tc>
          <w:tcPr>
            <w:tcW w:w="1279" w:type="dxa"/>
            <w:hideMark/>
          </w:tcPr>
          <w:p w14:paraId="24BC8E8B" w14:textId="77777777" w:rsidR="009633A7" w:rsidRPr="009C778C" w:rsidRDefault="009633A7" w:rsidP="009C778C">
            <w:pPr>
              <w:rPr>
                <w:rFonts w:cstheme="minorHAnsi"/>
                <w:sz w:val="24"/>
                <w:szCs w:val="24"/>
              </w:rPr>
            </w:pPr>
            <w:r w:rsidRPr="009C778C">
              <w:rPr>
                <w:rFonts w:cstheme="minorHAnsi"/>
                <w:sz w:val="24"/>
                <w:szCs w:val="24"/>
              </w:rPr>
              <w:t>− 0.380***</w:t>
            </w:r>
          </w:p>
        </w:tc>
        <w:tc>
          <w:tcPr>
            <w:tcW w:w="1292" w:type="dxa"/>
            <w:hideMark/>
          </w:tcPr>
          <w:p w14:paraId="70B5375F" w14:textId="77777777" w:rsidR="009633A7" w:rsidRPr="009C778C" w:rsidRDefault="009633A7" w:rsidP="009C778C">
            <w:pPr>
              <w:rPr>
                <w:rFonts w:cstheme="minorHAnsi"/>
                <w:sz w:val="24"/>
                <w:szCs w:val="24"/>
              </w:rPr>
            </w:pPr>
            <w:r w:rsidRPr="009C778C">
              <w:rPr>
                <w:rFonts w:cstheme="minorHAnsi"/>
                <w:sz w:val="24"/>
                <w:szCs w:val="24"/>
              </w:rPr>
              <w:t>− 0.381***</w:t>
            </w:r>
          </w:p>
        </w:tc>
      </w:tr>
      <w:tr w:rsidR="009633A7" w:rsidRPr="009C778C" w14:paraId="38010180" w14:textId="77777777" w:rsidTr="009633A7">
        <w:tc>
          <w:tcPr>
            <w:tcW w:w="3685" w:type="dxa"/>
            <w:hideMark/>
          </w:tcPr>
          <w:p w14:paraId="4C2F2363" w14:textId="77777777" w:rsidR="009633A7" w:rsidRPr="009C778C" w:rsidRDefault="009633A7" w:rsidP="009C778C">
            <w:pPr>
              <w:rPr>
                <w:rFonts w:cstheme="minorHAnsi"/>
                <w:b/>
                <w:bCs/>
                <w:sz w:val="24"/>
                <w:szCs w:val="24"/>
              </w:rPr>
            </w:pPr>
          </w:p>
        </w:tc>
        <w:tc>
          <w:tcPr>
            <w:tcW w:w="809" w:type="dxa"/>
            <w:hideMark/>
          </w:tcPr>
          <w:p w14:paraId="476D6E26" w14:textId="77777777" w:rsidR="009633A7" w:rsidRPr="009C778C" w:rsidRDefault="009633A7" w:rsidP="009C778C">
            <w:pPr>
              <w:rPr>
                <w:rFonts w:cstheme="minorHAnsi"/>
                <w:sz w:val="24"/>
                <w:szCs w:val="24"/>
              </w:rPr>
            </w:pPr>
          </w:p>
        </w:tc>
        <w:tc>
          <w:tcPr>
            <w:tcW w:w="1438" w:type="dxa"/>
            <w:hideMark/>
          </w:tcPr>
          <w:p w14:paraId="4C2771D5" w14:textId="77777777" w:rsidR="009633A7" w:rsidRPr="009C778C" w:rsidRDefault="009633A7" w:rsidP="009C778C">
            <w:pPr>
              <w:rPr>
                <w:rFonts w:cstheme="minorHAnsi"/>
                <w:sz w:val="24"/>
                <w:szCs w:val="24"/>
              </w:rPr>
            </w:pPr>
            <w:r w:rsidRPr="009C778C">
              <w:rPr>
                <w:rFonts w:cstheme="minorHAnsi"/>
                <w:sz w:val="24"/>
                <w:szCs w:val="24"/>
              </w:rPr>
              <w:t>(− 5.16)</w:t>
            </w:r>
          </w:p>
        </w:tc>
        <w:tc>
          <w:tcPr>
            <w:tcW w:w="1263" w:type="dxa"/>
            <w:hideMark/>
          </w:tcPr>
          <w:p w14:paraId="2046E3E7" w14:textId="77777777" w:rsidR="009633A7" w:rsidRPr="009C778C" w:rsidRDefault="009633A7" w:rsidP="009C778C">
            <w:pPr>
              <w:rPr>
                <w:rFonts w:cstheme="minorHAnsi"/>
                <w:sz w:val="24"/>
                <w:szCs w:val="24"/>
              </w:rPr>
            </w:pPr>
            <w:r w:rsidRPr="009C778C">
              <w:rPr>
                <w:rFonts w:cstheme="minorHAnsi"/>
                <w:sz w:val="24"/>
                <w:szCs w:val="24"/>
              </w:rPr>
              <w:t>(− 5.20)</w:t>
            </w:r>
          </w:p>
        </w:tc>
        <w:tc>
          <w:tcPr>
            <w:tcW w:w="900" w:type="dxa"/>
            <w:hideMark/>
          </w:tcPr>
          <w:p w14:paraId="5AA1E17E" w14:textId="77777777" w:rsidR="009633A7" w:rsidRPr="009C778C" w:rsidRDefault="009633A7" w:rsidP="009C778C">
            <w:pPr>
              <w:rPr>
                <w:rFonts w:cstheme="minorHAnsi"/>
                <w:sz w:val="24"/>
                <w:szCs w:val="24"/>
              </w:rPr>
            </w:pPr>
          </w:p>
        </w:tc>
        <w:tc>
          <w:tcPr>
            <w:tcW w:w="1279" w:type="dxa"/>
            <w:hideMark/>
          </w:tcPr>
          <w:p w14:paraId="0F54910B" w14:textId="77777777" w:rsidR="009633A7" w:rsidRPr="009C778C" w:rsidRDefault="009633A7" w:rsidP="009C778C">
            <w:pPr>
              <w:rPr>
                <w:rFonts w:cstheme="minorHAnsi"/>
                <w:sz w:val="24"/>
                <w:szCs w:val="24"/>
              </w:rPr>
            </w:pPr>
            <w:r w:rsidRPr="009C778C">
              <w:rPr>
                <w:rFonts w:cstheme="minorHAnsi"/>
                <w:sz w:val="24"/>
                <w:szCs w:val="24"/>
              </w:rPr>
              <w:t>(− 3.44)</w:t>
            </w:r>
          </w:p>
        </w:tc>
        <w:tc>
          <w:tcPr>
            <w:tcW w:w="1292" w:type="dxa"/>
            <w:hideMark/>
          </w:tcPr>
          <w:p w14:paraId="3A4D068C" w14:textId="77777777" w:rsidR="009633A7" w:rsidRPr="009C778C" w:rsidRDefault="009633A7" w:rsidP="009C778C">
            <w:pPr>
              <w:rPr>
                <w:rFonts w:cstheme="minorHAnsi"/>
                <w:sz w:val="24"/>
                <w:szCs w:val="24"/>
              </w:rPr>
            </w:pPr>
            <w:r w:rsidRPr="009C778C">
              <w:rPr>
                <w:rFonts w:cstheme="minorHAnsi"/>
                <w:sz w:val="24"/>
                <w:szCs w:val="24"/>
              </w:rPr>
              <w:t>(− 3.44)</w:t>
            </w:r>
          </w:p>
        </w:tc>
      </w:tr>
      <w:tr w:rsidR="002E530A" w:rsidRPr="009C778C" w14:paraId="1861223C" w14:textId="77777777" w:rsidTr="009633A7">
        <w:tc>
          <w:tcPr>
            <w:tcW w:w="3685" w:type="dxa"/>
            <w:hideMark/>
          </w:tcPr>
          <w:p w14:paraId="19A360C5" w14:textId="77777777" w:rsidR="009C778C" w:rsidRPr="009C778C" w:rsidRDefault="009C778C" w:rsidP="009C778C">
            <w:pPr>
              <w:rPr>
                <w:rFonts w:cstheme="minorHAnsi"/>
                <w:b/>
                <w:bCs/>
                <w:sz w:val="24"/>
                <w:szCs w:val="24"/>
              </w:rPr>
            </w:pPr>
            <w:r w:rsidRPr="009C778C">
              <w:rPr>
                <w:rFonts w:cstheme="minorHAnsi"/>
                <w:b/>
                <w:bCs/>
                <w:sz w:val="24"/>
                <w:szCs w:val="24"/>
              </w:rPr>
              <w:t>FOREIGN</w:t>
            </w:r>
            <w:r w:rsidRPr="009C778C">
              <w:rPr>
                <w:rFonts w:cstheme="minorHAnsi"/>
                <w:b/>
                <w:bCs/>
                <w:sz w:val="24"/>
                <w:szCs w:val="24"/>
                <w:vertAlign w:val="subscript"/>
              </w:rPr>
              <w:t>t − 1</w:t>
            </w:r>
          </w:p>
        </w:tc>
        <w:tc>
          <w:tcPr>
            <w:tcW w:w="809" w:type="dxa"/>
            <w:hideMark/>
          </w:tcPr>
          <w:p w14:paraId="2BC4342B" w14:textId="77777777" w:rsidR="009C778C" w:rsidRPr="009C778C" w:rsidRDefault="009C778C" w:rsidP="009C778C">
            <w:pPr>
              <w:rPr>
                <w:rFonts w:cstheme="minorHAnsi"/>
                <w:sz w:val="24"/>
                <w:szCs w:val="24"/>
              </w:rPr>
            </w:pPr>
            <w:r w:rsidRPr="009C778C">
              <w:rPr>
                <w:rFonts w:cstheme="minorHAnsi"/>
                <w:b/>
                <w:bCs/>
                <w:sz w:val="24"/>
                <w:szCs w:val="24"/>
              </w:rPr>
              <w:t>–</w:t>
            </w:r>
          </w:p>
        </w:tc>
        <w:tc>
          <w:tcPr>
            <w:tcW w:w="1438" w:type="dxa"/>
            <w:hideMark/>
          </w:tcPr>
          <w:p w14:paraId="21121DDB" w14:textId="77777777" w:rsidR="009C778C" w:rsidRPr="009C778C" w:rsidRDefault="009C778C" w:rsidP="009C778C">
            <w:pPr>
              <w:rPr>
                <w:rFonts w:cstheme="minorHAnsi"/>
                <w:sz w:val="24"/>
                <w:szCs w:val="24"/>
              </w:rPr>
            </w:pPr>
            <w:r w:rsidRPr="009C778C">
              <w:rPr>
                <w:rFonts w:cstheme="minorHAnsi"/>
                <w:sz w:val="24"/>
                <w:szCs w:val="24"/>
              </w:rPr>
              <w:t>− 0.045</w:t>
            </w:r>
          </w:p>
        </w:tc>
        <w:tc>
          <w:tcPr>
            <w:tcW w:w="1263" w:type="dxa"/>
            <w:hideMark/>
          </w:tcPr>
          <w:p w14:paraId="4F1011EE" w14:textId="77777777" w:rsidR="009C778C" w:rsidRPr="009C778C" w:rsidRDefault="009C778C" w:rsidP="009C778C">
            <w:pPr>
              <w:rPr>
                <w:rFonts w:cstheme="minorHAnsi"/>
                <w:sz w:val="24"/>
                <w:szCs w:val="24"/>
              </w:rPr>
            </w:pPr>
          </w:p>
        </w:tc>
        <w:tc>
          <w:tcPr>
            <w:tcW w:w="900" w:type="dxa"/>
            <w:hideMark/>
          </w:tcPr>
          <w:p w14:paraId="368CBA38" w14:textId="77777777" w:rsidR="009C778C" w:rsidRPr="009C778C" w:rsidRDefault="009C778C" w:rsidP="009C778C">
            <w:pPr>
              <w:rPr>
                <w:rFonts w:cstheme="minorHAnsi"/>
                <w:sz w:val="24"/>
                <w:szCs w:val="24"/>
              </w:rPr>
            </w:pPr>
            <w:r w:rsidRPr="009C778C">
              <w:rPr>
                <w:rFonts w:cstheme="minorHAnsi"/>
                <w:b/>
                <w:bCs/>
                <w:sz w:val="24"/>
                <w:szCs w:val="24"/>
              </w:rPr>
              <w:t>–</w:t>
            </w:r>
          </w:p>
        </w:tc>
        <w:tc>
          <w:tcPr>
            <w:tcW w:w="1279" w:type="dxa"/>
            <w:hideMark/>
          </w:tcPr>
          <w:p w14:paraId="4FD0B941" w14:textId="77777777" w:rsidR="009C778C" w:rsidRPr="009C778C" w:rsidRDefault="009C778C" w:rsidP="009C778C">
            <w:pPr>
              <w:rPr>
                <w:rFonts w:cstheme="minorHAnsi"/>
                <w:sz w:val="24"/>
                <w:szCs w:val="24"/>
              </w:rPr>
            </w:pPr>
            <w:r w:rsidRPr="009C778C">
              <w:rPr>
                <w:rFonts w:cstheme="minorHAnsi"/>
                <w:sz w:val="24"/>
                <w:szCs w:val="24"/>
              </w:rPr>
              <w:t>− 0.174**</w:t>
            </w:r>
          </w:p>
        </w:tc>
        <w:tc>
          <w:tcPr>
            <w:tcW w:w="1292" w:type="dxa"/>
            <w:hideMark/>
          </w:tcPr>
          <w:p w14:paraId="155FD453" w14:textId="77777777" w:rsidR="009C778C" w:rsidRPr="009C778C" w:rsidRDefault="009C778C" w:rsidP="009C778C">
            <w:pPr>
              <w:rPr>
                <w:rFonts w:cstheme="minorHAnsi"/>
                <w:sz w:val="24"/>
                <w:szCs w:val="24"/>
              </w:rPr>
            </w:pPr>
          </w:p>
        </w:tc>
      </w:tr>
      <w:tr w:rsidR="002E530A" w:rsidRPr="009C778C" w14:paraId="2BB93770" w14:textId="77777777" w:rsidTr="009633A7">
        <w:tc>
          <w:tcPr>
            <w:tcW w:w="3685" w:type="dxa"/>
            <w:hideMark/>
          </w:tcPr>
          <w:p w14:paraId="616B2678" w14:textId="77777777" w:rsidR="009C778C" w:rsidRPr="009C778C" w:rsidRDefault="009C778C" w:rsidP="009C778C">
            <w:pPr>
              <w:rPr>
                <w:rFonts w:cstheme="minorHAnsi"/>
                <w:b/>
                <w:bCs/>
                <w:sz w:val="24"/>
                <w:szCs w:val="24"/>
              </w:rPr>
            </w:pPr>
          </w:p>
        </w:tc>
        <w:tc>
          <w:tcPr>
            <w:tcW w:w="809" w:type="dxa"/>
            <w:hideMark/>
          </w:tcPr>
          <w:p w14:paraId="66AFBF27" w14:textId="77777777" w:rsidR="009C778C" w:rsidRPr="009C778C" w:rsidRDefault="009C778C" w:rsidP="009C778C">
            <w:pPr>
              <w:rPr>
                <w:rFonts w:cstheme="minorHAnsi"/>
                <w:sz w:val="24"/>
                <w:szCs w:val="24"/>
              </w:rPr>
            </w:pPr>
          </w:p>
        </w:tc>
        <w:tc>
          <w:tcPr>
            <w:tcW w:w="1438" w:type="dxa"/>
            <w:hideMark/>
          </w:tcPr>
          <w:p w14:paraId="7F453B24" w14:textId="77777777" w:rsidR="009C778C" w:rsidRPr="009C778C" w:rsidRDefault="009C778C" w:rsidP="009C778C">
            <w:pPr>
              <w:rPr>
                <w:rFonts w:cstheme="minorHAnsi"/>
                <w:sz w:val="24"/>
                <w:szCs w:val="24"/>
              </w:rPr>
            </w:pPr>
            <w:r w:rsidRPr="009C778C">
              <w:rPr>
                <w:rFonts w:cstheme="minorHAnsi"/>
                <w:sz w:val="24"/>
                <w:szCs w:val="24"/>
              </w:rPr>
              <w:t>(− 0.56)</w:t>
            </w:r>
          </w:p>
        </w:tc>
        <w:tc>
          <w:tcPr>
            <w:tcW w:w="1263" w:type="dxa"/>
            <w:hideMark/>
          </w:tcPr>
          <w:p w14:paraId="1DFADD93" w14:textId="77777777" w:rsidR="009C778C" w:rsidRPr="009C778C" w:rsidRDefault="009C778C" w:rsidP="009C778C">
            <w:pPr>
              <w:rPr>
                <w:rFonts w:cstheme="minorHAnsi"/>
                <w:sz w:val="24"/>
                <w:szCs w:val="24"/>
              </w:rPr>
            </w:pPr>
          </w:p>
        </w:tc>
        <w:tc>
          <w:tcPr>
            <w:tcW w:w="900" w:type="dxa"/>
            <w:hideMark/>
          </w:tcPr>
          <w:p w14:paraId="3C130FDE" w14:textId="77777777" w:rsidR="009C778C" w:rsidRPr="009C778C" w:rsidRDefault="009C778C" w:rsidP="009C778C">
            <w:pPr>
              <w:rPr>
                <w:rFonts w:cstheme="minorHAnsi"/>
                <w:sz w:val="24"/>
                <w:szCs w:val="24"/>
              </w:rPr>
            </w:pPr>
          </w:p>
        </w:tc>
        <w:tc>
          <w:tcPr>
            <w:tcW w:w="1279" w:type="dxa"/>
            <w:hideMark/>
          </w:tcPr>
          <w:p w14:paraId="42548BB8" w14:textId="77777777" w:rsidR="009C778C" w:rsidRPr="009C778C" w:rsidRDefault="009C778C" w:rsidP="009C778C">
            <w:pPr>
              <w:rPr>
                <w:rFonts w:cstheme="minorHAnsi"/>
                <w:sz w:val="24"/>
                <w:szCs w:val="24"/>
              </w:rPr>
            </w:pPr>
            <w:r w:rsidRPr="009C778C">
              <w:rPr>
                <w:rFonts w:cstheme="minorHAnsi"/>
                <w:sz w:val="24"/>
                <w:szCs w:val="24"/>
              </w:rPr>
              <w:t>(− 1.98)</w:t>
            </w:r>
          </w:p>
        </w:tc>
        <w:tc>
          <w:tcPr>
            <w:tcW w:w="1292" w:type="dxa"/>
            <w:hideMark/>
          </w:tcPr>
          <w:p w14:paraId="4080E40A" w14:textId="77777777" w:rsidR="009C778C" w:rsidRPr="009C778C" w:rsidRDefault="009C778C" w:rsidP="009C778C">
            <w:pPr>
              <w:rPr>
                <w:rFonts w:cstheme="minorHAnsi"/>
                <w:sz w:val="24"/>
                <w:szCs w:val="24"/>
              </w:rPr>
            </w:pPr>
          </w:p>
        </w:tc>
      </w:tr>
      <w:tr w:rsidR="002E530A" w:rsidRPr="009C778C" w14:paraId="61A315AF" w14:textId="77777777" w:rsidTr="009633A7">
        <w:tc>
          <w:tcPr>
            <w:tcW w:w="3685" w:type="dxa"/>
            <w:hideMark/>
          </w:tcPr>
          <w:p w14:paraId="7B909B6D" w14:textId="77777777" w:rsidR="009C778C" w:rsidRPr="009C778C" w:rsidRDefault="009C778C" w:rsidP="009C778C">
            <w:pPr>
              <w:rPr>
                <w:rFonts w:cstheme="minorHAnsi"/>
                <w:b/>
                <w:bCs/>
                <w:sz w:val="24"/>
                <w:szCs w:val="24"/>
              </w:rPr>
            </w:pPr>
            <w:r w:rsidRPr="009C778C">
              <w:rPr>
                <w:rFonts w:cstheme="minorHAnsi"/>
                <w:b/>
                <w:bCs/>
                <w:sz w:val="24"/>
                <w:szCs w:val="24"/>
              </w:rPr>
              <w:t>FOREIGN_DEVELOP</w:t>
            </w:r>
            <w:r w:rsidRPr="009C778C">
              <w:rPr>
                <w:rFonts w:cstheme="minorHAnsi"/>
                <w:b/>
                <w:bCs/>
                <w:sz w:val="24"/>
                <w:szCs w:val="24"/>
                <w:vertAlign w:val="subscript"/>
              </w:rPr>
              <w:t>t − 1</w:t>
            </w:r>
          </w:p>
        </w:tc>
        <w:tc>
          <w:tcPr>
            <w:tcW w:w="809" w:type="dxa"/>
            <w:hideMark/>
          </w:tcPr>
          <w:p w14:paraId="75A79955" w14:textId="77777777" w:rsidR="009C778C" w:rsidRPr="009C778C" w:rsidRDefault="009C778C" w:rsidP="009C778C">
            <w:pPr>
              <w:rPr>
                <w:rFonts w:cstheme="minorHAnsi"/>
                <w:b/>
                <w:bCs/>
                <w:sz w:val="24"/>
                <w:szCs w:val="24"/>
              </w:rPr>
            </w:pPr>
          </w:p>
        </w:tc>
        <w:tc>
          <w:tcPr>
            <w:tcW w:w="1438" w:type="dxa"/>
            <w:hideMark/>
          </w:tcPr>
          <w:p w14:paraId="39B25215" w14:textId="77777777" w:rsidR="009C778C" w:rsidRPr="009C778C" w:rsidRDefault="009C778C" w:rsidP="009C778C">
            <w:pPr>
              <w:rPr>
                <w:rFonts w:cstheme="minorHAnsi"/>
                <w:sz w:val="24"/>
                <w:szCs w:val="24"/>
              </w:rPr>
            </w:pPr>
          </w:p>
        </w:tc>
        <w:tc>
          <w:tcPr>
            <w:tcW w:w="1263" w:type="dxa"/>
            <w:hideMark/>
          </w:tcPr>
          <w:p w14:paraId="0903C161" w14:textId="77777777" w:rsidR="009C778C" w:rsidRPr="009C778C" w:rsidRDefault="009C778C" w:rsidP="009C778C">
            <w:pPr>
              <w:rPr>
                <w:rFonts w:cstheme="minorHAnsi"/>
                <w:sz w:val="24"/>
                <w:szCs w:val="24"/>
              </w:rPr>
            </w:pPr>
            <w:r w:rsidRPr="009C778C">
              <w:rPr>
                <w:rFonts w:cstheme="minorHAnsi"/>
                <w:sz w:val="24"/>
                <w:szCs w:val="24"/>
              </w:rPr>
              <w:t>− 0.060</w:t>
            </w:r>
          </w:p>
        </w:tc>
        <w:tc>
          <w:tcPr>
            <w:tcW w:w="900" w:type="dxa"/>
            <w:hideMark/>
          </w:tcPr>
          <w:p w14:paraId="701E603B" w14:textId="77777777" w:rsidR="009C778C" w:rsidRPr="009C778C" w:rsidRDefault="009C778C" w:rsidP="009C778C">
            <w:pPr>
              <w:rPr>
                <w:rFonts w:cstheme="minorHAnsi"/>
                <w:sz w:val="24"/>
                <w:szCs w:val="24"/>
              </w:rPr>
            </w:pPr>
            <w:r w:rsidRPr="009C778C">
              <w:rPr>
                <w:rFonts w:cstheme="minorHAnsi"/>
                <w:b/>
                <w:bCs/>
                <w:sz w:val="24"/>
                <w:szCs w:val="24"/>
              </w:rPr>
              <w:t>–</w:t>
            </w:r>
          </w:p>
        </w:tc>
        <w:tc>
          <w:tcPr>
            <w:tcW w:w="1279" w:type="dxa"/>
            <w:hideMark/>
          </w:tcPr>
          <w:p w14:paraId="585EA7E6" w14:textId="77777777" w:rsidR="009C778C" w:rsidRPr="009C778C" w:rsidRDefault="009C778C" w:rsidP="009C778C">
            <w:pPr>
              <w:rPr>
                <w:rFonts w:cstheme="minorHAnsi"/>
                <w:sz w:val="24"/>
                <w:szCs w:val="24"/>
              </w:rPr>
            </w:pPr>
          </w:p>
        </w:tc>
        <w:tc>
          <w:tcPr>
            <w:tcW w:w="1292" w:type="dxa"/>
            <w:hideMark/>
          </w:tcPr>
          <w:p w14:paraId="425C151F" w14:textId="77777777" w:rsidR="009C778C" w:rsidRPr="009C778C" w:rsidRDefault="009C778C" w:rsidP="009C778C">
            <w:pPr>
              <w:rPr>
                <w:rFonts w:cstheme="minorHAnsi"/>
                <w:sz w:val="24"/>
                <w:szCs w:val="24"/>
              </w:rPr>
            </w:pPr>
            <w:r w:rsidRPr="009C778C">
              <w:rPr>
                <w:rFonts w:cstheme="minorHAnsi"/>
                <w:sz w:val="24"/>
                <w:szCs w:val="24"/>
              </w:rPr>
              <w:t>− 0.169*</w:t>
            </w:r>
          </w:p>
        </w:tc>
      </w:tr>
      <w:tr w:rsidR="002E530A" w:rsidRPr="009C778C" w14:paraId="01D54D22" w14:textId="77777777" w:rsidTr="009633A7">
        <w:tc>
          <w:tcPr>
            <w:tcW w:w="3685" w:type="dxa"/>
            <w:hideMark/>
          </w:tcPr>
          <w:p w14:paraId="4883C918" w14:textId="77777777" w:rsidR="009C778C" w:rsidRPr="009C778C" w:rsidRDefault="009C778C" w:rsidP="009C778C">
            <w:pPr>
              <w:rPr>
                <w:rFonts w:cstheme="minorHAnsi"/>
                <w:b/>
                <w:bCs/>
                <w:sz w:val="24"/>
                <w:szCs w:val="24"/>
              </w:rPr>
            </w:pPr>
          </w:p>
        </w:tc>
        <w:tc>
          <w:tcPr>
            <w:tcW w:w="809" w:type="dxa"/>
            <w:hideMark/>
          </w:tcPr>
          <w:p w14:paraId="02C6747D" w14:textId="77777777" w:rsidR="009C778C" w:rsidRPr="009C778C" w:rsidRDefault="009C778C" w:rsidP="009C778C">
            <w:pPr>
              <w:rPr>
                <w:rFonts w:cstheme="minorHAnsi"/>
                <w:sz w:val="24"/>
                <w:szCs w:val="24"/>
              </w:rPr>
            </w:pPr>
          </w:p>
        </w:tc>
        <w:tc>
          <w:tcPr>
            <w:tcW w:w="1438" w:type="dxa"/>
            <w:hideMark/>
          </w:tcPr>
          <w:p w14:paraId="126F9FED" w14:textId="77777777" w:rsidR="009C778C" w:rsidRPr="009C778C" w:rsidRDefault="009C778C" w:rsidP="009C778C">
            <w:pPr>
              <w:rPr>
                <w:rFonts w:cstheme="minorHAnsi"/>
                <w:sz w:val="24"/>
                <w:szCs w:val="24"/>
              </w:rPr>
            </w:pPr>
          </w:p>
        </w:tc>
        <w:tc>
          <w:tcPr>
            <w:tcW w:w="1263" w:type="dxa"/>
            <w:hideMark/>
          </w:tcPr>
          <w:p w14:paraId="5F5709A2" w14:textId="77777777" w:rsidR="009C778C" w:rsidRPr="009C778C" w:rsidRDefault="009C778C" w:rsidP="009C778C">
            <w:pPr>
              <w:rPr>
                <w:rFonts w:cstheme="minorHAnsi"/>
                <w:sz w:val="24"/>
                <w:szCs w:val="24"/>
              </w:rPr>
            </w:pPr>
            <w:r w:rsidRPr="009C778C">
              <w:rPr>
                <w:rFonts w:cstheme="minorHAnsi"/>
                <w:sz w:val="24"/>
                <w:szCs w:val="24"/>
              </w:rPr>
              <w:t>(− 0.68)</w:t>
            </w:r>
          </w:p>
        </w:tc>
        <w:tc>
          <w:tcPr>
            <w:tcW w:w="900" w:type="dxa"/>
            <w:hideMark/>
          </w:tcPr>
          <w:p w14:paraId="29198816" w14:textId="77777777" w:rsidR="009C778C" w:rsidRPr="009C778C" w:rsidRDefault="009C778C" w:rsidP="009C778C">
            <w:pPr>
              <w:rPr>
                <w:rFonts w:cstheme="minorHAnsi"/>
                <w:sz w:val="24"/>
                <w:szCs w:val="24"/>
              </w:rPr>
            </w:pPr>
          </w:p>
        </w:tc>
        <w:tc>
          <w:tcPr>
            <w:tcW w:w="1279" w:type="dxa"/>
            <w:hideMark/>
          </w:tcPr>
          <w:p w14:paraId="53866D9C" w14:textId="77777777" w:rsidR="009C778C" w:rsidRPr="009C778C" w:rsidRDefault="009C778C" w:rsidP="009C778C">
            <w:pPr>
              <w:rPr>
                <w:rFonts w:cstheme="minorHAnsi"/>
                <w:sz w:val="24"/>
                <w:szCs w:val="24"/>
              </w:rPr>
            </w:pPr>
          </w:p>
        </w:tc>
        <w:tc>
          <w:tcPr>
            <w:tcW w:w="1292" w:type="dxa"/>
            <w:hideMark/>
          </w:tcPr>
          <w:p w14:paraId="6727EDA9" w14:textId="77777777" w:rsidR="009C778C" w:rsidRPr="009C778C" w:rsidRDefault="009C778C" w:rsidP="009C778C">
            <w:pPr>
              <w:rPr>
                <w:rFonts w:cstheme="minorHAnsi"/>
                <w:sz w:val="24"/>
                <w:szCs w:val="24"/>
              </w:rPr>
            </w:pPr>
            <w:r w:rsidRPr="009C778C">
              <w:rPr>
                <w:rFonts w:cstheme="minorHAnsi"/>
                <w:sz w:val="24"/>
                <w:szCs w:val="24"/>
              </w:rPr>
              <w:t>(− 1.87)</w:t>
            </w:r>
          </w:p>
        </w:tc>
      </w:tr>
      <w:tr w:rsidR="002E530A" w:rsidRPr="009C778C" w14:paraId="51F31913" w14:textId="77777777" w:rsidTr="009633A7">
        <w:tc>
          <w:tcPr>
            <w:tcW w:w="3685" w:type="dxa"/>
            <w:hideMark/>
          </w:tcPr>
          <w:p w14:paraId="6EFCB191" w14:textId="77777777" w:rsidR="009C778C" w:rsidRPr="009C778C" w:rsidRDefault="009C778C" w:rsidP="009C778C">
            <w:pPr>
              <w:rPr>
                <w:rFonts w:cstheme="minorHAnsi"/>
                <w:b/>
                <w:bCs/>
                <w:sz w:val="24"/>
                <w:szCs w:val="24"/>
              </w:rPr>
            </w:pPr>
            <w:r w:rsidRPr="009C778C">
              <w:rPr>
                <w:rFonts w:cstheme="minorHAnsi"/>
                <w:b/>
                <w:bCs/>
                <w:sz w:val="24"/>
                <w:szCs w:val="24"/>
              </w:rPr>
              <w:t>FOREIGN_EMERG</w:t>
            </w:r>
            <w:r w:rsidRPr="009C778C">
              <w:rPr>
                <w:rFonts w:cstheme="minorHAnsi"/>
                <w:b/>
                <w:bCs/>
                <w:sz w:val="24"/>
                <w:szCs w:val="24"/>
                <w:vertAlign w:val="subscript"/>
              </w:rPr>
              <w:t>t − 1</w:t>
            </w:r>
          </w:p>
        </w:tc>
        <w:tc>
          <w:tcPr>
            <w:tcW w:w="809" w:type="dxa"/>
            <w:hideMark/>
          </w:tcPr>
          <w:p w14:paraId="6F350BED" w14:textId="77777777" w:rsidR="009C778C" w:rsidRPr="009C778C" w:rsidRDefault="009C778C" w:rsidP="009C778C">
            <w:pPr>
              <w:rPr>
                <w:rFonts w:cstheme="minorHAnsi"/>
                <w:b/>
                <w:bCs/>
                <w:sz w:val="24"/>
                <w:szCs w:val="24"/>
              </w:rPr>
            </w:pPr>
          </w:p>
        </w:tc>
        <w:tc>
          <w:tcPr>
            <w:tcW w:w="1438" w:type="dxa"/>
            <w:hideMark/>
          </w:tcPr>
          <w:p w14:paraId="6117646E" w14:textId="77777777" w:rsidR="009C778C" w:rsidRPr="009C778C" w:rsidRDefault="009C778C" w:rsidP="009C778C">
            <w:pPr>
              <w:rPr>
                <w:rFonts w:cstheme="minorHAnsi"/>
                <w:sz w:val="24"/>
                <w:szCs w:val="24"/>
              </w:rPr>
            </w:pPr>
          </w:p>
        </w:tc>
        <w:tc>
          <w:tcPr>
            <w:tcW w:w="1263" w:type="dxa"/>
            <w:hideMark/>
          </w:tcPr>
          <w:p w14:paraId="5974A800" w14:textId="77777777" w:rsidR="009C778C" w:rsidRPr="009C778C" w:rsidRDefault="009C778C" w:rsidP="009C778C">
            <w:pPr>
              <w:rPr>
                <w:rFonts w:cstheme="minorHAnsi"/>
                <w:sz w:val="24"/>
                <w:szCs w:val="24"/>
              </w:rPr>
            </w:pPr>
            <w:r w:rsidRPr="009C778C">
              <w:rPr>
                <w:rFonts w:cstheme="minorHAnsi"/>
                <w:sz w:val="24"/>
                <w:szCs w:val="24"/>
              </w:rPr>
              <w:t>0.156</w:t>
            </w:r>
          </w:p>
        </w:tc>
        <w:tc>
          <w:tcPr>
            <w:tcW w:w="900" w:type="dxa"/>
            <w:hideMark/>
          </w:tcPr>
          <w:p w14:paraId="6B5DF23F" w14:textId="77777777" w:rsidR="009C778C" w:rsidRPr="009C778C" w:rsidRDefault="009C778C" w:rsidP="009C778C">
            <w:pPr>
              <w:rPr>
                <w:rFonts w:cstheme="minorHAnsi"/>
                <w:sz w:val="24"/>
                <w:szCs w:val="24"/>
              </w:rPr>
            </w:pPr>
          </w:p>
        </w:tc>
        <w:tc>
          <w:tcPr>
            <w:tcW w:w="1279" w:type="dxa"/>
            <w:hideMark/>
          </w:tcPr>
          <w:p w14:paraId="0E234A75" w14:textId="77777777" w:rsidR="009C778C" w:rsidRPr="009C778C" w:rsidRDefault="009C778C" w:rsidP="009C778C">
            <w:pPr>
              <w:rPr>
                <w:rFonts w:cstheme="minorHAnsi"/>
                <w:sz w:val="24"/>
                <w:szCs w:val="24"/>
              </w:rPr>
            </w:pPr>
          </w:p>
        </w:tc>
        <w:tc>
          <w:tcPr>
            <w:tcW w:w="1292" w:type="dxa"/>
            <w:hideMark/>
          </w:tcPr>
          <w:p w14:paraId="7AEC2FCF" w14:textId="77777777" w:rsidR="009C778C" w:rsidRPr="009C778C" w:rsidRDefault="009C778C" w:rsidP="009C778C">
            <w:pPr>
              <w:rPr>
                <w:rFonts w:cstheme="minorHAnsi"/>
                <w:sz w:val="24"/>
                <w:szCs w:val="24"/>
              </w:rPr>
            </w:pPr>
            <w:r w:rsidRPr="009C778C">
              <w:rPr>
                <w:rFonts w:cstheme="minorHAnsi"/>
                <w:sz w:val="24"/>
                <w:szCs w:val="24"/>
              </w:rPr>
              <w:t>− 0.292</w:t>
            </w:r>
          </w:p>
        </w:tc>
      </w:tr>
      <w:tr w:rsidR="002E530A" w:rsidRPr="009C778C" w14:paraId="63AA0915" w14:textId="77777777" w:rsidTr="009633A7">
        <w:tc>
          <w:tcPr>
            <w:tcW w:w="3685" w:type="dxa"/>
            <w:hideMark/>
          </w:tcPr>
          <w:p w14:paraId="7615D7EC" w14:textId="77777777" w:rsidR="009C778C" w:rsidRPr="009C778C" w:rsidRDefault="009C778C" w:rsidP="009C778C">
            <w:pPr>
              <w:rPr>
                <w:rFonts w:cstheme="minorHAnsi"/>
                <w:b/>
                <w:bCs/>
                <w:sz w:val="24"/>
                <w:szCs w:val="24"/>
              </w:rPr>
            </w:pPr>
          </w:p>
        </w:tc>
        <w:tc>
          <w:tcPr>
            <w:tcW w:w="809" w:type="dxa"/>
            <w:hideMark/>
          </w:tcPr>
          <w:p w14:paraId="3F0979C3" w14:textId="77777777" w:rsidR="009C778C" w:rsidRPr="009C778C" w:rsidRDefault="009C778C" w:rsidP="009C778C">
            <w:pPr>
              <w:rPr>
                <w:rFonts w:cstheme="minorHAnsi"/>
                <w:sz w:val="24"/>
                <w:szCs w:val="24"/>
              </w:rPr>
            </w:pPr>
          </w:p>
        </w:tc>
        <w:tc>
          <w:tcPr>
            <w:tcW w:w="1438" w:type="dxa"/>
            <w:hideMark/>
          </w:tcPr>
          <w:p w14:paraId="6990FF96" w14:textId="77777777" w:rsidR="009C778C" w:rsidRPr="009C778C" w:rsidRDefault="009C778C" w:rsidP="009C778C">
            <w:pPr>
              <w:rPr>
                <w:rFonts w:cstheme="minorHAnsi"/>
                <w:sz w:val="24"/>
                <w:szCs w:val="24"/>
              </w:rPr>
            </w:pPr>
          </w:p>
        </w:tc>
        <w:tc>
          <w:tcPr>
            <w:tcW w:w="1263" w:type="dxa"/>
            <w:hideMark/>
          </w:tcPr>
          <w:p w14:paraId="7AA9FDD9" w14:textId="77777777" w:rsidR="009C778C" w:rsidRPr="009C778C" w:rsidRDefault="009C778C" w:rsidP="009C778C">
            <w:pPr>
              <w:rPr>
                <w:rFonts w:cstheme="minorHAnsi"/>
                <w:sz w:val="24"/>
                <w:szCs w:val="24"/>
              </w:rPr>
            </w:pPr>
            <w:r w:rsidRPr="009C778C">
              <w:rPr>
                <w:rFonts w:cstheme="minorHAnsi"/>
                <w:sz w:val="24"/>
                <w:szCs w:val="24"/>
              </w:rPr>
              <w:t>(0.83)</w:t>
            </w:r>
          </w:p>
        </w:tc>
        <w:tc>
          <w:tcPr>
            <w:tcW w:w="900" w:type="dxa"/>
            <w:hideMark/>
          </w:tcPr>
          <w:p w14:paraId="667C5E4C" w14:textId="77777777" w:rsidR="009C778C" w:rsidRPr="009C778C" w:rsidRDefault="009C778C" w:rsidP="009C778C">
            <w:pPr>
              <w:rPr>
                <w:rFonts w:cstheme="minorHAnsi"/>
                <w:sz w:val="24"/>
                <w:szCs w:val="24"/>
              </w:rPr>
            </w:pPr>
          </w:p>
        </w:tc>
        <w:tc>
          <w:tcPr>
            <w:tcW w:w="1279" w:type="dxa"/>
            <w:hideMark/>
          </w:tcPr>
          <w:p w14:paraId="4C3A7C2D" w14:textId="77777777" w:rsidR="009C778C" w:rsidRPr="009C778C" w:rsidRDefault="009C778C" w:rsidP="009C778C">
            <w:pPr>
              <w:rPr>
                <w:rFonts w:cstheme="minorHAnsi"/>
                <w:sz w:val="24"/>
                <w:szCs w:val="24"/>
              </w:rPr>
            </w:pPr>
          </w:p>
        </w:tc>
        <w:tc>
          <w:tcPr>
            <w:tcW w:w="1292" w:type="dxa"/>
            <w:hideMark/>
          </w:tcPr>
          <w:p w14:paraId="7ABA99C5" w14:textId="77777777" w:rsidR="009C778C" w:rsidRPr="009C778C" w:rsidRDefault="009C778C" w:rsidP="009C778C">
            <w:pPr>
              <w:rPr>
                <w:rFonts w:cstheme="minorHAnsi"/>
                <w:sz w:val="24"/>
                <w:szCs w:val="24"/>
              </w:rPr>
            </w:pPr>
            <w:r w:rsidRPr="009C778C">
              <w:rPr>
                <w:rFonts w:cstheme="minorHAnsi"/>
                <w:sz w:val="24"/>
                <w:szCs w:val="24"/>
              </w:rPr>
              <w:t>(− 0.67)</w:t>
            </w:r>
          </w:p>
        </w:tc>
      </w:tr>
      <w:tr w:rsidR="002E530A" w:rsidRPr="009C778C" w14:paraId="2184A6F5" w14:textId="77777777" w:rsidTr="009633A7">
        <w:tc>
          <w:tcPr>
            <w:tcW w:w="3685" w:type="dxa"/>
            <w:hideMark/>
          </w:tcPr>
          <w:p w14:paraId="0D2B67D6" w14:textId="77777777" w:rsidR="009C778C" w:rsidRPr="009C778C" w:rsidRDefault="009C778C" w:rsidP="009C778C">
            <w:pPr>
              <w:rPr>
                <w:rFonts w:cstheme="minorHAnsi"/>
                <w:b/>
                <w:bCs/>
                <w:sz w:val="24"/>
                <w:szCs w:val="24"/>
              </w:rPr>
            </w:pPr>
            <w:r w:rsidRPr="009C778C">
              <w:rPr>
                <w:rFonts w:cstheme="minorHAnsi"/>
                <w:b/>
                <w:bCs/>
                <w:sz w:val="24"/>
                <w:szCs w:val="24"/>
              </w:rPr>
              <w:t>SIZE</w:t>
            </w:r>
            <w:r w:rsidRPr="009C778C">
              <w:rPr>
                <w:rFonts w:cstheme="minorHAnsi"/>
                <w:b/>
                <w:bCs/>
                <w:sz w:val="24"/>
                <w:szCs w:val="24"/>
                <w:vertAlign w:val="subscript"/>
              </w:rPr>
              <w:t>t − 1</w:t>
            </w:r>
          </w:p>
        </w:tc>
        <w:tc>
          <w:tcPr>
            <w:tcW w:w="809" w:type="dxa"/>
            <w:hideMark/>
          </w:tcPr>
          <w:p w14:paraId="553B4439" w14:textId="77777777" w:rsidR="009C778C" w:rsidRPr="009C778C" w:rsidRDefault="009C778C" w:rsidP="009C778C">
            <w:pPr>
              <w:rPr>
                <w:rFonts w:cstheme="minorHAnsi"/>
                <w:b/>
                <w:bCs/>
                <w:sz w:val="24"/>
                <w:szCs w:val="24"/>
              </w:rPr>
            </w:pPr>
          </w:p>
        </w:tc>
        <w:tc>
          <w:tcPr>
            <w:tcW w:w="1438" w:type="dxa"/>
            <w:hideMark/>
          </w:tcPr>
          <w:p w14:paraId="5DB5237C" w14:textId="77777777" w:rsidR="009C778C" w:rsidRPr="009C778C" w:rsidRDefault="009C778C" w:rsidP="009C778C">
            <w:pPr>
              <w:rPr>
                <w:rFonts w:cstheme="minorHAnsi"/>
                <w:sz w:val="24"/>
                <w:szCs w:val="24"/>
              </w:rPr>
            </w:pPr>
            <w:r w:rsidRPr="009C778C">
              <w:rPr>
                <w:rFonts w:cstheme="minorHAnsi"/>
                <w:sz w:val="24"/>
                <w:szCs w:val="24"/>
              </w:rPr>
              <w:t>− 0.027***</w:t>
            </w:r>
          </w:p>
        </w:tc>
        <w:tc>
          <w:tcPr>
            <w:tcW w:w="1263" w:type="dxa"/>
            <w:hideMark/>
          </w:tcPr>
          <w:p w14:paraId="091F31A7" w14:textId="77777777" w:rsidR="009C778C" w:rsidRPr="009C778C" w:rsidRDefault="009C778C" w:rsidP="009C778C">
            <w:pPr>
              <w:rPr>
                <w:rFonts w:cstheme="minorHAnsi"/>
                <w:sz w:val="24"/>
                <w:szCs w:val="24"/>
              </w:rPr>
            </w:pPr>
            <w:r w:rsidRPr="009C778C">
              <w:rPr>
                <w:rFonts w:cstheme="minorHAnsi"/>
                <w:sz w:val="24"/>
                <w:szCs w:val="24"/>
              </w:rPr>
              <w:t>− 0.027***</w:t>
            </w:r>
          </w:p>
        </w:tc>
        <w:tc>
          <w:tcPr>
            <w:tcW w:w="900" w:type="dxa"/>
            <w:hideMark/>
          </w:tcPr>
          <w:p w14:paraId="0CC092D6" w14:textId="77777777" w:rsidR="009C778C" w:rsidRPr="009C778C" w:rsidRDefault="009C778C" w:rsidP="009C778C">
            <w:pPr>
              <w:rPr>
                <w:rFonts w:cstheme="minorHAnsi"/>
                <w:sz w:val="24"/>
                <w:szCs w:val="24"/>
              </w:rPr>
            </w:pPr>
          </w:p>
        </w:tc>
        <w:tc>
          <w:tcPr>
            <w:tcW w:w="1279" w:type="dxa"/>
            <w:hideMark/>
          </w:tcPr>
          <w:p w14:paraId="52CDD3F0" w14:textId="77777777" w:rsidR="009C778C" w:rsidRPr="009C778C" w:rsidRDefault="009C778C" w:rsidP="009C778C">
            <w:pPr>
              <w:rPr>
                <w:rFonts w:cstheme="minorHAnsi"/>
                <w:sz w:val="24"/>
                <w:szCs w:val="24"/>
              </w:rPr>
            </w:pPr>
            <w:r w:rsidRPr="009C778C">
              <w:rPr>
                <w:rFonts w:cstheme="minorHAnsi"/>
                <w:sz w:val="24"/>
                <w:szCs w:val="24"/>
              </w:rPr>
              <w:t>− 0.008**</w:t>
            </w:r>
          </w:p>
        </w:tc>
        <w:tc>
          <w:tcPr>
            <w:tcW w:w="1292" w:type="dxa"/>
            <w:hideMark/>
          </w:tcPr>
          <w:p w14:paraId="3D4880DE" w14:textId="77777777" w:rsidR="009C778C" w:rsidRPr="009C778C" w:rsidRDefault="009C778C" w:rsidP="009C778C">
            <w:pPr>
              <w:rPr>
                <w:rFonts w:cstheme="minorHAnsi"/>
                <w:sz w:val="24"/>
                <w:szCs w:val="24"/>
              </w:rPr>
            </w:pPr>
            <w:r w:rsidRPr="009C778C">
              <w:rPr>
                <w:rFonts w:cstheme="minorHAnsi"/>
                <w:sz w:val="24"/>
                <w:szCs w:val="24"/>
              </w:rPr>
              <w:t>− 0.009**</w:t>
            </w:r>
          </w:p>
        </w:tc>
      </w:tr>
      <w:tr w:rsidR="002E530A" w:rsidRPr="009C778C" w14:paraId="7D0FB55F" w14:textId="77777777" w:rsidTr="009633A7">
        <w:tc>
          <w:tcPr>
            <w:tcW w:w="3685" w:type="dxa"/>
            <w:hideMark/>
          </w:tcPr>
          <w:p w14:paraId="7905C477" w14:textId="77777777" w:rsidR="009C778C" w:rsidRPr="009C778C" w:rsidRDefault="009C778C" w:rsidP="009C778C">
            <w:pPr>
              <w:rPr>
                <w:rFonts w:cstheme="minorHAnsi"/>
                <w:b/>
                <w:bCs/>
                <w:sz w:val="24"/>
                <w:szCs w:val="24"/>
              </w:rPr>
            </w:pPr>
          </w:p>
        </w:tc>
        <w:tc>
          <w:tcPr>
            <w:tcW w:w="809" w:type="dxa"/>
            <w:hideMark/>
          </w:tcPr>
          <w:p w14:paraId="6D4F03A9" w14:textId="77777777" w:rsidR="009C778C" w:rsidRPr="009C778C" w:rsidRDefault="009C778C" w:rsidP="009C778C">
            <w:pPr>
              <w:rPr>
                <w:rFonts w:cstheme="minorHAnsi"/>
                <w:sz w:val="24"/>
                <w:szCs w:val="24"/>
              </w:rPr>
            </w:pPr>
          </w:p>
        </w:tc>
        <w:tc>
          <w:tcPr>
            <w:tcW w:w="1438" w:type="dxa"/>
            <w:hideMark/>
          </w:tcPr>
          <w:p w14:paraId="0B4C631C" w14:textId="77777777" w:rsidR="009C778C" w:rsidRPr="009C778C" w:rsidRDefault="009C778C" w:rsidP="009C778C">
            <w:pPr>
              <w:rPr>
                <w:rFonts w:cstheme="minorHAnsi"/>
                <w:sz w:val="24"/>
                <w:szCs w:val="24"/>
              </w:rPr>
            </w:pPr>
            <w:r w:rsidRPr="009C778C">
              <w:rPr>
                <w:rFonts w:cstheme="minorHAnsi"/>
                <w:sz w:val="24"/>
                <w:szCs w:val="24"/>
              </w:rPr>
              <w:t>(− 7.76)</w:t>
            </w:r>
          </w:p>
        </w:tc>
        <w:tc>
          <w:tcPr>
            <w:tcW w:w="1263" w:type="dxa"/>
            <w:hideMark/>
          </w:tcPr>
          <w:p w14:paraId="0C82CE44" w14:textId="77777777" w:rsidR="009C778C" w:rsidRPr="009C778C" w:rsidRDefault="009C778C" w:rsidP="009C778C">
            <w:pPr>
              <w:rPr>
                <w:rFonts w:cstheme="minorHAnsi"/>
                <w:sz w:val="24"/>
                <w:szCs w:val="24"/>
              </w:rPr>
            </w:pPr>
            <w:r w:rsidRPr="009C778C">
              <w:rPr>
                <w:rFonts w:cstheme="minorHAnsi"/>
                <w:sz w:val="24"/>
                <w:szCs w:val="24"/>
              </w:rPr>
              <w:t>(− 7.76)</w:t>
            </w:r>
          </w:p>
        </w:tc>
        <w:tc>
          <w:tcPr>
            <w:tcW w:w="900" w:type="dxa"/>
            <w:hideMark/>
          </w:tcPr>
          <w:p w14:paraId="112FB6CF" w14:textId="77777777" w:rsidR="009C778C" w:rsidRPr="009C778C" w:rsidRDefault="009C778C" w:rsidP="009C778C">
            <w:pPr>
              <w:rPr>
                <w:rFonts w:cstheme="minorHAnsi"/>
                <w:sz w:val="24"/>
                <w:szCs w:val="24"/>
              </w:rPr>
            </w:pPr>
          </w:p>
        </w:tc>
        <w:tc>
          <w:tcPr>
            <w:tcW w:w="1279" w:type="dxa"/>
            <w:hideMark/>
          </w:tcPr>
          <w:p w14:paraId="6E84EE33" w14:textId="77777777" w:rsidR="009C778C" w:rsidRPr="009C778C" w:rsidRDefault="009C778C" w:rsidP="009C778C">
            <w:pPr>
              <w:rPr>
                <w:rFonts w:cstheme="minorHAnsi"/>
                <w:sz w:val="24"/>
                <w:szCs w:val="24"/>
              </w:rPr>
            </w:pPr>
            <w:r w:rsidRPr="009C778C">
              <w:rPr>
                <w:rFonts w:cstheme="minorHAnsi"/>
                <w:sz w:val="24"/>
                <w:szCs w:val="24"/>
              </w:rPr>
              <w:t>(− 2.35)</w:t>
            </w:r>
          </w:p>
        </w:tc>
        <w:tc>
          <w:tcPr>
            <w:tcW w:w="1292" w:type="dxa"/>
            <w:hideMark/>
          </w:tcPr>
          <w:p w14:paraId="7CB313E8" w14:textId="77777777" w:rsidR="009C778C" w:rsidRPr="009C778C" w:rsidRDefault="009C778C" w:rsidP="009C778C">
            <w:pPr>
              <w:rPr>
                <w:rFonts w:cstheme="minorHAnsi"/>
                <w:sz w:val="24"/>
                <w:szCs w:val="24"/>
              </w:rPr>
            </w:pPr>
            <w:r w:rsidRPr="009C778C">
              <w:rPr>
                <w:rFonts w:cstheme="minorHAnsi"/>
                <w:sz w:val="24"/>
                <w:szCs w:val="24"/>
              </w:rPr>
              <w:t>(− 2.36)</w:t>
            </w:r>
          </w:p>
        </w:tc>
      </w:tr>
      <w:tr w:rsidR="002E530A" w:rsidRPr="009C778C" w14:paraId="45BD27CD" w14:textId="77777777" w:rsidTr="009633A7">
        <w:tc>
          <w:tcPr>
            <w:tcW w:w="3685" w:type="dxa"/>
            <w:hideMark/>
          </w:tcPr>
          <w:p w14:paraId="5EADF4B9" w14:textId="77777777" w:rsidR="009C778C" w:rsidRPr="009C778C" w:rsidRDefault="009C778C" w:rsidP="009C778C">
            <w:pPr>
              <w:rPr>
                <w:rFonts w:cstheme="minorHAnsi"/>
                <w:b/>
                <w:bCs/>
                <w:sz w:val="24"/>
                <w:szCs w:val="24"/>
              </w:rPr>
            </w:pPr>
            <w:r w:rsidRPr="009C778C">
              <w:rPr>
                <w:rFonts w:cstheme="minorHAnsi"/>
                <w:b/>
                <w:bCs/>
                <w:sz w:val="24"/>
                <w:szCs w:val="24"/>
              </w:rPr>
              <w:t>ROA</w:t>
            </w:r>
            <w:r w:rsidRPr="009C778C">
              <w:rPr>
                <w:rFonts w:cstheme="minorHAnsi"/>
                <w:b/>
                <w:bCs/>
                <w:sz w:val="24"/>
                <w:szCs w:val="24"/>
                <w:vertAlign w:val="subscript"/>
              </w:rPr>
              <w:t>t − 1</w:t>
            </w:r>
          </w:p>
        </w:tc>
        <w:tc>
          <w:tcPr>
            <w:tcW w:w="809" w:type="dxa"/>
            <w:hideMark/>
          </w:tcPr>
          <w:p w14:paraId="529236BF" w14:textId="77777777" w:rsidR="009C778C" w:rsidRPr="009C778C" w:rsidRDefault="009C778C" w:rsidP="009C778C">
            <w:pPr>
              <w:rPr>
                <w:rFonts w:cstheme="minorHAnsi"/>
                <w:b/>
                <w:bCs/>
                <w:sz w:val="24"/>
                <w:szCs w:val="24"/>
              </w:rPr>
            </w:pPr>
          </w:p>
        </w:tc>
        <w:tc>
          <w:tcPr>
            <w:tcW w:w="1438" w:type="dxa"/>
            <w:hideMark/>
          </w:tcPr>
          <w:p w14:paraId="4E4B198C" w14:textId="77777777" w:rsidR="009C778C" w:rsidRPr="009C778C" w:rsidRDefault="009C778C" w:rsidP="009C778C">
            <w:pPr>
              <w:rPr>
                <w:rFonts w:cstheme="minorHAnsi"/>
                <w:sz w:val="24"/>
                <w:szCs w:val="24"/>
              </w:rPr>
            </w:pPr>
            <w:r w:rsidRPr="009C778C">
              <w:rPr>
                <w:rFonts w:cstheme="minorHAnsi"/>
                <w:sz w:val="24"/>
                <w:szCs w:val="24"/>
              </w:rPr>
              <w:t>− 0.527***</w:t>
            </w:r>
          </w:p>
        </w:tc>
        <w:tc>
          <w:tcPr>
            <w:tcW w:w="1263" w:type="dxa"/>
            <w:hideMark/>
          </w:tcPr>
          <w:p w14:paraId="321FF9BC" w14:textId="77777777" w:rsidR="009C778C" w:rsidRPr="009C778C" w:rsidRDefault="009C778C" w:rsidP="009C778C">
            <w:pPr>
              <w:rPr>
                <w:rFonts w:cstheme="minorHAnsi"/>
                <w:sz w:val="24"/>
                <w:szCs w:val="24"/>
              </w:rPr>
            </w:pPr>
            <w:r w:rsidRPr="009C778C">
              <w:rPr>
                <w:rFonts w:cstheme="minorHAnsi"/>
                <w:sz w:val="24"/>
                <w:szCs w:val="24"/>
              </w:rPr>
              <w:t>− 0.527***</w:t>
            </w:r>
          </w:p>
        </w:tc>
        <w:tc>
          <w:tcPr>
            <w:tcW w:w="900" w:type="dxa"/>
            <w:hideMark/>
          </w:tcPr>
          <w:p w14:paraId="0FBC6E07" w14:textId="77777777" w:rsidR="009C778C" w:rsidRPr="009C778C" w:rsidRDefault="009C778C" w:rsidP="009C778C">
            <w:pPr>
              <w:rPr>
                <w:rFonts w:cstheme="minorHAnsi"/>
                <w:sz w:val="24"/>
                <w:szCs w:val="24"/>
              </w:rPr>
            </w:pPr>
          </w:p>
        </w:tc>
        <w:tc>
          <w:tcPr>
            <w:tcW w:w="1279" w:type="dxa"/>
            <w:hideMark/>
          </w:tcPr>
          <w:p w14:paraId="4AD5B605" w14:textId="77777777" w:rsidR="009C778C" w:rsidRPr="009C778C" w:rsidRDefault="009C778C" w:rsidP="009C778C">
            <w:pPr>
              <w:rPr>
                <w:rFonts w:cstheme="minorHAnsi"/>
                <w:sz w:val="24"/>
                <w:szCs w:val="24"/>
              </w:rPr>
            </w:pPr>
            <w:r w:rsidRPr="009C778C">
              <w:rPr>
                <w:rFonts w:cstheme="minorHAnsi"/>
                <w:sz w:val="24"/>
                <w:szCs w:val="24"/>
              </w:rPr>
              <w:t>− 0.812***</w:t>
            </w:r>
          </w:p>
        </w:tc>
        <w:tc>
          <w:tcPr>
            <w:tcW w:w="1292" w:type="dxa"/>
            <w:hideMark/>
          </w:tcPr>
          <w:p w14:paraId="03B4AF7E" w14:textId="77777777" w:rsidR="009C778C" w:rsidRPr="009C778C" w:rsidRDefault="009C778C" w:rsidP="009C778C">
            <w:pPr>
              <w:rPr>
                <w:rFonts w:cstheme="minorHAnsi"/>
                <w:sz w:val="24"/>
                <w:szCs w:val="24"/>
              </w:rPr>
            </w:pPr>
            <w:r w:rsidRPr="009C778C">
              <w:rPr>
                <w:rFonts w:cstheme="minorHAnsi"/>
                <w:sz w:val="24"/>
                <w:szCs w:val="24"/>
              </w:rPr>
              <w:t>− 0.813***</w:t>
            </w:r>
          </w:p>
        </w:tc>
      </w:tr>
      <w:tr w:rsidR="002E530A" w:rsidRPr="009C778C" w14:paraId="1D4B60A1" w14:textId="77777777" w:rsidTr="009633A7">
        <w:tc>
          <w:tcPr>
            <w:tcW w:w="3685" w:type="dxa"/>
            <w:hideMark/>
          </w:tcPr>
          <w:p w14:paraId="04ACB1B4" w14:textId="77777777" w:rsidR="009C778C" w:rsidRPr="009C778C" w:rsidRDefault="009C778C" w:rsidP="009C778C">
            <w:pPr>
              <w:rPr>
                <w:rFonts w:cstheme="minorHAnsi"/>
                <w:b/>
                <w:bCs/>
                <w:sz w:val="24"/>
                <w:szCs w:val="24"/>
              </w:rPr>
            </w:pPr>
          </w:p>
        </w:tc>
        <w:tc>
          <w:tcPr>
            <w:tcW w:w="809" w:type="dxa"/>
            <w:hideMark/>
          </w:tcPr>
          <w:p w14:paraId="7029EBC7" w14:textId="77777777" w:rsidR="009C778C" w:rsidRPr="009C778C" w:rsidRDefault="009C778C" w:rsidP="009C778C">
            <w:pPr>
              <w:rPr>
                <w:rFonts w:cstheme="minorHAnsi"/>
                <w:sz w:val="24"/>
                <w:szCs w:val="24"/>
              </w:rPr>
            </w:pPr>
          </w:p>
        </w:tc>
        <w:tc>
          <w:tcPr>
            <w:tcW w:w="1438" w:type="dxa"/>
            <w:hideMark/>
          </w:tcPr>
          <w:p w14:paraId="134723A3" w14:textId="77777777" w:rsidR="009C778C" w:rsidRPr="009C778C" w:rsidRDefault="009C778C" w:rsidP="009C778C">
            <w:pPr>
              <w:rPr>
                <w:rFonts w:cstheme="minorHAnsi"/>
                <w:sz w:val="24"/>
                <w:szCs w:val="24"/>
              </w:rPr>
            </w:pPr>
            <w:r w:rsidRPr="009C778C">
              <w:rPr>
                <w:rFonts w:cstheme="minorHAnsi"/>
                <w:sz w:val="24"/>
                <w:szCs w:val="24"/>
              </w:rPr>
              <w:t>(− 12.90)</w:t>
            </w:r>
          </w:p>
        </w:tc>
        <w:tc>
          <w:tcPr>
            <w:tcW w:w="1263" w:type="dxa"/>
            <w:hideMark/>
          </w:tcPr>
          <w:p w14:paraId="2B2EDEE3" w14:textId="77777777" w:rsidR="009C778C" w:rsidRPr="009C778C" w:rsidRDefault="009C778C" w:rsidP="009C778C">
            <w:pPr>
              <w:rPr>
                <w:rFonts w:cstheme="minorHAnsi"/>
                <w:sz w:val="24"/>
                <w:szCs w:val="24"/>
              </w:rPr>
            </w:pPr>
            <w:r w:rsidRPr="009C778C">
              <w:rPr>
                <w:rFonts w:cstheme="minorHAnsi"/>
                <w:sz w:val="24"/>
                <w:szCs w:val="24"/>
              </w:rPr>
              <w:t>(− 12.90)</w:t>
            </w:r>
          </w:p>
        </w:tc>
        <w:tc>
          <w:tcPr>
            <w:tcW w:w="900" w:type="dxa"/>
            <w:hideMark/>
          </w:tcPr>
          <w:p w14:paraId="4029668F" w14:textId="77777777" w:rsidR="009C778C" w:rsidRPr="009C778C" w:rsidRDefault="009C778C" w:rsidP="009C778C">
            <w:pPr>
              <w:rPr>
                <w:rFonts w:cstheme="minorHAnsi"/>
                <w:sz w:val="24"/>
                <w:szCs w:val="24"/>
              </w:rPr>
            </w:pPr>
          </w:p>
        </w:tc>
        <w:tc>
          <w:tcPr>
            <w:tcW w:w="1279" w:type="dxa"/>
            <w:hideMark/>
          </w:tcPr>
          <w:p w14:paraId="0F50495A" w14:textId="77777777" w:rsidR="009C778C" w:rsidRPr="009C778C" w:rsidRDefault="009C778C" w:rsidP="009C778C">
            <w:pPr>
              <w:rPr>
                <w:rFonts w:cstheme="minorHAnsi"/>
                <w:sz w:val="24"/>
                <w:szCs w:val="24"/>
              </w:rPr>
            </w:pPr>
            <w:r w:rsidRPr="009C778C">
              <w:rPr>
                <w:rFonts w:cstheme="minorHAnsi"/>
                <w:sz w:val="24"/>
                <w:szCs w:val="24"/>
              </w:rPr>
              <w:t>(− 15.29)</w:t>
            </w:r>
          </w:p>
        </w:tc>
        <w:tc>
          <w:tcPr>
            <w:tcW w:w="1292" w:type="dxa"/>
            <w:hideMark/>
          </w:tcPr>
          <w:p w14:paraId="161ACD87" w14:textId="77777777" w:rsidR="009C778C" w:rsidRPr="009C778C" w:rsidRDefault="009C778C" w:rsidP="009C778C">
            <w:pPr>
              <w:rPr>
                <w:rFonts w:cstheme="minorHAnsi"/>
                <w:sz w:val="24"/>
                <w:szCs w:val="24"/>
              </w:rPr>
            </w:pPr>
            <w:r w:rsidRPr="009C778C">
              <w:rPr>
                <w:rFonts w:cstheme="minorHAnsi"/>
                <w:sz w:val="24"/>
                <w:szCs w:val="24"/>
              </w:rPr>
              <w:t>(− 15.26)</w:t>
            </w:r>
          </w:p>
        </w:tc>
      </w:tr>
      <w:tr w:rsidR="002E530A" w:rsidRPr="009C778C" w14:paraId="190FC494" w14:textId="77777777" w:rsidTr="009633A7">
        <w:tc>
          <w:tcPr>
            <w:tcW w:w="3685" w:type="dxa"/>
            <w:hideMark/>
          </w:tcPr>
          <w:p w14:paraId="6FC6B6E2" w14:textId="77777777" w:rsidR="009C778C" w:rsidRPr="009C778C" w:rsidRDefault="009C778C" w:rsidP="009C778C">
            <w:pPr>
              <w:rPr>
                <w:rFonts w:cstheme="minorHAnsi"/>
                <w:b/>
                <w:bCs/>
                <w:sz w:val="24"/>
                <w:szCs w:val="24"/>
              </w:rPr>
            </w:pPr>
            <w:r w:rsidRPr="009C778C">
              <w:rPr>
                <w:rFonts w:cstheme="minorHAnsi"/>
                <w:b/>
                <w:bCs/>
                <w:sz w:val="24"/>
                <w:szCs w:val="24"/>
              </w:rPr>
              <w:t>MTB</w:t>
            </w:r>
            <w:r w:rsidRPr="009C778C">
              <w:rPr>
                <w:rFonts w:cstheme="minorHAnsi"/>
                <w:b/>
                <w:bCs/>
                <w:sz w:val="24"/>
                <w:szCs w:val="24"/>
                <w:vertAlign w:val="subscript"/>
              </w:rPr>
              <w:t>t − 1</w:t>
            </w:r>
          </w:p>
        </w:tc>
        <w:tc>
          <w:tcPr>
            <w:tcW w:w="809" w:type="dxa"/>
            <w:hideMark/>
          </w:tcPr>
          <w:p w14:paraId="3562F75C" w14:textId="77777777" w:rsidR="009C778C" w:rsidRPr="009C778C" w:rsidRDefault="009C778C" w:rsidP="009C778C">
            <w:pPr>
              <w:rPr>
                <w:rFonts w:cstheme="minorHAnsi"/>
                <w:b/>
                <w:bCs/>
                <w:sz w:val="24"/>
                <w:szCs w:val="24"/>
              </w:rPr>
            </w:pPr>
          </w:p>
        </w:tc>
        <w:tc>
          <w:tcPr>
            <w:tcW w:w="1438" w:type="dxa"/>
            <w:hideMark/>
          </w:tcPr>
          <w:p w14:paraId="30B8569F" w14:textId="77777777" w:rsidR="009C778C" w:rsidRPr="009C778C" w:rsidRDefault="009C778C" w:rsidP="009C778C">
            <w:pPr>
              <w:rPr>
                <w:rFonts w:cstheme="minorHAnsi"/>
                <w:sz w:val="24"/>
                <w:szCs w:val="24"/>
              </w:rPr>
            </w:pPr>
            <w:r w:rsidRPr="009C778C">
              <w:rPr>
                <w:rFonts w:cstheme="minorHAnsi"/>
                <w:sz w:val="24"/>
                <w:szCs w:val="24"/>
              </w:rPr>
              <w:t>− 0.023**</w:t>
            </w:r>
          </w:p>
        </w:tc>
        <w:tc>
          <w:tcPr>
            <w:tcW w:w="1263" w:type="dxa"/>
            <w:hideMark/>
          </w:tcPr>
          <w:p w14:paraId="2ADFCF34" w14:textId="77777777" w:rsidR="009C778C" w:rsidRPr="009C778C" w:rsidRDefault="009C778C" w:rsidP="009C778C">
            <w:pPr>
              <w:rPr>
                <w:rFonts w:cstheme="minorHAnsi"/>
                <w:sz w:val="24"/>
                <w:szCs w:val="24"/>
              </w:rPr>
            </w:pPr>
            <w:r w:rsidRPr="009C778C">
              <w:rPr>
                <w:rFonts w:cstheme="minorHAnsi"/>
                <w:sz w:val="24"/>
                <w:szCs w:val="24"/>
              </w:rPr>
              <w:t>− 0.023**</w:t>
            </w:r>
          </w:p>
        </w:tc>
        <w:tc>
          <w:tcPr>
            <w:tcW w:w="900" w:type="dxa"/>
            <w:hideMark/>
          </w:tcPr>
          <w:p w14:paraId="671CD5A1" w14:textId="77777777" w:rsidR="009C778C" w:rsidRPr="009C778C" w:rsidRDefault="009C778C" w:rsidP="009C778C">
            <w:pPr>
              <w:rPr>
                <w:rFonts w:cstheme="minorHAnsi"/>
                <w:sz w:val="24"/>
                <w:szCs w:val="24"/>
              </w:rPr>
            </w:pPr>
          </w:p>
        </w:tc>
        <w:tc>
          <w:tcPr>
            <w:tcW w:w="1279" w:type="dxa"/>
            <w:hideMark/>
          </w:tcPr>
          <w:p w14:paraId="583C763A" w14:textId="77777777" w:rsidR="009C778C" w:rsidRPr="009C778C" w:rsidRDefault="009C778C" w:rsidP="009C778C">
            <w:pPr>
              <w:rPr>
                <w:rFonts w:cstheme="minorHAnsi"/>
                <w:sz w:val="24"/>
                <w:szCs w:val="24"/>
              </w:rPr>
            </w:pPr>
            <w:r w:rsidRPr="009C778C">
              <w:rPr>
                <w:rFonts w:cstheme="minorHAnsi"/>
                <w:sz w:val="24"/>
                <w:szCs w:val="24"/>
              </w:rPr>
              <w:t>0.052**</w:t>
            </w:r>
          </w:p>
        </w:tc>
        <w:tc>
          <w:tcPr>
            <w:tcW w:w="1292" w:type="dxa"/>
            <w:hideMark/>
          </w:tcPr>
          <w:p w14:paraId="229068C3" w14:textId="77777777" w:rsidR="009C778C" w:rsidRPr="009C778C" w:rsidRDefault="009C778C" w:rsidP="009C778C">
            <w:pPr>
              <w:rPr>
                <w:rFonts w:cstheme="minorHAnsi"/>
                <w:sz w:val="24"/>
                <w:szCs w:val="24"/>
              </w:rPr>
            </w:pPr>
            <w:r w:rsidRPr="009C778C">
              <w:rPr>
                <w:rFonts w:cstheme="minorHAnsi"/>
                <w:sz w:val="24"/>
                <w:szCs w:val="24"/>
              </w:rPr>
              <w:t>0.052**</w:t>
            </w:r>
          </w:p>
        </w:tc>
      </w:tr>
      <w:tr w:rsidR="002E530A" w:rsidRPr="009C778C" w14:paraId="16F74D93" w14:textId="77777777" w:rsidTr="009633A7">
        <w:tc>
          <w:tcPr>
            <w:tcW w:w="3685" w:type="dxa"/>
            <w:hideMark/>
          </w:tcPr>
          <w:p w14:paraId="0CF51D0A" w14:textId="77777777" w:rsidR="009C778C" w:rsidRPr="009C778C" w:rsidRDefault="009C778C" w:rsidP="009C778C">
            <w:pPr>
              <w:rPr>
                <w:rFonts w:cstheme="minorHAnsi"/>
                <w:b/>
                <w:bCs/>
                <w:sz w:val="24"/>
                <w:szCs w:val="24"/>
              </w:rPr>
            </w:pPr>
          </w:p>
        </w:tc>
        <w:tc>
          <w:tcPr>
            <w:tcW w:w="809" w:type="dxa"/>
            <w:hideMark/>
          </w:tcPr>
          <w:p w14:paraId="3267AFBF" w14:textId="77777777" w:rsidR="009C778C" w:rsidRPr="009C778C" w:rsidRDefault="009C778C" w:rsidP="009C778C">
            <w:pPr>
              <w:rPr>
                <w:rFonts w:cstheme="minorHAnsi"/>
                <w:sz w:val="24"/>
                <w:szCs w:val="24"/>
              </w:rPr>
            </w:pPr>
          </w:p>
        </w:tc>
        <w:tc>
          <w:tcPr>
            <w:tcW w:w="1438" w:type="dxa"/>
            <w:hideMark/>
          </w:tcPr>
          <w:p w14:paraId="4ECE052F" w14:textId="77777777" w:rsidR="009C778C" w:rsidRPr="009C778C" w:rsidRDefault="009C778C" w:rsidP="009C778C">
            <w:pPr>
              <w:rPr>
                <w:rFonts w:cstheme="minorHAnsi"/>
                <w:sz w:val="24"/>
                <w:szCs w:val="24"/>
              </w:rPr>
            </w:pPr>
            <w:r w:rsidRPr="009C778C">
              <w:rPr>
                <w:rFonts w:cstheme="minorHAnsi"/>
                <w:sz w:val="24"/>
                <w:szCs w:val="24"/>
              </w:rPr>
              <w:t>(− 2.22)</w:t>
            </w:r>
          </w:p>
        </w:tc>
        <w:tc>
          <w:tcPr>
            <w:tcW w:w="1263" w:type="dxa"/>
            <w:hideMark/>
          </w:tcPr>
          <w:p w14:paraId="50A9AAE6" w14:textId="77777777" w:rsidR="009C778C" w:rsidRPr="009C778C" w:rsidRDefault="009C778C" w:rsidP="009C778C">
            <w:pPr>
              <w:rPr>
                <w:rFonts w:cstheme="minorHAnsi"/>
                <w:sz w:val="24"/>
                <w:szCs w:val="24"/>
              </w:rPr>
            </w:pPr>
            <w:r w:rsidRPr="009C778C">
              <w:rPr>
                <w:rFonts w:cstheme="minorHAnsi"/>
                <w:sz w:val="24"/>
                <w:szCs w:val="24"/>
              </w:rPr>
              <w:t>(− 2.20)</w:t>
            </w:r>
          </w:p>
        </w:tc>
        <w:tc>
          <w:tcPr>
            <w:tcW w:w="900" w:type="dxa"/>
            <w:hideMark/>
          </w:tcPr>
          <w:p w14:paraId="180E16B1" w14:textId="77777777" w:rsidR="009C778C" w:rsidRPr="009C778C" w:rsidRDefault="009C778C" w:rsidP="009C778C">
            <w:pPr>
              <w:rPr>
                <w:rFonts w:cstheme="minorHAnsi"/>
                <w:sz w:val="24"/>
                <w:szCs w:val="24"/>
              </w:rPr>
            </w:pPr>
          </w:p>
        </w:tc>
        <w:tc>
          <w:tcPr>
            <w:tcW w:w="1279" w:type="dxa"/>
            <w:hideMark/>
          </w:tcPr>
          <w:p w14:paraId="6F8955AC" w14:textId="77777777" w:rsidR="009C778C" w:rsidRPr="009C778C" w:rsidRDefault="009C778C" w:rsidP="009C778C">
            <w:pPr>
              <w:rPr>
                <w:rFonts w:cstheme="minorHAnsi"/>
                <w:sz w:val="24"/>
                <w:szCs w:val="24"/>
              </w:rPr>
            </w:pPr>
            <w:r w:rsidRPr="009C778C">
              <w:rPr>
                <w:rFonts w:cstheme="minorHAnsi"/>
                <w:sz w:val="24"/>
                <w:szCs w:val="24"/>
              </w:rPr>
              <w:t>(2.18)</w:t>
            </w:r>
          </w:p>
        </w:tc>
        <w:tc>
          <w:tcPr>
            <w:tcW w:w="1292" w:type="dxa"/>
            <w:hideMark/>
          </w:tcPr>
          <w:p w14:paraId="02A88B5E" w14:textId="77777777" w:rsidR="009C778C" w:rsidRPr="009C778C" w:rsidRDefault="009C778C" w:rsidP="009C778C">
            <w:pPr>
              <w:rPr>
                <w:rFonts w:cstheme="minorHAnsi"/>
                <w:sz w:val="24"/>
                <w:szCs w:val="24"/>
              </w:rPr>
            </w:pPr>
            <w:r w:rsidRPr="009C778C">
              <w:rPr>
                <w:rFonts w:cstheme="minorHAnsi"/>
                <w:sz w:val="24"/>
                <w:szCs w:val="24"/>
              </w:rPr>
              <w:t>(2.19)</w:t>
            </w:r>
          </w:p>
        </w:tc>
      </w:tr>
      <w:tr w:rsidR="002E530A" w:rsidRPr="009C778C" w14:paraId="064C1F21" w14:textId="77777777" w:rsidTr="009633A7">
        <w:tc>
          <w:tcPr>
            <w:tcW w:w="3685" w:type="dxa"/>
            <w:hideMark/>
          </w:tcPr>
          <w:p w14:paraId="2867AB44" w14:textId="77777777" w:rsidR="009C778C" w:rsidRPr="009C778C" w:rsidRDefault="009C778C" w:rsidP="009C778C">
            <w:pPr>
              <w:rPr>
                <w:rFonts w:cstheme="minorHAnsi"/>
                <w:b/>
                <w:bCs/>
                <w:sz w:val="24"/>
                <w:szCs w:val="24"/>
              </w:rPr>
            </w:pPr>
            <w:r w:rsidRPr="009C778C">
              <w:rPr>
                <w:rFonts w:cstheme="minorHAnsi"/>
                <w:b/>
                <w:bCs/>
                <w:sz w:val="24"/>
                <w:szCs w:val="24"/>
              </w:rPr>
              <w:t>SALEGROWTH</w:t>
            </w:r>
            <w:r w:rsidRPr="009C778C">
              <w:rPr>
                <w:rFonts w:cstheme="minorHAnsi"/>
                <w:b/>
                <w:bCs/>
                <w:sz w:val="24"/>
                <w:szCs w:val="24"/>
                <w:vertAlign w:val="subscript"/>
              </w:rPr>
              <w:t>t − 1</w:t>
            </w:r>
          </w:p>
        </w:tc>
        <w:tc>
          <w:tcPr>
            <w:tcW w:w="809" w:type="dxa"/>
            <w:hideMark/>
          </w:tcPr>
          <w:p w14:paraId="2C22164A" w14:textId="77777777" w:rsidR="009C778C" w:rsidRPr="009C778C" w:rsidRDefault="009C778C" w:rsidP="009C778C">
            <w:pPr>
              <w:rPr>
                <w:rFonts w:cstheme="minorHAnsi"/>
                <w:b/>
                <w:bCs/>
                <w:sz w:val="24"/>
                <w:szCs w:val="24"/>
              </w:rPr>
            </w:pPr>
          </w:p>
        </w:tc>
        <w:tc>
          <w:tcPr>
            <w:tcW w:w="1438" w:type="dxa"/>
            <w:hideMark/>
          </w:tcPr>
          <w:p w14:paraId="32BDCC68" w14:textId="77777777" w:rsidR="009C778C" w:rsidRPr="009C778C" w:rsidRDefault="009C778C" w:rsidP="009C778C">
            <w:pPr>
              <w:rPr>
                <w:rFonts w:cstheme="minorHAnsi"/>
                <w:sz w:val="24"/>
                <w:szCs w:val="24"/>
              </w:rPr>
            </w:pPr>
            <w:r w:rsidRPr="009C778C">
              <w:rPr>
                <w:rFonts w:cstheme="minorHAnsi"/>
                <w:sz w:val="24"/>
                <w:szCs w:val="24"/>
              </w:rPr>
              <w:t>0.037**</w:t>
            </w:r>
          </w:p>
        </w:tc>
        <w:tc>
          <w:tcPr>
            <w:tcW w:w="1263" w:type="dxa"/>
            <w:hideMark/>
          </w:tcPr>
          <w:p w14:paraId="36577C1C" w14:textId="77777777" w:rsidR="009C778C" w:rsidRPr="009C778C" w:rsidRDefault="009C778C" w:rsidP="009C778C">
            <w:pPr>
              <w:rPr>
                <w:rFonts w:cstheme="minorHAnsi"/>
                <w:sz w:val="24"/>
                <w:szCs w:val="24"/>
              </w:rPr>
            </w:pPr>
            <w:r w:rsidRPr="009C778C">
              <w:rPr>
                <w:rFonts w:cstheme="minorHAnsi"/>
                <w:sz w:val="24"/>
                <w:szCs w:val="24"/>
              </w:rPr>
              <w:t>0.037**</w:t>
            </w:r>
          </w:p>
        </w:tc>
        <w:tc>
          <w:tcPr>
            <w:tcW w:w="900" w:type="dxa"/>
            <w:hideMark/>
          </w:tcPr>
          <w:p w14:paraId="55411F34" w14:textId="77777777" w:rsidR="009C778C" w:rsidRPr="009C778C" w:rsidRDefault="009C778C" w:rsidP="009C778C">
            <w:pPr>
              <w:rPr>
                <w:rFonts w:cstheme="minorHAnsi"/>
                <w:sz w:val="24"/>
                <w:szCs w:val="24"/>
              </w:rPr>
            </w:pPr>
          </w:p>
        </w:tc>
        <w:tc>
          <w:tcPr>
            <w:tcW w:w="1279" w:type="dxa"/>
            <w:hideMark/>
          </w:tcPr>
          <w:p w14:paraId="3E56F059" w14:textId="77777777" w:rsidR="009C778C" w:rsidRPr="009C778C" w:rsidRDefault="009C778C" w:rsidP="009C778C">
            <w:pPr>
              <w:rPr>
                <w:rFonts w:cstheme="minorHAnsi"/>
                <w:sz w:val="24"/>
                <w:szCs w:val="24"/>
              </w:rPr>
            </w:pPr>
            <w:r w:rsidRPr="009C778C">
              <w:rPr>
                <w:rFonts w:cstheme="minorHAnsi"/>
                <w:sz w:val="24"/>
                <w:szCs w:val="24"/>
              </w:rPr>
              <w:t>0.020*</w:t>
            </w:r>
          </w:p>
        </w:tc>
        <w:tc>
          <w:tcPr>
            <w:tcW w:w="1292" w:type="dxa"/>
            <w:hideMark/>
          </w:tcPr>
          <w:p w14:paraId="284F53BC" w14:textId="77777777" w:rsidR="009C778C" w:rsidRPr="009C778C" w:rsidRDefault="009C778C" w:rsidP="009C778C">
            <w:pPr>
              <w:rPr>
                <w:rFonts w:cstheme="minorHAnsi"/>
                <w:sz w:val="24"/>
                <w:szCs w:val="24"/>
              </w:rPr>
            </w:pPr>
            <w:r w:rsidRPr="009C778C">
              <w:rPr>
                <w:rFonts w:cstheme="minorHAnsi"/>
                <w:sz w:val="24"/>
                <w:szCs w:val="24"/>
              </w:rPr>
              <w:t>0.020*</w:t>
            </w:r>
          </w:p>
        </w:tc>
      </w:tr>
      <w:tr w:rsidR="002E530A" w:rsidRPr="009C778C" w14:paraId="4C57D33E" w14:textId="77777777" w:rsidTr="009633A7">
        <w:tc>
          <w:tcPr>
            <w:tcW w:w="3685" w:type="dxa"/>
            <w:hideMark/>
          </w:tcPr>
          <w:p w14:paraId="3152E192" w14:textId="77777777" w:rsidR="009C778C" w:rsidRPr="009C778C" w:rsidRDefault="009C778C" w:rsidP="009C778C">
            <w:pPr>
              <w:rPr>
                <w:rFonts w:cstheme="minorHAnsi"/>
                <w:b/>
                <w:bCs/>
                <w:sz w:val="24"/>
                <w:szCs w:val="24"/>
              </w:rPr>
            </w:pPr>
          </w:p>
        </w:tc>
        <w:tc>
          <w:tcPr>
            <w:tcW w:w="809" w:type="dxa"/>
            <w:hideMark/>
          </w:tcPr>
          <w:p w14:paraId="53A47ACD" w14:textId="77777777" w:rsidR="009C778C" w:rsidRPr="009C778C" w:rsidRDefault="009C778C" w:rsidP="009C778C">
            <w:pPr>
              <w:rPr>
                <w:rFonts w:cstheme="minorHAnsi"/>
                <w:sz w:val="24"/>
                <w:szCs w:val="24"/>
              </w:rPr>
            </w:pPr>
          </w:p>
        </w:tc>
        <w:tc>
          <w:tcPr>
            <w:tcW w:w="1438" w:type="dxa"/>
            <w:hideMark/>
          </w:tcPr>
          <w:p w14:paraId="6807DF5D" w14:textId="77777777" w:rsidR="009C778C" w:rsidRPr="009C778C" w:rsidRDefault="009C778C" w:rsidP="009C778C">
            <w:pPr>
              <w:rPr>
                <w:rFonts w:cstheme="minorHAnsi"/>
                <w:sz w:val="24"/>
                <w:szCs w:val="24"/>
              </w:rPr>
            </w:pPr>
            <w:r w:rsidRPr="009C778C">
              <w:rPr>
                <w:rFonts w:cstheme="minorHAnsi"/>
                <w:sz w:val="24"/>
                <w:szCs w:val="24"/>
              </w:rPr>
              <w:t>(2.44)</w:t>
            </w:r>
          </w:p>
        </w:tc>
        <w:tc>
          <w:tcPr>
            <w:tcW w:w="1263" w:type="dxa"/>
            <w:hideMark/>
          </w:tcPr>
          <w:p w14:paraId="1110EB46" w14:textId="77777777" w:rsidR="009C778C" w:rsidRPr="009C778C" w:rsidRDefault="009C778C" w:rsidP="009C778C">
            <w:pPr>
              <w:rPr>
                <w:rFonts w:cstheme="minorHAnsi"/>
                <w:sz w:val="24"/>
                <w:szCs w:val="24"/>
              </w:rPr>
            </w:pPr>
            <w:r w:rsidRPr="009C778C">
              <w:rPr>
                <w:rFonts w:cstheme="minorHAnsi"/>
                <w:sz w:val="24"/>
                <w:szCs w:val="24"/>
              </w:rPr>
              <w:t>(2.43)</w:t>
            </w:r>
          </w:p>
        </w:tc>
        <w:tc>
          <w:tcPr>
            <w:tcW w:w="900" w:type="dxa"/>
            <w:hideMark/>
          </w:tcPr>
          <w:p w14:paraId="511E92E7" w14:textId="77777777" w:rsidR="009C778C" w:rsidRPr="009C778C" w:rsidRDefault="009C778C" w:rsidP="009C778C">
            <w:pPr>
              <w:rPr>
                <w:rFonts w:cstheme="minorHAnsi"/>
                <w:sz w:val="24"/>
                <w:szCs w:val="24"/>
              </w:rPr>
            </w:pPr>
          </w:p>
        </w:tc>
        <w:tc>
          <w:tcPr>
            <w:tcW w:w="1279" w:type="dxa"/>
            <w:hideMark/>
          </w:tcPr>
          <w:p w14:paraId="1CF683C8" w14:textId="77777777" w:rsidR="009C778C" w:rsidRPr="009C778C" w:rsidRDefault="009C778C" w:rsidP="009C778C">
            <w:pPr>
              <w:rPr>
                <w:rFonts w:cstheme="minorHAnsi"/>
                <w:sz w:val="24"/>
                <w:szCs w:val="24"/>
              </w:rPr>
            </w:pPr>
            <w:r w:rsidRPr="009C778C">
              <w:rPr>
                <w:rFonts w:cstheme="minorHAnsi"/>
                <w:sz w:val="24"/>
                <w:szCs w:val="24"/>
              </w:rPr>
              <w:t>(1.89)</w:t>
            </w:r>
          </w:p>
        </w:tc>
        <w:tc>
          <w:tcPr>
            <w:tcW w:w="1292" w:type="dxa"/>
            <w:hideMark/>
          </w:tcPr>
          <w:p w14:paraId="382A5DA8" w14:textId="77777777" w:rsidR="009C778C" w:rsidRPr="009C778C" w:rsidRDefault="009C778C" w:rsidP="009C778C">
            <w:pPr>
              <w:rPr>
                <w:rFonts w:cstheme="minorHAnsi"/>
                <w:sz w:val="24"/>
                <w:szCs w:val="24"/>
              </w:rPr>
            </w:pPr>
            <w:r w:rsidRPr="009C778C">
              <w:rPr>
                <w:rFonts w:cstheme="minorHAnsi"/>
                <w:sz w:val="24"/>
                <w:szCs w:val="24"/>
              </w:rPr>
              <w:t>(1.91)</w:t>
            </w:r>
          </w:p>
        </w:tc>
      </w:tr>
      <w:tr w:rsidR="002E530A" w:rsidRPr="009C778C" w14:paraId="1D24E3F2" w14:textId="77777777" w:rsidTr="009633A7">
        <w:tc>
          <w:tcPr>
            <w:tcW w:w="3685" w:type="dxa"/>
            <w:hideMark/>
          </w:tcPr>
          <w:p w14:paraId="604FC9DD" w14:textId="77777777" w:rsidR="009C778C" w:rsidRPr="009C778C" w:rsidRDefault="009C778C" w:rsidP="009C778C">
            <w:pPr>
              <w:rPr>
                <w:rFonts w:cstheme="minorHAnsi"/>
                <w:b/>
                <w:bCs/>
                <w:sz w:val="24"/>
                <w:szCs w:val="24"/>
              </w:rPr>
            </w:pPr>
            <w:r w:rsidRPr="009C778C">
              <w:rPr>
                <w:rFonts w:cstheme="minorHAnsi"/>
                <w:b/>
                <w:bCs/>
                <w:sz w:val="24"/>
                <w:szCs w:val="24"/>
              </w:rPr>
              <w:t>LEV</w:t>
            </w:r>
            <w:r w:rsidRPr="009C778C">
              <w:rPr>
                <w:rFonts w:cstheme="minorHAnsi"/>
                <w:b/>
                <w:bCs/>
                <w:sz w:val="24"/>
                <w:szCs w:val="24"/>
                <w:vertAlign w:val="subscript"/>
              </w:rPr>
              <w:t>t − 1</w:t>
            </w:r>
          </w:p>
        </w:tc>
        <w:tc>
          <w:tcPr>
            <w:tcW w:w="809" w:type="dxa"/>
            <w:hideMark/>
          </w:tcPr>
          <w:p w14:paraId="7000030A" w14:textId="77777777" w:rsidR="009C778C" w:rsidRPr="009C778C" w:rsidRDefault="009C778C" w:rsidP="009C778C">
            <w:pPr>
              <w:rPr>
                <w:rFonts w:cstheme="minorHAnsi"/>
                <w:b/>
                <w:bCs/>
                <w:sz w:val="24"/>
                <w:szCs w:val="24"/>
              </w:rPr>
            </w:pPr>
          </w:p>
        </w:tc>
        <w:tc>
          <w:tcPr>
            <w:tcW w:w="1438" w:type="dxa"/>
            <w:hideMark/>
          </w:tcPr>
          <w:p w14:paraId="4B819C14" w14:textId="77777777" w:rsidR="009C778C" w:rsidRPr="009C778C" w:rsidRDefault="009C778C" w:rsidP="009C778C">
            <w:pPr>
              <w:rPr>
                <w:rFonts w:cstheme="minorHAnsi"/>
                <w:sz w:val="24"/>
                <w:szCs w:val="24"/>
              </w:rPr>
            </w:pPr>
            <w:r w:rsidRPr="009C778C">
              <w:rPr>
                <w:rFonts w:cstheme="minorHAnsi"/>
                <w:sz w:val="24"/>
                <w:szCs w:val="24"/>
              </w:rPr>
              <w:t>0.107***</w:t>
            </w:r>
          </w:p>
        </w:tc>
        <w:tc>
          <w:tcPr>
            <w:tcW w:w="1263" w:type="dxa"/>
            <w:hideMark/>
          </w:tcPr>
          <w:p w14:paraId="464D9870" w14:textId="77777777" w:rsidR="009C778C" w:rsidRPr="009C778C" w:rsidRDefault="009C778C" w:rsidP="009C778C">
            <w:pPr>
              <w:rPr>
                <w:rFonts w:cstheme="minorHAnsi"/>
                <w:sz w:val="24"/>
                <w:szCs w:val="24"/>
              </w:rPr>
            </w:pPr>
            <w:r w:rsidRPr="009C778C">
              <w:rPr>
                <w:rFonts w:cstheme="minorHAnsi"/>
                <w:sz w:val="24"/>
                <w:szCs w:val="24"/>
              </w:rPr>
              <w:t>0.107***</w:t>
            </w:r>
          </w:p>
        </w:tc>
        <w:tc>
          <w:tcPr>
            <w:tcW w:w="900" w:type="dxa"/>
            <w:hideMark/>
          </w:tcPr>
          <w:p w14:paraId="29DDCD1E" w14:textId="77777777" w:rsidR="009C778C" w:rsidRPr="009C778C" w:rsidRDefault="009C778C" w:rsidP="009C778C">
            <w:pPr>
              <w:rPr>
                <w:rFonts w:cstheme="minorHAnsi"/>
                <w:sz w:val="24"/>
                <w:szCs w:val="24"/>
              </w:rPr>
            </w:pPr>
          </w:p>
        </w:tc>
        <w:tc>
          <w:tcPr>
            <w:tcW w:w="1279" w:type="dxa"/>
            <w:hideMark/>
          </w:tcPr>
          <w:p w14:paraId="3D12B5DD" w14:textId="77777777" w:rsidR="009C778C" w:rsidRPr="009C778C" w:rsidRDefault="009C778C" w:rsidP="009C778C">
            <w:pPr>
              <w:rPr>
                <w:rFonts w:cstheme="minorHAnsi"/>
                <w:sz w:val="24"/>
                <w:szCs w:val="24"/>
              </w:rPr>
            </w:pPr>
            <w:r w:rsidRPr="009C778C">
              <w:rPr>
                <w:rFonts w:cstheme="minorHAnsi"/>
                <w:sz w:val="24"/>
                <w:szCs w:val="24"/>
              </w:rPr>
              <w:t>0.188***</w:t>
            </w:r>
          </w:p>
        </w:tc>
        <w:tc>
          <w:tcPr>
            <w:tcW w:w="1292" w:type="dxa"/>
            <w:hideMark/>
          </w:tcPr>
          <w:p w14:paraId="11D7C172" w14:textId="77777777" w:rsidR="009C778C" w:rsidRPr="009C778C" w:rsidRDefault="009C778C" w:rsidP="009C778C">
            <w:pPr>
              <w:rPr>
                <w:rFonts w:cstheme="minorHAnsi"/>
                <w:sz w:val="24"/>
                <w:szCs w:val="24"/>
              </w:rPr>
            </w:pPr>
            <w:r w:rsidRPr="009C778C">
              <w:rPr>
                <w:rFonts w:cstheme="minorHAnsi"/>
                <w:sz w:val="24"/>
                <w:szCs w:val="24"/>
              </w:rPr>
              <w:t>0.189***</w:t>
            </w:r>
          </w:p>
        </w:tc>
      </w:tr>
      <w:tr w:rsidR="002E530A" w:rsidRPr="009C778C" w14:paraId="730C6212" w14:textId="77777777" w:rsidTr="009633A7">
        <w:tc>
          <w:tcPr>
            <w:tcW w:w="3685" w:type="dxa"/>
            <w:hideMark/>
          </w:tcPr>
          <w:p w14:paraId="2B4970DD" w14:textId="77777777" w:rsidR="009C778C" w:rsidRPr="009C778C" w:rsidRDefault="009C778C" w:rsidP="009C778C">
            <w:pPr>
              <w:rPr>
                <w:rFonts w:cstheme="minorHAnsi"/>
                <w:b/>
                <w:bCs/>
                <w:sz w:val="24"/>
                <w:szCs w:val="24"/>
              </w:rPr>
            </w:pPr>
          </w:p>
        </w:tc>
        <w:tc>
          <w:tcPr>
            <w:tcW w:w="809" w:type="dxa"/>
            <w:hideMark/>
          </w:tcPr>
          <w:p w14:paraId="3B7B9FBC" w14:textId="77777777" w:rsidR="009C778C" w:rsidRPr="009C778C" w:rsidRDefault="009C778C" w:rsidP="009C778C">
            <w:pPr>
              <w:rPr>
                <w:rFonts w:cstheme="minorHAnsi"/>
                <w:sz w:val="24"/>
                <w:szCs w:val="24"/>
              </w:rPr>
            </w:pPr>
          </w:p>
        </w:tc>
        <w:tc>
          <w:tcPr>
            <w:tcW w:w="1438" w:type="dxa"/>
            <w:hideMark/>
          </w:tcPr>
          <w:p w14:paraId="10ABB3C9" w14:textId="77777777" w:rsidR="009C778C" w:rsidRPr="009C778C" w:rsidRDefault="009C778C" w:rsidP="009C778C">
            <w:pPr>
              <w:rPr>
                <w:rFonts w:cstheme="minorHAnsi"/>
                <w:sz w:val="24"/>
                <w:szCs w:val="24"/>
              </w:rPr>
            </w:pPr>
            <w:r w:rsidRPr="009C778C">
              <w:rPr>
                <w:rFonts w:cstheme="minorHAnsi"/>
                <w:sz w:val="24"/>
                <w:szCs w:val="24"/>
              </w:rPr>
              <w:t>(3.22)</w:t>
            </w:r>
          </w:p>
        </w:tc>
        <w:tc>
          <w:tcPr>
            <w:tcW w:w="1263" w:type="dxa"/>
            <w:hideMark/>
          </w:tcPr>
          <w:p w14:paraId="261CDA3F" w14:textId="77777777" w:rsidR="009C778C" w:rsidRPr="009C778C" w:rsidRDefault="009C778C" w:rsidP="009C778C">
            <w:pPr>
              <w:rPr>
                <w:rFonts w:cstheme="minorHAnsi"/>
                <w:sz w:val="24"/>
                <w:szCs w:val="24"/>
              </w:rPr>
            </w:pPr>
            <w:r w:rsidRPr="009C778C">
              <w:rPr>
                <w:rFonts w:cstheme="minorHAnsi"/>
                <w:sz w:val="24"/>
                <w:szCs w:val="24"/>
              </w:rPr>
              <w:t>(3.21)</w:t>
            </w:r>
          </w:p>
        </w:tc>
        <w:tc>
          <w:tcPr>
            <w:tcW w:w="900" w:type="dxa"/>
            <w:hideMark/>
          </w:tcPr>
          <w:p w14:paraId="3BED6D84" w14:textId="77777777" w:rsidR="009C778C" w:rsidRPr="009C778C" w:rsidRDefault="009C778C" w:rsidP="009C778C">
            <w:pPr>
              <w:rPr>
                <w:rFonts w:cstheme="minorHAnsi"/>
                <w:sz w:val="24"/>
                <w:szCs w:val="24"/>
              </w:rPr>
            </w:pPr>
          </w:p>
        </w:tc>
        <w:tc>
          <w:tcPr>
            <w:tcW w:w="1279" w:type="dxa"/>
            <w:hideMark/>
          </w:tcPr>
          <w:p w14:paraId="1E8F377F" w14:textId="77777777" w:rsidR="009C778C" w:rsidRPr="009C778C" w:rsidRDefault="009C778C" w:rsidP="009C778C">
            <w:pPr>
              <w:rPr>
                <w:rFonts w:cstheme="minorHAnsi"/>
                <w:sz w:val="24"/>
                <w:szCs w:val="24"/>
              </w:rPr>
            </w:pPr>
            <w:r w:rsidRPr="009C778C">
              <w:rPr>
                <w:rFonts w:cstheme="minorHAnsi"/>
                <w:sz w:val="24"/>
                <w:szCs w:val="24"/>
              </w:rPr>
              <w:t>(6.45)</w:t>
            </w:r>
          </w:p>
        </w:tc>
        <w:tc>
          <w:tcPr>
            <w:tcW w:w="1292" w:type="dxa"/>
            <w:hideMark/>
          </w:tcPr>
          <w:p w14:paraId="7750D51B" w14:textId="77777777" w:rsidR="009C778C" w:rsidRPr="009C778C" w:rsidRDefault="009C778C" w:rsidP="009C778C">
            <w:pPr>
              <w:rPr>
                <w:rFonts w:cstheme="minorHAnsi"/>
                <w:sz w:val="24"/>
                <w:szCs w:val="24"/>
              </w:rPr>
            </w:pPr>
            <w:r w:rsidRPr="009C778C">
              <w:rPr>
                <w:rFonts w:cstheme="minorHAnsi"/>
                <w:sz w:val="24"/>
                <w:szCs w:val="24"/>
              </w:rPr>
              <w:t>(6.46)</w:t>
            </w:r>
          </w:p>
        </w:tc>
      </w:tr>
      <w:tr w:rsidR="002E530A" w:rsidRPr="009C778C" w14:paraId="690A39E7" w14:textId="77777777" w:rsidTr="009633A7">
        <w:tc>
          <w:tcPr>
            <w:tcW w:w="3685" w:type="dxa"/>
            <w:hideMark/>
          </w:tcPr>
          <w:p w14:paraId="3D1B30B8" w14:textId="77777777" w:rsidR="009C778C" w:rsidRPr="009C778C" w:rsidRDefault="009C778C" w:rsidP="009C778C">
            <w:pPr>
              <w:rPr>
                <w:rFonts w:cstheme="minorHAnsi"/>
                <w:b/>
                <w:bCs/>
                <w:sz w:val="24"/>
                <w:szCs w:val="24"/>
              </w:rPr>
            </w:pPr>
            <w:r w:rsidRPr="009C778C">
              <w:rPr>
                <w:rFonts w:cstheme="minorHAnsi"/>
                <w:b/>
                <w:bCs/>
                <w:sz w:val="24"/>
                <w:szCs w:val="24"/>
              </w:rPr>
              <w:t>STDSALE</w:t>
            </w:r>
            <w:r w:rsidRPr="009C778C">
              <w:rPr>
                <w:rFonts w:cstheme="minorHAnsi"/>
                <w:b/>
                <w:bCs/>
                <w:sz w:val="24"/>
                <w:szCs w:val="24"/>
                <w:vertAlign w:val="subscript"/>
              </w:rPr>
              <w:t>t − 1</w:t>
            </w:r>
          </w:p>
        </w:tc>
        <w:tc>
          <w:tcPr>
            <w:tcW w:w="809" w:type="dxa"/>
            <w:hideMark/>
          </w:tcPr>
          <w:p w14:paraId="5728D723" w14:textId="77777777" w:rsidR="009C778C" w:rsidRPr="009C778C" w:rsidRDefault="009C778C" w:rsidP="009C778C">
            <w:pPr>
              <w:rPr>
                <w:rFonts w:cstheme="minorHAnsi"/>
                <w:b/>
                <w:bCs/>
                <w:sz w:val="24"/>
                <w:szCs w:val="24"/>
              </w:rPr>
            </w:pPr>
          </w:p>
        </w:tc>
        <w:tc>
          <w:tcPr>
            <w:tcW w:w="1438" w:type="dxa"/>
            <w:hideMark/>
          </w:tcPr>
          <w:p w14:paraId="54D240D1" w14:textId="77777777" w:rsidR="009C778C" w:rsidRPr="009C778C" w:rsidRDefault="009C778C" w:rsidP="009C778C">
            <w:pPr>
              <w:rPr>
                <w:rFonts w:cstheme="minorHAnsi"/>
                <w:sz w:val="24"/>
                <w:szCs w:val="24"/>
              </w:rPr>
            </w:pPr>
            <w:r w:rsidRPr="009C778C">
              <w:rPr>
                <w:rFonts w:cstheme="minorHAnsi"/>
                <w:sz w:val="24"/>
                <w:szCs w:val="24"/>
              </w:rPr>
              <w:t>0.397***</w:t>
            </w:r>
          </w:p>
        </w:tc>
        <w:tc>
          <w:tcPr>
            <w:tcW w:w="1263" w:type="dxa"/>
            <w:hideMark/>
          </w:tcPr>
          <w:p w14:paraId="210D695F" w14:textId="77777777" w:rsidR="009C778C" w:rsidRPr="009C778C" w:rsidRDefault="009C778C" w:rsidP="009C778C">
            <w:pPr>
              <w:rPr>
                <w:rFonts w:cstheme="minorHAnsi"/>
                <w:sz w:val="24"/>
                <w:szCs w:val="24"/>
              </w:rPr>
            </w:pPr>
            <w:r w:rsidRPr="009C778C">
              <w:rPr>
                <w:rFonts w:cstheme="minorHAnsi"/>
                <w:sz w:val="24"/>
                <w:szCs w:val="24"/>
              </w:rPr>
              <w:t>0.397***</w:t>
            </w:r>
          </w:p>
        </w:tc>
        <w:tc>
          <w:tcPr>
            <w:tcW w:w="900" w:type="dxa"/>
            <w:hideMark/>
          </w:tcPr>
          <w:p w14:paraId="1A901404" w14:textId="77777777" w:rsidR="009C778C" w:rsidRPr="009C778C" w:rsidRDefault="009C778C" w:rsidP="009C778C">
            <w:pPr>
              <w:rPr>
                <w:rFonts w:cstheme="minorHAnsi"/>
                <w:sz w:val="24"/>
                <w:szCs w:val="24"/>
              </w:rPr>
            </w:pPr>
          </w:p>
        </w:tc>
        <w:tc>
          <w:tcPr>
            <w:tcW w:w="1279" w:type="dxa"/>
            <w:hideMark/>
          </w:tcPr>
          <w:p w14:paraId="245CA144" w14:textId="77777777" w:rsidR="009C778C" w:rsidRPr="009C778C" w:rsidRDefault="009C778C" w:rsidP="009C778C">
            <w:pPr>
              <w:rPr>
                <w:rFonts w:cstheme="minorHAnsi"/>
                <w:sz w:val="24"/>
                <w:szCs w:val="24"/>
              </w:rPr>
            </w:pPr>
            <w:r w:rsidRPr="009C778C">
              <w:rPr>
                <w:rFonts w:cstheme="minorHAnsi"/>
                <w:sz w:val="24"/>
                <w:szCs w:val="24"/>
              </w:rPr>
              <w:t>0.280***</w:t>
            </w:r>
          </w:p>
        </w:tc>
        <w:tc>
          <w:tcPr>
            <w:tcW w:w="1292" w:type="dxa"/>
            <w:hideMark/>
          </w:tcPr>
          <w:p w14:paraId="10A36FF1" w14:textId="77777777" w:rsidR="009C778C" w:rsidRPr="009C778C" w:rsidRDefault="009C778C" w:rsidP="009C778C">
            <w:pPr>
              <w:rPr>
                <w:rFonts w:cstheme="minorHAnsi"/>
                <w:sz w:val="24"/>
                <w:szCs w:val="24"/>
              </w:rPr>
            </w:pPr>
            <w:r w:rsidRPr="009C778C">
              <w:rPr>
                <w:rFonts w:cstheme="minorHAnsi"/>
                <w:sz w:val="24"/>
                <w:szCs w:val="24"/>
              </w:rPr>
              <w:t>0.281***</w:t>
            </w:r>
          </w:p>
        </w:tc>
      </w:tr>
      <w:tr w:rsidR="002E530A" w:rsidRPr="009C778C" w14:paraId="353671CB" w14:textId="77777777" w:rsidTr="009633A7">
        <w:tc>
          <w:tcPr>
            <w:tcW w:w="3685" w:type="dxa"/>
            <w:hideMark/>
          </w:tcPr>
          <w:p w14:paraId="485C4C74" w14:textId="77777777" w:rsidR="009C778C" w:rsidRPr="009C778C" w:rsidRDefault="009C778C" w:rsidP="009C778C">
            <w:pPr>
              <w:rPr>
                <w:rFonts w:cstheme="minorHAnsi"/>
                <w:b/>
                <w:bCs/>
                <w:sz w:val="24"/>
                <w:szCs w:val="24"/>
              </w:rPr>
            </w:pPr>
          </w:p>
        </w:tc>
        <w:tc>
          <w:tcPr>
            <w:tcW w:w="809" w:type="dxa"/>
            <w:hideMark/>
          </w:tcPr>
          <w:p w14:paraId="17EDC972" w14:textId="77777777" w:rsidR="009C778C" w:rsidRPr="009C778C" w:rsidRDefault="009C778C" w:rsidP="009C778C">
            <w:pPr>
              <w:rPr>
                <w:rFonts w:cstheme="minorHAnsi"/>
                <w:sz w:val="24"/>
                <w:szCs w:val="24"/>
              </w:rPr>
            </w:pPr>
          </w:p>
        </w:tc>
        <w:tc>
          <w:tcPr>
            <w:tcW w:w="1438" w:type="dxa"/>
            <w:hideMark/>
          </w:tcPr>
          <w:p w14:paraId="1855E2F3" w14:textId="77777777" w:rsidR="009C778C" w:rsidRPr="009C778C" w:rsidRDefault="009C778C" w:rsidP="009C778C">
            <w:pPr>
              <w:rPr>
                <w:rFonts w:cstheme="minorHAnsi"/>
                <w:sz w:val="24"/>
                <w:szCs w:val="24"/>
              </w:rPr>
            </w:pPr>
            <w:r w:rsidRPr="009C778C">
              <w:rPr>
                <w:rFonts w:cstheme="minorHAnsi"/>
                <w:sz w:val="24"/>
                <w:szCs w:val="24"/>
              </w:rPr>
              <w:t>(11.92)</w:t>
            </w:r>
          </w:p>
        </w:tc>
        <w:tc>
          <w:tcPr>
            <w:tcW w:w="1263" w:type="dxa"/>
            <w:hideMark/>
          </w:tcPr>
          <w:p w14:paraId="31F03129" w14:textId="77777777" w:rsidR="009C778C" w:rsidRPr="009C778C" w:rsidRDefault="009C778C" w:rsidP="009C778C">
            <w:pPr>
              <w:rPr>
                <w:rFonts w:cstheme="minorHAnsi"/>
                <w:sz w:val="24"/>
                <w:szCs w:val="24"/>
              </w:rPr>
            </w:pPr>
            <w:r w:rsidRPr="009C778C">
              <w:rPr>
                <w:rFonts w:cstheme="minorHAnsi"/>
                <w:sz w:val="24"/>
                <w:szCs w:val="24"/>
              </w:rPr>
              <w:t>(11.93)</w:t>
            </w:r>
          </w:p>
        </w:tc>
        <w:tc>
          <w:tcPr>
            <w:tcW w:w="900" w:type="dxa"/>
            <w:hideMark/>
          </w:tcPr>
          <w:p w14:paraId="669AC42A" w14:textId="77777777" w:rsidR="009C778C" w:rsidRPr="009C778C" w:rsidRDefault="009C778C" w:rsidP="009C778C">
            <w:pPr>
              <w:rPr>
                <w:rFonts w:cstheme="minorHAnsi"/>
                <w:sz w:val="24"/>
                <w:szCs w:val="24"/>
              </w:rPr>
            </w:pPr>
          </w:p>
        </w:tc>
        <w:tc>
          <w:tcPr>
            <w:tcW w:w="1279" w:type="dxa"/>
            <w:hideMark/>
          </w:tcPr>
          <w:p w14:paraId="5A646A08" w14:textId="77777777" w:rsidR="009C778C" w:rsidRPr="009C778C" w:rsidRDefault="009C778C" w:rsidP="009C778C">
            <w:pPr>
              <w:rPr>
                <w:rFonts w:cstheme="minorHAnsi"/>
                <w:sz w:val="24"/>
                <w:szCs w:val="24"/>
              </w:rPr>
            </w:pPr>
            <w:r w:rsidRPr="009C778C">
              <w:rPr>
                <w:rFonts w:cstheme="minorHAnsi"/>
                <w:sz w:val="24"/>
                <w:szCs w:val="24"/>
              </w:rPr>
              <w:t>(9.26)</w:t>
            </w:r>
          </w:p>
        </w:tc>
        <w:tc>
          <w:tcPr>
            <w:tcW w:w="1292" w:type="dxa"/>
            <w:hideMark/>
          </w:tcPr>
          <w:p w14:paraId="59448886" w14:textId="77777777" w:rsidR="009C778C" w:rsidRPr="009C778C" w:rsidRDefault="009C778C" w:rsidP="009C778C">
            <w:pPr>
              <w:rPr>
                <w:rFonts w:cstheme="minorHAnsi"/>
                <w:sz w:val="24"/>
                <w:szCs w:val="24"/>
              </w:rPr>
            </w:pPr>
            <w:r w:rsidRPr="009C778C">
              <w:rPr>
                <w:rFonts w:cstheme="minorHAnsi"/>
                <w:sz w:val="24"/>
                <w:szCs w:val="24"/>
              </w:rPr>
              <w:t>(9.26)</w:t>
            </w:r>
          </w:p>
        </w:tc>
      </w:tr>
      <w:tr w:rsidR="002E530A" w:rsidRPr="009C778C" w14:paraId="118B247B" w14:textId="77777777" w:rsidTr="009633A7">
        <w:tc>
          <w:tcPr>
            <w:tcW w:w="3685" w:type="dxa"/>
            <w:hideMark/>
          </w:tcPr>
          <w:p w14:paraId="04B84EEB" w14:textId="77777777" w:rsidR="009C778C" w:rsidRPr="009C778C" w:rsidRDefault="009C778C" w:rsidP="009C778C">
            <w:pPr>
              <w:rPr>
                <w:rFonts w:cstheme="minorHAnsi"/>
                <w:b/>
                <w:bCs/>
                <w:sz w:val="24"/>
                <w:szCs w:val="24"/>
              </w:rPr>
            </w:pPr>
            <w:r w:rsidRPr="009C778C">
              <w:rPr>
                <w:rFonts w:cstheme="minorHAnsi"/>
                <w:b/>
                <w:bCs/>
                <w:sz w:val="24"/>
                <w:szCs w:val="24"/>
              </w:rPr>
              <w:t>CAPITAL_INTENSITY</w:t>
            </w:r>
            <w:r w:rsidRPr="009C778C">
              <w:rPr>
                <w:rFonts w:cstheme="minorHAnsi"/>
                <w:b/>
                <w:bCs/>
                <w:sz w:val="24"/>
                <w:szCs w:val="24"/>
                <w:vertAlign w:val="subscript"/>
              </w:rPr>
              <w:t>t − 1</w:t>
            </w:r>
          </w:p>
        </w:tc>
        <w:tc>
          <w:tcPr>
            <w:tcW w:w="809" w:type="dxa"/>
            <w:hideMark/>
          </w:tcPr>
          <w:p w14:paraId="2DB83C81" w14:textId="77777777" w:rsidR="009C778C" w:rsidRPr="009C778C" w:rsidRDefault="009C778C" w:rsidP="009C778C">
            <w:pPr>
              <w:rPr>
                <w:rFonts w:cstheme="minorHAnsi"/>
                <w:b/>
                <w:bCs/>
                <w:sz w:val="24"/>
                <w:szCs w:val="24"/>
              </w:rPr>
            </w:pPr>
          </w:p>
        </w:tc>
        <w:tc>
          <w:tcPr>
            <w:tcW w:w="1438" w:type="dxa"/>
            <w:hideMark/>
          </w:tcPr>
          <w:p w14:paraId="0FF5DE02" w14:textId="77777777" w:rsidR="009C778C" w:rsidRPr="009C778C" w:rsidRDefault="009C778C" w:rsidP="009C778C">
            <w:pPr>
              <w:rPr>
                <w:rFonts w:cstheme="minorHAnsi"/>
                <w:sz w:val="24"/>
                <w:szCs w:val="24"/>
              </w:rPr>
            </w:pPr>
            <w:r w:rsidRPr="009C778C">
              <w:rPr>
                <w:rFonts w:cstheme="minorHAnsi"/>
                <w:sz w:val="24"/>
                <w:szCs w:val="24"/>
              </w:rPr>
              <w:t>− 0.125***</w:t>
            </w:r>
          </w:p>
        </w:tc>
        <w:tc>
          <w:tcPr>
            <w:tcW w:w="1263" w:type="dxa"/>
            <w:hideMark/>
          </w:tcPr>
          <w:p w14:paraId="6652AE98" w14:textId="77777777" w:rsidR="009C778C" w:rsidRPr="009C778C" w:rsidRDefault="009C778C" w:rsidP="009C778C">
            <w:pPr>
              <w:rPr>
                <w:rFonts w:cstheme="minorHAnsi"/>
                <w:sz w:val="24"/>
                <w:szCs w:val="24"/>
              </w:rPr>
            </w:pPr>
            <w:r w:rsidRPr="009C778C">
              <w:rPr>
                <w:rFonts w:cstheme="minorHAnsi"/>
                <w:sz w:val="24"/>
                <w:szCs w:val="24"/>
              </w:rPr>
              <w:t>− 0.125***</w:t>
            </w:r>
          </w:p>
        </w:tc>
        <w:tc>
          <w:tcPr>
            <w:tcW w:w="900" w:type="dxa"/>
            <w:hideMark/>
          </w:tcPr>
          <w:p w14:paraId="0D00DC15" w14:textId="77777777" w:rsidR="009C778C" w:rsidRPr="009C778C" w:rsidRDefault="009C778C" w:rsidP="009C778C">
            <w:pPr>
              <w:rPr>
                <w:rFonts w:cstheme="minorHAnsi"/>
                <w:sz w:val="24"/>
                <w:szCs w:val="24"/>
              </w:rPr>
            </w:pPr>
          </w:p>
        </w:tc>
        <w:tc>
          <w:tcPr>
            <w:tcW w:w="1279" w:type="dxa"/>
            <w:hideMark/>
          </w:tcPr>
          <w:p w14:paraId="7507C374" w14:textId="77777777" w:rsidR="009C778C" w:rsidRPr="009C778C" w:rsidRDefault="009C778C" w:rsidP="009C778C">
            <w:pPr>
              <w:rPr>
                <w:rFonts w:cstheme="minorHAnsi"/>
                <w:sz w:val="24"/>
                <w:szCs w:val="24"/>
              </w:rPr>
            </w:pPr>
            <w:r w:rsidRPr="009C778C">
              <w:rPr>
                <w:rFonts w:cstheme="minorHAnsi"/>
                <w:sz w:val="24"/>
                <w:szCs w:val="24"/>
              </w:rPr>
              <w:t>− 0.185***</w:t>
            </w:r>
          </w:p>
        </w:tc>
        <w:tc>
          <w:tcPr>
            <w:tcW w:w="1292" w:type="dxa"/>
            <w:hideMark/>
          </w:tcPr>
          <w:p w14:paraId="45E23153" w14:textId="77777777" w:rsidR="009C778C" w:rsidRPr="009C778C" w:rsidRDefault="009C778C" w:rsidP="009C778C">
            <w:pPr>
              <w:rPr>
                <w:rFonts w:cstheme="minorHAnsi"/>
                <w:sz w:val="24"/>
                <w:szCs w:val="24"/>
              </w:rPr>
            </w:pPr>
            <w:r w:rsidRPr="009C778C">
              <w:rPr>
                <w:rFonts w:cstheme="minorHAnsi"/>
                <w:sz w:val="24"/>
                <w:szCs w:val="24"/>
              </w:rPr>
              <w:t>− 0.185***</w:t>
            </w:r>
          </w:p>
        </w:tc>
      </w:tr>
      <w:tr w:rsidR="002E530A" w:rsidRPr="009C778C" w14:paraId="338A1DC7" w14:textId="77777777" w:rsidTr="009633A7">
        <w:tc>
          <w:tcPr>
            <w:tcW w:w="3685" w:type="dxa"/>
            <w:hideMark/>
          </w:tcPr>
          <w:p w14:paraId="220348AB" w14:textId="77777777" w:rsidR="009C778C" w:rsidRPr="009C778C" w:rsidRDefault="009C778C" w:rsidP="009C778C">
            <w:pPr>
              <w:rPr>
                <w:rFonts w:cstheme="minorHAnsi"/>
                <w:b/>
                <w:bCs/>
                <w:sz w:val="24"/>
                <w:szCs w:val="24"/>
              </w:rPr>
            </w:pPr>
          </w:p>
        </w:tc>
        <w:tc>
          <w:tcPr>
            <w:tcW w:w="809" w:type="dxa"/>
            <w:hideMark/>
          </w:tcPr>
          <w:p w14:paraId="7307949F" w14:textId="77777777" w:rsidR="009C778C" w:rsidRPr="009C778C" w:rsidRDefault="009C778C" w:rsidP="009C778C">
            <w:pPr>
              <w:rPr>
                <w:rFonts w:cstheme="minorHAnsi"/>
                <w:sz w:val="24"/>
                <w:szCs w:val="24"/>
              </w:rPr>
            </w:pPr>
          </w:p>
        </w:tc>
        <w:tc>
          <w:tcPr>
            <w:tcW w:w="1438" w:type="dxa"/>
            <w:hideMark/>
          </w:tcPr>
          <w:p w14:paraId="04DD8310" w14:textId="77777777" w:rsidR="009C778C" w:rsidRPr="009C778C" w:rsidRDefault="009C778C" w:rsidP="009C778C">
            <w:pPr>
              <w:rPr>
                <w:rFonts w:cstheme="minorHAnsi"/>
                <w:sz w:val="24"/>
                <w:szCs w:val="24"/>
              </w:rPr>
            </w:pPr>
            <w:r w:rsidRPr="009C778C">
              <w:rPr>
                <w:rFonts w:cstheme="minorHAnsi"/>
                <w:sz w:val="24"/>
                <w:szCs w:val="24"/>
              </w:rPr>
              <w:t>(− 10.28)</w:t>
            </w:r>
          </w:p>
        </w:tc>
        <w:tc>
          <w:tcPr>
            <w:tcW w:w="1263" w:type="dxa"/>
            <w:hideMark/>
          </w:tcPr>
          <w:p w14:paraId="40F9B47C" w14:textId="77777777" w:rsidR="009C778C" w:rsidRPr="009C778C" w:rsidRDefault="009C778C" w:rsidP="009C778C">
            <w:pPr>
              <w:rPr>
                <w:rFonts w:cstheme="minorHAnsi"/>
                <w:sz w:val="24"/>
                <w:szCs w:val="24"/>
              </w:rPr>
            </w:pPr>
            <w:r w:rsidRPr="009C778C">
              <w:rPr>
                <w:rFonts w:cstheme="minorHAnsi"/>
                <w:sz w:val="24"/>
                <w:szCs w:val="24"/>
              </w:rPr>
              <w:t>(− 10.27)</w:t>
            </w:r>
          </w:p>
        </w:tc>
        <w:tc>
          <w:tcPr>
            <w:tcW w:w="900" w:type="dxa"/>
            <w:hideMark/>
          </w:tcPr>
          <w:p w14:paraId="468DD150" w14:textId="77777777" w:rsidR="009C778C" w:rsidRPr="009C778C" w:rsidRDefault="009C778C" w:rsidP="009C778C">
            <w:pPr>
              <w:rPr>
                <w:rFonts w:cstheme="minorHAnsi"/>
                <w:sz w:val="24"/>
                <w:szCs w:val="24"/>
              </w:rPr>
            </w:pPr>
          </w:p>
        </w:tc>
        <w:tc>
          <w:tcPr>
            <w:tcW w:w="1279" w:type="dxa"/>
            <w:hideMark/>
          </w:tcPr>
          <w:p w14:paraId="49A3C2DA" w14:textId="77777777" w:rsidR="009C778C" w:rsidRPr="009C778C" w:rsidRDefault="009C778C" w:rsidP="009C778C">
            <w:pPr>
              <w:rPr>
                <w:rFonts w:cstheme="minorHAnsi"/>
                <w:sz w:val="24"/>
                <w:szCs w:val="24"/>
              </w:rPr>
            </w:pPr>
            <w:r w:rsidRPr="009C778C">
              <w:rPr>
                <w:rFonts w:cstheme="minorHAnsi"/>
                <w:sz w:val="24"/>
                <w:szCs w:val="24"/>
              </w:rPr>
              <w:t>(− 13.47)</w:t>
            </w:r>
          </w:p>
        </w:tc>
        <w:tc>
          <w:tcPr>
            <w:tcW w:w="1292" w:type="dxa"/>
            <w:hideMark/>
          </w:tcPr>
          <w:p w14:paraId="2A770867" w14:textId="77777777" w:rsidR="009C778C" w:rsidRPr="009C778C" w:rsidRDefault="009C778C" w:rsidP="009C778C">
            <w:pPr>
              <w:rPr>
                <w:rFonts w:cstheme="minorHAnsi"/>
                <w:sz w:val="24"/>
                <w:szCs w:val="24"/>
              </w:rPr>
            </w:pPr>
            <w:r w:rsidRPr="009C778C">
              <w:rPr>
                <w:rFonts w:cstheme="minorHAnsi"/>
                <w:sz w:val="24"/>
                <w:szCs w:val="24"/>
              </w:rPr>
              <w:t>(− 13.49)</w:t>
            </w:r>
          </w:p>
        </w:tc>
      </w:tr>
      <w:tr w:rsidR="002E530A" w:rsidRPr="009C778C" w14:paraId="511C0B7F" w14:textId="77777777" w:rsidTr="009633A7">
        <w:tc>
          <w:tcPr>
            <w:tcW w:w="3685" w:type="dxa"/>
            <w:hideMark/>
          </w:tcPr>
          <w:p w14:paraId="54A52446" w14:textId="77777777" w:rsidR="009C778C" w:rsidRPr="009C778C" w:rsidRDefault="009C778C" w:rsidP="009C778C">
            <w:pPr>
              <w:rPr>
                <w:rFonts w:cstheme="minorHAnsi"/>
                <w:b/>
                <w:bCs/>
                <w:sz w:val="24"/>
                <w:szCs w:val="24"/>
              </w:rPr>
            </w:pPr>
            <w:r w:rsidRPr="009C778C">
              <w:rPr>
                <w:rFonts w:cstheme="minorHAnsi"/>
                <w:b/>
                <w:bCs/>
                <w:sz w:val="24"/>
                <w:szCs w:val="24"/>
              </w:rPr>
              <w:t>ANALYST</w:t>
            </w:r>
            <w:r w:rsidRPr="009C778C">
              <w:rPr>
                <w:rFonts w:cstheme="minorHAnsi"/>
                <w:b/>
                <w:bCs/>
                <w:sz w:val="24"/>
                <w:szCs w:val="24"/>
                <w:vertAlign w:val="subscript"/>
              </w:rPr>
              <w:t>t − 1</w:t>
            </w:r>
          </w:p>
        </w:tc>
        <w:tc>
          <w:tcPr>
            <w:tcW w:w="809" w:type="dxa"/>
            <w:hideMark/>
          </w:tcPr>
          <w:p w14:paraId="5E6D681F" w14:textId="77777777" w:rsidR="009C778C" w:rsidRPr="009C778C" w:rsidRDefault="009C778C" w:rsidP="009C778C">
            <w:pPr>
              <w:rPr>
                <w:rFonts w:cstheme="minorHAnsi"/>
                <w:b/>
                <w:bCs/>
                <w:sz w:val="24"/>
                <w:szCs w:val="24"/>
              </w:rPr>
            </w:pPr>
          </w:p>
        </w:tc>
        <w:tc>
          <w:tcPr>
            <w:tcW w:w="1438" w:type="dxa"/>
            <w:hideMark/>
          </w:tcPr>
          <w:p w14:paraId="26404D2C" w14:textId="77777777" w:rsidR="009C778C" w:rsidRPr="009C778C" w:rsidRDefault="009C778C" w:rsidP="009C778C">
            <w:pPr>
              <w:rPr>
                <w:rFonts w:cstheme="minorHAnsi"/>
                <w:sz w:val="24"/>
                <w:szCs w:val="24"/>
              </w:rPr>
            </w:pPr>
            <w:r w:rsidRPr="009C778C">
              <w:rPr>
                <w:rFonts w:cstheme="minorHAnsi"/>
                <w:sz w:val="24"/>
                <w:szCs w:val="24"/>
              </w:rPr>
              <w:t>− 0.008**</w:t>
            </w:r>
          </w:p>
        </w:tc>
        <w:tc>
          <w:tcPr>
            <w:tcW w:w="1263" w:type="dxa"/>
            <w:hideMark/>
          </w:tcPr>
          <w:p w14:paraId="0BDD57A5" w14:textId="77777777" w:rsidR="009C778C" w:rsidRPr="009C778C" w:rsidRDefault="009C778C" w:rsidP="009C778C">
            <w:pPr>
              <w:rPr>
                <w:rFonts w:cstheme="minorHAnsi"/>
                <w:sz w:val="24"/>
                <w:szCs w:val="24"/>
              </w:rPr>
            </w:pPr>
            <w:r w:rsidRPr="009C778C">
              <w:rPr>
                <w:rFonts w:cstheme="minorHAnsi"/>
                <w:sz w:val="24"/>
                <w:szCs w:val="24"/>
              </w:rPr>
              <w:t>− 0.008*</w:t>
            </w:r>
          </w:p>
        </w:tc>
        <w:tc>
          <w:tcPr>
            <w:tcW w:w="900" w:type="dxa"/>
            <w:hideMark/>
          </w:tcPr>
          <w:p w14:paraId="4578136E" w14:textId="77777777" w:rsidR="009C778C" w:rsidRPr="009C778C" w:rsidRDefault="009C778C" w:rsidP="009C778C">
            <w:pPr>
              <w:rPr>
                <w:rFonts w:cstheme="minorHAnsi"/>
                <w:sz w:val="24"/>
                <w:szCs w:val="24"/>
              </w:rPr>
            </w:pPr>
          </w:p>
        </w:tc>
        <w:tc>
          <w:tcPr>
            <w:tcW w:w="1279" w:type="dxa"/>
            <w:hideMark/>
          </w:tcPr>
          <w:p w14:paraId="2A8E4F89" w14:textId="77777777" w:rsidR="009C778C" w:rsidRPr="009C778C" w:rsidRDefault="009C778C" w:rsidP="009C778C">
            <w:pPr>
              <w:rPr>
                <w:rFonts w:cstheme="minorHAnsi"/>
                <w:sz w:val="24"/>
                <w:szCs w:val="24"/>
              </w:rPr>
            </w:pPr>
            <w:r w:rsidRPr="009C778C">
              <w:rPr>
                <w:rFonts w:cstheme="minorHAnsi"/>
                <w:sz w:val="24"/>
                <w:szCs w:val="24"/>
              </w:rPr>
              <w:t>− 0.016***</w:t>
            </w:r>
          </w:p>
        </w:tc>
        <w:tc>
          <w:tcPr>
            <w:tcW w:w="1292" w:type="dxa"/>
            <w:hideMark/>
          </w:tcPr>
          <w:p w14:paraId="308DF5D0" w14:textId="77777777" w:rsidR="009C778C" w:rsidRPr="009C778C" w:rsidRDefault="009C778C" w:rsidP="009C778C">
            <w:pPr>
              <w:rPr>
                <w:rFonts w:cstheme="minorHAnsi"/>
                <w:sz w:val="24"/>
                <w:szCs w:val="24"/>
              </w:rPr>
            </w:pPr>
            <w:r w:rsidRPr="009C778C">
              <w:rPr>
                <w:rFonts w:cstheme="minorHAnsi"/>
                <w:sz w:val="24"/>
                <w:szCs w:val="24"/>
              </w:rPr>
              <w:t>− 0.016***</w:t>
            </w:r>
          </w:p>
        </w:tc>
      </w:tr>
      <w:tr w:rsidR="002E530A" w:rsidRPr="009C778C" w14:paraId="418DBD74" w14:textId="77777777" w:rsidTr="009633A7">
        <w:tc>
          <w:tcPr>
            <w:tcW w:w="3685" w:type="dxa"/>
            <w:hideMark/>
          </w:tcPr>
          <w:p w14:paraId="3BF1E64C" w14:textId="77777777" w:rsidR="009C778C" w:rsidRPr="009C778C" w:rsidRDefault="009C778C" w:rsidP="009C778C">
            <w:pPr>
              <w:rPr>
                <w:rFonts w:cstheme="minorHAnsi"/>
                <w:b/>
                <w:bCs/>
                <w:sz w:val="24"/>
                <w:szCs w:val="24"/>
              </w:rPr>
            </w:pPr>
          </w:p>
        </w:tc>
        <w:tc>
          <w:tcPr>
            <w:tcW w:w="809" w:type="dxa"/>
            <w:hideMark/>
          </w:tcPr>
          <w:p w14:paraId="4A1CBF4F" w14:textId="77777777" w:rsidR="009C778C" w:rsidRPr="009C778C" w:rsidRDefault="009C778C" w:rsidP="009C778C">
            <w:pPr>
              <w:rPr>
                <w:rFonts w:cstheme="minorHAnsi"/>
                <w:sz w:val="24"/>
                <w:szCs w:val="24"/>
              </w:rPr>
            </w:pPr>
          </w:p>
        </w:tc>
        <w:tc>
          <w:tcPr>
            <w:tcW w:w="1438" w:type="dxa"/>
            <w:hideMark/>
          </w:tcPr>
          <w:p w14:paraId="4BE42166" w14:textId="77777777" w:rsidR="009C778C" w:rsidRPr="009C778C" w:rsidRDefault="009C778C" w:rsidP="009C778C">
            <w:pPr>
              <w:rPr>
                <w:rFonts w:cstheme="minorHAnsi"/>
                <w:sz w:val="24"/>
                <w:szCs w:val="24"/>
              </w:rPr>
            </w:pPr>
            <w:r w:rsidRPr="009C778C">
              <w:rPr>
                <w:rFonts w:cstheme="minorHAnsi"/>
                <w:sz w:val="24"/>
                <w:szCs w:val="24"/>
              </w:rPr>
              <w:t>(− 2.04)</w:t>
            </w:r>
          </w:p>
        </w:tc>
        <w:tc>
          <w:tcPr>
            <w:tcW w:w="1263" w:type="dxa"/>
            <w:hideMark/>
          </w:tcPr>
          <w:p w14:paraId="09E22EE2" w14:textId="77777777" w:rsidR="009C778C" w:rsidRPr="009C778C" w:rsidRDefault="009C778C" w:rsidP="009C778C">
            <w:pPr>
              <w:rPr>
                <w:rFonts w:cstheme="minorHAnsi"/>
                <w:sz w:val="24"/>
                <w:szCs w:val="24"/>
              </w:rPr>
            </w:pPr>
            <w:r w:rsidRPr="009C778C">
              <w:rPr>
                <w:rFonts w:cstheme="minorHAnsi"/>
                <w:sz w:val="24"/>
                <w:szCs w:val="24"/>
              </w:rPr>
              <w:t>(− 1.96)</w:t>
            </w:r>
          </w:p>
        </w:tc>
        <w:tc>
          <w:tcPr>
            <w:tcW w:w="900" w:type="dxa"/>
            <w:hideMark/>
          </w:tcPr>
          <w:p w14:paraId="452D4C00" w14:textId="77777777" w:rsidR="009C778C" w:rsidRPr="009C778C" w:rsidRDefault="009C778C" w:rsidP="009C778C">
            <w:pPr>
              <w:rPr>
                <w:rFonts w:cstheme="minorHAnsi"/>
                <w:sz w:val="24"/>
                <w:szCs w:val="24"/>
              </w:rPr>
            </w:pPr>
          </w:p>
        </w:tc>
        <w:tc>
          <w:tcPr>
            <w:tcW w:w="1279" w:type="dxa"/>
            <w:hideMark/>
          </w:tcPr>
          <w:p w14:paraId="75C962CE" w14:textId="77777777" w:rsidR="009C778C" w:rsidRPr="009C778C" w:rsidRDefault="009C778C" w:rsidP="009C778C">
            <w:pPr>
              <w:rPr>
                <w:rFonts w:cstheme="minorHAnsi"/>
                <w:sz w:val="24"/>
                <w:szCs w:val="24"/>
              </w:rPr>
            </w:pPr>
            <w:r w:rsidRPr="009C778C">
              <w:rPr>
                <w:rFonts w:cstheme="minorHAnsi"/>
                <w:sz w:val="24"/>
                <w:szCs w:val="24"/>
              </w:rPr>
              <w:t>(− 4.13)</w:t>
            </w:r>
          </w:p>
        </w:tc>
        <w:tc>
          <w:tcPr>
            <w:tcW w:w="1292" w:type="dxa"/>
            <w:hideMark/>
          </w:tcPr>
          <w:p w14:paraId="49E06BA0" w14:textId="77777777" w:rsidR="009C778C" w:rsidRPr="009C778C" w:rsidRDefault="009C778C" w:rsidP="009C778C">
            <w:pPr>
              <w:rPr>
                <w:rFonts w:cstheme="minorHAnsi"/>
                <w:sz w:val="24"/>
                <w:szCs w:val="24"/>
              </w:rPr>
            </w:pPr>
            <w:r w:rsidRPr="009C778C">
              <w:rPr>
                <w:rFonts w:cstheme="minorHAnsi"/>
                <w:sz w:val="24"/>
                <w:szCs w:val="24"/>
              </w:rPr>
              <w:t>(− 4.13)</w:t>
            </w:r>
          </w:p>
        </w:tc>
      </w:tr>
      <w:tr w:rsidR="002E530A" w:rsidRPr="009C778C" w14:paraId="7341681B" w14:textId="77777777" w:rsidTr="009633A7">
        <w:tc>
          <w:tcPr>
            <w:tcW w:w="3685" w:type="dxa"/>
            <w:hideMark/>
          </w:tcPr>
          <w:p w14:paraId="75A9ED4B" w14:textId="77777777" w:rsidR="009C778C" w:rsidRPr="009C778C" w:rsidRDefault="009C778C" w:rsidP="009C778C">
            <w:pPr>
              <w:rPr>
                <w:rFonts w:cstheme="minorHAnsi"/>
                <w:b/>
                <w:bCs/>
                <w:sz w:val="24"/>
                <w:szCs w:val="24"/>
              </w:rPr>
            </w:pPr>
            <w:r w:rsidRPr="009C778C">
              <w:rPr>
                <w:rFonts w:cstheme="minorHAnsi"/>
                <w:b/>
                <w:bCs/>
                <w:sz w:val="24"/>
                <w:szCs w:val="24"/>
              </w:rPr>
              <w:t>ACC_STANDARD</w:t>
            </w:r>
            <w:r w:rsidRPr="009C778C">
              <w:rPr>
                <w:rFonts w:cstheme="minorHAnsi"/>
                <w:b/>
                <w:bCs/>
                <w:sz w:val="24"/>
                <w:szCs w:val="24"/>
                <w:vertAlign w:val="subscript"/>
              </w:rPr>
              <w:t>t − 1</w:t>
            </w:r>
          </w:p>
        </w:tc>
        <w:tc>
          <w:tcPr>
            <w:tcW w:w="809" w:type="dxa"/>
            <w:hideMark/>
          </w:tcPr>
          <w:p w14:paraId="13015481" w14:textId="77777777" w:rsidR="009C778C" w:rsidRPr="009C778C" w:rsidRDefault="009C778C" w:rsidP="009C778C">
            <w:pPr>
              <w:rPr>
                <w:rFonts w:cstheme="minorHAnsi"/>
                <w:b/>
                <w:bCs/>
                <w:sz w:val="24"/>
                <w:szCs w:val="24"/>
              </w:rPr>
            </w:pPr>
          </w:p>
        </w:tc>
        <w:tc>
          <w:tcPr>
            <w:tcW w:w="1438" w:type="dxa"/>
            <w:hideMark/>
          </w:tcPr>
          <w:p w14:paraId="35138EE3" w14:textId="77777777" w:rsidR="009C778C" w:rsidRPr="009C778C" w:rsidRDefault="009C778C" w:rsidP="009C778C">
            <w:pPr>
              <w:rPr>
                <w:rFonts w:cstheme="minorHAnsi"/>
                <w:sz w:val="24"/>
                <w:szCs w:val="24"/>
              </w:rPr>
            </w:pPr>
            <w:r w:rsidRPr="009C778C">
              <w:rPr>
                <w:rFonts w:cstheme="minorHAnsi"/>
                <w:sz w:val="24"/>
                <w:szCs w:val="24"/>
              </w:rPr>
              <w:t>0.024*</w:t>
            </w:r>
          </w:p>
        </w:tc>
        <w:tc>
          <w:tcPr>
            <w:tcW w:w="1263" w:type="dxa"/>
            <w:hideMark/>
          </w:tcPr>
          <w:p w14:paraId="4A5D72E1" w14:textId="77777777" w:rsidR="009C778C" w:rsidRPr="009C778C" w:rsidRDefault="009C778C" w:rsidP="009C778C">
            <w:pPr>
              <w:rPr>
                <w:rFonts w:cstheme="minorHAnsi"/>
                <w:sz w:val="24"/>
                <w:szCs w:val="24"/>
              </w:rPr>
            </w:pPr>
            <w:r w:rsidRPr="009C778C">
              <w:rPr>
                <w:rFonts w:cstheme="minorHAnsi"/>
                <w:sz w:val="24"/>
                <w:szCs w:val="24"/>
              </w:rPr>
              <w:t>0.024*</w:t>
            </w:r>
          </w:p>
        </w:tc>
        <w:tc>
          <w:tcPr>
            <w:tcW w:w="900" w:type="dxa"/>
            <w:hideMark/>
          </w:tcPr>
          <w:p w14:paraId="7E0D0876" w14:textId="77777777" w:rsidR="009C778C" w:rsidRPr="009C778C" w:rsidRDefault="009C778C" w:rsidP="009C778C">
            <w:pPr>
              <w:rPr>
                <w:rFonts w:cstheme="minorHAnsi"/>
                <w:sz w:val="24"/>
                <w:szCs w:val="24"/>
              </w:rPr>
            </w:pPr>
          </w:p>
        </w:tc>
        <w:tc>
          <w:tcPr>
            <w:tcW w:w="1279" w:type="dxa"/>
            <w:hideMark/>
          </w:tcPr>
          <w:p w14:paraId="550A9831" w14:textId="77777777" w:rsidR="009C778C" w:rsidRPr="009C778C" w:rsidRDefault="009C778C" w:rsidP="009C778C">
            <w:pPr>
              <w:rPr>
                <w:rFonts w:cstheme="minorHAnsi"/>
                <w:sz w:val="24"/>
                <w:szCs w:val="24"/>
              </w:rPr>
            </w:pPr>
            <w:r w:rsidRPr="009C778C">
              <w:rPr>
                <w:rFonts w:cstheme="minorHAnsi"/>
                <w:sz w:val="24"/>
                <w:szCs w:val="24"/>
              </w:rPr>
              <w:t>0.021*</w:t>
            </w:r>
          </w:p>
        </w:tc>
        <w:tc>
          <w:tcPr>
            <w:tcW w:w="1292" w:type="dxa"/>
            <w:hideMark/>
          </w:tcPr>
          <w:p w14:paraId="127D7D6D" w14:textId="77777777" w:rsidR="009C778C" w:rsidRPr="009C778C" w:rsidRDefault="009C778C" w:rsidP="009C778C">
            <w:pPr>
              <w:rPr>
                <w:rFonts w:cstheme="minorHAnsi"/>
                <w:sz w:val="24"/>
                <w:szCs w:val="24"/>
              </w:rPr>
            </w:pPr>
            <w:r w:rsidRPr="009C778C">
              <w:rPr>
                <w:rFonts w:cstheme="minorHAnsi"/>
                <w:sz w:val="24"/>
                <w:szCs w:val="24"/>
              </w:rPr>
              <w:t>0.021*</w:t>
            </w:r>
          </w:p>
        </w:tc>
      </w:tr>
      <w:tr w:rsidR="002E530A" w:rsidRPr="009C778C" w14:paraId="6ADFE76A" w14:textId="77777777" w:rsidTr="009633A7">
        <w:tc>
          <w:tcPr>
            <w:tcW w:w="3685" w:type="dxa"/>
            <w:hideMark/>
          </w:tcPr>
          <w:p w14:paraId="2F43C5C7" w14:textId="77777777" w:rsidR="009C778C" w:rsidRPr="009C778C" w:rsidRDefault="009C778C" w:rsidP="009C778C">
            <w:pPr>
              <w:rPr>
                <w:rFonts w:cstheme="minorHAnsi"/>
                <w:b/>
                <w:bCs/>
                <w:sz w:val="24"/>
                <w:szCs w:val="24"/>
              </w:rPr>
            </w:pPr>
          </w:p>
        </w:tc>
        <w:tc>
          <w:tcPr>
            <w:tcW w:w="809" w:type="dxa"/>
            <w:hideMark/>
          </w:tcPr>
          <w:p w14:paraId="56072168" w14:textId="77777777" w:rsidR="009C778C" w:rsidRPr="009C778C" w:rsidRDefault="009C778C" w:rsidP="009C778C">
            <w:pPr>
              <w:rPr>
                <w:rFonts w:cstheme="minorHAnsi"/>
                <w:sz w:val="24"/>
                <w:szCs w:val="24"/>
              </w:rPr>
            </w:pPr>
          </w:p>
        </w:tc>
        <w:tc>
          <w:tcPr>
            <w:tcW w:w="1438" w:type="dxa"/>
            <w:hideMark/>
          </w:tcPr>
          <w:p w14:paraId="6A9982DF" w14:textId="77777777" w:rsidR="009C778C" w:rsidRPr="009C778C" w:rsidRDefault="009C778C" w:rsidP="009C778C">
            <w:pPr>
              <w:rPr>
                <w:rFonts w:cstheme="minorHAnsi"/>
                <w:sz w:val="24"/>
                <w:szCs w:val="24"/>
              </w:rPr>
            </w:pPr>
            <w:r w:rsidRPr="009C778C">
              <w:rPr>
                <w:rFonts w:cstheme="minorHAnsi"/>
                <w:sz w:val="24"/>
                <w:szCs w:val="24"/>
              </w:rPr>
              <w:t>(1.78)</w:t>
            </w:r>
          </w:p>
        </w:tc>
        <w:tc>
          <w:tcPr>
            <w:tcW w:w="1263" w:type="dxa"/>
            <w:hideMark/>
          </w:tcPr>
          <w:p w14:paraId="1E3E9B07" w14:textId="77777777" w:rsidR="009C778C" w:rsidRPr="009C778C" w:rsidRDefault="009C778C" w:rsidP="009C778C">
            <w:pPr>
              <w:rPr>
                <w:rFonts w:cstheme="minorHAnsi"/>
                <w:sz w:val="24"/>
                <w:szCs w:val="24"/>
              </w:rPr>
            </w:pPr>
            <w:r w:rsidRPr="009C778C">
              <w:rPr>
                <w:rFonts w:cstheme="minorHAnsi"/>
                <w:sz w:val="24"/>
                <w:szCs w:val="24"/>
              </w:rPr>
              <w:t>(1.79)</w:t>
            </w:r>
          </w:p>
        </w:tc>
        <w:tc>
          <w:tcPr>
            <w:tcW w:w="900" w:type="dxa"/>
            <w:hideMark/>
          </w:tcPr>
          <w:p w14:paraId="62CE123D" w14:textId="77777777" w:rsidR="009C778C" w:rsidRPr="009C778C" w:rsidRDefault="009C778C" w:rsidP="009C778C">
            <w:pPr>
              <w:rPr>
                <w:rFonts w:cstheme="minorHAnsi"/>
                <w:sz w:val="24"/>
                <w:szCs w:val="24"/>
              </w:rPr>
            </w:pPr>
          </w:p>
        </w:tc>
        <w:tc>
          <w:tcPr>
            <w:tcW w:w="1279" w:type="dxa"/>
            <w:hideMark/>
          </w:tcPr>
          <w:p w14:paraId="169E9EEE" w14:textId="77777777" w:rsidR="009C778C" w:rsidRPr="009C778C" w:rsidRDefault="009C778C" w:rsidP="009C778C">
            <w:pPr>
              <w:rPr>
                <w:rFonts w:cstheme="minorHAnsi"/>
                <w:sz w:val="24"/>
                <w:szCs w:val="24"/>
              </w:rPr>
            </w:pPr>
            <w:r w:rsidRPr="009C778C">
              <w:rPr>
                <w:rFonts w:cstheme="minorHAnsi"/>
                <w:sz w:val="24"/>
                <w:szCs w:val="24"/>
              </w:rPr>
              <w:t>(1.67)</w:t>
            </w:r>
          </w:p>
        </w:tc>
        <w:tc>
          <w:tcPr>
            <w:tcW w:w="1292" w:type="dxa"/>
            <w:hideMark/>
          </w:tcPr>
          <w:p w14:paraId="5E43D219" w14:textId="77777777" w:rsidR="009C778C" w:rsidRPr="009C778C" w:rsidRDefault="009C778C" w:rsidP="009C778C">
            <w:pPr>
              <w:rPr>
                <w:rFonts w:cstheme="minorHAnsi"/>
                <w:sz w:val="24"/>
                <w:szCs w:val="24"/>
              </w:rPr>
            </w:pPr>
            <w:r w:rsidRPr="009C778C">
              <w:rPr>
                <w:rFonts w:cstheme="minorHAnsi"/>
                <w:sz w:val="24"/>
                <w:szCs w:val="24"/>
              </w:rPr>
              <w:t>(1.66)</w:t>
            </w:r>
          </w:p>
        </w:tc>
      </w:tr>
      <w:tr w:rsidR="002E530A" w:rsidRPr="009C778C" w14:paraId="304AF707" w14:textId="77777777" w:rsidTr="009633A7">
        <w:tc>
          <w:tcPr>
            <w:tcW w:w="3685" w:type="dxa"/>
            <w:hideMark/>
          </w:tcPr>
          <w:p w14:paraId="2ABDC1A6" w14:textId="77777777" w:rsidR="009C778C" w:rsidRPr="009C778C" w:rsidRDefault="009C778C" w:rsidP="009C778C">
            <w:pPr>
              <w:rPr>
                <w:rFonts w:cstheme="minorHAnsi"/>
                <w:b/>
                <w:bCs/>
                <w:sz w:val="24"/>
                <w:szCs w:val="24"/>
              </w:rPr>
            </w:pPr>
            <w:r w:rsidRPr="009C778C">
              <w:rPr>
                <w:rFonts w:cstheme="minorHAnsi"/>
                <w:b/>
                <w:bCs/>
                <w:sz w:val="24"/>
                <w:szCs w:val="24"/>
              </w:rPr>
              <w:t>GDPGROWTH</w:t>
            </w:r>
            <w:r w:rsidRPr="009C778C">
              <w:rPr>
                <w:rFonts w:cstheme="minorHAnsi"/>
                <w:b/>
                <w:bCs/>
                <w:sz w:val="24"/>
                <w:szCs w:val="24"/>
                <w:vertAlign w:val="subscript"/>
              </w:rPr>
              <w:t>t − 1</w:t>
            </w:r>
          </w:p>
        </w:tc>
        <w:tc>
          <w:tcPr>
            <w:tcW w:w="809" w:type="dxa"/>
            <w:hideMark/>
          </w:tcPr>
          <w:p w14:paraId="4CBAC5C3" w14:textId="77777777" w:rsidR="009C778C" w:rsidRPr="009C778C" w:rsidRDefault="009C778C" w:rsidP="009C778C">
            <w:pPr>
              <w:rPr>
                <w:rFonts w:cstheme="minorHAnsi"/>
                <w:b/>
                <w:bCs/>
                <w:sz w:val="24"/>
                <w:szCs w:val="24"/>
              </w:rPr>
            </w:pPr>
          </w:p>
        </w:tc>
        <w:tc>
          <w:tcPr>
            <w:tcW w:w="1438" w:type="dxa"/>
            <w:hideMark/>
          </w:tcPr>
          <w:p w14:paraId="3441961E" w14:textId="77777777" w:rsidR="009C778C" w:rsidRPr="009C778C" w:rsidRDefault="009C778C" w:rsidP="009C778C">
            <w:pPr>
              <w:rPr>
                <w:rFonts w:cstheme="minorHAnsi"/>
                <w:sz w:val="24"/>
                <w:szCs w:val="24"/>
              </w:rPr>
            </w:pPr>
            <w:r w:rsidRPr="009C778C">
              <w:rPr>
                <w:rFonts w:cstheme="minorHAnsi"/>
                <w:sz w:val="24"/>
                <w:szCs w:val="24"/>
              </w:rPr>
              <w:t>− 0.801**</w:t>
            </w:r>
          </w:p>
        </w:tc>
        <w:tc>
          <w:tcPr>
            <w:tcW w:w="1263" w:type="dxa"/>
            <w:hideMark/>
          </w:tcPr>
          <w:p w14:paraId="5328D34A" w14:textId="77777777" w:rsidR="009C778C" w:rsidRPr="009C778C" w:rsidRDefault="009C778C" w:rsidP="009C778C">
            <w:pPr>
              <w:rPr>
                <w:rFonts w:cstheme="minorHAnsi"/>
                <w:sz w:val="24"/>
                <w:szCs w:val="24"/>
              </w:rPr>
            </w:pPr>
            <w:r w:rsidRPr="009C778C">
              <w:rPr>
                <w:rFonts w:cstheme="minorHAnsi"/>
                <w:sz w:val="24"/>
                <w:szCs w:val="24"/>
              </w:rPr>
              <w:t>− 0.799**</w:t>
            </w:r>
          </w:p>
        </w:tc>
        <w:tc>
          <w:tcPr>
            <w:tcW w:w="900" w:type="dxa"/>
            <w:hideMark/>
          </w:tcPr>
          <w:p w14:paraId="603EA848" w14:textId="77777777" w:rsidR="009C778C" w:rsidRPr="009C778C" w:rsidRDefault="009C778C" w:rsidP="009C778C">
            <w:pPr>
              <w:rPr>
                <w:rFonts w:cstheme="minorHAnsi"/>
                <w:sz w:val="24"/>
                <w:szCs w:val="24"/>
              </w:rPr>
            </w:pPr>
          </w:p>
        </w:tc>
        <w:tc>
          <w:tcPr>
            <w:tcW w:w="1279" w:type="dxa"/>
            <w:hideMark/>
          </w:tcPr>
          <w:p w14:paraId="5ECAA94C" w14:textId="77777777" w:rsidR="009C778C" w:rsidRPr="009C778C" w:rsidRDefault="009C778C" w:rsidP="009C778C">
            <w:pPr>
              <w:rPr>
                <w:rFonts w:cstheme="minorHAnsi"/>
                <w:sz w:val="24"/>
                <w:szCs w:val="24"/>
              </w:rPr>
            </w:pPr>
            <w:r w:rsidRPr="009C778C">
              <w:rPr>
                <w:rFonts w:cstheme="minorHAnsi"/>
                <w:sz w:val="24"/>
                <w:szCs w:val="24"/>
              </w:rPr>
              <w:t>0.196</w:t>
            </w:r>
          </w:p>
        </w:tc>
        <w:tc>
          <w:tcPr>
            <w:tcW w:w="1292" w:type="dxa"/>
            <w:hideMark/>
          </w:tcPr>
          <w:p w14:paraId="1FCDABF7" w14:textId="77777777" w:rsidR="009C778C" w:rsidRPr="009C778C" w:rsidRDefault="009C778C" w:rsidP="009C778C">
            <w:pPr>
              <w:rPr>
                <w:rFonts w:cstheme="minorHAnsi"/>
                <w:sz w:val="24"/>
                <w:szCs w:val="24"/>
              </w:rPr>
            </w:pPr>
            <w:r w:rsidRPr="009C778C">
              <w:rPr>
                <w:rFonts w:cstheme="minorHAnsi"/>
                <w:sz w:val="24"/>
                <w:szCs w:val="24"/>
              </w:rPr>
              <w:t>0.199</w:t>
            </w:r>
          </w:p>
        </w:tc>
      </w:tr>
      <w:tr w:rsidR="002E530A" w:rsidRPr="009C778C" w14:paraId="0782AF69" w14:textId="77777777" w:rsidTr="009633A7">
        <w:tc>
          <w:tcPr>
            <w:tcW w:w="3685" w:type="dxa"/>
            <w:hideMark/>
          </w:tcPr>
          <w:p w14:paraId="46F38848" w14:textId="77777777" w:rsidR="009C778C" w:rsidRPr="009C778C" w:rsidRDefault="009C778C" w:rsidP="009C778C">
            <w:pPr>
              <w:rPr>
                <w:rFonts w:cstheme="minorHAnsi"/>
                <w:b/>
                <w:bCs/>
                <w:sz w:val="24"/>
                <w:szCs w:val="24"/>
              </w:rPr>
            </w:pPr>
          </w:p>
        </w:tc>
        <w:tc>
          <w:tcPr>
            <w:tcW w:w="809" w:type="dxa"/>
            <w:hideMark/>
          </w:tcPr>
          <w:p w14:paraId="07C0099A" w14:textId="77777777" w:rsidR="009C778C" w:rsidRPr="009C778C" w:rsidRDefault="009C778C" w:rsidP="009C778C">
            <w:pPr>
              <w:rPr>
                <w:rFonts w:cstheme="minorHAnsi"/>
                <w:sz w:val="24"/>
                <w:szCs w:val="24"/>
              </w:rPr>
            </w:pPr>
          </w:p>
        </w:tc>
        <w:tc>
          <w:tcPr>
            <w:tcW w:w="1438" w:type="dxa"/>
            <w:hideMark/>
          </w:tcPr>
          <w:p w14:paraId="6D3D0B72" w14:textId="77777777" w:rsidR="009C778C" w:rsidRPr="009C778C" w:rsidRDefault="009C778C" w:rsidP="009C778C">
            <w:pPr>
              <w:rPr>
                <w:rFonts w:cstheme="minorHAnsi"/>
                <w:sz w:val="24"/>
                <w:szCs w:val="24"/>
              </w:rPr>
            </w:pPr>
            <w:r w:rsidRPr="009C778C">
              <w:rPr>
                <w:rFonts w:cstheme="minorHAnsi"/>
                <w:sz w:val="24"/>
                <w:szCs w:val="24"/>
              </w:rPr>
              <w:t>(− 2.20)</w:t>
            </w:r>
          </w:p>
        </w:tc>
        <w:tc>
          <w:tcPr>
            <w:tcW w:w="1263" w:type="dxa"/>
            <w:hideMark/>
          </w:tcPr>
          <w:p w14:paraId="59ECFE96" w14:textId="77777777" w:rsidR="009C778C" w:rsidRPr="009C778C" w:rsidRDefault="009C778C" w:rsidP="009C778C">
            <w:pPr>
              <w:rPr>
                <w:rFonts w:cstheme="minorHAnsi"/>
                <w:sz w:val="24"/>
                <w:szCs w:val="24"/>
              </w:rPr>
            </w:pPr>
            <w:r w:rsidRPr="009C778C">
              <w:rPr>
                <w:rFonts w:cstheme="minorHAnsi"/>
                <w:sz w:val="24"/>
                <w:szCs w:val="24"/>
              </w:rPr>
              <w:t>(− 2.20)</w:t>
            </w:r>
          </w:p>
        </w:tc>
        <w:tc>
          <w:tcPr>
            <w:tcW w:w="900" w:type="dxa"/>
            <w:hideMark/>
          </w:tcPr>
          <w:p w14:paraId="73EFA92A" w14:textId="77777777" w:rsidR="009C778C" w:rsidRPr="009C778C" w:rsidRDefault="009C778C" w:rsidP="009C778C">
            <w:pPr>
              <w:rPr>
                <w:rFonts w:cstheme="minorHAnsi"/>
                <w:sz w:val="24"/>
                <w:szCs w:val="24"/>
              </w:rPr>
            </w:pPr>
          </w:p>
        </w:tc>
        <w:tc>
          <w:tcPr>
            <w:tcW w:w="1279" w:type="dxa"/>
            <w:hideMark/>
          </w:tcPr>
          <w:p w14:paraId="4C39A6F2" w14:textId="77777777" w:rsidR="009C778C" w:rsidRPr="009C778C" w:rsidRDefault="009C778C" w:rsidP="009C778C">
            <w:pPr>
              <w:rPr>
                <w:rFonts w:cstheme="minorHAnsi"/>
                <w:sz w:val="24"/>
                <w:szCs w:val="24"/>
              </w:rPr>
            </w:pPr>
            <w:r w:rsidRPr="009C778C">
              <w:rPr>
                <w:rFonts w:cstheme="minorHAnsi"/>
                <w:sz w:val="24"/>
                <w:szCs w:val="24"/>
              </w:rPr>
              <w:t>(1.07)</w:t>
            </w:r>
          </w:p>
        </w:tc>
        <w:tc>
          <w:tcPr>
            <w:tcW w:w="1292" w:type="dxa"/>
            <w:hideMark/>
          </w:tcPr>
          <w:p w14:paraId="5AC660F6" w14:textId="77777777" w:rsidR="009C778C" w:rsidRPr="009C778C" w:rsidRDefault="009C778C" w:rsidP="009C778C">
            <w:pPr>
              <w:rPr>
                <w:rFonts w:cstheme="minorHAnsi"/>
                <w:sz w:val="24"/>
                <w:szCs w:val="24"/>
              </w:rPr>
            </w:pPr>
            <w:r w:rsidRPr="009C778C">
              <w:rPr>
                <w:rFonts w:cstheme="minorHAnsi"/>
                <w:sz w:val="24"/>
                <w:szCs w:val="24"/>
              </w:rPr>
              <w:t>(1.08)</w:t>
            </w:r>
          </w:p>
        </w:tc>
      </w:tr>
      <w:tr w:rsidR="002E530A" w:rsidRPr="009C778C" w14:paraId="10638575" w14:textId="77777777" w:rsidTr="009633A7">
        <w:tc>
          <w:tcPr>
            <w:tcW w:w="3685" w:type="dxa"/>
            <w:hideMark/>
          </w:tcPr>
          <w:p w14:paraId="3B901427" w14:textId="77777777" w:rsidR="009C778C" w:rsidRPr="009C778C" w:rsidRDefault="009C778C" w:rsidP="009C778C">
            <w:pPr>
              <w:rPr>
                <w:rFonts w:cstheme="minorHAnsi"/>
                <w:b/>
                <w:bCs/>
                <w:sz w:val="24"/>
                <w:szCs w:val="24"/>
              </w:rPr>
            </w:pPr>
            <w:r w:rsidRPr="009C778C">
              <w:rPr>
                <w:rFonts w:cstheme="minorHAnsi"/>
                <w:b/>
                <w:bCs/>
                <w:sz w:val="24"/>
                <w:szCs w:val="24"/>
              </w:rPr>
              <w:t>INFLATION</w:t>
            </w:r>
            <w:r w:rsidRPr="009C778C">
              <w:rPr>
                <w:rFonts w:cstheme="minorHAnsi"/>
                <w:b/>
                <w:bCs/>
                <w:sz w:val="24"/>
                <w:szCs w:val="24"/>
                <w:vertAlign w:val="subscript"/>
              </w:rPr>
              <w:t>t − 1</w:t>
            </w:r>
          </w:p>
        </w:tc>
        <w:tc>
          <w:tcPr>
            <w:tcW w:w="809" w:type="dxa"/>
            <w:hideMark/>
          </w:tcPr>
          <w:p w14:paraId="2162012C" w14:textId="77777777" w:rsidR="009C778C" w:rsidRPr="009C778C" w:rsidRDefault="009C778C" w:rsidP="009C778C">
            <w:pPr>
              <w:rPr>
                <w:rFonts w:cstheme="minorHAnsi"/>
                <w:b/>
                <w:bCs/>
                <w:sz w:val="24"/>
                <w:szCs w:val="24"/>
              </w:rPr>
            </w:pPr>
          </w:p>
        </w:tc>
        <w:tc>
          <w:tcPr>
            <w:tcW w:w="1438" w:type="dxa"/>
            <w:hideMark/>
          </w:tcPr>
          <w:p w14:paraId="47D3C921" w14:textId="77777777" w:rsidR="009C778C" w:rsidRPr="009C778C" w:rsidRDefault="009C778C" w:rsidP="009C778C">
            <w:pPr>
              <w:rPr>
                <w:rFonts w:cstheme="minorHAnsi"/>
                <w:sz w:val="24"/>
                <w:szCs w:val="24"/>
              </w:rPr>
            </w:pPr>
            <w:r w:rsidRPr="009C778C">
              <w:rPr>
                <w:rFonts w:cstheme="minorHAnsi"/>
                <w:sz w:val="24"/>
                <w:szCs w:val="24"/>
              </w:rPr>
              <w:t>1.470***</w:t>
            </w:r>
          </w:p>
        </w:tc>
        <w:tc>
          <w:tcPr>
            <w:tcW w:w="1263" w:type="dxa"/>
            <w:hideMark/>
          </w:tcPr>
          <w:p w14:paraId="22D7D028" w14:textId="77777777" w:rsidR="009C778C" w:rsidRPr="009C778C" w:rsidRDefault="009C778C" w:rsidP="009C778C">
            <w:pPr>
              <w:rPr>
                <w:rFonts w:cstheme="minorHAnsi"/>
                <w:sz w:val="24"/>
                <w:szCs w:val="24"/>
              </w:rPr>
            </w:pPr>
            <w:r w:rsidRPr="009C778C">
              <w:rPr>
                <w:rFonts w:cstheme="minorHAnsi"/>
                <w:sz w:val="24"/>
                <w:szCs w:val="24"/>
              </w:rPr>
              <w:t>1.468***</w:t>
            </w:r>
          </w:p>
        </w:tc>
        <w:tc>
          <w:tcPr>
            <w:tcW w:w="900" w:type="dxa"/>
            <w:hideMark/>
          </w:tcPr>
          <w:p w14:paraId="4C5947DA" w14:textId="77777777" w:rsidR="009C778C" w:rsidRPr="009C778C" w:rsidRDefault="009C778C" w:rsidP="009C778C">
            <w:pPr>
              <w:rPr>
                <w:rFonts w:cstheme="minorHAnsi"/>
                <w:sz w:val="24"/>
                <w:szCs w:val="24"/>
              </w:rPr>
            </w:pPr>
          </w:p>
        </w:tc>
        <w:tc>
          <w:tcPr>
            <w:tcW w:w="1279" w:type="dxa"/>
            <w:hideMark/>
          </w:tcPr>
          <w:p w14:paraId="18264E50" w14:textId="77777777" w:rsidR="009C778C" w:rsidRPr="009C778C" w:rsidRDefault="009C778C" w:rsidP="009C778C">
            <w:pPr>
              <w:rPr>
                <w:rFonts w:cstheme="minorHAnsi"/>
                <w:sz w:val="24"/>
                <w:szCs w:val="24"/>
              </w:rPr>
            </w:pPr>
            <w:r w:rsidRPr="009C778C">
              <w:rPr>
                <w:rFonts w:cstheme="minorHAnsi"/>
                <w:sz w:val="24"/>
                <w:szCs w:val="24"/>
              </w:rPr>
              <w:t>− 0.100</w:t>
            </w:r>
          </w:p>
        </w:tc>
        <w:tc>
          <w:tcPr>
            <w:tcW w:w="1292" w:type="dxa"/>
            <w:hideMark/>
          </w:tcPr>
          <w:p w14:paraId="10971DEB" w14:textId="77777777" w:rsidR="009C778C" w:rsidRPr="009C778C" w:rsidRDefault="009C778C" w:rsidP="009C778C">
            <w:pPr>
              <w:rPr>
                <w:rFonts w:cstheme="minorHAnsi"/>
                <w:sz w:val="24"/>
                <w:szCs w:val="24"/>
              </w:rPr>
            </w:pPr>
            <w:r w:rsidRPr="009C778C">
              <w:rPr>
                <w:rFonts w:cstheme="minorHAnsi"/>
                <w:sz w:val="24"/>
                <w:szCs w:val="24"/>
              </w:rPr>
              <w:t>− 0.104</w:t>
            </w:r>
          </w:p>
        </w:tc>
      </w:tr>
      <w:tr w:rsidR="002E530A" w:rsidRPr="009C778C" w14:paraId="110DAA64" w14:textId="77777777" w:rsidTr="009633A7">
        <w:tc>
          <w:tcPr>
            <w:tcW w:w="3685" w:type="dxa"/>
            <w:hideMark/>
          </w:tcPr>
          <w:p w14:paraId="55039F1D" w14:textId="77777777" w:rsidR="009C778C" w:rsidRPr="009C778C" w:rsidRDefault="009C778C" w:rsidP="009C778C">
            <w:pPr>
              <w:rPr>
                <w:rFonts w:cstheme="minorHAnsi"/>
                <w:b/>
                <w:bCs/>
                <w:sz w:val="24"/>
                <w:szCs w:val="24"/>
              </w:rPr>
            </w:pPr>
          </w:p>
        </w:tc>
        <w:tc>
          <w:tcPr>
            <w:tcW w:w="809" w:type="dxa"/>
            <w:hideMark/>
          </w:tcPr>
          <w:p w14:paraId="06FBEB90" w14:textId="77777777" w:rsidR="009C778C" w:rsidRPr="009C778C" w:rsidRDefault="009C778C" w:rsidP="009C778C">
            <w:pPr>
              <w:rPr>
                <w:rFonts w:cstheme="minorHAnsi"/>
                <w:sz w:val="24"/>
                <w:szCs w:val="24"/>
              </w:rPr>
            </w:pPr>
          </w:p>
        </w:tc>
        <w:tc>
          <w:tcPr>
            <w:tcW w:w="1438" w:type="dxa"/>
            <w:hideMark/>
          </w:tcPr>
          <w:p w14:paraId="0988A67E" w14:textId="77777777" w:rsidR="009C778C" w:rsidRPr="009C778C" w:rsidRDefault="009C778C" w:rsidP="009C778C">
            <w:pPr>
              <w:rPr>
                <w:rFonts w:cstheme="minorHAnsi"/>
                <w:sz w:val="24"/>
                <w:szCs w:val="24"/>
              </w:rPr>
            </w:pPr>
            <w:r w:rsidRPr="009C778C">
              <w:rPr>
                <w:rFonts w:cstheme="minorHAnsi"/>
                <w:sz w:val="24"/>
                <w:szCs w:val="24"/>
              </w:rPr>
              <w:t>(2.60)</w:t>
            </w:r>
          </w:p>
        </w:tc>
        <w:tc>
          <w:tcPr>
            <w:tcW w:w="1263" w:type="dxa"/>
            <w:hideMark/>
          </w:tcPr>
          <w:p w14:paraId="5A67E592" w14:textId="77777777" w:rsidR="009C778C" w:rsidRPr="009C778C" w:rsidRDefault="009C778C" w:rsidP="009C778C">
            <w:pPr>
              <w:rPr>
                <w:rFonts w:cstheme="minorHAnsi"/>
                <w:sz w:val="24"/>
                <w:szCs w:val="24"/>
              </w:rPr>
            </w:pPr>
            <w:r w:rsidRPr="009C778C">
              <w:rPr>
                <w:rFonts w:cstheme="minorHAnsi"/>
                <w:sz w:val="24"/>
                <w:szCs w:val="24"/>
              </w:rPr>
              <w:t>(2.59)</w:t>
            </w:r>
          </w:p>
        </w:tc>
        <w:tc>
          <w:tcPr>
            <w:tcW w:w="900" w:type="dxa"/>
            <w:hideMark/>
          </w:tcPr>
          <w:p w14:paraId="5EDEFBE9" w14:textId="77777777" w:rsidR="009C778C" w:rsidRPr="009C778C" w:rsidRDefault="009C778C" w:rsidP="009C778C">
            <w:pPr>
              <w:rPr>
                <w:rFonts w:cstheme="minorHAnsi"/>
                <w:sz w:val="24"/>
                <w:szCs w:val="24"/>
              </w:rPr>
            </w:pPr>
          </w:p>
        </w:tc>
        <w:tc>
          <w:tcPr>
            <w:tcW w:w="1279" w:type="dxa"/>
            <w:hideMark/>
          </w:tcPr>
          <w:p w14:paraId="2B730CBC" w14:textId="77777777" w:rsidR="009C778C" w:rsidRPr="009C778C" w:rsidRDefault="009C778C" w:rsidP="009C778C">
            <w:pPr>
              <w:rPr>
                <w:rFonts w:cstheme="minorHAnsi"/>
                <w:sz w:val="24"/>
                <w:szCs w:val="24"/>
              </w:rPr>
            </w:pPr>
            <w:r w:rsidRPr="009C778C">
              <w:rPr>
                <w:rFonts w:cstheme="minorHAnsi"/>
                <w:sz w:val="24"/>
                <w:szCs w:val="24"/>
              </w:rPr>
              <w:t>(− 0.45)</w:t>
            </w:r>
          </w:p>
        </w:tc>
        <w:tc>
          <w:tcPr>
            <w:tcW w:w="1292" w:type="dxa"/>
            <w:hideMark/>
          </w:tcPr>
          <w:p w14:paraId="77BC6222" w14:textId="77777777" w:rsidR="009C778C" w:rsidRPr="009C778C" w:rsidRDefault="009C778C" w:rsidP="009C778C">
            <w:pPr>
              <w:rPr>
                <w:rFonts w:cstheme="minorHAnsi"/>
                <w:sz w:val="24"/>
                <w:szCs w:val="24"/>
              </w:rPr>
            </w:pPr>
            <w:r w:rsidRPr="009C778C">
              <w:rPr>
                <w:rFonts w:cstheme="minorHAnsi"/>
                <w:sz w:val="24"/>
                <w:szCs w:val="24"/>
              </w:rPr>
              <w:t>(− 0.46)</w:t>
            </w:r>
          </w:p>
        </w:tc>
      </w:tr>
      <w:tr w:rsidR="002E530A" w:rsidRPr="009C778C" w14:paraId="323F619D" w14:textId="77777777" w:rsidTr="009633A7">
        <w:tc>
          <w:tcPr>
            <w:tcW w:w="3685" w:type="dxa"/>
            <w:hideMark/>
          </w:tcPr>
          <w:p w14:paraId="544E7181" w14:textId="77777777" w:rsidR="009C778C" w:rsidRPr="009C778C" w:rsidRDefault="009C778C" w:rsidP="009C778C">
            <w:pPr>
              <w:rPr>
                <w:rFonts w:cstheme="minorHAnsi"/>
                <w:b/>
                <w:bCs/>
                <w:sz w:val="24"/>
                <w:szCs w:val="24"/>
              </w:rPr>
            </w:pPr>
            <w:r w:rsidRPr="009C778C">
              <w:rPr>
                <w:rFonts w:cstheme="minorHAnsi"/>
                <w:b/>
                <w:bCs/>
                <w:sz w:val="24"/>
                <w:szCs w:val="24"/>
              </w:rPr>
              <w:t>CONSTANT, YEAR, INDUSTRY &amp; COUNTRY FE</w:t>
            </w:r>
          </w:p>
        </w:tc>
        <w:tc>
          <w:tcPr>
            <w:tcW w:w="809" w:type="dxa"/>
            <w:hideMark/>
          </w:tcPr>
          <w:p w14:paraId="60653E06" w14:textId="77777777" w:rsidR="009C778C" w:rsidRPr="009C778C" w:rsidRDefault="009C778C" w:rsidP="009C778C">
            <w:pPr>
              <w:rPr>
                <w:rFonts w:cstheme="minorHAnsi"/>
                <w:b/>
                <w:bCs/>
                <w:sz w:val="24"/>
                <w:szCs w:val="24"/>
              </w:rPr>
            </w:pPr>
          </w:p>
        </w:tc>
        <w:tc>
          <w:tcPr>
            <w:tcW w:w="1438" w:type="dxa"/>
            <w:hideMark/>
          </w:tcPr>
          <w:p w14:paraId="2709560E" w14:textId="77777777" w:rsidR="009C778C" w:rsidRPr="009C778C" w:rsidRDefault="009C778C" w:rsidP="009C778C">
            <w:pPr>
              <w:rPr>
                <w:rFonts w:cstheme="minorHAnsi"/>
                <w:sz w:val="24"/>
                <w:szCs w:val="24"/>
              </w:rPr>
            </w:pPr>
            <w:r w:rsidRPr="009C778C">
              <w:rPr>
                <w:rFonts w:cstheme="minorHAnsi"/>
                <w:sz w:val="24"/>
                <w:szCs w:val="24"/>
              </w:rPr>
              <w:t>YES</w:t>
            </w:r>
          </w:p>
        </w:tc>
        <w:tc>
          <w:tcPr>
            <w:tcW w:w="1263" w:type="dxa"/>
            <w:hideMark/>
          </w:tcPr>
          <w:p w14:paraId="2C3723D0" w14:textId="77777777" w:rsidR="009C778C" w:rsidRPr="009C778C" w:rsidRDefault="009C778C" w:rsidP="009C778C">
            <w:pPr>
              <w:rPr>
                <w:rFonts w:cstheme="minorHAnsi"/>
                <w:sz w:val="24"/>
                <w:szCs w:val="24"/>
              </w:rPr>
            </w:pPr>
            <w:r w:rsidRPr="009C778C">
              <w:rPr>
                <w:rFonts w:cstheme="minorHAnsi"/>
                <w:sz w:val="24"/>
                <w:szCs w:val="24"/>
              </w:rPr>
              <w:t>YES</w:t>
            </w:r>
          </w:p>
        </w:tc>
        <w:tc>
          <w:tcPr>
            <w:tcW w:w="900" w:type="dxa"/>
            <w:hideMark/>
          </w:tcPr>
          <w:p w14:paraId="5A65BC66" w14:textId="77777777" w:rsidR="009C778C" w:rsidRPr="009C778C" w:rsidRDefault="009C778C" w:rsidP="009C778C">
            <w:pPr>
              <w:rPr>
                <w:rFonts w:cstheme="minorHAnsi"/>
                <w:sz w:val="24"/>
                <w:szCs w:val="24"/>
              </w:rPr>
            </w:pPr>
          </w:p>
        </w:tc>
        <w:tc>
          <w:tcPr>
            <w:tcW w:w="1279" w:type="dxa"/>
            <w:hideMark/>
          </w:tcPr>
          <w:p w14:paraId="0BF98D18" w14:textId="77777777" w:rsidR="009C778C" w:rsidRPr="009C778C" w:rsidRDefault="009C778C" w:rsidP="009C778C">
            <w:pPr>
              <w:rPr>
                <w:rFonts w:cstheme="minorHAnsi"/>
                <w:sz w:val="24"/>
                <w:szCs w:val="24"/>
              </w:rPr>
            </w:pPr>
            <w:r w:rsidRPr="009C778C">
              <w:rPr>
                <w:rFonts w:cstheme="minorHAnsi"/>
                <w:sz w:val="24"/>
                <w:szCs w:val="24"/>
              </w:rPr>
              <w:t>YES</w:t>
            </w:r>
          </w:p>
        </w:tc>
        <w:tc>
          <w:tcPr>
            <w:tcW w:w="1292" w:type="dxa"/>
            <w:hideMark/>
          </w:tcPr>
          <w:p w14:paraId="7FA684BE" w14:textId="77777777" w:rsidR="009C778C" w:rsidRPr="009C778C" w:rsidRDefault="009C778C" w:rsidP="009C778C">
            <w:pPr>
              <w:rPr>
                <w:rFonts w:cstheme="minorHAnsi"/>
                <w:sz w:val="24"/>
                <w:szCs w:val="24"/>
              </w:rPr>
            </w:pPr>
            <w:r w:rsidRPr="009C778C">
              <w:rPr>
                <w:rFonts w:cstheme="minorHAnsi"/>
                <w:sz w:val="24"/>
                <w:szCs w:val="24"/>
              </w:rPr>
              <w:t>YES</w:t>
            </w:r>
          </w:p>
        </w:tc>
      </w:tr>
      <w:tr w:rsidR="002E530A" w:rsidRPr="009C778C" w14:paraId="51A31AC1" w14:textId="77777777" w:rsidTr="009633A7">
        <w:tc>
          <w:tcPr>
            <w:tcW w:w="3685" w:type="dxa"/>
            <w:hideMark/>
          </w:tcPr>
          <w:p w14:paraId="44908FCA" w14:textId="77777777" w:rsidR="009C778C" w:rsidRPr="009C778C" w:rsidRDefault="009C778C" w:rsidP="009C778C">
            <w:pPr>
              <w:rPr>
                <w:rFonts w:cstheme="minorHAnsi"/>
                <w:b/>
                <w:bCs/>
                <w:sz w:val="24"/>
                <w:szCs w:val="24"/>
              </w:rPr>
            </w:pPr>
            <w:r w:rsidRPr="009C778C">
              <w:rPr>
                <w:rFonts w:cstheme="minorHAnsi"/>
                <w:b/>
                <w:bCs/>
                <w:sz w:val="24"/>
                <w:szCs w:val="24"/>
              </w:rPr>
              <w:t>Number of observations</w:t>
            </w:r>
          </w:p>
        </w:tc>
        <w:tc>
          <w:tcPr>
            <w:tcW w:w="809" w:type="dxa"/>
            <w:hideMark/>
          </w:tcPr>
          <w:p w14:paraId="78E9045B" w14:textId="77777777" w:rsidR="009C778C" w:rsidRPr="009C778C" w:rsidRDefault="009C778C" w:rsidP="009C778C">
            <w:pPr>
              <w:rPr>
                <w:rFonts w:cstheme="minorHAnsi"/>
                <w:b/>
                <w:bCs/>
                <w:sz w:val="24"/>
                <w:szCs w:val="24"/>
              </w:rPr>
            </w:pPr>
          </w:p>
        </w:tc>
        <w:tc>
          <w:tcPr>
            <w:tcW w:w="1438" w:type="dxa"/>
            <w:hideMark/>
          </w:tcPr>
          <w:p w14:paraId="1E591E4E" w14:textId="77777777" w:rsidR="009C778C" w:rsidRPr="009C778C" w:rsidRDefault="009C778C" w:rsidP="009C778C">
            <w:pPr>
              <w:rPr>
                <w:rFonts w:cstheme="minorHAnsi"/>
                <w:sz w:val="24"/>
                <w:szCs w:val="24"/>
              </w:rPr>
            </w:pPr>
            <w:r w:rsidRPr="009C778C">
              <w:rPr>
                <w:rFonts w:cstheme="minorHAnsi"/>
                <w:sz w:val="24"/>
                <w:szCs w:val="24"/>
              </w:rPr>
              <w:t>49,831</w:t>
            </w:r>
          </w:p>
        </w:tc>
        <w:tc>
          <w:tcPr>
            <w:tcW w:w="1263" w:type="dxa"/>
            <w:hideMark/>
          </w:tcPr>
          <w:p w14:paraId="5BEC6AEE" w14:textId="77777777" w:rsidR="009C778C" w:rsidRPr="009C778C" w:rsidRDefault="009C778C" w:rsidP="009C778C">
            <w:pPr>
              <w:rPr>
                <w:rFonts w:cstheme="minorHAnsi"/>
                <w:sz w:val="24"/>
                <w:szCs w:val="24"/>
              </w:rPr>
            </w:pPr>
            <w:r w:rsidRPr="009C778C">
              <w:rPr>
                <w:rFonts w:cstheme="minorHAnsi"/>
                <w:sz w:val="24"/>
                <w:szCs w:val="24"/>
              </w:rPr>
              <w:t>49,831</w:t>
            </w:r>
          </w:p>
        </w:tc>
        <w:tc>
          <w:tcPr>
            <w:tcW w:w="900" w:type="dxa"/>
            <w:hideMark/>
          </w:tcPr>
          <w:p w14:paraId="17CF0913" w14:textId="77777777" w:rsidR="009C778C" w:rsidRPr="009C778C" w:rsidRDefault="009C778C" w:rsidP="009C778C">
            <w:pPr>
              <w:rPr>
                <w:rFonts w:cstheme="minorHAnsi"/>
                <w:sz w:val="24"/>
                <w:szCs w:val="24"/>
              </w:rPr>
            </w:pPr>
          </w:p>
        </w:tc>
        <w:tc>
          <w:tcPr>
            <w:tcW w:w="1279" w:type="dxa"/>
            <w:hideMark/>
          </w:tcPr>
          <w:p w14:paraId="7C9BE4DB" w14:textId="77777777" w:rsidR="009C778C" w:rsidRPr="009C778C" w:rsidRDefault="009C778C" w:rsidP="009C778C">
            <w:pPr>
              <w:rPr>
                <w:rFonts w:cstheme="minorHAnsi"/>
                <w:sz w:val="24"/>
                <w:szCs w:val="24"/>
              </w:rPr>
            </w:pPr>
            <w:r w:rsidRPr="009C778C">
              <w:rPr>
                <w:rFonts w:cstheme="minorHAnsi"/>
                <w:sz w:val="24"/>
                <w:szCs w:val="24"/>
              </w:rPr>
              <w:t>16,455</w:t>
            </w:r>
          </w:p>
        </w:tc>
        <w:tc>
          <w:tcPr>
            <w:tcW w:w="1292" w:type="dxa"/>
            <w:hideMark/>
          </w:tcPr>
          <w:p w14:paraId="03A7A64A" w14:textId="77777777" w:rsidR="009C778C" w:rsidRPr="009C778C" w:rsidRDefault="009C778C" w:rsidP="009C778C">
            <w:pPr>
              <w:rPr>
                <w:rFonts w:cstheme="minorHAnsi"/>
                <w:sz w:val="24"/>
                <w:szCs w:val="24"/>
              </w:rPr>
            </w:pPr>
            <w:r w:rsidRPr="009C778C">
              <w:rPr>
                <w:rFonts w:cstheme="minorHAnsi"/>
                <w:sz w:val="24"/>
                <w:szCs w:val="24"/>
              </w:rPr>
              <w:t>16,455</w:t>
            </w:r>
          </w:p>
        </w:tc>
      </w:tr>
      <w:tr w:rsidR="002E530A" w:rsidRPr="009C778C" w14:paraId="5229B2B8" w14:textId="77777777" w:rsidTr="009633A7">
        <w:tc>
          <w:tcPr>
            <w:tcW w:w="3685" w:type="dxa"/>
            <w:hideMark/>
          </w:tcPr>
          <w:p w14:paraId="79464EF4" w14:textId="77777777" w:rsidR="009C778C" w:rsidRPr="009C778C" w:rsidRDefault="009C778C" w:rsidP="009C778C">
            <w:pPr>
              <w:rPr>
                <w:rFonts w:cstheme="minorHAnsi"/>
                <w:b/>
                <w:bCs/>
                <w:sz w:val="24"/>
                <w:szCs w:val="24"/>
              </w:rPr>
            </w:pPr>
            <w:r w:rsidRPr="009C778C">
              <w:rPr>
                <w:rFonts w:cstheme="minorHAnsi"/>
                <w:b/>
                <w:bCs/>
                <w:sz w:val="24"/>
                <w:szCs w:val="24"/>
              </w:rPr>
              <w:t>Adj. R-squared</w:t>
            </w:r>
          </w:p>
        </w:tc>
        <w:tc>
          <w:tcPr>
            <w:tcW w:w="809" w:type="dxa"/>
            <w:hideMark/>
          </w:tcPr>
          <w:p w14:paraId="194FD59D" w14:textId="77777777" w:rsidR="009C778C" w:rsidRPr="009C778C" w:rsidRDefault="009C778C" w:rsidP="009C778C">
            <w:pPr>
              <w:rPr>
                <w:rFonts w:cstheme="minorHAnsi"/>
                <w:b/>
                <w:bCs/>
                <w:sz w:val="24"/>
                <w:szCs w:val="24"/>
              </w:rPr>
            </w:pPr>
          </w:p>
        </w:tc>
        <w:tc>
          <w:tcPr>
            <w:tcW w:w="1438" w:type="dxa"/>
            <w:hideMark/>
          </w:tcPr>
          <w:p w14:paraId="26C29BF6" w14:textId="77777777" w:rsidR="009C778C" w:rsidRPr="009C778C" w:rsidRDefault="009C778C" w:rsidP="009C778C">
            <w:pPr>
              <w:rPr>
                <w:rFonts w:cstheme="minorHAnsi"/>
                <w:sz w:val="24"/>
                <w:szCs w:val="24"/>
              </w:rPr>
            </w:pPr>
            <w:r w:rsidRPr="009C778C">
              <w:rPr>
                <w:rFonts w:cstheme="minorHAnsi"/>
                <w:sz w:val="24"/>
                <w:szCs w:val="24"/>
              </w:rPr>
              <w:t>0.105</w:t>
            </w:r>
          </w:p>
        </w:tc>
        <w:tc>
          <w:tcPr>
            <w:tcW w:w="1263" w:type="dxa"/>
            <w:hideMark/>
          </w:tcPr>
          <w:p w14:paraId="12E6017D" w14:textId="77777777" w:rsidR="009C778C" w:rsidRPr="009C778C" w:rsidRDefault="009C778C" w:rsidP="009C778C">
            <w:pPr>
              <w:rPr>
                <w:rFonts w:cstheme="minorHAnsi"/>
                <w:sz w:val="24"/>
                <w:szCs w:val="24"/>
              </w:rPr>
            </w:pPr>
            <w:r w:rsidRPr="009C778C">
              <w:rPr>
                <w:rFonts w:cstheme="minorHAnsi"/>
                <w:sz w:val="24"/>
                <w:szCs w:val="24"/>
              </w:rPr>
              <w:t>0.105</w:t>
            </w:r>
          </w:p>
        </w:tc>
        <w:tc>
          <w:tcPr>
            <w:tcW w:w="900" w:type="dxa"/>
            <w:hideMark/>
          </w:tcPr>
          <w:p w14:paraId="1CD3D913" w14:textId="77777777" w:rsidR="009C778C" w:rsidRPr="009C778C" w:rsidRDefault="009C778C" w:rsidP="009C778C">
            <w:pPr>
              <w:rPr>
                <w:rFonts w:cstheme="minorHAnsi"/>
                <w:sz w:val="24"/>
                <w:szCs w:val="24"/>
              </w:rPr>
            </w:pPr>
          </w:p>
        </w:tc>
        <w:tc>
          <w:tcPr>
            <w:tcW w:w="1279" w:type="dxa"/>
            <w:hideMark/>
          </w:tcPr>
          <w:p w14:paraId="063B7E61" w14:textId="77777777" w:rsidR="009C778C" w:rsidRPr="009C778C" w:rsidRDefault="009C778C" w:rsidP="009C778C">
            <w:pPr>
              <w:rPr>
                <w:rFonts w:cstheme="minorHAnsi"/>
                <w:sz w:val="24"/>
                <w:szCs w:val="24"/>
              </w:rPr>
            </w:pPr>
            <w:r w:rsidRPr="009C778C">
              <w:rPr>
                <w:rFonts w:cstheme="minorHAnsi"/>
                <w:sz w:val="24"/>
                <w:szCs w:val="24"/>
              </w:rPr>
              <w:t>0.124</w:t>
            </w:r>
          </w:p>
        </w:tc>
        <w:tc>
          <w:tcPr>
            <w:tcW w:w="1292" w:type="dxa"/>
            <w:hideMark/>
          </w:tcPr>
          <w:p w14:paraId="336C05DD" w14:textId="77777777" w:rsidR="009C778C" w:rsidRPr="009C778C" w:rsidRDefault="009C778C" w:rsidP="009C778C">
            <w:pPr>
              <w:rPr>
                <w:rFonts w:cstheme="minorHAnsi"/>
                <w:sz w:val="24"/>
                <w:szCs w:val="24"/>
              </w:rPr>
            </w:pPr>
            <w:r w:rsidRPr="009C778C">
              <w:rPr>
                <w:rFonts w:cstheme="minorHAnsi"/>
                <w:sz w:val="24"/>
                <w:szCs w:val="24"/>
              </w:rPr>
              <w:t>0.124</w:t>
            </w:r>
          </w:p>
        </w:tc>
      </w:tr>
      <w:tr w:rsidR="002E530A" w:rsidRPr="009C778C" w14:paraId="7846F90C" w14:textId="77777777" w:rsidTr="009633A7">
        <w:tc>
          <w:tcPr>
            <w:tcW w:w="3685" w:type="dxa"/>
            <w:hideMark/>
          </w:tcPr>
          <w:p w14:paraId="24BA28F8" w14:textId="77777777" w:rsidR="009C778C" w:rsidRPr="009C778C" w:rsidRDefault="009C778C" w:rsidP="009C778C">
            <w:pPr>
              <w:rPr>
                <w:rFonts w:cstheme="minorHAnsi"/>
                <w:b/>
                <w:bCs/>
                <w:sz w:val="24"/>
                <w:szCs w:val="24"/>
              </w:rPr>
            </w:pPr>
            <w:r w:rsidRPr="009C778C">
              <w:rPr>
                <w:rFonts w:cstheme="minorHAnsi"/>
                <w:b/>
                <w:bCs/>
                <w:sz w:val="24"/>
                <w:szCs w:val="24"/>
              </w:rPr>
              <w:t>F-stat DOMESTIC</w:t>
            </w:r>
            <w:r w:rsidRPr="009C778C">
              <w:rPr>
                <w:rFonts w:cstheme="minorHAnsi"/>
                <w:b/>
                <w:bCs/>
                <w:sz w:val="24"/>
                <w:szCs w:val="24"/>
                <w:vertAlign w:val="subscript"/>
              </w:rPr>
              <w:t>t − 1</w:t>
            </w:r>
            <w:r w:rsidRPr="009C778C">
              <w:rPr>
                <w:rFonts w:cstheme="minorHAnsi"/>
                <w:b/>
                <w:bCs/>
                <w:sz w:val="24"/>
                <w:szCs w:val="24"/>
              </w:rPr>
              <w:t> = FOREIGN</w:t>
            </w:r>
            <w:r w:rsidRPr="009C778C">
              <w:rPr>
                <w:rFonts w:cstheme="minorHAnsi"/>
                <w:b/>
                <w:bCs/>
                <w:sz w:val="24"/>
                <w:szCs w:val="24"/>
                <w:vertAlign w:val="subscript"/>
              </w:rPr>
              <w:t>t − 1</w:t>
            </w:r>
          </w:p>
        </w:tc>
        <w:tc>
          <w:tcPr>
            <w:tcW w:w="809" w:type="dxa"/>
            <w:hideMark/>
          </w:tcPr>
          <w:p w14:paraId="14C269B2" w14:textId="77777777" w:rsidR="009C778C" w:rsidRPr="009C778C" w:rsidRDefault="009C778C" w:rsidP="009C778C">
            <w:pPr>
              <w:rPr>
                <w:rFonts w:cstheme="minorHAnsi"/>
                <w:b/>
                <w:bCs/>
                <w:sz w:val="24"/>
                <w:szCs w:val="24"/>
              </w:rPr>
            </w:pPr>
          </w:p>
        </w:tc>
        <w:tc>
          <w:tcPr>
            <w:tcW w:w="1438" w:type="dxa"/>
            <w:hideMark/>
          </w:tcPr>
          <w:p w14:paraId="015D7C9A" w14:textId="77777777" w:rsidR="009C778C" w:rsidRPr="009C778C" w:rsidRDefault="009C778C" w:rsidP="009C778C">
            <w:pPr>
              <w:rPr>
                <w:rFonts w:cstheme="minorHAnsi"/>
                <w:sz w:val="24"/>
                <w:szCs w:val="24"/>
              </w:rPr>
            </w:pPr>
            <w:r w:rsidRPr="009C778C">
              <w:rPr>
                <w:rFonts w:cstheme="minorHAnsi"/>
                <w:sz w:val="24"/>
                <w:szCs w:val="24"/>
              </w:rPr>
              <w:t>6.34***</w:t>
            </w:r>
          </w:p>
        </w:tc>
        <w:tc>
          <w:tcPr>
            <w:tcW w:w="1263" w:type="dxa"/>
            <w:hideMark/>
          </w:tcPr>
          <w:p w14:paraId="7A81D67D" w14:textId="77777777" w:rsidR="009C778C" w:rsidRPr="009C778C" w:rsidRDefault="009C778C" w:rsidP="009C778C">
            <w:pPr>
              <w:rPr>
                <w:rFonts w:cstheme="minorHAnsi"/>
                <w:sz w:val="24"/>
                <w:szCs w:val="24"/>
              </w:rPr>
            </w:pPr>
          </w:p>
        </w:tc>
        <w:tc>
          <w:tcPr>
            <w:tcW w:w="900" w:type="dxa"/>
            <w:hideMark/>
          </w:tcPr>
          <w:p w14:paraId="620E829A" w14:textId="77777777" w:rsidR="009C778C" w:rsidRPr="009C778C" w:rsidRDefault="009C778C" w:rsidP="009C778C">
            <w:pPr>
              <w:rPr>
                <w:rFonts w:cstheme="minorHAnsi"/>
                <w:sz w:val="24"/>
                <w:szCs w:val="24"/>
              </w:rPr>
            </w:pPr>
          </w:p>
        </w:tc>
        <w:tc>
          <w:tcPr>
            <w:tcW w:w="1279" w:type="dxa"/>
            <w:hideMark/>
          </w:tcPr>
          <w:p w14:paraId="61B549CD" w14:textId="77777777" w:rsidR="009C778C" w:rsidRPr="009C778C" w:rsidRDefault="009C778C" w:rsidP="009C778C">
            <w:pPr>
              <w:rPr>
                <w:rFonts w:cstheme="minorHAnsi"/>
                <w:sz w:val="24"/>
                <w:szCs w:val="24"/>
              </w:rPr>
            </w:pPr>
            <w:r w:rsidRPr="009C778C">
              <w:rPr>
                <w:rFonts w:cstheme="minorHAnsi"/>
                <w:sz w:val="24"/>
                <w:szCs w:val="24"/>
              </w:rPr>
              <w:t>2.07</w:t>
            </w:r>
          </w:p>
        </w:tc>
        <w:tc>
          <w:tcPr>
            <w:tcW w:w="1292" w:type="dxa"/>
            <w:hideMark/>
          </w:tcPr>
          <w:p w14:paraId="02DD20FB" w14:textId="77777777" w:rsidR="009C778C" w:rsidRPr="009C778C" w:rsidRDefault="009C778C" w:rsidP="009C778C">
            <w:pPr>
              <w:rPr>
                <w:rFonts w:cstheme="minorHAnsi"/>
                <w:sz w:val="24"/>
                <w:szCs w:val="24"/>
              </w:rPr>
            </w:pPr>
          </w:p>
        </w:tc>
      </w:tr>
      <w:tr w:rsidR="002E530A" w:rsidRPr="009C778C" w14:paraId="4D164F82" w14:textId="77777777" w:rsidTr="009633A7">
        <w:tc>
          <w:tcPr>
            <w:tcW w:w="3685" w:type="dxa"/>
            <w:hideMark/>
          </w:tcPr>
          <w:p w14:paraId="55CD4695" w14:textId="77777777" w:rsidR="009C778C" w:rsidRPr="009C778C" w:rsidRDefault="009C778C" w:rsidP="009C778C">
            <w:pPr>
              <w:rPr>
                <w:rFonts w:cstheme="minorHAnsi"/>
                <w:b/>
                <w:bCs/>
                <w:sz w:val="24"/>
                <w:szCs w:val="24"/>
              </w:rPr>
            </w:pPr>
            <w:r w:rsidRPr="009C778C">
              <w:rPr>
                <w:rFonts w:cstheme="minorHAnsi"/>
                <w:b/>
                <w:bCs/>
                <w:sz w:val="24"/>
                <w:szCs w:val="24"/>
              </w:rPr>
              <w:t>(</w:t>
            </w:r>
            <w:r w:rsidRPr="009C778C">
              <w:rPr>
                <w:rFonts w:cstheme="minorHAnsi"/>
                <w:b/>
                <w:bCs/>
                <w:i/>
                <w:iCs/>
                <w:sz w:val="24"/>
                <w:szCs w:val="24"/>
              </w:rPr>
              <w:t>p</w:t>
            </w:r>
            <w:r w:rsidRPr="009C778C">
              <w:rPr>
                <w:rFonts w:cstheme="minorHAnsi"/>
                <w:b/>
                <w:bCs/>
                <w:sz w:val="24"/>
                <w:szCs w:val="24"/>
              </w:rPr>
              <w:t>-Value)</w:t>
            </w:r>
          </w:p>
        </w:tc>
        <w:tc>
          <w:tcPr>
            <w:tcW w:w="809" w:type="dxa"/>
            <w:hideMark/>
          </w:tcPr>
          <w:p w14:paraId="3F19B166" w14:textId="77777777" w:rsidR="009C778C" w:rsidRPr="009C778C" w:rsidRDefault="009C778C" w:rsidP="009C778C">
            <w:pPr>
              <w:rPr>
                <w:rFonts w:cstheme="minorHAnsi"/>
                <w:b/>
                <w:bCs/>
                <w:sz w:val="24"/>
                <w:szCs w:val="24"/>
              </w:rPr>
            </w:pPr>
          </w:p>
        </w:tc>
        <w:tc>
          <w:tcPr>
            <w:tcW w:w="1438" w:type="dxa"/>
            <w:hideMark/>
          </w:tcPr>
          <w:p w14:paraId="57B765C7" w14:textId="77777777" w:rsidR="009C778C" w:rsidRPr="009C778C" w:rsidRDefault="009C778C" w:rsidP="009C778C">
            <w:pPr>
              <w:rPr>
                <w:rFonts w:cstheme="minorHAnsi"/>
                <w:sz w:val="24"/>
                <w:szCs w:val="24"/>
              </w:rPr>
            </w:pPr>
            <w:r w:rsidRPr="009C778C">
              <w:rPr>
                <w:rFonts w:cstheme="minorHAnsi"/>
                <w:sz w:val="24"/>
                <w:szCs w:val="24"/>
              </w:rPr>
              <w:t>(0.01)</w:t>
            </w:r>
          </w:p>
        </w:tc>
        <w:tc>
          <w:tcPr>
            <w:tcW w:w="1263" w:type="dxa"/>
            <w:hideMark/>
          </w:tcPr>
          <w:p w14:paraId="31C86753" w14:textId="77777777" w:rsidR="009C778C" w:rsidRPr="009C778C" w:rsidRDefault="009C778C" w:rsidP="009C778C">
            <w:pPr>
              <w:rPr>
                <w:rFonts w:cstheme="minorHAnsi"/>
                <w:sz w:val="24"/>
                <w:szCs w:val="24"/>
              </w:rPr>
            </w:pPr>
          </w:p>
        </w:tc>
        <w:tc>
          <w:tcPr>
            <w:tcW w:w="900" w:type="dxa"/>
            <w:hideMark/>
          </w:tcPr>
          <w:p w14:paraId="7030A16F" w14:textId="77777777" w:rsidR="009C778C" w:rsidRPr="009C778C" w:rsidRDefault="009C778C" w:rsidP="009C778C">
            <w:pPr>
              <w:rPr>
                <w:rFonts w:cstheme="minorHAnsi"/>
                <w:sz w:val="24"/>
                <w:szCs w:val="24"/>
              </w:rPr>
            </w:pPr>
          </w:p>
        </w:tc>
        <w:tc>
          <w:tcPr>
            <w:tcW w:w="1279" w:type="dxa"/>
            <w:hideMark/>
          </w:tcPr>
          <w:p w14:paraId="14AE07B4" w14:textId="77777777" w:rsidR="009C778C" w:rsidRPr="009C778C" w:rsidRDefault="009C778C" w:rsidP="009C778C">
            <w:pPr>
              <w:rPr>
                <w:rFonts w:cstheme="minorHAnsi"/>
                <w:sz w:val="24"/>
                <w:szCs w:val="24"/>
              </w:rPr>
            </w:pPr>
            <w:r w:rsidRPr="009C778C">
              <w:rPr>
                <w:rFonts w:cstheme="minorHAnsi"/>
                <w:sz w:val="24"/>
                <w:szCs w:val="24"/>
              </w:rPr>
              <w:t>(0.15)</w:t>
            </w:r>
          </w:p>
        </w:tc>
        <w:tc>
          <w:tcPr>
            <w:tcW w:w="1292" w:type="dxa"/>
            <w:hideMark/>
          </w:tcPr>
          <w:p w14:paraId="736A38EA" w14:textId="77777777" w:rsidR="009C778C" w:rsidRPr="009C778C" w:rsidRDefault="009C778C" w:rsidP="009C778C">
            <w:pPr>
              <w:rPr>
                <w:rFonts w:cstheme="minorHAnsi"/>
                <w:sz w:val="24"/>
                <w:szCs w:val="24"/>
              </w:rPr>
            </w:pPr>
          </w:p>
        </w:tc>
      </w:tr>
      <w:tr w:rsidR="002E530A" w:rsidRPr="009C778C" w14:paraId="2E120442" w14:textId="77777777" w:rsidTr="009633A7">
        <w:tc>
          <w:tcPr>
            <w:tcW w:w="3685" w:type="dxa"/>
            <w:hideMark/>
          </w:tcPr>
          <w:p w14:paraId="15FA54A8" w14:textId="77777777" w:rsidR="00BF07BD" w:rsidRPr="009C778C" w:rsidRDefault="00BF07BD" w:rsidP="009C778C">
            <w:pPr>
              <w:rPr>
                <w:rFonts w:cstheme="minorHAnsi"/>
                <w:b/>
                <w:bCs/>
                <w:sz w:val="24"/>
                <w:szCs w:val="24"/>
              </w:rPr>
            </w:pPr>
            <w:r w:rsidRPr="009C778C">
              <w:rPr>
                <w:rFonts w:cstheme="minorHAnsi"/>
                <w:b/>
                <w:bCs/>
                <w:sz w:val="24"/>
                <w:szCs w:val="24"/>
              </w:rPr>
              <w:t>F-stat DEVELOP (FOREIGN_DEVELOP</w:t>
            </w:r>
            <w:r w:rsidRPr="009C778C">
              <w:rPr>
                <w:rFonts w:cstheme="minorHAnsi"/>
                <w:b/>
                <w:bCs/>
                <w:sz w:val="24"/>
                <w:szCs w:val="24"/>
                <w:vertAlign w:val="subscript"/>
              </w:rPr>
              <w:t>t − 1</w:t>
            </w:r>
            <w:r w:rsidRPr="009C778C">
              <w:rPr>
                <w:rFonts w:cstheme="minorHAnsi"/>
                <w:b/>
                <w:bCs/>
                <w:sz w:val="24"/>
                <w:szCs w:val="24"/>
              </w:rPr>
              <w:t>) &gt; EMERG (FOREIGN_DEVELOP</w:t>
            </w:r>
            <w:r w:rsidRPr="009C778C">
              <w:rPr>
                <w:rFonts w:cstheme="minorHAnsi"/>
                <w:b/>
                <w:bCs/>
                <w:sz w:val="24"/>
                <w:szCs w:val="24"/>
                <w:vertAlign w:val="subscript"/>
              </w:rPr>
              <w:t>t − 1</w:t>
            </w:r>
            <w:r w:rsidRPr="009C778C">
              <w:rPr>
                <w:rFonts w:cstheme="minorHAnsi"/>
                <w:b/>
                <w:bCs/>
                <w:sz w:val="24"/>
                <w:szCs w:val="24"/>
              </w:rPr>
              <w:t>)</w:t>
            </w:r>
          </w:p>
        </w:tc>
        <w:tc>
          <w:tcPr>
            <w:tcW w:w="809" w:type="dxa"/>
          </w:tcPr>
          <w:p w14:paraId="3F8E791D" w14:textId="77777777" w:rsidR="00BF07BD" w:rsidRPr="009C778C" w:rsidRDefault="00BF07BD" w:rsidP="009C778C">
            <w:pPr>
              <w:rPr>
                <w:rFonts w:cstheme="minorHAnsi"/>
                <w:b/>
                <w:bCs/>
                <w:sz w:val="24"/>
                <w:szCs w:val="24"/>
              </w:rPr>
            </w:pPr>
          </w:p>
        </w:tc>
        <w:tc>
          <w:tcPr>
            <w:tcW w:w="1438" w:type="dxa"/>
          </w:tcPr>
          <w:p w14:paraId="57C91D55" w14:textId="77777777" w:rsidR="00BF07BD" w:rsidRPr="009C778C" w:rsidRDefault="00BF07BD" w:rsidP="009C778C">
            <w:pPr>
              <w:rPr>
                <w:rFonts w:cstheme="minorHAnsi"/>
                <w:b/>
                <w:bCs/>
                <w:sz w:val="24"/>
                <w:szCs w:val="24"/>
              </w:rPr>
            </w:pPr>
          </w:p>
        </w:tc>
        <w:tc>
          <w:tcPr>
            <w:tcW w:w="1263" w:type="dxa"/>
          </w:tcPr>
          <w:p w14:paraId="597730E0" w14:textId="77777777" w:rsidR="00BF07BD" w:rsidRPr="009C778C" w:rsidRDefault="00BF07BD" w:rsidP="009C778C">
            <w:pPr>
              <w:rPr>
                <w:rFonts w:cstheme="minorHAnsi"/>
                <w:b/>
                <w:bCs/>
                <w:sz w:val="24"/>
                <w:szCs w:val="24"/>
              </w:rPr>
            </w:pPr>
          </w:p>
        </w:tc>
        <w:tc>
          <w:tcPr>
            <w:tcW w:w="900" w:type="dxa"/>
          </w:tcPr>
          <w:p w14:paraId="4C9AE9E6" w14:textId="77777777" w:rsidR="00BF07BD" w:rsidRPr="009C778C" w:rsidRDefault="00BF07BD" w:rsidP="009C778C">
            <w:pPr>
              <w:rPr>
                <w:rFonts w:cstheme="minorHAnsi"/>
                <w:b/>
                <w:bCs/>
                <w:sz w:val="24"/>
                <w:szCs w:val="24"/>
              </w:rPr>
            </w:pPr>
          </w:p>
        </w:tc>
        <w:tc>
          <w:tcPr>
            <w:tcW w:w="1279" w:type="dxa"/>
          </w:tcPr>
          <w:p w14:paraId="6BF51AA5" w14:textId="48057F88" w:rsidR="00BF07BD" w:rsidRPr="009C778C" w:rsidRDefault="00BF07BD" w:rsidP="009C778C">
            <w:pPr>
              <w:rPr>
                <w:rFonts w:cstheme="minorHAnsi"/>
                <w:b/>
                <w:bCs/>
                <w:sz w:val="24"/>
                <w:szCs w:val="24"/>
              </w:rPr>
            </w:pPr>
          </w:p>
        </w:tc>
        <w:tc>
          <w:tcPr>
            <w:tcW w:w="1292" w:type="dxa"/>
            <w:hideMark/>
          </w:tcPr>
          <w:p w14:paraId="350C25C7" w14:textId="77777777" w:rsidR="00BF07BD" w:rsidRPr="009C778C" w:rsidRDefault="00BF07BD" w:rsidP="009C778C">
            <w:pPr>
              <w:rPr>
                <w:rFonts w:cstheme="minorHAnsi"/>
                <w:sz w:val="24"/>
                <w:szCs w:val="24"/>
              </w:rPr>
            </w:pPr>
            <w:r w:rsidRPr="009C778C">
              <w:rPr>
                <w:rFonts w:cstheme="minorHAnsi"/>
                <w:sz w:val="24"/>
                <w:szCs w:val="24"/>
              </w:rPr>
              <w:t>2.08*</w:t>
            </w:r>
          </w:p>
        </w:tc>
      </w:tr>
      <w:tr w:rsidR="002E530A" w:rsidRPr="009C778C" w14:paraId="375859F2" w14:textId="77777777" w:rsidTr="009633A7">
        <w:tc>
          <w:tcPr>
            <w:tcW w:w="3685" w:type="dxa"/>
            <w:hideMark/>
          </w:tcPr>
          <w:p w14:paraId="736FD7C3" w14:textId="77777777" w:rsidR="00282184" w:rsidRPr="009C778C" w:rsidRDefault="00282184" w:rsidP="009C778C">
            <w:pPr>
              <w:rPr>
                <w:rFonts w:cstheme="minorHAnsi"/>
                <w:b/>
                <w:bCs/>
                <w:sz w:val="24"/>
                <w:szCs w:val="24"/>
              </w:rPr>
            </w:pPr>
            <w:r w:rsidRPr="009C778C">
              <w:rPr>
                <w:rFonts w:cstheme="minorHAnsi"/>
                <w:b/>
                <w:bCs/>
                <w:sz w:val="24"/>
                <w:szCs w:val="24"/>
              </w:rPr>
              <w:t>(</w:t>
            </w:r>
            <w:r w:rsidRPr="009C778C">
              <w:rPr>
                <w:rFonts w:cstheme="minorHAnsi"/>
                <w:b/>
                <w:bCs/>
                <w:i/>
                <w:iCs/>
                <w:sz w:val="24"/>
                <w:szCs w:val="24"/>
              </w:rPr>
              <w:t>p</w:t>
            </w:r>
            <w:r w:rsidRPr="009C778C">
              <w:rPr>
                <w:rFonts w:cstheme="minorHAnsi"/>
                <w:b/>
                <w:bCs/>
                <w:sz w:val="24"/>
                <w:szCs w:val="24"/>
              </w:rPr>
              <w:t>-Value)</w:t>
            </w:r>
          </w:p>
        </w:tc>
        <w:tc>
          <w:tcPr>
            <w:tcW w:w="809" w:type="dxa"/>
          </w:tcPr>
          <w:p w14:paraId="24B54D3A" w14:textId="77777777" w:rsidR="00282184" w:rsidRPr="009C778C" w:rsidRDefault="00282184" w:rsidP="009C778C">
            <w:pPr>
              <w:rPr>
                <w:rFonts w:cstheme="minorHAnsi"/>
                <w:b/>
                <w:bCs/>
                <w:sz w:val="24"/>
                <w:szCs w:val="24"/>
              </w:rPr>
            </w:pPr>
          </w:p>
        </w:tc>
        <w:tc>
          <w:tcPr>
            <w:tcW w:w="1438" w:type="dxa"/>
          </w:tcPr>
          <w:p w14:paraId="5A60676F" w14:textId="77777777" w:rsidR="00282184" w:rsidRPr="009C778C" w:rsidRDefault="00282184" w:rsidP="009C778C">
            <w:pPr>
              <w:rPr>
                <w:rFonts w:cstheme="minorHAnsi"/>
                <w:b/>
                <w:bCs/>
                <w:sz w:val="24"/>
                <w:szCs w:val="24"/>
              </w:rPr>
            </w:pPr>
          </w:p>
        </w:tc>
        <w:tc>
          <w:tcPr>
            <w:tcW w:w="1263" w:type="dxa"/>
          </w:tcPr>
          <w:p w14:paraId="3F6D0476" w14:textId="77777777" w:rsidR="00282184" w:rsidRPr="009C778C" w:rsidRDefault="00282184" w:rsidP="009C778C">
            <w:pPr>
              <w:rPr>
                <w:rFonts w:cstheme="minorHAnsi"/>
                <w:b/>
                <w:bCs/>
                <w:sz w:val="24"/>
                <w:szCs w:val="24"/>
              </w:rPr>
            </w:pPr>
          </w:p>
        </w:tc>
        <w:tc>
          <w:tcPr>
            <w:tcW w:w="900" w:type="dxa"/>
          </w:tcPr>
          <w:p w14:paraId="5450F55D" w14:textId="77777777" w:rsidR="00282184" w:rsidRPr="009C778C" w:rsidRDefault="00282184" w:rsidP="009C778C">
            <w:pPr>
              <w:rPr>
                <w:rFonts w:cstheme="minorHAnsi"/>
                <w:b/>
                <w:bCs/>
                <w:sz w:val="24"/>
                <w:szCs w:val="24"/>
              </w:rPr>
            </w:pPr>
          </w:p>
        </w:tc>
        <w:tc>
          <w:tcPr>
            <w:tcW w:w="1279" w:type="dxa"/>
          </w:tcPr>
          <w:p w14:paraId="043A1DF7" w14:textId="09328DA0" w:rsidR="00282184" w:rsidRPr="009C778C" w:rsidRDefault="00282184" w:rsidP="009C778C">
            <w:pPr>
              <w:rPr>
                <w:rFonts w:cstheme="minorHAnsi"/>
                <w:b/>
                <w:bCs/>
                <w:sz w:val="24"/>
                <w:szCs w:val="24"/>
              </w:rPr>
            </w:pPr>
          </w:p>
        </w:tc>
        <w:tc>
          <w:tcPr>
            <w:tcW w:w="1292" w:type="dxa"/>
            <w:hideMark/>
          </w:tcPr>
          <w:p w14:paraId="449C32DE" w14:textId="77777777" w:rsidR="00282184" w:rsidRPr="009C778C" w:rsidRDefault="00282184" w:rsidP="009C778C">
            <w:pPr>
              <w:rPr>
                <w:rFonts w:cstheme="minorHAnsi"/>
                <w:sz w:val="24"/>
                <w:szCs w:val="24"/>
              </w:rPr>
            </w:pPr>
            <w:r w:rsidRPr="009C778C">
              <w:rPr>
                <w:rFonts w:cstheme="minorHAnsi"/>
                <w:sz w:val="24"/>
                <w:szCs w:val="24"/>
              </w:rPr>
              <w:t>(0.07)</w:t>
            </w:r>
          </w:p>
        </w:tc>
      </w:tr>
      <w:tr w:rsidR="002E530A" w:rsidRPr="009C778C" w14:paraId="7F044D48" w14:textId="77777777" w:rsidTr="009633A7">
        <w:tc>
          <w:tcPr>
            <w:tcW w:w="3685" w:type="dxa"/>
            <w:hideMark/>
          </w:tcPr>
          <w:p w14:paraId="1D2F053B" w14:textId="77777777" w:rsidR="00282184" w:rsidRPr="009C778C" w:rsidRDefault="00282184" w:rsidP="009C778C">
            <w:pPr>
              <w:rPr>
                <w:rFonts w:cstheme="minorHAnsi"/>
                <w:b/>
                <w:bCs/>
                <w:sz w:val="24"/>
                <w:szCs w:val="24"/>
              </w:rPr>
            </w:pPr>
            <w:r w:rsidRPr="009C778C">
              <w:rPr>
                <w:rFonts w:cstheme="minorHAnsi"/>
                <w:b/>
                <w:bCs/>
                <w:sz w:val="24"/>
                <w:szCs w:val="24"/>
              </w:rPr>
              <w:t>F-stat DEVELOP (FOREIGN_EMERG</w:t>
            </w:r>
            <w:r w:rsidRPr="009C778C">
              <w:rPr>
                <w:rFonts w:cstheme="minorHAnsi"/>
                <w:b/>
                <w:bCs/>
                <w:sz w:val="24"/>
                <w:szCs w:val="24"/>
                <w:vertAlign w:val="subscript"/>
              </w:rPr>
              <w:t>t − 1</w:t>
            </w:r>
            <w:r w:rsidRPr="009C778C">
              <w:rPr>
                <w:rFonts w:cstheme="minorHAnsi"/>
                <w:b/>
                <w:bCs/>
                <w:sz w:val="24"/>
                <w:szCs w:val="24"/>
              </w:rPr>
              <w:t>) &gt; EMERG (FOREIGN_EMERG</w:t>
            </w:r>
            <w:r w:rsidRPr="009C778C">
              <w:rPr>
                <w:rFonts w:cstheme="minorHAnsi"/>
                <w:b/>
                <w:bCs/>
                <w:sz w:val="24"/>
                <w:szCs w:val="24"/>
                <w:vertAlign w:val="subscript"/>
              </w:rPr>
              <w:t>t − 1</w:t>
            </w:r>
            <w:r w:rsidRPr="009C778C">
              <w:rPr>
                <w:rFonts w:cstheme="minorHAnsi"/>
                <w:b/>
                <w:bCs/>
                <w:sz w:val="24"/>
                <w:szCs w:val="24"/>
              </w:rPr>
              <w:t>)</w:t>
            </w:r>
          </w:p>
        </w:tc>
        <w:tc>
          <w:tcPr>
            <w:tcW w:w="809" w:type="dxa"/>
          </w:tcPr>
          <w:p w14:paraId="2FE86DE5" w14:textId="77777777" w:rsidR="00282184" w:rsidRPr="009C778C" w:rsidRDefault="00282184" w:rsidP="009C778C">
            <w:pPr>
              <w:rPr>
                <w:rFonts w:cstheme="minorHAnsi"/>
                <w:b/>
                <w:bCs/>
                <w:sz w:val="24"/>
                <w:szCs w:val="24"/>
              </w:rPr>
            </w:pPr>
          </w:p>
        </w:tc>
        <w:tc>
          <w:tcPr>
            <w:tcW w:w="1438" w:type="dxa"/>
          </w:tcPr>
          <w:p w14:paraId="02CCAC48" w14:textId="77777777" w:rsidR="00282184" w:rsidRPr="009C778C" w:rsidRDefault="00282184" w:rsidP="009C778C">
            <w:pPr>
              <w:rPr>
                <w:rFonts w:cstheme="minorHAnsi"/>
                <w:b/>
                <w:bCs/>
                <w:sz w:val="24"/>
                <w:szCs w:val="24"/>
              </w:rPr>
            </w:pPr>
          </w:p>
        </w:tc>
        <w:tc>
          <w:tcPr>
            <w:tcW w:w="1263" w:type="dxa"/>
          </w:tcPr>
          <w:p w14:paraId="00FA0194" w14:textId="77777777" w:rsidR="00282184" w:rsidRPr="009C778C" w:rsidRDefault="00282184" w:rsidP="009C778C">
            <w:pPr>
              <w:rPr>
                <w:rFonts w:cstheme="minorHAnsi"/>
                <w:b/>
                <w:bCs/>
                <w:sz w:val="24"/>
                <w:szCs w:val="24"/>
              </w:rPr>
            </w:pPr>
          </w:p>
        </w:tc>
        <w:tc>
          <w:tcPr>
            <w:tcW w:w="900" w:type="dxa"/>
          </w:tcPr>
          <w:p w14:paraId="121B3FD2" w14:textId="77777777" w:rsidR="00282184" w:rsidRPr="009C778C" w:rsidRDefault="00282184" w:rsidP="009C778C">
            <w:pPr>
              <w:rPr>
                <w:rFonts w:cstheme="minorHAnsi"/>
                <w:b/>
                <w:bCs/>
                <w:sz w:val="24"/>
                <w:szCs w:val="24"/>
              </w:rPr>
            </w:pPr>
          </w:p>
        </w:tc>
        <w:tc>
          <w:tcPr>
            <w:tcW w:w="1279" w:type="dxa"/>
          </w:tcPr>
          <w:p w14:paraId="537F76F3" w14:textId="6F0490AC" w:rsidR="00282184" w:rsidRPr="009C778C" w:rsidRDefault="00282184" w:rsidP="009C778C">
            <w:pPr>
              <w:rPr>
                <w:rFonts w:cstheme="minorHAnsi"/>
                <w:b/>
                <w:bCs/>
                <w:sz w:val="24"/>
                <w:szCs w:val="24"/>
              </w:rPr>
            </w:pPr>
          </w:p>
        </w:tc>
        <w:tc>
          <w:tcPr>
            <w:tcW w:w="1292" w:type="dxa"/>
            <w:hideMark/>
          </w:tcPr>
          <w:p w14:paraId="5C03208B" w14:textId="77777777" w:rsidR="00282184" w:rsidRPr="009C778C" w:rsidRDefault="00282184" w:rsidP="009C778C">
            <w:pPr>
              <w:rPr>
                <w:rFonts w:cstheme="minorHAnsi"/>
                <w:sz w:val="24"/>
                <w:szCs w:val="24"/>
              </w:rPr>
            </w:pPr>
            <w:r w:rsidRPr="009C778C">
              <w:rPr>
                <w:rFonts w:cstheme="minorHAnsi"/>
                <w:sz w:val="24"/>
                <w:szCs w:val="24"/>
              </w:rPr>
              <w:t>0.87</w:t>
            </w:r>
          </w:p>
        </w:tc>
      </w:tr>
      <w:tr w:rsidR="002E530A" w:rsidRPr="009C778C" w14:paraId="192B9072" w14:textId="77777777" w:rsidTr="009633A7">
        <w:tc>
          <w:tcPr>
            <w:tcW w:w="3685" w:type="dxa"/>
            <w:hideMark/>
          </w:tcPr>
          <w:p w14:paraId="1AC30890" w14:textId="77777777" w:rsidR="002E530A" w:rsidRPr="009C778C" w:rsidRDefault="002E530A" w:rsidP="009C778C">
            <w:pPr>
              <w:rPr>
                <w:rFonts w:cstheme="minorHAnsi"/>
                <w:b/>
                <w:bCs/>
                <w:sz w:val="24"/>
                <w:szCs w:val="24"/>
              </w:rPr>
            </w:pPr>
            <w:r w:rsidRPr="009C778C">
              <w:rPr>
                <w:rFonts w:cstheme="minorHAnsi"/>
                <w:b/>
                <w:bCs/>
                <w:sz w:val="24"/>
                <w:szCs w:val="24"/>
              </w:rPr>
              <w:t>(</w:t>
            </w:r>
            <w:r w:rsidRPr="009C778C">
              <w:rPr>
                <w:rFonts w:cstheme="minorHAnsi"/>
                <w:b/>
                <w:bCs/>
                <w:i/>
                <w:iCs/>
                <w:sz w:val="24"/>
                <w:szCs w:val="24"/>
              </w:rPr>
              <w:t>p</w:t>
            </w:r>
            <w:r w:rsidRPr="009C778C">
              <w:rPr>
                <w:rFonts w:cstheme="minorHAnsi"/>
                <w:b/>
                <w:bCs/>
                <w:sz w:val="24"/>
                <w:szCs w:val="24"/>
              </w:rPr>
              <w:t>-Value)</w:t>
            </w:r>
          </w:p>
        </w:tc>
        <w:tc>
          <w:tcPr>
            <w:tcW w:w="809" w:type="dxa"/>
          </w:tcPr>
          <w:p w14:paraId="472C327C" w14:textId="77777777" w:rsidR="002E530A" w:rsidRPr="009C778C" w:rsidRDefault="002E530A" w:rsidP="009C778C">
            <w:pPr>
              <w:rPr>
                <w:rFonts w:cstheme="minorHAnsi"/>
                <w:b/>
                <w:bCs/>
                <w:sz w:val="24"/>
                <w:szCs w:val="24"/>
              </w:rPr>
            </w:pPr>
          </w:p>
        </w:tc>
        <w:tc>
          <w:tcPr>
            <w:tcW w:w="1438" w:type="dxa"/>
          </w:tcPr>
          <w:p w14:paraId="0599A567" w14:textId="77777777" w:rsidR="002E530A" w:rsidRPr="009C778C" w:rsidRDefault="002E530A" w:rsidP="009C778C">
            <w:pPr>
              <w:rPr>
                <w:rFonts w:cstheme="minorHAnsi"/>
                <w:b/>
                <w:bCs/>
                <w:sz w:val="24"/>
                <w:szCs w:val="24"/>
              </w:rPr>
            </w:pPr>
          </w:p>
        </w:tc>
        <w:tc>
          <w:tcPr>
            <w:tcW w:w="1263" w:type="dxa"/>
          </w:tcPr>
          <w:p w14:paraId="726B1889" w14:textId="77777777" w:rsidR="002E530A" w:rsidRPr="009C778C" w:rsidRDefault="002E530A" w:rsidP="009C778C">
            <w:pPr>
              <w:rPr>
                <w:rFonts w:cstheme="minorHAnsi"/>
                <w:b/>
                <w:bCs/>
                <w:sz w:val="24"/>
                <w:szCs w:val="24"/>
              </w:rPr>
            </w:pPr>
          </w:p>
        </w:tc>
        <w:tc>
          <w:tcPr>
            <w:tcW w:w="900" w:type="dxa"/>
          </w:tcPr>
          <w:p w14:paraId="119941D9" w14:textId="77777777" w:rsidR="002E530A" w:rsidRPr="009C778C" w:rsidRDefault="002E530A" w:rsidP="009C778C">
            <w:pPr>
              <w:rPr>
                <w:rFonts w:cstheme="minorHAnsi"/>
                <w:b/>
                <w:bCs/>
                <w:sz w:val="24"/>
                <w:szCs w:val="24"/>
              </w:rPr>
            </w:pPr>
          </w:p>
        </w:tc>
        <w:tc>
          <w:tcPr>
            <w:tcW w:w="1279" w:type="dxa"/>
          </w:tcPr>
          <w:p w14:paraId="6315CCB9" w14:textId="22290574" w:rsidR="002E530A" w:rsidRPr="009C778C" w:rsidRDefault="002E530A" w:rsidP="009C778C">
            <w:pPr>
              <w:rPr>
                <w:rFonts w:cstheme="minorHAnsi"/>
                <w:b/>
                <w:bCs/>
                <w:sz w:val="24"/>
                <w:szCs w:val="24"/>
              </w:rPr>
            </w:pPr>
          </w:p>
        </w:tc>
        <w:tc>
          <w:tcPr>
            <w:tcW w:w="1292" w:type="dxa"/>
            <w:hideMark/>
          </w:tcPr>
          <w:p w14:paraId="565BC1ED" w14:textId="77777777" w:rsidR="002E530A" w:rsidRPr="009C778C" w:rsidRDefault="002E530A" w:rsidP="009C778C">
            <w:pPr>
              <w:rPr>
                <w:rFonts w:cstheme="minorHAnsi"/>
                <w:sz w:val="24"/>
                <w:szCs w:val="24"/>
              </w:rPr>
            </w:pPr>
            <w:r w:rsidRPr="009C778C">
              <w:rPr>
                <w:rFonts w:cstheme="minorHAnsi"/>
                <w:sz w:val="24"/>
                <w:szCs w:val="24"/>
              </w:rPr>
              <w:t>(0.18)</w:t>
            </w:r>
          </w:p>
        </w:tc>
      </w:tr>
      <w:tr w:rsidR="009633A7" w:rsidRPr="009C778C" w14:paraId="12700C7C" w14:textId="77777777" w:rsidTr="009633A7">
        <w:tc>
          <w:tcPr>
            <w:tcW w:w="3685" w:type="dxa"/>
            <w:hideMark/>
          </w:tcPr>
          <w:p w14:paraId="52A4907B" w14:textId="77777777" w:rsidR="002E530A" w:rsidRPr="009C778C" w:rsidRDefault="002E530A" w:rsidP="009C778C">
            <w:pPr>
              <w:rPr>
                <w:rFonts w:cstheme="minorHAnsi"/>
                <w:b/>
                <w:bCs/>
                <w:sz w:val="24"/>
                <w:szCs w:val="24"/>
              </w:rPr>
            </w:pPr>
            <w:r w:rsidRPr="009C778C">
              <w:rPr>
                <w:rFonts w:cstheme="minorHAnsi"/>
                <w:b/>
                <w:bCs/>
                <w:sz w:val="24"/>
                <w:szCs w:val="24"/>
              </w:rPr>
              <w:t>F-stat DEVELOP (DOMESTIC</w:t>
            </w:r>
            <w:r w:rsidRPr="009C778C">
              <w:rPr>
                <w:rFonts w:cstheme="minorHAnsi"/>
                <w:b/>
                <w:bCs/>
                <w:sz w:val="24"/>
                <w:szCs w:val="24"/>
                <w:vertAlign w:val="subscript"/>
              </w:rPr>
              <w:t>t − 1</w:t>
            </w:r>
            <w:r w:rsidRPr="009C778C">
              <w:rPr>
                <w:rFonts w:cstheme="minorHAnsi"/>
                <w:b/>
                <w:bCs/>
                <w:sz w:val="24"/>
                <w:szCs w:val="24"/>
              </w:rPr>
              <w:t> − FOREIGN</w:t>
            </w:r>
            <w:r w:rsidRPr="009C778C">
              <w:rPr>
                <w:rFonts w:cstheme="minorHAnsi"/>
                <w:b/>
                <w:bCs/>
                <w:sz w:val="24"/>
                <w:szCs w:val="24"/>
                <w:vertAlign w:val="subscript"/>
              </w:rPr>
              <w:t>t − 1</w:t>
            </w:r>
            <w:r w:rsidRPr="009C778C">
              <w:rPr>
                <w:rFonts w:cstheme="minorHAnsi"/>
                <w:b/>
                <w:bCs/>
                <w:sz w:val="24"/>
                <w:szCs w:val="24"/>
              </w:rPr>
              <w:t>) &lt; EMERG (DOMESTIC</w:t>
            </w:r>
            <w:r w:rsidRPr="009C778C">
              <w:rPr>
                <w:rFonts w:cstheme="minorHAnsi"/>
                <w:b/>
                <w:bCs/>
                <w:sz w:val="24"/>
                <w:szCs w:val="24"/>
                <w:vertAlign w:val="subscript"/>
              </w:rPr>
              <w:t>t − 1</w:t>
            </w:r>
            <w:r w:rsidRPr="009C778C">
              <w:rPr>
                <w:rFonts w:cstheme="minorHAnsi"/>
                <w:b/>
                <w:bCs/>
                <w:sz w:val="24"/>
                <w:szCs w:val="24"/>
              </w:rPr>
              <w:t> − FOREIGN</w:t>
            </w:r>
            <w:r w:rsidRPr="009C778C">
              <w:rPr>
                <w:rFonts w:cstheme="minorHAnsi"/>
                <w:b/>
                <w:bCs/>
                <w:sz w:val="24"/>
                <w:szCs w:val="24"/>
                <w:vertAlign w:val="subscript"/>
              </w:rPr>
              <w:t>t − 1</w:t>
            </w:r>
            <w:r w:rsidRPr="009C778C">
              <w:rPr>
                <w:rFonts w:cstheme="minorHAnsi"/>
                <w:b/>
                <w:bCs/>
                <w:sz w:val="24"/>
                <w:szCs w:val="24"/>
              </w:rPr>
              <w:t>)</w:t>
            </w:r>
          </w:p>
        </w:tc>
        <w:tc>
          <w:tcPr>
            <w:tcW w:w="809" w:type="dxa"/>
          </w:tcPr>
          <w:p w14:paraId="0E47A2A4" w14:textId="77777777" w:rsidR="002E530A" w:rsidRPr="009C778C" w:rsidRDefault="002E530A" w:rsidP="009C778C">
            <w:pPr>
              <w:rPr>
                <w:rFonts w:cstheme="minorHAnsi"/>
                <w:b/>
                <w:bCs/>
                <w:sz w:val="24"/>
                <w:szCs w:val="24"/>
              </w:rPr>
            </w:pPr>
          </w:p>
        </w:tc>
        <w:tc>
          <w:tcPr>
            <w:tcW w:w="1438" w:type="dxa"/>
          </w:tcPr>
          <w:p w14:paraId="6D372CE4" w14:textId="77777777" w:rsidR="002E530A" w:rsidRPr="009C778C" w:rsidRDefault="002E530A" w:rsidP="009C778C">
            <w:pPr>
              <w:rPr>
                <w:rFonts w:cstheme="minorHAnsi"/>
                <w:b/>
                <w:bCs/>
                <w:sz w:val="24"/>
                <w:szCs w:val="24"/>
              </w:rPr>
            </w:pPr>
          </w:p>
        </w:tc>
        <w:tc>
          <w:tcPr>
            <w:tcW w:w="1263" w:type="dxa"/>
          </w:tcPr>
          <w:p w14:paraId="78C21352" w14:textId="77777777" w:rsidR="002E530A" w:rsidRPr="009C778C" w:rsidRDefault="002E530A" w:rsidP="009C778C">
            <w:pPr>
              <w:rPr>
                <w:rFonts w:cstheme="minorHAnsi"/>
                <w:b/>
                <w:bCs/>
                <w:sz w:val="24"/>
                <w:szCs w:val="24"/>
              </w:rPr>
            </w:pPr>
          </w:p>
        </w:tc>
        <w:tc>
          <w:tcPr>
            <w:tcW w:w="900" w:type="dxa"/>
          </w:tcPr>
          <w:p w14:paraId="486C3197" w14:textId="77777777" w:rsidR="002E530A" w:rsidRPr="009C778C" w:rsidRDefault="002E530A" w:rsidP="009C778C">
            <w:pPr>
              <w:rPr>
                <w:rFonts w:cstheme="minorHAnsi"/>
                <w:b/>
                <w:bCs/>
                <w:sz w:val="24"/>
                <w:szCs w:val="24"/>
              </w:rPr>
            </w:pPr>
          </w:p>
        </w:tc>
        <w:tc>
          <w:tcPr>
            <w:tcW w:w="1279" w:type="dxa"/>
          </w:tcPr>
          <w:p w14:paraId="375115BE" w14:textId="62FB02BA" w:rsidR="002E530A" w:rsidRPr="009C778C" w:rsidRDefault="002E530A" w:rsidP="009C778C">
            <w:pPr>
              <w:rPr>
                <w:rFonts w:cstheme="minorHAnsi"/>
                <w:b/>
                <w:bCs/>
                <w:sz w:val="24"/>
                <w:szCs w:val="24"/>
              </w:rPr>
            </w:pPr>
          </w:p>
        </w:tc>
        <w:tc>
          <w:tcPr>
            <w:tcW w:w="1292" w:type="dxa"/>
            <w:hideMark/>
          </w:tcPr>
          <w:p w14:paraId="3CBBF9EF" w14:textId="77777777" w:rsidR="002E530A" w:rsidRPr="009C778C" w:rsidRDefault="002E530A" w:rsidP="009C778C">
            <w:pPr>
              <w:rPr>
                <w:rFonts w:cstheme="minorHAnsi"/>
                <w:sz w:val="24"/>
                <w:szCs w:val="24"/>
              </w:rPr>
            </w:pPr>
            <w:r w:rsidRPr="009C778C">
              <w:rPr>
                <w:rFonts w:cstheme="minorHAnsi"/>
                <w:sz w:val="24"/>
                <w:szCs w:val="24"/>
              </w:rPr>
              <w:t>0.71</w:t>
            </w:r>
          </w:p>
        </w:tc>
      </w:tr>
      <w:tr w:rsidR="002E530A" w:rsidRPr="009C778C" w14:paraId="0FE87617" w14:textId="77777777" w:rsidTr="009633A7">
        <w:tc>
          <w:tcPr>
            <w:tcW w:w="3685" w:type="dxa"/>
            <w:hideMark/>
          </w:tcPr>
          <w:p w14:paraId="11871F6F" w14:textId="77777777" w:rsidR="002E530A" w:rsidRPr="009C778C" w:rsidRDefault="002E530A" w:rsidP="009C778C">
            <w:pPr>
              <w:rPr>
                <w:rFonts w:cstheme="minorHAnsi"/>
                <w:b/>
                <w:bCs/>
                <w:sz w:val="24"/>
                <w:szCs w:val="24"/>
              </w:rPr>
            </w:pPr>
            <w:r w:rsidRPr="009C778C">
              <w:rPr>
                <w:rFonts w:cstheme="minorHAnsi"/>
                <w:b/>
                <w:bCs/>
                <w:sz w:val="24"/>
                <w:szCs w:val="24"/>
              </w:rPr>
              <w:t>(</w:t>
            </w:r>
            <w:r w:rsidRPr="009C778C">
              <w:rPr>
                <w:rFonts w:cstheme="minorHAnsi"/>
                <w:b/>
                <w:bCs/>
                <w:i/>
                <w:iCs/>
                <w:sz w:val="24"/>
                <w:szCs w:val="24"/>
              </w:rPr>
              <w:t>p</w:t>
            </w:r>
            <w:r w:rsidRPr="009C778C">
              <w:rPr>
                <w:rFonts w:cstheme="minorHAnsi"/>
                <w:b/>
                <w:bCs/>
                <w:sz w:val="24"/>
                <w:szCs w:val="24"/>
              </w:rPr>
              <w:t>-Value)</w:t>
            </w:r>
          </w:p>
        </w:tc>
        <w:tc>
          <w:tcPr>
            <w:tcW w:w="809" w:type="dxa"/>
          </w:tcPr>
          <w:p w14:paraId="07CDA7A4" w14:textId="77777777" w:rsidR="002E530A" w:rsidRPr="009C778C" w:rsidRDefault="002E530A" w:rsidP="009C778C">
            <w:pPr>
              <w:rPr>
                <w:rFonts w:cstheme="minorHAnsi"/>
                <w:b/>
                <w:bCs/>
                <w:sz w:val="24"/>
                <w:szCs w:val="24"/>
              </w:rPr>
            </w:pPr>
          </w:p>
        </w:tc>
        <w:tc>
          <w:tcPr>
            <w:tcW w:w="1438" w:type="dxa"/>
          </w:tcPr>
          <w:p w14:paraId="77A4E889" w14:textId="77777777" w:rsidR="002E530A" w:rsidRPr="009C778C" w:rsidRDefault="002E530A" w:rsidP="009C778C">
            <w:pPr>
              <w:rPr>
                <w:rFonts w:cstheme="minorHAnsi"/>
                <w:b/>
                <w:bCs/>
                <w:sz w:val="24"/>
                <w:szCs w:val="24"/>
              </w:rPr>
            </w:pPr>
          </w:p>
        </w:tc>
        <w:tc>
          <w:tcPr>
            <w:tcW w:w="1263" w:type="dxa"/>
          </w:tcPr>
          <w:p w14:paraId="0C79C530" w14:textId="77777777" w:rsidR="002E530A" w:rsidRPr="009C778C" w:rsidRDefault="002E530A" w:rsidP="009C778C">
            <w:pPr>
              <w:rPr>
                <w:rFonts w:cstheme="minorHAnsi"/>
                <w:b/>
                <w:bCs/>
                <w:sz w:val="24"/>
                <w:szCs w:val="24"/>
              </w:rPr>
            </w:pPr>
          </w:p>
        </w:tc>
        <w:tc>
          <w:tcPr>
            <w:tcW w:w="900" w:type="dxa"/>
          </w:tcPr>
          <w:p w14:paraId="368E67D4" w14:textId="77777777" w:rsidR="002E530A" w:rsidRPr="009C778C" w:rsidRDefault="002E530A" w:rsidP="009C778C">
            <w:pPr>
              <w:rPr>
                <w:rFonts w:cstheme="minorHAnsi"/>
                <w:b/>
                <w:bCs/>
                <w:sz w:val="24"/>
                <w:szCs w:val="24"/>
              </w:rPr>
            </w:pPr>
          </w:p>
        </w:tc>
        <w:tc>
          <w:tcPr>
            <w:tcW w:w="1279" w:type="dxa"/>
          </w:tcPr>
          <w:p w14:paraId="6F9BAF89" w14:textId="3B1AE31A" w:rsidR="002E530A" w:rsidRPr="009C778C" w:rsidRDefault="002E530A" w:rsidP="009C778C">
            <w:pPr>
              <w:rPr>
                <w:rFonts w:cstheme="minorHAnsi"/>
                <w:b/>
                <w:bCs/>
                <w:sz w:val="24"/>
                <w:szCs w:val="24"/>
              </w:rPr>
            </w:pPr>
          </w:p>
        </w:tc>
        <w:tc>
          <w:tcPr>
            <w:tcW w:w="1292" w:type="dxa"/>
            <w:hideMark/>
          </w:tcPr>
          <w:p w14:paraId="42AA0757" w14:textId="77777777" w:rsidR="002E530A" w:rsidRPr="009C778C" w:rsidRDefault="002E530A" w:rsidP="009C778C">
            <w:pPr>
              <w:rPr>
                <w:rFonts w:cstheme="minorHAnsi"/>
                <w:sz w:val="24"/>
                <w:szCs w:val="24"/>
              </w:rPr>
            </w:pPr>
            <w:r w:rsidRPr="009C778C">
              <w:rPr>
                <w:rFonts w:cstheme="minorHAnsi"/>
                <w:sz w:val="24"/>
                <w:szCs w:val="24"/>
              </w:rPr>
              <w:t>(0.20)</w:t>
            </w:r>
          </w:p>
        </w:tc>
      </w:tr>
      <w:tr w:rsidR="002E530A" w:rsidRPr="009C778C" w14:paraId="6C5E6882" w14:textId="77777777" w:rsidTr="009633A7">
        <w:tc>
          <w:tcPr>
            <w:tcW w:w="3685" w:type="dxa"/>
            <w:hideMark/>
          </w:tcPr>
          <w:p w14:paraId="4278F306" w14:textId="77777777" w:rsidR="002E530A" w:rsidRPr="009C778C" w:rsidRDefault="002E530A" w:rsidP="009C778C">
            <w:pPr>
              <w:rPr>
                <w:rFonts w:cstheme="minorHAnsi"/>
                <w:b/>
                <w:bCs/>
                <w:sz w:val="24"/>
                <w:szCs w:val="24"/>
              </w:rPr>
            </w:pPr>
            <w:r w:rsidRPr="009C778C">
              <w:rPr>
                <w:rFonts w:cstheme="minorHAnsi"/>
                <w:b/>
                <w:bCs/>
                <w:sz w:val="24"/>
                <w:szCs w:val="24"/>
              </w:rPr>
              <w:t>F-stat DEVELOP (DOMESTIC</w:t>
            </w:r>
            <w:r w:rsidRPr="009C778C">
              <w:rPr>
                <w:rFonts w:cstheme="minorHAnsi"/>
                <w:b/>
                <w:bCs/>
                <w:sz w:val="24"/>
                <w:szCs w:val="24"/>
                <w:vertAlign w:val="subscript"/>
              </w:rPr>
              <w:t>t − 1</w:t>
            </w:r>
            <w:r w:rsidRPr="009C778C">
              <w:rPr>
                <w:rFonts w:cstheme="minorHAnsi"/>
                <w:b/>
                <w:bCs/>
                <w:sz w:val="24"/>
                <w:szCs w:val="24"/>
              </w:rPr>
              <w:t> – FOREIGN_EMERG</w:t>
            </w:r>
            <w:r w:rsidRPr="009C778C">
              <w:rPr>
                <w:rFonts w:cstheme="minorHAnsi"/>
                <w:b/>
                <w:bCs/>
                <w:sz w:val="24"/>
                <w:szCs w:val="24"/>
                <w:vertAlign w:val="subscript"/>
              </w:rPr>
              <w:t>t − 1</w:t>
            </w:r>
            <w:r w:rsidRPr="009C778C">
              <w:rPr>
                <w:rFonts w:cstheme="minorHAnsi"/>
                <w:b/>
                <w:bCs/>
                <w:sz w:val="24"/>
                <w:szCs w:val="24"/>
              </w:rPr>
              <w:t>) &lt; EMERG (DOMESTIC</w:t>
            </w:r>
            <w:r w:rsidRPr="009C778C">
              <w:rPr>
                <w:rFonts w:cstheme="minorHAnsi"/>
                <w:b/>
                <w:bCs/>
                <w:sz w:val="24"/>
                <w:szCs w:val="24"/>
                <w:vertAlign w:val="subscript"/>
              </w:rPr>
              <w:t>t − 1</w:t>
            </w:r>
            <w:r w:rsidRPr="009C778C">
              <w:rPr>
                <w:rFonts w:cstheme="minorHAnsi"/>
                <w:b/>
                <w:bCs/>
                <w:sz w:val="24"/>
                <w:szCs w:val="24"/>
              </w:rPr>
              <w:t> – FOREIGN_DEVELOP</w:t>
            </w:r>
            <w:r w:rsidRPr="009C778C">
              <w:rPr>
                <w:rFonts w:cstheme="minorHAnsi"/>
                <w:b/>
                <w:bCs/>
                <w:sz w:val="24"/>
                <w:szCs w:val="24"/>
                <w:vertAlign w:val="subscript"/>
              </w:rPr>
              <w:t>t − 1</w:t>
            </w:r>
            <w:r w:rsidRPr="009C778C">
              <w:rPr>
                <w:rFonts w:cstheme="minorHAnsi"/>
                <w:b/>
                <w:bCs/>
                <w:sz w:val="24"/>
                <w:szCs w:val="24"/>
              </w:rPr>
              <w:t>)(</w:t>
            </w:r>
            <w:r w:rsidRPr="009C778C">
              <w:rPr>
                <w:rFonts w:cstheme="minorHAnsi"/>
                <w:b/>
                <w:bCs/>
                <w:i/>
                <w:iCs/>
                <w:sz w:val="24"/>
                <w:szCs w:val="24"/>
              </w:rPr>
              <w:t>p</w:t>
            </w:r>
            <w:r w:rsidRPr="009C778C">
              <w:rPr>
                <w:rFonts w:cstheme="minorHAnsi"/>
                <w:b/>
                <w:bCs/>
                <w:sz w:val="24"/>
                <w:szCs w:val="24"/>
              </w:rPr>
              <w:t>-Value)</w:t>
            </w:r>
          </w:p>
        </w:tc>
        <w:tc>
          <w:tcPr>
            <w:tcW w:w="809" w:type="dxa"/>
          </w:tcPr>
          <w:p w14:paraId="350FFF61" w14:textId="77777777" w:rsidR="002E530A" w:rsidRPr="009C778C" w:rsidRDefault="002E530A" w:rsidP="009C778C">
            <w:pPr>
              <w:rPr>
                <w:rFonts w:cstheme="minorHAnsi"/>
                <w:b/>
                <w:bCs/>
                <w:sz w:val="24"/>
                <w:szCs w:val="24"/>
              </w:rPr>
            </w:pPr>
          </w:p>
        </w:tc>
        <w:tc>
          <w:tcPr>
            <w:tcW w:w="1438" w:type="dxa"/>
          </w:tcPr>
          <w:p w14:paraId="41C4E9AE" w14:textId="77777777" w:rsidR="002E530A" w:rsidRPr="009C778C" w:rsidRDefault="002E530A" w:rsidP="009C778C">
            <w:pPr>
              <w:rPr>
                <w:rFonts w:cstheme="minorHAnsi"/>
                <w:b/>
                <w:bCs/>
                <w:sz w:val="24"/>
                <w:szCs w:val="24"/>
              </w:rPr>
            </w:pPr>
          </w:p>
        </w:tc>
        <w:tc>
          <w:tcPr>
            <w:tcW w:w="1263" w:type="dxa"/>
          </w:tcPr>
          <w:p w14:paraId="3A458FF4" w14:textId="77777777" w:rsidR="002E530A" w:rsidRPr="009C778C" w:rsidRDefault="002E530A" w:rsidP="009C778C">
            <w:pPr>
              <w:rPr>
                <w:rFonts w:cstheme="minorHAnsi"/>
                <w:b/>
                <w:bCs/>
                <w:sz w:val="24"/>
                <w:szCs w:val="24"/>
              </w:rPr>
            </w:pPr>
          </w:p>
        </w:tc>
        <w:tc>
          <w:tcPr>
            <w:tcW w:w="900" w:type="dxa"/>
          </w:tcPr>
          <w:p w14:paraId="19B05205" w14:textId="77777777" w:rsidR="002E530A" w:rsidRPr="009C778C" w:rsidRDefault="002E530A" w:rsidP="009C778C">
            <w:pPr>
              <w:rPr>
                <w:rFonts w:cstheme="minorHAnsi"/>
                <w:b/>
                <w:bCs/>
                <w:sz w:val="24"/>
                <w:szCs w:val="24"/>
              </w:rPr>
            </w:pPr>
          </w:p>
        </w:tc>
        <w:tc>
          <w:tcPr>
            <w:tcW w:w="1279" w:type="dxa"/>
          </w:tcPr>
          <w:p w14:paraId="64070FE5" w14:textId="61A64383" w:rsidR="002E530A" w:rsidRPr="009C778C" w:rsidRDefault="002E530A" w:rsidP="009C778C">
            <w:pPr>
              <w:rPr>
                <w:rFonts w:cstheme="minorHAnsi"/>
                <w:b/>
                <w:bCs/>
                <w:sz w:val="24"/>
                <w:szCs w:val="24"/>
              </w:rPr>
            </w:pPr>
          </w:p>
        </w:tc>
        <w:tc>
          <w:tcPr>
            <w:tcW w:w="1292" w:type="dxa"/>
            <w:hideMark/>
          </w:tcPr>
          <w:p w14:paraId="7DF99F3A" w14:textId="77777777" w:rsidR="002E530A" w:rsidRPr="009C778C" w:rsidRDefault="002E530A" w:rsidP="009C778C">
            <w:pPr>
              <w:rPr>
                <w:rFonts w:cstheme="minorHAnsi"/>
                <w:sz w:val="24"/>
                <w:szCs w:val="24"/>
              </w:rPr>
            </w:pPr>
            <w:r w:rsidRPr="009C778C">
              <w:rPr>
                <w:rFonts w:cstheme="minorHAnsi"/>
                <w:sz w:val="24"/>
                <w:szCs w:val="24"/>
              </w:rPr>
              <w:t>4.20**</w:t>
            </w:r>
          </w:p>
        </w:tc>
      </w:tr>
      <w:tr w:rsidR="002E530A" w:rsidRPr="009C778C" w14:paraId="3350B4DC" w14:textId="77777777" w:rsidTr="009633A7">
        <w:tc>
          <w:tcPr>
            <w:tcW w:w="3685" w:type="dxa"/>
            <w:hideMark/>
          </w:tcPr>
          <w:p w14:paraId="2C0FEA16" w14:textId="77777777" w:rsidR="002E530A" w:rsidRPr="009C778C" w:rsidRDefault="002E530A" w:rsidP="009C778C">
            <w:pPr>
              <w:rPr>
                <w:rFonts w:cstheme="minorHAnsi"/>
                <w:b/>
                <w:bCs/>
                <w:sz w:val="24"/>
                <w:szCs w:val="24"/>
              </w:rPr>
            </w:pPr>
          </w:p>
        </w:tc>
        <w:tc>
          <w:tcPr>
            <w:tcW w:w="809" w:type="dxa"/>
          </w:tcPr>
          <w:p w14:paraId="79940C67" w14:textId="77777777" w:rsidR="002E530A" w:rsidRPr="009C778C" w:rsidRDefault="002E530A" w:rsidP="009C778C">
            <w:pPr>
              <w:rPr>
                <w:rFonts w:cstheme="minorHAnsi"/>
                <w:b/>
                <w:bCs/>
                <w:sz w:val="24"/>
                <w:szCs w:val="24"/>
              </w:rPr>
            </w:pPr>
          </w:p>
        </w:tc>
        <w:tc>
          <w:tcPr>
            <w:tcW w:w="1438" w:type="dxa"/>
          </w:tcPr>
          <w:p w14:paraId="3FACD762" w14:textId="77777777" w:rsidR="002E530A" w:rsidRPr="009C778C" w:rsidRDefault="002E530A" w:rsidP="009C778C">
            <w:pPr>
              <w:rPr>
                <w:rFonts w:cstheme="minorHAnsi"/>
                <w:b/>
                <w:bCs/>
                <w:sz w:val="24"/>
                <w:szCs w:val="24"/>
              </w:rPr>
            </w:pPr>
          </w:p>
        </w:tc>
        <w:tc>
          <w:tcPr>
            <w:tcW w:w="1263" w:type="dxa"/>
          </w:tcPr>
          <w:p w14:paraId="64CFB021" w14:textId="77777777" w:rsidR="002E530A" w:rsidRPr="009C778C" w:rsidRDefault="002E530A" w:rsidP="009C778C">
            <w:pPr>
              <w:rPr>
                <w:rFonts w:cstheme="minorHAnsi"/>
                <w:b/>
                <w:bCs/>
                <w:sz w:val="24"/>
                <w:szCs w:val="24"/>
              </w:rPr>
            </w:pPr>
          </w:p>
        </w:tc>
        <w:tc>
          <w:tcPr>
            <w:tcW w:w="900" w:type="dxa"/>
          </w:tcPr>
          <w:p w14:paraId="0EA4C08D" w14:textId="77777777" w:rsidR="002E530A" w:rsidRPr="009C778C" w:rsidRDefault="002E530A" w:rsidP="009C778C">
            <w:pPr>
              <w:rPr>
                <w:rFonts w:cstheme="minorHAnsi"/>
                <w:b/>
                <w:bCs/>
                <w:sz w:val="24"/>
                <w:szCs w:val="24"/>
              </w:rPr>
            </w:pPr>
          </w:p>
        </w:tc>
        <w:tc>
          <w:tcPr>
            <w:tcW w:w="1279" w:type="dxa"/>
          </w:tcPr>
          <w:p w14:paraId="7CDC278D" w14:textId="54390F61" w:rsidR="002E530A" w:rsidRPr="009C778C" w:rsidRDefault="002E530A" w:rsidP="009C778C">
            <w:pPr>
              <w:rPr>
                <w:rFonts w:cstheme="minorHAnsi"/>
                <w:b/>
                <w:bCs/>
                <w:sz w:val="24"/>
                <w:szCs w:val="24"/>
              </w:rPr>
            </w:pPr>
          </w:p>
        </w:tc>
        <w:tc>
          <w:tcPr>
            <w:tcW w:w="1292" w:type="dxa"/>
            <w:hideMark/>
          </w:tcPr>
          <w:p w14:paraId="24E654D2" w14:textId="77777777" w:rsidR="002E530A" w:rsidRPr="009C778C" w:rsidRDefault="002E530A" w:rsidP="009C778C">
            <w:pPr>
              <w:rPr>
                <w:rFonts w:cstheme="minorHAnsi"/>
                <w:sz w:val="24"/>
                <w:szCs w:val="24"/>
              </w:rPr>
            </w:pPr>
            <w:r w:rsidRPr="009C778C">
              <w:rPr>
                <w:rFonts w:cstheme="minorHAnsi"/>
                <w:sz w:val="24"/>
                <w:szCs w:val="24"/>
              </w:rPr>
              <w:t>(0.02)</w:t>
            </w:r>
          </w:p>
        </w:tc>
      </w:tr>
    </w:tbl>
    <w:p w14:paraId="3A373B15" w14:textId="77777777" w:rsidR="009C778C" w:rsidRPr="009C778C" w:rsidRDefault="009C778C" w:rsidP="009C778C">
      <w:pPr>
        <w:rPr>
          <w:rFonts w:cstheme="minorHAnsi"/>
          <w:sz w:val="24"/>
          <w:szCs w:val="24"/>
        </w:rPr>
      </w:pPr>
      <w:r w:rsidRPr="009C778C">
        <w:rPr>
          <w:rFonts w:cstheme="minorHAnsi"/>
          <w:sz w:val="24"/>
          <w:szCs w:val="24"/>
        </w:rPr>
        <w:t>Similar to </w:t>
      </w:r>
      <w:hyperlink r:id="rId154" w:anchor="t0035" w:history="1">
        <w:r w:rsidRPr="009C778C">
          <w:rPr>
            <w:rStyle w:val="Hyperlink"/>
            <w:rFonts w:cstheme="minorHAnsi"/>
            <w:sz w:val="24"/>
            <w:szCs w:val="24"/>
          </w:rPr>
          <w:t>Table 7</w:t>
        </w:r>
      </w:hyperlink>
      <w:bookmarkEnd w:id="89"/>
      <w:r w:rsidRPr="009C778C">
        <w:rPr>
          <w:rFonts w:cstheme="minorHAnsi"/>
          <w:sz w:val="24"/>
          <w:szCs w:val="24"/>
        </w:rPr>
        <w:t> panel B, when we use a coarse classification to measure the comparative monitoring advantage of foreign institutional investors, we fail to find supporting evidence for </w:t>
      </w:r>
      <w:hyperlink r:id="rId155" w:anchor="en0030" w:history="1">
        <w:r w:rsidRPr="009C778C">
          <w:rPr>
            <w:rStyle w:val="Hyperlink"/>
            <w:rFonts w:cstheme="minorHAnsi"/>
            <w:sz w:val="24"/>
            <w:szCs w:val="24"/>
          </w:rPr>
          <w:t>H2b</w:t>
        </w:r>
      </w:hyperlink>
      <w:r w:rsidRPr="009C778C">
        <w:rPr>
          <w:rFonts w:cstheme="minorHAnsi"/>
          <w:sz w:val="24"/>
          <w:szCs w:val="24"/>
        </w:rPr>
        <w:t>: the </w:t>
      </w:r>
      <w:r w:rsidRPr="009C778C">
        <w:rPr>
          <w:rFonts w:cstheme="minorHAnsi"/>
          <w:i/>
          <w:iCs/>
          <w:sz w:val="24"/>
          <w:szCs w:val="24"/>
        </w:rPr>
        <w:t>p</w:t>
      </w:r>
      <w:r w:rsidRPr="009C778C">
        <w:rPr>
          <w:rFonts w:cstheme="minorHAnsi"/>
          <w:sz w:val="24"/>
          <w:szCs w:val="24"/>
        </w:rPr>
        <w:t>-value is 0.20 for the one-tailed F-test that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more negative in developed countries than in emerging countries, which is inconsistent with </w:t>
      </w:r>
      <w:hyperlink r:id="rId156" w:anchor="en0030" w:history="1">
        <w:r w:rsidRPr="009C778C">
          <w:rPr>
            <w:rStyle w:val="Hyperlink"/>
            <w:rFonts w:cstheme="minorHAnsi"/>
            <w:sz w:val="24"/>
            <w:szCs w:val="24"/>
          </w:rPr>
          <w:t>H2b</w:t>
        </w:r>
      </w:hyperlink>
      <w:r w:rsidRPr="009C778C">
        <w:rPr>
          <w:rFonts w:cstheme="minorHAnsi"/>
          <w:sz w:val="24"/>
          <w:szCs w:val="24"/>
        </w:rPr>
        <w:t> that foreign institutions gain in monitoring effectiveness relative to domestic institutions when their comparative advantage in monitoring technologies over their domestic peers’ widens. However, when we design tests that more sharply highlight the comparative monitoring advantage of foreign institutional investors, we find supporting evidence for </w:t>
      </w:r>
      <w:hyperlink r:id="rId157" w:anchor="en0030" w:history="1">
        <w:r w:rsidRPr="009C778C">
          <w:rPr>
            <w:rStyle w:val="Hyperlink"/>
            <w:rFonts w:cstheme="minorHAnsi"/>
            <w:sz w:val="24"/>
            <w:szCs w:val="24"/>
          </w:rPr>
          <w:t>H2b</w:t>
        </w:r>
      </w:hyperlink>
      <w:r w:rsidRPr="009C778C">
        <w:rPr>
          <w:rFonts w:cstheme="minorHAnsi"/>
          <w:sz w:val="24"/>
          <w:szCs w:val="24"/>
        </w:rPr>
        <w:t>. Specifically, consistent with </w:t>
      </w:r>
      <w:hyperlink r:id="rId158" w:anchor="en0030" w:history="1">
        <w:r w:rsidRPr="009C778C">
          <w:rPr>
            <w:rStyle w:val="Hyperlink"/>
            <w:rFonts w:cstheme="minorHAnsi"/>
            <w:sz w:val="24"/>
            <w:szCs w:val="24"/>
          </w:rPr>
          <w:t>H2b</w:t>
        </w:r>
      </w:hyperlink>
      <w:r w:rsidRPr="009C778C">
        <w:rPr>
          <w:rFonts w:cstheme="minorHAnsi"/>
          <w:sz w:val="24"/>
          <w:szCs w:val="24"/>
        </w:rPr>
        <w:t>,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FOREIGN_EMERG</w:t>
      </w:r>
      <w:r w:rsidRPr="009C778C">
        <w:rPr>
          <w:rFonts w:cstheme="minorHAnsi"/>
          <w:i/>
          <w:iCs/>
          <w:sz w:val="24"/>
          <w:szCs w:val="24"/>
          <w:vertAlign w:val="subscript"/>
        </w:rPr>
        <w:t>t − 1</w:t>
      </w:r>
      <w:r w:rsidRPr="009C778C">
        <w:rPr>
          <w:rFonts w:cstheme="minorHAnsi"/>
          <w:sz w:val="24"/>
          <w:szCs w:val="24"/>
        </w:rPr>
        <w:t> is significantly more negative in developed countries than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minus </w:t>
      </w:r>
      <w:r w:rsidRPr="009C778C">
        <w:rPr>
          <w:rFonts w:cstheme="minorHAnsi"/>
          <w:i/>
          <w:iCs/>
          <w:sz w:val="24"/>
          <w:szCs w:val="24"/>
        </w:rPr>
        <w:t>FOREIGN_DEVELOP</w:t>
      </w:r>
      <w:r w:rsidRPr="009C778C">
        <w:rPr>
          <w:rFonts w:cstheme="minorHAnsi"/>
          <w:i/>
          <w:iCs/>
          <w:sz w:val="24"/>
          <w:szCs w:val="24"/>
          <w:vertAlign w:val="subscript"/>
        </w:rPr>
        <w:t>t − 1</w:t>
      </w:r>
      <w:r w:rsidRPr="009C778C">
        <w:rPr>
          <w:rFonts w:cstheme="minorHAnsi"/>
          <w:sz w:val="24"/>
          <w:szCs w:val="24"/>
        </w:rPr>
        <w:t> in emerging countries (</w:t>
      </w:r>
      <w:r w:rsidRPr="009C778C">
        <w:rPr>
          <w:rFonts w:cstheme="minorHAnsi"/>
          <w:i/>
          <w:iCs/>
          <w:sz w:val="24"/>
          <w:szCs w:val="24"/>
        </w:rPr>
        <w:t>p</w:t>
      </w:r>
      <w:r w:rsidRPr="009C778C">
        <w:rPr>
          <w:rFonts w:cstheme="minorHAnsi"/>
          <w:sz w:val="24"/>
          <w:szCs w:val="24"/>
        </w:rPr>
        <w:t>-value = 0.02). Consistent with </w:t>
      </w:r>
      <w:hyperlink r:id="rId159" w:anchor="en0030" w:history="1">
        <w:r w:rsidRPr="009C778C">
          <w:rPr>
            <w:rStyle w:val="Hyperlink"/>
            <w:rFonts w:cstheme="minorHAnsi"/>
            <w:sz w:val="24"/>
            <w:szCs w:val="24"/>
          </w:rPr>
          <w:t>H2b</w:t>
        </w:r>
      </w:hyperlink>
      <w:r w:rsidRPr="009C778C">
        <w:rPr>
          <w:rFonts w:cstheme="minorHAnsi"/>
          <w:sz w:val="24"/>
          <w:szCs w:val="24"/>
        </w:rPr>
        <w:t>, while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is insignificant in developed countries, it is negatively and significantly related to earnings management in emerging countries and this negative relation is driven primarily by foreign institutional investors from developed countries. Whereas the coefficient of </w:t>
      </w:r>
      <w:r w:rsidRPr="009C778C">
        <w:rPr>
          <w:rFonts w:cstheme="minorHAnsi"/>
          <w:i/>
          <w:iCs/>
          <w:sz w:val="24"/>
          <w:szCs w:val="24"/>
        </w:rPr>
        <w:t>DOMESTIC</w:t>
      </w:r>
      <w:r w:rsidRPr="009C778C">
        <w:rPr>
          <w:rFonts w:cstheme="minorHAnsi"/>
          <w:i/>
          <w:iCs/>
          <w:sz w:val="24"/>
          <w:szCs w:val="24"/>
          <w:vertAlign w:val="subscript"/>
        </w:rPr>
        <w:t>t − 1</w:t>
      </w:r>
      <w:r w:rsidRPr="009C778C">
        <w:rPr>
          <w:rFonts w:cstheme="minorHAnsi"/>
          <w:sz w:val="24"/>
          <w:szCs w:val="24"/>
        </w:rPr>
        <w:t> is significantly more negative than </w:t>
      </w:r>
      <w:r w:rsidRPr="009C778C">
        <w:rPr>
          <w:rFonts w:cstheme="minorHAnsi"/>
          <w:i/>
          <w:iCs/>
          <w:sz w:val="24"/>
          <w:szCs w:val="24"/>
        </w:rPr>
        <w:t>FOREIGN</w:t>
      </w:r>
      <w:r w:rsidRPr="009C778C">
        <w:rPr>
          <w:rFonts w:cstheme="minorHAnsi"/>
          <w:i/>
          <w:iCs/>
          <w:sz w:val="24"/>
          <w:szCs w:val="24"/>
          <w:vertAlign w:val="subscript"/>
        </w:rPr>
        <w:t>t − 1</w:t>
      </w:r>
      <w:r w:rsidRPr="009C778C">
        <w:rPr>
          <w:rFonts w:cstheme="minorHAnsi"/>
          <w:sz w:val="24"/>
          <w:szCs w:val="24"/>
        </w:rPr>
        <w:t> with a </w:t>
      </w:r>
      <w:r w:rsidRPr="009C778C">
        <w:rPr>
          <w:rFonts w:cstheme="minorHAnsi"/>
          <w:i/>
          <w:iCs/>
          <w:sz w:val="24"/>
          <w:szCs w:val="24"/>
        </w:rPr>
        <w:t>p</w:t>
      </w:r>
      <w:r w:rsidRPr="009C778C">
        <w:rPr>
          <w:rFonts w:cstheme="minorHAnsi"/>
          <w:sz w:val="24"/>
          <w:szCs w:val="24"/>
        </w:rPr>
        <w:t>-value of 0.01 in the regression of development countries, these two coefficients are statistically indistinguishable in the regression of emerging countries (</w:t>
      </w:r>
      <w:r w:rsidRPr="009C778C">
        <w:rPr>
          <w:rFonts w:cstheme="minorHAnsi"/>
          <w:i/>
          <w:iCs/>
          <w:sz w:val="24"/>
          <w:szCs w:val="24"/>
        </w:rPr>
        <w:t>p</w:t>
      </w:r>
      <w:r w:rsidRPr="009C778C">
        <w:rPr>
          <w:rFonts w:cstheme="minorHAnsi"/>
          <w:sz w:val="24"/>
          <w:szCs w:val="24"/>
        </w:rPr>
        <w:t>-value = 0.15), which lends additional support for </w:t>
      </w:r>
      <w:hyperlink r:id="rId160" w:anchor="en0030" w:history="1">
        <w:r w:rsidRPr="009C778C">
          <w:rPr>
            <w:rStyle w:val="Hyperlink"/>
            <w:rFonts w:cstheme="minorHAnsi"/>
            <w:sz w:val="24"/>
            <w:szCs w:val="24"/>
          </w:rPr>
          <w:t>H2b</w:t>
        </w:r>
      </w:hyperlink>
      <w:r w:rsidRPr="009C778C">
        <w:rPr>
          <w:rFonts w:cstheme="minorHAnsi"/>
          <w:sz w:val="24"/>
          <w:szCs w:val="24"/>
        </w:rPr>
        <w:t> and suggests that under this contracting condition, foreign institutions' comparative advantage in superior monitoring technology counterbalances their proximity </w:t>
      </w:r>
      <w:r w:rsidRPr="009C778C">
        <w:rPr>
          <w:rFonts w:cstheme="minorHAnsi"/>
          <w:i/>
          <w:iCs/>
          <w:sz w:val="24"/>
          <w:szCs w:val="24"/>
        </w:rPr>
        <w:t>dis</w:t>
      </w:r>
      <w:r w:rsidRPr="009C778C">
        <w:rPr>
          <w:rFonts w:cstheme="minorHAnsi"/>
          <w:sz w:val="24"/>
          <w:szCs w:val="24"/>
        </w:rPr>
        <w:t>-advantage, allowing them to be as effective monitors as domestic counterparts. The one-tailed F-test for DEVELOP(</w:t>
      </w:r>
      <w:r w:rsidRPr="009C778C">
        <w:rPr>
          <w:rFonts w:cstheme="minorHAnsi"/>
          <w:i/>
          <w:iCs/>
          <w:sz w:val="24"/>
          <w:szCs w:val="24"/>
        </w:rPr>
        <w:t>FOREIGN_DEVELOP</w:t>
      </w:r>
      <w:r w:rsidRPr="009C778C">
        <w:rPr>
          <w:rFonts w:cstheme="minorHAnsi"/>
          <w:i/>
          <w:iCs/>
          <w:sz w:val="24"/>
          <w:szCs w:val="24"/>
          <w:vertAlign w:val="subscript"/>
        </w:rPr>
        <w:t>t − 1</w:t>
      </w:r>
      <w:r w:rsidRPr="009C778C">
        <w:rPr>
          <w:rFonts w:cstheme="minorHAnsi"/>
          <w:sz w:val="24"/>
          <w:szCs w:val="24"/>
        </w:rPr>
        <w:t>) &gt; EMERG(</w:t>
      </w:r>
      <w:r w:rsidRPr="009C778C">
        <w:rPr>
          <w:rFonts w:cstheme="minorHAnsi"/>
          <w:i/>
          <w:iCs/>
          <w:sz w:val="24"/>
          <w:szCs w:val="24"/>
        </w:rPr>
        <w:t>FOREIGN_DEVELOP</w:t>
      </w:r>
      <w:r w:rsidRPr="009C778C">
        <w:rPr>
          <w:rFonts w:cstheme="minorHAnsi"/>
          <w:i/>
          <w:iCs/>
          <w:sz w:val="24"/>
          <w:szCs w:val="24"/>
          <w:vertAlign w:val="subscript"/>
        </w:rPr>
        <w:t>t − 1</w:t>
      </w:r>
      <w:r w:rsidRPr="009C778C">
        <w:rPr>
          <w:rFonts w:cstheme="minorHAnsi"/>
          <w:sz w:val="24"/>
          <w:szCs w:val="24"/>
        </w:rPr>
        <w:t>) yields a </w:t>
      </w:r>
      <w:r w:rsidRPr="009C778C">
        <w:rPr>
          <w:rFonts w:cstheme="minorHAnsi"/>
          <w:i/>
          <w:iCs/>
          <w:sz w:val="24"/>
          <w:szCs w:val="24"/>
        </w:rPr>
        <w:t>p</w:t>
      </w:r>
      <w:r w:rsidRPr="009C778C">
        <w:rPr>
          <w:rFonts w:cstheme="minorHAnsi"/>
          <w:sz w:val="24"/>
          <w:szCs w:val="24"/>
        </w:rPr>
        <w:t>-value of 0.07, but is insignificant (</w:t>
      </w:r>
      <w:r w:rsidRPr="009C778C">
        <w:rPr>
          <w:rFonts w:cstheme="minorHAnsi"/>
          <w:i/>
          <w:iCs/>
          <w:sz w:val="24"/>
          <w:szCs w:val="24"/>
        </w:rPr>
        <w:t>p</w:t>
      </w:r>
      <w:r w:rsidRPr="009C778C">
        <w:rPr>
          <w:rFonts w:cstheme="minorHAnsi"/>
          <w:sz w:val="24"/>
          <w:szCs w:val="24"/>
        </w:rPr>
        <w:t>-value = 0.18)for DEVELOP(</w:t>
      </w:r>
      <w:r w:rsidRPr="009C778C">
        <w:rPr>
          <w:rFonts w:cstheme="minorHAnsi"/>
          <w:i/>
          <w:iCs/>
          <w:sz w:val="24"/>
          <w:szCs w:val="24"/>
        </w:rPr>
        <w:t>FOREIGN_EMERG</w:t>
      </w:r>
      <w:r w:rsidRPr="009C778C">
        <w:rPr>
          <w:rFonts w:cstheme="minorHAnsi"/>
          <w:i/>
          <w:iCs/>
          <w:sz w:val="24"/>
          <w:szCs w:val="24"/>
          <w:vertAlign w:val="subscript"/>
        </w:rPr>
        <w:t>t − 1</w:t>
      </w:r>
      <w:r w:rsidRPr="009C778C">
        <w:rPr>
          <w:rFonts w:cstheme="minorHAnsi"/>
          <w:sz w:val="24"/>
          <w:szCs w:val="24"/>
        </w:rPr>
        <w:t>) &gt; EMERG(</w:t>
      </w:r>
      <w:r w:rsidRPr="009C778C">
        <w:rPr>
          <w:rFonts w:cstheme="minorHAnsi"/>
          <w:i/>
          <w:iCs/>
          <w:sz w:val="24"/>
          <w:szCs w:val="24"/>
        </w:rPr>
        <w:t>FOREIGN_EMERG</w:t>
      </w:r>
      <w:r w:rsidRPr="009C778C">
        <w:rPr>
          <w:rFonts w:cstheme="minorHAnsi"/>
          <w:i/>
          <w:iCs/>
          <w:sz w:val="24"/>
          <w:szCs w:val="24"/>
          <w:vertAlign w:val="subscript"/>
        </w:rPr>
        <w:t>t − 1</w:t>
      </w:r>
      <w:r w:rsidRPr="009C778C">
        <w:rPr>
          <w:rFonts w:cstheme="minorHAnsi"/>
          <w:sz w:val="24"/>
          <w:szCs w:val="24"/>
        </w:rPr>
        <w:t>), underscoring again the important role that technological superiority plays in driving monitoring effectiveness.</w:t>
      </w:r>
    </w:p>
    <w:p w14:paraId="73E26254" w14:textId="77777777" w:rsidR="009C778C" w:rsidRPr="009C778C" w:rsidRDefault="009C778C" w:rsidP="009C778C">
      <w:pPr>
        <w:rPr>
          <w:rFonts w:cstheme="minorHAnsi"/>
          <w:sz w:val="24"/>
          <w:szCs w:val="24"/>
        </w:rPr>
      </w:pPr>
      <w:r w:rsidRPr="009C778C">
        <w:rPr>
          <w:rFonts w:cstheme="minorHAnsi"/>
          <w:sz w:val="24"/>
          <w:szCs w:val="24"/>
        </w:rPr>
        <w:t>To summarize, the overall results in </w:t>
      </w:r>
      <w:hyperlink r:id="rId161" w:anchor="t0040" w:history="1">
        <w:r w:rsidRPr="009C778C">
          <w:rPr>
            <w:rStyle w:val="Hyperlink"/>
            <w:rFonts w:cstheme="minorHAnsi"/>
            <w:sz w:val="24"/>
            <w:szCs w:val="24"/>
          </w:rPr>
          <w:t>Table 8</w:t>
        </w:r>
      </w:hyperlink>
      <w:bookmarkEnd w:id="92"/>
      <w:r w:rsidRPr="009C778C">
        <w:rPr>
          <w:rFonts w:cstheme="minorHAnsi"/>
          <w:sz w:val="24"/>
          <w:szCs w:val="24"/>
        </w:rPr>
        <w:t> are consistent with </w:t>
      </w:r>
      <w:hyperlink r:id="rId162" w:anchor="en0030" w:history="1">
        <w:r w:rsidRPr="009C778C">
          <w:rPr>
            <w:rStyle w:val="Hyperlink"/>
            <w:rFonts w:cstheme="minorHAnsi"/>
            <w:sz w:val="24"/>
            <w:szCs w:val="24"/>
          </w:rPr>
          <w:t>H2b</w:t>
        </w:r>
      </w:hyperlink>
      <w:r w:rsidRPr="009C778C">
        <w:rPr>
          <w:rFonts w:cstheme="minorHAnsi"/>
          <w:sz w:val="24"/>
          <w:szCs w:val="24"/>
        </w:rPr>
        <w:t> in that the comparative monitoring advantage of foreign institutional investors, particularly those from developed countries, works to a greater effect in emerging countries where the gap in monitoring technology between foreign and domestic institutional investors is larger. The fact that we find evidence consistent with </w:t>
      </w:r>
      <w:hyperlink r:id="rId163" w:anchor="en0030" w:history="1">
        <w:r w:rsidRPr="009C778C">
          <w:rPr>
            <w:rStyle w:val="Hyperlink"/>
            <w:rFonts w:cstheme="minorHAnsi"/>
            <w:sz w:val="24"/>
            <w:szCs w:val="24"/>
          </w:rPr>
          <w:t>H2b</w:t>
        </w:r>
      </w:hyperlink>
      <w:bookmarkEnd w:id="16"/>
      <w:r w:rsidRPr="009C778C">
        <w:rPr>
          <w:rFonts w:cstheme="minorHAnsi"/>
          <w:sz w:val="24"/>
          <w:szCs w:val="24"/>
        </w:rPr>
        <w:t>, as is the case with </w:t>
      </w:r>
      <w:hyperlink r:id="rId164" w:anchor="en0025" w:history="1">
        <w:r w:rsidRPr="009C778C">
          <w:rPr>
            <w:rStyle w:val="Hyperlink"/>
            <w:rFonts w:cstheme="minorHAnsi"/>
            <w:sz w:val="24"/>
            <w:szCs w:val="24"/>
          </w:rPr>
          <w:t>H2a</w:t>
        </w:r>
      </w:hyperlink>
      <w:bookmarkEnd w:id="15"/>
      <w:r w:rsidRPr="009C778C">
        <w:rPr>
          <w:rFonts w:cstheme="minorHAnsi"/>
          <w:sz w:val="24"/>
          <w:szCs w:val="24"/>
        </w:rPr>
        <w:t>, only after deploying more accurate proxies for the comparative monitoring advantage of foreign institutional investors in subsamples is consistent with the strong evidence found for the full sample. We find for the full sample that consistent with </w:t>
      </w:r>
      <w:hyperlink r:id="rId165" w:anchor="en0005" w:history="1">
        <w:r w:rsidRPr="009C778C">
          <w:rPr>
            <w:rStyle w:val="Hyperlink"/>
            <w:rFonts w:cstheme="minorHAnsi"/>
            <w:sz w:val="24"/>
            <w:szCs w:val="24"/>
          </w:rPr>
          <w:t>H1</w:t>
        </w:r>
      </w:hyperlink>
      <w:bookmarkEnd w:id="34"/>
      <w:r w:rsidRPr="009C778C">
        <w:rPr>
          <w:rFonts w:cstheme="minorHAnsi"/>
          <w:sz w:val="24"/>
          <w:szCs w:val="24"/>
        </w:rPr>
        <w:t>, because of proximity to monitoring information, domestic institutional investors are more effective than their foreign counterparts in constraining earnings management.</w:t>
      </w:r>
    </w:p>
    <w:p w14:paraId="4EE31837" w14:textId="77777777" w:rsidR="009C778C" w:rsidRPr="009C778C" w:rsidRDefault="009C778C" w:rsidP="002E530A">
      <w:pPr>
        <w:pStyle w:val="Heading1"/>
      </w:pPr>
      <w:r w:rsidRPr="009C778C">
        <w:t>5. Conclusion</w:t>
      </w:r>
    </w:p>
    <w:p w14:paraId="7924DECD" w14:textId="77777777" w:rsidR="009C778C" w:rsidRPr="009C778C" w:rsidRDefault="009C778C" w:rsidP="009C778C">
      <w:pPr>
        <w:rPr>
          <w:rFonts w:cstheme="minorHAnsi"/>
          <w:sz w:val="24"/>
          <w:szCs w:val="24"/>
        </w:rPr>
      </w:pPr>
      <w:r w:rsidRPr="009C778C">
        <w:rPr>
          <w:rFonts w:cstheme="minorHAnsi"/>
          <w:sz w:val="24"/>
          <w:szCs w:val="24"/>
        </w:rPr>
        <w:t>One key trend in the global capital market is the growth of financial assets under the management of institutional investors. Not surprisingly, researchers have taken a keen interest in recent years in analyzing the governance role that institutional investors play in their investee firms around the globe. This paper contributes to this growing literature by studying the economic drivers behind the monitoring effectiveness of global institutional investors. Drawing from several streams of literature, we identify three distinct drivers and propose two competing hypotheses to test their relative importance. Specifically, the hometown advantage hypothesis predicts that because of their proximity to monitoring information, domestic institutional investors have a comparative advantage over their foreign counterparts in curbing earnings management, whereas the global investor hypothesis predicts that because of their proclivity toward activism and ability to deploy superior monitoring technologies, foreign institutional investors have a comparative advantage over their domestic peers in constraining earnings management.</w:t>
      </w:r>
    </w:p>
    <w:p w14:paraId="16846319" w14:textId="77777777" w:rsidR="009C778C" w:rsidRPr="009C778C" w:rsidRDefault="009C778C" w:rsidP="009C778C">
      <w:pPr>
        <w:rPr>
          <w:rFonts w:cstheme="minorHAnsi"/>
          <w:sz w:val="24"/>
          <w:szCs w:val="24"/>
        </w:rPr>
      </w:pPr>
      <w:r w:rsidRPr="009C778C">
        <w:rPr>
          <w:rFonts w:cstheme="minorHAnsi"/>
          <w:sz w:val="24"/>
          <w:szCs w:val="24"/>
        </w:rPr>
        <w:t>We find that in aggregate, domestic, but not foreign, institutional ownership is negatively related to the extent of earnings management, consistent with the hometown advantage hypothesis. Additionally, domestic institutional ownership becomes more negatively linked to earnings management relative to foreign institutional ownership when proximity to information becomes more important as measured by information asymmetry around the investee firms. As foreign institutional investors become more familiar with the host country’s accounting practices and culture (i.e., shrinking the proximity advantage enjoyed by domestic counterparts), they become as effective as domestic institutional investors in constraining earnings management. Notably, once we isolate conditions under which the comparative monitoring advantage of foreign institutions likely work to a greater effect, we also find evidence consistent with the global investor hypothesis: ownership by foreign institutional investors located in the same geographic region as the investee firms is more negatively related to earnings management than domestic institutional ownership; foreign institutional ownership is significantly and negatively related to earnings management in firms with higher, but not lower, levels of free cash flow; and ownership of foreign institutional investors from common-law countries (developed countries) is significantly and negatively related to earnings management in civil-law countries (emerging countries).</w:t>
      </w:r>
    </w:p>
    <w:p w14:paraId="6FDA7D09" w14:textId="77777777" w:rsidR="009C778C" w:rsidRPr="009C778C" w:rsidRDefault="009C778C" w:rsidP="009C778C">
      <w:pPr>
        <w:rPr>
          <w:rFonts w:cstheme="minorHAnsi"/>
          <w:sz w:val="24"/>
          <w:szCs w:val="24"/>
        </w:rPr>
      </w:pPr>
      <w:r w:rsidRPr="009C778C">
        <w:rPr>
          <w:rFonts w:cstheme="minorHAnsi"/>
          <w:sz w:val="24"/>
          <w:szCs w:val="24"/>
        </w:rPr>
        <w:t>To use the analogy of a horse race, this paper goes beyond conducting a horse race—which type of institutional investors, domestic or foreign, is more effective in constraining earnings management. We analyze the characteristics of each horse and design different races to showcase the relative strengths of each horse. Therefore, our paper provides insight into the monitoring effectiveness of global institutional investors and reconciles the seemingly conflicting evidence in the existing literature—namely the international extension of US-based evidence in </w:t>
      </w:r>
      <w:hyperlink r:id="rId166" w:anchor="bb0025" w:history="1">
        <w:r w:rsidRPr="009C778C">
          <w:rPr>
            <w:rStyle w:val="Hyperlink"/>
            <w:rFonts w:cstheme="minorHAnsi"/>
            <w:sz w:val="24"/>
            <w:szCs w:val="24"/>
          </w:rPr>
          <w:t>Ayers et al. (2011)</w:t>
        </w:r>
      </w:hyperlink>
      <w:bookmarkEnd w:id="5"/>
      <w:r w:rsidRPr="009C778C">
        <w:rPr>
          <w:rFonts w:cstheme="minorHAnsi"/>
          <w:sz w:val="24"/>
          <w:szCs w:val="24"/>
        </w:rPr>
        <w:t> and </w:t>
      </w:r>
      <w:hyperlink r:id="rId167" w:anchor="bb0105" w:history="1">
        <w:r w:rsidRPr="009C778C">
          <w:rPr>
            <w:rStyle w:val="Hyperlink"/>
            <w:rFonts w:cstheme="minorHAnsi"/>
            <w:sz w:val="24"/>
            <w:szCs w:val="24"/>
          </w:rPr>
          <w:t>Chhaochharia et al. (2012)</w:t>
        </w:r>
      </w:hyperlink>
      <w:r w:rsidRPr="009C778C">
        <w:rPr>
          <w:rFonts w:cstheme="minorHAnsi"/>
          <w:sz w:val="24"/>
          <w:szCs w:val="24"/>
        </w:rPr>
        <w:t> appears to be in direct conflict with the international evidence in </w:t>
      </w:r>
      <w:hyperlink r:id="rId168" w:anchor="bb0150" w:history="1">
        <w:r w:rsidRPr="009C778C">
          <w:rPr>
            <w:rStyle w:val="Hyperlink"/>
            <w:rFonts w:cstheme="minorHAnsi"/>
            <w:sz w:val="24"/>
            <w:szCs w:val="24"/>
          </w:rPr>
          <w:t>Ferreira and Matos (2008)</w:t>
        </w:r>
      </w:hyperlink>
      <w:bookmarkEnd w:id="10"/>
      <w:r w:rsidRPr="009C778C">
        <w:rPr>
          <w:rFonts w:cstheme="minorHAnsi"/>
          <w:sz w:val="24"/>
          <w:szCs w:val="24"/>
        </w:rPr>
        <w:t> and </w:t>
      </w:r>
      <w:hyperlink r:id="rId169" w:anchor="bb0005" w:history="1">
        <w:r w:rsidRPr="009C778C">
          <w:rPr>
            <w:rStyle w:val="Hyperlink"/>
            <w:rFonts w:cstheme="minorHAnsi"/>
            <w:sz w:val="24"/>
            <w:szCs w:val="24"/>
          </w:rPr>
          <w:t>Aggarwal et al. (2011)</w:t>
        </w:r>
      </w:hyperlink>
      <w:r w:rsidRPr="009C778C">
        <w:rPr>
          <w:rFonts w:cstheme="minorHAnsi"/>
          <w:sz w:val="24"/>
          <w:szCs w:val="24"/>
        </w:rPr>
        <w:t>.</w:t>
      </w:r>
    </w:p>
    <w:p w14:paraId="2BFBC2FF" w14:textId="77777777" w:rsidR="009C778C" w:rsidRPr="009C778C" w:rsidRDefault="009C778C" w:rsidP="009C778C">
      <w:pPr>
        <w:rPr>
          <w:rFonts w:cstheme="minorHAnsi"/>
          <w:sz w:val="24"/>
          <w:szCs w:val="24"/>
        </w:rPr>
      </w:pPr>
      <w:r w:rsidRPr="009C778C">
        <w:rPr>
          <w:rFonts w:cstheme="minorHAnsi"/>
          <w:sz w:val="24"/>
          <w:szCs w:val="24"/>
        </w:rPr>
        <w:t>This paper highlights future research areas. Corporate actions are myriad and varied. The argument of comparative monitoring advantage suggests that domestic institutional investors are likely to be more effective at some tasks but not others. By using earnings management, we likely select a type of corporate behavior that domestic, rather than foreign, institutional investors have the greater comparative advantage in inducing a desired outcome. Future research is needed to explore the comparative advantages of domestic and foreign institutional investors in performing other types of monitoring tasks to identify new drivers behind the monitoring effectiveness of global institutional investors. A more complete understanding of this subject is needed to inform better policies, especially considering the increasing pressure around the world on institutional investors to play a more active governance role in their foreign investee firms.</w:t>
      </w:r>
    </w:p>
    <w:p w14:paraId="74748CDF" w14:textId="77777777" w:rsidR="009C778C" w:rsidRPr="009C778C" w:rsidRDefault="009C778C" w:rsidP="009C778C">
      <w:pPr>
        <w:rPr>
          <w:rFonts w:cstheme="minorHAnsi"/>
          <w:sz w:val="24"/>
          <w:szCs w:val="24"/>
        </w:rPr>
      </w:pPr>
      <w:r w:rsidRPr="009C778C">
        <w:rPr>
          <w:rFonts w:cstheme="minorHAnsi"/>
          <w:sz w:val="24"/>
          <w:szCs w:val="24"/>
        </w:rPr>
        <w:t>More broadly, there are numerous governance mechanisms besides institutional investors (e.g., board of directors, compensation contracts, and stock analysts); each performs to various levels of effectiveness as a result of specific contracting conditions. A contemporaneous study by </w:t>
      </w:r>
      <w:hyperlink r:id="rId170" w:anchor="bb0285" w:history="1">
        <w:r w:rsidRPr="009C778C">
          <w:rPr>
            <w:rStyle w:val="Hyperlink"/>
            <w:rFonts w:cstheme="minorHAnsi"/>
            <w:sz w:val="24"/>
            <w:szCs w:val="24"/>
          </w:rPr>
          <w:t>Miletkov et al. (2016)</w:t>
        </w:r>
      </w:hyperlink>
      <w:r w:rsidRPr="009C778C">
        <w:rPr>
          <w:rFonts w:cstheme="minorHAnsi"/>
          <w:sz w:val="24"/>
          <w:szCs w:val="24"/>
        </w:rPr>
        <w:t> report that prior studies have produced conflicting evidence regarding the efficacy of foreign directors because these studies based their conclusion on a single or a few countries. In contrast, </w:t>
      </w:r>
      <w:hyperlink r:id="rId171" w:anchor="bb0285" w:history="1">
        <w:r w:rsidRPr="009C778C">
          <w:rPr>
            <w:rStyle w:val="Hyperlink"/>
            <w:rFonts w:cstheme="minorHAnsi"/>
            <w:sz w:val="24"/>
            <w:szCs w:val="24"/>
          </w:rPr>
          <w:t>Miletkov et al. (2016)</w:t>
        </w:r>
      </w:hyperlink>
      <w:r w:rsidRPr="009C778C">
        <w:rPr>
          <w:rFonts w:cstheme="minorHAnsi"/>
          <w:sz w:val="24"/>
          <w:szCs w:val="24"/>
        </w:rPr>
        <w:t> use a broad cross-section of countries and find that country-level characteristics (e.g., institutional quality and investor protection) influence the association between foreign directors and firm performance. Our paper and </w:t>
      </w:r>
      <w:hyperlink r:id="rId172" w:anchor="bb0285" w:history="1">
        <w:r w:rsidRPr="009C778C">
          <w:rPr>
            <w:rStyle w:val="Hyperlink"/>
            <w:rFonts w:cstheme="minorHAnsi"/>
            <w:sz w:val="24"/>
            <w:szCs w:val="24"/>
          </w:rPr>
          <w:t>Miletkov et al. (2016)</w:t>
        </w:r>
      </w:hyperlink>
      <w:bookmarkEnd w:id="42"/>
      <w:r w:rsidRPr="009C778C">
        <w:rPr>
          <w:rFonts w:cstheme="minorHAnsi"/>
          <w:sz w:val="24"/>
          <w:szCs w:val="24"/>
        </w:rPr>
        <w:t> highlight the need for future research regarding the drivers behind the effectiveness of governance tools, particularly in international settings.</w:t>
      </w:r>
    </w:p>
    <w:p w14:paraId="364D37DB" w14:textId="77777777" w:rsidR="009C778C" w:rsidRPr="009C778C" w:rsidRDefault="009C778C" w:rsidP="00A522A1">
      <w:pPr>
        <w:pStyle w:val="Heading1"/>
      </w:pPr>
      <w:r w:rsidRPr="009C778C">
        <w:t>Acknowledgements</w:t>
      </w:r>
    </w:p>
    <w:p w14:paraId="4B649550" w14:textId="77777777" w:rsidR="009C778C" w:rsidRPr="009C778C" w:rsidRDefault="009C778C" w:rsidP="009C778C">
      <w:pPr>
        <w:rPr>
          <w:rFonts w:cstheme="minorHAnsi"/>
          <w:sz w:val="24"/>
          <w:szCs w:val="24"/>
        </w:rPr>
      </w:pPr>
      <w:r w:rsidRPr="009C778C">
        <w:rPr>
          <w:rFonts w:cstheme="minorHAnsi"/>
          <w:sz w:val="24"/>
          <w:szCs w:val="24"/>
        </w:rPr>
        <w:t>We would like to thank the editor (Jeffry Netter), an anonymous referee, Lucy Chen, Tina Yang, and the seminar participants at Hunan University and the 2014 Eastern Finance Association. The paper has been previously circulated under the name “Which Institutional Investors are More Effective Monitors, Domestic or Foreign? Evidence from International Earnings Management” and “Institutional Investors and Earnings Management.” This research did not receive any specific grant from funding agencies in the public, commercial, or not-for-profit sectors.</w:t>
      </w:r>
    </w:p>
    <w:p w14:paraId="6CC10636" w14:textId="77777777" w:rsidR="009C778C" w:rsidRPr="009C778C" w:rsidRDefault="009C778C" w:rsidP="00A522A1">
      <w:pPr>
        <w:pStyle w:val="Heading1"/>
      </w:pPr>
      <w:r w:rsidRPr="009C778C">
        <w:t>Appendix A. Variable definitions and data sources</w:t>
      </w:r>
    </w:p>
    <w:p w14:paraId="441831E3" w14:textId="77777777" w:rsidR="009C778C" w:rsidRPr="009C778C" w:rsidRDefault="009C778C" w:rsidP="009C778C">
      <w:pPr>
        <w:rPr>
          <w:rFonts w:cstheme="minorHAnsi"/>
          <w:sz w:val="24"/>
          <w:szCs w:val="24"/>
        </w:rPr>
      </w:pPr>
      <w:r w:rsidRPr="009C778C">
        <w:rPr>
          <w:rFonts w:cstheme="minorHAnsi"/>
          <w:sz w:val="24"/>
          <w:szCs w:val="24"/>
        </w:rPr>
        <w:t>This table provides definitions for all variables used in the study and the corresponding data source which we use to build the variable.</w:t>
      </w:r>
    </w:p>
    <w:tbl>
      <w:tblPr>
        <w:tblStyle w:val="TableGrid"/>
        <w:tblW w:w="9840" w:type="dxa"/>
        <w:tblLook w:val="04A0" w:firstRow="1" w:lastRow="0" w:firstColumn="1" w:lastColumn="0" w:noHBand="0" w:noVBand="1"/>
      </w:tblPr>
      <w:tblGrid>
        <w:gridCol w:w="2210"/>
        <w:gridCol w:w="5526"/>
        <w:gridCol w:w="2104"/>
      </w:tblGrid>
      <w:tr w:rsidR="009C778C" w:rsidRPr="009C778C" w14:paraId="6FA95531" w14:textId="77777777" w:rsidTr="00A522A1">
        <w:tc>
          <w:tcPr>
            <w:tcW w:w="0" w:type="auto"/>
            <w:hideMark/>
          </w:tcPr>
          <w:p w14:paraId="6F3EBD6F" w14:textId="77777777" w:rsidR="009C778C" w:rsidRPr="009C778C" w:rsidRDefault="009C778C" w:rsidP="009C778C">
            <w:pPr>
              <w:rPr>
                <w:rFonts w:cstheme="minorHAnsi"/>
                <w:b/>
                <w:bCs/>
                <w:sz w:val="24"/>
                <w:szCs w:val="24"/>
              </w:rPr>
            </w:pPr>
            <w:r w:rsidRPr="009C778C">
              <w:rPr>
                <w:rFonts w:cstheme="minorHAnsi"/>
                <w:b/>
                <w:bCs/>
                <w:sz w:val="24"/>
                <w:szCs w:val="24"/>
              </w:rPr>
              <w:t>Variables</w:t>
            </w:r>
          </w:p>
        </w:tc>
        <w:tc>
          <w:tcPr>
            <w:tcW w:w="0" w:type="auto"/>
            <w:hideMark/>
          </w:tcPr>
          <w:p w14:paraId="54F641B6" w14:textId="77777777" w:rsidR="009C778C" w:rsidRPr="009C778C" w:rsidRDefault="009C778C" w:rsidP="009C778C">
            <w:pPr>
              <w:rPr>
                <w:rFonts w:cstheme="minorHAnsi"/>
                <w:b/>
                <w:bCs/>
                <w:sz w:val="24"/>
                <w:szCs w:val="24"/>
              </w:rPr>
            </w:pPr>
            <w:r w:rsidRPr="009C778C">
              <w:rPr>
                <w:rFonts w:cstheme="minorHAnsi"/>
                <w:b/>
                <w:bCs/>
                <w:sz w:val="24"/>
                <w:szCs w:val="24"/>
              </w:rPr>
              <w:t>Definitions</w:t>
            </w:r>
          </w:p>
        </w:tc>
        <w:tc>
          <w:tcPr>
            <w:tcW w:w="0" w:type="auto"/>
            <w:hideMark/>
          </w:tcPr>
          <w:p w14:paraId="0643BCA9" w14:textId="77777777" w:rsidR="009C778C" w:rsidRPr="009C778C" w:rsidRDefault="009C778C" w:rsidP="009C778C">
            <w:pPr>
              <w:rPr>
                <w:rFonts w:cstheme="minorHAnsi"/>
                <w:b/>
                <w:bCs/>
                <w:sz w:val="24"/>
                <w:szCs w:val="24"/>
              </w:rPr>
            </w:pPr>
            <w:r w:rsidRPr="009C778C">
              <w:rPr>
                <w:rFonts w:cstheme="minorHAnsi"/>
                <w:b/>
                <w:bCs/>
                <w:sz w:val="24"/>
                <w:szCs w:val="24"/>
              </w:rPr>
              <w:t>Data Source</w:t>
            </w:r>
          </w:p>
        </w:tc>
      </w:tr>
      <w:tr w:rsidR="00A522A1" w:rsidRPr="009C778C" w14:paraId="7547A81C" w14:textId="77777777" w:rsidTr="00457465">
        <w:tc>
          <w:tcPr>
            <w:tcW w:w="0" w:type="auto"/>
            <w:hideMark/>
          </w:tcPr>
          <w:p w14:paraId="126039C4" w14:textId="77777777" w:rsidR="00A522A1" w:rsidRPr="009C778C" w:rsidRDefault="00A522A1" w:rsidP="009C778C">
            <w:pPr>
              <w:rPr>
                <w:rFonts w:cstheme="minorHAnsi"/>
                <w:b/>
                <w:bCs/>
                <w:sz w:val="24"/>
                <w:szCs w:val="24"/>
              </w:rPr>
            </w:pPr>
            <w:r w:rsidRPr="009C778C">
              <w:rPr>
                <w:rFonts w:cstheme="minorHAnsi"/>
                <w:b/>
                <w:bCs/>
                <w:sz w:val="24"/>
                <w:szCs w:val="24"/>
              </w:rPr>
              <w:t>Panel A: Dependent variables - earnings management</w:t>
            </w:r>
          </w:p>
        </w:tc>
        <w:tc>
          <w:tcPr>
            <w:tcW w:w="0" w:type="auto"/>
          </w:tcPr>
          <w:p w14:paraId="4E3622AD" w14:textId="07563C9E" w:rsidR="00A522A1" w:rsidRPr="009C778C" w:rsidRDefault="00A522A1" w:rsidP="009C778C">
            <w:pPr>
              <w:rPr>
                <w:rFonts w:cstheme="minorHAnsi"/>
                <w:b/>
                <w:bCs/>
                <w:sz w:val="24"/>
                <w:szCs w:val="24"/>
              </w:rPr>
            </w:pPr>
          </w:p>
        </w:tc>
        <w:tc>
          <w:tcPr>
            <w:tcW w:w="0" w:type="auto"/>
            <w:hideMark/>
          </w:tcPr>
          <w:p w14:paraId="0DDD13A7" w14:textId="77777777" w:rsidR="00A522A1" w:rsidRPr="009C778C" w:rsidRDefault="00A522A1" w:rsidP="009C778C">
            <w:pPr>
              <w:rPr>
                <w:rFonts w:cstheme="minorHAnsi"/>
                <w:b/>
                <w:bCs/>
                <w:sz w:val="24"/>
                <w:szCs w:val="24"/>
              </w:rPr>
            </w:pPr>
          </w:p>
        </w:tc>
      </w:tr>
      <w:tr w:rsidR="009C778C" w:rsidRPr="009C778C" w14:paraId="3779681D" w14:textId="77777777" w:rsidTr="00A522A1">
        <w:tc>
          <w:tcPr>
            <w:tcW w:w="0" w:type="auto"/>
            <w:hideMark/>
          </w:tcPr>
          <w:p w14:paraId="59092E16" w14:textId="77777777" w:rsidR="009C778C" w:rsidRPr="009C778C" w:rsidRDefault="009C778C" w:rsidP="009C778C">
            <w:pPr>
              <w:rPr>
                <w:rFonts w:cstheme="minorHAnsi"/>
                <w:b/>
                <w:bCs/>
                <w:sz w:val="24"/>
                <w:szCs w:val="24"/>
              </w:rPr>
            </w:pPr>
            <w:r w:rsidRPr="009C778C">
              <w:rPr>
                <w:rFonts w:cstheme="minorHAnsi"/>
                <w:b/>
                <w:bCs/>
                <w:sz w:val="24"/>
                <w:szCs w:val="24"/>
              </w:rPr>
              <w:t>EM1</w:t>
            </w:r>
          </w:p>
        </w:tc>
        <w:tc>
          <w:tcPr>
            <w:tcW w:w="0" w:type="auto"/>
            <w:hideMark/>
          </w:tcPr>
          <w:p w14:paraId="5039DBD5" w14:textId="77777777" w:rsidR="009C778C" w:rsidRPr="009C778C" w:rsidRDefault="009C778C" w:rsidP="009C778C">
            <w:pPr>
              <w:rPr>
                <w:rFonts w:cstheme="minorHAnsi"/>
                <w:sz w:val="24"/>
                <w:szCs w:val="24"/>
              </w:rPr>
            </w:pPr>
            <w:r w:rsidRPr="009C778C">
              <w:rPr>
                <w:rFonts w:cstheme="minorHAnsi"/>
                <w:sz w:val="24"/>
                <w:szCs w:val="24"/>
              </w:rPr>
              <w:t>Absolute value of performance-adjusted discretionary accruals, calculated as the total current accruals minus expected performance-adjusted accruals based on the method used in </w:t>
            </w:r>
            <w:hyperlink r:id="rId173" w:anchor="bb0095" w:history="1">
              <w:r w:rsidRPr="009C778C">
                <w:rPr>
                  <w:rStyle w:val="Hyperlink"/>
                  <w:rFonts w:cstheme="minorHAnsi"/>
                  <w:sz w:val="24"/>
                  <w:szCs w:val="24"/>
                </w:rPr>
                <w:t>Chaney et al. (2011)</w:t>
              </w:r>
            </w:hyperlink>
            <w:r w:rsidRPr="009C778C">
              <w:rPr>
                <w:rFonts w:cstheme="minorHAnsi"/>
                <w:sz w:val="24"/>
                <w:szCs w:val="24"/>
              </w:rPr>
              <w:t> and </w:t>
            </w:r>
            <w:hyperlink r:id="rId174" w:anchor="bb0020" w:history="1">
              <w:r w:rsidRPr="009C778C">
                <w:rPr>
                  <w:rStyle w:val="Hyperlink"/>
                  <w:rFonts w:cstheme="minorHAnsi"/>
                  <w:sz w:val="24"/>
                  <w:szCs w:val="24"/>
                </w:rPr>
                <w:t>Ashbaugh et al. (2003)</w:t>
              </w:r>
            </w:hyperlink>
            <w:r w:rsidRPr="009C778C">
              <w:rPr>
                <w:rFonts w:cstheme="minorHAnsi"/>
                <w:sz w:val="24"/>
                <w:szCs w:val="24"/>
              </w:rPr>
              <w:t>. Total current accruals (</w:t>
            </w:r>
            <w:r w:rsidRPr="009C778C">
              <w:rPr>
                <w:rFonts w:cstheme="minorHAnsi"/>
                <w:i/>
                <w:iCs/>
                <w:sz w:val="24"/>
                <w:szCs w:val="24"/>
              </w:rPr>
              <w:t>ACC</w:t>
            </w:r>
            <w:r w:rsidRPr="009C778C">
              <w:rPr>
                <w:rFonts w:cstheme="minorHAnsi"/>
                <w:sz w:val="24"/>
                <w:szCs w:val="24"/>
              </w:rPr>
              <w:t>) is calculated as</w:t>
            </w:r>
            <w:r w:rsidRPr="009C778C">
              <w:rPr>
                <w:rFonts w:cstheme="minorHAnsi"/>
                <w:sz w:val="24"/>
                <w:szCs w:val="24"/>
              </w:rPr>
              <w:br/>
            </w:r>
            <w:r w:rsidRPr="009C778C">
              <w:rPr>
                <w:rFonts w:cstheme="minorHAnsi"/>
                <w:i/>
                <w:iCs/>
                <w:sz w:val="24"/>
                <w:szCs w:val="24"/>
              </w:rPr>
              <w:t>ACC</w:t>
            </w:r>
            <w:r w:rsidRPr="009C778C">
              <w:rPr>
                <w:rFonts w:cstheme="minorHAnsi"/>
                <w:i/>
                <w:iCs/>
                <w:sz w:val="24"/>
                <w:szCs w:val="24"/>
                <w:vertAlign w:val="subscript"/>
              </w:rPr>
              <w:t>it</w:t>
            </w:r>
            <w:r w:rsidRPr="009C778C">
              <w:rPr>
                <w:rFonts w:cstheme="minorHAnsi"/>
                <w:sz w:val="24"/>
                <w:szCs w:val="24"/>
              </w:rPr>
              <w:t> = (Δ</w:t>
            </w:r>
            <w:r w:rsidRPr="009C778C">
              <w:rPr>
                <w:rFonts w:cstheme="minorHAnsi"/>
                <w:i/>
                <w:iCs/>
                <w:sz w:val="24"/>
                <w:szCs w:val="24"/>
              </w:rPr>
              <w:t>CA</w:t>
            </w:r>
            <w:r w:rsidRPr="009C778C">
              <w:rPr>
                <w:rFonts w:cstheme="minorHAnsi"/>
                <w:i/>
                <w:iCs/>
                <w:sz w:val="24"/>
                <w:szCs w:val="24"/>
                <w:vertAlign w:val="subscript"/>
              </w:rPr>
              <w:t>it</w:t>
            </w:r>
            <w:r w:rsidRPr="009C778C">
              <w:rPr>
                <w:rFonts w:cstheme="minorHAnsi"/>
                <w:sz w:val="24"/>
                <w:szCs w:val="24"/>
              </w:rPr>
              <w:t> − Δ</w:t>
            </w:r>
            <w:r w:rsidRPr="009C778C">
              <w:rPr>
                <w:rFonts w:cstheme="minorHAnsi"/>
                <w:i/>
                <w:iCs/>
                <w:sz w:val="24"/>
                <w:szCs w:val="24"/>
              </w:rPr>
              <w:t>CL</w:t>
            </w:r>
            <w:r w:rsidRPr="009C778C">
              <w:rPr>
                <w:rFonts w:cstheme="minorHAnsi"/>
                <w:i/>
                <w:iCs/>
                <w:sz w:val="24"/>
                <w:szCs w:val="24"/>
                <w:vertAlign w:val="subscript"/>
              </w:rPr>
              <w:t>it</w:t>
            </w:r>
            <w:r w:rsidRPr="009C778C">
              <w:rPr>
                <w:rFonts w:cstheme="minorHAnsi"/>
                <w:sz w:val="24"/>
                <w:szCs w:val="24"/>
              </w:rPr>
              <w:t>) − (Δ</w:t>
            </w:r>
            <w:r w:rsidRPr="009C778C">
              <w:rPr>
                <w:rFonts w:cstheme="minorHAnsi"/>
                <w:i/>
                <w:iCs/>
                <w:sz w:val="24"/>
                <w:szCs w:val="24"/>
              </w:rPr>
              <w:t>Cash</w:t>
            </w:r>
            <w:r w:rsidRPr="009C778C">
              <w:rPr>
                <w:rFonts w:cstheme="minorHAnsi"/>
                <w:i/>
                <w:iCs/>
                <w:sz w:val="24"/>
                <w:szCs w:val="24"/>
                <w:vertAlign w:val="subscript"/>
              </w:rPr>
              <w:t>it</w:t>
            </w:r>
            <w:r w:rsidRPr="009C778C">
              <w:rPr>
                <w:rFonts w:cstheme="minorHAnsi"/>
                <w:sz w:val="24"/>
                <w:szCs w:val="24"/>
              </w:rPr>
              <w:t> − Δ</w:t>
            </w:r>
            <w:r w:rsidRPr="009C778C">
              <w:rPr>
                <w:rFonts w:cstheme="minorHAnsi"/>
                <w:i/>
                <w:iCs/>
                <w:sz w:val="24"/>
                <w:szCs w:val="24"/>
              </w:rPr>
              <w:t>STD</w:t>
            </w:r>
            <w:r w:rsidRPr="009C778C">
              <w:rPr>
                <w:rFonts w:cstheme="minorHAnsi"/>
                <w:i/>
                <w:iCs/>
                <w:sz w:val="24"/>
                <w:szCs w:val="24"/>
                <w:vertAlign w:val="subscript"/>
              </w:rPr>
              <w:t>it</w:t>
            </w:r>
            <w:r w:rsidRPr="009C778C">
              <w:rPr>
                <w:rFonts w:cstheme="minorHAnsi"/>
                <w:sz w:val="24"/>
                <w:szCs w:val="24"/>
              </w:rPr>
              <w:t> + Δ</w:t>
            </w:r>
            <w:r w:rsidRPr="009C778C">
              <w:rPr>
                <w:rFonts w:cstheme="minorHAnsi"/>
                <w:i/>
                <w:iCs/>
                <w:sz w:val="24"/>
                <w:szCs w:val="24"/>
              </w:rPr>
              <w:t>DEP</w:t>
            </w:r>
            <w:r w:rsidRPr="009C778C">
              <w:rPr>
                <w:rFonts w:cstheme="minorHAnsi"/>
                <w:i/>
                <w:iCs/>
                <w:sz w:val="24"/>
                <w:szCs w:val="24"/>
                <w:vertAlign w:val="subscript"/>
              </w:rPr>
              <w:t>it</w:t>
            </w:r>
            <w:r w:rsidRPr="009C778C">
              <w:rPr>
                <w:rFonts w:cstheme="minorHAnsi"/>
                <w:sz w:val="24"/>
                <w:szCs w:val="24"/>
              </w:rPr>
              <w:t>)</w:t>
            </w:r>
            <w:r w:rsidRPr="009C778C">
              <w:rPr>
                <w:rFonts w:cstheme="minorHAnsi"/>
                <w:sz w:val="24"/>
                <w:szCs w:val="24"/>
              </w:rPr>
              <w:br/>
              <w:t>where</w:t>
            </w:r>
            <w:r w:rsidRPr="009C778C">
              <w:rPr>
                <w:rFonts w:cstheme="minorHAnsi"/>
                <w:i/>
                <w:iCs/>
                <w:sz w:val="24"/>
                <w:szCs w:val="24"/>
              </w:rPr>
              <w:t>CA</w:t>
            </w:r>
            <w:r w:rsidRPr="009C778C">
              <w:rPr>
                <w:rFonts w:cstheme="minorHAnsi"/>
                <w:sz w:val="24"/>
                <w:szCs w:val="24"/>
              </w:rPr>
              <w:t>: Total current assets</w:t>
            </w:r>
            <w:r w:rsidRPr="009C778C">
              <w:rPr>
                <w:rFonts w:cstheme="minorHAnsi"/>
                <w:sz w:val="24"/>
                <w:szCs w:val="24"/>
              </w:rPr>
              <w:br/>
            </w:r>
            <w:r w:rsidRPr="009C778C">
              <w:rPr>
                <w:rFonts w:cstheme="minorHAnsi"/>
                <w:i/>
                <w:iCs/>
                <w:sz w:val="24"/>
                <w:szCs w:val="24"/>
              </w:rPr>
              <w:t>CL</w:t>
            </w:r>
            <w:r w:rsidRPr="009C778C">
              <w:rPr>
                <w:rFonts w:cstheme="minorHAnsi"/>
                <w:sz w:val="24"/>
                <w:szCs w:val="24"/>
              </w:rPr>
              <w:t>: Total current liabilities</w:t>
            </w:r>
            <w:r w:rsidRPr="009C778C">
              <w:rPr>
                <w:rFonts w:cstheme="minorHAnsi"/>
                <w:sz w:val="24"/>
                <w:szCs w:val="24"/>
              </w:rPr>
              <w:br/>
            </w:r>
            <w:r w:rsidRPr="009C778C">
              <w:rPr>
                <w:rFonts w:cstheme="minorHAnsi"/>
                <w:i/>
                <w:iCs/>
                <w:sz w:val="24"/>
                <w:szCs w:val="24"/>
              </w:rPr>
              <w:t>Cash</w:t>
            </w:r>
            <w:r w:rsidRPr="009C778C">
              <w:rPr>
                <w:rFonts w:cstheme="minorHAnsi"/>
                <w:sz w:val="24"/>
                <w:szCs w:val="24"/>
              </w:rPr>
              <w:t>: Cash and cash equivalents</w:t>
            </w:r>
            <w:r w:rsidRPr="009C778C">
              <w:rPr>
                <w:rFonts w:cstheme="minorHAnsi"/>
                <w:sz w:val="24"/>
                <w:szCs w:val="24"/>
              </w:rPr>
              <w:br/>
            </w:r>
            <w:r w:rsidRPr="009C778C">
              <w:rPr>
                <w:rFonts w:cstheme="minorHAnsi"/>
                <w:i/>
                <w:iCs/>
                <w:sz w:val="24"/>
                <w:szCs w:val="24"/>
              </w:rPr>
              <w:t>STD</w:t>
            </w:r>
            <w:r w:rsidRPr="009C778C">
              <w:rPr>
                <w:rFonts w:cstheme="minorHAnsi"/>
                <w:sz w:val="24"/>
                <w:szCs w:val="24"/>
              </w:rPr>
              <w:t>: Short-term debt included in current liabilities</w:t>
            </w:r>
            <w:r w:rsidRPr="009C778C">
              <w:rPr>
                <w:rFonts w:cstheme="minorHAnsi"/>
                <w:sz w:val="24"/>
                <w:szCs w:val="24"/>
              </w:rPr>
              <w:br/>
            </w:r>
            <w:r w:rsidRPr="009C778C">
              <w:rPr>
                <w:rFonts w:cstheme="minorHAnsi"/>
                <w:i/>
                <w:iCs/>
                <w:sz w:val="24"/>
                <w:szCs w:val="24"/>
              </w:rPr>
              <w:t>DEP</w:t>
            </w:r>
            <w:r w:rsidRPr="009C778C">
              <w:rPr>
                <w:rFonts w:cstheme="minorHAnsi"/>
                <w:sz w:val="24"/>
                <w:szCs w:val="24"/>
              </w:rPr>
              <w:t>: Depreciation and amortization expenses</w:t>
            </w:r>
            <w:r w:rsidRPr="009C778C">
              <w:rPr>
                <w:rFonts w:cstheme="minorHAnsi"/>
                <w:sz w:val="24"/>
                <w:szCs w:val="24"/>
              </w:rPr>
              <w:br/>
              <w:t>Δ, </w:t>
            </w:r>
            <w:r w:rsidRPr="009C778C">
              <w:rPr>
                <w:rFonts w:cstheme="minorHAnsi"/>
                <w:i/>
                <w:iCs/>
                <w:sz w:val="24"/>
                <w:szCs w:val="24"/>
              </w:rPr>
              <w:t>i</w:t>
            </w:r>
            <w:r w:rsidRPr="009C778C">
              <w:rPr>
                <w:rFonts w:cstheme="minorHAnsi"/>
                <w:sz w:val="24"/>
                <w:szCs w:val="24"/>
              </w:rPr>
              <w:t>, </w:t>
            </w:r>
            <w:r w:rsidRPr="009C778C">
              <w:rPr>
                <w:rFonts w:cstheme="minorHAnsi"/>
                <w:i/>
                <w:iCs/>
                <w:sz w:val="24"/>
                <w:szCs w:val="24"/>
              </w:rPr>
              <w:t>t</w:t>
            </w:r>
            <w:r w:rsidRPr="009C778C">
              <w:rPr>
                <w:rFonts w:cstheme="minorHAnsi"/>
                <w:sz w:val="24"/>
                <w:szCs w:val="24"/>
              </w:rPr>
              <w:t> denotes one year change in a variable, firm </w:t>
            </w:r>
            <w:r w:rsidRPr="009C778C">
              <w:rPr>
                <w:rFonts w:cstheme="minorHAnsi"/>
                <w:i/>
                <w:iCs/>
                <w:sz w:val="24"/>
                <w:szCs w:val="24"/>
              </w:rPr>
              <w:t>i</w:t>
            </w:r>
            <w:r w:rsidRPr="009C778C">
              <w:rPr>
                <w:rFonts w:cstheme="minorHAnsi"/>
                <w:sz w:val="24"/>
                <w:szCs w:val="24"/>
              </w:rPr>
              <w:t>, calendar year </w:t>
            </w:r>
            <w:r w:rsidRPr="009C778C">
              <w:rPr>
                <w:rFonts w:cstheme="minorHAnsi"/>
                <w:i/>
                <w:iCs/>
                <w:sz w:val="24"/>
                <w:szCs w:val="24"/>
              </w:rPr>
              <w:t>t</w:t>
            </w:r>
            <w:r w:rsidRPr="009C778C">
              <w:rPr>
                <w:rFonts w:cstheme="minorHAnsi"/>
                <w:sz w:val="24"/>
                <w:szCs w:val="24"/>
              </w:rPr>
              <w:t>, respectively</w:t>
            </w:r>
          </w:p>
        </w:tc>
        <w:tc>
          <w:tcPr>
            <w:tcW w:w="0" w:type="auto"/>
            <w:hideMark/>
          </w:tcPr>
          <w:p w14:paraId="56B34C0D" w14:textId="77777777" w:rsidR="009C778C" w:rsidRPr="009C778C" w:rsidRDefault="009C778C" w:rsidP="009C778C">
            <w:pPr>
              <w:rPr>
                <w:rFonts w:cstheme="minorHAnsi"/>
                <w:sz w:val="24"/>
                <w:szCs w:val="24"/>
              </w:rPr>
            </w:pPr>
            <w:r w:rsidRPr="009C778C">
              <w:rPr>
                <w:rFonts w:cstheme="minorHAnsi"/>
                <w:sz w:val="24"/>
                <w:szCs w:val="24"/>
              </w:rPr>
              <w:t>Compustat Global</w:t>
            </w:r>
          </w:p>
        </w:tc>
      </w:tr>
      <w:bookmarkEnd w:id="45"/>
      <w:bookmarkEnd w:id="46"/>
      <w:tr w:rsidR="009C778C" w:rsidRPr="009C778C" w14:paraId="75BF900B" w14:textId="77777777" w:rsidTr="00A522A1">
        <w:tc>
          <w:tcPr>
            <w:tcW w:w="0" w:type="auto"/>
            <w:hideMark/>
          </w:tcPr>
          <w:p w14:paraId="479BEEC3" w14:textId="77777777" w:rsidR="009C778C" w:rsidRPr="009C778C" w:rsidRDefault="009C778C" w:rsidP="009C778C">
            <w:pPr>
              <w:rPr>
                <w:rFonts w:cstheme="minorHAnsi"/>
                <w:b/>
                <w:bCs/>
                <w:sz w:val="24"/>
                <w:szCs w:val="24"/>
              </w:rPr>
            </w:pPr>
            <w:r w:rsidRPr="009C778C">
              <w:rPr>
                <w:rFonts w:cstheme="minorHAnsi"/>
                <w:b/>
                <w:bCs/>
                <w:sz w:val="24"/>
                <w:szCs w:val="24"/>
              </w:rPr>
              <w:t>EM2</w:t>
            </w:r>
          </w:p>
        </w:tc>
        <w:tc>
          <w:tcPr>
            <w:tcW w:w="0" w:type="auto"/>
            <w:hideMark/>
          </w:tcPr>
          <w:p w14:paraId="44237A98" w14:textId="77777777" w:rsidR="009C778C" w:rsidRPr="009C778C" w:rsidRDefault="009C778C" w:rsidP="009C778C">
            <w:pPr>
              <w:rPr>
                <w:rFonts w:cstheme="minorHAnsi"/>
                <w:sz w:val="24"/>
                <w:szCs w:val="24"/>
              </w:rPr>
            </w:pPr>
            <w:r w:rsidRPr="009C778C">
              <w:rPr>
                <w:rFonts w:cstheme="minorHAnsi"/>
                <w:sz w:val="24"/>
                <w:szCs w:val="24"/>
              </w:rPr>
              <w:t>Absolute value of discretionary accruals, calculated as </w:t>
            </w:r>
            <w:r w:rsidRPr="009C778C">
              <w:rPr>
                <w:rFonts w:cstheme="minorHAnsi"/>
                <w:i/>
                <w:iCs/>
                <w:sz w:val="24"/>
                <w:szCs w:val="24"/>
              </w:rPr>
              <w:t>ACC</w:t>
            </w:r>
            <w:r w:rsidRPr="009C778C">
              <w:rPr>
                <w:rFonts w:cstheme="minorHAnsi"/>
                <w:sz w:val="24"/>
                <w:szCs w:val="24"/>
              </w:rPr>
              <w:t> minus expected accruals estimated using the non-linear cash flow model developed in </w:t>
            </w:r>
            <w:hyperlink r:id="rId175" w:anchor="bb0040" w:history="1">
              <w:r w:rsidRPr="009C778C">
                <w:rPr>
                  <w:rStyle w:val="Hyperlink"/>
                  <w:rFonts w:cstheme="minorHAnsi"/>
                  <w:sz w:val="24"/>
                  <w:szCs w:val="24"/>
                </w:rPr>
                <w:t>Ball and Shivakumar (2006)</w:t>
              </w:r>
            </w:hyperlink>
          </w:p>
        </w:tc>
        <w:tc>
          <w:tcPr>
            <w:tcW w:w="0" w:type="auto"/>
            <w:hideMark/>
          </w:tcPr>
          <w:p w14:paraId="2022E533" w14:textId="77777777" w:rsidR="009C778C" w:rsidRPr="009C778C" w:rsidRDefault="009C778C" w:rsidP="009C778C">
            <w:pPr>
              <w:rPr>
                <w:rFonts w:cstheme="minorHAnsi"/>
                <w:sz w:val="24"/>
                <w:szCs w:val="24"/>
              </w:rPr>
            </w:pPr>
            <w:r w:rsidRPr="009C778C">
              <w:rPr>
                <w:rFonts w:cstheme="minorHAnsi"/>
                <w:sz w:val="24"/>
                <w:szCs w:val="24"/>
              </w:rPr>
              <w:t>Compustat Global</w:t>
            </w:r>
          </w:p>
        </w:tc>
      </w:tr>
      <w:bookmarkEnd w:id="47"/>
      <w:tr w:rsidR="009C778C" w:rsidRPr="009C778C" w14:paraId="7981A459" w14:textId="77777777" w:rsidTr="00A522A1">
        <w:tc>
          <w:tcPr>
            <w:tcW w:w="0" w:type="auto"/>
            <w:hideMark/>
          </w:tcPr>
          <w:p w14:paraId="5105F0E1" w14:textId="77777777" w:rsidR="009C778C" w:rsidRPr="009C778C" w:rsidRDefault="009C778C" w:rsidP="009C778C">
            <w:pPr>
              <w:rPr>
                <w:rFonts w:cstheme="minorHAnsi"/>
                <w:b/>
                <w:bCs/>
                <w:sz w:val="24"/>
                <w:szCs w:val="24"/>
              </w:rPr>
            </w:pPr>
            <w:r w:rsidRPr="009C778C">
              <w:rPr>
                <w:rFonts w:cstheme="minorHAnsi"/>
                <w:b/>
                <w:bCs/>
                <w:sz w:val="24"/>
                <w:szCs w:val="24"/>
              </w:rPr>
              <w:t>EM3</w:t>
            </w:r>
          </w:p>
        </w:tc>
        <w:tc>
          <w:tcPr>
            <w:tcW w:w="0" w:type="auto"/>
            <w:hideMark/>
          </w:tcPr>
          <w:p w14:paraId="6BF6BD61" w14:textId="77777777" w:rsidR="009C778C" w:rsidRPr="009C778C" w:rsidRDefault="009C778C" w:rsidP="009C778C">
            <w:pPr>
              <w:rPr>
                <w:rFonts w:cstheme="minorHAnsi"/>
                <w:sz w:val="24"/>
                <w:szCs w:val="24"/>
              </w:rPr>
            </w:pPr>
            <w:r w:rsidRPr="009C778C">
              <w:rPr>
                <w:rFonts w:cstheme="minorHAnsi"/>
                <w:sz w:val="24"/>
                <w:szCs w:val="24"/>
              </w:rPr>
              <w:t>The magnitude of accruals, following (</w:t>
            </w:r>
            <w:hyperlink r:id="rId176" w:anchor="bb0270" w:history="1">
              <w:r w:rsidRPr="009C778C">
                <w:rPr>
                  <w:rStyle w:val="Hyperlink"/>
                  <w:rFonts w:cstheme="minorHAnsi"/>
                  <w:sz w:val="24"/>
                  <w:szCs w:val="24"/>
                </w:rPr>
                <w:t>Leuz et al., 2003</w:t>
              </w:r>
            </w:hyperlink>
            <w:r w:rsidRPr="009C778C">
              <w:rPr>
                <w:rFonts w:cstheme="minorHAnsi"/>
                <w:sz w:val="24"/>
                <w:szCs w:val="24"/>
              </w:rPr>
              <w:t>)</w:t>
            </w:r>
            <w:r w:rsidRPr="009C778C">
              <w:rPr>
                <w:rFonts w:cstheme="minorHAnsi"/>
                <w:sz w:val="24"/>
                <w:szCs w:val="24"/>
              </w:rPr>
              <w:br/>
              <w:t>EM3 = |</w:t>
            </w:r>
            <w:r w:rsidRPr="009C778C">
              <w:rPr>
                <w:rFonts w:cstheme="minorHAnsi"/>
                <w:i/>
                <w:iCs/>
                <w:sz w:val="24"/>
                <w:szCs w:val="24"/>
              </w:rPr>
              <w:t> ACC</w:t>
            </w:r>
            <w:r w:rsidRPr="009C778C">
              <w:rPr>
                <w:rFonts w:cstheme="minorHAnsi"/>
                <w:i/>
                <w:iCs/>
                <w:sz w:val="24"/>
                <w:szCs w:val="24"/>
                <w:vertAlign w:val="subscript"/>
              </w:rPr>
              <w:t>it</w:t>
            </w:r>
            <w:r w:rsidRPr="009C778C">
              <w:rPr>
                <w:rFonts w:cstheme="minorHAnsi"/>
                <w:sz w:val="24"/>
                <w:szCs w:val="24"/>
              </w:rPr>
              <w:t>/</w:t>
            </w:r>
            <w:r w:rsidRPr="009C778C">
              <w:rPr>
                <w:rFonts w:cstheme="minorHAnsi"/>
                <w:i/>
                <w:iCs/>
                <w:sz w:val="24"/>
                <w:szCs w:val="24"/>
              </w:rPr>
              <w:t>TA</w:t>
            </w:r>
            <w:r w:rsidRPr="009C778C">
              <w:rPr>
                <w:rFonts w:cstheme="minorHAnsi"/>
                <w:i/>
                <w:iCs/>
                <w:sz w:val="24"/>
                <w:szCs w:val="24"/>
                <w:vertAlign w:val="subscript"/>
              </w:rPr>
              <w:t>it − 1</w:t>
            </w:r>
            <w:r w:rsidRPr="009C778C">
              <w:rPr>
                <w:rFonts w:cstheme="minorHAnsi"/>
                <w:sz w:val="24"/>
                <w:szCs w:val="24"/>
              </w:rPr>
              <w:t> |/|</w:t>
            </w:r>
            <w:r w:rsidRPr="009C778C">
              <w:rPr>
                <w:rFonts w:cstheme="minorHAnsi"/>
                <w:i/>
                <w:iCs/>
                <w:sz w:val="24"/>
                <w:szCs w:val="24"/>
              </w:rPr>
              <w:t> CF</w:t>
            </w:r>
            <w:r w:rsidRPr="009C778C">
              <w:rPr>
                <w:rFonts w:cstheme="minorHAnsi"/>
                <w:i/>
                <w:iCs/>
                <w:sz w:val="24"/>
                <w:szCs w:val="24"/>
                <w:vertAlign w:val="subscript"/>
              </w:rPr>
              <w:t>it</w:t>
            </w:r>
            <w:r w:rsidRPr="009C778C">
              <w:rPr>
                <w:rFonts w:cstheme="minorHAnsi"/>
                <w:sz w:val="24"/>
                <w:szCs w:val="24"/>
              </w:rPr>
              <w:t>/</w:t>
            </w:r>
            <w:r w:rsidRPr="009C778C">
              <w:rPr>
                <w:rFonts w:cstheme="minorHAnsi"/>
                <w:i/>
                <w:iCs/>
                <w:sz w:val="24"/>
                <w:szCs w:val="24"/>
              </w:rPr>
              <w:t>TA</w:t>
            </w:r>
            <w:r w:rsidRPr="009C778C">
              <w:rPr>
                <w:rFonts w:cstheme="minorHAnsi"/>
                <w:i/>
                <w:iCs/>
                <w:sz w:val="24"/>
                <w:szCs w:val="24"/>
                <w:vertAlign w:val="subscript"/>
              </w:rPr>
              <w:t>it − 1</w:t>
            </w:r>
            <w:r w:rsidRPr="009C778C">
              <w:rPr>
                <w:rFonts w:cstheme="minorHAnsi"/>
                <w:sz w:val="24"/>
                <w:szCs w:val="24"/>
              </w:rPr>
              <w:t> |</w:t>
            </w:r>
            <w:r w:rsidRPr="009C778C">
              <w:rPr>
                <w:rFonts w:cstheme="minorHAnsi"/>
                <w:sz w:val="24"/>
                <w:szCs w:val="24"/>
              </w:rPr>
              <w:br/>
              <w:t> where</w:t>
            </w:r>
            <w:r w:rsidRPr="009C778C">
              <w:rPr>
                <w:rFonts w:cstheme="minorHAnsi"/>
                <w:i/>
                <w:iCs/>
                <w:sz w:val="24"/>
                <w:szCs w:val="24"/>
              </w:rPr>
              <w:t>TA</w:t>
            </w:r>
            <w:r w:rsidRPr="009C778C">
              <w:rPr>
                <w:rFonts w:cstheme="minorHAnsi"/>
                <w:sz w:val="24"/>
                <w:szCs w:val="24"/>
              </w:rPr>
              <w:t>: Total assets</w:t>
            </w:r>
            <w:r w:rsidRPr="009C778C">
              <w:rPr>
                <w:rFonts w:cstheme="minorHAnsi"/>
                <w:sz w:val="24"/>
                <w:szCs w:val="24"/>
              </w:rPr>
              <w:br/>
            </w:r>
            <w:r w:rsidRPr="009C778C">
              <w:rPr>
                <w:rFonts w:cstheme="minorHAnsi"/>
                <w:i/>
                <w:iCs/>
                <w:sz w:val="24"/>
                <w:szCs w:val="24"/>
              </w:rPr>
              <w:t>CF</w:t>
            </w:r>
            <w:r w:rsidRPr="009C778C">
              <w:rPr>
                <w:rFonts w:cstheme="minorHAnsi"/>
                <w:sz w:val="24"/>
                <w:szCs w:val="24"/>
              </w:rPr>
              <w:t>: Operating income minus accruals</w:t>
            </w:r>
          </w:p>
        </w:tc>
        <w:tc>
          <w:tcPr>
            <w:tcW w:w="0" w:type="auto"/>
            <w:hideMark/>
          </w:tcPr>
          <w:p w14:paraId="73CC23AD" w14:textId="77777777" w:rsidR="009C778C" w:rsidRPr="009C778C" w:rsidRDefault="009C778C" w:rsidP="009C778C">
            <w:pPr>
              <w:rPr>
                <w:rFonts w:cstheme="minorHAnsi"/>
                <w:sz w:val="24"/>
                <w:szCs w:val="24"/>
              </w:rPr>
            </w:pPr>
            <w:r w:rsidRPr="009C778C">
              <w:rPr>
                <w:rFonts w:cstheme="minorHAnsi"/>
                <w:sz w:val="24"/>
                <w:szCs w:val="24"/>
              </w:rPr>
              <w:t>Compustat Global</w:t>
            </w:r>
          </w:p>
        </w:tc>
      </w:tr>
      <w:bookmarkEnd w:id="48"/>
      <w:tr w:rsidR="009C778C" w:rsidRPr="009C778C" w14:paraId="48656FC0" w14:textId="77777777" w:rsidTr="00A522A1">
        <w:tc>
          <w:tcPr>
            <w:tcW w:w="0" w:type="auto"/>
            <w:hideMark/>
          </w:tcPr>
          <w:p w14:paraId="7D8AD7F3" w14:textId="77777777" w:rsidR="009C778C" w:rsidRPr="009C778C" w:rsidRDefault="009C778C" w:rsidP="009C778C">
            <w:pPr>
              <w:rPr>
                <w:rFonts w:cstheme="minorHAnsi"/>
                <w:b/>
                <w:bCs/>
                <w:sz w:val="24"/>
                <w:szCs w:val="24"/>
              </w:rPr>
            </w:pPr>
            <w:r w:rsidRPr="009C778C">
              <w:rPr>
                <w:rFonts w:cstheme="minorHAnsi"/>
                <w:b/>
                <w:bCs/>
                <w:sz w:val="24"/>
                <w:szCs w:val="24"/>
              </w:rPr>
              <w:t>Agg. EM</w:t>
            </w:r>
          </w:p>
        </w:tc>
        <w:tc>
          <w:tcPr>
            <w:tcW w:w="0" w:type="auto"/>
            <w:hideMark/>
          </w:tcPr>
          <w:p w14:paraId="528B7B97" w14:textId="77777777" w:rsidR="009C778C" w:rsidRPr="009C778C" w:rsidRDefault="009C778C" w:rsidP="009C778C">
            <w:pPr>
              <w:rPr>
                <w:rFonts w:cstheme="minorHAnsi"/>
                <w:sz w:val="24"/>
                <w:szCs w:val="24"/>
              </w:rPr>
            </w:pPr>
            <w:r w:rsidRPr="009C778C">
              <w:rPr>
                <w:rFonts w:cstheme="minorHAnsi"/>
                <w:sz w:val="24"/>
                <w:szCs w:val="24"/>
              </w:rPr>
              <w:t>Composite measure of earnings management based on a principal component analysis of EM1, EM2 and EM3</w:t>
            </w:r>
          </w:p>
        </w:tc>
        <w:tc>
          <w:tcPr>
            <w:tcW w:w="0" w:type="auto"/>
            <w:hideMark/>
          </w:tcPr>
          <w:p w14:paraId="4C112280"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46812FC6" w14:textId="77777777" w:rsidTr="00A522A1">
        <w:tc>
          <w:tcPr>
            <w:tcW w:w="0" w:type="auto"/>
            <w:hideMark/>
          </w:tcPr>
          <w:p w14:paraId="767CFE20" w14:textId="77777777" w:rsidR="009C778C" w:rsidRPr="009C778C" w:rsidRDefault="009C778C" w:rsidP="009C778C">
            <w:pPr>
              <w:rPr>
                <w:rFonts w:cstheme="minorHAnsi"/>
                <w:b/>
                <w:bCs/>
                <w:sz w:val="24"/>
                <w:szCs w:val="24"/>
              </w:rPr>
            </w:pPr>
            <w:r w:rsidRPr="009C778C">
              <w:rPr>
                <w:rFonts w:cstheme="minorHAnsi"/>
                <w:b/>
                <w:bCs/>
                <w:sz w:val="24"/>
                <w:szCs w:val="24"/>
              </w:rPr>
              <w:t>Signed Agg. EM</w:t>
            </w:r>
          </w:p>
        </w:tc>
        <w:tc>
          <w:tcPr>
            <w:tcW w:w="0" w:type="auto"/>
            <w:hideMark/>
          </w:tcPr>
          <w:p w14:paraId="342E089D" w14:textId="77777777" w:rsidR="009C778C" w:rsidRPr="009C778C" w:rsidRDefault="009C778C" w:rsidP="009C778C">
            <w:pPr>
              <w:rPr>
                <w:rFonts w:cstheme="minorHAnsi"/>
                <w:sz w:val="24"/>
                <w:szCs w:val="24"/>
              </w:rPr>
            </w:pPr>
            <w:r w:rsidRPr="009C778C">
              <w:rPr>
                <w:rFonts w:cstheme="minorHAnsi"/>
                <w:sz w:val="24"/>
                <w:szCs w:val="24"/>
              </w:rPr>
              <w:t>Composite measure of earnings management based on a principal component analysis of signed EM1, EM2 and EM3 (e.g., </w:t>
            </w:r>
            <w:bookmarkStart w:id="93" w:name="bbb0210"/>
            <w:proofErr w:type="spellStart"/>
            <w:r w:rsidRPr="009C778C">
              <w:rPr>
                <w:rFonts w:cstheme="minorHAnsi"/>
                <w:sz w:val="24"/>
                <w:szCs w:val="24"/>
              </w:rPr>
              <w:fldChar w:fldCharType="begin"/>
            </w:r>
            <w:r w:rsidRPr="009C778C">
              <w:rPr>
                <w:rFonts w:cstheme="minorHAnsi"/>
                <w:sz w:val="24"/>
                <w:szCs w:val="24"/>
              </w:rPr>
              <w:instrText xml:space="preserve"> HYPERLINK "https://0-www-sciencedirect-com.libus.csd.mu.edu/science/article/pii/S0929119916300724" \l "bb0210" </w:instrText>
            </w:r>
            <w:r w:rsidRPr="009C778C">
              <w:rPr>
                <w:rFonts w:cstheme="minorHAnsi"/>
                <w:sz w:val="24"/>
                <w:szCs w:val="24"/>
              </w:rPr>
            </w:r>
            <w:r w:rsidRPr="009C778C">
              <w:rPr>
                <w:rFonts w:cstheme="minorHAnsi"/>
                <w:sz w:val="24"/>
                <w:szCs w:val="24"/>
              </w:rPr>
              <w:fldChar w:fldCharType="separate"/>
            </w:r>
            <w:r w:rsidRPr="009C778C">
              <w:rPr>
                <w:rStyle w:val="Hyperlink"/>
                <w:rFonts w:cstheme="minorHAnsi"/>
                <w:sz w:val="24"/>
                <w:szCs w:val="24"/>
              </w:rPr>
              <w:t>Hribar</w:t>
            </w:r>
            <w:proofErr w:type="spellEnd"/>
            <w:r w:rsidRPr="009C778C">
              <w:rPr>
                <w:rStyle w:val="Hyperlink"/>
                <w:rFonts w:cstheme="minorHAnsi"/>
                <w:sz w:val="24"/>
                <w:szCs w:val="24"/>
              </w:rPr>
              <w:t xml:space="preserve"> and Nichols, 2007</w:t>
            </w:r>
            <w:r w:rsidRPr="009C778C">
              <w:rPr>
                <w:rFonts w:cstheme="minorHAnsi"/>
                <w:sz w:val="24"/>
                <w:szCs w:val="24"/>
              </w:rPr>
              <w:fldChar w:fldCharType="end"/>
            </w:r>
            <w:bookmarkEnd w:id="93"/>
            <w:r w:rsidRPr="009C778C">
              <w:rPr>
                <w:rFonts w:cstheme="minorHAnsi"/>
                <w:sz w:val="24"/>
                <w:szCs w:val="24"/>
              </w:rPr>
              <w:t>)</w:t>
            </w:r>
          </w:p>
        </w:tc>
        <w:tc>
          <w:tcPr>
            <w:tcW w:w="0" w:type="auto"/>
            <w:hideMark/>
          </w:tcPr>
          <w:p w14:paraId="650D3398"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42FAB2F3" w14:textId="77777777" w:rsidTr="00A522A1">
        <w:tc>
          <w:tcPr>
            <w:tcW w:w="0" w:type="auto"/>
            <w:hideMark/>
          </w:tcPr>
          <w:p w14:paraId="6512ABCC" w14:textId="77777777" w:rsidR="009C778C" w:rsidRPr="009C778C" w:rsidRDefault="009C778C" w:rsidP="009C778C">
            <w:pPr>
              <w:rPr>
                <w:rFonts w:cstheme="minorHAnsi"/>
                <w:b/>
                <w:bCs/>
                <w:sz w:val="24"/>
                <w:szCs w:val="24"/>
              </w:rPr>
            </w:pPr>
            <w:r w:rsidRPr="009C778C">
              <w:rPr>
                <w:rFonts w:cstheme="minorHAnsi"/>
                <w:b/>
                <w:bCs/>
                <w:sz w:val="24"/>
                <w:szCs w:val="24"/>
              </w:rPr>
              <w:t>EM_SMALL</w:t>
            </w:r>
          </w:p>
        </w:tc>
        <w:tc>
          <w:tcPr>
            <w:tcW w:w="0" w:type="auto"/>
            <w:hideMark/>
          </w:tcPr>
          <w:p w14:paraId="1855AE64" w14:textId="77777777" w:rsidR="009C778C" w:rsidRPr="009C778C" w:rsidRDefault="009C778C" w:rsidP="009C778C">
            <w:pPr>
              <w:rPr>
                <w:rFonts w:cstheme="minorHAnsi"/>
                <w:sz w:val="24"/>
                <w:szCs w:val="24"/>
              </w:rPr>
            </w:pPr>
            <w:r w:rsidRPr="009C778C">
              <w:rPr>
                <w:rFonts w:cstheme="minorHAnsi"/>
                <w:sz w:val="24"/>
                <w:szCs w:val="24"/>
              </w:rPr>
              <w:t>Small positive earnings dummy, which equals one if after-tax earnings over assets fall within the range of [0.00, 0.015] (</w:t>
            </w:r>
            <w:hyperlink r:id="rId177" w:anchor="bb0075" w:history="1">
              <w:r w:rsidRPr="009C778C">
                <w:rPr>
                  <w:rStyle w:val="Hyperlink"/>
                  <w:rFonts w:cstheme="minorHAnsi"/>
                  <w:sz w:val="24"/>
                  <w:szCs w:val="24"/>
                </w:rPr>
                <w:t>Burgstahler and Dichev, 1997</w:t>
              </w:r>
            </w:hyperlink>
            <w:r w:rsidRPr="009C778C">
              <w:rPr>
                <w:rFonts w:cstheme="minorHAnsi"/>
                <w:sz w:val="24"/>
                <w:szCs w:val="24"/>
              </w:rPr>
              <w:t>, </w:t>
            </w:r>
            <w:hyperlink r:id="rId178" w:anchor="bb0045" w:history="1">
              <w:r w:rsidRPr="009C778C">
                <w:rPr>
                  <w:rStyle w:val="Hyperlink"/>
                  <w:rFonts w:cstheme="minorHAnsi"/>
                  <w:sz w:val="24"/>
                  <w:szCs w:val="24"/>
                </w:rPr>
                <w:t>Barth et al., 2008</w:t>
              </w:r>
            </w:hyperlink>
            <w:r w:rsidRPr="009C778C">
              <w:rPr>
                <w:rFonts w:cstheme="minorHAnsi"/>
                <w:sz w:val="24"/>
                <w:szCs w:val="24"/>
              </w:rPr>
              <w:t>)</w:t>
            </w:r>
          </w:p>
        </w:tc>
        <w:tc>
          <w:tcPr>
            <w:tcW w:w="0" w:type="auto"/>
            <w:hideMark/>
          </w:tcPr>
          <w:p w14:paraId="2A1000C8" w14:textId="77777777" w:rsidR="009C778C" w:rsidRPr="009C778C" w:rsidRDefault="009C778C" w:rsidP="009C778C">
            <w:pPr>
              <w:rPr>
                <w:rFonts w:cstheme="minorHAnsi"/>
                <w:sz w:val="24"/>
                <w:szCs w:val="24"/>
              </w:rPr>
            </w:pPr>
            <w:r w:rsidRPr="009C778C">
              <w:rPr>
                <w:rFonts w:cstheme="minorHAnsi"/>
                <w:sz w:val="24"/>
                <w:szCs w:val="24"/>
              </w:rPr>
              <w:t>Compustat Global</w:t>
            </w:r>
          </w:p>
        </w:tc>
      </w:tr>
      <w:bookmarkEnd w:id="50"/>
      <w:bookmarkEnd w:id="51"/>
      <w:tr w:rsidR="00A522A1" w:rsidRPr="009C778C" w14:paraId="4AA91309" w14:textId="77777777" w:rsidTr="009633A7">
        <w:tc>
          <w:tcPr>
            <w:tcW w:w="2210" w:type="dxa"/>
            <w:hideMark/>
          </w:tcPr>
          <w:p w14:paraId="4C2E1FC4" w14:textId="77777777" w:rsidR="00A522A1" w:rsidRPr="009C778C" w:rsidRDefault="00A522A1" w:rsidP="009C778C">
            <w:pPr>
              <w:rPr>
                <w:rFonts w:cstheme="minorHAnsi"/>
                <w:sz w:val="24"/>
                <w:szCs w:val="24"/>
              </w:rPr>
            </w:pPr>
            <w:r w:rsidRPr="009C778C">
              <w:rPr>
                <w:rFonts w:cstheme="minorHAnsi"/>
                <w:sz w:val="24"/>
                <w:szCs w:val="24"/>
              </w:rPr>
              <w:t>Panel B: Independent variables of interest - institutional ownership</w:t>
            </w:r>
          </w:p>
        </w:tc>
        <w:tc>
          <w:tcPr>
            <w:tcW w:w="5526" w:type="dxa"/>
          </w:tcPr>
          <w:p w14:paraId="0475791E" w14:textId="77777777" w:rsidR="00A522A1" w:rsidRPr="009C778C" w:rsidRDefault="00A522A1" w:rsidP="009C778C">
            <w:pPr>
              <w:rPr>
                <w:rFonts w:cstheme="minorHAnsi"/>
                <w:sz w:val="24"/>
                <w:szCs w:val="24"/>
              </w:rPr>
            </w:pPr>
          </w:p>
        </w:tc>
        <w:tc>
          <w:tcPr>
            <w:tcW w:w="2104" w:type="dxa"/>
          </w:tcPr>
          <w:p w14:paraId="1FB3AAB8" w14:textId="559306B7" w:rsidR="00A522A1" w:rsidRPr="009C778C" w:rsidRDefault="00A522A1" w:rsidP="009C778C">
            <w:pPr>
              <w:rPr>
                <w:rFonts w:cstheme="minorHAnsi"/>
                <w:sz w:val="24"/>
                <w:szCs w:val="24"/>
              </w:rPr>
            </w:pPr>
          </w:p>
        </w:tc>
      </w:tr>
      <w:tr w:rsidR="009C778C" w:rsidRPr="009C778C" w14:paraId="2DC56569" w14:textId="77777777" w:rsidTr="00A522A1">
        <w:tc>
          <w:tcPr>
            <w:tcW w:w="0" w:type="auto"/>
            <w:hideMark/>
          </w:tcPr>
          <w:p w14:paraId="534C10F7" w14:textId="77777777" w:rsidR="009C778C" w:rsidRPr="009C778C" w:rsidRDefault="009C778C" w:rsidP="009C778C">
            <w:pPr>
              <w:rPr>
                <w:rFonts w:cstheme="minorHAnsi"/>
                <w:b/>
                <w:bCs/>
                <w:sz w:val="24"/>
                <w:szCs w:val="24"/>
              </w:rPr>
            </w:pPr>
            <w:r w:rsidRPr="009C778C">
              <w:rPr>
                <w:rFonts w:cstheme="minorHAnsi"/>
                <w:b/>
                <w:bCs/>
                <w:sz w:val="24"/>
                <w:szCs w:val="24"/>
              </w:rPr>
              <w:t>TOTAL</w:t>
            </w:r>
          </w:p>
        </w:tc>
        <w:tc>
          <w:tcPr>
            <w:tcW w:w="0" w:type="auto"/>
            <w:hideMark/>
          </w:tcPr>
          <w:p w14:paraId="2833C5A0" w14:textId="77777777" w:rsidR="009C778C" w:rsidRPr="009C778C" w:rsidRDefault="009C778C" w:rsidP="009C778C">
            <w:pPr>
              <w:rPr>
                <w:rFonts w:cstheme="minorHAnsi"/>
                <w:sz w:val="24"/>
                <w:szCs w:val="24"/>
              </w:rPr>
            </w:pPr>
            <w:r w:rsidRPr="009C778C">
              <w:rPr>
                <w:rFonts w:cstheme="minorHAnsi"/>
                <w:sz w:val="24"/>
                <w:szCs w:val="24"/>
              </w:rPr>
              <w:t>Percent of stockholdings by all institutions at the end of a calendar year; set to zero if a stock is not held by any institution</w:t>
            </w:r>
          </w:p>
        </w:tc>
        <w:tc>
          <w:tcPr>
            <w:tcW w:w="0" w:type="auto"/>
            <w:hideMark/>
          </w:tcPr>
          <w:p w14:paraId="65314232"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6FC48D15" w14:textId="77777777" w:rsidTr="00A522A1">
        <w:tc>
          <w:tcPr>
            <w:tcW w:w="0" w:type="auto"/>
            <w:hideMark/>
          </w:tcPr>
          <w:p w14:paraId="08D0408B" w14:textId="77777777" w:rsidR="009C778C" w:rsidRPr="009C778C" w:rsidRDefault="009C778C" w:rsidP="009C778C">
            <w:pPr>
              <w:rPr>
                <w:rFonts w:cstheme="minorHAnsi"/>
                <w:b/>
                <w:bCs/>
                <w:sz w:val="24"/>
                <w:szCs w:val="24"/>
              </w:rPr>
            </w:pPr>
            <w:r w:rsidRPr="009C778C">
              <w:rPr>
                <w:rFonts w:cstheme="minorHAnsi"/>
                <w:b/>
                <w:bCs/>
                <w:sz w:val="24"/>
                <w:szCs w:val="24"/>
              </w:rPr>
              <w:t>DOMESTIC</w:t>
            </w:r>
          </w:p>
        </w:tc>
        <w:tc>
          <w:tcPr>
            <w:tcW w:w="0" w:type="auto"/>
            <w:hideMark/>
          </w:tcPr>
          <w:p w14:paraId="3848CE57" w14:textId="77777777" w:rsidR="009C778C" w:rsidRPr="009C778C" w:rsidRDefault="009C778C" w:rsidP="009C778C">
            <w:pPr>
              <w:rPr>
                <w:rFonts w:cstheme="minorHAnsi"/>
                <w:sz w:val="24"/>
                <w:szCs w:val="24"/>
              </w:rPr>
            </w:pPr>
            <w:r w:rsidRPr="009C778C">
              <w:rPr>
                <w:rFonts w:cstheme="minorHAnsi"/>
                <w:sz w:val="24"/>
                <w:szCs w:val="24"/>
              </w:rPr>
              <w:t>Percent of stockholdings by all institutions domiciled in the same country in which the stock is issued at the end of a calendar year; set to zero if a stock is not held by any institution</w:t>
            </w:r>
          </w:p>
        </w:tc>
        <w:tc>
          <w:tcPr>
            <w:tcW w:w="0" w:type="auto"/>
            <w:hideMark/>
          </w:tcPr>
          <w:p w14:paraId="5C20C223"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69F01694" w14:textId="77777777" w:rsidTr="00A522A1">
        <w:tc>
          <w:tcPr>
            <w:tcW w:w="0" w:type="auto"/>
            <w:hideMark/>
          </w:tcPr>
          <w:p w14:paraId="62654CB2" w14:textId="77777777" w:rsidR="009C778C" w:rsidRPr="009C778C" w:rsidRDefault="009C778C" w:rsidP="009C778C">
            <w:pPr>
              <w:rPr>
                <w:rFonts w:cstheme="minorHAnsi"/>
                <w:b/>
                <w:bCs/>
                <w:sz w:val="24"/>
                <w:szCs w:val="24"/>
              </w:rPr>
            </w:pPr>
            <w:r w:rsidRPr="009C778C">
              <w:rPr>
                <w:rFonts w:cstheme="minorHAnsi"/>
                <w:b/>
                <w:bCs/>
                <w:sz w:val="24"/>
                <w:szCs w:val="24"/>
              </w:rPr>
              <w:t>FOREIGN</w:t>
            </w:r>
          </w:p>
        </w:tc>
        <w:tc>
          <w:tcPr>
            <w:tcW w:w="0" w:type="auto"/>
            <w:hideMark/>
          </w:tcPr>
          <w:p w14:paraId="633C426C" w14:textId="77777777" w:rsidR="009C778C" w:rsidRPr="009C778C" w:rsidRDefault="009C778C" w:rsidP="009C778C">
            <w:pPr>
              <w:rPr>
                <w:rFonts w:cstheme="minorHAnsi"/>
                <w:sz w:val="24"/>
                <w:szCs w:val="24"/>
              </w:rPr>
            </w:pPr>
            <w:r w:rsidRPr="009C778C">
              <w:rPr>
                <w:rFonts w:cstheme="minorHAnsi"/>
                <w:sz w:val="24"/>
                <w:szCs w:val="24"/>
              </w:rPr>
              <w:t>Percent of stockholdings by all institutions domiciled in a country different from the country in which the stock is issued at the end of a calendar year; set to zero if a stock is not held by any institution</w:t>
            </w:r>
          </w:p>
        </w:tc>
        <w:tc>
          <w:tcPr>
            <w:tcW w:w="0" w:type="auto"/>
            <w:hideMark/>
          </w:tcPr>
          <w:p w14:paraId="19CD0972"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4247F8A4" w14:textId="77777777" w:rsidTr="00A522A1">
        <w:tc>
          <w:tcPr>
            <w:tcW w:w="0" w:type="auto"/>
            <w:hideMark/>
          </w:tcPr>
          <w:p w14:paraId="3A9F2680" w14:textId="77777777" w:rsidR="009C778C" w:rsidRPr="009C778C" w:rsidRDefault="009C778C" w:rsidP="009C778C">
            <w:pPr>
              <w:rPr>
                <w:rFonts w:cstheme="minorHAnsi"/>
                <w:b/>
                <w:bCs/>
                <w:sz w:val="24"/>
                <w:szCs w:val="24"/>
              </w:rPr>
            </w:pPr>
            <w:r w:rsidRPr="009C778C">
              <w:rPr>
                <w:rFonts w:cstheme="minorHAnsi"/>
                <w:b/>
                <w:bCs/>
                <w:sz w:val="24"/>
                <w:szCs w:val="24"/>
              </w:rPr>
              <w:t>FOREIGN_REGION</w:t>
            </w:r>
          </w:p>
        </w:tc>
        <w:tc>
          <w:tcPr>
            <w:tcW w:w="0" w:type="auto"/>
            <w:hideMark/>
          </w:tcPr>
          <w:p w14:paraId="0694C436" w14:textId="77777777" w:rsidR="009C778C" w:rsidRPr="009C778C" w:rsidRDefault="009C778C" w:rsidP="009C778C">
            <w:pPr>
              <w:rPr>
                <w:rFonts w:cstheme="minorHAnsi"/>
                <w:sz w:val="24"/>
                <w:szCs w:val="24"/>
              </w:rPr>
            </w:pPr>
            <w:r w:rsidRPr="009C778C">
              <w:rPr>
                <w:rFonts w:cstheme="minorHAnsi"/>
                <w:sz w:val="24"/>
                <w:szCs w:val="24"/>
              </w:rPr>
              <w:t>Percent of stockholdings by foreign institutions domiciled in the same geographical region as the firm in institutions’ portfolios (investee firm)</w:t>
            </w:r>
          </w:p>
        </w:tc>
        <w:tc>
          <w:tcPr>
            <w:tcW w:w="0" w:type="auto"/>
            <w:hideMark/>
          </w:tcPr>
          <w:p w14:paraId="1437F894"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1418015E" w14:textId="77777777" w:rsidTr="00A522A1">
        <w:tc>
          <w:tcPr>
            <w:tcW w:w="0" w:type="auto"/>
            <w:hideMark/>
          </w:tcPr>
          <w:p w14:paraId="5E1A923A" w14:textId="77777777" w:rsidR="009C778C" w:rsidRPr="009C778C" w:rsidRDefault="009C778C" w:rsidP="009C778C">
            <w:pPr>
              <w:rPr>
                <w:rFonts w:cstheme="minorHAnsi"/>
                <w:b/>
                <w:bCs/>
                <w:sz w:val="24"/>
                <w:szCs w:val="24"/>
              </w:rPr>
            </w:pPr>
            <w:r w:rsidRPr="009C778C">
              <w:rPr>
                <w:rFonts w:cstheme="minorHAnsi"/>
                <w:b/>
                <w:bCs/>
                <w:sz w:val="24"/>
                <w:szCs w:val="24"/>
              </w:rPr>
              <w:t>FOREIGN_ACTG</w:t>
            </w:r>
          </w:p>
        </w:tc>
        <w:tc>
          <w:tcPr>
            <w:tcW w:w="0" w:type="auto"/>
            <w:hideMark/>
          </w:tcPr>
          <w:p w14:paraId="3C68B56E" w14:textId="77777777" w:rsidR="009C778C" w:rsidRPr="009C778C" w:rsidRDefault="009C778C" w:rsidP="009C778C">
            <w:pPr>
              <w:rPr>
                <w:rFonts w:cstheme="minorHAnsi"/>
                <w:sz w:val="24"/>
                <w:szCs w:val="24"/>
              </w:rPr>
            </w:pPr>
            <w:r w:rsidRPr="009C778C">
              <w:rPr>
                <w:rFonts w:cstheme="minorHAnsi"/>
                <w:sz w:val="24"/>
                <w:szCs w:val="24"/>
              </w:rPr>
              <w:t>Percent of stockholdings by foreign institutions domiciled in countries that have adopted accounting standards similar to the host countries. We aggregate the ownership of foreign institutions whose country-level accounting standard is the same as the accounting standard (IFRS) adopted by the investee firm.</w:t>
            </w:r>
          </w:p>
        </w:tc>
        <w:tc>
          <w:tcPr>
            <w:tcW w:w="0" w:type="auto"/>
            <w:hideMark/>
          </w:tcPr>
          <w:p w14:paraId="18050831"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3D4485E8" w14:textId="77777777" w:rsidTr="00A522A1">
        <w:tc>
          <w:tcPr>
            <w:tcW w:w="0" w:type="auto"/>
            <w:hideMark/>
          </w:tcPr>
          <w:p w14:paraId="77F92426" w14:textId="77777777" w:rsidR="009C778C" w:rsidRPr="009C778C" w:rsidRDefault="009C778C" w:rsidP="009C778C">
            <w:pPr>
              <w:rPr>
                <w:rFonts w:cstheme="minorHAnsi"/>
                <w:b/>
                <w:bCs/>
                <w:sz w:val="24"/>
                <w:szCs w:val="24"/>
              </w:rPr>
            </w:pPr>
            <w:r w:rsidRPr="009C778C">
              <w:rPr>
                <w:rFonts w:cstheme="minorHAnsi"/>
                <w:b/>
                <w:bCs/>
                <w:sz w:val="24"/>
                <w:szCs w:val="24"/>
              </w:rPr>
              <w:t>FOREIGN_CULTURE</w:t>
            </w:r>
          </w:p>
        </w:tc>
        <w:tc>
          <w:tcPr>
            <w:tcW w:w="0" w:type="auto"/>
            <w:hideMark/>
          </w:tcPr>
          <w:p w14:paraId="2BECBE11" w14:textId="77777777" w:rsidR="009C778C" w:rsidRPr="009C778C" w:rsidRDefault="009C778C" w:rsidP="009C778C">
            <w:pPr>
              <w:rPr>
                <w:rFonts w:cstheme="minorHAnsi"/>
                <w:sz w:val="24"/>
                <w:szCs w:val="24"/>
              </w:rPr>
            </w:pPr>
            <w:r w:rsidRPr="009C778C">
              <w:rPr>
                <w:rFonts w:cstheme="minorHAnsi"/>
                <w:sz w:val="24"/>
                <w:szCs w:val="24"/>
              </w:rPr>
              <w:t>Percent of stockholdings by foreign institutions whose home country is similar in cultural tightness to the host country. Cultural tightness relates to preferred ways of gathering, processing, and evaluating information when solving problems (</w:t>
            </w:r>
            <w:hyperlink r:id="rId179" w:anchor="bb0155" w:history="1">
              <w:r w:rsidRPr="009C778C">
                <w:rPr>
                  <w:rStyle w:val="Hyperlink"/>
                  <w:rFonts w:cstheme="minorHAnsi"/>
                  <w:sz w:val="24"/>
                  <w:szCs w:val="24"/>
                </w:rPr>
                <w:t>Gelfand et al., 2006</w:t>
              </w:r>
            </w:hyperlink>
            <w:r w:rsidRPr="009C778C">
              <w:rPr>
                <w:rFonts w:cstheme="minorHAnsi"/>
                <w:sz w:val="24"/>
                <w:szCs w:val="24"/>
              </w:rPr>
              <w:t>, </w:t>
            </w:r>
            <w:hyperlink r:id="rId180" w:anchor="bb0160" w:history="1">
              <w:r w:rsidRPr="009C778C">
                <w:rPr>
                  <w:rStyle w:val="Hyperlink"/>
                  <w:rFonts w:cstheme="minorHAnsi"/>
                  <w:sz w:val="24"/>
                  <w:szCs w:val="24"/>
                </w:rPr>
                <w:t>Gelfand et al., 2011</w:t>
              </w:r>
            </w:hyperlink>
            <w:r w:rsidRPr="009C778C">
              <w:rPr>
                <w:rFonts w:cstheme="minorHAnsi"/>
                <w:sz w:val="24"/>
                <w:szCs w:val="24"/>
              </w:rPr>
              <w:t>). Countries are ranked into three groups based on their cultural tightness scores. We classify two countries as similar in cultural tightness if they are in the same tercile.</w:t>
            </w:r>
          </w:p>
        </w:tc>
        <w:tc>
          <w:tcPr>
            <w:tcW w:w="0" w:type="auto"/>
            <w:hideMark/>
          </w:tcPr>
          <w:p w14:paraId="34445A2F" w14:textId="77777777" w:rsidR="009C778C" w:rsidRPr="009C778C" w:rsidRDefault="0044383A" w:rsidP="009C778C">
            <w:pPr>
              <w:rPr>
                <w:rFonts w:cstheme="minorHAnsi"/>
                <w:sz w:val="24"/>
                <w:szCs w:val="24"/>
              </w:rPr>
            </w:pPr>
            <w:hyperlink r:id="rId181" w:anchor="bb0160" w:history="1">
              <w:r w:rsidR="009C778C" w:rsidRPr="009C778C">
                <w:rPr>
                  <w:rStyle w:val="Hyperlink"/>
                  <w:rFonts w:cstheme="minorHAnsi"/>
                  <w:sz w:val="24"/>
                  <w:szCs w:val="24"/>
                </w:rPr>
                <w:t>Gelfand et al. (2011)</w:t>
              </w:r>
            </w:hyperlink>
            <w:bookmarkEnd w:id="82"/>
          </w:p>
        </w:tc>
      </w:tr>
      <w:bookmarkEnd w:id="81"/>
      <w:tr w:rsidR="009C778C" w:rsidRPr="009C778C" w14:paraId="1FACB10D" w14:textId="77777777" w:rsidTr="00A522A1">
        <w:tc>
          <w:tcPr>
            <w:tcW w:w="0" w:type="auto"/>
            <w:hideMark/>
          </w:tcPr>
          <w:p w14:paraId="08D1DE0A" w14:textId="77777777" w:rsidR="009C778C" w:rsidRPr="009C778C" w:rsidRDefault="009C778C" w:rsidP="009C778C">
            <w:pPr>
              <w:rPr>
                <w:rFonts w:cstheme="minorHAnsi"/>
                <w:b/>
                <w:bCs/>
                <w:sz w:val="24"/>
                <w:szCs w:val="24"/>
              </w:rPr>
            </w:pPr>
            <w:r w:rsidRPr="009C778C">
              <w:rPr>
                <w:rFonts w:cstheme="minorHAnsi"/>
                <w:b/>
                <w:bCs/>
                <w:sz w:val="24"/>
                <w:szCs w:val="24"/>
              </w:rPr>
              <w:t>DOMESTIC_INDEP</w:t>
            </w:r>
          </w:p>
        </w:tc>
        <w:tc>
          <w:tcPr>
            <w:tcW w:w="0" w:type="auto"/>
            <w:hideMark/>
          </w:tcPr>
          <w:p w14:paraId="763FE76B" w14:textId="77777777" w:rsidR="009C778C" w:rsidRPr="009C778C" w:rsidRDefault="009C778C" w:rsidP="009C778C">
            <w:pPr>
              <w:rPr>
                <w:rFonts w:cstheme="minorHAnsi"/>
                <w:sz w:val="24"/>
                <w:szCs w:val="24"/>
              </w:rPr>
            </w:pPr>
            <w:r w:rsidRPr="009C778C">
              <w:rPr>
                <w:rFonts w:cstheme="minorHAnsi"/>
                <w:sz w:val="24"/>
                <w:szCs w:val="24"/>
              </w:rPr>
              <w:t>Domestic institutional investors are classified as independent if they are mutual funds and independent investment advisors.</w:t>
            </w:r>
          </w:p>
        </w:tc>
        <w:tc>
          <w:tcPr>
            <w:tcW w:w="0" w:type="auto"/>
            <w:hideMark/>
          </w:tcPr>
          <w:p w14:paraId="0C9DE025"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0F1E30DB" w14:textId="77777777" w:rsidTr="00A522A1">
        <w:tc>
          <w:tcPr>
            <w:tcW w:w="0" w:type="auto"/>
            <w:hideMark/>
          </w:tcPr>
          <w:p w14:paraId="3F110FBF" w14:textId="77777777" w:rsidR="009C778C" w:rsidRPr="009C778C" w:rsidRDefault="009C778C" w:rsidP="009C778C">
            <w:pPr>
              <w:rPr>
                <w:rFonts w:cstheme="minorHAnsi"/>
                <w:b/>
                <w:bCs/>
                <w:sz w:val="24"/>
                <w:szCs w:val="24"/>
              </w:rPr>
            </w:pPr>
            <w:r w:rsidRPr="009C778C">
              <w:rPr>
                <w:rFonts w:cstheme="minorHAnsi"/>
                <w:b/>
                <w:bCs/>
                <w:sz w:val="24"/>
                <w:szCs w:val="24"/>
              </w:rPr>
              <w:t>FOREIGN_INDEP</w:t>
            </w:r>
          </w:p>
        </w:tc>
        <w:tc>
          <w:tcPr>
            <w:tcW w:w="0" w:type="auto"/>
            <w:hideMark/>
          </w:tcPr>
          <w:p w14:paraId="0C95EBEE" w14:textId="77777777" w:rsidR="009C778C" w:rsidRPr="009C778C" w:rsidRDefault="009C778C" w:rsidP="009C778C">
            <w:pPr>
              <w:rPr>
                <w:rFonts w:cstheme="minorHAnsi"/>
                <w:sz w:val="24"/>
                <w:szCs w:val="24"/>
              </w:rPr>
            </w:pPr>
            <w:r w:rsidRPr="009C778C">
              <w:rPr>
                <w:rFonts w:cstheme="minorHAnsi"/>
                <w:sz w:val="24"/>
                <w:szCs w:val="24"/>
              </w:rPr>
              <w:t>Foreign institutional investors are classified as independent if they are mutual funds and independent investment advisors.</w:t>
            </w:r>
          </w:p>
        </w:tc>
        <w:tc>
          <w:tcPr>
            <w:tcW w:w="0" w:type="auto"/>
            <w:hideMark/>
          </w:tcPr>
          <w:p w14:paraId="6E88BF42"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3F81897F" w14:textId="77777777" w:rsidTr="00A522A1">
        <w:tc>
          <w:tcPr>
            <w:tcW w:w="0" w:type="auto"/>
            <w:hideMark/>
          </w:tcPr>
          <w:p w14:paraId="1444E800" w14:textId="77777777" w:rsidR="009C778C" w:rsidRPr="009C778C" w:rsidRDefault="009C778C" w:rsidP="009C778C">
            <w:pPr>
              <w:rPr>
                <w:rFonts w:cstheme="minorHAnsi"/>
                <w:b/>
                <w:bCs/>
                <w:sz w:val="24"/>
                <w:szCs w:val="24"/>
              </w:rPr>
            </w:pPr>
            <w:r w:rsidRPr="009C778C">
              <w:rPr>
                <w:rFonts w:cstheme="minorHAnsi"/>
                <w:b/>
                <w:bCs/>
                <w:sz w:val="24"/>
                <w:szCs w:val="24"/>
              </w:rPr>
              <w:t>FOREIGN_COM</w:t>
            </w:r>
          </w:p>
        </w:tc>
        <w:tc>
          <w:tcPr>
            <w:tcW w:w="0" w:type="auto"/>
            <w:hideMark/>
          </w:tcPr>
          <w:p w14:paraId="32850272" w14:textId="77777777" w:rsidR="009C778C" w:rsidRPr="009C778C" w:rsidRDefault="009C778C" w:rsidP="009C778C">
            <w:pPr>
              <w:rPr>
                <w:rFonts w:cstheme="minorHAnsi"/>
                <w:sz w:val="24"/>
                <w:szCs w:val="24"/>
              </w:rPr>
            </w:pPr>
            <w:r w:rsidRPr="009C778C">
              <w:rPr>
                <w:rFonts w:cstheme="minorHAnsi"/>
                <w:sz w:val="24"/>
                <w:szCs w:val="24"/>
              </w:rPr>
              <w:t>Percent of stockholdings by foreign institutions domiciled in a country with common-law legal origin</w:t>
            </w:r>
          </w:p>
        </w:tc>
        <w:tc>
          <w:tcPr>
            <w:tcW w:w="0" w:type="auto"/>
            <w:hideMark/>
          </w:tcPr>
          <w:p w14:paraId="33BB9CF7"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3C0E8586" w14:textId="77777777" w:rsidTr="00A522A1">
        <w:tc>
          <w:tcPr>
            <w:tcW w:w="0" w:type="auto"/>
            <w:hideMark/>
          </w:tcPr>
          <w:p w14:paraId="678497D7" w14:textId="77777777" w:rsidR="009C778C" w:rsidRPr="009C778C" w:rsidRDefault="009C778C" w:rsidP="009C778C">
            <w:pPr>
              <w:rPr>
                <w:rFonts w:cstheme="minorHAnsi"/>
                <w:b/>
                <w:bCs/>
                <w:sz w:val="24"/>
                <w:szCs w:val="24"/>
              </w:rPr>
            </w:pPr>
            <w:r w:rsidRPr="009C778C">
              <w:rPr>
                <w:rFonts w:cstheme="minorHAnsi"/>
                <w:b/>
                <w:bCs/>
                <w:sz w:val="24"/>
                <w:szCs w:val="24"/>
              </w:rPr>
              <w:t>FOREIGN_CIV</w:t>
            </w:r>
          </w:p>
        </w:tc>
        <w:tc>
          <w:tcPr>
            <w:tcW w:w="0" w:type="auto"/>
            <w:hideMark/>
          </w:tcPr>
          <w:p w14:paraId="64C1F09D" w14:textId="77777777" w:rsidR="009C778C" w:rsidRPr="009C778C" w:rsidRDefault="009C778C" w:rsidP="009C778C">
            <w:pPr>
              <w:rPr>
                <w:rFonts w:cstheme="minorHAnsi"/>
                <w:sz w:val="24"/>
                <w:szCs w:val="24"/>
              </w:rPr>
            </w:pPr>
            <w:r w:rsidRPr="009C778C">
              <w:rPr>
                <w:rFonts w:cstheme="minorHAnsi"/>
                <w:sz w:val="24"/>
                <w:szCs w:val="24"/>
              </w:rPr>
              <w:t>Percent of stockholdings by foreign institutions domiciled in a country with civil-law legal origin</w:t>
            </w:r>
          </w:p>
        </w:tc>
        <w:tc>
          <w:tcPr>
            <w:tcW w:w="0" w:type="auto"/>
            <w:hideMark/>
          </w:tcPr>
          <w:p w14:paraId="7F38AB3F"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1A9333EE" w14:textId="77777777" w:rsidTr="00A522A1">
        <w:tc>
          <w:tcPr>
            <w:tcW w:w="0" w:type="auto"/>
            <w:hideMark/>
          </w:tcPr>
          <w:p w14:paraId="1425466A" w14:textId="77777777" w:rsidR="009C778C" w:rsidRPr="009C778C" w:rsidRDefault="009C778C" w:rsidP="009C778C">
            <w:pPr>
              <w:rPr>
                <w:rFonts w:cstheme="minorHAnsi"/>
                <w:b/>
                <w:bCs/>
                <w:sz w:val="24"/>
                <w:szCs w:val="24"/>
              </w:rPr>
            </w:pPr>
            <w:r w:rsidRPr="009C778C">
              <w:rPr>
                <w:rFonts w:cstheme="minorHAnsi"/>
                <w:b/>
                <w:bCs/>
                <w:sz w:val="24"/>
                <w:szCs w:val="24"/>
              </w:rPr>
              <w:t>FOREIGN_DEVELOP</w:t>
            </w:r>
          </w:p>
        </w:tc>
        <w:tc>
          <w:tcPr>
            <w:tcW w:w="0" w:type="auto"/>
            <w:hideMark/>
          </w:tcPr>
          <w:p w14:paraId="750B1716" w14:textId="77777777" w:rsidR="009C778C" w:rsidRPr="009C778C" w:rsidRDefault="009C778C" w:rsidP="009C778C">
            <w:pPr>
              <w:rPr>
                <w:rFonts w:cstheme="minorHAnsi"/>
                <w:sz w:val="24"/>
                <w:szCs w:val="24"/>
              </w:rPr>
            </w:pPr>
            <w:r w:rsidRPr="009C778C">
              <w:rPr>
                <w:rFonts w:cstheme="minorHAnsi"/>
                <w:sz w:val="24"/>
                <w:szCs w:val="24"/>
              </w:rPr>
              <w:t>Percent of stockholdings by foreign institutions domiciled in a developed country</w:t>
            </w:r>
          </w:p>
        </w:tc>
        <w:tc>
          <w:tcPr>
            <w:tcW w:w="0" w:type="auto"/>
            <w:hideMark/>
          </w:tcPr>
          <w:p w14:paraId="4581AB3E" w14:textId="77777777" w:rsidR="009C778C" w:rsidRPr="009C778C" w:rsidRDefault="009C778C" w:rsidP="009C778C">
            <w:pPr>
              <w:rPr>
                <w:rFonts w:cstheme="minorHAnsi"/>
                <w:sz w:val="24"/>
                <w:szCs w:val="24"/>
              </w:rPr>
            </w:pPr>
            <w:r w:rsidRPr="009C778C">
              <w:rPr>
                <w:rFonts w:cstheme="minorHAnsi"/>
                <w:sz w:val="24"/>
                <w:szCs w:val="24"/>
              </w:rPr>
              <w:t>FactSet/Bloomberg</w:t>
            </w:r>
          </w:p>
        </w:tc>
      </w:tr>
      <w:tr w:rsidR="009C778C" w:rsidRPr="009C778C" w14:paraId="0F5B6A9D" w14:textId="77777777" w:rsidTr="00A522A1">
        <w:tc>
          <w:tcPr>
            <w:tcW w:w="0" w:type="auto"/>
            <w:hideMark/>
          </w:tcPr>
          <w:p w14:paraId="1C3BF31A" w14:textId="77777777" w:rsidR="009C778C" w:rsidRPr="009C778C" w:rsidRDefault="009C778C" w:rsidP="009C778C">
            <w:pPr>
              <w:rPr>
                <w:rFonts w:cstheme="minorHAnsi"/>
                <w:b/>
                <w:bCs/>
                <w:sz w:val="24"/>
                <w:szCs w:val="24"/>
              </w:rPr>
            </w:pPr>
            <w:r w:rsidRPr="009C778C">
              <w:rPr>
                <w:rFonts w:cstheme="minorHAnsi"/>
                <w:b/>
                <w:bCs/>
                <w:sz w:val="24"/>
                <w:szCs w:val="24"/>
              </w:rPr>
              <w:t>FOREIGN_EMERG</w:t>
            </w:r>
          </w:p>
        </w:tc>
        <w:tc>
          <w:tcPr>
            <w:tcW w:w="0" w:type="auto"/>
            <w:hideMark/>
          </w:tcPr>
          <w:p w14:paraId="42E9E46B" w14:textId="77777777" w:rsidR="009C778C" w:rsidRPr="009C778C" w:rsidRDefault="009C778C" w:rsidP="009C778C">
            <w:pPr>
              <w:rPr>
                <w:rFonts w:cstheme="minorHAnsi"/>
                <w:sz w:val="24"/>
                <w:szCs w:val="24"/>
              </w:rPr>
            </w:pPr>
            <w:r w:rsidRPr="009C778C">
              <w:rPr>
                <w:rFonts w:cstheme="minorHAnsi"/>
                <w:sz w:val="24"/>
                <w:szCs w:val="24"/>
              </w:rPr>
              <w:t>Percent of stockholdings by foreign institutions domiciled in an emerging country</w:t>
            </w:r>
          </w:p>
        </w:tc>
        <w:tc>
          <w:tcPr>
            <w:tcW w:w="0" w:type="auto"/>
            <w:hideMark/>
          </w:tcPr>
          <w:p w14:paraId="21ECAAA6" w14:textId="77777777" w:rsidR="009C778C" w:rsidRPr="009C778C" w:rsidRDefault="009C778C" w:rsidP="009C778C">
            <w:pPr>
              <w:rPr>
                <w:rFonts w:cstheme="minorHAnsi"/>
                <w:sz w:val="24"/>
                <w:szCs w:val="24"/>
              </w:rPr>
            </w:pPr>
            <w:r w:rsidRPr="009C778C">
              <w:rPr>
                <w:rFonts w:cstheme="minorHAnsi"/>
                <w:sz w:val="24"/>
                <w:szCs w:val="24"/>
              </w:rPr>
              <w:t>FactSet/Bloomberg</w:t>
            </w:r>
          </w:p>
        </w:tc>
      </w:tr>
      <w:tr w:rsidR="00A522A1" w:rsidRPr="009C778C" w14:paraId="7912AFB5" w14:textId="77777777" w:rsidTr="00D3404D">
        <w:tc>
          <w:tcPr>
            <w:tcW w:w="0" w:type="auto"/>
            <w:hideMark/>
          </w:tcPr>
          <w:p w14:paraId="7C625323" w14:textId="77777777" w:rsidR="00A522A1" w:rsidRPr="009C778C" w:rsidRDefault="00A522A1" w:rsidP="009C778C">
            <w:pPr>
              <w:rPr>
                <w:rFonts w:cstheme="minorHAnsi"/>
                <w:sz w:val="24"/>
                <w:szCs w:val="24"/>
              </w:rPr>
            </w:pPr>
            <w:r w:rsidRPr="009C778C">
              <w:rPr>
                <w:rFonts w:cstheme="minorHAnsi"/>
                <w:sz w:val="24"/>
                <w:szCs w:val="24"/>
              </w:rPr>
              <w:t>Panel C: Other variables</w:t>
            </w:r>
          </w:p>
        </w:tc>
        <w:tc>
          <w:tcPr>
            <w:tcW w:w="0" w:type="auto"/>
          </w:tcPr>
          <w:p w14:paraId="631C5CED" w14:textId="77777777" w:rsidR="00A522A1" w:rsidRPr="009C778C" w:rsidRDefault="00A522A1" w:rsidP="009C778C">
            <w:pPr>
              <w:rPr>
                <w:rFonts w:cstheme="minorHAnsi"/>
                <w:sz w:val="24"/>
                <w:szCs w:val="24"/>
              </w:rPr>
            </w:pPr>
          </w:p>
        </w:tc>
        <w:tc>
          <w:tcPr>
            <w:tcW w:w="0" w:type="auto"/>
          </w:tcPr>
          <w:p w14:paraId="26B140E1" w14:textId="0164356D" w:rsidR="00A522A1" w:rsidRPr="009C778C" w:rsidRDefault="00A522A1" w:rsidP="009C778C">
            <w:pPr>
              <w:rPr>
                <w:rFonts w:cstheme="minorHAnsi"/>
                <w:sz w:val="24"/>
                <w:szCs w:val="24"/>
              </w:rPr>
            </w:pPr>
          </w:p>
        </w:tc>
      </w:tr>
      <w:tr w:rsidR="009C778C" w:rsidRPr="009C778C" w14:paraId="10148586" w14:textId="77777777" w:rsidTr="00A522A1">
        <w:tc>
          <w:tcPr>
            <w:tcW w:w="0" w:type="auto"/>
            <w:hideMark/>
          </w:tcPr>
          <w:p w14:paraId="5CEBA6E4" w14:textId="77777777" w:rsidR="009C778C" w:rsidRPr="009C778C" w:rsidRDefault="009C778C" w:rsidP="009C778C">
            <w:pPr>
              <w:rPr>
                <w:rFonts w:cstheme="minorHAnsi"/>
                <w:b/>
                <w:bCs/>
                <w:sz w:val="24"/>
                <w:szCs w:val="24"/>
              </w:rPr>
            </w:pPr>
            <w:r w:rsidRPr="009C778C">
              <w:rPr>
                <w:rFonts w:cstheme="minorHAnsi"/>
                <w:b/>
                <w:bCs/>
                <w:sz w:val="24"/>
                <w:szCs w:val="24"/>
              </w:rPr>
              <w:t>SIZE</w:t>
            </w:r>
          </w:p>
        </w:tc>
        <w:tc>
          <w:tcPr>
            <w:tcW w:w="0" w:type="auto"/>
            <w:hideMark/>
          </w:tcPr>
          <w:p w14:paraId="576E67A5" w14:textId="77777777" w:rsidR="009C778C" w:rsidRPr="009C778C" w:rsidRDefault="009C778C" w:rsidP="009C778C">
            <w:pPr>
              <w:rPr>
                <w:rFonts w:cstheme="minorHAnsi"/>
                <w:sz w:val="24"/>
                <w:szCs w:val="24"/>
              </w:rPr>
            </w:pPr>
            <w:r w:rsidRPr="009C778C">
              <w:rPr>
                <w:rFonts w:cstheme="minorHAnsi"/>
                <w:sz w:val="24"/>
                <w:szCs w:val="24"/>
              </w:rPr>
              <w:t>Natural logarithm of the book value of total assets</w:t>
            </w:r>
          </w:p>
        </w:tc>
        <w:tc>
          <w:tcPr>
            <w:tcW w:w="0" w:type="auto"/>
            <w:hideMark/>
          </w:tcPr>
          <w:p w14:paraId="418B1795"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2E501611" w14:textId="77777777" w:rsidTr="00A522A1">
        <w:tc>
          <w:tcPr>
            <w:tcW w:w="0" w:type="auto"/>
            <w:hideMark/>
          </w:tcPr>
          <w:p w14:paraId="7E5329B6" w14:textId="77777777" w:rsidR="009C778C" w:rsidRPr="009C778C" w:rsidRDefault="009C778C" w:rsidP="009C778C">
            <w:pPr>
              <w:rPr>
                <w:rFonts w:cstheme="minorHAnsi"/>
                <w:b/>
                <w:bCs/>
                <w:sz w:val="24"/>
                <w:szCs w:val="24"/>
              </w:rPr>
            </w:pPr>
            <w:r w:rsidRPr="009C778C">
              <w:rPr>
                <w:rFonts w:cstheme="minorHAnsi"/>
                <w:b/>
                <w:bCs/>
                <w:sz w:val="24"/>
                <w:szCs w:val="24"/>
              </w:rPr>
              <w:t>ROA</w:t>
            </w:r>
          </w:p>
        </w:tc>
        <w:tc>
          <w:tcPr>
            <w:tcW w:w="0" w:type="auto"/>
            <w:hideMark/>
          </w:tcPr>
          <w:p w14:paraId="5774289F" w14:textId="77777777" w:rsidR="009C778C" w:rsidRPr="009C778C" w:rsidRDefault="009C778C" w:rsidP="009C778C">
            <w:pPr>
              <w:rPr>
                <w:rFonts w:cstheme="minorHAnsi"/>
                <w:sz w:val="24"/>
                <w:szCs w:val="24"/>
              </w:rPr>
            </w:pPr>
            <w:r w:rsidRPr="009C778C">
              <w:rPr>
                <w:rFonts w:cstheme="minorHAnsi"/>
                <w:sz w:val="24"/>
                <w:szCs w:val="24"/>
              </w:rPr>
              <w:t>Earnings before extraordinary items divided by total assets</w:t>
            </w:r>
          </w:p>
        </w:tc>
        <w:tc>
          <w:tcPr>
            <w:tcW w:w="0" w:type="auto"/>
            <w:hideMark/>
          </w:tcPr>
          <w:p w14:paraId="1E473F32"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6C732099" w14:textId="77777777" w:rsidTr="00A522A1">
        <w:tc>
          <w:tcPr>
            <w:tcW w:w="0" w:type="auto"/>
            <w:hideMark/>
          </w:tcPr>
          <w:p w14:paraId="516B46CB" w14:textId="77777777" w:rsidR="009C778C" w:rsidRPr="009C778C" w:rsidRDefault="009C778C" w:rsidP="009C778C">
            <w:pPr>
              <w:rPr>
                <w:rFonts w:cstheme="minorHAnsi"/>
                <w:b/>
                <w:bCs/>
                <w:sz w:val="24"/>
                <w:szCs w:val="24"/>
              </w:rPr>
            </w:pPr>
            <w:r w:rsidRPr="009C778C">
              <w:rPr>
                <w:rFonts w:cstheme="minorHAnsi"/>
                <w:b/>
                <w:bCs/>
                <w:sz w:val="24"/>
                <w:szCs w:val="24"/>
              </w:rPr>
              <w:t>MTB</w:t>
            </w:r>
          </w:p>
        </w:tc>
        <w:tc>
          <w:tcPr>
            <w:tcW w:w="0" w:type="auto"/>
            <w:hideMark/>
          </w:tcPr>
          <w:p w14:paraId="1B87B191" w14:textId="77777777" w:rsidR="009C778C" w:rsidRPr="009C778C" w:rsidRDefault="009C778C" w:rsidP="009C778C">
            <w:pPr>
              <w:rPr>
                <w:rFonts w:cstheme="minorHAnsi"/>
                <w:sz w:val="24"/>
                <w:szCs w:val="24"/>
              </w:rPr>
            </w:pPr>
            <w:r w:rsidRPr="009C778C">
              <w:rPr>
                <w:rFonts w:cstheme="minorHAnsi"/>
                <w:sz w:val="24"/>
                <w:szCs w:val="24"/>
              </w:rPr>
              <w:t>Natural logarithm of the market-to-book ratio</w:t>
            </w:r>
          </w:p>
        </w:tc>
        <w:tc>
          <w:tcPr>
            <w:tcW w:w="0" w:type="auto"/>
            <w:hideMark/>
          </w:tcPr>
          <w:p w14:paraId="3FB3B6A8"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6601979D" w14:textId="77777777" w:rsidTr="00A522A1">
        <w:tc>
          <w:tcPr>
            <w:tcW w:w="0" w:type="auto"/>
            <w:hideMark/>
          </w:tcPr>
          <w:p w14:paraId="17B6780F" w14:textId="77777777" w:rsidR="009C778C" w:rsidRPr="009C778C" w:rsidRDefault="009C778C" w:rsidP="009C778C">
            <w:pPr>
              <w:rPr>
                <w:rFonts w:cstheme="minorHAnsi"/>
                <w:b/>
                <w:bCs/>
                <w:sz w:val="24"/>
                <w:szCs w:val="24"/>
              </w:rPr>
            </w:pPr>
            <w:r w:rsidRPr="009C778C">
              <w:rPr>
                <w:rFonts w:cstheme="minorHAnsi"/>
                <w:b/>
                <w:bCs/>
                <w:sz w:val="24"/>
                <w:szCs w:val="24"/>
              </w:rPr>
              <w:t>SALEGROWTH</w:t>
            </w:r>
          </w:p>
        </w:tc>
        <w:tc>
          <w:tcPr>
            <w:tcW w:w="0" w:type="auto"/>
            <w:hideMark/>
          </w:tcPr>
          <w:p w14:paraId="4E288F45" w14:textId="77777777" w:rsidR="009C778C" w:rsidRPr="009C778C" w:rsidRDefault="009C778C" w:rsidP="009C778C">
            <w:pPr>
              <w:rPr>
                <w:rFonts w:cstheme="minorHAnsi"/>
                <w:sz w:val="24"/>
                <w:szCs w:val="24"/>
              </w:rPr>
            </w:pPr>
            <w:r w:rsidRPr="009C778C">
              <w:rPr>
                <w:rFonts w:cstheme="minorHAnsi"/>
                <w:sz w:val="24"/>
                <w:szCs w:val="24"/>
              </w:rPr>
              <w:t>Sales</w:t>
            </w:r>
            <w:r w:rsidRPr="009C778C">
              <w:rPr>
                <w:rFonts w:cstheme="minorHAnsi"/>
                <w:sz w:val="24"/>
                <w:szCs w:val="24"/>
                <w:vertAlign w:val="subscript"/>
              </w:rPr>
              <w:t>t</w:t>
            </w:r>
            <w:r w:rsidRPr="009C778C">
              <w:rPr>
                <w:rFonts w:cstheme="minorHAnsi"/>
                <w:sz w:val="24"/>
                <w:szCs w:val="24"/>
              </w:rPr>
              <w:t>/Sales</w:t>
            </w:r>
            <w:r w:rsidRPr="009C778C">
              <w:rPr>
                <w:rFonts w:cstheme="minorHAnsi"/>
                <w:sz w:val="24"/>
                <w:szCs w:val="24"/>
                <w:vertAlign w:val="subscript"/>
              </w:rPr>
              <w:t>t − 1</w:t>
            </w:r>
            <w:r w:rsidRPr="009C778C">
              <w:rPr>
                <w:rFonts w:cstheme="minorHAnsi"/>
                <w:sz w:val="24"/>
                <w:szCs w:val="24"/>
              </w:rPr>
              <w:t> − 1</w:t>
            </w:r>
          </w:p>
        </w:tc>
        <w:tc>
          <w:tcPr>
            <w:tcW w:w="0" w:type="auto"/>
            <w:hideMark/>
          </w:tcPr>
          <w:p w14:paraId="050D3046"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2A7DB25A" w14:textId="77777777" w:rsidTr="00A522A1">
        <w:tc>
          <w:tcPr>
            <w:tcW w:w="0" w:type="auto"/>
            <w:hideMark/>
          </w:tcPr>
          <w:p w14:paraId="662245FD" w14:textId="77777777" w:rsidR="009C778C" w:rsidRPr="009C778C" w:rsidRDefault="009C778C" w:rsidP="009C778C">
            <w:pPr>
              <w:rPr>
                <w:rFonts w:cstheme="minorHAnsi"/>
                <w:b/>
                <w:bCs/>
                <w:sz w:val="24"/>
                <w:szCs w:val="24"/>
              </w:rPr>
            </w:pPr>
            <w:r w:rsidRPr="009C778C">
              <w:rPr>
                <w:rFonts w:cstheme="minorHAnsi"/>
                <w:b/>
                <w:bCs/>
                <w:sz w:val="24"/>
                <w:szCs w:val="24"/>
              </w:rPr>
              <w:t>LEV</w:t>
            </w:r>
          </w:p>
        </w:tc>
        <w:tc>
          <w:tcPr>
            <w:tcW w:w="0" w:type="auto"/>
            <w:hideMark/>
          </w:tcPr>
          <w:p w14:paraId="4BE3E096" w14:textId="77777777" w:rsidR="009C778C" w:rsidRPr="009C778C" w:rsidRDefault="009C778C" w:rsidP="009C778C">
            <w:pPr>
              <w:rPr>
                <w:rFonts w:cstheme="minorHAnsi"/>
                <w:sz w:val="24"/>
                <w:szCs w:val="24"/>
              </w:rPr>
            </w:pPr>
            <w:r w:rsidRPr="009C778C">
              <w:rPr>
                <w:rFonts w:cstheme="minorHAnsi"/>
                <w:sz w:val="24"/>
                <w:szCs w:val="24"/>
              </w:rPr>
              <w:t>Long-term debt plus current debt in liabilities over total assets</w:t>
            </w:r>
          </w:p>
        </w:tc>
        <w:tc>
          <w:tcPr>
            <w:tcW w:w="0" w:type="auto"/>
            <w:hideMark/>
          </w:tcPr>
          <w:p w14:paraId="002BC6FE"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654CD268" w14:textId="77777777" w:rsidTr="00A522A1">
        <w:tc>
          <w:tcPr>
            <w:tcW w:w="0" w:type="auto"/>
            <w:hideMark/>
          </w:tcPr>
          <w:p w14:paraId="332FE364" w14:textId="77777777" w:rsidR="009C778C" w:rsidRPr="009C778C" w:rsidRDefault="009C778C" w:rsidP="009C778C">
            <w:pPr>
              <w:rPr>
                <w:rFonts w:cstheme="minorHAnsi"/>
                <w:b/>
                <w:bCs/>
                <w:sz w:val="24"/>
                <w:szCs w:val="24"/>
              </w:rPr>
            </w:pPr>
            <w:r w:rsidRPr="009C778C">
              <w:rPr>
                <w:rFonts w:cstheme="minorHAnsi"/>
                <w:b/>
                <w:bCs/>
                <w:sz w:val="24"/>
                <w:szCs w:val="24"/>
              </w:rPr>
              <w:t>STDSALE</w:t>
            </w:r>
          </w:p>
        </w:tc>
        <w:tc>
          <w:tcPr>
            <w:tcW w:w="0" w:type="auto"/>
            <w:hideMark/>
          </w:tcPr>
          <w:p w14:paraId="4F333A22" w14:textId="77777777" w:rsidR="009C778C" w:rsidRPr="009C778C" w:rsidRDefault="009C778C" w:rsidP="009C778C">
            <w:pPr>
              <w:rPr>
                <w:rFonts w:cstheme="minorHAnsi"/>
                <w:sz w:val="24"/>
                <w:szCs w:val="24"/>
              </w:rPr>
            </w:pPr>
            <w:r w:rsidRPr="009C778C">
              <w:rPr>
                <w:rFonts w:cstheme="minorHAnsi"/>
                <w:sz w:val="24"/>
                <w:szCs w:val="24"/>
              </w:rPr>
              <w:t>Standard deviation of (sales/total assets) from years </w:t>
            </w:r>
            <w:r w:rsidRPr="009C778C">
              <w:rPr>
                <w:rFonts w:cstheme="minorHAnsi"/>
                <w:i/>
                <w:iCs/>
                <w:sz w:val="24"/>
                <w:szCs w:val="24"/>
              </w:rPr>
              <w:t>t-5</w:t>
            </w:r>
            <w:r w:rsidRPr="009C778C">
              <w:rPr>
                <w:rFonts w:cstheme="minorHAnsi"/>
                <w:sz w:val="24"/>
                <w:szCs w:val="24"/>
              </w:rPr>
              <w:t> to </w:t>
            </w:r>
            <w:r w:rsidRPr="009C778C">
              <w:rPr>
                <w:rFonts w:cstheme="minorHAnsi"/>
                <w:i/>
                <w:iCs/>
                <w:sz w:val="24"/>
                <w:szCs w:val="24"/>
              </w:rPr>
              <w:t>t − 1</w:t>
            </w:r>
          </w:p>
        </w:tc>
        <w:tc>
          <w:tcPr>
            <w:tcW w:w="0" w:type="auto"/>
            <w:hideMark/>
          </w:tcPr>
          <w:p w14:paraId="7B4A1D23"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56952A6A" w14:textId="77777777" w:rsidTr="00A522A1">
        <w:tc>
          <w:tcPr>
            <w:tcW w:w="0" w:type="auto"/>
            <w:hideMark/>
          </w:tcPr>
          <w:p w14:paraId="4F30C203" w14:textId="77777777" w:rsidR="009C778C" w:rsidRPr="009C778C" w:rsidRDefault="009C778C" w:rsidP="009C778C">
            <w:pPr>
              <w:rPr>
                <w:rFonts w:cstheme="minorHAnsi"/>
                <w:b/>
                <w:bCs/>
                <w:sz w:val="24"/>
                <w:szCs w:val="24"/>
              </w:rPr>
            </w:pPr>
            <w:r w:rsidRPr="009C778C">
              <w:rPr>
                <w:rFonts w:cstheme="minorHAnsi"/>
                <w:b/>
                <w:bCs/>
                <w:sz w:val="24"/>
                <w:szCs w:val="24"/>
              </w:rPr>
              <w:t>CAPITAL_INTENSITY</w:t>
            </w:r>
          </w:p>
        </w:tc>
        <w:tc>
          <w:tcPr>
            <w:tcW w:w="0" w:type="auto"/>
            <w:hideMark/>
          </w:tcPr>
          <w:p w14:paraId="1C8FCBF4" w14:textId="77777777" w:rsidR="009C778C" w:rsidRPr="009C778C" w:rsidRDefault="009C778C" w:rsidP="009C778C">
            <w:pPr>
              <w:rPr>
                <w:rFonts w:cstheme="minorHAnsi"/>
                <w:sz w:val="24"/>
                <w:szCs w:val="24"/>
              </w:rPr>
            </w:pPr>
            <w:r w:rsidRPr="009C778C">
              <w:rPr>
                <w:rFonts w:cstheme="minorHAnsi"/>
                <w:sz w:val="24"/>
                <w:szCs w:val="24"/>
              </w:rPr>
              <w:t>Fixed assets divided by lagged total assets</w:t>
            </w:r>
          </w:p>
        </w:tc>
        <w:tc>
          <w:tcPr>
            <w:tcW w:w="0" w:type="auto"/>
            <w:hideMark/>
          </w:tcPr>
          <w:p w14:paraId="53900178"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7F931FD5" w14:textId="77777777" w:rsidTr="00A522A1">
        <w:tc>
          <w:tcPr>
            <w:tcW w:w="0" w:type="auto"/>
            <w:hideMark/>
          </w:tcPr>
          <w:p w14:paraId="33890BD6" w14:textId="77777777" w:rsidR="009C778C" w:rsidRPr="009C778C" w:rsidRDefault="009C778C" w:rsidP="009C778C">
            <w:pPr>
              <w:rPr>
                <w:rFonts w:cstheme="minorHAnsi"/>
                <w:b/>
                <w:bCs/>
                <w:sz w:val="24"/>
                <w:szCs w:val="24"/>
              </w:rPr>
            </w:pPr>
            <w:r w:rsidRPr="009C778C">
              <w:rPr>
                <w:rFonts w:cstheme="minorHAnsi"/>
                <w:b/>
                <w:bCs/>
                <w:sz w:val="24"/>
                <w:szCs w:val="24"/>
              </w:rPr>
              <w:t>ANALYST</w:t>
            </w:r>
          </w:p>
        </w:tc>
        <w:tc>
          <w:tcPr>
            <w:tcW w:w="0" w:type="auto"/>
            <w:hideMark/>
          </w:tcPr>
          <w:p w14:paraId="2B97D6BA" w14:textId="77777777" w:rsidR="009C778C" w:rsidRPr="009C778C" w:rsidRDefault="009C778C" w:rsidP="009C778C">
            <w:pPr>
              <w:rPr>
                <w:rFonts w:cstheme="minorHAnsi"/>
                <w:sz w:val="24"/>
                <w:szCs w:val="24"/>
              </w:rPr>
            </w:pPr>
            <w:r w:rsidRPr="009C778C">
              <w:rPr>
                <w:rFonts w:cstheme="minorHAnsi"/>
                <w:sz w:val="24"/>
                <w:szCs w:val="24"/>
              </w:rPr>
              <w:t>Natural logarithm of the number of analysts following a firm in a given year</w:t>
            </w:r>
          </w:p>
        </w:tc>
        <w:tc>
          <w:tcPr>
            <w:tcW w:w="0" w:type="auto"/>
            <w:hideMark/>
          </w:tcPr>
          <w:p w14:paraId="7B156A12" w14:textId="77777777" w:rsidR="009C778C" w:rsidRPr="009C778C" w:rsidRDefault="009C778C" w:rsidP="009C778C">
            <w:pPr>
              <w:rPr>
                <w:rFonts w:cstheme="minorHAnsi"/>
                <w:sz w:val="24"/>
                <w:szCs w:val="24"/>
              </w:rPr>
            </w:pPr>
            <w:r w:rsidRPr="009C778C">
              <w:rPr>
                <w:rFonts w:cstheme="minorHAnsi"/>
                <w:sz w:val="24"/>
                <w:szCs w:val="24"/>
              </w:rPr>
              <w:t>I/B/E/S</w:t>
            </w:r>
          </w:p>
        </w:tc>
      </w:tr>
      <w:tr w:rsidR="009C778C" w:rsidRPr="009C778C" w14:paraId="7D7681C1" w14:textId="77777777" w:rsidTr="00A522A1">
        <w:tc>
          <w:tcPr>
            <w:tcW w:w="0" w:type="auto"/>
            <w:hideMark/>
          </w:tcPr>
          <w:p w14:paraId="4A3932C7" w14:textId="77777777" w:rsidR="009C778C" w:rsidRPr="009C778C" w:rsidRDefault="009C778C" w:rsidP="009C778C">
            <w:pPr>
              <w:rPr>
                <w:rFonts w:cstheme="minorHAnsi"/>
                <w:b/>
                <w:bCs/>
                <w:sz w:val="24"/>
                <w:szCs w:val="24"/>
              </w:rPr>
            </w:pPr>
            <w:r w:rsidRPr="009C778C">
              <w:rPr>
                <w:rFonts w:cstheme="minorHAnsi"/>
                <w:b/>
                <w:bCs/>
                <w:sz w:val="24"/>
                <w:szCs w:val="24"/>
              </w:rPr>
              <w:t>ACC_STANDARD</w:t>
            </w:r>
          </w:p>
        </w:tc>
        <w:tc>
          <w:tcPr>
            <w:tcW w:w="0" w:type="auto"/>
            <w:hideMark/>
          </w:tcPr>
          <w:p w14:paraId="0F5DD4A3" w14:textId="77777777" w:rsidR="009C778C" w:rsidRPr="009C778C" w:rsidRDefault="009C778C" w:rsidP="009C778C">
            <w:pPr>
              <w:rPr>
                <w:rFonts w:cstheme="minorHAnsi"/>
                <w:sz w:val="24"/>
                <w:szCs w:val="24"/>
              </w:rPr>
            </w:pPr>
            <w:r w:rsidRPr="009C778C">
              <w:rPr>
                <w:rFonts w:cstheme="minorHAnsi"/>
                <w:sz w:val="24"/>
                <w:szCs w:val="24"/>
              </w:rPr>
              <w:t>A dummy that equals one if the firm has adopted the International Financial Reporting Standards (IFRS) or US GAAP, zero otherwise</w:t>
            </w:r>
          </w:p>
        </w:tc>
        <w:tc>
          <w:tcPr>
            <w:tcW w:w="0" w:type="auto"/>
            <w:hideMark/>
          </w:tcPr>
          <w:p w14:paraId="1DB32A9D" w14:textId="77777777" w:rsidR="009C778C" w:rsidRPr="009C778C" w:rsidRDefault="009C778C" w:rsidP="009C778C">
            <w:pPr>
              <w:rPr>
                <w:rFonts w:cstheme="minorHAnsi"/>
                <w:sz w:val="24"/>
                <w:szCs w:val="24"/>
              </w:rPr>
            </w:pPr>
            <w:r w:rsidRPr="009C778C">
              <w:rPr>
                <w:rFonts w:cstheme="minorHAnsi"/>
                <w:sz w:val="24"/>
                <w:szCs w:val="24"/>
              </w:rPr>
              <w:t>Compustat Global</w:t>
            </w:r>
          </w:p>
        </w:tc>
      </w:tr>
      <w:tr w:rsidR="009C778C" w:rsidRPr="009C778C" w14:paraId="24038EA1" w14:textId="77777777" w:rsidTr="00A522A1">
        <w:tc>
          <w:tcPr>
            <w:tcW w:w="0" w:type="auto"/>
            <w:hideMark/>
          </w:tcPr>
          <w:p w14:paraId="465CB635" w14:textId="77777777" w:rsidR="009C778C" w:rsidRPr="009C778C" w:rsidRDefault="009C778C" w:rsidP="009C778C">
            <w:pPr>
              <w:rPr>
                <w:rFonts w:cstheme="minorHAnsi"/>
                <w:b/>
                <w:bCs/>
                <w:sz w:val="24"/>
                <w:szCs w:val="24"/>
              </w:rPr>
            </w:pPr>
            <w:r w:rsidRPr="009C778C">
              <w:rPr>
                <w:rFonts w:cstheme="minorHAnsi"/>
                <w:b/>
                <w:bCs/>
                <w:sz w:val="24"/>
                <w:szCs w:val="24"/>
              </w:rPr>
              <w:t>GDPGROWTH</w:t>
            </w:r>
          </w:p>
        </w:tc>
        <w:tc>
          <w:tcPr>
            <w:tcW w:w="0" w:type="auto"/>
            <w:hideMark/>
          </w:tcPr>
          <w:p w14:paraId="6DC6FB13" w14:textId="77777777" w:rsidR="009C778C" w:rsidRPr="009C778C" w:rsidRDefault="009C778C" w:rsidP="009C778C">
            <w:pPr>
              <w:rPr>
                <w:rFonts w:cstheme="minorHAnsi"/>
                <w:sz w:val="24"/>
                <w:szCs w:val="24"/>
              </w:rPr>
            </w:pPr>
            <w:r w:rsidRPr="009C778C">
              <w:rPr>
                <w:rFonts w:cstheme="minorHAnsi"/>
                <w:sz w:val="24"/>
                <w:szCs w:val="24"/>
              </w:rPr>
              <w:t>Annual growth rate in per capita GDP</w:t>
            </w:r>
          </w:p>
        </w:tc>
        <w:tc>
          <w:tcPr>
            <w:tcW w:w="0" w:type="auto"/>
            <w:hideMark/>
          </w:tcPr>
          <w:p w14:paraId="059AF05B" w14:textId="77777777" w:rsidR="009C778C" w:rsidRPr="009C778C" w:rsidRDefault="009C778C" w:rsidP="009C778C">
            <w:pPr>
              <w:rPr>
                <w:rFonts w:cstheme="minorHAnsi"/>
                <w:sz w:val="24"/>
                <w:szCs w:val="24"/>
              </w:rPr>
            </w:pPr>
            <w:r w:rsidRPr="009C778C">
              <w:rPr>
                <w:rFonts w:cstheme="minorHAnsi"/>
                <w:sz w:val="24"/>
                <w:szCs w:val="24"/>
              </w:rPr>
              <w:t>World Bank (WDI)</w:t>
            </w:r>
          </w:p>
        </w:tc>
      </w:tr>
      <w:tr w:rsidR="009C778C" w:rsidRPr="009C778C" w14:paraId="2BD11F66" w14:textId="77777777" w:rsidTr="00A522A1">
        <w:tc>
          <w:tcPr>
            <w:tcW w:w="0" w:type="auto"/>
            <w:hideMark/>
          </w:tcPr>
          <w:p w14:paraId="3783797A" w14:textId="77777777" w:rsidR="009C778C" w:rsidRPr="009C778C" w:rsidRDefault="009C778C" w:rsidP="009C778C">
            <w:pPr>
              <w:rPr>
                <w:rFonts w:cstheme="minorHAnsi"/>
                <w:b/>
                <w:bCs/>
                <w:sz w:val="24"/>
                <w:szCs w:val="24"/>
              </w:rPr>
            </w:pPr>
            <w:r w:rsidRPr="009C778C">
              <w:rPr>
                <w:rFonts w:cstheme="minorHAnsi"/>
                <w:b/>
                <w:bCs/>
                <w:sz w:val="24"/>
                <w:szCs w:val="24"/>
              </w:rPr>
              <w:t>INFLATION</w:t>
            </w:r>
          </w:p>
        </w:tc>
        <w:tc>
          <w:tcPr>
            <w:tcW w:w="0" w:type="auto"/>
            <w:hideMark/>
          </w:tcPr>
          <w:p w14:paraId="49D7FFA2" w14:textId="77777777" w:rsidR="009C778C" w:rsidRPr="009C778C" w:rsidRDefault="009C778C" w:rsidP="009C778C">
            <w:pPr>
              <w:rPr>
                <w:rFonts w:cstheme="minorHAnsi"/>
                <w:sz w:val="24"/>
                <w:szCs w:val="24"/>
              </w:rPr>
            </w:pPr>
            <w:r w:rsidRPr="009C778C">
              <w:rPr>
                <w:rFonts w:cstheme="minorHAnsi"/>
                <w:sz w:val="24"/>
                <w:szCs w:val="24"/>
              </w:rPr>
              <w:t>Annual rate of inflation</w:t>
            </w:r>
          </w:p>
        </w:tc>
        <w:tc>
          <w:tcPr>
            <w:tcW w:w="0" w:type="auto"/>
            <w:hideMark/>
          </w:tcPr>
          <w:p w14:paraId="7E76BA2C" w14:textId="77777777" w:rsidR="009C778C" w:rsidRPr="009C778C" w:rsidRDefault="009C778C" w:rsidP="009C778C">
            <w:pPr>
              <w:rPr>
                <w:rFonts w:cstheme="minorHAnsi"/>
                <w:sz w:val="24"/>
                <w:szCs w:val="24"/>
              </w:rPr>
            </w:pPr>
            <w:r w:rsidRPr="009C778C">
              <w:rPr>
                <w:rFonts w:cstheme="minorHAnsi"/>
                <w:sz w:val="24"/>
                <w:szCs w:val="24"/>
              </w:rPr>
              <w:t>World Bank (WDI)</w:t>
            </w:r>
          </w:p>
        </w:tc>
      </w:tr>
      <w:tr w:rsidR="009C778C" w:rsidRPr="009C778C" w14:paraId="34E43AF4" w14:textId="77777777" w:rsidTr="00A522A1">
        <w:tc>
          <w:tcPr>
            <w:tcW w:w="0" w:type="auto"/>
            <w:hideMark/>
          </w:tcPr>
          <w:p w14:paraId="10AE57CF" w14:textId="77777777" w:rsidR="009C778C" w:rsidRPr="009C778C" w:rsidRDefault="009C778C" w:rsidP="009C778C">
            <w:pPr>
              <w:rPr>
                <w:rFonts w:cstheme="minorHAnsi"/>
                <w:b/>
                <w:bCs/>
                <w:sz w:val="24"/>
                <w:szCs w:val="24"/>
              </w:rPr>
            </w:pPr>
            <w:r w:rsidRPr="009C778C">
              <w:rPr>
                <w:rFonts w:cstheme="minorHAnsi"/>
                <w:b/>
                <w:bCs/>
                <w:sz w:val="24"/>
                <w:szCs w:val="24"/>
              </w:rPr>
              <w:t>CROSS_LISTING</w:t>
            </w:r>
          </w:p>
        </w:tc>
        <w:tc>
          <w:tcPr>
            <w:tcW w:w="0" w:type="auto"/>
            <w:hideMark/>
          </w:tcPr>
          <w:p w14:paraId="0B6B6C2E" w14:textId="77777777" w:rsidR="009C778C" w:rsidRPr="009C778C" w:rsidRDefault="009C778C" w:rsidP="009C778C">
            <w:pPr>
              <w:rPr>
                <w:rFonts w:cstheme="minorHAnsi"/>
                <w:sz w:val="24"/>
                <w:szCs w:val="24"/>
              </w:rPr>
            </w:pPr>
            <w:r w:rsidRPr="009C778C">
              <w:rPr>
                <w:rFonts w:cstheme="minorHAnsi"/>
                <w:sz w:val="24"/>
                <w:szCs w:val="24"/>
              </w:rPr>
              <w:t>Cross-listing dummy, which equals one if a firm is cross-listed on a foreign exchange, including the cross-listing of common shares, GDRs, and ADRs.</w:t>
            </w:r>
          </w:p>
        </w:tc>
        <w:tc>
          <w:tcPr>
            <w:tcW w:w="0" w:type="auto"/>
            <w:hideMark/>
          </w:tcPr>
          <w:p w14:paraId="3321DB3B" w14:textId="77777777" w:rsidR="009C778C" w:rsidRPr="009C778C" w:rsidRDefault="009C778C" w:rsidP="009C778C">
            <w:pPr>
              <w:rPr>
                <w:rFonts w:cstheme="minorHAnsi"/>
                <w:sz w:val="24"/>
                <w:szCs w:val="24"/>
              </w:rPr>
            </w:pPr>
            <w:r w:rsidRPr="009C778C">
              <w:rPr>
                <w:rFonts w:cstheme="minorHAnsi"/>
                <w:sz w:val="24"/>
                <w:szCs w:val="24"/>
              </w:rPr>
              <w:t>Factset</w:t>
            </w:r>
          </w:p>
        </w:tc>
      </w:tr>
      <w:tr w:rsidR="009C778C" w:rsidRPr="009C778C" w14:paraId="09AD36A7" w14:textId="77777777" w:rsidTr="00A522A1">
        <w:tc>
          <w:tcPr>
            <w:tcW w:w="0" w:type="auto"/>
            <w:hideMark/>
          </w:tcPr>
          <w:p w14:paraId="32B67849" w14:textId="77777777" w:rsidR="009C778C" w:rsidRPr="009C778C" w:rsidRDefault="009C778C" w:rsidP="009C778C">
            <w:pPr>
              <w:rPr>
                <w:rFonts w:cstheme="minorHAnsi"/>
                <w:b/>
                <w:bCs/>
                <w:sz w:val="24"/>
                <w:szCs w:val="24"/>
              </w:rPr>
            </w:pPr>
            <w:r w:rsidRPr="009C778C">
              <w:rPr>
                <w:rFonts w:cstheme="minorHAnsi"/>
                <w:b/>
                <w:bCs/>
                <w:sz w:val="24"/>
                <w:szCs w:val="24"/>
              </w:rPr>
              <w:t>G-INDEX</w:t>
            </w:r>
          </w:p>
        </w:tc>
        <w:tc>
          <w:tcPr>
            <w:tcW w:w="0" w:type="auto"/>
            <w:hideMark/>
          </w:tcPr>
          <w:p w14:paraId="1D31539A" w14:textId="77777777" w:rsidR="009C778C" w:rsidRPr="009C778C" w:rsidRDefault="009C778C" w:rsidP="009C778C">
            <w:pPr>
              <w:rPr>
                <w:rFonts w:cstheme="minorHAnsi"/>
                <w:sz w:val="24"/>
                <w:szCs w:val="24"/>
              </w:rPr>
            </w:pPr>
            <w:r w:rsidRPr="009C778C">
              <w:rPr>
                <w:rFonts w:cstheme="minorHAnsi"/>
                <w:sz w:val="24"/>
                <w:szCs w:val="24"/>
              </w:rPr>
              <w:t>Composite of 41 firm-level governance attributes</w:t>
            </w:r>
          </w:p>
        </w:tc>
        <w:tc>
          <w:tcPr>
            <w:tcW w:w="0" w:type="auto"/>
            <w:hideMark/>
          </w:tcPr>
          <w:p w14:paraId="0860EE93" w14:textId="77777777" w:rsidR="009C778C" w:rsidRPr="009C778C" w:rsidRDefault="0044383A" w:rsidP="009C778C">
            <w:pPr>
              <w:rPr>
                <w:rFonts w:cstheme="minorHAnsi"/>
                <w:sz w:val="24"/>
                <w:szCs w:val="24"/>
              </w:rPr>
            </w:pPr>
            <w:hyperlink r:id="rId182" w:anchor="bb0005" w:history="1">
              <w:r w:rsidR="009C778C" w:rsidRPr="009C778C">
                <w:rPr>
                  <w:rStyle w:val="Hyperlink"/>
                  <w:rFonts w:cstheme="minorHAnsi"/>
                  <w:sz w:val="24"/>
                  <w:szCs w:val="24"/>
                </w:rPr>
                <w:t>Aggarwal et al. (2011)</w:t>
              </w:r>
            </w:hyperlink>
          </w:p>
        </w:tc>
      </w:tr>
    </w:tbl>
    <w:bookmarkEnd w:id="8"/>
    <w:p w14:paraId="55164F73" w14:textId="77777777" w:rsidR="009C778C" w:rsidRPr="009C778C" w:rsidRDefault="009C778C" w:rsidP="00A522A1">
      <w:pPr>
        <w:pStyle w:val="Heading1"/>
      </w:pPr>
      <w:r w:rsidRPr="009C778C">
        <w:t>Appendix B. Alternative measures of earnings management</w:t>
      </w:r>
    </w:p>
    <w:p w14:paraId="53F2E41D" w14:textId="77777777" w:rsidR="009C778C" w:rsidRPr="009C778C" w:rsidRDefault="009C778C" w:rsidP="009C778C">
      <w:pPr>
        <w:rPr>
          <w:rFonts w:cstheme="minorHAnsi"/>
          <w:sz w:val="24"/>
          <w:szCs w:val="24"/>
        </w:rPr>
      </w:pPr>
      <w:r w:rsidRPr="009C778C">
        <w:rPr>
          <w:rFonts w:cstheme="minorHAnsi"/>
          <w:sz w:val="24"/>
          <w:szCs w:val="24"/>
        </w:rPr>
        <w:t>This table reports estimation results from panel regressions of earnings management on institutional ownership for non-U.S. firms from 2001 to 2013. Detailed variable definitions are given in </w:t>
      </w:r>
      <w:hyperlink r:id="rId183" w:anchor="s0085" w:history="1">
        <w:r w:rsidRPr="009C778C">
          <w:rPr>
            <w:rStyle w:val="Hyperlink"/>
            <w:rFonts w:cstheme="minorHAnsi"/>
            <w:sz w:val="24"/>
            <w:szCs w:val="24"/>
          </w:rPr>
          <w:t>Appendix A</w:t>
        </w:r>
      </w:hyperlink>
      <w:r w:rsidRPr="009C778C">
        <w:rPr>
          <w:rFonts w:cstheme="minorHAnsi"/>
          <w:sz w:val="24"/>
          <w:szCs w:val="24"/>
        </w:rPr>
        <w:t>. Each regression includes a constant and year, industry (based on two-digit SIC codes), and country fixed effects (FE). Column of </w:t>
      </w:r>
      <w:r w:rsidRPr="009C778C">
        <w:rPr>
          <w:rFonts w:cstheme="minorHAnsi"/>
          <w:i/>
          <w:iCs/>
          <w:sz w:val="24"/>
          <w:szCs w:val="24"/>
        </w:rPr>
        <w:t>Pred. Sign</w:t>
      </w:r>
      <w:r w:rsidRPr="009C778C">
        <w:rPr>
          <w:rFonts w:cstheme="minorHAnsi"/>
          <w:sz w:val="24"/>
          <w:szCs w:val="24"/>
        </w:rPr>
        <w:t> provides expected directional relations between the dependent variable and the main independent variables of interest. We report in parentheses </w:t>
      </w:r>
      <w:r w:rsidRPr="009C778C">
        <w:rPr>
          <w:rFonts w:cstheme="minorHAnsi"/>
          <w:i/>
          <w:iCs/>
          <w:sz w:val="24"/>
          <w:szCs w:val="24"/>
        </w:rPr>
        <w:t>t</w:t>
      </w:r>
      <w:r w:rsidRPr="009C778C">
        <w:rPr>
          <w:rFonts w:cstheme="minorHAnsi"/>
          <w:sz w:val="24"/>
          <w:szCs w:val="24"/>
        </w:rPr>
        <w:t>-values adjusted for heteroscedasticity and firm-level clustering. *, **, and *** indicate significance level of less than 0.10, 0.05 and 0.01, respectively, based on a two-tailed test.</w:t>
      </w:r>
    </w:p>
    <w:tbl>
      <w:tblPr>
        <w:tblStyle w:val="TableGrid"/>
        <w:tblW w:w="5000" w:type="pct"/>
        <w:tblLook w:val="04A0" w:firstRow="1" w:lastRow="0" w:firstColumn="1" w:lastColumn="0" w:noHBand="0" w:noVBand="1"/>
      </w:tblPr>
      <w:tblGrid>
        <w:gridCol w:w="1687"/>
        <w:gridCol w:w="493"/>
        <w:gridCol w:w="789"/>
        <w:gridCol w:w="789"/>
        <w:gridCol w:w="789"/>
        <w:gridCol w:w="789"/>
        <w:gridCol w:w="789"/>
        <w:gridCol w:w="789"/>
        <w:gridCol w:w="789"/>
        <w:gridCol w:w="789"/>
        <w:gridCol w:w="789"/>
        <w:gridCol w:w="789"/>
      </w:tblGrid>
      <w:tr w:rsidR="0046257B" w:rsidRPr="009C778C" w14:paraId="611BAF98" w14:textId="77777777" w:rsidTr="0046257B">
        <w:tc>
          <w:tcPr>
            <w:tcW w:w="879" w:type="pct"/>
            <w:hideMark/>
          </w:tcPr>
          <w:p w14:paraId="2826179C" w14:textId="77777777" w:rsidR="0046257B" w:rsidRPr="009C778C" w:rsidRDefault="0046257B" w:rsidP="009C778C">
            <w:pPr>
              <w:rPr>
                <w:rFonts w:cstheme="minorHAnsi"/>
                <w:b/>
                <w:bCs/>
                <w:sz w:val="24"/>
                <w:szCs w:val="24"/>
              </w:rPr>
            </w:pPr>
            <w:r w:rsidRPr="009C778C">
              <w:rPr>
                <w:rFonts w:cstheme="minorHAnsi"/>
                <w:b/>
                <w:bCs/>
                <w:i/>
                <w:iCs/>
                <w:sz w:val="24"/>
                <w:szCs w:val="24"/>
              </w:rPr>
              <w:t>Dep.Var.</w:t>
            </w:r>
            <w:r w:rsidRPr="009C778C">
              <w:rPr>
                <w:rFonts w:cstheme="minorHAnsi"/>
                <w:b/>
                <w:bCs/>
                <w:sz w:val="24"/>
                <w:szCs w:val="24"/>
              </w:rPr>
              <w:t>=</w:t>
            </w:r>
          </w:p>
        </w:tc>
        <w:tc>
          <w:tcPr>
            <w:tcW w:w="243" w:type="pct"/>
            <w:hideMark/>
          </w:tcPr>
          <w:p w14:paraId="586484CD" w14:textId="77777777" w:rsidR="0046257B" w:rsidRPr="009C778C" w:rsidRDefault="0046257B" w:rsidP="009C778C">
            <w:pPr>
              <w:rPr>
                <w:rFonts w:cstheme="minorHAnsi"/>
                <w:b/>
                <w:bCs/>
                <w:sz w:val="24"/>
                <w:szCs w:val="24"/>
              </w:rPr>
            </w:pPr>
            <w:r w:rsidRPr="009C778C">
              <w:rPr>
                <w:rFonts w:cstheme="minorHAnsi"/>
                <w:b/>
                <w:bCs/>
                <w:i/>
                <w:iCs/>
                <w:sz w:val="24"/>
                <w:szCs w:val="24"/>
              </w:rPr>
              <w:t>Pred.</w:t>
            </w:r>
          </w:p>
        </w:tc>
        <w:tc>
          <w:tcPr>
            <w:tcW w:w="388" w:type="pct"/>
            <w:hideMark/>
          </w:tcPr>
          <w:p w14:paraId="756DCC02" w14:textId="77777777" w:rsidR="0046257B" w:rsidRPr="009C778C" w:rsidRDefault="0046257B" w:rsidP="009C778C">
            <w:pPr>
              <w:rPr>
                <w:rFonts w:cstheme="minorHAnsi"/>
                <w:b/>
                <w:bCs/>
                <w:sz w:val="24"/>
                <w:szCs w:val="24"/>
              </w:rPr>
            </w:pPr>
            <w:r w:rsidRPr="009C778C">
              <w:rPr>
                <w:rFonts w:cstheme="minorHAnsi"/>
                <w:b/>
                <w:bCs/>
                <w:sz w:val="24"/>
                <w:szCs w:val="24"/>
              </w:rPr>
              <w:t>EM1</w:t>
            </w:r>
            <w:r w:rsidRPr="009C778C">
              <w:rPr>
                <w:rFonts w:cstheme="minorHAnsi"/>
                <w:b/>
                <w:bCs/>
                <w:sz w:val="24"/>
                <w:szCs w:val="24"/>
                <w:vertAlign w:val="subscript"/>
              </w:rPr>
              <w:t>t</w:t>
            </w:r>
          </w:p>
        </w:tc>
        <w:tc>
          <w:tcPr>
            <w:tcW w:w="388" w:type="pct"/>
          </w:tcPr>
          <w:p w14:paraId="2347911A" w14:textId="29888547" w:rsidR="0046257B" w:rsidRPr="009C778C" w:rsidRDefault="0046257B" w:rsidP="009C778C">
            <w:pPr>
              <w:rPr>
                <w:rFonts w:cstheme="minorHAnsi"/>
                <w:b/>
                <w:bCs/>
                <w:sz w:val="24"/>
                <w:szCs w:val="24"/>
              </w:rPr>
            </w:pPr>
          </w:p>
        </w:tc>
        <w:tc>
          <w:tcPr>
            <w:tcW w:w="388" w:type="pct"/>
            <w:hideMark/>
          </w:tcPr>
          <w:p w14:paraId="0925BD8B" w14:textId="77777777" w:rsidR="0046257B" w:rsidRPr="009C778C" w:rsidRDefault="0046257B" w:rsidP="009C778C">
            <w:pPr>
              <w:rPr>
                <w:rFonts w:cstheme="minorHAnsi"/>
                <w:b/>
                <w:bCs/>
                <w:sz w:val="24"/>
                <w:szCs w:val="24"/>
              </w:rPr>
            </w:pPr>
            <w:r w:rsidRPr="009C778C">
              <w:rPr>
                <w:rFonts w:cstheme="minorHAnsi"/>
                <w:b/>
                <w:bCs/>
                <w:sz w:val="24"/>
                <w:szCs w:val="24"/>
              </w:rPr>
              <w:t>EM2</w:t>
            </w:r>
            <w:r w:rsidRPr="009C778C">
              <w:rPr>
                <w:rFonts w:cstheme="minorHAnsi"/>
                <w:b/>
                <w:bCs/>
                <w:sz w:val="24"/>
                <w:szCs w:val="24"/>
                <w:vertAlign w:val="subscript"/>
              </w:rPr>
              <w:t>t</w:t>
            </w:r>
          </w:p>
        </w:tc>
        <w:tc>
          <w:tcPr>
            <w:tcW w:w="388" w:type="pct"/>
          </w:tcPr>
          <w:p w14:paraId="0B966A1D" w14:textId="26F7BD4B" w:rsidR="0046257B" w:rsidRPr="009C778C" w:rsidRDefault="0046257B" w:rsidP="009C778C">
            <w:pPr>
              <w:rPr>
                <w:rFonts w:cstheme="minorHAnsi"/>
                <w:b/>
                <w:bCs/>
                <w:sz w:val="24"/>
                <w:szCs w:val="24"/>
              </w:rPr>
            </w:pPr>
          </w:p>
        </w:tc>
        <w:tc>
          <w:tcPr>
            <w:tcW w:w="388" w:type="pct"/>
            <w:hideMark/>
          </w:tcPr>
          <w:p w14:paraId="73BAD0E3" w14:textId="77777777" w:rsidR="0046257B" w:rsidRPr="009C778C" w:rsidRDefault="0046257B" w:rsidP="009C778C">
            <w:pPr>
              <w:rPr>
                <w:rFonts w:cstheme="minorHAnsi"/>
                <w:b/>
                <w:bCs/>
                <w:sz w:val="24"/>
                <w:szCs w:val="24"/>
              </w:rPr>
            </w:pPr>
            <w:r w:rsidRPr="009C778C">
              <w:rPr>
                <w:rFonts w:cstheme="minorHAnsi"/>
                <w:b/>
                <w:bCs/>
                <w:sz w:val="24"/>
                <w:szCs w:val="24"/>
              </w:rPr>
              <w:t>EM3</w:t>
            </w:r>
            <w:r w:rsidRPr="009C778C">
              <w:rPr>
                <w:rFonts w:cstheme="minorHAnsi"/>
                <w:b/>
                <w:bCs/>
                <w:sz w:val="24"/>
                <w:szCs w:val="24"/>
                <w:vertAlign w:val="subscript"/>
              </w:rPr>
              <w:t>t</w:t>
            </w:r>
          </w:p>
        </w:tc>
        <w:tc>
          <w:tcPr>
            <w:tcW w:w="388" w:type="pct"/>
          </w:tcPr>
          <w:p w14:paraId="2471A1F2" w14:textId="2F693FA1" w:rsidR="0046257B" w:rsidRPr="009C778C" w:rsidRDefault="0046257B" w:rsidP="009C778C">
            <w:pPr>
              <w:rPr>
                <w:rFonts w:cstheme="minorHAnsi"/>
                <w:b/>
                <w:bCs/>
                <w:sz w:val="24"/>
                <w:szCs w:val="24"/>
              </w:rPr>
            </w:pPr>
          </w:p>
        </w:tc>
        <w:tc>
          <w:tcPr>
            <w:tcW w:w="388" w:type="pct"/>
            <w:hideMark/>
          </w:tcPr>
          <w:p w14:paraId="4087828D" w14:textId="77777777" w:rsidR="0046257B" w:rsidRPr="009C778C" w:rsidRDefault="0046257B" w:rsidP="009C778C">
            <w:pPr>
              <w:rPr>
                <w:rFonts w:cstheme="minorHAnsi"/>
                <w:b/>
                <w:bCs/>
                <w:sz w:val="24"/>
                <w:szCs w:val="24"/>
              </w:rPr>
            </w:pPr>
            <w:r w:rsidRPr="009C778C">
              <w:rPr>
                <w:rFonts w:cstheme="minorHAnsi"/>
                <w:b/>
                <w:bCs/>
                <w:sz w:val="24"/>
                <w:szCs w:val="24"/>
              </w:rPr>
              <w:t>Signed Agg. EM</w:t>
            </w:r>
            <w:r w:rsidRPr="009C778C">
              <w:rPr>
                <w:rFonts w:cstheme="minorHAnsi"/>
                <w:b/>
                <w:bCs/>
                <w:sz w:val="24"/>
                <w:szCs w:val="24"/>
                <w:vertAlign w:val="subscript"/>
              </w:rPr>
              <w:t>t</w:t>
            </w:r>
          </w:p>
        </w:tc>
        <w:tc>
          <w:tcPr>
            <w:tcW w:w="388" w:type="pct"/>
          </w:tcPr>
          <w:p w14:paraId="365E785D" w14:textId="7AFFC077" w:rsidR="0046257B" w:rsidRPr="009C778C" w:rsidRDefault="0046257B" w:rsidP="009C778C">
            <w:pPr>
              <w:rPr>
                <w:rFonts w:cstheme="minorHAnsi"/>
                <w:b/>
                <w:bCs/>
                <w:sz w:val="24"/>
                <w:szCs w:val="24"/>
              </w:rPr>
            </w:pPr>
          </w:p>
        </w:tc>
        <w:tc>
          <w:tcPr>
            <w:tcW w:w="388" w:type="pct"/>
            <w:hideMark/>
          </w:tcPr>
          <w:p w14:paraId="1D99DF1B" w14:textId="77777777" w:rsidR="0046257B" w:rsidRPr="009C778C" w:rsidRDefault="0046257B" w:rsidP="009C778C">
            <w:pPr>
              <w:rPr>
                <w:rFonts w:cstheme="minorHAnsi"/>
                <w:b/>
                <w:bCs/>
                <w:sz w:val="24"/>
                <w:szCs w:val="24"/>
              </w:rPr>
            </w:pPr>
            <w:r w:rsidRPr="009C778C">
              <w:rPr>
                <w:rFonts w:cstheme="minorHAnsi"/>
                <w:b/>
                <w:bCs/>
                <w:sz w:val="24"/>
                <w:szCs w:val="24"/>
              </w:rPr>
              <w:t>EM_Small</w:t>
            </w:r>
          </w:p>
        </w:tc>
        <w:tc>
          <w:tcPr>
            <w:tcW w:w="388" w:type="pct"/>
          </w:tcPr>
          <w:p w14:paraId="613C4B25" w14:textId="1253380C" w:rsidR="0046257B" w:rsidRPr="009C778C" w:rsidRDefault="0046257B" w:rsidP="009C778C">
            <w:pPr>
              <w:rPr>
                <w:rFonts w:cstheme="minorHAnsi"/>
                <w:b/>
                <w:bCs/>
                <w:sz w:val="24"/>
                <w:szCs w:val="24"/>
              </w:rPr>
            </w:pPr>
          </w:p>
        </w:tc>
      </w:tr>
      <w:tr w:rsidR="009C778C" w:rsidRPr="009C778C" w14:paraId="451959CF" w14:textId="77777777" w:rsidTr="0046257B">
        <w:tc>
          <w:tcPr>
            <w:tcW w:w="879" w:type="pct"/>
            <w:hideMark/>
          </w:tcPr>
          <w:p w14:paraId="7E2C3C4C" w14:textId="77777777" w:rsidR="009C778C" w:rsidRPr="009C778C" w:rsidRDefault="009C778C" w:rsidP="009C778C">
            <w:pPr>
              <w:rPr>
                <w:rFonts w:cstheme="minorHAnsi"/>
                <w:b/>
                <w:bCs/>
                <w:sz w:val="24"/>
                <w:szCs w:val="24"/>
              </w:rPr>
            </w:pPr>
          </w:p>
        </w:tc>
        <w:tc>
          <w:tcPr>
            <w:tcW w:w="243" w:type="pct"/>
            <w:hideMark/>
          </w:tcPr>
          <w:p w14:paraId="021226E6" w14:textId="77777777" w:rsidR="009C778C" w:rsidRPr="009C778C" w:rsidRDefault="009C778C" w:rsidP="009C778C">
            <w:pPr>
              <w:rPr>
                <w:rFonts w:cstheme="minorHAnsi"/>
                <w:b/>
                <w:bCs/>
                <w:sz w:val="24"/>
                <w:szCs w:val="24"/>
              </w:rPr>
            </w:pPr>
            <w:r w:rsidRPr="009C778C">
              <w:rPr>
                <w:rFonts w:cstheme="minorHAnsi"/>
                <w:b/>
                <w:bCs/>
                <w:i/>
                <w:iCs/>
                <w:sz w:val="24"/>
                <w:szCs w:val="24"/>
              </w:rPr>
              <w:t>Sign</w:t>
            </w:r>
          </w:p>
        </w:tc>
        <w:tc>
          <w:tcPr>
            <w:tcW w:w="388" w:type="pct"/>
            <w:hideMark/>
          </w:tcPr>
          <w:p w14:paraId="0D6AFFA1" w14:textId="77777777" w:rsidR="009C778C" w:rsidRPr="009C778C" w:rsidRDefault="009C778C" w:rsidP="009C778C">
            <w:pPr>
              <w:rPr>
                <w:rFonts w:cstheme="minorHAnsi"/>
                <w:b/>
                <w:bCs/>
                <w:sz w:val="24"/>
                <w:szCs w:val="24"/>
              </w:rPr>
            </w:pPr>
            <w:r w:rsidRPr="009C778C">
              <w:rPr>
                <w:rFonts w:cstheme="minorHAnsi"/>
                <w:b/>
                <w:bCs/>
                <w:sz w:val="24"/>
                <w:szCs w:val="24"/>
              </w:rPr>
              <w:t>(1)</w:t>
            </w:r>
          </w:p>
        </w:tc>
        <w:tc>
          <w:tcPr>
            <w:tcW w:w="388" w:type="pct"/>
            <w:hideMark/>
          </w:tcPr>
          <w:p w14:paraId="5CDD6E33" w14:textId="77777777" w:rsidR="009C778C" w:rsidRPr="009C778C" w:rsidRDefault="009C778C" w:rsidP="009C778C">
            <w:pPr>
              <w:rPr>
                <w:rFonts w:cstheme="minorHAnsi"/>
                <w:b/>
                <w:bCs/>
                <w:sz w:val="24"/>
                <w:szCs w:val="24"/>
              </w:rPr>
            </w:pPr>
            <w:r w:rsidRPr="009C778C">
              <w:rPr>
                <w:rFonts w:cstheme="minorHAnsi"/>
                <w:b/>
                <w:bCs/>
                <w:sz w:val="24"/>
                <w:szCs w:val="24"/>
              </w:rPr>
              <w:t>(2)</w:t>
            </w:r>
          </w:p>
        </w:tc>
        <w:tc>
          <w:tcPr>
            <w:tcW w:w="388" w:type="pct"/>
            <w:hideMark/>
          </w:tcPr>
          <w:p w14:paraId="35D9798A" w14:textId="77777777" w:rsidR="009C778C" w:rsidRPr="009C778C" w:rsidRDefault="009C778C" w:rsidP="009C778C">
            <w:pPr>
              <w:rPr>
                <w:rFonts w:cstheme="minorHAnsi"/>
                <w:b/>
                <w:bCs/>
                <w:sz w:val="24"/>
                <w:szCs w:val="24"/>
              </w:rPr>
            </w:pPr>
            <w:r w:rsidRPr="009C778C">
              <w:rPr>
                <w:rFonts w:cstheme="minorHAnsi"/>
                <w:b/>
                <w:bCs/>
                <w:sz w:val="24"/>
                <w:szCs w:val="24"/>
              </w:rPr>
              <w:t>(3)</w:t>
            </w:r>
          </w:p>
        </w:tc>
        <w:tc>
          <w:tcPr>
            <w:tcW w:w="388" w:type="pct"/>
            <w:hideMark/>
          </w:tcPr>
          <w:p w14:paraId="731862E5" w14:textId="77777777" w:rsidR="009C778C" w:rsidRPr="009C778C" w:rsidRDefault="009C778C" w:rsidP="009C778C">
            <w:pPr>
              <w:rPr>
                <w:rFonts w:cstheme="minorHAnsi"/>
                <w:b/>
                <w:bCs/>
                <w:sz w:val="24"/>
                <w:szCs w:val="24"/>
              </w:rPr>
            </w:pPr>
            <w:r w:rsidRPr="009C778C">
              <w:rPr>
                <w:rFonts w:cstheme="minorHAnsi"/>
                <w:b/>
                <w:bCs/>
                <w:sz w:val="24"/>
                <w:szCs w:val="24"/>
              </w:rPr>
              <w:t>(4)</w:t>
            </w:r>
          </w:p>
        </w:tc>
        <w:tc>
          <w:tcPr>
            <w:tcW w:w="388" w:type="pct"/>
            <w:hideMark/>
          </w:tcPr>
          <w:p w14:paraId="0996DB23" w14:textId="77777777" w:rsidR="009C778C" w:rsidRPr="009C778C" w:rsidRDefault="009C778C" w:rsidP="009C778C">
            <w:pPr>
              <w:rPr>
                <w:rFonts w:cstheme="minorHAnsi"/>
                <w:b/>
                <w:bCs/>
                <w:sz w:val="24"/>
                <w:szCs w:val="24"/>
              </w:rPr>
            </w:pPr>
            <w:r w:rsidRPr="009C778C">
              <w:rPr>
                <w:rFonts w:cstheme="minorHAnsi"/>
                <w:b/>
                <w:bCs/>
                <w:sz w:val="24"/>
                <w:szCs w:val="24"/>
              </w:rPr>
              <w:t>(5)</w:t>
            </w:r>
          </w:p>
        </w:tc>
        <w:tc>
          <w:tcPr>
            <w:tcW w:w="388" w:type="pct"/>
            <w:hideMark/>
          </w:tcPr>
          <w:p w14:paraId="7B618F93" w14:textId="77777777" w:rsidR="009C778C" w:rsidRPr="009C778C" w:rsidRDefault="009C778C" w:rsidP="009C778C">
            <w:pPr>
              <w:rPr>
                <w:rFonts w:cstheme="minorHAnsi"/>
                <w:b/>
                <w:bCs/>
                <w:sz w:val="24"/>
                <w:szCs w:val="24"/>
              </w:rPr>
            </w:pPr>
            <w:r w:rsidRPr="009C778C">
              <w:rPr>
                <w:rFonts w:cstheme="minorHAnsi"/>
                <w:b/>
                <w:bCs/>
                <w:sz w:val="24"/>
                <w:szCs w:val="24"/>
              </w:rPr>
              <w:t>(6)</w:t>
            </w:r>
          </w:p>
        </w:tc>
        <w:tc>
          <w:tcPr>
            <w:tcW w:w="388" w:type="pct"/>
            <w:hideMark/>
          </w:tcPr>
          <w:p w14:paraId="68CDEDA4" w14:textId="77777777" w:rsidR="009C778C" w:rsidRPr="009C778C" w:rsidRDefault="009C778C" w:rsidP="009C778C">
            <w:pPr>
              <w:rPr>
                <w:rFonts w:cstheme="minorHAnsi"/>
                <w:b/>
                <w:bCs/>
                <w:sz w:val="24"/>
                <w:szCs w:val="24"/>
              </w:rPr>
            </w:pPr>
            <w:r w:rsidRPr="009C778C">
              <w:rPr>
                <w:rFonts w:cstheme="minorHAnsi"/>
                <w:b/>
                <w:bCs/>
                <w:sz w:val="24"/>
                <w:szCs w:val="24"/>
              </w:rPr>
              <w:t>(7)</w:t>
            </w:r>
          </w:p>
        </w:tc>
        <w:tc>
          <w:tcPr>
            <w:tcW w:w="388" w:type="pct"/>
            <w:hideMark/>
          </w:tcPr>
          <w:p w14:paraId="3F229481" w14:textId="77777777" w:rsidR="009C778C" w:rsidRPr="009C778C" w:rsidRDefault="009C778C" w:rsidP="009C778C">
            <w:pPr>
              <w:rPr>
                <w:rFonts w:cstheme="minorHAnsi"/>
                <w:b/>
                <w:bCs/>
                <w:sz w:val="24"/>
                <w:szCs w:val="24"/>
              </w:rPr>
            </w:pPr>
            <w:r w:rsidRPr="009C778C">
              <w:rPr>
                <w:rFonts w:cstheme="minorHAnsi"/>
                <w:b/>
                <w:bCs/>
                <w:sz w:val="24"/>
                <w:szCs w:val="24"/>
              </w:rPr>
              <w:t>(8)</w:t>
            </w:r>
          </w:p>
        </w:tc>
        <w:tc>
          <w:tcPr>
            <w:tcW w:w="388" w:type="pct"/>
            <w:hideMark/>
          </w:tcPr>
          <w:p w14:paraId="2CA7F03B" w14:textId="77777777" w:rsidR="009C778C" w:rsidRPr="009C778C" w:rsidRDefault="009C778C" w:rsidP="009C778C">
            <w:pPr>
              <w:rPr>
                <w:rFonts w:cstheme="minorHAnsi"/>
                <w:b/>
                <w:bCs/>
                <w:sz w:val="24"/>
                <w:szCs w:val="24"/>
              </w:rPr>
            </w:pPr>
            <w:r w:rsidRPr="009C778C">
              <w:rPr>
                <w:rFonts w:cstheme="minorHAnsi"/>
                <w:b/>
                <w:bCs/>
                <w:sz w:val="24"/>
                <w:szCs w:val="24"/>
              </w:rPr>
              <w:t>(9)</w:t>
            </w:r>
          </w:p>
        </w:tc>
        <w:tc>
          <w:tcPr>
            <w:tcW w:w="388" w:type="pct"/>
            <w:hideMark/>
          </w:tcPr>
          <w:p w14:paraId="41B7D955" w14:textId="77777777" w:rsidR="009C778C" w:rsidRPr="009C778C" w:rsidRDefault="009C778C" w:rsidP="009C778C">
            <w:pPr>
              <w:rPr>
                <w:rFonts w:cstheme="minorHAnsi"/>
                <w:b/>
                <w:bCs/>
                <w:sz w:val="24"/>
                <w:szCs w:val="24"/>
              </w:rPr>
            </w:pPr>
            <w:r w:rsidRPr="009C778C">
              <w:rPr>
                <w:rFonts w:cstheme="minorHAnsi"/>
                <w:b/>
                <w:bCs/>
                <w:sz w:val="24"/>
                <w:szCs w:val="24"/>
              </w:rPr>
              <w:t>(10)</w:t>
            </w:r>
          </w:p>
        </w:tc>
      </w:tr>
      <w:tr w:rsidR="009C778C" w:rsidRPr="009C778C" w14:paraId="21549ED1" w14:textId="77777777" w:rsidTr="0046257B">
        <w:tc>
          <w:tcPr>
            <w:tcW w:w="879" w:type="pct"/>
            <w:hideMark/>
          </w:tcPr>
          <w:p w14:paraId="7897426C" w14:textId="77777777" w:rsidR="009C778C" w:rsidRPr="009C778C" w:rsidRDefault="009C778C" w:rsidP="009C778C">
            <w:pPr>
              <w:rPr>
                <w:rFonts w:cstheme="minorHAnsi"/>
                <w:b/>
                <w:bCs/>
                <w:sz w:val="24"/>
                <w:szCs w:val="24"/>
              </w:rPr>
            </w:pPr>
            <w:r w:rsidRPr="009C778C">
              <w:rPr>
                <w:rFonts w:cstheme="minorHAnsi"/>
                <w:b/>
                <w:bCs/>
                <w:sz w:val="24"/>
                <w:szCs w:val="24"/>
              </w:rPr>
              <w:t>TOTAL</w:t>
            </w:r>
            <w:r w:rsidRPr="009C778C">
              <w:rPr>
                <w:rFonts w:cstheme="minorHAnsi"/>
                <w:b/>
                <w:bCs/>
                <w:sz w:val="24"/>
                <w:szCs w:val="24"/>
                <w:vertAlign w:val="subscript"/>
              </w:rPr>
              <w:t>t − 1</w:t>
            </w:r>
          </w:p>
        </w:tc>
        <w:tc>
          <w:tcPr>
            <w:tcW w:w="243" w:type="pct"/>
            <w:hideMark/>
          </w:tcPr>
          <w:p w14:paraId="5DDC1C79" w14:textId="77777777" w:rsidR="009C778C" w:rsidRPr="009C778C" w:rsidRDefault="009C778C" w:rsidP="009C778C">
            <w:pPr>
              <w:rPr>
                <w:rFonts w:cstheme="minorHAnsi"/>
                <w:sz w:val="24"/>
                <w:szCs w:val="24"/>
              </w:rPr>
            </w:pPr>
            <w:r w:rsidRPr="009C778C">
              <w:rPr>
                <w:rFonts w:cstheme="minorHAnsi"/>
                <w:sz w:val="24"/>
                <w:szCs w:val="24"/>
              </w:rPr>
              <w:t>–</w:t>
            </w:r>
          </w:p>
        </w:tc>
        <w:tc>
          <w:tcPr>
            <w:tcW w:w="388" w:type="pct"/>
            <w:hideMark/>
          </w:tcPr>
          <w:p w14:paraId="603D35E2" w14:textId="77777777" w:rsidR="009C778C" w:rsidRPr="009C778C" w:rsidRDefault="009C778C" w:rsidP="009C778C">
            <w:pPr>
              <w:rPr>
                <w:rFonts w:cstheme="minorHAnsi"/>
                <w:sz w:val="24"/>
                <w:szCs w:val="24"/>
              </w:rPr>
            </w:pPr>
            <w:r w:rsidRPr="009C778C">
              <w:rPr>
                <w:rFonts w:cstheme="minorHAnsi"/>
                <w:sz w:val="24"/>
                <w:szCs w:val="24"/>
              </w:rPr>
              <w:t>− 0.043***</w:t>
            </w:r>
          </w:p>
        </w:tc>
        <w:tc>
          <w:tcPr>
            <w:tcW w:w="388" w:type="pct"/>
            <w:hideMark/>
          </w:tcPr>
          <w:p w14:paraId="2748F678" w14:textId="77777777" w:rsidR="009C778C" w:rsidRPr="009C778C" w:rsidRDefault="009C778C" w:rsidP="009C778C">
            <w:pPr>
              <w:rPr>
                <w:rFonts w:cstheme="minorHAnsi"/>
                <w:sz w:val="24"/>
                <w:szCs w:val="24"/>
              </w:rPr>
            </w:pPr>
          </w:p>
        </w:tc>
        <w:tc>
          <w:tcPr>
            <w:tcW w:w="388" w:type="pct"/>
            <w:hideMark/>
          </w:tcPr>
          <w:p w14:paraId="35242B7E" w14:textId="77777777" w:rsidR="009C778C" w:rsidRPr="009C778C" w:rsidRDefault="009C778C" w:rsidP="009C778C">
            <w:pPr>
              <w:rPr>
                <w:rFonts w:cstheme="minorHAnsi"/>
                <w:sz w:val="24"/>
                <w:szCs w:val="24"/>
              </w:rPr>
            </w:pPr>
            <w:r w:rsidRPr="009C778C">
              <w:rPr>
                <w:rFonts w:cstheme="minorHAnsi"/>
                <w:sz w:val="24"/>
                <w:szCs w:val="24"/>
              </w:rPr>
              <w:t>− 0.027***</w:t>
            </w:r>
          </w:p>
        </w:tc>
        <w:tc>
          <w:tcPr>
            <w:tcW w:w="388" w:type="pct"/>
            <w:hideMark/>
          </w:tcPr>
          <w:p w14:paraId="47A548B4" w14:textId="77777777" w:rsidR="009C778C" w:rsidRPr="009C778C" w:rsidRDefault="009C778C" w:rsidP="009C778C">
            <w:pPr>
              <w:rPr>
                <w:rFonts w:cstheme="minorHAnsi"/>
                <w:sz w:val="24"/>
                <w:szCs w:val="24"/>
              </w:rPr>
            </w:pPr>
          </w:p>
        </w:tc>
        <w:tc>
          <w:tcPr>
            <w:tcW w:w="388" w:type="pct"/>
            <w:hideMark/>
          </w:tcPr>
          <w:p w14:paraId="2AE3099E" w14:textId="77777777" w:rsidR="009C778C" w:rsidRPr="009C778C" w:rsidRDefault="009C778C" w:rsidP="009C778C">
            <w:pPr>
              <w:rPr>
                <w:rFonts w:cstheme="minorHAnsi"/>
                <w:sz w:val="24"/>
                <w:szCs w:val="24"/>
              </w:rPr>
            </w:pPr>
            <w:r w:rsidRPr="009C778C">
              <w:rPr>
                <w:rFonts w:cstheme="minorHAnsi"/>
                <w:sz w:val="24"/>
                <w:szCs w:val="24"/>
              </w:rPr>
              <w:t>− 0.385***</w:t>
            </w:r>
          </w:p>
        </w:tc>
        <w:tc>
          <w:tcPr>
            <w:tcW w:w="388" w:type="pct"/>
            <w:hideMark/>
          </w:tcPr>
          <w:p w14:paraId="62F4BF46" w14:textId="77777777" w:rsidR="009C778C" w:rsidRPr="009C778C" w:rsidRDefault="009C778C" w:rsidP="009C778C">
            <w:pPr>
              <w:rPr>
                <w:rFonts w:cstheme="minorHAnsi"/>
                <w:sz w:val="24"/>
                <w:szCs w:val="24"/>
              </w:rPr>
            </w:pPr>
          </w:p>
        </w:tc>
        <w:tc>
          <w:tcPr>
            <w:tcW w:w="388" w:type="pct"/>
            <w:hideMark/>
          </w:tcPr>
          <w:p w14:paraId="625AC834" w14:textId="77777777" w:rsidR="009C778C" w:rsidRPr="009C778C" w:rsidRDefault="009C778C" w:rsidP="009C778C">
            <w:pPr>
              <w:rPr>
                <w:rFonts w:cstheme="minorHAnsi"/>
                <w:sz w:val="24"/>
                <w:szCs w:val="24"/>
              </w:rPr>
            </w:pPr>
            <w:r w:rsidRPr="009C778C">
              <w:rPr>
                <w:rFonts w:cstheme="minorHAnsi"/>
                <w:sz w:val="24"/>
                <w:szCs w:val="24"/>
              </w:rPr>
              <w:t>− 0.058***</w:t>
            </w:r>
          </w:p>
        </w:tc>
        <w:tc>
          <w:tcPr>
            <w:tcW w:w="388" w:type="pct"/>
            <w:hideMark/>
          </w:tcPr>
          <w:p w14:paraId="4FBF62AF" w14:textId="77777777" w:rsidR="009C778C" w:rsidRPr="009C778C" w:rsidRDefault="009C778C" w:rsidP="009C778C">
            <w:pPr>
              <w:rPr>
                <w:rFonts w:cstheme="minorHAnsi"/>
                <w:sz w:val="24"/>
                <w:szCs w:val="24"/>
              </w:rPr>
            </w:pPr>
          </w:p>
        </w:tc>
        <w:tc>
          <w:tcPr>
            <w:tcW w:w="388" w:type="pct"/>
            <w:hideMark/>
          </w:tcPr>
          <w:p w14:paraId="7C39ADB6" w14:textId="77777777" w:rsidR="009C778C" w:rsidRPr="009C778C" w:rsidRDefault="009C778C" w:rsidP="009C778C">
            <w:pPr>
              <w:rPr>
                <w:rFonts w:cstheme="minorHAnsi"/>
                <w:sz w:val="24"/>
                <w:szCs w:val="24"/>
              </w:rPr>
            </w:pPr>
            <w:r w:rsidRPr="009C778C">
              <w:rPr>
                <w:rFonts w:cstheme="minorHAnsi"/>
                <w:sz w:val="24"/>
                <w:szCs w:val="24"/>
              </w:rPr>
              <w:t>− 3.543***</w:t>
            </w:r>
          </w:p>
        </w:tc>
        <w:tc>
          <w:tcPr>
            <w:tcW w:w="388" w:type="pct"/>
            <w:hideMark/>
          </w:tcPr>
          <w:p w14:paraId="4BCA0CA9" w14:textId="77777777" w:rsidR="009C778C" w:rsidRPr="009C778C" w:rsidRDefault="009C778C" w:rsidP="009C778C">
            <w:pPr>
              <w:rPr>
                <w:rFonts w:cstheme="minorHAnsi"/>
                <w:sz w:val="24"/>
                <w:szCs w:val="24"/>
              </w:rPr>
            </w:pPr>
          </w:p>
        </w:tc>
      </w:tr>
      <w:tr w:rsidR="009C778C" w:rsidRPr="009C778C" w14:paraId="3714C0D6" w14:textId="77777777" w:rsidTr="0046257B">
        <w:tc>
          <w:tcPr>
            <w:tcW w:w="879" w:type="pct"/>
            <w:hideMark/>
          </w:tcPr>
          <w:p w14:paraId="465D6F39" w14:textId="77777777" w:rsidR="009C778C" w:rsidRPr="009C778C" w:rsidRDefault="009C778C" w:rsidP="009C778C">
            <w:pPr>
              <w:rPr>
                <w:rFonts w:cstheme="minorHAnsi"/>
                <w:b/>
                <w:bCs/>
                <w:sz w:val="24"/>
                <w:szCs w:val="24"/>
              </w:rPr>
            </w:pPr>
          </w:p>
        </w:tc>
        <w:tc>
          <w:tcPr>
            <w:tcW w:w="243" w:type="pct"/>
            <w:hideMark/>
          </w:tcPr>
          <w:p w14:paraId="0980B97F" w14:textId="77777777" w:rsidR="009C778C" w:rsidRPr="009C778C" w:rsidRDefault="009C778C" w:rsidP="009C778C">
            <w:pPr>
              <w:rPr>
                <w:rFonts w:cstheme="minorHAnsi"/>
                <w:sz w:val="24"/>
                <w:szCs w:val="24"/>
              </w:rPr>
            </w:pPr>
          </w:p>
        </w:tc>
        <w:tc>
          <w:tcPr>
            <w:tcW w:w="388" w:type="pct"/>
            <w:hideMark/>
          </w:tcPr>
          <w:p w14:paraId="2A59042C" w14:textId="77777777" w:rsidR="009C778C" w:rsidRPr="009C778C" w:rsidRDefault="009C778C" w:rsidP="009C778C">
            <w:pPr>
              <w:rPr>
                <w:rFonts w:cstheme="minorHAnsi"/>
                <w:sz w:val="24"/>
                <w:szCs w:val="24"/>
              </w:rPr>
            </w:pPr>
            <w:r w:rsidRPr="009C778C">
              <w:rPr>
                <w:rFonts w:cstheme="minorHAnsi"/>
                <w:sz w:val="24"/>
                <w:szCs w:val="24"/>
              </w:rPr>
              <w:t>(− 3.89)</w:t>
            </w:r>
          </w:p>
        </w:tc>
        <w:tc>
          <w:tcPr>
            <w:tcW w:w="388" w:type="pct"/>
            <w:hideMark/>
          </w:tcPr>
          <w:p w14:paraId="3401C6F4" w14:textId="77777777" w:rsidR="009C778C" w:rsidRPr="009C778C" w:rsidRDefault="009C778C" w:rsidP="009C778C">
            <w:pPr>
              <w:rPr>
                <w:rFonts w:cstheme="minorHAnsi"/>
                <w:sz w:val="24"/>
                <w:szCs w:val="24"/>
              </w:rPr>
            </w:pPr>
          </w:p>
        </w:tc>
        <w:tc>
          <w:tcPr>
            <w:tcW w:w="388" w:type="pct"/>
            <w:hideMark/>
          </w:tcPr>
          <w:p w14:paraId="433A569B" w14:textId="77777777" w:rsidR="009C778C" w:rsidRPr="009C778C" w:rsidRDefault="009C778C" w:rsidP="009C778C">
            <w:pPr>
              <w:rPr>
                <w:rFonts w:cstheme="minorHAnsi"/>
                <w:sz w:val="24"/>
                <w:szCs w:val="24"/>
              </w:rPr>
            </w:pPr>
            <w:r w:rsidRPr="009C778C">
              <w:rPr>
                <w:rFonts w:cstheme="minorHAnsi"/>
                <w:sz w:val="24"/>
                <w:szCs w:val="24"/>
              </w:rPr>
              <w:t>(− 3.68)</w:t>
            </w:r>
          </w:p>
        </w:tc>
        <w:tc>
          <w:tcPr>
            <w:tcW w:w="388" w:type="pct"/>
            <w:hideMark/>
          </w:tcPr>
          <w:p w14:paraId="30195B97" w14:textId="77777777" w:rsidR="009C778C" w:rsidRPr="009C778C" w:rsidRDefault="009C778C" w:rsidP="009C778C">
            <w:pPr>
              <w:rPr>
                <w:rFonts w:cstheme="minorHAnsi"/>
                <w:sz w:val="24"/>
                <w:szCs w:val="24"/>
              </w:rPr>
            </w:pPr>
          </w:p>
        </w:tc>
        <w:tc>
          <w:tcPr>
            <w:tcW w:w="388" w:type="pct"/>
            <w:hideMark/>
          </w:tcPr>
          <w:p w14:paraId="57DB7D2E" w14:textId="77777777" w:rsidR="009C778C" w:rsidRPr="009C778C" w:rsidRDefault="009C778C" w:rsidP="009C778C">
            <w:pPr>
              <w:rPr>
                <w:rFonts w:cstheme="minorHAnsi"/>
                <w:sz w:val="24"/>
                <w:szCs w:val="24"/>
              </w:rPr>
            </w:pPr>
            <w:r w:rsidRPr="009C778C">
              <w:rPr>
                <w:rFonts w:cstheme="minorHAnsi"/>
                <w:sz w:val="24"/>
                <w:szCs w:val="24"/>
              </w:rPr>
              <w:t>(− 5.39)</w:t>
            </w:r>
          </w:p>
        </w:tc>
        <w:tc>
          <w:tcPr>
            <w:tcW w:w="388" w:type="pct"/>
            <w:hideMark/>
          </w:tcPr>
          <w:p w14:paraId="1A5E38F0" w14:textId="77777777" w:rsidR="009C778C" w:rsidRPr="009C778C" w:rsidRDefault="009C778C" w:rsidP="009C778C">
            <w:pPr>
              <w:rPr>
                <w:rFonts w:cstheme="minorHAnsi"/>
                <w:sz w:val="24"/>
                <w:szCs w:val="24"/>
              </w:rPr>
            </w:pPr>
          </w:p>
        </w:tc>
        <w:tc>
          <w:tcPr>
            <w:tcW w:w="388" w:type="pct"/>
            <w:hideMark/>
          </w:tcPr>
          <w:p w14:paraId="2BBAFFE4" w14:textId="77777777" w:rsidR="009C778C" w:rsidRPr="009C778C" w:rsidRDefault="009C778C" w:rsidP="009C778C">
            <w:pPr>
              <w:rPr>
                <w:rFonts w:cstheme="minorHAnsi"/>
                <w:sz w:val="24"/>
                <w:szCs w:val="24"/>
              </w:rPr>
            </w:pPr>
            <w:r w:rsidRPr="009C778C">
              <w:rPr>
                <w:rFonts w:cstheme="minorHAnsi"/>
                <w:sz w:val="24"/>
                <w:szCs w:val="24"/>
              </w:rPr>
              <w:t>(− 5.72)</w:t>
            </w:r>
          </w:p>
        </w:tc>
        <w:tc>
          <w:tcPr>
            <w:tcW w:w="388" w:type="pct"/>
            <w:hideMark/>
          </w:tcPr>
          <w:p w14:paraId="3FF7AA37" w14:textId="77777777" w:rsidR="009C778C" w:rsidRPr="009C778C" w:rsidRDefault="009C778C" w:rsidP="009C778C">
            <w:pPr>
              <w:rPr>
                <w:rFonts w:cstheme="minorHAnsi"/>
                <w:sz w:val="24"/>
                <w:szCs w:val="24"/>
              </w:rPr>
            </w:pPr>
          </w:p>
        </w:tc>
        <w:tc>
          <w:tcPr>
            <w:tcW w:w="388" w:type="pct"/>
            <w:hideMark/>
          </w:tcPr>
          <w:p w14:paraId="1B49D866" w14:textId="77777777" w:rsidR="009C778C" w:rsidRPr="009C778C" w:rsidRDefault="009C778C" w:rsidP="009C778C">
            <w:pPr>
              <w:rPr>
                <w:rFonts w:cstheme="minorHAnsi"/>
                <w:sz w:val="24"/>
                <w:szCs w:val="24"/>
              </w:rPr>
            </w:pPr>
            <w:r w:rsidRPr="009C778C">
              <w:rPr>
                <w:rFonts w:cstheme="minorHAnsi"/>
                <w:sz w:val="24"/>
                <w:szCs w:val="24"/>
              </w:rPr>
              <w:t>(− 6.68)</w:t>
            </w:r>
          </w:p>
        </w:tc>
        <w:tc>
          <w:tcPr>
            <w:tcW w:w="388" w:type="pct"/>
            <w:hideMark/>
          </w:tcPr>
          <w:p w14:paraId="7AFF816A" w14:textId="77777777" w:rsidR="009C778C" w:rsidRPr="009C778C" w:rsidRDefault="009C778C" w:rsidP="009C778C">
            <w:pPr>
              <w:rPr>
                <w:rFonts w:cstheme="minorHAnsi"/>
                <w:sz w:val="24"/>
                <w:szCs w:val="24"/>
              </w:rPr>
            </w:pPr>
          </w:p>
        </w:tc>
      </w:tr>
      <w:tr w:rsidR="009C778C" w:rsidRPr="009C778C" w14:paraId="1E0CAAB5" w14:textId="77777777" w:rsidTr="0046257B">
        <w:tc>
          <w:tcPr>
            <w:tcW w:w="879" w:type="pct"/>
            <w:hideMark/>
          </w:tcPr>
          <w:p w14:paraId="32369900" w14:textId="77777777" w:rsidR="009C778C" w:rsidRPr="009C778C" w:rsidRDefault="009C778C" w:rsidP="009C778C">
            <w:pPr>
              <w:rPr>
                <w:rFonts w:cstheme="minorHAnsi"/>
                <w:b/>
                <w:bCs/>
                <w:sz w:val="24"/>
                <w:szCs w:val="24"/>
              </w:rPr>
            </w:pPr>
            <w:r w:rsidRPr="009C778C">
              <w:rPr>
                <w:rFonts w:cstheme="minorHAnsi"/>
                <w:b/>
                <w:bCs/>
                <w:sz w:val="24"/>
                <w:szCs w:val="24"/>
              </w:rPr>
              <w:t>DOMESTIC</w:t>
            </w:r>
            <w:r w:rsidRPr="009C778C">
              <w:rPr>
                <w:rFonts w:cstheme="minorHAnsi"/>
                <w:b/>
                <w:bCs/>
                <w:sz w:val="24"/>
                <w:szCs w:val="24"/>
                <w:vertAlign w:val="subscript"/>
              </w:rPr>
              <w:t>t − 1</w:t>
            </w:r>
          </w:p>
        </w:tc>
        <w:tc>
          <w:tcPr>
            <w:tcW w:w="243" w:type="pct"/>
            <w:hideMark/>
          </w:tcPr>
          <w:p w14:paraId="739864DF" w14:textId="77777777" w:rsidR="009C778C" w:rsidRPr="009C778C" w:rsidRDefault="009C778C" w:rsidP="009C778C">
            <w:pPr>
              <w:rPr>
                <w:rFonts w:cstheme="minorHAnsi"/>
                <w:sz w:val="24"/>
                <w:szCs w:val="24"/>
              </w:rPr>
            </w:pPr>
            <w:r w:rsidRPr="009C778C">
              <w:rPr>
                <w:rFonts w:cstheme="minorHAnsi"/>
                <w:sz w:val="24"/>
                <w:szCs w:val="24"/>
              </w:rPr>
              <w:t>–</w:t>
            </w:r>
          </w:p>
        </w:tc>
        <w:tc>
          <w:tcPr>
            <w:tcW w:w="388" w:type="pct"/>
            <w:hideMark/>
          </w:tcPr>
          <w:p w14:paraId="3862B0FA" w14:textId="77777777" w:rsidR="009C778C" w:rsidRPr="009C778C" w:rsidRDefault="009C778C" w:rsidP="009C778C">
            <w:pPr>
              <w:rPr>
                <w:rFonts w:cstheme="minorHAnsi"/>
                <w:sz w:val="24"/>
                <w:szCs w:val="24"/>
              </w:rPr>
            </w:pPr>
          </w:p>
        </w:tc>
        <w:tc>
          <w:tcPr>
            <w:tcW w:w="388" w:type="pct"/>
            <w:hideMark/>
          </w:tcPr>
          <w:p w14:paraId="3D2C4B4D" w14:textId="77777777" w:rsidR="009C778C" w:rsidRPr="009C778C" w:rsidRDefault="009C778C" w:rsidP="009C778C">
            <w:pPr>
              <w:rPr>
                <w:rFonts w:cstheme="minorHAnsi"/>
                <w:sz w:val="24"/>
                <w:szCs w:val="24"/>
              </w:rPr>
            </w:pPr>
            <w:r w:rsidRPr="009C778C">
              <w:rPr>
                <w:rFonts w:cstheme="minorHAnsi"/>
                <w:sz w:val="24"/>
                <w:szCs w:val="24"/>
              </w:rPr>
              <w:t>− 0.068***</w:t>
            </w:r>
          </w:p>
        </w:tc>
        <w:tc>
          <w:tcPr>
            <w:tcW w:w="388" w:type="pct"/>
            <w:hideMark/>
          </w:tcPr>
          <w:p w14:paraId="675192B3" w14:textId="77777777" w:rsidR="009C778C" w:rsidRPr="009C778C" w:rsidRDefault="009C778C" w:rsidP="009C778C">
            <w:pPr>
              <w:rPr>
                <w:rFonts w:cstheme="minorHAnsi"/>
                <w:sz w:val="24"/>
                <w:szCs w:val="24"/>
              </w:rPr>
            </w:pPr>
          </w:p>
        </w:tc>
        <w:tc>
          <w:tcPr>
            <w:tcW w:w="388" w:type="pct"/>
            <w:hideMark/>
          </w:tcPr>
          <w:p w14:paraId="3F75D30A" w14:textId="77777777" w:rsidR="009C778C" w:rsidRPr="009C778C" w:rsidRDefault="009C778C" w:rsidP="009C778C">
            <w:pPr>
              <w:rPr>
                <w:rFonts w:cstheme="minorHAnsi"/>
                <w:sz w:val="24"/>
                <w:szCs w:val="24"/>
              </w:rPr>
            </w:pPr>
            <w:r w:rsidRPr="009C778C">
              <w:rPr>
                <w:rFonts w:cstheme="minorHAnsi"/>
                <w:sz w:val="24"/>
                <w:szCs w:val="24"/>
              </w:rPr>
              <w:t>− 0.072***</w:t>
            </w:r>
          </w:p>
        </w:tc>
        <w:tc>
          <w:tcPr>
            <w:tcW w:w="388" w:type="pct"/>
            <w:hideMark/>
          </w:tcPr>
          <w:p w14:paraId="262E03B2" w14:textId="77777777" w:rsidR="009C778C" w:rsidRPr="009C778C" w:rsidRDefault="009C778C" w:rsidP="009C778C">
            <w:pPr>
              <w:rPr>
                <w:rFonts w:cstheme="minorHAnsi"/>
                <w:sz w:val="24"/>
                <w:szCs w:val="24"/>
              </w:rPr>
            </w:pPr>
          </w:p>
        </w:tc>
        <w:tc>
          <w:tcPr>
            <w:tcW w:w="388" w:type="pct"/>
            <w:hideMark/>
          </w:tcPr>
          <w:p w14:paraId="4E508E11" w14:textId="77777777" w:rsidR="009C778C" w:rsidRPr="009C778C" w:rsidRDefault="009C778C" w:rsidP="009C778C">
            <w:pPr>
              <w:rPr>
                <w:rFonts w:cstheme="minorHAnsi"/>
                <w:sz w:val="24"/>
                <w:szCs w:val="24"/>
              </w:rPr>
            </w:pPr>
            <w:r w:rsidRPr="009C778C">
              <w:rPr>
                <w:rFonts w:cstheme="minorHAnsi"/>
                <w:sz w:val="24"/>
                <w:szCs w:val="24"/>
              </w:rPr>
              <w:t>− 0.532***</w:t>
            </w:r>
          </w:p>
        </w:tc>
        <w:tc>
          <w:tcPr>
            <w:tcW w:w="388" w:type="pct"/>
            <w:hideMark/>
          </w:tcPr>
          <w:p w14:paraId="03670A2E" w14:textId="77777777" w:rsidR="009C778C" w:rsidRPr="009C778C" w:rsidRDefault="009C778C" w:rsidP="009C778C">
            <w:pPr>
              <w:rPr>
                <w:rFonts w:cstheme="minorHAnsi"/>
                <w:sz w:val="24"/>
                <w:szCs w:val="24"/>
              </w:rPr>
            </w:pPr>
          </w:p>
        </w:tc>
        <w:tc>
          <w:tcPr>
            <w:tcW w:w="388" w:type="pct"/>
            <w:hideMark/>
          </w:tcPr>
          <w:p w14:paraId="22FE3EAF" w14:textId="77777777" w:rsidR="009C778C" w:rsidRPr="009C778C" w:rsidRDefault="009C778C" w:rsidP="009C778C">
            <w:pPr>
              <w:rPr>
                <w:rFonts w:cstheme="minorHAnsi"/>
                <w:sz w:val="24"/>
                <w:szCs w:val="24"/>
              </w:rPr>
            </w:pPr>
            <w:r w:rsidRPr="009C778C">
              <w:rPr>
                <w:rFonts w:cstheme="minorHAnsi"/>
                <w:sz w:val="24"/>
                <w:szCs w:val="24"/>
              </w:rPr>
              <w:t>− 0.086***</w:t>
            </w:r>
          </w:p>
        </w:tc>
        <w:tc>
          <w:tcPr>
            <w:tcW w:w="388" w:type="pct"/>
            <w:hideMark/>
          </w:tcPr>
          <w:p w14:paraId="0EB78D5A" w14:textId="77777777" w:rsidR="009C778C" w:rsidRPr="009C778C" w:rsidRDefault="009C778C" w:rsidP="009C778C">
            <w:pPr>
              <w:rPr>
                <w:rFonts w:cstheme="minorHAnsi"/>
                <w:sz w:val="24"/>
                <w:szCs w:val="24"/>
              </w:rPr>
            </w:pPr>
          </w:p>
        </w:tc>
        <w:tc>
          <w:tcPr>
            <w:tcW w:w="388" w:type="pct"/>
            <w:hideMark/>
          </w:tcPr>
          <w:p w14:paraId="32B67E01" w14:textId="77777777" w:rsidR="009C778C" w:rsidRPr="009C778C" w:rsidRDefault="009C778C" w:rsidP="009C778C">
            <w:pPr>
              <w:rPr>
                <w:rFonts w:cstheme="minorHAnsi"/>
                <w:sz w:val="24"/>
                <w:szCs w:val="24"/>
              </w:rPr>
            </w:pPr>
            <w:r w:rsidRPr="009C778C">
              <w:rPr>
                <w:rFonts w:cstheme="minorHAnsi"/>
                <w:sz w:val="24"/>
                <w:szCs w:val="24"/>
              </w:rPr>
              <w:t>− 5.070***</w:t>
            </w:r>
          </w:p>
        </w:tc>
      </w:tr>
      <w:tr w:rsidR="009C778C" w:rsidRPr="009C778C" w14:paraId="4B9BA5EC" w14:textId="77777777" w:rsidTr="0046257B">
        <w:tc>
          <w:tcPr>
            <w:tcW w:w="879" w:type="pct"/>
            <w:hideMark/>
          </w:tcPr>
          <w:p w14:paraId="66FD9A06" w14:textId="77777777" w:rsidR="009C778C" w:rsidRPr="009C778C" w:rsidRDefault="009C778C" w:rsidP="009C778C">
            <w:pPr>
              <w:rPr>
                <w:rFonts w:cstheme="minorHAnsi"/>
                <w:b/>
                <w:bCs/>
                <w:sz w:val="24"/>
                <w:szCs w:val="24"/>
              </w:rPr>
            </w:pPr>
          </w:p>
        </w:tc>
        <w:tc>
          <w:tcPr>
            <w:tcW w:w="243" w:type="pct"/>
            <w:hideMark/>
          </w:tcPr>
          <w:p w14:paraId="2A0AC1D5" w14:textId="77777777" w:rsidR="009C778C" w:rsidRPr="009C778C" w:rsidRDefault="009C778C" w:rsidP="009C778C">
            <w:pPr>
              <w:rPr>
                <w:rFonts w:cstheme="minorHAnsi"/>
                <w:sz w:val="24"/>
                <w:szCs w:val="24"/>
              </w:rPr>
            </w:pPr>
          </w:p>
        </w:tc>
        <w:tc>
          <w:tcPr>
            <w:tcW w:w="388" w:type="pct"/>
            <w:hideMark/>
          </w:tcPr>
          <w:p w14:paraId="79BAC033" w14:textId="77777777" w:rsidR="009C778C" w:rsidRPr="009C778C" w:rsidRDefault="009C778C" w:rsidP="009C778C">
            <w:pPr>
              <w:rPr>
                <w:rFonts w:cstheme="minorHAnsi"/>
                <w:sz w:val="24"/>
                <w:szCs w:val="24"/>
              </w:rPr>
            </w:pPr>
          </w:p>
        </w:tc>
        <w:tc>
          <w:tcPr>
            <w:tcW w:w="388" w:type="pct"/>
            <w:hideMark/>
          </w:tcPr>
          <w:p w14:paraId="0C6C4ABC" w14:textId="77777777" w:rsidR="009C778C" w:rsidRPr="009C778C" w:rsidRDefault="009C778C" w:rsidP="009C778C">
            <w:pPr>
              <w:rPr>
                <w:rFonts w:cstheme="minorHAnsi"/>
                <w:sz w:val="24"/>
                <w:szCs w:val="24"/>
              </w:rPr>
            </w:pPr>
            <w:r w:rsidRPr="009C778C">
              <w:rPr>
                <w:rFonts w:cstheme="minorHAnsi"/>
                <w:sz w:val="24"/>
                <w:szCs w:val="24"/>
              </w:rPr>
              <w:t>(− 4.39)</w:t>
            </w:r>
          </w:p>
        </w:tc>
        <w:tc>
          <w:tcPr>
            <w:tcW w:w="388" w:type="pct"/>
            <w:hideMark/>
          </w:tcPr>
          <w:p w14:paraId="317BB87C" w14:textId="77777777" w:rsidR="009C778C" w:rsidRPr="009C778C" w:rsidRDefault="009C778C" w:rsidP="009C778C">
            <w:pPr>
              <w:rPr>
                <w:rFonts w:cstheme="minorHAnsi"/>
                <w:sz w:val="24"/>
                <w:szCs w:val="24"/>
              </w:rPr>
            </w:pPr>
          </w:p>
        </w:tc>
        <w:tc>
          <w:tcPr>
            <w:tcW w:w="388" w:type="pct"/>
            <w:hideMark/>
          </w:tcPr>
          <w:p w14:paraId="72612AA3" w14:textId="77777777" w:rsidR="009C778C" w:rsidRPr="009C778C" w:rsidRDefault="009C778C" w:rsidP="009C778C">
            <w:pPr>
              <w:rPr>
                <w:rFonts w:cstheme="minorHAnsi"/>
                <w:sz w:val="24"/>
                <w:szCs w:val="24"/>
              </w:rPr>
            </w:pPr>
            <w:r w:rsidRPr="009C778C">
              <w:rPr>
                <w:rFonts w:cstheme="minorHAnsi"/>
                <w:sz w:val="24"/>
                <w:szCs w:val="24"/>
              </w:rPr>
              <w:t>(− 7.75)</w:t>
            </w:r>
          </w:p>
        </w:tc>
        <w:tc>
          <w:tcPr>
            <w:tcW w:w="388" w:type="pct"/>
            <w:hideMark/>
          </w:tcPr>
          <w:p w14:paraId="14AD94E5" w14:textId="77777777" w:rsidR="009C778C" w:rsidRPr="009C778C" w:rsidRDefault="009C778C" w:rsidP="009C778C">
            <w:pPr>
              <w:rPr>
                <w:rFonts w:cstheme="minorHAnsi"/>
                <w:sz w:val="24"/>
                <w:szCs w:val="24"/>
              </w:rPr>
            </w:pPr>
          </w:p>
        </w:tc>
        <w:tc>
          <w:tcPr>
            <w:tcW w:w="388" w:type="pct"/>
            <w:hideMark/>
          </w:tcPr>
          <w:p w14:paraId="6235DB66" w14:textId="77777777" w:rsidR="009C778C" w:rsidRPr="009C778C" w:rsidRDefault="009C778C" w:rsidP="009C778C">
            <w:pPr>
              <w:rPr>
                <w:rFonts w:cstheme="minorHAnsi"/>
                <w:sz w:val="24"/>
                <w:szCs w:val="24"/>
              </w:rPr>
            </w:pPr>
            <w:r w:rsidRPr="009C778C">
              <w:rPr>
                <w:rFonts w:cstheme="minorHAnsi"/>
                <w:sz w:val="24"/>
                <w:szCs w:val="24"/>
              </w:rPr>
              <w:t>(− 5.37)</w:t>
            </w:r>
          </w:p>
        </w:tc>
        <w:tc>
          <w:tcPr>
            <w:tcW w:w="388" w:type="pct"/>
            <w:hideMark/>
          </w:tcPr>
          <w:p w14:paraId="472EB976" w14:textId="77777777" w:rsidR="009C778C" w:rsidRPr="009C778C" w:rsidRDefault="009C778C" w:rsidP="009C778C">
            <w:pPr>
              <w:rPr>
                <w:rFonts w:cstheme="minorHAnsi"/>
                <w:sz w:val="24"/>
                <w:szCs w:val="24"/>
              </w:rPr>
            </w:pPr>
          </w:p>
        </w:tc>
        <w:tc>
          <w:tcPr>
            <w:tcW w:w="388" w:type="pct"/>
            <w:hideMark/>
          </w:tcPr>
          <w:p w14:paraId="668DC2CD" w14:textId="77777777" w:rsidR="009C778C" w:rsidRPr="009C778C" w:rsidRDefault="009C778C" w:rsidP="009C778C">
            <w:pPr>
              <w:rPr>
                <w:rFonts w:cstheme="minorHAnsi"/>
                <w:sz w:val="24"/>
                <w:szCs w:val="24"/>
              </w:rPr>
            </w:pPr>
            <w:r w:rsidRPr="009C778C">
              <w:rPr>
                <w:rFonts w:cstheme="minorHAnsi"/>
                <w:sz w:val="24"/>
                <w:szCs w:val="24"/>
              </w:rPr>
              <w:t>(− 5.21)</w:t>
            </w:r>
          </w:p>
        </w:tc>
        <w:tc>
          <w:tcPr>
            <w:tcW w:w="388" w:type="pct"/>
            <w:hideMark/>
          </w:tcPr>
          <w:p w14:paraId="677711A1" w14:textId="77777777" w:rsidR="009C778C" w:rsidRPr="009C778C" w:rsidRDefault="009C778C" w:rsidP="009C778C">
            <w:pPr>
              <w:rPr>
                <w:rFonts w:cstheme="minorHAnsi"/>
                <w:sz w:val="24"/>
                <w:szCs w:val="24"/>
              </w:rPr>
            </w:pPr>
          </w:p>
        </w:tc>
        <w:tc>
          <w:tcPr>
            <w:tcW w:w="388" w:type="pct"/>
            <w:hideMark/>
          </w:tcPr>
          <w:p w14:paraId="5DEC418D" w14:textId="77777777" w:rsidR="009C778C" w:rsidRPr="009C778C" w:rsidRDefault="009C778C" w:rsidP="009C778C">
            <w:pPr>
              <w:rPr>
                <w:rFonts w:cstheme="minorHAnsi"/>
                <w:sz w:val="24"/>
                <w:szCs w:val="24"/>
              </w:rPr>
            </w:pPr>
            <w:r w:rsidRPr="009C778C">
              <w:rPr>
                <w:rFonts w:cstheme="minorHAnsi"/>
                <w:sz w:val="24"/>
                <w:szCs w:val="24"/>
              </w:rPr>
              <w:t>(− 6.21)</w:t>
            </w:r>
          </w:p>
        </w:tc>
      </w:tr>
      <w:tr w:rsidR="009C778C" w:rsidRPr="009C778C" w14:paraId="18DA5644" w14:textId="77777777" w:rsidTr="0046257B">
        <w:tc>
          <w:tcPr>
            <w:tcW w:w="879" w:type="pct"/>
            <w:hideMark/>
          </w:tcPr>
          <w:p w14:paraId="2D39378F" w14:textId="77777777" w:rsidR="009C778C" w:rsidRPr="009C778C" w:rsidRDefault="009C778C" w:rsidP="009C778C">
            <w:pPr>
              <w:rPr>
                <w:rFonts w:cstheme="minorHAnsi"/>
                <w:b/>
                <w:bCs/>
                <w:sz w:val="24"/>
                <w:szCs w:val="24"/>
              </w:rPr>
            </w:pPr>
            <w:r w:rsidRPr="009C778C">
              <w:rPr>
                <w:rFonts w:cstheme="minorHAnsi"/>
                <w:b/>
                <w:bCs/>
                <w:sz w:val="24"/>
                <w:szCs w:val="24"/>
              </w:rPr>
              <w:t>FOREIGN</w:t>
            </w:r>
            <w:r w:rsidRPr="009C778C">
              <w:rPr>
                <w:rFonts w:cstheme="minorHAnsi"/>
                <w:b/>
                <w:bCs/>
                <w:sz w:val="24"/>
                <w:szCs w:val="24"/>
                <w:vertAlign w:val="subscript"/>
              </w:rPr>
              <w:t>t − 1</w:t>
            </w:r>
          </w:p>
        </w:tc>
        <w:tc>
          <w:tcPr>
            <w:tcW w:w="243" w:type="pct"/>
            <w:hideMark/>
          </w:tcPr>
          <w:p w14:paraId="07154736" w14:textId="77777777" w:rsidR="009C778C" w:rsidRPr="009C778C" w:rsidRDefault="009C778C" w:rsidP="009C778C">
            <w:pPr>
              <w:rPr>
                <w:rFonts w:cstheme="minorHAnsi"/>
                <w:sz w:val="24"/>
                <w:szCs w:val="24"/>
              </w:rPr>
            </w:pPr>
            <w:r w:rsidRPr="009C778C">
              <w:rPr>
                <w:rFonts w:cstheme="minorHAnsi"/>
                <w:sz w:val="24"/>
                <w:szCs w:val="24"/>
              </w:rPr>
              <w:t>–</w:t>
            </w:r>
          </w:p>
        </w:tc>
        <w:tc>
          <w:tcPr>
            <w:tcW w:w="388" w:type="pct"/>
            <w:hideMark/>
          </w:tcPr>
          <w:p w14:paraId="5659A96C" w14:textId="77777777" w:rsidR="009C778C" w:rsidRPr="009C778C" w:rsidRDefault="009C778C" w:rsidP="009C778C">
            <w:pPr>
              <w:rPr>
                <w:rFonts w:cstheme="minorHAnsi"/>
                <w:sz w:val="24"/>
                <w:szCs w:val="24"/>
              </w:rPr>
            </w:pPr>
          </w:p>
        </w:tc>
        <w:tc>
          <w:tcPr>
            <w:tcW w:w="388" w:type="pct"/>
            <w:hideMark/>
          </w:tcPr>
          <w:p w14:paraId="48C58706" w14:textId="77777777" w:rsidR="009C778C" w:rsidRPr="009C778C" w:rsidRDefault="009C778C" w:rsidP="009C778C">
            <w:pPr>
              <w:rPr>
                <w:rFonts w:cstheme="minorHAnsi"/>
                <w:sz w:val="24"/>
                <w:szCs w:val="24"/>
              </w:rPr>
            </w:pPr>
            <w:r w:rsidRPr="009C778C">
              <w:rPr>
                <w:rFonts w:cstheme="minorHAnsi"/>
                <w:sz w:val="24"/>
                <w:szCs w:val="24"/>
              </w:rPr>
              <w:t>− 0.021</w:t>
            </w:r>
          </w:p>
        </w:tc>
        <w:tc>
          <w:tcPr>
            <w:tcW w:w="388" w:type="pct"/>
            <w:hideMark/>
          </w:tcPr>
          <w:p w14:paraId="5CD9D582" w14:textId="77777777" w:rsidR="009C778C" w:rsidRPr="009C778C" w:rsidRDefault="009C778C" w:rsidP="009C778C">
            <w:pPr>
              <w:rPr>
                <w:rFonts w:cstheme="minorHAnsi"/>
                <w:sz w:val="24"/>
                <w:szCs w:val="24"/>
              </w:rPr>
            </w:pPr>
          </w:p>
        </w:tc>
        <w:tc>
          <w:tcPr>
            <w:tcW w:w="388" w:type="pct"/>
            <w:hideMark/>
          </w:tcPr>
          <w:p w14:paraId="2BE0BE62" w14:textId="77777777" w:rsidR="009C778C" w:rsidRPr="009C778C" w:rsidRDefault="009C778C" w:rsidP="009C778C">
            <w:pPr>
              <w:rPr>
                <w:rFonts w:cstheme="minorHAnsi"/>
                <w:sz w:val="24"/>
                <w:szCs w:val="24"/>
              </w:rPr>
            </w:pPr>
            <w:r w:rsidRPr="009C778C">
              <w:rPr>
                <w:rFonts w:cstheme="minorHAnsi"/>
                <w:sz w:val="24"/>
                <w:szCs w:val="24"/>
              </w:rPr>
              <w:t>0.027**</w:t>
            </w:r>
          </w:p>
        </w:tc>
        <w:tc>
          <w:tcPr>
            <w:tcW w:w="388" w:type="pct"/>
            <w:hideMark/>
          </w:tcPr>
          <w:p w14:paraId="67F48D7E" w14:textId="77777777" w:rsidR="009C778C" w:rsidRPr="009C778C" w:rsidRDefault="009C778C" w:rsidP="009C778C">
            <w:pPr>
              <w:rPr>
                <w:rFonts w:cstheme="minorHAnsi"/>
                <w:sz w:val="24"/>
                <w:szCs w:val="24"/>
              </w:rPr>
            </w:pPr>
          </w:p>
        </w:tc>
        <w:tc>
          <w:tcPr>
            <w:tcW w:w="388" w:type="pct"/>
            <w:hideMark/>
          </w:tcPr>
          <w:p w14:paraId="2BE4F716" w14:textId="77777777" w:rsidR="009C778C" w:rsidRPr="009C778C" w:rsidRDefault="009C778C" w:rsidP="009C778C">
            <w:pPr>
              <w:rPr>
                <w:rFonts w:cstheme="minorHAnsi"/>
                <w:sz w:val="24"/>
                <w:szCs w:val="24"/>
              </w:rPr>
            </w:pPr>
            <w:r w:rsidRPr="009C778C">
              <w:rPr>
                <w:rFonts w:cstheme="minorHAnsi"/>
                <w:sz w:val="24"/>
                <w:szCs w:val="24"/>
              </w:rPr>
              <w:t>− 0.224**</w:t>
            </w:r>
          </w:p>
        </w:tc>
        <w:tc>
          <w:tcPr>
            <w:tcW w:w="388" w:type="pct"/>
            <w:hideMark/>
          </w:tcPr>
          <w:p w14:paraId="09E7D871" w14:textId="77777777" w:rsidR="009C778C" w:rsidRPr="009C778C" w:rsidRDefault="009C778C" w:rsidP="009C778C">
            <w:pPr>
              <w:rPr>
                <w:rFonts w:cstheme="minorHAnsi"/>
                <w:sz w:val="24"/>
                <w:szCs w:val="24"/>
              </w:rPr>
            </w:pPr>
          </w:p>
        </w:tc>
        <w:tc>
          <w:tcPr>
            <w:tcW w:w="388" w:type="pct"/>
            <w:hideMark/>
          </w:tcPr>
          <w:p w14:paraId="1E672B8A" w14:textId="77777777" w:rsidR="009C778C" w:rsidRPr="009C778C" w:rsidRDefault="009C778C" w:rsidP="009C778C">
            <w:pPr>
              <w:rPr>
                <w:rFonts w:cstheme="minorHAnsi"/>
                <w:sz w:val="24"/>
                <w:szCs w:val="24"/>
              </w:rPr>
            </w:pPr>
            <w:r w:rsidRPr="009C778C">
              <w:rPr>
                <w:rFonts w:cstheme="minorHAnsi"/>
                <w:sz w:val="24"/>
                <w:szCs w:val="24"/>
              </w:rPr>
              <w:t>− 0.046***</w:t>
            </w:r>
          </w:p>
        </w:tc>
        <w:tc>
          <w:tcPr>
            <w:tcW w:w="388" w:type="pct"/>
            <w:hideMark/>
          </w:tcPr>
          <w:p w14:paraId="76FE015B" w14:textId="77777777" w:rsidR="009C778C" w:rsidRPr="009C778C" w:rsidRDefault="009C778C" w:rsidP="009C778C">
            <w:pPr>
              <w:rPr>
                <w:rFonts w:cstheme="minorHAnsi"/>
                <w:sz w:val="24"/>
                <w:szCs w:val="24"/>
              </w:rPr>
            </w:pPr>
          </w:p>
        </w:tc>
        <w:tc>
          <w:tcPr>
            <w:tcW w:w="388" w:type="pct"/>
            <w:hideMark/>
          </w:tcPr>
          <w:p w14:paraId="0986F10E" w14:textId="77777777" w:rsidR="009C778C" w:rsidRPr="009C778C" w:rsidRDefault="009C778C" w:rsidP="009C778C">
            <w:pPr>
              <w:rPr>
                <w:rFonts w:cstheme="minorHAnsi"/>
                <w:sz w:val="24"/>
                <w:szCs w:val="24"/>
              </w:rPr>
            </w:pPr>
            <w:r w:rsidRPr="009C778C">
              <w:rPr>
                <w:rFonts w:cstheme="minorHAnsi"/>
                <w:sz w:val="24"/>
                <w:szCs w:val="24"/>
              </w:rPr>
              <w:t>− 2.634***</w:t>
            </w:r>
          </w:p>
        </w:tc>
      </w:tr>
      <w:tr w:rsidR="009C778C" w:rsidRPr="009C778C" w14:paraId="1F74FA78" w14:textId="77777777" w:rsidTr="0046257B">
        <w:tc>
          <w:tcPr>
            <w:tcW w:w="879" w:type="pct"/>
            <w:hideMark/>
          </w:tcPr>
          <w:p w14:paraId="0B2C40AE" w14:textId="77777777" w:rsidR="009C778C" w:rsidRPr="009C778C" w:rsidRDefault="009C778C" w:rsidP="009C778C">
            <w:pPr>
              <w:rPr>
                <w:rFonts w:cstheme="minorHAnsi"/>
                <w:b/>
                <w:bCs/>
                <w:sz w:val="24"/>
                <w:szCs w:val="24"/>
              </w:rPr>
            </w:pPr>
          </w:p>
        </w:tc>
        <w:tc>
          <w:tcPr>
            <w:tcW w:w="243" w:type="pct"/>
            <w:hideMark/>
          </w:tcPr>
          <w:p w14:paraId="3BB9FBBF" w14:textId="77777777" w:rsidR="009C778C" w:rsidRPr="009C778C" w:rsidRDefault="009C778C" w:rsidP="009C778C">
            <w:pPr>
              <w:rPr>
                <w:rFonts w:cstheme="minorHAnsi"/>
                <w:sz w:val="24"/>
                <w:szCs w:val="24"/>
              </w:rPr>
            </w:pPr>
          </w:p>
        </w:tc>
        <w:tc>
          <w:tcPr>
            <w:tcW w:w="388" w:type="pct"/>
            <w:hideMark/>
          </w:tcPr>
          <w:p w14:paraId="68FBB27D" w14:textId="77777777" w:rsidR="009C778C" w:rsidRPr="009C778C" w:rsidRDefault="009C778C" w:rsidP="009C778C">
            <w:pPr>
              <w:rPr>
                <w:rFonts w:cstheme="minorHAnsi"/>
                <w:sz w:val="24"/>
                <w:szCs w:val="24"/>
              </w:rPr>
            </w:pPr>
          </w:p>
        </w:tc>
        <w:tc>
          <w:tcPr>
            <w:tcW w:w="388" w:type="pct"/>
            <w:hideMark/>
          </w:tcPr>
          <w:p w14:paraId="1AFB5907" w14:textId="77777777" w:rsidR="009C778C" w:rsidRPr="009C778C" w:rsidRDefault="009C778C" w:rsidP="009C778C">
            <w:pPr>
              <w:rPr>
                <w:rFonts w:cstheme="minorHAnsi"/>
                <w:sz w:val="24"/>
                <w:szCs w:val="24"/>
              </w:rPr>
            </w:pPr>
            <w:r w:rsidRPr="009C778C">
              <w:rPr>
                <w:rFonts w:cstheme="minorHAnsi"/>
                <w:sz w:val="24"/>
                <w:szCs w:val="24"/>
              </w:rPr>
              <w:t>(− 1.20)</w:t>
            </w:r>
          </w:p>
        </w:tc>
        <w:tc>
          <w:tcPr>
            <w:tcW w:w="388" w:type="pct"/>
            <w:hideMark/>
          </w:tcPr>
          <w:p w14:paraId="37931F6F" w14:textId="77777777" w:rsidR="009C778C" w:rsidRPr="009C778C" w:rsidRDefault="009C778C" w:rsidP="009C778C">
            <w:pPr>
              <w:rPr>
                <w:rFonts w:cstheme="minorHAnsi"/>
                <w:sz w:val="24"/>
                <w:szCs w:val="24"/>
              </w:rPr>
            </w:pPr>
          </w:p>
        </w:tc>
        <w:tc>
          <w:tcPr>
            <w:tcW w:w="388" w:type="pct"/>
            <w:hideMark/>
          </w:tcPr>
          <w:p w14:paraId="2229C084" w14:textId="77777777" w:rsidR="009C778C" w:rsidRPr="009C778C" w:rsidRDefault="009C778C" w:rsidP="009C778C">
            <w:pPr>
              <w:rPr>
                <w:rFonts w:cstheme="minorHAnsi"/>
                <w:sz w:val="24"/>
                <w:szCs w:val="24"/>
              </w:rPr>
            </w:pPr>
            <w:r w:rsidRPr="009C778C">
              <w:rPr>
                <w:rFonts w:cstheme="minorHAnsi"/>
                <w:sz w:val="24"/>
                <w:szCs w:val="24"/>
              </w:rPr>
              <w:t>(2.43)</w:t>
            </w:r>
          </w:p>
        </w:tc>
        <w:tc>
          <w:tcPr>
            <w:tcW w:w="388" w:type="pct"/>
            <w:hideMark/>
          </w:tcPr>
          <w:p w14:paraId="36CB3D9A" w14:textId="77777777" w:rsidR="009C778C" w:rsidRPr="009C778C" w:rsidRDefault="009C778C" w:rsidP="009C778C">
            <w:pPr>
              <w:rPr>
                <w:rFonts w:cstheme="minorHAnsi"/>
                <w:sz w:val="24"/>
                <w:szCs w:val="24"/>
              </w:rPr>
            </w:pPr>
          </w:p>
        </w:tc>
        <w:tc>
          <w:tcPr>
            <w:tcW w:w="388" w:type="pct"/>
            <w:hideMark/>
          </w:tcPr>
          <w:p w14:paraId="2E0718E2" w14:textId="77777777" w:rsidR="009C778C" w:rsidRPr="009C778C" w:rsidRDefault="009C778C" w:rsidP="009C778C">
            <w:pPr>
              <w:rPr>
                <w:rFonts w:cstheme="minorHAnsi"/>
                <w:sz w:val="24"/>
                <w:szCs w:val="24"/>
              </w:rPr>
            </w:pPr>
            <w:r w:rsidRPr="009C778C">
              <w:rPr>
                <w:rFonts w:cstheme="minorHAnsi"/>
                <w:sz w:val="24"/>
                <w:szCs w:val="24"/>
              </w:rPr>
              <w:t>(− 2.09)</w:t>
            </w:r>
          </w:p>
        </w:tc>
        <w:tc>
          <w:tcPr>
            <w:tcW w:w="388" w:type="pct"/>
            <w:hideMark/>
          </w:tcPr>
          <w:p w14:paraId="61526B12" w14:textId="77777777" w:rsidR="009C778C" w:rsidRPr="009C778C" w:rsidRDefault="009C778C" w:rsidP="009C778C">
            <w:pPr>
              <w:rPr>
                <w:rFonts w:cstheme="minorHAnsi"/>
                <w:sz w:val="24"/>
                <w:szCs w:val="24"/>
              </w:rPr>
            </w:pPr>
          </w:p>
        </w:tc>
        <w:tc>
          <w:tcPr>
            <w:tcW w:w="388" w:type="pct"/>
            <w:hideMark/>
          </w:tcPr>
          <w:p w14:paraId="31E26AA1" w14:textId="77777777" w:rsidR="009C778C" w:rsidRPr="009C778C" w:rsidRDefault="009C778C" w:rsidP="009C778C">
            <w:pPr>
              <w:rPr>
                <w:rFonts w:cstheme="minorHAnsi"/>
                <w:sz w:val="24"/>
                <w:szCs w:val="24"/>
              </w:rPr>
            </w:pPr>
            <w:r w:rsidRPr="009C778C">
              <w:rPr>
                <w:rFonts w:cstheme="minorHAnsi"/>
                <w:sz w:val="24"/>
                <w:szCs w:val="24"/>
              </w:rPr>
              <w:t>(− 3.08)</w:t>
            </w:r>
          </w:p>
        </w:tc>
        <w:tc>
          <w:tcPr>
            <w:tcW w:w="388" w:type="pct"/>
            <w:hideMark/>
          </w:tcPr>
          <w:p w14:paraId="56217B34" w14:textId="77777777" w:rsidR="009C778C" w:rsidRPr="009C778C" w:rsidRDefault="009C778C" w:rsidP="009C778C">
            <w:pPr>
              <w:rPr>
                <w:rFonts w:cstheme="minorHAnsi"/>
                <w:sz w:val="24"/>
                <w:szCs w:val="24"/>
              </w:rPr>
            </w:pPr>
          </w:p>
        </w:tc>
        <w:tc>
          <w:tcPr>
            <w:tcW w:w="388" w:type="pct"/>
            <w:hideMark/>
          </w:tcPr>
          <w:p w14:paraId="5D805620" w14:textId="77777777" w:rsidR="009C778C" w:rsidRPr="009C778C" w:rsidRDefault="009C778C" w:rsidP="009C778C">
            <w:pPr>
              <w:rPr>
                <w:rFonts w:cstheme="minorHAnsi"/>
                <w:sz w:val="24"/>
                <w:szCs w:val="24"/>
              </w:rPr>
            </w:pPr>
            <w:r w:rsidRPr="009C778C">
              <w:rPr>
                <w:rFonts w:cstheme="minorHAnsi"/>
                <w:sz w:val="24"/>
                <w:szCs w:val="24"/>
              </w:rPr>
              <w:t>(− 3.19)</w:t>
            </w:r>
          </w:p>
        </w:tc>
      </w:tr>
      <w:tr w:rsidR="0046257B" w:rsidRPr="009C778C" w14:paraId="0C733D87" w14:textId="77777777" w:rsidTr="0046257B">
        <w:tc>
          <w:tcPr>
            <w:tcW w:w="879" w:type="pct"/>
            <w:hideMark/>
          </w:tcPr>
          <w:p w14:paraId="65B99633" w14:textId="77777777" w:rsidR="0046257B" w:rsidRPr="009C778C" w:rsidRDefault="0046257B" w:rsidP="009C778C">
            <w:pPr>
              <w:rPr>
                <w:rFonts w:cstheme="minorHAnsi"/>
                <w:b/>
                <w:bCs/>
                <w:sz w:val="24"/>
                <w:szCs w:val="24"/>
              </w:rPr>
            </w:pPr>
            <w:r w:rsidRPr="009C778C">
              <w:rPr>
                <w:rFonts w:cstheme="minorHAnsi"/>
                <w:b/>
                <w:bCs/>
                <w:sz w:val="24"/>
                <w:szCs w:val="24"/>
              </w:rPr>
              <w:t>SIZE</w:t>
            </w:r>
            <w:r w:rsidRPr="009C778C">
              <w:rPr>
                <w:rFonts w:cstheme="minorHAnsi"/>
                <w:b/>
                <w:bCs/>
                <w:sz w:val="24"/>
                <w:szCs w:val="24"/>
                <w:vertAlign w:val="subscript"/>
              </w:rPr>
              <w:t>t − 1</w:t>
            </w:r>
          </w:p>
        </w:tc>
        <w:tc>
          <w:tcPr>
            <w:tcW w:w="243" w:type="pct"/>
            <w:hideMark/>
          </w:tcPr>
          <w:p w14:paraId="1BC3FCBE" w14:textId="77777777" w:rsidR="0046257B" w:rsidRPr="009C778C" w:rsidRDefault="0046257B" w:rsidP="009C778C">
            <w:pPr>
              <w:rPr>
                <w:rFonts w:cstheme="minorHAnsi"/>
                <w:b/>
                <w:bCs/>
                <w:sz w:val="24"/>
                <w:szCs w:val="24"/>
              </w:rPr>
            </w:pPr>
          </w:p>
        </w:tc>
        <w:tc>
          <w:tcPr>
            <w:tcW w:w="388" w:type="pct"/>
            <w:hideMark/>
          </w:tcPr>
          <w:p w14:paraId="48C3D32C" w14:textId="77777777" w:rsidR="0046257B" w:rsidRPr="009C778C" w:rsidRDefault="0046257B" w:rsidP="009C778C">
            <w:pPr>
              <w:rPr>
                <w:rFonts w:cstheme="minorHAnsi"/>
                <w:sz w:val="24"/>
                <w:szCs w:val="24"/>
              </w:rPr>
            </w:pPr>
            <w:r w:rsidRPr="009C778C">
              <w:rPr>
                <w:rFonts w:cstheme="minorHAnsi"/>
                <w:sz w:val="24"/>
                <w:szCs w:val="24"/>
              </w:rPr>
              <w:t>− 0.002**</w:t>
            </w:r>
          </w:p>
        </w:tc>
        <w:tc>
          <w:tcPr>
            <w:tcW w:w="388" w:type="pct"/>
            <w:hideMark/>
          </w:tcPr>
          <w:p w14:paraId="1B892A22" w14:textId="77777777" w:rsidR="0046257B" w:rsidRPr="009C778C" w:rsidRDefault="0046257B" w:rsidP="009C778C">
            <w:pPr>
              <w:rPr>
                <w:rFonts w:cstheme="minorHAnsi"/>
                <w:sz w:val="24"/>
                <w:szCs w:val="24"/>
              </w:rPr>
            </w:pPr>
            <w:r w:rsidRPr="009C778C">
              <w:rPr>
                <w:rFonts w:cstheme="minorHAnsi"/>
                <w:sz w:val="24"/>
                <w:szCs w:val="24"/>
              </w:rPr>
              <w:t>− 0.002**</w:t>
            </w:r>
          </w:p>
        </w:tc>
        <w:tc>
          <w:tcPr>
            <w:tcW w:w="388" w:type="pct"/>
            <w:hideMark/>
          </w:tcPr>
          <w:p w14:paraId="78222A72" w14:textId="77777777" w:rsidR="0046257B" w:rsidRPr="009C778C" w:rsidRDefault="0046257B" w:rsidP="009C778C">
            <w:pPr>
              <w:rPr>
                <w:rFonts w:cstheme="minorHAnsi"/>
                <w:sz w:val="24"/>
                <w:szCs w:val="24"/>
              </w:rPr>
            </w:pPr>
            <w:r w:rsidRPr="009C778C">
              <w:rPr>
                <w:rFonts w:cstheme="minorHAnsi"/>
                <w:sz w:val="24"/>
                <w:szCs w:val="24"/>
              </w:rPr>
              <w:t>− 0.006***</w:t>
            </w:r>
          </w:p>
        </w:tc>
        <w:tc>
          <w:tcPr>
            <w:tcW w:w="388" w:type="pct"/>
            <w:hideMark/>
          </w:tcPr>
          <w:p w14:paraId="51C35E49" w14:textId="77777777" w:rsidR="0046257B" w:rsidRPr="009C778C" w:rsidRDefault="0046257B" w:rsidP="009C778C">
            <w:pPr>
              <w:rPr>
                <w:rFonts w:cstheme="minorHAnsi"/>
                <w:sz w:val="24"/>
                <w:szCs w:val="24"/>
              </w:rPr>
            </w:pPr>
            <w:r w:rsidRPr="009C778C">
              <w:rPr>
                <w:rFonts w:cstheme="minorHAnsi"/>
                <w:sz w:val="24"/>
                <w:szCs w:val="24"/>
              </w:rPr>
              <w:t>− 0.007***</w:t>
            </w:r>
          </w:p>
        </w:tc>
        <w:tc>
          <w:tcPr>
            <w:tcW w:w="388" w:type="pct"/>
            <w:hideMark/>
          </w:tcPr>
          <w:p w14:paraId="4F04EE8F" w14:textId="77777777" w:rsidR="0046257B" w:rsidRPr="009C778C" w:rsidRDefault="0046257B" w:rsidP="009C778C">
            <w:pPr>
              <w:rPr>
                <w:rFonts w:cstheme="minorHAnsi"/>
                <w:sz w:val="24"/>
                <w:szCs w:val="24"/>
              </w:rPr>
            </w:pPr>
            <w:r w:rsidRPr="009C778C">
              <w:rPr>
                <w:rFonts w:cstheme="minorHAnsi"/>
                <w:sz w:val="24"/>
                <w:szCs w:val="24"/>
              </w:rPr>
              <w:t>− 0.030***</w:t>
            </w:r>
          </w:p>
        </w:tc>
        <w:tc>
          <w:tcPr>
            <w:tcW w:w="388" w:type="pct"/>
            <w:hideMark/>
          </w:tcPr>
          <w:p w14:paraId="0B40CE33" w14:textId="77777777" w:rsidR="0046257B" w:rsidRPr="009C778C" w:rsidRDefault="0046257B" w:rsidP="009C778C">
            <w:pPr>
              <w:rPr>
                <w:rFonts w:cstheme="minorHAnsi"/>
                <w:sz w:val="24"/>
                <w:szCs w:val="24"/>
              </w:rPr>
            </w:pPr>
            <w:r w:rsidRPr="009C778C">
              <w:rPr>
                <w:rFonts w:cstheme="minorHAnsi"/>
                <w:sz w:val="24"/>
                <w:szCs w:val="24"/>
              </w:rPr>
              <w:t>− 0.032***</w:t>
            </w:r>
          </w:p>
        </w:tc>
        <w:tc>
          <w:tcPr>
            <w:tcW w:w="388" w:type="pct"/>
            <w:hideMark/>
          </w:tcPr>
          <w:p w14:paraId="503343BB" w14:textId="77777777" w:rsidR="0046257B" w:rsidRPr="009C778C" w:rsidRDefault="0046257B" w:rsidP="009C778C">
            <w:pPr>
              <w:rPr>
                <w:rFonts w:cstheme="minorHAnsi"/>
                <w:sz w:val="24"/>
                <w:szCs w:val="24"/>
              </w:rPr>
            </w:pPr>
            <w:r w:rsidRPr="009C778C">
              <w:rPr>
                <w:rFonts w:cstheme="minorHAnsi"/>
                <w:sz w:val="24"/>
                <w:szCs w:val="24"/>
              </w:rPr>
              <w:t>− 0.007***</w:t>
            </w:r>
          </w:p>
        </w:tc>
        <w:tc>
          <w:tcPr>
            <w:tcW w:w="388" w:type="pct"/>
            <w:hideMark/>
          </w:tcPr>
          <w:p w14:paraId="59BA4888" w14:textId="77777777" w:rsidR="0046257B" w:rsidRPr="009C778C" w:rsidRDefault="0046257B" w:rsidP="009C778C">
            <w:pPr>
              <w:rPr>
                <w:rFonts w:cstheme="minorHAnsi"/>
                <w:sz w:val="24"/>
                <w:szCs w:val="24"/>
              </w:rPr>
            </w:pPr>
            <w:r w:rsidRPr="009C778C">
              <w:rPr>
                <w:rFonts w:cstheme="minorHAnsi"/>
                <w:sz w:val="24"/>
                <w:szCs w:val="24"/>
              </w:rPr>
              <w:t>− 0.007***</w:t>
            </w:r>
          </w:p>
        </w:tc>
        <w:tc>
          <w:tcPr>
            <w:tcW w:w="388" w:type="pct"/>
            <w:hideMark/>
          </w:tcPr>
          <w:p w14:paraId="5A7D5CF3" w14:textId="77777777" w:rsidR="0046257B" w:rsidRPr="009C778C" w:rsidRDefault="0046257B" w:rsidP="009C778C">
            <w:pPr>
              <w:rPr>
                <w:rFonts w:cstheme="minorHAnsi"/>
                <w:sz w:val="24"/>
                <w:szCs w:val="24"/>
              </w:rPr>
            </w:pPr>
            <w:r w:rsidRPr="009C778C">
              <w:rPr>
                <w:rFonts w:cstheme="minorHAnsi"/>
                <w:sz w:val="24"/>
                <w:szCs w:val="24"/>
              </w:rPr>
              <w:t>0.123***</w:t>
            </w:r>
          </w:p>
        </w:tc>
        <w:tc>
          <w:tcPr>
            <w:tcW w:w="388" w:type="pct"/>
            <w:hideMark/>
          </w:tcPr>
          <w:p w14:paraId="1663C46D" w14:textId="77777777" w:rsidR="0046257B" w:rsidRPr="009C778C" w:rsidRDefault="0046257B" w:rsidP="009C778C">
            <w:pPr>
              <w:rPr>
                <w:rFonts w:cstheme="minorHAnsi"/>
                <w:sz w:val="24"/>
                <w:szCs w:val="24"/>
              </w:rPr>
            </w:pPr>
            <w:r w:rsidRPr="009C778C">
              <w:rPr>
                <w:rFonts w:cstheme="minorHAnsi"/>
                <w:sz w:val="24"/>
                <w:szCs w:val="24"/>
              </w:rPr>
              <w:t>0.117***</w:t>
            </w:r>
          </w:p>
        </w:tc>
      </w:tr>
      <w:tr w:rsidR="0046257B" w:rsidRPr="009C778C" w14:paraId="31072050" w14:textId="77777777" w:rsidTr="0046257B">
        <w:tc>
          <w:tcPr>
            <w:tcW w:w="879" w:type="pct"/>
            <w:hideMark/>
          </w:tcPr>
          <w:p w14:paraId="3C0C12CC" w14:textId="77777777" w:rsidR="0046257B" w:rsidRPr="009C778C" w:rsidRDefault="0046257B" w:rsidP="009C778C">
            <w:pPr>
              <w:rPr>
                <w:rFonts w:cstheme="minorHAnsi"/>
                <w:b/>
                <w:bCs/>
                <w:sz w:val="24"/>
                <w:szCs w:val="24"/>
              </w:rPr>
            </w:pPr>
          </w:p>
        </w:tc>
        <w:tc>
          <w:tcPr>
            <w:tcW w:w="243" w:type="pct"/>
            <w:hideMark/>
          </w:tcPr>
          <w:p w14:paraId="363A0323" w14:textId="77777777" w:rsidR="0046257B" w:rsidRPr="009C778C" w:rsidRDefault="0046257B" w:rsidP="009C778C">
            <w:pPr>
              <w:rPr>
                <w:rFonts w:cstheme="minorHAnsi"/>
                <w:b/>
                <w:bCs/>
                <w:sz w:val="24"/>
                <w:szCs w:val="24"/>
              </w:rPr>
            </w:pPr>
          </w:p>
        </w:tc>
        <w:tc>
          <w:tcPr>
            <w:tcW w:w="388" w:type="pct"/>
            <w:hideMark/>
          </w:tcPr>
          <w:p w14:paraId="6A972630" w14:textId="77777777" w:rsidR="0046257B" w:rsidRPr="009C778C" w:rsidRDefault="0046257B" w:rsidP="009C778C">
            <w:pPr>
              <w:rPr>
                <w:rFonts w:cstheme="minorHAnsi"/>
                <w:sz w:val="24"/>
                <w:szCs w:val="24"/>
              </w:rPr>
            </w:pPr>
            <w:r w:rsidRPr="009C778C">
              <w:rPr>
                <w:rFonts w:cstheme="minorHAnsi"/>
                <w:sz w:val="24"/>
                <w:szCs w:val="24"/>
              </w:rPr>
              <w:t>(− 2.17)</w:t>
            </w:r>
          </w:p>
        </w:tc>
        <w:tc>
          <w:tcPr>
            <w:tcW w:w="388" w:type="pct"/>
            <w:hideMark/>
          </w:tcPr>
          <w:p w14:paraId="43A0DC6C" w14:textId="77777777" w:rsidR="0046257B" w:rsidRPr="009C778C" w:rsidRDefault="0046257B" w:rsidP="009C778C">
            <w:pPr>
              <w:rPr>
                <w:rFonts w:cstheme="minorHAnsi"/>
                <w:sz w:val="24"/>
                <w:szCs w:val="24"/>
              </w:rPr>
            </w:pPr>
            <w:r w:rsidRPr="009C778C">
              <w:rPr>
                <w:rFonts w:cstheme="minorHAnsi"/>
                <w:sz w:val="24"/>
                <w:szCs w:val="24"/>
              </w:rPr>
              <w:t>(− 2.33)</w:t>
            </w:r>
          </w:p>
        </w:tc>
        <w:tc>
          <w:tcPr>
            <w:tcW w:w="388" w:type="pct"/>
            <w:hideMark/>
          </w:tcPr>
          <w:p w14:paraId="0D350509" w14:textId="77777777" w:rsidR="0046257B" w:rsidRPr="009C778C" w:rsidRDefault="0046257B" w:rsidP="009C778C">
            <w:pPr>
              <w:rPr>
                <w:rFonts w:cstheme="minorHAnsi"/>
                <w:sz w:val="24"/>
                <w:szCs w:val="24"/>
              </w:rPr>
            </w:pPr>
            <w:r w:rsidRPr="009C778C">
              <w:rPr>
                <w:rFonts w:cstheme="minorHAnsi"/>
                <w:sz w:val="24"/>
                <w:szCs w:val="24"/>
              </w:rPr>
              <w:t>(− 11.54)</w:t>
            </w:r>
          </w:p>
        </w:tc>
        <w:tc>
          <w:tcPr>
            <w:tcW w:w="388" w:type="pct"/>
            <w:hideMark/>
          </w:tcPr>
          <w:p w14:paraId="460EF007" w14:textId="77777777" w:rsidR="0046257B" w:rsidRPr="009C778C" w:rsidRDefault="0046257B" w:rsidP="009C778C">
            <w:pPr>
              <w:rPr>
                <w:rFonts w:cstheme="minorHAnsi"/>
                <w:sz w:val="24"/>
                <w:szCs w:val="24"/>
              </w:rPr>
            </w:pPr>
            <w:r w:rsidRPr="009C778C">
              <w:rPr>
                <w:rFonts w:cstheme="minorHAnsi"/>
                <w:sz w:val="24"/>
                <w:szCs w:val="24"/>
              </w:rPr>
              <w:t>(− 12.38)</w:t>
            </w:r>
          </w:p>
        </w:tc>
        <w:tc>
          <w:tcPr>
            <w:tcW w:w="388" w:type="pct"/>
            <w:hideMark/>
          </w:tcPr>
          <w:p w14:paraId="461B1A81" w14:textId="77777777" w:rsidR="0046257B" w:rsidRPr="009C778C" w:rsidRDefault="0046257B" w:rsidP="009C778C">
            <w:pPr>
              <w:rPr>
                <w:rFonts w:cstheme="minorHAnsi"/>
                <w:sz w:val="24"/>
                <w:szCs w:val="24"/>
              </w:rPr>
            </w:pPr>
            <w:r w:rsidRPr="009C778C">
              <w:rPr>
                <w:rFonts w:cstheme="minorHAnsi"/>
                <w:sz w:val="24"/>
                <w:szCs w:val="24"/>
              </w:rPr>
              <w:t>(− 5.66)</w:t>
            </w:r>
          </w:p>
        </w:tc>
        <w:tc>
          <w:tcPr>
            <w:tcW w:w="388" w:type="pct"/>
            <w:hideMark/>
          </w:tcPr>
          <w:p w14:paraId="18D4982A" w14:textId="77777777" w:rsidR="0046257B" w:rsidRPr="009C778C" w:rsidRDefault="0046257B" w:rsidP="009C778C">
            <w:pPr>
              <w:rPr>
                <w:rFonts w:cstheme="minorHAnsi"/>
                <w:sz w:val="24"/>
                <w:szCs w:val="24"/>
              </w:rPr>
            </w:pPr>
            <w:r w:rsidRPr="009C778C">
              <w:rPr>
                <w:rFonts w:cstheme="minorHAnsi"/>
                <w:sz w:val="24"/>
                <w:szCs w:val="24"/>
              </w:rPr>
              <w:t>(− 5.95)</w:t>
            </w:r>
          </w:p>
        </w:tc>
        <w:tc>
          <w:tcPr>
            <w:tcW w:w="388" w:type="pct"/>
            <w:hideMark/>
          </w:tcPr>
          <w:p w14:paraId="2EDE39CF" w14:textId="77777777" w:rsidR="0046257B" w:rsidRPr="009C778C" w:rsidRDefault="0046257B" w:rsidP="009C778C">
            <w:pPr>
              <w:rPr>
                <w:rFonts w:cstheme="minorHAnsi"/>
                <w:sz w:val="24"/>
                <w:szCs w:val="24"/>
              </w:rPr>
            </w:pPr>
            <w:r w:rsidRPr="009C778C">
              <w:rPr>
                <w:rFonts w:cstheme="minorHAnsi"/>
                <w:sz w:val="24"/>
                <w:szCs w:val="24"/>
              </w:rPr>
              <w:t>(− 8.44)</w:t>
            </w:r>
          </w:p>
        </w:tc>
        <w:tc>
          <w:tcPr>
            <w:tcW w:w="388" w:type="pct"/>
            <w:hideMark/>
          </w:tcPr>
          <w:p w14:paraId="1E5C76AB" w14:textId="77777777" w:rsidR="0046257B" w:rsidRPr="009C778C" w:rsidRDefault="0046257B" w:rsidP="009C778C">
            <w:pPr>
              <w:rPr>
                <w:rFonts w:cstheme="minorHAnsi"/>
                <w:sz w:val="24"/>
                <w:szCs w:val="24"/>
              </w:rPr>
            </w:pPr>
            <w:r w:rsidRPr="009C778C">
              <w:rPr>
                <w:rFonts w:cstheme="minorHAnsi"/>
                <w:sz w:val="24"/>
                <w:szCs w:val="24"/>
              </w:rPr>
              <w:t>(− 8.48)</w:t>
            </w:r>
          </w:p>
        </w:tc>
        <w:tc>
          <w:tcPr>
            <w:tcW w:w="388" w:type="pct"/>
            <w:hideMark/>
          </w:tcPr>
          <w:p w14:paraId="5C414800" w14:textId="77777777" w:rsidR="0046257B" w:rsidRPr="009C778C" w:rsidRDefault="0046257B" w:rsidP="009C778C">
            <w:pPr>
              <w:rPr>
                <w:rFonts w:cstheme="minorHAnsi"/>
                <w:sz w:val="24"/>
                <w:szCs w:val="24"/>
              </w:rPr>
            </w:pPr>
            <w:r w:rsidRPr="009C778C">
              <w:rPr>
                <w:rFonts w:cstheme="minorHAnsi"/>
                <w:sz w:val="24"/>
                <w:szCs w:val="24"/>
              </w:rPr>
              <w:t>(3.92)</w:t>
            </w:r>
          </w:p>
        </w:tc>
        <w:tc>
          <w:tcPr>
            <w:tcW w:w="388" w:type="pct"/>
            <w:hideMark/>
          </w:tcPr>
          <w:p w14:paraId="4F740596" w14:textId="77777777" w:rsidR="0046257B" w:rsidRPr="009C778C" w:rsidRDefault="0046257B" w:rsidP="009C778C">
            <w:pPr>
              <w:rPr>
                <w:rFonts w:cstheme="minorHAnsi"/>
                <w:sz w:val="24"/>
                <w:szCs w:val="24"/>
              </w:rPr>
            </w:pPr>
            <w:r w:rsidRPr="009C778C">
              <w:rPr>
                <w:rFonts w:cstheme="minorHAnsi"/>
                <w:sz w:val="24"/>
                <w:szCs w:val="24"/>
              </w:rPr>
              <w:t>(3.68)</w:t>
            </w:r>
          </w:p>
        </w:tc>
      </w:tr>
      <w:tr w:rsidR="009C778C" w:rsidRPr="009C778C" w14:paraId="136F58DC" w14:textId="77777777" w:rsidTr="0046257B">
        <w:tc>
          <w:tcPr>
            <w:tcW w:w="879" w:type="pct"/>
            <w:hideMark/>
          </w:tcPr>
          <w:p w14:paraId="796F6836" w14:textId="77777777" w:rsidR="009C778C" w:rsidRPr="009C778C" w:rsidRDefault="009C778C" w:rsidP="009C778C">
            <w:pPr>
              <w:rPr>
                <w:rFonts w:cstheme="minorHAnsi"/>
                <w:b/>
                <w:bCs/>
                <w:sz w:val="24"/>
                <w:szCs w:val="24"/>
              </w:rPr>
            </w:pPr>
            <w:r w:rsidRPr="009C778C">
              <w:rPr>
                <w:rFonts w:cstheme="minorHAnsi"/>
                <w:b/>
                <w:bCs/>
                <w:sz w:val="24"/>
                <w:szCs w:val="24"/>
              </w:rPr>
              <w:t>ROA</w:t>
            </w:r>
            <w:r w:rsidRPr="009C778C">
              <w:rPr>
                <w:rFonts w:cstheme="minorHAnsi"/>
                <w:b/>
                <w:bCs/>
                <w:sz w:val="24"/>
                <w:szCs w:val="24"/>
                <w:vertAlign w:val="subscript"/>
              </w:rPr>
              <w:t>t − 1</w:t>
            </w:r>
          </w:p>
        </w:tc>
        <w:tc>
          <w:tcPr>
            <w:tcW w:w="243" w:type="pct"/>
            <w:hideMark/>
          </w:tcPr>
          <w:p w14:paraId="41FDE6F0" w14:textId="77777777" w:rsidR="009C778C" w:rsidRPr="009C778C" w:rsidRDefault="009C778C" w:rsidP="009C778C">
            <w:pPr>
              <w:rPr>
                <w:rFonts w:cstheme="minorHAnsi"/>
                <w:b/>
                <w:bCs/>
                <w:sz w:val="24"/>
                <w:szCs w:val="24"/>
              </w:rPr>
            </w:pPr>
          </w:p>
        </w:tc>
        <w:tc>
          <w:tcPr>
            <w:tcW w:w="388" w:type="pct"/>
            <w:hideMark/>
          </w:tcPr>
          <w:p w14:paraId="449160D3" w14:textId="77777777" w:rsidR="009C778C" w:rsidRPr="009C778C" w:rsidRDefault="009C778C" w:rsidP="009C778C">
            <w:pPr>
              <w:rPr>
                <w:rFonts w:cstheme="minorHAnsi"/>
                <w:sz w:val="24"/>
                <w:szCs w:val="24"/>
              </w:rPr>
            </w:pPr>
            <w:r w:rsidRPr="009C778C">
              <w:rPr>
                <w:rFonts w:cstheme="minorHAnsi"/>
                <w:sz w:val="24"/>
                <w:szCs w:val="24"/>
              </w:rPr>
              <w:t>− 0.061***</w:t>
            </w:r>
          </w:p>
        </w:tc>
        <w:tc>
          <w:tcPr>
            <w:tcW w:w="388" w:type="pct"/>
            <w:hideMark/>
          </w:tcPr>
          <w:p w14:paraId="183C5E1D" w14:textId="77777777" w:rsidR="009C778C" w:rsidRPr="009C778C" w:rsidRDefault="009C778C" w:rsidP="009C778C">
            <w:pPr>
              <w:rPr>
                <w:rFonts w:cstheme="minorHAnsi"/>
                <w:sz w:val="24"/>
                <w:szCs w:val="24"/>
              </w:rPr>
            </w:pPr>
            <w:r w:rsidRPr="009C778C">
              <w:rPr>
                <w:rFonts w:cstheme="minorHAnsi"/>
                <w:sz w:val="24"/>
                <w:szCs w:val="24"/>
              </w:rPr>
              <w:t>− 0.061***</w:t>
            </w:r>
          </w:p>
        </w:tc>
        <w:tc>
          <w:tcPr>
            <w:tcW w:w="388" w:type="pct"/>
            <w:hideMark/>
          </w:tcPr>
          <w:p w14:paraId="5EF341BF" w14:textId="77777777" w:rsidR="009C778C" w:rsidRPr="009C778C" w:rsidRDefault="009C778C" w:rsidP="009C778C">
            <w:pPr>
              <w:rPr>
                <w:rFonts w:cstheme="minorHAnsi"/>
                <w:sz w:val="24"/>
                <w:szCs w:val="24"/>
              </w:rPr>
            </w:pPr>
            <w:r w:rsidRPr="009C778C">
              <w:rPr>
                <w:rFonts w:cstheme="minorHAnsi"/>
                <w:sz w:val="24"/>
                <w:szCs w:val="24"/>
              </w:rPr>
              <w:t>− 0.087***</w:t>
            </w:r>
          </w:p>
        </w:tc>
        <w:tc>
          <w:tcPr>
            <w:tcW w:w="388" w:type="pct"/>
            <w:hideMark/>
          </w:tcPr>
          <w:p w14:paraId="352E139B" w14:textId="77777777" w:rsidR="009C778C" w:rsidRPr="009C778C" w:rsidRDefault="009C778C" w:rsidP="009C778C">
            <w:pPr>
              <w:rPr>
                <w:rFonts w:cstheme="minorHAnsi"/>
                <w:sz w:val="24"/>
                <w:szCs w:val="24"/>
              </w:rPr>
            </w:pPr>
            <w:r w:rsidRPr="009C778C">
              <w:rPr>
                <w:rFonts w:cstheme="minorHAnsi"/>
                <w:sz w:val="24"/>
                <w:szCs w:val="24"/>
              </w:rPr>
              <w:t>− 0.085***</w:t>
            </w:r>
          </w:p>
        </w:tc>
        <w:tc>
          <w:tcPr>
            <w:tcW w:w="388" w:type="pct"/>
            <w:hideMark/>
          </w:tcPr>
          <w:p w14:paraId="43B2E545" w14:textId="77777777" w:rsidR="009C778C" w:rsidRPr="009C778C" w:rsidRDefault="009C778C" w:rsidP="009C778C">
            <w:pPr>
              <w:rPr>
                <w:rFonts w:cstheme="minorHAnsi"/>
                <w:sz w:val="24"/>
                <w:szCs w:val="24"/>
              </w:rPr>
            </w:pPr>
            <w:r w:rsidRPr="009C778C">
              <w:rPr>
                <w:rFonts w:cstheme="minorHAnsi"/>
                <w:sz w:val="24"/>
                <w:szCs w:val="24"/>
              </w:rPr>
              <w:t>− 1.078***</w:t>
            </w:r>
          </w:p>
        </w:tc>
        <w:tc>
          <w:tcPr>
            <w:tcW w:w="388" w:type="pct"/>
            <w:hideMark/>
          </w:tcPr>
          <w:p w14:paraId="4112583D" w14:textId="77777777" w:rsidR="009C778C" w:rsidRPr="009C778C" w:rsidRDefault="009C778C" w:rsidP="009C778C">
            <w:pPr>
              <w:rPr>
                <w:rFonts w:cstheme="minorHAnsi"/>
                <w:sz w:val="24"/>
                <w:szCs w:val="24"/>
              </w:rPr>
            </w:pPr>
            <w:r w:rsidRPr="009C778C">
              <w:rPr>
                <w:rFonts w:cstheme="minorHAnsi"/>
                <w:sz w:val="24"/>
                <w:szCs w:val="24"/>
              </w:rPr>
              <w:t>− 1.073***</w:t>
            </w:r>
          </w:p>
        </w:tc>
        <w:tc>
          <w:tcPr>
            <w:tcW w:w="388" w:type="pct"/>
            <w:hideMark/>
          </w:tcPr>
          <w:p w14:paraId="77D003A2" w14:textId="77777777" w:rsidR="009C778C" w:rsidRPr="009C778C" w:rsidRDefault="009C778C" w:rsidP="009C778C">
            <w:pPr>
              <w:rPr>
                <w:rFonts w:cstheme="minorHAnsi"/>
                <w:sz w:val="24"/>
                <w:szCs w:val="24"/>
              </w:rPr>
            </w:pPr>
            <w:r w:rsidRPr="009C778C">
              <w:rPr>
                <w:rFonts w:cstheme="minorHAnsi"/>
                <w:sz w:val="24"/>
                <w:szCs w:val="24"/>
              </w:rPr>
              <w:t>− 0.007</w:t>
            </w:r>
          </w:p>
        </w:tc>
        <w:tc>
          <w:tcPr>
            <w:tcW w:w="388" w:type="pct"/>
            <w:hideMark/>
          </w:tcPr>
          <w:p w14:paraId="02285823" w14:textId="77777777" w:rsidR="009C778C" w:rsidRPr="009C778C" w:rsidRDefault="009C778C" w:rsidP="009C778C">
            <w:pPr>
              <w:rPr>
                <w:rFonts w:cstheme="minorHAnsi"/>
                <w:sz w:val="24"/>
                <w:szCs w:val="24"/>
              </w:rPr>
            </w:pPr>
            <w:r w:rsidRPr="009C778C">
              <w:rPr>
                <w:rFonts w:cstheme="minorHAnsi"/>
                <w:sz w:val="24"/>
                <w:szCs w:val="24"/>
              </w:rPr>
              <w:t>− 0.007</w:t>
            </w:r>
          </w:p>
        </w:tc>
        <w:tc>
          <w:tcPr>
            <w:tcW w:w="388" w:type="pct"/>
            <w:hideMark/>
          </w:tcPr>
          <w:p w14:paraId="60C9FAF9" w14:textId="77777777" w:rsidR="009C778C" w:rsidRPr="009C778C" w:rsidRDefault="009C778C" w:rsidP="009C778C">
            <w:pPr>
              <w:rPr>
                <w:rFonts w:cstheme="minorHAnsi"/>
                <w:sz w:val="24"/>
                <w:szCs w:val="24"/>
              </w:rPr>
            </w:pPr>
            <w:r w:rsidRPr="009C778C">
              <w:rPr>
                <w:rFonts w:cstheme="minorHAnsi"/>
                <w:sz w:val="24"/>
                <w:szCs w:val="24"/>
              </w:rPr>
              <w:t>− 2.466***</w:t>
            </w:r>
          </w:p>
        </w:tc>
        <w:tc>
          <w:tcPr>
            <w:tcW w:w="388" w:type="pct"/>
            <w:hideMark/>
          </w:tcPr>
          <w:p w14:paraId="3FAE0E82" w14:textId="77777777" w:rsidR="009C778C" w:rsidRPr="009C778C" w:rsidRDefault="009C778C" w:rsidP="009C778C">
            <w:pPr>
              <w:rPr>
                <w:rFonts w:cstheme="minorHAnsi"/>
                <w:sz w:val="24"/>
                <w:szCs w:val="24"/>
              </w:rPr>
            </w:pPr>
            <w:r w:rsidRPr="009C778C">
              <w:rPr>
                <w:rFonts w:cstheme="minorHAnsi"/>
                <w:sz w:val="24"/>
                <w:szCs w:val="24"/>
              </w:rPr>
              <w:t>− 2.436***</w:t>
            </w:r>
          </w:p>
        </w:tc>
      </w:tr>
      <w:tr w:rsidR="009C778C" w:rsidRPr="009C778C" w14:paraId="5D2F9608" w14:textId="77777777" w:rsidTr="0046257B">
        <w:tc>
          <w:tcPr>
            <w:tcW w:w="879" w:type="pct"/>
            <w:hideMark/>
          </w:tcPr>
          <w:p w14:paraId="31B0BC46" w14:textId="77777777" w:rsidR="009C778C" w:rsidRPr="009C778C" w:rsidRDefault="009C778C" w:rsidP="009C778C">
            <w:pPr>
              <w:rPr>
                <w:rFonts w:cstheme="minorHAnsi"/>
                <w:b/>
                <w:bCs/>
                <w:sz w:val="24"/>
                <w:szCs w:val="24"/>
              </w:rPr>
            </w:pPr>
          </w:p>
        </w:tc>
        <w:tc>
          <w:tcPr>
            <w:tcW w:w="243" w:type="pct"/>
            <w:hideMark/>
          </w:tcPr>
          <w:p w14:paraId="6433A6CA" w14:textId="77777777" w:rsidR="009C778C" w:rsidRPr="009C778C" w:rsidRDefault="009C778C" w:rsidP="009C778C">
            <w:pPr>
              <w:rPr>
                <w:rFonts w:cstheme="minorHAnsi"/>
                <w:b/>
                <w:bCs/>
                <w:sz w:val="24"/>
                <w:szCs w:val="24"/>
              </w:rPr>
            </w:pPr>
          </w:p>
        </w:tc>
        <w:tc>
          <w:tcPr>
            <w:tcW w:w="388" w:type="pct"/>
            <w:hideMark/>
          </w:tcPr>
          <w:p w14:paraId="2C9279A9" w14:textId="77777777" w:rsidR="009C778C" w:rsidRPr="009C778C" w:rsidRDefault="009C778C" w:rsidP="009C778C">
            <w:pPr>
              <w:rPr>
                <w:rFonts w:cstheme="minorHAnsi"/>
                <w:sz w:val="24"/>
                <w:szCs w:val="24"/>
              </w:rPr>
            </w:pPr>
            <w:r w:rsidRPr="009C778C">
              <w:rPr>
                <w:rFonts w:cstheme="minorHAnsi"/>
                <w:sz w:val="24"/>
                <w:szCs w:val="24"/>
              </w:rPr>
              <w:t>(− 5.38)</w:t>
            </w:r>
          </w:p>
        </w:tc>
        <w:tc>
          <w:tcPr>
            <w:tcW w:w="388" w:type="pct"/>
            <w:hideMark/>
          </w:tcPr>
          <w:p w14:paraId="0A521FEA" w14:textId="77777777" w:rsidR="009C778C" w:rsidRPr="009C778C" w:rsidRDefault="009C778C" w:rsidP="009C778C">
            <w:pPr>
              <w:rPr>
                <w:rFonts w:cstheme="minorHAnsi"/>
                <w:sz w:val="24"/>
                <w:szCs w:val="24"/>
              </w:rPr>
            </w:pPr>
            <w:r w:rsidRPr="009C778C">
              <w:rPr>
                <w:rFonts w:cstheme="minorHAnsi"/>
                <w:sz w:val="24"/>
                <w:szCs w:val="24"/>
              </w:rPr>
              <w:t>(− 5.32)</w:t>
            </w:r>
          </w:p>
        </w:tc>
        <w:tc>
          <w:tcPr>
            <w:tcW w:w="388" w:type="pct"/>
            <w:hideMark/>
          </w:tcPr>
          <w:p w14:paraId="0B9F0D7B" w14:textId="77777777" w:rsidR="009C778C" w:rsidRPr="009C778C" w:rsidRDefault="009C778C" w:rsidP="009C778C">
            <w:pPr>
              <w:rPr>
                <w:rFonts w:cstheme="minorHAnsi"/>
                <w:sz w:val="24"/>
                <w:szCs w:val="24"/>
              </w:rPr>
            </w:pPr>
            <w:r w:rsidRPr="009C778C">
              <w:rPr>
                <w:rFonts w:cstheme="minorHAnsi"/>
                <w:sz w:val="24"/>
                <w:szCs w:val="24"/>
              </w:rPr>
              <w:t>(− 11.31)</w:t>
            </w:r>
          </w:p>
        </w:tc>
        <w:tc>
          <w:tcPr>
            <w:tcW w:w="388" w:type="pct"/>
            <w:hideMark/>
          </w:tcPr>
          <w:p w14:paraId="6FD4E75F" w14:textId="77777777" w:rsidR="009C778C" w:rsidRPr="009C778C" w:rsidRDefault="009C778C" w:rsidP="009C778C">
            <w:pPr>
              <w:rPr>
                <w:rFonts w:cstheme="minorHAnsi"/>
                <w:sz w:val="24"/>
                <w:szCs w:val="24"/>
              </w:rPr>
            </w:pPr>
            <w:r w:rsidRPr="009C778C">
              <w:rPr>
                <w:rFonts w:cstheme="minorHAnsi"/>
                <w:sz w:val="24"/>
                <w:szCs w:val="24"/>
              </w:rPr>
              <w:t>(− 11.13)</w:t>
            </w:r>
          </w:p>
        </w:tc>
        <w:tc>
          <w:tcPr>
            <w:tcW w:w="388" w:type="pct"/>
            <w:hideMark/>
          </w:tcPr>
          <w:p w14:paraId="55BD107C" w14:textId="77777777" w:rsidR="009C778C" w:rsidRPr="009C778C" w:rsidRDefault="009C778C" w:rsidP="009C778C">
            <w:pPr>
              <w:rPr>
                <w:rFonts w:cstheme="minorHAnsi"/>
                <w:sz w:val="24"/>
                <w:szCs w:val="24"/>
              </w:rPr>
            </w:pPr>
            <w:r w:rsidRPr="009C778C">
              <w:rPr>
                <w:rFonts w:cstheme="minorHAnsi"/>
                <w:sz w:val="24"/>
                <w:szCs w:val="24"/>
              </w:rPr>
              <w:t>(− 15.64)</w:t>
            </w:r>
          </w:p>
        </w:tc>
        <w:tc>
          <w:tcPr>
            <w:tcW w:w="388" w:type="pct"/>
            <w:hideMark/>
          </w:tcPr>
          <w:p w14:paraId="512E5151" w14:textId="77777777" w:rsidR="009C778C" w:rsidRPr="009C778C" w:rsidRDefault="009C778C" w:rsidP="009C778C">
            <w:pPr>
              <w:rPr>
                <w:rFonts w:cstheme="minorHAnsi"/>
                <w:sz w:val="24"/>
                <w:szCs w:val="24"/>
              </w:rPr>
            </w:pPr>
            <w:r w:rsidRPr="009C778C">
              <w:rPr>
                <w:rFonts w:cstheme="minorHAnsi"/>
                <w:sz w:val="24"/>
                <w:szCs w:val="24"/>
              </w:rPr>
              <w:t>(− 15.57)</w:t>
            </w:r>
          </w:p>
        </w:tc>
        <w:tc>
          <w:tcPr>
            <w:tcW w:w="388" w:type="pct"/>
            <w:hideMark/>
          </w:tcPr>
          <w:p w14:paraId="78F27C52" w14:textId="77777777" w:rsidR="009C778C" w:rsidRPr="009C778C" w:rsidRDefault="009C778C" w:rsidP="009C778C">
            <w:pPr>
              <w:rPr>
                <w:rFonts w:cstheme="minorHAnsi"/>
                <w:sz w:val="24"/>
                <w:szCs w:val="24"/>
              </w:rPr>
            </w:pPr>
            <w:r w:rsidRPr="009C778C">
              <w:rPr>
                <w:rFonts w:cstheme="minorHAnsi"/>
                <w:sz w:val="24"/>
                <w:szCs w:val="24"/>
              </w:rPr>
              <w:t>(− 0.75)</w:t>
            </w:r>
          </w:p>
        </w:tc>
        <w:tc>
          <w:tcPr>
            <w:tcW w:w="388" w:type="pct"/>
            <w:hideMark/>
          </w:tcPr>
          <w:p w14:paraId="09984536" w14:textId="77777777" w:rsidR="009C778C" w:rsidRPr="009C778C" w:rsidRDefault="009C778C" w:rsidP="009C778C">
            <w:pPr>
              <w:rPr>
                <w:rFonts w:cstheme="minorHAnsi"/>
                <w:sz w:val="24"/>
                <w:szCs w:val="24"/>
              </w:rPr>
            </w:pPr>
            <w:r w:rsidRPr="009C778C">
              <w:rPr>
                <w:rFonts w:cstheme="minorHAnsi"/>
                <w:sz w:val="24"/>
                <w:szCs w:val="24"/>
              </w:rPr>
              <w:t>(− 0.68)</w:t>
            </w:r>
          </w:p>
        </w:tc>
        <w:tc>
          <w:tcPr>
            <w:tcW w:w="388" w:type="pct"/>
            <w:hideMark/>
          </w:tcPr>
          <w:p w14:paraId="31A3DFFE" w14:textId="77777777" w:rsidR="009C778C" w:rsidRPr="009C778C" w:rsidRDefault="009C778C" w:rsidP="009C778C">
            <w:pPr>
              <w:rPr>
                <w:rFonts w:cstheme="minorHAnsi"/>
                <w:sz w:val="24"/>
                <w:szCs w:val="24"/>
              </w:rPr>
            </w:pPr>
            <w:r w:rsidRPr="009C778C">
              <w:rPr>
                <w:rFonts w:cstheme="minorHAnsi"/>
                <w:sz w:val="24"/>
                <w:szCs w:val="24"/>
              </w:rPr>
              <w:t>(− 14.85)</w:t>
            </w:r>
          </w:p>
        </w:tc>
        <w:tc>
          <w:tcPr>
            <w:tcW w:w="388" w:type="pct"/>
            <w:hideMark/>
          </w:tcPr>
          <w:p w14:paraId="76D4CFAA" w14:textId="77777777" w:rsidR="009C778C" w:rsidRPr="009C778C" w:rsidRDefault="009C778C" w:rsidP="009C778C">
            <w:pPr>
              <w:rPr>
                <w:rFonts w:cstheme="minorHAnsi"/>
                <w:sz w:val="24"/>
                <w:szCs w:val="24"/>
              </w:rPr>
            </w:pPr>
            <w:r w:rsidRPr="009C778C">
              <w:rPr>
                <w:rFonts w:cstheme="minorHAnsi"/>
                <w:sz w:val="24"/>
                <w:szCs w:val="24"/>
              </w:rPr>
              <w:t>(− 14.65)</w:t>
            </w:r>
          </w:p>
        </w:tc>
      </w:tr>
      <w:tr w:rsidR="009C778C" w:rsidRPr="009C778C" w14:paraId="7727AB5E" w14:textId="77777777" w:rsidTr="0046257B">
        <w:tc>
          <w:tcPr>
            <w:tcW w:w="879" w:type="pct"/>
            <w:hideMark/>
          </w:tcPr>
          <w:p w14:paraId="059B92B1" w14:textId="77777777" w:rsidR="009C778C" w:rsidRPr="009C778C" w:rsidRDefault="009C778C" w:rsidP="009C778C">
            <w:pPr>
              <w:rPr>
                <w:rFonts w:cstheme="minorHAnsi"/>
                <w:b/>
                <w:bCs/>
                <w:sz w:val="24"/>
                <w:szCs w:val="24"/>
              </w:rPr>
            </w:pPr>
            <w:r w:rsidRPr="009C778C">
              <w:rPr>
                <w:rFonts w:cstheme="minorHAnsi"/>
                <w:b/>
                <w:bCs/>
                <w:sz w:val="24"/>
                <w:szCs w:val="24"/>
              </w:rPr>
              <w:t>MTB</w:t>
            </w:r>
            <w:r w:rsidRPr="009C778C">
              <w:rPr>
                <w:rFonts w:cstheme="minorHAnsi"/>
                <w:b/>
                <w:bCs/>
                <w:sz w:val="24"/>
                <w:szCs w:val="24"/>
                <w:vertAlign w:val="subscript"/>
              </w:rPr>
              <w:t>t − 1</w:t>
            </w:r>
          </w:p>
        </w:tc>
        <w:tc>
          <w:tcPr>
            <w:tcW w:w="243" w:type="pct"/>
            <w:hideMark/>
          </w:tcPr>
          <w:p w14:paraId="3C57455A" w14:textId="77777777" w:rsidR="009C778C" w:rsidRPr="009C778C" w:rsidRDefault="009C778C" w:rsidP="009C778C">
            <w:pPr>
              <w:rPr>
                <w:rFonts w:cstheme="minorHAnsi"/>
                <w:b/>
                <w:bCs/>
                <w:sz w:val="24"/>
                <w:szCs w:val="24"/>
              </w:rPr>
            </w:pPr>
          </w:p>
        </w:tc>
        <w:tc>
          <w:tcPr>
            <w:tcW w:w="388" w:type="pct"/>
            <w:hideMark/>
          </w:tcPr>
          <w:p w14:paraId="7B0C583F" w14:textId="77777777" w:rsidR="009C778C" w:rsidRPr="009C778C" w:rsidRDefault="009C778C" w:rsidP="009C778C">
            <w:pPr>
              <w:rPr>
                <w:rFonts w:cstheme="minorHAnsi"/>
                <w:sz w:val="24"/>
                <w:szCs w:val="24"/>
              </w:rPr>
            </w:pPr>
            <w:r w:rsidRPr="009C778C">
              <w:rPr>
                <w:rFonts w:cstheme="minorHAnsi"/>
                <w:sz w:val="24"/>
                <w:szCs w:val="24"/>
              </w:rPr>
              <w:t>0.006**</w:t>
            </w:r>
          </w:p>
        </w:tc>
        <w:tc>
          <w:tcPr>
            <w:tcW w:w="388" w:type="pct"/>
            <w:hideMark/>
          </w:tcPr>
          <w:p w14:paraId="23A25ED3" w14:textId="77777777" w:rsidR="009C778C" w:rsidRPr="009C778C" w:rsidRDefault="009C778C" w:rsidP="009C778C">
            <w:pPr>
              <w:rPr>
                <w:rFonts w:cstheme="minorHAnsi"/>
                <w:sz w:val="24"/>
                <w:szCs w:val="24"/>
              </w:rPr>
            </w:pPr>
            <w:r w:rsidRPr="009C778C">
              <w:rPr>
                <w:rFonts w:cstheme="minorHAnsi"/>
                <w:sz w:val="24"/>
                <w:szCs w:val="24"/>
              </w:rPr>
              <w:t>0.006**</w:t>
            </w:r>
          </w:p>
        </w:tc>
        <w:tc>
          <w:tcPr>
            <w:tcW w:w="388" w:type="pct"/>
            <w:hideMark/>
          </w:tcPr>
          <w:p w14:paraId="271C9AE6" w14:textId="77777777" w:rsidR="009C778C" w:rsidRPr="009C778C" w:rsidRDefault="009C778C" w:rsidP="009C778C">
            <w:pPr>
              <w:rPr>
                <w:rFonts w:cstheme="minorHAnsi"/>
                <w:sz w:val="24"/>
                <w:szCs w:val="24"/>
              </w:rPr>
            </w:pPr>
            <w:r w:rsidRPr="009C778C">
              <w:rPr>
                <w:rFonts w:cstheme="minorHAnsi"/>
                <w:sz w:val="24"/>
                <w:szCs w:val="24"/>
              </w:rPr>
              <w:t>0.019***</w:t>
            </w:r>
          </w:p>
        </w:tc>
        <w:tc>
          <w:tcPr>
            <w:tcW w:w="388" w:type="pct"/>
            <w:hideMark/>
          </w:tcPr>
          <w:p w14:paraId="0F6F1FA8" w14:textId="77777777" w:rsidR="009C778C" w:rsidRPr="009C778C" w:rsidRDefault="009C778C" w:rsidP="009C778C">
            <w:pPr>
              <w:rPr>
                <w:rFonts w:cstheme="minorHAnsi"/>
                <w:sz w:val="24"/>
                <w:szCs w:val="24"/>
              </w:rPr>
            </w:pPr>
            <w:r w:rsidRPr="009C778C">
              <w:rPr>
                <w:rFonts w:cstheme="minorHAnsi"/>
                <w:sz w:val="24"/>
                <w:szCs w:val="24"/>
              </w:rPr>
              <w:t>0.018***</w:t>
            </w:r>
          </w:p>
        </w:tc>
        <w:tc>
          <w:tcPr>
            <w:tcW w:w="388" w:type="pct"/>
            <w:hideMark/>
          </w:tcPr>
          <w:p w14:paraId="351E290D" w14:textId="77777777" w:rsidR="009C778C" w:rsidRPr="009C778C" w:rsidRDefault="009C778C" w:rsidP="009C778C">
            <w:pPr>
              <w:rPr>
                <w:rFonts w:cstheme="minorHAnsi"/>
                <w:sz w:val="24"/>
                <w:szCs w:val="24"/>
              </w:rPr>
            </w:pPr>
            <w:r w:rsidRPr="009C778C">
              <w:rPr>
                <w:rFonts w:cstheme="minorHAnsi"/>
                <w:sz w:val="24"/>
                <w:szCs w:val="24"/>
              </w:rPr>
              <w:t>− 0.074***</w:t>
            </w:r>
          </w:p>
        </w:tc>
        <w:tc>
          <w:tcPr>
            <w:tcW w:w="388" w:type="pct"/>
            <w:hideMark/>
          </w:tcPr>
          <w:p w14:paraId="6119BA54" w14:textId="77777777" w:rsidR="009C778C" w:rsidRPr="009C778C" w:rsidRDefault="009C778C" w:rsidP="009C778C">
            <w:pPr>
              <w:rPr>
                <w:rFonts w:cstheme="minorHAnsi"/>
                <w:sz w:val="24"/>
                <w:szCs w:val="24"/>
              </w:rPr>
            </w:pPr>
            <w:r w:rsidRPr="009C778C">
              <w:rPr>
                <w:rFonts w:cstheme="minorHAnsi"/>
                <w:sz w:val="24"/>
                <w:szCs w:val="24"/>
              </w:rPr>
              <w:t>− 0.075***</w:t>
            </w:r>
          </w:p>
        </w:tc>
        <w:tc>
          <w:tcPr>
            <w:tcW w:w="388" w:type="pct"/>
            <w:hideMark/>
          </w:tcPr>
          <w:p w14:paraId="330E03DB" w14:textId="77777777" w:rsidR="009C778C" w:rsidRPr="009C778C" w:rsidRDefault="009C778C" w:rsidP="009C778C">
            <w:pPr>
              <w:rPr>
                <w:rFonts w:cstheme="minorHAnsi"/>
                <w:sz w:val="24"/>
                <w:szCs w:val="24"/>
              </w:rPr>
            </w:pPr>
            <w:r w:rsidRPr="009C778C">
              <w:rPr>
                <w:rFonts w:cstheme="minorHAnsi"/>
                <w:sz w:val="24"/>
                <w:szCs w:val="24"/>
              </w:rPr>
              <w:t>− 0.002</w:t>
            </w:r>
          </w:p>
        </w:tc>
        <w:tc>
          <w:tcPr>
            <w:tcW w:w="388" w:type="pct"/>
            <w:hideMark/>
          </w:tcPr>
          <w:p w14:paraId="3BB6AC25" w14:textId="77777777" w:rsidR="009C778C" w:rsidRPr="009C778C" w:rsidRDefault="009C778C" w:rsidP="009C778C">
            <w:pPr>
              <w:rPr>
                <w:rFonts w:cstheme="minorHAnsi"/>
                <w:sz w:val="24"/>
                <w:szCs w:val="24"/>
              </w:rPr>
            </w:pPr>
            <w:r w:rsidRPr="009C778C">
              <w:rPr>
                <w:rFonts w:cstheme="minorHAnsi"/>
                <w:sz w:val="24"/>
                <w:szCs w:val="24"/>
              </w:rPr>
              <w:t>− 0.002</w:t>
            </w:r>
          </w:p>
        </w:tc>
        <w:tc>
          <w:tcPr>
            <w:tcW w:w="388" w:type="pct"/>
            <w:hideMark/>
          </w:tcPr>
          <w:p w14:paraId="69F6DB22" w14:textId="77777777" w:rsidR="009C778C" w:rsidRPr="009C778C" w:rsidRDefault="009C778C" w:rsidP="009C778C">
            <w:pPr>
              <w:rPr>
                <w:rFonts w:cstheme="minorHAnsi"/>
                <w:sz w:val="24"/>
                <w:szCs w:val="24"/>
              </w:rPr>
            </w:pPr>
            <w:r w:rsidRPr="009C778C">
              <w:rPr>
                <w:rFonts w:cstheme="minorHAnsi"/>
                <w:sz w:val="24"/>
                <w:szCs w:val="24"/>
              </w:rPr>
              <w:t>− 0.538***</w:t>
            </w:r>
          </w:p>
        </w:tc>
        <w:tc>
          <w:tcPr>
            <w:tcW w:w="388" w:type="pct"/>
            <w:hideMark/>
          </w:tcPr>
          <w:p w14:paraId="3E41A36F" w14:textId="77777777" w:rsidR="009C778C" w:rsidRPr="009C778C" w:rsidRDefault="009C778C" w:rsidP="009C778C">
            <w:pPr>
              <w:rPr>
                <w:rFonts w:cstheme="minorHAnsi"/>
                <w:sz w:val="24"/>
                <w:szCs w:val="24"/>
              </w:rPr>
            </w:pPr>
            <w:r w:rsidRPr="009C778C">
              <w:rPr>
                <w:rFonts w:cstheme="minorHAnsi"/>
                <w:sz w:val="24"/>
                <w:szCs w:val="24"/>
              </w:rPr>
              <w:t>− 0.539***</w:t>
            </w:r>
          </w:p>
        </w:tc>
      </w:tr>
      <w:tr w:rsidR="009C778C" w:rsidRPr="009C778C" w14:paraId="5E3F439C" w14:textId="77777777" w:rsidTr="0046257B">
        <w:tc>
          <w:tcPr>
            <w:tcW w:w="879" w:type="pct"/>
            <w:hideMark/>
          </w:tcPr>
          <w:p w14:paraId="47E63161" w14:textId="77777777" w:rsidR="009C778C" w:rsidRPr="009C778C" w:rsidRDefault="009C778C" w:rsidP="009C778C">
            <w:pPr>
              <w:rPr>
                <w:rFonts w:cstheme="minorHAnsi"/>
                <w:b/>
                <w:bCs/>
                <w:sz w:val="24"/>
                <w:szCs w:val="24"/>
              </w:rPr>
            </w:pPr>
          </w:p>
        </w:tc>
        <w:tc>
          <w:tcPr>
            <w:tcW w:w="243" w:type="pct"/>
            <w:hideMark/>
          </w:tcPr>
          <w:p w14:paraId="6501365F" w14:textId="77777777" w:rsidR="009C778C" w:rsidRPr="009C778C" w:rsidRDefault="009C778C" w:rsidP="009C778C">
            <w:pPr>
              <w:rPr>
                <w:rFonts w:cstheme="minorHAnsi"/>
                <w:b/>
                <w:bCs/>
                <w:sz w:val="24"/>
                <w:szCs w:val="24"/>
              </w:rPr>
            </w:pPr>
          </w:p>
        </w:tc>
        <w:tc>
          <w:tcPr>
            <w:tcW w:w="388" w:type="pct"/>
            <w:hideMark/>
          </w:tcPr>
          <w:p w14:paraId="7A8FB612" w14:textId="77777777" w:rsidR="009C778C" w:rsidRPr="009C778C" w:rsidRDefault="009C778C" w:rsidP="009C778C">
            <w:pPr>
              <w:rPr>
                <w:rFonts w:cstheme="minorHAnsi"/>
                <w:sz w:val="24"/>
                <w:szCs w:val="24"/>
              </w:rPr>
            </w:pPr>
            <w:r w:rsidRPr="009C778C">
              <w:rPr>
                <w:rFonts w:cstheme="minorHAnsi"/>
                <w:sz w:val="24"/>
                <w:szCs w:val="24"/>
              </w:rPr>
              <w:t>(2.24)</w:t>
            </w:r>
          </w:p>
        </w:tc>
        <w:tc>
          <w:tcPr>
            <w:tcW w:w="388" w:type="pct"/>
            <w:hideMark/>
          </w:tcPr>
          <w:p w14:paraId="7648CF64" w14:textId="77777777" w:rsidR="009C778C" w:rsidRPr="009C778C" w:rsidRDefault="009C778C" w:rsidP="009C778C">
            <w:pPr>
              <w:rPr>
                <w:rFonts w:cstheme="minorHAnsi"/>
                <w:sz w:val="24"/>
                <w:szCs w:val="24"/>
              </w:rPr>
            </w:pPr>
            <w:r w:rsidRPr="009C778C">
              <w:rPr>
                <w:rFonts w:cstheme="minorHAnsi"/>
                <w:sz w:val="24"/>
                <w:szCs w:val="24"/>
              </w:rPr>
              <w:t>(2.17)</w:t>
            </w:r>
          </w:p>
        </w:tc>
        <w:tc>
          <w:tcPr>
            <w:tcW w:w="388" w:type="pct"/>
            <w:hideMark/>
          </w:tcPr>
          <w:p w14:paraId="62491D19" w14:textId="77777777" w:rsidR="009C778C" w:rsidRPr="009C778C" w:rsidRDefault="009C778C" w:rsidP="009C778C">
            <w:pPr>
              <w:rPr>
                <w:rFonts w:cstheme="minorHAnsi"/>
                <w:sz w:val="24"/>
                <w:szCs w:val="24"/>
              </w:rPr>
            </w:pPr>
            <w:r w:rsidRPr="009C778C">
              <w:rPr>
                <w:rFonts w:cstheme="minorHAnsi"/>
                <w:sz w:val="24"/>
                <w:szCs w:val="24"/>
              </w:rPr>
              <w:t>(10.52)</w:t>
            </w:r>
          </w:p>
        </w:tc>
        <w:tc>
          <w:tcPr>
            <w:tcW w:w="388" w:type="pct"/>
            <w:hideMark/>
          </w:tcPr>
          <w:p w14:paraId="29EE25F8" w14:textId="77777777" w:rsidR="009C778C" w:rsidRPr="009C778C" w:rsidRDefault="009C778C" w:rsidP="009C778C">
            <w:pPr>
              <w:rPr>
                <w:rFonts w:cstheme="minorHAnsi"/>
                <w:sz w:val="24"/>
                <w:szCs w:val="24"/>
              </w:rPr>
            </w:pPr>
            <w:r w:rsidRPr="009C778C">
              <w:rPr>
                <w:rFonts w:cstheme="minorHAnsi"/>
                <w:sz w:val="24"/>
                <w:szCs w:val="24"/>
              </w:rPr>
              <w:t>(10.30)</w:t>
            </w:r>
          </w:p>
        </w:tc>
        <w:tc>
          <w:tcPr>
            <w:tcW w:w="388" w:type="pct"/>
            <w:hideMark/>
          </w:tcPr>
          <w:p w14:paraId="3033656D" w14:textId="77777777" w:rsidR="009C778C" w:rsidRPr="009C778C" w:rsidRDefault="009C778C" w:rsidP="009C778C">
            <w:pPr>
              <w:rPr>
                <w:rFonts w:cstheme="minorHAnsi"/>
                <w:sz w:val="24"/>
                <w:szCs w:val="24"/>
              </w:rPr>
            </w:pPr>
            <w:r w:rsidRPr="009C778C">
              <w:rPr>
                <w:rFonts w:cstheme="minorHAnsi"/>
                <w:sz w:val="24"/>
                <w:szCs w:val="24"/>
              </w:rPr>
              <w:t>(− 4.41)</w:t>
            </w:r>
          </w:p>
        </w:tc>
        <w:tc>
          <w:tcPr>
            <w:tcW w:w="388" w:type="pct"/>
            <w:hideMark/>
          </w:tcPr>
          <w:p w14:paraId="3EC6C144" w14:textId="77777777" w:rsidR="009C778C" w:rsidRPr="009C778C" w:rsidRDefault="009C778C" w:rsidP="009C778C">
            <w:pPr>
              <w:rPr>
                <w:rFonts w:cstheme="minorHAnsi"/>
                <w:sz w:val="24"/>
                <w:szCs w:val="24"/>
              </w:rPr>
            </w:pPr>
            <w:r w:rsidRPr="009C778C">
              <w:rPr>
                <w:rFonts w:cstheme="minorHAnsi"/>
                <w:sz w:val="24"/>
                <w:szCs w:val="24"/>
              </w:rPr>
              <w:t>(− 4.48)</w:t>
            </w:r>
          </w:p>
        </w:tc>
        <w:tc>
          <w:tcPr>
            <w:tcW w:w="388" w:type="pct"/>
            <w:hideMark/>
          </w:tcPr>
          <w:p w14:paraId="69F13028" w14:textId="77777777" w:rsidR="009C778C" w:rsidRPr="009C778C" w:rsidRDefault="009C778C" w:rsidP="009C778C">
            <w:pPr>
              <w:rPr>
                <w:rFonts w:cstheme="minorHAnsi"/>
                <w:sz w:val="24"/>
                <w:szCs w:val="24"/>
              </w:rPr>
            </w:pPr>
            <w:r w:rsidRPr="009C778C">
              <w:rPr>
                <w:rFonts w:cstheme="minorHAnsi"/>
                <w:sz w:val="24"/>
                <w:szCs w:val="24"/>
              </w:rPr>
              <w:t>(− 0.64)</w:t>
            </w:r>
          </w:p>
        </w:tc>
        <w:tc>
          <w:tcPr>
            <w:tcW w:w="388" w:type="pct"/>
            <w:hideMark/>
          </w:tcPr>
          <w:p w14:paraId="64D1624B" w14:textId="77777777" w:rsidR="009C778C" w:rsidRPr="009C778C" w:rsidRDefault="009C778C" w:rsidP="009C778C">
            <w:pPr>
              <w:rPr>
                <w:rFonts w:cstheme="minorHAnsi"/>
                <w:sz w:val="24"/>
                <w:szCs w:val="24"/>
              </w:rPr>
            </w:pPr>
            <w:r w:rsidRPr="009C778C">
              <w:rPr>
                <w:rFonts w:cstheme="minorHAnsi"/>
                <w:sz w:val="24"/>
                <w:szCs w:val="24"/>
              </w:rPr>
              <w:t>(− 0.68)</w:t>
            </w:r>
          </w:p>
        </w:tc>
        <w:tc>
          <w:tcPr>
            <w:tcW w:w="388" w:type="pct"/>
            <w:hideMark/>
          </w:tcPr>
          <w:p w14:paraId="4FB4C970" w14:textId="77777777" w:rsidR="009C778C" w:rsidRPr="009C778C" w:rsidRDefault="009C778C" w:rsidP="009C778C">
            <w:pPr>
              <w:rPr>
                <w:rFonts w:cstheme="minorHAnsi"/>
                <w:sz w:val="24"/>
                <w:szCs w:val="24"/>
              </w:rPr>
            </w:pPr>
            <w:r w:rsidRPr="009C778C">
              <w:rPr>
                <w:rFonts w:cstheme="minorHAnsi"/>
                <w:sz w:val="24"/>
                <w:szCs w:val="24"/>
              </w:rPr>
              <w:t>(− 6.90)</w:t>
            </w:r>
          </w:p>
        </w:tc>
        <w:tc>
          <w:tcPr>
            <w:tcW w:w="388" w:type="pct"/>
            <w:hideMark/>
          </w:tcPr>
          <w:p w14:paraId="65A0A0A2" w14:textId="77777777" w:rsidR="009C778C" w:rsidRPr="009C778C" w:rsidRDefault="009C778C" w:rsidP="009C778C">
            <w:pPr>
              <w:rPr>
                <w:rFonts w:cstheme="minorHAnsi"/>
                <w:sz w:val="24"/>
                <w:szCs w:val="24"/>
              </w:rPr>
            </w:pPr>
            <w:r w:rsidRPr="009C778C">
              <w:rPr>
                <w:rFonts w:cstheme="minorHAnsi"/>
                <w:sz w:val="24"/>
                <w:szCs w:val="24"/>
              </w:rPr>
              <w:t>(− 6.92)</w:t>
            </w:r>
          </w:p>
        </w:tc>
      </w:tr>
      <w:tr w:rsidR="009C778C" w:rsidRPr="009C778C" w14:paraId="68CB9A1E" w14:textId="77777777" w:rsidTr="0046257B">
        <w:tc>
          <w:tcPr>
            <w:tcW w:w="879" w:type="pct"/>
            <w:hideMark/>
          </w:tcPr>
          <w:p w14:paraId="3C11B2EE" w14:textId="77777777" w:rsidR="009C778C" w:rsidRPr="009C778C" w:rsidRDefault="009C778C" w:rsidP="009C778C">
            <w:pPr>
              <w:rPr>
                <w:rFonts w:cstheme="minorHAnsi"/>
                <w:b/>
                <w:bCs/>
                <w:sz w:val="24"/>
                <w:szCs w:val="24"/>
              </w:rPr>
            </w:pPr>
            <w:r w:rsidRPr="009C778C">
              <w:rPr>
                <w:rFonts w:cstheme="minorHAnsi"/>
                <w:b/>
                <w:bCs/>
                <w:sz w:val="24"/>
                <w:szCs w:val="24"/>
              </w:rPr>
              <w:t>SALEGROWTH</w:t>
            </w:r>
            <w:r w:rsidRPr="009C778C">
              <w:rPr>
                <w:rFonts w:cstheme="minorHAnsi"/>
                <w:b/>
                <w:bCs/>
                <w:sz w:val="24"/>
                <w:szCs w:val="24"/>
                <w:vertAlign w:val="subscript"/>
              </w:rPr>
              <w:t>t − 1</w:t>
            </w:r>
          </w:p>
        </w:tc>
        <w:tc>
          <w:tcPr>
            <w:tcW w:w="243" w:type="pct"/>
            <w:hideMark/>
          </w:tcPr>
          <w:p w14:paraId="0E0A2696" w14:textId="77777777" w:rsidR="009C778C" w:rsidRPr="009C778C" w:rsidRDefault="009C778C" w:rsidP="009C778C">
            <w:pPr>
              <w:rPr>
                <w:rFonts w:cstheme="minorHAnsi"/>
                <w:b/>
                <w:bCs/>
                <w:sz w:val="24"/>
                <w:szCs w:val="24"/>
              </w:rPr>
            </w:pPr>
          </w:p>
        </w:tc>
        <w:tc>
          <w:tcPr>
            <w:tcW w:w="388" w:type="pct"/>
            <w:hideMark/>
          </w:tcPr>
          <w:p w14:paraId="3676FEF7" w14:textId="77777777" w:rsidR="009C778C" w:rsidRPr="009C778C" w:rsidRDefault="009C778C" w:rsidP="009C778C">
            <w:pPr>
              <w:rPr>
                <w:rFonts w:cstheme="minorHAnsi"/>
                <w:sz w:val="24"/>
                <w:szCs w:val="24"/>
              </w:rPr>
            </w:pPr>
            <w:r w:rsidRPr="009C778C">
              <w:rPr>
                <w:rFonts w:cstheme="minorHAnsi"/>
                <w:sz w:val="24"/>
                <w:szCs w:val="24"/>
              </w:rPr>
              <w:t>0.019***</w:t>
            </w:r>
          </w:p>
        </w:tc>
        <w:tc>
          <w:tcPr>
            <w:tcW w:w="388" w:type="pct"/>
            <w:hideMark/>
          </w:tcPr>
          <w:p w14:paraId="0E202599" w14:textId="77777777" w:rsidR="009C778C" w:rsidRPr="009C778C" w:rsidRDefault="009C778C" w:rsidP="009C778C">
            <w:pPr>
              <w:rPr>
                <w:rFonts w:cstheme="minorHAnsi"/>
                <w:sz w:val="24"/>
                <w:szCs w:val="24"/>
              </w:rPr>
            </w:pPr>
            <w:r w:rsidRPr="009C778C">
              <w:rPr>
                <w:rFonts w:cstheme="minorHAnsi"/>
                <w:sz w:val="24"/>
                <w:szCs w:val="24"/>
              </w:rPr>
              <w:t>0.019***</w:t>
            </w:r>
          </w:p>
        </w:tc>
        <w:tc>
          <w:tcPr>
            <w:tcW w:w="388" w:type="pct"/>
            <w:hideMark/>
          </w:tcPr>
          <w:p w14:paraId="024F0639" w14:textId="77777777" w:rsidR="009C778C" w:rsidRPr="009C778C" w:rsidRDefault="009C778C" w:rsidP="009C778C">
            <w:pPr>
              <w:rPr>
                <w:rFonts w:cstheme="minorHAnsi"/>
                <w:sz w:val="24"/>
                <w:szCs w:val="24"/>
              </w:rPr>
            </w:pPr>
            <w:r w:rsidRPr="009C778C">
              <w:rPr>
                <w:rFonts w:cstheme="minorHAnsi"/>
                <w:sz w:val="24"/>
                <w:szCs w:val="24"/>
              </w:rPr>
              <w:t>0.016***</w:t>
            </w:r>
          </w:p>
        </w:tc>
        <w:tc>
          <w:tcPr>
            <w:tcW w:w="388" w:type="pct"/>
            <w:hideMark/>
          </w:tcPr>
          <w:p w14:paraId="2CAE6F8E" w14:textId="77777777" w:rsidR="009C778C" w:rsidRPr="009C778C" w:rsidRDefault="009C778C" w:rsidP="009C778C">
            <w:pPr>
              <w:rPr>
                <w:rFonts w:cstheme="minorHAnsi"/>
                <w:sz w:val="24"/>
                <w:szCs w:val="24"/>
              </w:rPr>
            </w:pPr>
            <w:r w:rsidRPr="009C778C">
              <w:rPr>
                <w:rFonts w:cstheme="minorHAnsi"/>
                <w:sz w:val="24"/>
                <w:szCs w:val="24"/>
              </w:rPr>
              <w:t>0.016***</w:t>
            </w:r>
          </w:p>
        </w:tc>
        <w:tc>
          <w:tcPr>
            <w:tcW w:w="388" w:type="pct"/>
            <w:hideMark/>
          </w:tcPr>
          <w:p w14:paraId="3AFA72EE" w14:textId="77777777" w:rsidR="009C778C" w:rsidRPr="009C778C" w:rsidRDefault="009C778C" w:rsidP="009C778C">
            <w:pPr>
              <w:rPr>
                <w:rFonts w:cstheme="minorHAnsi"/>
                <w:sz w:val="24"/>
                <w:szCs w:val="24"/>
              </w:rPr>
            </w:pPr>
            <w:r w:rsidRPr="009C778C">
              <w:rPr>
                <w:rFonts w:cstheme="minorHAnsi"/>
                <w:sz w:val="24"/>
                <w:szCs w:val="24"/>
              </w:rPr>
              <w:t>− 0.005</w:t>
            </w:r>
          </w:p>
        </w:tc>
        <w:tc>
          <w:tcPr>
            <w:tcW w:w="388" w:type="pct"/>
            <w:hideMark/>
          </w:tcPr>
          <w:p w14:paraId="3517E4DC" w14:textId="77777777" w:rsidR="009C778C" w:rsidRPr="009C778C" w:rsidRDefault="009C778C" w:rsidP="009C778C">
            <w:pPr>
              <w:rPr>
                <w:rFonts w:cstheme="minorHAnsi"/>
                <w:sz w:val="24"/>
                <w:szCs w:val="24"/>
              </w:rPr>
            </w:pPr>
            <w:r w:rsidRPr="009C778C">
              <w:rPr>
                <w:rFonts w:cstheme="minorHAnsi"/>
                <w:sz w:val="24"/>
                <w:szCs w:val="24"/>
              </w:rPr>
              <w:t>− 0.005</w:t>
            </w:r>
          </w:p>
        </w:tc>
        <w:tc>
          <w:tcPr>
            <w:tcW w:w="388" w:type="pct"/>
            <w:hideMark/>
          </w:tcPr>
          <w:p w14:paraId="70B3A1F0" w14:textId="77777777" w:rsidR="009C778C" w:rsidRPr="009C778C" w:rsidRDefault="009C778C" w:rsidP="009C778C">
            <w:pPr>
              <w:rPr>
                <w:rFonts w:cstheme="minorHAnsi"/>
                <w:sz w:val="24"/>
                <w:szCs w:val="24"/>
              </w:rPr>
            </w:pPr>
            <w:r w:rsidRPr="009C778C">
              <w:rPr>
                <w:rFonts w:cstheme="minorHAnsi"/>
                <w:sz w:val="24"/>
                <w:szCs w:val="24"/>
              </w:rPr>
              <w:t>− 0.003</w:t>
            </w:r>
          </w:p>
        </w:tc>
        <w:tc>
          <w:tcPr>
            <w:tcW w:w="388" w:type="pct"/>
            <w:hideMark/>
          </w:tcPr>
          <w:p w14:paraId="3658621C" w14:textId="77777777" w:rsidR="009C778C" w:rsidRPr="009C778C" w:rsidRDefault="009C778C" w:rsidP="009C778C">
            <w:pPr>
              <w:rPr>
                <w:rFonts w:cstheme="minorHAnsi"/>
                <w:sz w:val="24"/>
                <w:szCs w:val="24"/>
              </w:rPr>
            </w:pPr>
            <w:r w:rsidRPr="009C778C">
              <w:rPr>
                <w:rFonts w:cstheme="minorHAnsi"/>
                <w:sz w:val="24"/>
                <w:szCs w:val="24"/>
              </w:rPr>
              <w:t>− 0.003</w:t>
            </w:r>
          </w:p>
        </w:tc>
        <w:tc>
          <w:tcPr>
            <w:tcW w:w="388" w:type="pct"/>
            <w:hideMark/>
          </w:tcPr>
          <w:p w14:paraId="77B891A1" w14:textId="77777777" w:rsidR="009C778C" w:rsidRPr="009C778C" w:rsidRDefault="009C778C" w:rsidP="009C778C">
            <w:pPr>
              <w:rPr>
                <w:rFonts w:cstheme="minorHAnsi"/>
                <w:sz w:val="24"/>
                <w:szCs w:val="24"/>
              </w:rPr>
            </w:pPr>
            <w:r w:rsidRPr="009C778C">
              <w:rPr>
                <w:rFonts w:cstheme="minorHAnsi"/>
                <w:sz w:val="24"/>
                <w:szCs w:val="24"/>
              </w:rPr>
              <w:t>− 0.199**</w:t>
            </w:r>
          </w:p>
        </w:tc>
        <w:tc>
          <w:tcPr>
            <w:tcW w:w="388" w:type="pct"/>
            <w:hideMark/>
          </w:tcPr>
          <w:p w14:paraId="7EB7B5EF" w14:textId="77777777" w:rsidR="009C778C" w:rsidRPr="009C778C" w:rsidRDefault="009C778C" w:rsidP="009C778C">
            <w:pPr>
              <w:rPr>
                <w:rFonts w:cstheme="minorHAnsi"/>
                <w:sz w:val="24"/>
                <w:szCs w:val="24"/>
              </w:rPr>
            </w:pPr>
            <w:r w:rsidRPr="009C778C">
              <w:rPr>
                <w:rFonts w:cstheme="minorHAnsi"/>
                <w:sz w:val="24"/>
                <w:szCs w:val="24"/>
              </w:rPr>
              <w:t>− 0.197**</w:t>
            </w:r>
          </w:p>
        </w:tc>
      </w:tr>
      <w:tr w:rsidR="009C778C" w:rsidRPr="009C778C" w14:paraId="5EA58929" w14:textId="77777777" w:rsidTr="0046257B">
        <w:tc>
          <w:tcPr>
            <w:tcW w:w="879" w:type="pct"/>
            <w:hideMark/>
          </w:tcPr>
          <w:p w14:paraId="65E45A52" w14:textId="77777777" w:rsidR="009C778C" w:rsidRPr="009C778C" w:rsidRDefault="009C778C" w:rsidP="009C778C">
            <w:pPr>
              <w:rPr>
                <w:rFonts w:cstheme="minorHAnsi"/>
                <w:b/>
                <w:bCs/>
                <w:sz w:val="24"/>
                <w:szCs w:val="24"/>
              </w:rPr>
            </w:pPr>
          </w:p>
        </w:tc>
        <w:tc>
          <w:tcPr>
            <w:tcW w:w="243" w:type="pct"/>
            <w:hideMark/>
          </w:tcPr>
          <w:p w14:paraId="0469EB70" w14:textId="77777777" w:rsidR="009C778C" w:rsidRPr="009C778C" w:rsidRDefault="009C778C" w:rsidP="009C778C">
            <w:pPr>
              <w:rPr>
                <w:rFonts w:cstheme="minorHAnsi"/>
                <w:b/>
                <w:bCs/>
                <w:sz w:val="24"/>
                <w:szCs w:val="24"/>
              </w:rPr>
            </w:pPr>
          </w:p>
        </w:tc>
        <w:tc>
          <w:tcPr>
            <w:tcW w:w="388" w:type="pct"/>
            <w:hideMark/>
          </w:tcPr>
          <w:p w14:paraId="6E79CD86" w14:textId="77777777" w:rsidR="009C778C" w:rsidRPr="009C778C" w:rsidRDefault="009C778C" w:rsidP="009C778C">
            <w:pPr>
              <w:rPr>
                <w:rFonts w:cstheme="minorHAnsi"/>
                <w:sz w:val="24"/>
                <w:szCs w:val="24"/>
              </w:rPr>
            </w:pPr>
            <w:r w:rsidRPr="009C778C">
              <w:rPr>
                <w:rFonts w:cstheme="minorHAnsi"/>
                <w:sz w:val="24"/>
                <w:szCs w:val="24"/>
              </w:rPr>
              <w:t>(4.57)</w:t>
            </w:r>
          </w:p>
        </w:tc>
        <w:tc>
          <w:tcPr>
            <w:tcW w:w="388" w:type="pct"/>
            <w:hideMark/>
          </w:tcPr>
          <w:p w14:paraId="51CE8377" w14:textId="77777777" w:rsidR="009C778C" w:rsidRPr="009C778C" w:rsidRDefault="009C778C" w:rsidP="009C778C">
            <w:pPr>
              <w:rPr>
                <w:rFonts w:cstheme="minorHAnsi"/>
                <w:sz w:val="24"/>
                <w:szCs w:val="24"/>
              </w:rPr>
            </w:pPr>
            <w:r w:rsidRPr="009C778C">
              <w:rPr>
                <w:rFonts w:cstheme="minorHAnsi"/>
                <w:sz w:val="24"/>
                <w:szCs w:val="24"/>
              </w:rPr>
              <w:t>(4.58)</w:t>
            </w:r>
          </w:p>
        </w:tc>
        <w:tc>
          <w:tcPr>
            <w:tcW w:w="388" w:type="pct"/>
            <w:hideMark/>
          </w:tcPr>
          <w:p w14:paraId="7A965ABF" w14:textId="77777777" w:rsidR="009C778C" w:rsidRPr="009C778C" w:rsidRDefault="009C778C" w:rsidP="009C778C">
            <w:pPr>
              <w:rPr>
                <w:rFonts w:cstheme="minorHAnsi"/>
                <w:sz w:val="24"/>
                <w:szCs w:val="24"/>
              </w:rPr>
            </w:pPr>
            <w:r w:rsidRPr="009C778C">
              <w:rPr>
                <w:rFonts w:cstheme="minorHAnsi"/>
                <w:sz w:val="24"/>
                <w:szCs w:val="24"/>
              </w:rPr>
              <w:t>(7.05)</w:t>
            </w:r>
          </w:p>
        </w:tc>
        <w:tc>
          <w:tcPr>
            <w:tcW w:w="388" w:type="pct"/>
            <w:hideMark/>
          </w:tcPr>
          <w:p w14:paraId="75244E84" w14:textId="77777777" w:rsidR="009C778C" w:rsidRPr="009C778C" w:rsidRDefault="009C778C" w:rsidP="009C778C">
            <w:pPr>
              <w:rPr>
                <w:rFonts w:cstheme="minorHAnsi"/>
                <w:sz w:val="24"/>
                <w:szCs w:val="24"/>
              </w:rPr>
            </w:pPr>
            <w:r w:rsidRPr="009C778C">
              <w:rPr>
                <w:rFonts w:cstheme="minorHAnsi"/>
                <w:sz w:val="24"/>
                <w:szCs w:val="24"/>
              </w:rPr>
              <w:t>(7.06)</w:t>
            </w:r>
          </w:p>
        </w:tc>
        <w:tc>
          <w:tcPr>
            <w:tcW w:w="388" w:type="pct"/>
            <w:hideMark/>
          </w:tcPr>
          <w:p w14:paraId="0CE504FC" w14:textId="77777777" w:rsidR="009C778C" w:rsidRPr="009C778C" w:rsidRDefault="009C778C" w:rsidP="009C778C">
            <w:pPr>
              <w:rPr>
                <w:rFonts w:cstheme="minorHAnsi"/>
                <w:sz w:val="24"/>
                <w:szCs w:val="24"/>
              </w:rPr>
            </w:pPr>
            <w:r w:rsidRPr="009C778C">
              <w:rPr>
                <w:rFonts w:cstheme="minorHAnsi"/>
                <w:sz w:val="24"/>
                <w:szCs w:val="24"/>
              </w:rPr>
              <w:t>(− 0.26)</w:t>
            </w:r>
          </w:p>
        </w:tc>
        <w:tc>
          <w:tcPr>
            <w:tcW w:w="388" w:type="pct"/>
            <w:hideMark/>
          </w:tcPr>
          <w:p w14:paraId="48FCE1BB" w14:textId="77777777" w:rsidR="009C778C" w:rsidRPr="009C778C" w:rsidRDefault="009C778C" w:rsidP="009C778C">
            <w:pPr>
              <w:rPr>
                <w:rFonts w:cstheme="minorHAnsi"/>
                <w:sz w:val="24"/>
                <w:szCs w:val="24"/>
              </w:rPr>
            </w:pPr>
            <w:r w:rsidRPr="009C778C">
              <w:rPr>
                <w:rFonts w:cstheme="minorHAnsi"/>
                <w:sz w:val="24"/>
                <w:szCs w:val="24"/>
              </w:rPr>
              <w:t>(− 0.26)</w:t>
            </w:r>
          </w:p>
        </w:tc>
        <w:tc>
          <w:tcPr>
            <w:tcW w:w="388" w:type="pct"/>
            <w:hideMark/>
          </w:tcPr>
          <w:p w14:paraId="286CA6E4" w14:textId="77777777" w:rsidR="009C778C" w:rsidRPr="009C778C" w:rsidRDefault="009C778C" w:rsidP="009C778C">
            <w:pPr>
              <w:rPr>
                <w:rFonts w:cstheme="minorHAnsi"/>
                <w:sz w:val="24"/>
                <w:szCs w:val="24"/>
              </w:rPr>
            </w:pPr>
            <w:r w:rsidRPr="009C778C">
              <w:rPr>
                <w:rFonts w:cstheme="minorHAnsi"/>
                <w:sz w:val="24"/>
                <w:szCs w:val="24"/>
              </w:rPr>
              <w:t>(− 1.16)</w:t>
            </w:r>
          </w:p>
        </w:tc>
        <w:tc>
          <w:tcPr>
            <w:tcW w:w="388" w:type="pct"/>
            <w:hideMark/>
          </w:tcPr>
          <w:p w14:paraId="6B4B3824" w14:textId="77777777" w:rsidR="009C778C" w:rsidRPr="009C778C" w:rsidRDefault="009C778C" w:rsidP="009C778C">
            <w:pPr>
              <w:rPr>
                <w:rFonts w:cstheme="minorHAnsi"/>
                <w:sz w:val="24"/>
                <w:szCs w:val="24"/>
              </w:rPr>
            </w:pPr>
            <w:r w:rsidRPr="009C778C">
              <w:rPr>
                <w:rFonts w:cstheme="minorHAnsi"/>
                <w:sz w:val="24"/>
                <w:szCs w:val="24"/>
              </w:rPr>
              <w:t>(− 1.14)</w:t>
            </w:r>
          </w:p>
        </w:tc>
        <w:tc>
          <w:tcPr>
            <w:tcW w:w="388" w:type="pct"/>
            <w:hideMark/>
          </w:tcPr>
          <w:p w14:paraId="3FB5A993" w14:textId="77777777" w:rsidR="009C778C" w:rsidRPr="009C778C" w:rsidRDefault="009C778C" w:rsidP="009C778C">
            <w:pPr>
              <w:rPr>
                <w:rFonts w:cstheme="minorHAnsi"/>
                <w:sz w:val="24"/>
                <w:szCs w:val="24"/>
              </w:rPr>
            </w:pPr>
            <w:r w:rsidRPr="009C778C">
              <w:rPr>
                <w:rFonts w:cstheme="minorHAnsi"/>
                <w:sz w:val="24"/>
                <w:szCs w:val="24"/>
              </w:rPr>
              <w:t>(− 2.33)</w:t>
            </w:r>
          </w:p>
        </w:tc>
        <w:tc>
          <w:tcPr>
            <w:tcW w:w="388" w:type="pct"/>
            <w:hideMark/>
          </w:tcPr>
          <w:p w14:paraId="373746D7" w14:textId="77777777" w:rsidR="009C778C" w:rsidRPr="009C778C" w:rsidRDefault="009C778C" w:rsidP="009C778C">
            <w:pPr>
              <w:rPr>
                <w:rFonts w:cstheme="minorHAnsi"/>
                <w:sz w:val="24"/>
                <w:szCs w:val="24"/>
              </w:rPr>
            </w:pPr>
            <w:r w:rsidRPr="009C778C">
              <w:rPr>
                <w:rFonts w:cstheme="minorHAnsi"/>
                <w:sz w:val="24"/>
                <w:szCs w:val="24"/>
              </w:rPr>
              <w:t>(− 2.31)</w:t>
            </w:r>
          </w:p>
        </w:tc>
      </w:tr>
      <w:tr w:rsidR="009C778C" w:rsidRPr="009C778C" w14:paraId="1B2C94D0" w14:textId="77777777" w:rsidTr="0046257B">
        <w:tc>
          <w:tcPr>
            <w:tcW w:w="879" w:type="pct"/>
            <w:hideMark/>
          </w:tcPr>
          <w:p w14:paraId="0F8BC8AF" w14:textId="77777777" w:rsidR="009C778C" w:rsidRPr="009C778C" w:rsidRDefault="009C778C" w:rsidP="009C778C">
            <w:pPr>
              <w:rPr>
                <w:rFonts w:cstheme="minorHAnsi"/>
                <w:b/>
                <w:bCs/>
                <w:sz w:val="24"/>
                <w:szCs w:val="24"/>
              </w:rPr>
            </w:pPr>
            <w:r w:rsidRPr="009C778C">
              <w:rPr>
                <w:rFonts w:cstheme="minorHAnsi"/>
                <w:b/>
                <w:bCs/>
                <w:sz w:val="24"/>
                <w:szCs w:val="24"/>
              </w:rPr>
              <w:t>LEV</w:t>
            </w:r>
            <w:r w:rsidRPr="009C778C">
              <w:rPr>
                <w:rFonts w:cstheme="minorHAnsi"/>
                <w:b/>
                <w:bCs/>
                <w:sz w:val="24"/>
                <w:szCs w:val="24"/>
                <w:vertAlign w:val="subscript"/>
              </w:rPr>
              <w:t>t − 1</w:t>
            </w:r>
          </w:p>
        </w:tc>
        <w:tc>
          <w:tcPr>
            <w:tcW w:w="243" w:type="pct"/>
            <w:hideMark/>
          </w:tcPr>
          <w:p w14:paraId="009E8C70" w14:textId="77777777" w:rsidR="009C778C" w:rsidRPr="009C778C" w:rsidRDefault="009C778C" w:rsidP="009C778C">
            <w:pPr>
              <w:rPr>
                <w:rFonts w:cstheme="minorHAnsi"/>
                <w:b/>
                <w:bCs/>
                <w:sz w:val="24"/>
                <w:szCs w:val="24"/>
              </w:rPr>
            </w:pPr>
          </w:p>
        </w:tc>
        <w:tc>
          <w:tcPr>
            <w:tcW w:w="388" w:type="pct"/>
            <w:hideMark/>
          </w:tcPr>
          <w:p w14:paraId="5D7E5444" w14:textId="77777777" w:rsidR="009C778C" w:rsidRPr="009C778C" w:rsidRDefault="009C778C" w:rsidP="009C778C">
            <w:pPr>
              <w:rPr>
                <w:rFonts w:cstheme="minorHAnsi"/>
                <w:sz w:val="24"/>
                <w:szCs w:val="24"/>
              </w:rPr>
            </w:pPr>
            <w:r w:rsidRPr="009C778C">
              <w:rPr>
                <w:rFonts w:cstheme="minorHAnsi"/>
                <w:sz w:val="24"/>
                <w:szCs w:val="24"/>
              </w:rPr>
              <w:t>− 0.008</w:t>
            </w:r>
          </w:p>
        </w:tc>
        <w:tc>
          <w:tcPr>
            <w:tcW w:w="388" w:type="pct"/>
            <w:hideMark/>
          </w:tcPr>
          <w:p w14:paraId="52739BA8" w14:textId="77777777" w:rsidR="009C778C" w:rsidRPr="009C778C" w:rsidRDefault="009C778C" w:rsidP="009C778C">
            <w:pPr>
              <w:rPr>
                <w:rFonts w:cstheme="minorHAnsi"/>
                <w:sz w:val="24"/>
                <w:szCs w:val="24"/>
              </w:rPr>
            </w:pPr>
            <w:r w:rsidRPr="009C778C">
              <w:rPr>
                <w:rFonts w:cstheme="minorHAnsi"/>
                <w:sz w:val="24"/>
                <w:szCs w:val="24"/>
              </w:rPr>
              <w:t>− 0.008</w:t>
            </w:r>
          </w:p>
        </w:tc>
        <w:tc>
          <w:tcPr>
            <w:tcW w:w="388" w:type="pct"/>
            <w:hideMark/>
          </w:tcPr>
          <w:p w14:paraId="38275100" w14:textId="77777777" w:rsidR="009C778C" w:rsidRPr="009C778C" w:rsidRDefault="009C778C" w:rsidP="009C778C">
            <w:pPr>
              <w:rPr>
                <w:rFonts w:cstheme="minorHAnsi"/>
                <w:sz w:val="24"/>
                <w:szCs w:val="24"/>
              </w:rPr>
            </w:pPr>
            <w:r w:rsidRPr="009C778C">
              <w:rPr>
                <w:rFonts w:cstheme="minorHAnsi"/>
                <w:sz w:val="24"/>
                <w:szCs w:val="24"/>
              </w:rPr>
              <w:t>− 0.018***</w:t>
            </w:r>
          </w:p>
        </w:tc>
        <w:tc>
          <w:tcPr>
            <w:tcW w:w="388" w:type="pct"/>
            <w:hideMark/>
          </w:tcPr>
          <w:p w14:paraId="575B4617" w14:textId="77777777" w:rsidR="009C778C" w:rsidRPr="009C778C" w:rsidRDefault="009C778C" w:rsidP="009C778C">
            <w:pPr>
              <w:rPr>
                <w:rFonts w:cstheme="minorHAnsi"/>
                <w:sz w:val="24"/>
                <w:szCs w:val="24"/>
              </w:rPr>
            </w:pPr>
            <w:r w:rsidRPr="009C778C">
              <w:rPr>
                <w:rFonts w:cstheme="minorHAnsi"/>
                <w:sz w:val="24"/>
                <w:szCs w:val="24"/>
              </w:rPr>
              <w:t>− 0.016***</w:t>
            </w:r>
          </w:p>
        </w:tc>
        <w:tc>
          <w:tcPr>
            <w:tcW w:w="388" w:type="pct"/>
            <w:hideMark/>
          </w:tcPr>
          <w:p w14:paraId="639CB912" w14:textId="77777777" w:rsidR="009C778C" w:rsidRPr="009C778C" w:rsidRDefault="009C778C" w:rsidP="009C778C">
            <w:pPr>
              <w:rPr>
                <w:rFonts w:cstheme="minorHAnsi"/>
                <w:sz w:val="24"/>
                <w:szCs w:val="24"/>
              </w:rPr>
            </w:pPr>
            <w:r w:rsidRPr="009C778C">
              <w:rPr>
                <w:rFonts w:cstheme="minorHAnsi"/>
                <w:sz w:val="24"/>
                <w:szCs w:val="24"/>
              </w:rPr>
              <w:t>0.436***</w:t>
            </w:r>
          </w:p>
        </w:tc>
        <w:tc>
          <w:tcPr>
            <w:tcW w:w="388" w:type="pct"/>
            <w:hideMark/>
          </w:tcPr>
          <w:p w14:paraId="0E74C3C7" w14:textId="77777777" w:rsidR="009C778C" w:rsidRPr="009C778C" w:rsidRDefault="009C778C" w:rsidP="009C778C">
            <w:pPr>
              <w:rPr>
                <w:rFonts w:cstheme="minorHAnsi"/>
                <w:sz w:val="24"/>
                <w:szCs w:val="24"/>
              </w:rPr>
            </w:pPr>
            <w:r w:rsidRPr="009C778C">
              <w:rPr>
                <w:rFonts w:cstheme="minorHAnsi"/>
                <w:sz w:val="24"/>
                <w:szCs w:val="24"/>
              </w:rPr>
              <w:t>0.441***</w:t>
            </w:r>
          </w:p>
        </w:tc>
        <w:tc>
          <w:tcPr>
            <w:tcW w:w="388" w:type="pct"/>
            <w:hideMark/>
          </w:tcPr>
          <w:p w14:paraId="308773C6" w14:textId="77777777" w:rsidR="009C778C" w:rsidRPr="009C778C" w:rsidRDefault="009C778C" w:rsidP="009C778C">
            <w:pPr>
              <w:rPr>
                <w:rFonts w:cstheme="minorHAnsi"/>
                <w:sz w:val="24"/>
                <w:szCs w:val="24"/>
              </w:rPr>
            </w:pPr>
            <w:r w:rsidRPr="009C778C">
              <w:rPr>
                <w:rFonts w:cstheme="minorHAnsi"/>
                <w:sz w:val="24"/>
                <w:szCs w:val="24"/>
              </w:rPr>
              <w:t>0.112***</w:t>
            </w:r>
          </w:p>
        </w:tc>
        <w:tc>
          <w:tcPr>
            <w:tcW w:w="388" w:type="pct"/>
            <w:hideMark/>
          </w:tcPr>
          <w:p w14:paraId="57713B89" w14:textId="77777777" w:rsidR="009C778C" w:rsidRPr="009C778C" w:rsidRDefault="009C778C" w:rsidP="009C778C">
            <w:pPr>
              <w:rPr>
                <w:rFonts w:cstheme="minorHAnsi"/>
                <w:sz w:val="24"/>
                <w:szCs w:val="24"/>
              </w:rPr>
            </w:pPr>
            <w:r w:rsidRPr="009C778C">
              <w:rPr>
                <w:rFonts w:cstheme="minorHAnsi"/>
                <w:sz w:val="24"/>
                <w:szCs w:val="24"/>
              </w:rPr>
              <w:t>0.112***</w:t>
            </w:r>
          </w:p>
        </w:tc>
        <w:tc>
          <w:tcPr>
            <w:tcW w:w="388" w:type="pct"/>
            <w:hideMark/>
          </w:tcPr>
          <w:p w14:paraId="2E05D0FC" w14:textId="77777777" w:rsidR="009C778C" w:rsidRPr="009C778C" w:rsidRDefault="009C778C" w:rsidP="009C778C">
            <w:pPr>
              <w:rPr>
                <w:rFonts w:cstheme="minorHAnsi"/>
                <w:sz w:val="24"/>
                <w:szCs w:val="24"/>
              </w:rPr>
            </w:pPr>
            <w:r w:rsidRPr="009C778C">
              <w:rPr>
                <w:rFonts w:cstheme="minorHAnsi"/>
                <w:sz w:val="24"/>
                <w:szCs w:val="24"/>
              </w:rPr>
              <w:t>− 0.144</w:t>
            </w:r>
          </w:p>
        </w:tc>
        <w:tc>
          <w:tcPr>
            <w:tcW w:w="388" w:type="pct"/>
            <w:hideMark/>
          </w:tcPr>
          <w:p w14:paraId="302F21B3" w14:textId="77777777" w:rsidR="009C778C" w:rsidRPr="009C778C" w:rsidRDefault="009C778C" w:rsidP="009C778C">
            <w:pPr>
              <w:rPr>
                <w:rFonts w:cstheme="minorHAnsi"/>
                <w:sz w:val="24"/>
                <w:szCs w:val="24"/>
              </w:rPr>
            </w:pPr>
            <w:r w:rsidRPr="009C778C">
              <w:rPr>
                <w:rFonts w:cstheme="minorHAnsi"/>
                <w:sz w:val="24"/>
                <w:szCs w:val="24"/>
              </w:rPr>
              <w:t>− 0.133</w:t>
            </w:r>
          </w:p>
        </w:tc>
      </w:tr>
      <w:tr w:rsidR="009C778C" w:rsidRPr="009C778C" w14:paraId="33B1496C" w14:textId="77777777" w:rsidTr="0046257B">
        <w:tc>
          <w:tcPr>
            <w:tcW w:w="879" w:type="pct"/>
            <w:hideMark/>
          </w:tcPr>
          <w:p w14:paraId="1855BFAA" w14:textId="77777777" w:rsidR="009C778C" w:rsidRPr="009C778C" w:rsidRDefault="009C778C" w:rsidP="009C778C">
            <w:pPr>
              <w:rPr>
                <w:rFonts w:cstheme="minorHAnsi"/>
                <w:b/>
                <w:bCs/>
                <w:sz w:val="24"/>
                <w:szCs w:val="24"/>
              </w:rPr>
            </w:pPr>
          </w:p>
        </w:tc>
        <w:tc>
          <w:tcPr>
            <w:tcW w:w="243" w:type="pct"/>
            <w:hideMark/>
          </w:tcPr>
          <w:p w14:paraId="2CA696E7" w14:textId="77777777" w:rsidR="009C778C" w:rsidRPr="009C778C" w:rsidRDefault="009C778C" w:rsidP="009C778C">
            <w:pPr>
              <w:rPr>
                <w:rFonts w:cstheme="minorHAnsi"/>
                <w:b/>
                <w:bCs/>
                <w:sz w:val="24"/>
                <w:szCs w:val="24"/>
              </w:rPr>
            </w:pPr>
          </w:p>
        </w:tc>
        <w:tc>
          <w:tcPr>
            <w:tcW w:w="388" w:type="pct"/>
            <w:hideMark/>
          </w:tcPr>
          <w:p w14:paraId="0DF7F3F6" w14:textId="77777777" w:rsidR="009C778C" w:rsidRPr="009C778C" w:rsidRDefault="009C778C" w:rsidP="009C778C">
            <w:pPr>
              <w:rPr>
                <w:rFonts w:cstheme="minorHAnsi"/>
                <w:sz w:val="24"/>
                <w:szCs w:val="24"/>
              </w:rPr>
            </w:pPr>
            <w:r w:rsidRPr="009C778C">
              <w:rPr>
                <w:rFonts w:cstheme="minorHAnsi"/>
                <w:sz w:val="24"/>
                <w:szCs w:val="24"/>
              </w:rPr>
              <w:t>(− 1.09)</w:t>
            </w:r>
          </w:p>
        </w:tc>
        <w:tc>
          <w:tcPr>
            <w:tcW w:w="388" w:type="pct"/>
            <w:hideMark/>
          </w:tcPr>
          <w:p w14:paraId="7C56E840" w14:textId="77777777" w:rsidR="009C778C" w:rsidRPr="009C778C" w:rsidRDefault="009C778C" w:rsidP="009C778C">
            <w:pPr>
              <w:rPr>
                <w:rFonts w:cstheme="minorHAnsi"/>
                <w:sz w:val="24"/>
                <w:szCs w:val="24"/>
              </w:rPr>
            </w:pPr>
            <w:r w:rsidRPr="009C778C">
              <w:rPr>
                <w:rFonts w:cstheme="minorHAnsi"/>
                <w:sz w:val="24"/>
                <w:szCs w:val="24"/>
              </w:rPr>
              <w:t>(− 1.01)</w:t>
            </w:r>
          </w:p>
        </w:tc>
        <w:tc>
          <w:tcPr>
            <w:tcW w:w="388" w:type="pct"/>
            <w:hideMark/>
          </w:tcPr>
          <w:p w14:paraId="2D18CED2" w14:textId="77777777" w:rsidR="009C778C" w:rsidRPr="009C778C" w:rsidRDefault="009C778C" w:rsidP="009C778C">
            <w:pPr>
              <w:rPr>
                <w:rFonts w:cstheme="minorHAnsi"/>
                <w:sz w:val="24"/>
                <w:szCs w:val="24"/>
              </w:rPr>
            </w:pPr>
            <w:r w:rsidRPr="009C778C">
              <w:rPr>
                <w:rFonts w:cstheme="minorHAnsi"/>
                <w:sz w:val="24"/>
                <w:szCs w:val="24"/>
              </w:rPr>
              <w:t>(− 4.12)</w:t>
            </w:r>
          </w:p>
        </w:tc>
        <w:tc>
          <w:tcPr>
            <w:tcW w:w="388" w:type="pct"/>
            <w:hideMark/>
          </w:tcPr>
          <w:p w14:paraId="2BC31399" w14:textId="77777777" w:rsidR="009C778C" w:rsidRPr="009C778C" w:rsidRDefault="009C778C" w:rsidP="009C778C">
            <w:pPr>
              <w:rPr>
                <w:rFonts w:cstheme="minorHAnsi"/>
                <w:sz w:val="24"/>
                <w:szCs w:val="24"/>
              </w:rPr>
            </w:pPr>
            <w:r w:rsidRPr="009C778C">
              <w:rPr>
                <w:rFonts w:cstheme="minorHAnsi"/>
                <w:sz w:val="24"/>
                <w:szCs w:val="24"/>
              </w:rPr>
              <w:t>(− 3.69)</w:t>
            </w:r>
          </w:p>
        </w:tc>
        <w:tc>
          <w:tcPr>
            <w:tcW w:w="388" w:type="pct"/>
            <w:hideMark/>
          </w:tcPr>
          <w:p w14:paraId="75D3AF18" w14:textId="77777777" w:rsidR="009C778C" w:rsidRPr="009C778C" w:rsidRDefault="009C778C" w:rsidP="009C778C">
            <w:pPr>
              <w:rPr>
                <w:rFonts w:cstheme="minorHAnsi"/>
                <w:sz w:val="24"/>
                <w:szCs w:val="24"/>
              </w:rPr>
            </w:pPr>
            <w:r w:rsidRPr="009C778C">
              <w:rPr>
                <w:rFonts w:cstheme="minorHAnsi"/>
                <w:sz w:val="24"/>
                <w:szCs w:val="24"/>
              </w:rPr>
              <w:t>(8.16)</w:t>
            </w:r>
          </w:p>
        </w:tc>
        <w:tc>
          <w:tcPr>
            <w:tcW w:w="388" w:type="pct"/>
            <w:hideMark/>
          </w:tcPr>
          <w:p w14:paraId="54F115BE" w14:textId="77777777" w:rsidR="009C778C" w:rsidRPr="009C778C" w:rsidRDefault="009C778C" w:rsidP="009C778C">
            <w:pPr>
              <w:rPr>
                <w:rFonts w:cstheme="minorHAnsi"/>
                <w:sz w:val="24"/>
                <w:szCs w:val="24"/>
              </w:rPr>
            </w:pPr>
            <w:r w:rsidRPr="009C778C">
              <w:rPr>
                <w:rFonts w:cstheme="minorHAnsi"/>
                <w:sz w:val="24"/>
                <w:szCs w:val="24"/>
              </w:rPr>
              <w:t>(8.24)</w:t>
            </w:r>
          </w:p>
        </w:tc>
        <w:tc>
          <w:tcPr>
            <w:tcW w:w="388" w:type="pct"/>
            <w:hideMark/>
          </w:tcPr>
          <w:p w14:paraId="3FDBF4C3" w14:textId="77777777" w:rsidR="009C778C" w:rsidRPr="009C778C" w:rsidRDefault="009C778C" w:rsidP="009C778C">
            <w:pPr>
              <w:rPr>
                <w:rFonts w:cstheme="minorHAnsi"/>
                <w:sz w:val="24"/>
                <w:szCs w:val="24"/>
              </w:rPr>
            </w:pPr>
            <w:r w:rsidRPr="009C778C">
              <w:rPr>
                <w:rFonts w:cstheme="minorHAnsi"/>
                <w:sz w:val="24"/>
                <w:szCs w:val="24"/>
              </w:rPr>
              <w:t>(15.59)</w:t>
            </w:r>
          </w:p>
        </w:tc>
        <w:tc>
          <w:tcPr>
            <w:tcW w:w="388" w:type="pct"/>
            <w:hideMark/>
          </w:tcPr>
          <w:p w14:paraId="7449B567" w14:textId="77777777" w:rsidR="009C778C" w:rsidRPr="009C778C" w:rsidRDefault="009C778C" w:rsidP="009C778C">
            <w:pPr>
              <w:rPr>
                <w:rFonts w:cstheme="minorHAnsi"/>
                <w:sz w:val="24"/>
                <w:szCs w:val="24"/>
              </w:rPr>
            </w:pPr>
            <w:r w:rsidRPr="009C778C">
              <w:rPr>
                <w:rFonts w:cstheme="minorHAnsi"/>
                <w:sz w:val="24"/>
                <w:szCs w:val="24"/>
              </w:rPr>
              <w:t>(15.58)</w:t>
            </w:r>
          </w:p>
        </w:tc>
        <w:tc>
          <w:tcPr>
            <w:tcW w:w="388" w:type="pct"/>
            <w:hideMark/>
          </w:tcPr>
          <w:p w14:paraId="4AC12515" w14:textId="77777777" w:rsidR="009C778C" w:rsidRPr="009C778C" w:rsidRDefault="009C778C" w:rsidP="009C778C">
            <w:pPr>
              <w:rPr>
                <w:rFonts w:cstheme="minorHAnsi"/>
                <w:sz w:val="24"/>
                <w:szCs w:val="24"/>
              </w:rPr>
            </w:pPr>
            <w:r w:rsidRPr="009C778C">
              <w:rPr>
                <w:rFonts w:cstheme="minorHAnsi"/>
                <w:sz w:val="24"/>
                <w:szCs w:val="24"/>
              </w:rPr>
              <w:t>(− 0.66)</w:t>
            </w:r>
          </w:p>
        </w:tc>
        <w:tc>
          <w:tcPr>
            <w:tcW w:w="388" w:type="pct"/>
            <w:hideMark/>
          </w:tcPr>
          <w:p w14:paraId="6EB8696C" w14:textId="77777777" w:rsidR="009C778C" w:rsidRPr="009C778C" w:rsidRDefault="009C778C" w:rsidP="009C778C">
            <w:pPr>
              <w:rPr>
                <w:rFonts w:cstheme="minorHAnsi"/>
                <w:sz w:val="24"/>
                <w:szCs w:val="24"/>
              </w:rPr>
            </w:pPr>
            <w:r w:rsidRPr="009C778C">
              <w:rPr>
                <w:rFonts w:cstheme="minorHAnsi"/>
                <w:sz w:val="24"/>
                <w:szCs w:val="24"/>
              </w:rPr>
              <w:t>(− 0.61)</w:t>
            </w:r>
          </w:p>
        </w:tc>
      </w:tr>
      <w:tr w:rsidR="009C778C" w:rsidRPr="009C778C" w14:paraId="647748B5" w14:textId="77777777" w:rsidTr="0046257B">
        <w:tc>
          <w:tcPr>
            <w:tcW w:w="879" w:type="pct"/>
            <w:hideMark/>
          </w:tcPr>
          <w:p w14:paraId="335A915F" w14:textId="77777777" w:rsidR="009C778C" w:rsidRPr="009C778C" w:rsidRDefault="009C778C" w:rsidP="009C778C">
            <w:pPr>
              <w:rPr>
                <w:rFonts w:cstheme="minorHAnsi"/>
                <w:b/>
                <w:bCs/>
                <w:sz w:val="24"/>
                <w:szCs w:val="24"/>
              </w:rPr>
            </w:pPr>
            <w:r w:rsidRPr="009C778C">
              <w:rPr>
                <w:rFonts w:cstheme="minorHAnsi"/>
                <w:b/>
                <w:bCs/>
                <w:sz w:val="24"/>
                <w:szCs w:val="24"/>
              </w:rPr>
              <w:t>STDSALE</w:t>
            </w:r>
            <w:r w:rsidRPr="009C778C">
              <w:rPr>
                <w:rFonts w:cstheme="minorHAnsi"/>
                <w:b/>
                <w:bCs/>
                <w:sz w:val="24"/>
                <w:szCs w:val="24"/>
                <w:vertAlign w:val="subscript"/>
              </w:rPr>
              <w:t>t − 1</w:t>
            </w:r>
          </w:p>
        </w:tc>
        <w:tc>
          <w:tcPr>
            <w:tcW w:w="243" w:type="pct"/>
            <w:hideMark/>
          </w:tcPr>
          <w:p w14:paraId="3487BAE3" w14:textId="77777777" w:rsidR="009C778C" w:rsidRPr="009C778C" w:rsidRDefault="009C778C" w:rsidP="009C778C">
            <w:pPr>
              <w:rPr>
                <w:rFonts w:cstheme="minorHAnsi"/>
                <w:b/>
                <w:bCs/>
                <w:sz w:val="24"/>
                <w:szCs w:val="24"/>
              </w:rPr>
            </w:pPr>
          </w:p>
        </w:tc>
        <w:tc>
          <w:tcPr>
            <w:tcW w:w="388" w:type="pct"/>
            <w:hideMark/>
          </w:tcPr>
          <w:p w14:paraId="561953FB" w14:textId="77777777" w:rsidR="009C778C" w:rsidRPr="009C778C" w:rsidRDefault="009C778C" w:rsidP="009C778C">
            <w:pPr>
              <w:rPr>
                <w:rFonts w:cstheme="minorHAnsi"/>
                <w:sz w:val="24"/>
                <w:szCs w:val="24"/>
              </w:rPr>
            </w:pPr>
            <w:r w:rsidRPr="009C778C">
              <w:rPr>
                <w:rFonts w:cstheme="minorHAnsi"/>
                <w:sz w:val="24"/>
                <w:szCs w:val="24"/>
              </w:rPr>
              <w:t>0.150***</w:t>
            </w:r>
          </w:p>
        </w:tc>
        <w:tc>
          <w:tcPr>
            <w:tcW w:w="388" w:type="pct"/>
            <w:hideMark/>
          </w:tcPr>
          <w:p w14:paraId="24B7A2E5" w14:textId="77777777" w:rsidR="009C778C" w:rsidRPr="009C778C" w:rsidRDefault="009C778C" w:rsidP="009C778C">
            <w:pPr>
              <w:rPr>
                <w:rFonts w:cstheme="minorHAnsi"/>
                <w:sz w:val="24"/>
                <w:szCs w:val="24"/>
              </w:rPr>
            </w:pPr>
            <w:r w:rsidRPr="009C778C">
              <w:rPr>
                <w:rFonts w:cstheme="minorHAnsi"/>
                <w:sz w:val="24"/>
                <w:szCs w:val="24"/>
              </w:rPr>
              <w:t>0.149***</w:t>
            </w:r>
          </w:p>
        </w:tc>
        <w:tc>
          <w:tcPr>
            <w:tcW w:w="388" w:type="pct"/>
            <w:hideMark/>
          </w:tcPr>
          <w:p w14:paraId="33F0F572" w14:textId="77777777" w:rsidR="009C778C" w:rsidRPr="009C778C" w:rsidRDefault="009C778C" w:rsidP="009C778C">
            <w:pPr>
              <w:rPr>
                <w:rFonts w:cstheme="minorHAnsi"/>
                <w:sz w:val="24"/>
                <w:szCs w:val="24"/>
              </w:rPr>
            </w:pPr>
            <w:r w:rsidRPr="009C778C">
              <w:rPr>
                <w:rFonts w:cstheme="minorHAnsi"/>
                <w:sz w:val="24"/>
                <w:szCs w:val="24"/>
              </w:rPr>
              <w:t>0.066***</w:t>
            </w:r>
          </w:p>
        </w:tc>
        <w:tc>
          <w:tcPr>
            <w:tcW w:w="388" w:type="pct"/>
            <w:hideMark/>
          </w:tcPr>
          <w:p w14:paraId="3E04F07A" w14:textId="77777777" w:rsidR="009C778C" w:rsidRPr="009C778C" w:rsidRDefault="009C778C" w:rsidP="009C778C">
            <w:pPr>
              <w:rPr>
                <w:rFonts w:cstheme="minorHAnsi"/>
                <w:sz w:val="24"/>
                <w:szCs w:val="24"/>
              </w:rPr>
            </w:pPr>
            <w:r w:rsidRPr="009C778C">
              <w:rPr>
                <w:rFonts w:cstheme="minorHAnsi"/>
                <w:sz w:val="24"/>
                <w:szCs w:val="24"/>
              </w:rPr>
              <w:t>0.065***</w:t>
            </w:r>
          </w:p>
        </w:tc>
        <w:tc>
          <w:tcPr>
            <w:tcW w:w="388" w:type="pct"/>
            <w:hideMark/>
          </w:tcPr>
          <w:p w14:paraId="5E8A5EE5" w14:textId="77777777" w:rsidR="009C778C" w:rsidRPr="009C778C" w:rsidRDefault="009C778C" w:rsidP="009C778C">
            <w:pPr>
              <w:rPr>
                <w:rFonts w:cstheme="minorHAnsi"/>
                <w:sz w:val="24"/>
                <w:szCs w:val="24"/>
              </w:rPr>
            </w:pPr>
            <w:r w:rsidRPr="009C778C">
              <w:rPr>
                <w:rFonts w:cstheme="minorHAnsi"/>
                <w:sz w:val="24"/>
                <w:szCs w:val="24"/>
              </w:rPr>
              <w:t>0.479***</w:t>
            </w:r>
          </w:p>
        </w:tc>
        <w:tc>
          <w:tcPr>
            <w:tcW w:w="388" w:type="pct"/>
            <w:hideMark/>
          </w:tcPr>
          <w:p w14:paraId="7D676A94" w14:textId="77777777" w:rsidR="009C778C" w:rsidRPr="009C778C" w:rsidRDefault="009C778C" w:rsidP="009C778C">
            <w:pPr>
              <w:rPr>
                <w:rFonts w:cstheme="minorHAnsi"/>
                <w:sz w:val="24"/>
                <w:szCs w:val="24"/>
              </w:rPr>
            </w:pPr>
            <w:r w:rsidRPr="009C778C">
              <w:rPr>
                <w:rFonts w:cstheme="minorHAnsi"/>
                <w:sz w:val="24"/>
                <w:szCs w:val="24"/>
              </w:rPr>
              <w:t>0.477***</w:t>
            </w:r>
          </w:p>
        </w:tc>
        <w:tc>
          <w:tcPr>
            <w:tcW w:w="388" w:type="pct"/>
            <w:hideMark/>
          </w:tcPr>
          <w:p w14:paraId="0370A57B" w14:textId="77777777" w:rsidR="009C778C" w:rsidRPr="009C778C" w:rsidRDefault="009C778C" w:rsidP="009C778C">
            <w:pPr>
              <w:rPr>
                <w:rFonts w:cstheme="minorHAnsi"/>
                <w:sz w:val="24"/>
                <w:szCs w:val="24"/>
              </w:rPr>
            </w:pPr>
            <w:r w:rsidRPr="009C778C">
              <w:rPr>
                <w:rFonts w:cstheme="minorHAnsi"/>
                <w:sz w:val="24"/>
                <w:szCs w:val="24"/>
              </w:rPr>
              <w:t>0.077***</w:t>
            </w:r>
          </w:p>
        </w:tc>
        <w:tc>
          <w:tcPr>
            <w:tcW w:w="388" w:type="pct"/>
            <w:hideMark/>
          </w:tcPr>
          <w:p w14:paraId="138920F3" w14:textId="77777777" w:rsidR="009C778C" w:rsidRPr="009C778C" w:rsidRDefault="009C778C" w:rsidP="009C778C">
            <w:pPr>
              <w:rPr>
                <w:rFonts w:cstheme="minorHAnsi"/>
                <w:sz w:val="24"/>
                <w:szCs w:val="24"/>
              </w:rPr>
            </w:pPr>
            <w:r w:rsidRPr="009C778C">
              <w:rPr>
                <w:rFonts w:cstheme="minorHAnsi"/>
                <w:sz w:val="24"/>
                <w:szCs w:val="24"/>
              </w:rPr>
              <w:t>0.077***</w:t>
            </w:r>
          </w:p>
        </w:tc>
        <w:tc>
          <w:tcPr>
            <w:tcW w:w="388" w:type="pct"/>
            <w:hideMark/>
          </w:tcPr>
          <w:p w14:paraId="0EC1C5C6" w14:textId="77777777" w:rsidR="009C778C" w:rsidRPr="009C778C" w:rsidRDefault="009C778C" w:rsidP="009C778C">
            <w:pPr>
              <w:rPr>
                <w:rFonts w:cstheme="minorHAnsi"/>
                <w:sz w:val="24"/>
                <w:szCs w:val="24"/>
              </w:rPr>
            </w:pPr>
            <w:r w:rsidRPr="009C778C">
              <w:rPr>
                <w:rFonts w:cstheme="minorHAnsi"/>
                <w:sz w:val="24"/>
                <w:szCs w:val="24"/>
              </w:rPr>
              <w:t>− 0.012</w:t>
            </w:r>
          </w:p>
        </w:tc>
        <w:tc>
          <w:tcPr>
            <w:tcW w:w="388" w:type="pct"/>
            <w:hideMark/>
          </w:tcPr>
          <w:p w14:paraId="3ACCF8F3" w14:textId="77777777" w:rsidR="009C778C" w:rsidRPr="009C778C" w:rsidRDefault="009C778C" w:rsidP="009C778C">
            <w:pPr>
              <w:rPr>
                <w:rFonts w:cstheme="minorHAnsi"/>
                <w:sz w:val="24"/>
                <w:szCs w:val="24"/>
              </w:rPr>
            </w:pPr>
            <w:r w:rsidRPr="009C778C">
              <w:rPr>
                <w:rFonts w:cstheme="minorHAnsi"/>
                <w:sz w:val="24"/>
                <w:szCs w:val="24"/>
              </w:rPr>
              <w:t>− 0.018</w:t>
            </w:r>
          </w:p>
        </w:tc>
      </w:tr>
      <w:tr w:rsidR="009C778C" w:rsidRPr="009C778C" w14:paraId="10912882" w14:textId="77777777" w:rsidTr="0046257B">
        <w:tc>
          <w:tcPr>
            <w:tcW w:w="879" w:type="pct"/>
            <w:hideMark/>
          </w:tcPr>
          <w:p w14:paraId="4F2D3E11" w14:textId="77777777" w:rsidR="009C778C" w:rsidRPr="009C778C" w:rsidRDefault="009C778C" w:rsidP="009C778C">
            <w:pPr>
              <w:rPr>
                <w:rFonts w:cstheme="minorHAnsi"/>
                <w:b/>
                <w:bCs/>
                <w:sz w:val="24"/>
                <w:szCs w:val="24"/>
              </w:rPr>
            </w:pPr>
          </w:p>
        </w:tc>
        <w:tc>
          <w:tcPr>
            <w:tcW w:w="243" w:type="pct"/>
            <w:hideMark/>
          </w:tcPr>
          <w:p w14:paraId="15B2E4C0" w14:textId="77777777" w:rsidR="009C778C" w:rsidRPr="009C778C" w:rsidRDefault="009C778C" w:rsidP="009C778C">
            <w:pPr>
              <w:rPr>
                <w:rFonts w:cstheme="minorHAnsi"/>
                <w:b/>
                <w:bCs/>
                <w:sz w:val="24"/>
                <w:szCs w:val="24"/>
              </w:rPr>
            </w:pPr>
          </w:p>
        </w:tc>
        <w:tc>
          <w:tcPr>
            <w:tcW w:w="388" w:type="pct"/>
            <w:hideMark/>
          </w:tcPr>
          <w:p w14:paraId="0AFE53AC" w14:textId="77777777" w:rsidR="009C778C" w:rsidRPr="009C778C" w:rsidRDefault="009C778C" w:rsidP="009C778C">
            <w:pPr>
              <w:rPr>
                <w:rFonts w:cstheme="minorHAnsi"/>
                <w:sz w:val="24"/>
                <w:szCs w:val="24"/>
              </w:rPr>
            </w:pPr>
            <w:r w:rsidRPr="009C778C">
              <w:rPr>
                <w:rFonts w:cstheme="minorHAnsi"/>
                <w:sz w:val="24"/>
                <w:szCs w:val="24"/>
              </w:rPr>
              <w:t>(16.75)</w:t>
            </w:r>
          </w:p>
        </w:tc>
        <w:tc>
          <w:tcPr>
            <w:tcW w:w="388" w:type="pct"/>
            <w:hideMark/>
          </w:tcPr>
          <w:p w14:paraId="59DCB09E" w14:textId="77777777" w:rsidR="009C778C" w:rsidRPr="009C778C" w:rsidRDefault="009C778C" w:rsidP="009C778C">
            <w:pPr>
              <w:rPr>
                <w:rFonts w:cstheme="minorHAnsi"/>
                <w:sz w:val="24"/>
                <w:szCs w:val="24"/>
              </w:rPr>
            </w:pPr>
            <w:r w:rsidRPr="009C778C">
              <w:rPr>
                <w:rFonts w:cstheme="minorHAnsi"/>
                <w:sz w:val="24"/>
                <w:szCs w:val="24"/>
              </w:rPr>
              <w:t>(16.72)</w:t>
            </w:r>
          </w:p>
        </w:tc>
        <w:tc>
          <w:tcPr>
            <w:tcW w:w="388" w:type="pct"/>
            <w:hideMark/>
          </w:tcPr>
          <w:p w14:paraId="02709404" w14:textId="77777777" w:rsidR="009C778C" w:rsidRPr="009C778C" w:rsidRDefault="009C778C" w:rsidP="009C778C">
            <w:pPr>
              <w:rPr>
                <w:rFonts w:cstheme="minorHAnsi"/>
                <w:sz w:val="24"/>
                <w:szCs w:val="24"/>
              </w:rPr>
            </w:pPr>
            <w:r w:rsidRPr="009C778C">
              <w:rPr>
                <w:rFonts w:cstheme="minorHAnsi"/>
                <w:sz w:val="24"/>
                <w:szCs w:val="24"/>
              </w:rPr>
              <w:t>(13.01)</w:t>
            </w:r>
          </w:p>
        </w:tc>
        <w:tc>
          <w:tcPr>
            <w:tcW w:w="388" w:type="pct"/>
            <w:hideMark/>
          </w:tcPr>
          <w:p w14:paraId="33EAFF2C" w14:textId="77777777" w:rsidR="009C778C" w:rsidRPr="009C778C" w:rsidRDefault="009C778C" w:rsidP="009C778C">
            <w:pPr>
              <w:rPr>
                <w:rFonts w:cstheme="minorHAnsi"/>
                <w:sz w:val="24"/>
                <w:szCs w:val="24"/>
              </w:rPr>
            </w:pPr>
            <w:r w:rsidRPr="009C778C">
              <w:rPr>
                <w:rFonts w:cstheme="minorHAnsi"/>
                <w:sz w:val="24"/>
                <w:szCs w:val="24"/>
              </w:rPr>
              <w:t>(12.96)</w:t>
            </w:r>
          </w:p>
        </w:tc>
        <w:tc>
          <w:tcPr>
            <w:tcW w:w="388" w:type="pct"/>
            <w:hideMark/>
          </w:tcPr>
          <w:p w14:paraId="594C0AC9" w14:textId="77777777" w:rsidR="009C778C" w:rsidRPr="009C778C" w:rsidRDefault="009C778C" w:rsidP="009C778C">
            <w:pPr>
              <w:rPr>
                <w:rFonts w:cstheme="minorHAnsi"/>
                <w:sz w:val="24"/>
                <w:szCs w:val="24"/>
              </w:rPr>
            </w:pPr>
            <w:r w:rsidRPr="009C778C">
              <w:rPr>
                <w:rFonts w:cstheme="minorHAnsi"/>
                <w:sz w:val="24"/>
                <w:szCs w:val="24"/>
              </w:rPr>
              <w:t>(9.64)</w:t>
            </w:r>
          </w:p>
        </w:tc>
        <w:tc>
          <w:tcPr>
            <w:tcW w:w="388" w:type="pct"/>
            <w:hideMark/>
          </w:tcPr>
          <w:p w14:paraId="55469CA8" w14:textId="77777777" w:rsidR="009C778C" w:rsidRPr="009C778C" w:rsidRDefault="009C778C" w:rsidP="009C778C">
            <w:pPr>
              <w:rPr>
                <w:rFonts w:cstheme="minorHAnsi"/>
                <w:sz w:val="24"/>
                <w:szCs w:val="24"/>
              </w:rPr>
            </w:pPr>
            <w:r w:rsidRPr="009C778C">
              <w:rPr>
                <w:rFonts w:cstheme="minorHAnsi"/>
                <w:sz w:val="24"/>
                <w:szCs w:val="24"/>
              </w:rPr>
              <w:t>(9.61)</w:t>
            </w:r>
          </w:p>
        </w:tc>
        <w:tc>
          <w:tcPr>
            <w:tcW w:w="388" w:type="pct"/>
            <w:hideMark/>
          </w:tcPr>
          <w:p w14:paraId="10F4B87E" w14:textId="77777777" w:rsidR="009C778C" w:rsidRPr="009C778C" w:rsidRDefault="009C778C" w:rsidP="009C778C">
            <w:pPr>
              <w:rPr>
                <w:rFonts w:cstheme="minorHAnsi"/>
                <w:sz w:val="24"/>
                <w:szCs w:val="24"/>
              </w:rPr>
            </w:pPr>
            <w:r w:rsidRPr="009C778C">
              <w:rPr>
                <w:rFonts w:cstheme="minorHAnsi"/>
                <w:sz w:val="24"/>
                <w:szCs w:val="24"/>
              </w:rPr>
              <w:t>(11.01)</w:t>
            </w:r>
          </w:p>
        </w:tc>
        <w:tc>
          <w:tcPr>
            <w:tcW w:w="388" w:type="pct"/>
            <w:hideMark/>
          </w:tcPr>
          <w:p w14:paraId="17567CFD" w14:textId="77777777" w:rsidR="009C778C" w:rsidRPr="009C778C" w:rsidRDefault="009C778C" w:rsidP="009C778C">
            <w:pPr>
              <w:rPr>
                <w:rFonts w:cstheme="minorHAnsi"/>
                <w:sz w:val="24"/>
                <w:szCs w:val="24"/>
              </w:rPr>
            </w:pPr>
            <w:r w:rsidRPr="009C778C">
              <w:rPr>
                <w:rFonts w:cstheme="minorHAnsi"/>
                <w:sz w:val="24"/>
                <w:szCs w:val="24"/>
              </w:rPr>
              <w:t>(10.97)</w:t>
            </w:r>
          </w:p>
        </w:tc>
        <w:tc>
          <w:tcPr>
            <w:tcW w:w="388" w:type="pct"/>
            <w:hideMark/>
          </w:tcPr>
          <w:p w14:paraId="6C05A6C3" w14:textId="77777777" w:rsidR="009C778C" w:rsidRPr="009C778C" w:rsidRDefault="009C778C" w:rsidP="009C778C">
            <w:pPr>
              <w:rPr>
                <w:rFonts w:cstheme="minorHAnsi"/>
                <w:sz w:val="24"/>
                <w:szCs w:val="24"/>
              </w:rPr>
            </w:pPr>
            <w:r w:rsidRPr="009C778C">
              <w:rPr>
                <w:rFonts w:cstheme="minorHAnsi"/>
                <w:sz w:val="24"/>
                <w:szCs w:val="24"/>
              </w:rPr>
              <w:t>(− 0.06)</w:t>
            </w:r>
          </w:p>
        </w:tc>
        <w:tc>
          <w:tcPr>
            <w:tcW w:w="388" w:type="pct"/>
            <w:hideMark/>
          </w:tcPr>
          <w:p w14:paraId="2FDB712A" w14:textId="77777777" w:rsidR="009C778C" w:rsidRPr="009C778C" w:rsidRDefault="009C778C" w:rsidP="009C778C">
            <w:pPr>
              <w:rPr>
                <w:rFonts w:cstheme="minorHAnsi"/>
                <w:sz w:val="24"/>
                <w:szCs w:val="24"/>
              </w:rPr>
            </w:pPr>
            <w:r w:rsidRPr="009C778C">
              <w:rPr>
                <w:rFonts w:cstheme="minorHAnsi"/>
                <w:sz w:val="24"/>
                <w:szCs w:val="24"/>
              </w:rPr>
              <w:t>(− 0.10)</w:t>
            </w:r>
          </w:p>
        </w:tc>
      </w:tr>
      <w:tr w:rsidR="009C778C" w:rsidRPr="009C778C" w14:paraId="15827FDC" w14:textId="77777777" w:rsidTr="0046257B">
        <w:tc>
          <w:tcPr>
            <w:tcW w:w="879" w:type="pct"/>
            <w:hideMark/>
          </w:tcPr>
          <w:p w14:paraId="2BCBCB4F" w14:textId="77777777" w:rsidR="009C778C" w:rsidRPr="009C778C" w:rsidRDefault="009C778C" w:rsidP="009C778C">
            <w:pPr>
              <w:rPr>
                <w:rFonts w:cstheme="minorHAnsi"/>
                <w:b/>
                <w:bCs/>
                <w:sz w:val="24"/>
                <w:szCs w:val="24"/>
              </w:rPr>
            </w:pPr>
            <w:r w:rsidRPr="009C778C">
              <w:rPr>
                <w:rFonts w:cstheme="minorHAnsi"/>
                <w:b/>
                <w:bCs/>
                <w:sz w:val="24"/>
                <w:szCs w:val="24"/>
              </w:rPr>
              <w:t>CAPITAL_INTENSITY</w:t>
            </w:r>
            <w:r w:rsidRPr="009C778C">
              <w:rPr>
                <w:rFonts w:cstheme="minorHAnsi"/>
                <w:b/>
                <w:bCs/>
                <w:sz w:val="24"/>
                <w:szCs w:val="24"/>
                <w:vertAlign w:val="subscript"/>
              </w:rPr>
              <w:t>t − 1</w:t>
            </w:r>
          </w:p>
        </w:tc>
        <w:tc>
          <w:tcPr>
            <w:tcW w:w="243" w:type="pct"/>
            <w:hideMark/>
          </w:tcPr>
          <w:p w14:paraId="4443657F" w14:textId="77777777" w:rsidR="009C778C" w:rsidRPr="009C778C" w:rsidRDefault="009C778C" w:rsidP="009C778C">
            <w:pPr>
              <w:rPr>
                <w:rFonts w:cstheme="minorHAnsi"/>
                <w:b/>
                <w:bCs/>
                <w:sz w:val="24"/>
                <w:szCs w:val="24"/>
              </w:rPr>
            </w:pPr>
          </w:p>
        </w:tc>
        <w:tc>
          <w:tcPr>
            <w:tcW w:w="388" w:type="pct"/>
            <w:hideMark/>
          </w:tcPr>
          <w:p w14:paraId="6899A422" w14:textId="77777777" w:rsidR="009C778C" w:rsidRPr="009C778C" w:rsidRDefault="009C778C" w:rsidP="009C778C">
            <w:pPr>
              <w:rPr>
                <w:rFonts w:cstheme="minorHAnsi"/>
                <w:sz w:val="24"/>
                <w:szCs w:val="24"/>
              </w:rPr>
            </w:pPr>
            <w:r w:rsidRPr="009C778C">
              <w:rPr>
                <w:rFonts w:cstheme="minorHAnsi"/>
                <w:sz w:val="24"/>
                <w:szCs w:val="24"/>
              </w:rPr>
              <w:t>− 0.002</w:t>
            </w:r>
          </w:p>
        </w:tc>
        <w:tc>
          <w:tcPr>
            <w:tcW w:w="388" w:type="pct"/>
            <w:hideMark/>
          </w:tcPr>
          <w:p w14:paraId="693A94E0" w14:textId="77777777" w:rsidR="009C778C" w:rsidRPr="009C778C" w:rsidRDefault="009C778C" w:rsidP="009C778C">
            <w:pPr>
              <w:rPr>
                <w:rFonts w:cstheme="minorHAnsi"/>
                <w:sz w:val="24"/>
                <w:szCs w:val="24"/>
              </w:rPr>
            </w:pPr>
            <w:r w:rsidRPr="009C778C">
              <w:rPr>
                <w:rFonts w:cstheme="minorHAnsi"/>
                <w:sz w:val="24"/>
                <w:szCs w:val="24"/>
              </w:rPr>
              <w:t>− 0.002</w:t>
            </w:r>
          </w:p>
        </w:tc>
        <w:tc>
          <w:tcPr>
            <w:tcW w:w="388" w:type="pct"/>
            <w:hideMark/>
          </w:tcPr>
          <w:p w14:paraId="076E3E21" w14:textId="77777777" w:rsidR="009C778C" w:rsidRPr="009C778C" w:rsidRDefault="009C778C" w:rsidP="009C778C">
            <w:pPr>
              <w:rPr>
                <w:rFonts w:cstheme="minorHAnsi"/>
                <w:sz w:val="24"/>
                <w:szCs w:val="24"/>
              </w:rPr>
            </w:pPr>
            <w:r w:rsidRPr="009C778C">
              <w:rPr>
                <w:rFonts w:cstheme="minorHAnsi"/>
                <w:sz w:val="24"/>
                <w:szCs w:val="24"/>
              </w:rPr>
              <w:t>− 0.014***</w:t>
            </w:r>
          </w:p>
        </w:tc>
        <w:tc>
          <w:tcPr>
            <w:tcW w:w="388" w:type="pct"/>
            <w:hideMark/>
          </w:tcPr>
          <w:p w14:paraId="2B5228EB" w14:textId="77777777" w:rsidR="009C778C" w:rsidRPr="009C778C" w:rsidRDefault="009C778C" w:rsidP="009C778C">
            <w:pPr>
              <w:rPr>
                <w:rFonts w:cstheme="minorHAnsi"/>
                <w:sz w:val="24"/>
                <w:szCs w:val="24"/>
              </w:rPr>
            </w:pPr>
            <w:r w:rsidRPr="009C778C">
              <w:rPr>
                <w:rFonts w:cstheme="minorHAnsi"/>
                <w:sz w:val="24"/>
                <w:szCs w:val="24"/>
              </w:rPr>
              <w:t>− 0.014***</w:t>
            </w:r>
          </w:p>
        </w:tc>
        <w:tc>
          <w:tcPr>
            <w:tcW w:w="388" w:type="pct"/>
            <w:hideMark/>
          </w:tcPr>
          <w:p w14:paraId="09F88A4E" w14:textId="77777777" w:rsidR="009C778C" w:rsidRPr="009C778C" w:rsidRDefault="009C778C" w:rsidP="009C778C">
            <w:pPr>
              <w:rPr>
                <w:rFonts w:cstheme="minorHAnsi"/>
                <w:sz w:val="24"/>
                <w:szCs w:val="24"/>
              </w:rPr>
            </w:pPr>
            <w:r w:rsidRPr="009C778C">
              <w:rPr>
                <w:rFonts w:cstheme="minorHAnsi"/>
                <w:sz w:val="24"/>
                <w:szCs w:val="24"/>
              </w:rPr>
              <w:t>− 0.311***</w:t>
            </w:r>
          </w:p>
        </w:tc>
        <w:tc>
          <w:tcPr>
            <w:tcW w:w="388" w:type="pct"/>
            <w:hideMark/>
          </w:tcPr>
          <w:p w14:paraId="1EDE7807" w14:textId="77777777" w:rsidR="009C778C" w:rsidRPr="009C778C" w:rsidRDefault="009C778C" w:rsidP="009C778C">
            <w:pPr>
              <w:rPr>
                <w:rFonts w:cstheme="minorHAnsi"/>
                <w:sz w:val="24"/>
                <w:szCs w:val="24"/>
              </w:rPr>
            </w:pPr>
            <w:r w:rsidRPr="009C778C">
              <w:rPr>
                <w:rFonts w:cstheme="minorHAnsi"/>
                <w:sz w:val="24"/>
                <w:szCs w:val="24"/>
              </w:rPr>
              <w:t>− 0.310***</w:t>
            </w:r>
          </w:p>
        </w:tc>
        <w:tc>
          <w:tcPr>
            <w:tcW w:w="388" w:type="pct"/>
            <w:hideMark/>
          </w:tcPr>
          <w:p w14:paraId="57AF6607" w14:textId="77777777" w:rsidR="009C778C" w:rsidRPr="009C778C" w:rsidRDefault="009C778C" w:rsidP="009C778C">
            <w:pPr>
              <w:rPr>
                <w:rFonts w:cstheme="minorHAnsi"/>
                <w:sz w:val="24"/>
                <w:szCs w:val="24"/>
              </w:rPr>
            </w:pPr>
            <w:r w:rsidRPr="009C778C">
              <w:rPr>
                <w:rFonts w:cstheme="minorHAnsi"/>
                <w:sz w:val="24"/>
                <w:szCs w:val="24"/>
              </w:rPr>
              <w:t>− 0.064***</w:t>
            </w:r>
          </w:p>
        </w:tc>
        <w:tc>
          <w:tcPr>
            <w:tcW w:w="388" w:type="pct"/>
            <w:hideMark/>
          </w:tcPr>
          <w:p w14:paraId="7EEA114D" w14:textId="77777777" w:rsidR="009C778C" w:rsidRPr="009C778C" w:rsidRDefault="009C778C" w:rsidP="009C778C">
            <w:pPr>
              <w:rPr>
                <w:rFonts w:cstheme="minorHAnsi"/>
                <w:sz w:val="24"/>
                <w:szCs w:val="24"/>
              </w:rPr>
            </w:pPr>
            <w:r w:rsidRPr="009C778C">
              <w:rPr>
                <w:rFonts w:cstheme="minorHAnsi"/>
                <w:sz w:val="24"/>
                <w:szCs w:val="24"/>
              </w:rPr>
              <w:t>− 0.064***</w:t>
            </w:r>
          </w:p>
        </w:tc>
        <w:tc>
          <w:tcPr>
            <w:tcW w:w="388" w:type="pct"/>
            <w:hideMark/>
          </w:tcPr>
          <w:p w14:paraId="74A6B35A" w14:textId="77777777" w:rsidR="009C778C" w:rsidRPr="009C778C" w:rsidRDefault="009C778C" w:rsidP="009C778C">
            <w:pPr>
              <w:rPr>
                <w:rFonts w:cstheme="minorHAnsi"/>
                <w:sz w:val="24"/>
                <w:szCs w:val="24"/>
              </w:rPr>
            </w:pPr>
            <w:r w:rsidRPr="009C778C">
              <w:rPr>
                <w:rFonts w:cstheme="minorHAnsi"/>
                <w:sz w:val="24"/>
                <w:szCs w:val="24"/>
              </w:rPr>
              <w:t>− 1.135***</w:t>
            </w:r>
          </w:p>
        </w:tc>
        <w:tc>
          <w:tcPr>
            <w:tcW w:w="388" w:type="pct"/>
            <w:hideMark/>
          </w:tcPr>
          <w:p w14:paraId="3A3B719E" w14:textId="77777777" w:rsidR="009C778C" w:rsidRPr="009C778C" w:rsidRDefault="009C778C" w:rsidP="009C778C">
            <w:pPr>
              <w:rPr>
                <w:rFonts w:cstheme="minorHAnsi"/>
                <w:sz w:val="24"/>
                <w:szCs w:val="24"/>
              </w:rPr>
            </w:pPr>
            <w:r w:rsidRPr="009C778C">
              <w:rPr>
                <w:rFonts w:cstheme="minorHAnsi"/>
                <w:sz w:val="24"/>
                <w:szCs w:val="24"/>
              </w:rPr>
              <w:t>− 1.134***</w:t>
            </w:r>
          </w:p>
        </w:tc>
      </w:tr>
      <w:tr w:rsidR="009C778C" w:rsidRPr="009C778C" w14:paraId="14B49218" w14:textId="77777777" w:rsidTr="0046257B">
        <w:tc>
          <w:tcPr>
            <w:tcW w:w="879" w:type="pct"/>
            <w:hideMark/>
          </w:tcPr>
          <w:p w14:paraId="4A6FDD02" w14:textId="77777777" w:rsidR="009C778C" w:rsidRPr="009C778C" w:rsidRDefault="009C778C" w:rsidP="009C778C">
            <w:pPr>
              <w:rPr>
                <w:rFonts w:cstheme="minorHAnsi"/>
                <w:b/>
                <w:bCs/>
                <w:sz w:val="24"/>
                <w:szCs w:val="24"/>
              </w:rPr>
            </w:pPr>
          </w:p>
        </w:tc>
        <w:tc>
          <w:tcPr>
            <w:tcW w:w="243" w:type="pct"/>
            <w:hideMark/>
          </w:tcPr>
          <w:p w14:paraId="407E7782" w14:textId="77777777" w:rsidR="009C778C" w:rsidRPr="009C778C" w:rsidRDefault="009C778C" w:rsidP="009C778C">
            <w:pPr>
              <w:rPr>
                <w:rFonts w:cstheme="minorHAnsi"/>
                <w:b/>
                <w:bCs/>
                <w:sz w:val="24"/>
                <w:szCs w:val="24"/>
              </w:rPr>
            </w:pPr>
          </w:p>
        </w:tc>
        <w:tc>
          <w:tcPr>
            <w:tcW w:w="388" w:type="pct"/>
            <w:hideMark/>
          </w:tcPr>
          <w:p w14:paraId="4EBB91A3" w14:textId="77777777" w:rsidR="009C778C" w:rsidRPr="009C778C" w:rsidRDefault="009C778C" w:rsidP="009C778C">
            <w:pPr>
              <w:rPr>
                <w:rFonts w:cstheme="minorHAnsi"/>
                <w:sz w:val="24"/>
                <w:szCs w:val="24"/>
              </w:rPr>
            </w:pPr>
            <w:r w:rsidRPr="009C778C">
              <w:rPr>
                <w:rFonts w:cstheme="minorHAnsi"/>
                <w:sz w:val="24"/>
                <w:szCs w:val="24"/>
              </w:rPr>
              <w:t>(− 0.61)</w:t>
            </w:r>
          </w:p>
        </w:tc>
        <w:tc>
          <w:tcPr>
            <w:tcW w:w="388" w:type="pct"/>
            <w:hideMark/>
          </w:tcPr>
          <w:p w14:paraId="0CCF0B23" w14:textId="77777777" w:rsidR="009C778C" w:rsidRPr="009C778C" w:rsidRDefault="009C778C" w:rsidP="009C778C">
            <w:pPr>
              <w:rPr>
                <w:rFonts w:cstheme="minorHAnsi"/>
                <w:sz w:val="24"/>
                <w:szCs w:val="24"/>
              </w:rPr>
            </w:pPr>
            <w:r w:rsidRPr="009C778C">
              <w:rPr>
                <w:rFonts w:cstheme="minorHAnsi"/>
                <w:sz w:val="24"/>
                <w:szCs w:val="24"/>
              </w:rPr>
              <w:t>(− 0.59)</w:t>
            </w:r>
          </w:p>
        </w:tc>
        <w:tc>
          <w:tcPr>
            <w:tcW w:w="388" w:type="pct"/>
            <w:hideMark/>
          </w:tcPr>
          <w:p w14:paraId="7DEAE6EC" w14:textId="77777777" w:rsidR="009C778C" w:rsidRPr="009C778C" w:rsidRDefault="009C778C" w:rsidP="009C778C">
            <w:pPr>
              <w:rPr>
                <w:rFonts w:cstheme="minorHAnsi"/>
                <w:sz w:val="24"/>
                <w:szCs w:val="24"/>
              </w:rPr>
            </w:pPr>
            <w:r w:rsidRPr="009C778C">
              <w:rPr>
                <w:rFonts w:cstheme="minorHAnsi"/>
                <w:sz w:val="24"/>
                <w:szCs w:val="24"/>
              </w:rPr>
              <w:t>(− 8.06)</w:t>
            </w:r>
          </w:p>
        </w:tc>
        <w:tc>
          <w:tcPr>
            <w:tcW w:w="388" w:type="pct"/>
            <w:hideMark/>
          </w:tcPr>
          <w:p w14:paraId="37A9E831" w14:textId="77777777" w:rsidR="009C778C" w:rsidRPr="009C778C" w:rsidRDefault="009C778C" w:rsidP="009C778C">
            <w:pPr>
              <w:rPr>
                <w:rFonts w:cstheme="minorHAnsi"/>
                <w:sz w:val="24"/>
                <w:szCs w:val="24"/>
              </w:rPr>
            </w:pPr>
            <w:r w:rsidRPr="009C778C">
              <w:rPr>
                <w:rFonts w:cstheme="minorHAnsi"/>
                <w:sz w:val="24"/>
                <w:szCs w:val="24"/>
              </w:rPr>
              <w:t>(− 7.96)</w:t>
            </w:r>
          </w:p>
        </w:tc>
        <w:tc>
          <w:tcPr>
            <w:tcW w:w="388" w:type="pct"/>
            <w:hideMark/>
          </w:tcPr>
          <w:p w14:paraId="0C3D6E67" w14:textId="77777777" w:rsidR="009C778C" w:rsidRPr="009C778C" w:rsidRDefault="009C778C" w:rsidP="009C778C">
            <w:pPr>
              <w:rPr>
                <w:rFonts w:cstheme="minorHAnsi"/>
                <w:sz w:val="24"/>
                <w:szCs w:val="24"/>
              </w:rPr>
            </w:pPr>
            <w:r w:rsidRPr="009C778C">
              <w:rPr>
                <w:rFonts w:cstheme="minorHAnsi"/>
                <w:sz w:val="24"/>
                <w:szCs w:val="24"/>
              </w:rPr>
              <w:t>(− 16.00)</w:t>
            </w:r>
          </w:p>
        </w:tc>
        <w:tc>
          <w:tcPr>
            <w:tcW w:w="388" w:type="pct"/>
            <w:hideMark/>
          </w:tcPr>
          <w:p w14:paraId="2BC12DA7" w14:textId="77777777" w:rsidR="009C778C" w:rsidRPr="009C778C" w:rsidRDefault="009C778C" w:rsidP="009C778C">
            <w:pPr>
              <w:rPr>
                <w:rFonts w:cstheme="minorHAnsi"/>
                <w:sz w:val="24"/>
                <w:szCs w:val="24"/>
              </w:rPr>
            </w:pPr>
            <w:r w:rsidRPr="009C778C">
              <w:rPr>
                <w:rFonts w:cstheme="minorHAnsi"/>
                <w:sz w:val="24"/>
                <w:szCs w:val="24"/>
              </w:rPr>
              <w:t>(− 15.96)</w:t>
            </w:r>
          </w:p>
        </w:tc>
        <w:tc>
          <w:tcPr>
            <w:tcW w:w="388" w:type="pct"/>
            <w:hideMark/>
          </w:tcPr>
          <w:p w14:paraId="2D01170B" w14:textId="77777777" w:rsidR="009C778C" w:rsidRPr="009C778C" w:rsidRDefault="009C778C" w:rsidP="009C778C">
            <w:pPr>
              <w:rPr>
                <w:rFonts w:cstheme="minorHAnsi"/>
                <w:sz w:val="24"/>
                <w:szCs w:val="24"/>
              </w:rPr>
            </w:pPr>
            <w:r w:rsidRPr="009C778C">
              <w:rPr>
                <w:rFonts w:cstheme="minorHAnsi"/>
                <w:sz w:val="24"/>
                <w:szCs w:val="24"/>
              </w:rPr>
              <w:t>(− 23.40)</w:t>
            </w:r>
          </w:p>
        </w:tc>
        <w:tc>
          <w:tcPr>
            <w:tcW w:w="388" w:type="pct"/>
            <w:hideMark/>
          </w:tcPr>
          <w:p w14:paraId="1DDDBD64" w14:textId="77777777" w:rsidR="009C778C" w:rsidRPr="009C778C" w:rsidRDefault="009C778C" w:rsidP="009C778C">
            <w:pPr>
              <w:rPr>
                <w:rFonts w:cstheme="minorHAnsi"/>
                <w:sz w:val="24"/>
                <w:szCs w:val="24"/>
              </w:rPr>
            </w:pPr>
            <w:r w:rsidRPr="009C778C">
              <w:rPr>
                <w:rFonts w:cstheme="minorHAnsi"/>
                <w:sz w:val="24"/>
                <w:szCs w:val="24"/>
              </w:rPr>
              <w:t>(− 23.39)</w:t>
            </w:r>
          </w:p>
        </w:tc>
        <w:tc>
          <w:tcPr>
            <w:tcW w:w="388" w:type="pct"/>
            <w:hideMark/>
          </w:tcPr>
          <w:p w14:paraId="5EB7683D" w14:textId="77777777" w:rsidR="009C778C" w:rsidRPr="009C778C" w:rsidRDefault="009C778C" w:rsidP="009C778C">
            <w:pPr>
              <w:rPr>
                <w:rFonts w:cstheme="minorHAnsi"/>
                <w:sz w:val="24"/>
                <w:szCs w:val="24"/>
              </w:rPr>
            </w:pPr>
            <w:r w:rsidRPr="009C778C">
              <w:rPr>
                <w:rFonts w:cstheme="minorHAnsi"/>
                <w:sz w:val="24"/>
                <w:szCs w:val="24"/>
              </w:rPr>
              <w:t>(− 9.66)</w:t>
            </w:r>
          </w:p>
        </w:tc>
        <w:tc>
          <w:tcPr>
            <w:tcW w:w="388" w:type="pct"/>
            <w:hideMark/>
          </w:tcPr>
          <w:p w14:paraId="3D26CDDE" w14:textId="77777777" w:rsidR="009C778C" w:rsidRPr="009C778C" w:rsidRDefault="009C778C" w:rsidP="009C778C">
            <w:pPr>
              <w:rPr>
                <w:rFonts w:cstheme="minorHAnsi"/>
                <w:sz w:val="24"/>
                <w:szCs w:val="24"/>
              </w:rPr>
            </w:pPr>
            <w:r w:rsidRPr="009C778C">
              <w:rPr>
                <w:rFonts w:cstheme="minorHAnsi"/>
                <w:sz w:val="24"/>
                <w:szCs w:val="24"/>
              </w:rPr>
              <w:t>(− 9.65)</w:t>
            </w:r>
          </w:p>
        </w:tc>
      </w:tr>
      <w:tr w:rsidR="0046257B" w:rsidRPr="009C778C" w14:paraId="73FCB901" w14:textId="77777777" w:rsidTr="0046257B">
        <w:tc>
          <w:tcPr>
            <w:tcW w:w="879" w:type="pct"/>
            <w:hideMark/>
          </w:tcPr>
          <w:p w14:paraId="6E557164" w14:textId="77777777" w:rsidR="0046257B" w:rsidRPr="009C778C" w:rsidRDefault="0046257B" w:rsidP="009C778C">
            <w:pPr>
              <w:rPr>
                <w:rFonts w:cstheme="minorHAnsi"/>
                <w:b/>
                <w:bCs/>
                <w:sz w:val="24"/>
                <w:szCs w:val="24"/>
              </w:rPr>
            </w:pPr>
            <w:r w:rsidRPr="009C778C">
              <w:rPr>
                <w:rFonts w:cstheme="minorHAnsi"/>
                <w:b/>
                <w:bCs/>
                <w:sz w:val="24"/>
                <w:szCs w:val="24"/>
              </w:rPr>
              <w:t>ANALYST</w:t>
            </w:r>
            <w:r w:rsidRPr="009C778C">
              <w:rPr>
                <w:rFonts w:cstheme="minorHAnsi"/>
                <w:b/>
                <w:bCs/>
                <w:sz w:val="24"/>
                <w:szCs w:val="24"/>
                <w:vertAlign w:val="subscript"/>
              </w:rPr>
              <w:t>t − 1</w:t>
            </w:r>
          </w:p>
        </w:tc>
        <w:tc>
          <w:tcPr>
            <w:tcW w:w="243" w:type="pct"/>
            <w:hideMark/>
          </w:tcPr>
          <w:p w14:paraId="5EEBFEE4" w14:textId="77777777" w:rsidR="0046257B" w:rsidRPr="009C778C" w:rsidRDefault="0046257B" w:rsidP="009C778C">
            <w:pPr>
              <w:rPr>
                <w:rFonts w:cstheme="minorHAnsi"/>
                <w:b/>
                <w:bCs/>
                <w:sz w:val="24"/>
                <w:szCs w:val="24"/>
              </w:rPr>
            </w:pPr>
          </w:p>
        </w:tc>
        <w:tc>
          <w:tcPr>
            <w:tcW w:w="388" w:type="pct"/>
            <w:hideMark/>
          </w:tcPr>
          <w:p w14:paraId="1E9E4A85" w14:textId="77777777" w:rsidR="0046257B" w:rsidRPr="009C778C" w:rsidRDefault="0046257B" w:rsidP="009C778C">
            <w:pPr>
              <w:rPr>
                <w:rFonts w:cstheme="minorHAnsi"/>
                <w:sz w:val="24"/>
                <w:szCs w:val="24"/>
              </w:rPr>
            </w:pPr>
            <w:r w:rsidRPr="009C778C">
              <w:rPr>
                <w:rFonts w:cstheme="minorHAnsi"/>
                <w:sz w:val="24"/>
                <w:szCs w:val="24"/>
              </w:rPr>
              <w:t>− 0.001</w:t>
            </w:r>
          </w:p>
        </w:tc>
        <w:tc>
          <w:tcPr>
            <w:tcW w:w="388" w:type="pct"/>
            <w:hideMark/>
          </w:tcPr>
          <w:p w14:paraId="399D940D" w14:textId="77777777" w:rsidR="0046257B" w:rsidRPr="009C778C" w:rsidRDefault="0046257B" w:rsidP="009C778C">
            <w:pPr>
              <w:rPr>
                <w:rFonts w:cstheme="minorHAnsi"/>
                <w:sz w:val="24"/>
                <w:szCs w:val="24"/>
              </w:rPr>
            </w:pPr>
            <w:r w:rsidRPr="009C778C">
              <w:rPr>
                <w:rFonts w:cstheme="minorHAnsi"/>
                <w:sz w:val="24"/>
                <w:szCs w:val="24"/>
              </w:rPr>
              <w:t>− 0.001</w:t>
            </w:r>
          </w:p>
        </w:tc>
        <w:tc>
          <w:tcPr>
            <w:tcW w:w="388" w:type="pct"/>
            <w:hideMark/>
          </w:tcPr>
          <w:p w14:paraId="6D45985A" w14:textId="77777777" w:rsidR="0046257B" w:rsidRPr="009C778C" w:rsidRDefault="0046257B" w:rsidP="009C778C">
            <w:pPr>
              <w:rPr>
                <w:rFonts w:cstheme="minorHAnsi"/>
                <w:sz w:val="24"/>
                <w:szCs w:val="24"/>
              </w:rPr>
            </w:pPr>
            <w:r w:rsidRPr="009C778C">
              <w:rPr>
                <w:rFonts w:cstheme="minorHAnsi"/>
                <w:sz w:val="24"/>
                <w:szCs w:val="24"/>
              </w:rPr>
              <w:t>0.001</w:t>
            </w:r>
          </w:p>
        </w:tc>
        <w:tc>
          <w:tcPr>
            <w:tcW w:w="388" w:type="pct"/>
            <w:hideMark/>
          </w:tcPr>
          <w:p w14:paraId="21F2A889" w14:textId="77777777" w:rsidR="0046257B" w:rsidRPr="009C778C" w:rsidRDefault="0046257B" w:rsidP="009C778C">
            <w:pPr>
              <w:rPr>
                <w:rFonts w:cstheme="minorHAnsi"/>
                <w:sz w:val="24"/>
                <w:szCs w:val="24"/>
              </w:rPr>
            </w:pPr>
            <w:r w:rsidRPr="009C778C">
              <w:rPr>
                <w:rFonts w:cstheme="minorHAnsi"/>
                <w:sz w:val="24"/>
                <w:szCs w:val="24"/>
              </w:rPr>
              <w:t>− 0.000</w:t>
            </w:r>
          </w:p>
        </w:tc>
        <w:tc>
          <w:tcPr>
            <w:tcW w:w="388" w:type="pct"/>
            <w:hideMark/>
          </w:tcPr>
          <w:p w14:paraId="753862B6" w14:textId="77777777" w:rsidR="0046257B" w:rsidRPr="009C778C" w:rsidRDefault="0046257B" w:rsidP="009C778C">
            <w:pPr>
              <w:rPr>
                <w:rFonts w:cstheme="minorHAnsi"/>
                <w:sz w:val="24"/>
                <w:szCs w:val="24"/>
              </w:rPr>
            </w:pPr>
            <w:r w:rsidRPr="009C778C">
              <w:rPr>
                <w:rFonts w:cstheme="minorHAnsi"/>
                <w:sz w:val="24"/>
                <w:szCs w:val="24"/>
              </w:rPr>
              <w:t>− 0.022***</w:t>
            </w:r>
          </w:p>
        </w:tc>
        <w:tc>
          <w:tcPr>
            <w:tcW w:w="388" w:type="pct"/>
            <w:hideMark/>
          </w:tcPr>
          <w:p w14:paraId="0F2FE33F" w14:textId="77777777" w:rsidR="0046257B" w:rsidRPr="009C778C" w:rsidRDefault="0046257B" w:rsidP="009C778C">
            <w:pPr>
              <w:rPr>
                <w:rFonts w:cstheme="minorHAnsi"/>
                <w:sz w:val="24"/>
                <w:szCs w:val="24"/>
              </w:rPr>
            </w:pPr>
            <w:r w:rsidRPr="009C778C">
              <w:rPr>
                <w:rFonts w:cstheme="minorHAnsi"/>
                <w:sz w:val="24"/>
                <w:szCs w:val="24"/>
              </w:rPr>
              <w:t>− 0.024***</w:t>
            </w:r>
          </w:p>
        </w:tc>
        <w:tc>
          <w:tcPr>
            <w:tcW w:w="388" w:type="pct"/>
            <w:hideMark/>
          </w:tcPr>
          <w:p w14:paraId="3B2D9691" w14:textId="77777777" w:rsidR="0046257B" w:rsidRPr="009C778C" w:rsidRDefault="0046257B" w:rsidP="009C778C">
            <w:pPr>
              <w:rPr>
                <w:rFonts w:cstheme="minorHAnsi"/>
                <w:sz w:val="24"/>
                <w:szCs w:val="24"/>
              </w:rPr>
            </w:pPr>
            <w:r w:rsidRPr="009C778C">
              <w:rPr>
                <w:rFonts w:cstheme="minorHAnsi"/>
                <w:sz w:val="24"/>
                <w:szCs w:val="24"/>
              </w:rPr>
              <w:t>0.000</w:t>
            </w:r>
          </w:p>
        </w:tc>
        <w:tc>
          <w:tcPr>
            <w:tcW w:w="388" w:type="pct"/>
            <w:hideMark/>
          </w:tcPr>
          <w:p w14:paraId="5EF618BB" w14:textId="77777777" w:rsidR="0046257B" w:rsidRPr="009C778C" w:rsidRDefault="0046257B" w:rsidP="009C778C">
            <w:pPr>
              <w:rPr>
                <w:rFonts w:cstheme="minorHAnsi"/>
                <w:sz w:val="24"/>
                <w:szCs w:val="24"/>
              </w:rPr>
            </w:pPr>
            <w:r w:rsidRPr="009C778C">
              <w:rPr>
                <w:rFonts w:cstheme="minorHAnsi"/>
                <w:sz w:val="24"/>
                <w:szCs w:val="24"/>
              </w:rPr>
              <w:t>0.000</w:t>
            </w:r>
          </w:p>
        </w:tc>
        <w:tc>
          <w:tcPr>
            <w:tcW w:w="388" w:type="pct"/>
            <w:hideMark/>
          </w:tcPr>
          <w:p w14:paraId="221FB8E5" w14:textId="77777777" w:rsidR="0046257B" w:rsidRPr="009C778C" w:rsidRDefault="0046257B" w:rsidP="009C778C">
            <w:pPr>
              <w:rPr>
                <w:rFonts w:cstheme="minorHAnsi"/>
                <w:sz w:val="24"/>
                <w:szCs w:val="24"/>
              </w:rPr>
            </w:pPr>
            <w:r w:rsidRPr="009C778C">
              <w:rPr>
                <w:rFonts w:cstheme="minorHAnsi"/>
                <w:sz w:val="24"/>
                <w:szCs w:val="24"/>
              </w:rPr>
              <w:t>− 0.291***</w:t>
            </w:r>
          </w:p>
        </w:tc>
        <w:tc>
          <w:tcPr>
            <w:tcW w:w="388" w:type="pct"/>
            <w:hideMark/>
          </w:tcPr>
          <w:p w14:paraId="3604DF71" w14:textId="77777777" w:rsidR="0046257B" w:rsidRPr="009C778C" w:rsidRDefault="0046257B" w:rsidP="009C778C">
            <w:pPr>
              <w:rPr>
                <w:rFonts w:cstheme="minorHAnsi"/>
                <w:sz w:val="24"/>
                <w:szCs w:val="24"/>
              </w:rPr>
            </w:pPr>
            <w:r w:rsidRPr="009C778C">
              <w:rPr>
                <w:rFonts w:cstheme="minorHAnsi"/>
                <w:sz w:val="24"/>
                <w:szCs w:val="24"/>
              </w:rPr>
              <w:t>− 0.292***</w:t>
            </w:r>
          </w:p>
        </w:tc>
      </w:tr>
      <w:tr w:rsidR="0046257B" w:rsidRPr="009C778C" w14:paraId="47C332BB" w14:textId="77777777" w:rsidTr="0046257B">
        <w:tc>
          <w:tcPr>
            <w:tcW w:w="879" w:type="pct"/>
            <w:hideMark/>
          </w:tcPr>
          <w:p w14:paraId="41525C17" w14:textId="77777777" w:rsidR="0046257B" w:rsidRPr="009C778C" w:rsidRDefault="0046257B" w:rsidP="009C778C">
            <w:pPr>
              <w:rPr>
                <w:rFonts w:cstheme="minorHAnsi"/>
                <w:b/>
                <w:bCs/>
                <w:sz w:val="24"/>
                <w:szCs w:val="24"/>
              </w:rPr>
            </w:pPr>
          </w:p>
        </w:tc>
        <w:tc>
          <w:tcPr>
            <w:tcW w:w="243" w:type="pct"/>
            <w:hideMark/>
          </w:tcPr>
          <w:p w14:paraId="0FA3BA98" w14:textId="77777777" w:rsidR="0046257B" w:rsidRPr="009C778C" w:rsidRDefault="0046257B" w:rsidP="009C778C">
            <w:pPr>
              <w:rPr>
                <w:rFonts w:cstheme="minorHAnsi"/>
                <w:b/>
                <w:bCs/>
                <w:sz w:val="24"/>
                <w:szCs w:val="24"/>
              </w:rPr>
            </w:pPr>
          </w:p>
        </w:tc>
        <w:tc>
          <w:tcPr>
            <w:tcW w:w="388" w:type="pct"/>
            <w:hideMark/>
          </w:tcPr>
          <w:p w14:paraId="173A23B3" w14:textId="77777777" w:rsidR="0046257B" w:rsidRPr="009C778C" w:rsidRDefault="0046257B" w:rsidP="009C778C">
            <w:pPr>
              <w:rPr>
                <w:rFonts w:cstheme="minorHAnsi"/>
                <w:sz w:val="24"/>
                <w:szCs w:val="24"/>
              </w:rPr>
            </w:pPr>
            <w:r w:rsidRPr="009C778C">
              <w:rPr>
                <w:rFonts w:cstheme="minorHAnsi"/>
                <w:sz w:val="24"/>
                <w:szCs w:val="24"/>
              </w:rPr>
              <w:t>(− 0.85)</w:t>
            </w:r>
          </w:p>
        </w:tc>
        <w:tc>
          <w:tcPr>
            <w:tcW w:w="388" w:type="pct"/>
            <w:hideMark/>
          </w:tcPr>
          <w:p w14:paraId="2C7852A2" w14:textId="77777777" w:rsidR="0046257B" w:rsidRPr="009C778C" w:rsidRDefault="0046257B" w:rsidP="009C778C">
            <w:pPr>
              <w:rPr>
                <w:rFonts w:cstheme="minorHAnsi"/>
                <w:sz w:val="24"/>
                <w:szCs w:val="24"/>
              </w:rPr>
            </w:pPr>
            <w:r w:rsidRPr="009C778C">
              <w:rPr>
                <w:rFonts w:cstheme="minorHAnsi"/>
                <w:sz w:val="24"/>
                <w:szCs w:val="24"/>
              </w:rPr>
              <w:t>(− 0.98)</w:t>
            </w:r>
          </w:p>
        </w:tc>
        <w:tc>
          <w:tcPr>
            <w:tcW w:w="388" w:type="pct"/>
            <w:hideMark/>
          </w:tcPr>
          <w:p w14:paraId="1F06EB11" w14:textId="77777777" w:rsidR="0046257B" w:rsidRPr="009C778C" w:rsidRDefault="0046257B" w:rsidP="009C778C">
            <w:pPr>
              <w:rPr>
                <w:rFonts w:cstheme="minorHAnsi"/>
                <w:sz w:val="24"/>
                <w:szCs w:val="24"/>
              </w:rPr>
            </w:pPr>
            <w:r w:rsidRPr="009C778C">
              <w:rPr>
                <w:rFonts w:cstheme="minorHAnsi"/>
                <w:sz w:val="24"/>
                <w:szCs w:val="24"/>
              </w:rPr>
              <w:t>(0.84)</w:t>
            </w:r>
          </w:p>
        </w:tc>
        <w:tc>
          <w:tcPr>
            <w:tcW w:w="388" w:type="pct"/>
            <w:hideMark/>
          </w:tcPr>
          <w:p w14:paraId="6774B953" w14:textId="77777777" w:rsidR="0046257B" w:rsidRPr="009C778C" w:rsidRDefault="0046257B" w:rsidP="009C778C">
            <w:pPr>
              <w:rPr>
                <w:rFonts w:cstheme="minorHAnsi"/>
                <w:sz w:val="24"/>
                <w:szCs w:val="24"/>
              </w:rPr>
            </w:pPr>
            <w:r w:rsidRPr="009C778C">
              <w:rPr>
                <w:rFonts w:cstheme="minorHAnsi"/>
                <w:sz w:val="24"/>
                <w:szCs w:val="24"/>
              </w:rPr>
              <w:t>(− 0.05)</w:t>
            </w:r>
          </w:p>
        </w:tc>
        <w:tc>
          <w:tcPr>
            <w:tcW w:w="388" w:type="pct"/>
            <w:hideMark/>
          </w:tcPr>
          <w:p w14:paraId="03F6904E" w14:textId="77777777" w:rsidR="0046257B" w:rsidRPr="009C778C" w:rsidRDefault="0046257B" w:rsidP="009C778C">
            <w:pPr>
              <w:rPr>
                <w:rFonts w:cstheme="minorHAnsi"/>
                <w:sz w:val="24"/>
                <w:szCs w:val="24"/>
              </w:rPr>
            </w:pPr>
            <w:r w:rsidRPr="009C778C">
              <w:rPr>
                <w:rFonts w:cstheme="minorHAnsi"/>
                <w:sz w:val="24"/>
                <w:szCs w:val="24"/>
              </w:rPr>
              <w:t>(− 3.93)</w:t>
            </w:r>
          </w:p>
        </w:tc>
        <w:tc>
          <w:tcPr>
            <w:tcW w:w="388" w:type="pct"/>
            <w:hideMark/>
          </w:tcPr>
          <w:p w14:paraId="250AAA13" w14:textId="77777777" w:rsidR="0046257B" w:rsidRPr="009C778C" w:rsidRDefault="0046257B" w:rsidP="009C778C">
            <w:pPr>
              <w:rPr>
                <w:rFonts w:cstheme="minorHAnsi"/>
                <w:sz w:val="24"/>
                <w:szCs w:val="24"/>
              </w:rPr>
            </w:pPr>
            <w:r w:rsidRPr="009C778C">
              <w:rPr>
                <w:rFonts w:cstheme="minorHAnsi"/>
                <w:sz w:val="24"/>
                <w:szCs w:val="24"/>
              </w:rPr>
              <w:t>(− 4.13)</w:t>
            </w:r>
          </w:p>
        </w:tc>
        <w:tc>
          <w:tcPr>
            <w:tcW w:w="388" w:type="pct"/>
            <w:hideMark/>
          </w:tcPr>
          <w:p w14:paraId="252B550C" w14:textId="77777777" w:rsidR="0046257B" w:rsidRPr="009C778C" w:rsidRDefault="0046257B" w:rsidP="009C778C">
            <w:pPr>
              <w:rPr>
                <w:rFonts w:cstheme="minorHAnsi"/>
                <w:sz w:val="24"/>
                <w:szCs w:val="24"/>
              </w:rPr>
            </w:pPr>
            <w:r w:rsidRPr="009C778C">
              <w:rPr>
                <w:rFonts w:cstheme="minorHAnsi"/>
                <w:sz w:val="24"/>
                <w:szCs w:val="24"/>
              </w:rPr>
              <w:t>(0.01)</w:t>
            </w:r>
          </w:p>
        </w:tc>
        <w:tc>
          <w:tcPr>
            <w:tcW w:w="388" w:type="pct"/>
            <w:hideMark/>
          </w:tcPr>
          <w:p w14:paraId="0A6A8567" w14:textId="77777777" w:rsidR="0046257B" w:rsidRPr="009C778C" w:rsidRDefault="0046257B" w:rsidP="009C778C">
            <w:pPr>
              <w:rPr>
                <w:rFonts w:cstheme="minorHAnsi"/>
                <w:sz w:val="24"/>
                <w:szCs w:val="24"/>
              </w:rPr>
            </w:pPr>
            <w:r w:rsidRPr="009C778C">
              <w:rPr>
                <w:rFonts w:cstheme="minorHAnsi"/>
                <w:sz w:val="24"/>
                <w:szCs w:val="24"/>
              </w:rPr>
              <w:t>(0.02)</w:t>
            </w:r>
          </w:p>
        </w:tc>
        <w:tc>
          <w:tcPr>
            <w:tcW w:w="388" w:type="pct"/>
            <w:hideMark/>
          </w:tcPr>
          <w:p w14:paraId="338C844E" w14:textId="77777777" w:rsidR="0046257B" w:rsidRPr="009C778C" w:rsidRDefault="0046257B" w:rsidP="009C778C">
            <w:pPr>
              <w:rPr>
                <w:rFonts w:cstheme="minorHAnsi"/>
                <w:sz w:val="24"/>
                <w:szCs w:val="24"/>
              </w:rPr>
            </w:pPr>
            <w:r w:rsidRPr="009C778C">
              <w:rPr>
                <w:rFonts w:cstheme="minorHAnsi"/>
                <w:sz w:val="24"/>
                <w:szCs w:val="24"/>
              </w:rPr>
              <w:t>(− 7.57)</w:t>
            </w:r>
          </w:p>
        </w:tc>
        <w:tc>
          <w:tcPr>
            <w:tcW w:w="388" w:type="pct"/>
            <w:hideMark/>
          </w:tcPr>
          <w:p w14:paraId="30BC6D8B" w14:textId="77777777" w:rsidR="0046257B" w:rsidRPr="009C778C" w:rsidRDefault="0046257B" w:rsidP="009C778C">
            <w:pPr>
              <w:rPr>
                <w:rFonts w:cstheme="minorHAnsi"/>
                <w:sz w:val="24"/>
                <w:szCs w:val="24"/>
              </w:rPr>
            </w:pPr>
            <w:r w:rsidRPr="009C778C">
              <w:rPr>
                <w:rFonts w:cstheme="minorHAnsi"/>
                <w:sz w:val="24"/>
                <w:szCs w:val="24"/>
              </w:rPr>
              <w:t>(− 7.60)</w:t>
            </w:r>
          </w:p>
        </w:tc>
      </w:tr>
      <w:tr w:rsidR="009C778C" w:rsidRPr="009C778C" w14:paraId="4EF56641" w14:textId="77777777" w:rsidTr="0046257B">
        <w:tc>
          <w:tcPr>
            <w:tcW w:w="879" w:type="pct"/>
            <w:hideMark/>
          </w:tcPr>
          <w:p w14:paraId="267E037B" w14:textId="77777777" w:rsidR="009C778C" w:rsidRPr="009C778C" w:rsidRDefault="009C778C" w:rsidP="009C778C">
            <w:pPr>
              <w:rPr>
                <w:rFonts w:cstheme="minorHAnsi"/>
                <w:b/>
                <w:bCs/>
                <w:sz w:val="24"/>
                <w:szCs w:val="24"/>
              </w:rPr>
            </w:pPr>
            <w:r w:rsidRPr="009C778C">
              <w:rPr>
                <w:rFonts w:cstheme="minorHAnsi"/>
                <w:b/>
                <w:bCs/>
                <w:sz w:val="24"/>
                <w:szCs w:val="24"/>
              </w:rPr>
              <w:t>ACC_STANDARD</w:t>
            </w:r>
            <w:r w:rsidRPr="009C778C">
              <w:rPr>
                <w:rFonts w:cstheme="minorHAnsi"/>
                <w:b/>
                <w:bCs/>
                <w:sz w:val="24"/>
                <w:szCs w:val="24"/>
                <w:vertAlign w:val="subscript"/>
              </w:rPr>
              <w:t>t − 1</w:t>
            </w:r>
          </w:p>
        </w:tc>
        <w:tc>
          <w:tcPr>
            <w:tcW w:w="243" w:type="pct"/>
            <w:hideMark/>
          </w:tcPr>
          <w:p w14:paraId="4B584D77" w14:textId="77777777" w:rsidR="009C778C" w:rsidRPr="009C778C" w:rsidRDefault="009C778C" w:rsidP="009C778C">
            <w:pPr>
              <w:rPr>
                <w:rFonts w:cstheme="minorHAnsi"/>
                <w:b/>
                <w:bCs/>
                <w:sz w:val="24"/>
                <w:szCs w:val="24"/>
              </w:rPr>
            </w:pPr>
          </w:p>
        </w:tc>
        <w:tc>
          <w:tcPr>
            <w:tcW w:w="388" w:type="pct"/>
            <w:hideMark/>
          </w:tcPr>
          <w:p w14:paraId="15A0A886" w14:textId="77777777" w:rsidR="009C778C" w:rsidRPr="009C778C" w:rsidRDefault="009C778C" w:rsidP="009C778C">
            <w:pPr>
              <w:rPr>
                <w:rFonts w:cstheme="minorHAnsi"/>
                <w:sz w:val="24"/>
                <w:szCs w:val="24"/>
              </w:rPr>
            </w:pPr>
            <w:r w:rsidRPr="009C778C">
              <w:rPr>
                <w:rFonts w:cstheme="minorHAnsi"/>
                <w:sz w:val="24"/>
                <w:szCs w:val="24"/>
              </w:rPr>
              <w:t>− 0.006</w:t>
            </w:r>
          </w:p>
        </w:tc>
        <w:tc>
          <w:tcPr>
            <w:tcW w:w="388" w:type="pct"/>
            <w:hideMark/>
          </w:tcPr>
          <w:p w14:paraId="4F6DCB6F" w14:textId="77777777" w:rsidR="009C778C" w:rsidRPr="009C778C" w:rsidRDefault="009C778C" w:rsidP="009C778C">
            <w:pPr>
              <w:rPr>
                <w:rFonts w:cstheme="minorHAnsi"/>
                <w:sz w:val="24"/>
                <w:szCs w:val="24"/>
              </w:rPr>
            </w:pPr>
            <w:r w:rsidRPr="009C778C">
              <w:rPr>
                <w:rFonts w:cstheme="minorHAnsi"/>
                <w:sz w:val="24"/>
                <w:szCs w:val="24"/>
              </w:rPr>
              <w:t>− 0.006</w:t>
            </w:r>
          </w:p>
        </w:tc>
        <w:tc>
          <w:tcPr>
            <w:tcW w:w="388" w:type="pct"/>
            <w:hideMark/>
          </w:tcPr>
          <w:p w14:paraId="4222485A" w14:textId="77777777" w:rsidR="009C778C" w:rsidRPr="009C778C" w:rsidRDefault="009C778C" w:rsidP="009C778C">
            <w:pPr>
              <w:rPr>
                <w:rFonts w:cstheme="minorHAnsi"/>
                <w:sz w:val="24"/>
                <w:szCs w:val="24"/>
              </w:rPr>
            </w:pPr>
            <w:r w:rsidRPr="009C778C">
              <w:rPr>
                <w:rFonts w:cstheme="minorHAnsi"/>
                <w:sz w:val="24"/>
                <w:szCs w:val="24"/>
              </w:rPr>
              <w:t>0.008***</w:t>
            </w:r>
          </w:p>
        </w:tc>
        <w:tc>
          <w:tcPr>
            <w:tcW w:w="388" w:type="pct"/>
            <w:hideMark/>
          </w:tcPr>
          <w:p w14:paraId="383E752B" w14:textId="77777777" w:rsidR="009C778C" w:rsidRPr="009C778C" w:rsidRDefault="009C778C" w:rsidP="009C778C">
            <w:pPr>
              <w:rPr>
                <w:rFonts w:cstheme="minorHAnsi"/>
                <w:sz w:val="24"/>
                <w:szCs w:val="24"/>
              </w:rPr>
            </w:pPr>
            <w:r w:rsidRPr="009C778C">
              <w:rPr>
                <w:rFonts w:cstheme="minorHAnsi"/>
                <w:sz w:val="24"/>
                <w:szCs w:val="24"/>
              </w:rPr>
              <w:t>0.008***</w:t>
            </w:r>
          </w:p>
        </w:tc>
        <w:tc>
          <w:tcPr>
            <w:tcW w:w="388" w:type="pct"/>
            <w:hideMark/>
          </w:tcPr>
          <w:p w14:paraId="4F21CF9B" w14:textId="77777777" w:rsidR="009C778C" w:rsidRPr="009C778C" w:rsidRDefault="009C778C" w:rsidP="009C778C">
            <w:pPr>
              <w:rPr>
                <w:rFonts w:cstheme="minorHAnsi"/>
                <w:sz w:val="24"/>
                <w:szCs w:val="24"/>
              </w:rPr>
            </w:pPr>
            <w:r w:rsidRPr="009C778C">
              <w:rPr>
                <w:rFonts w:cstheme="minorHAnsi"/>
                <w:sz w:val="24"/>
                <w:szCs w:val="24"/>
              </w:rPr>
              <w:t>0.038*</w:t>
            </w:r>
          </w:p>
        </w:tc>
        <w:tc>
          <w:tcPr>
            <w:tcW w:w="388" w:type="pct"/>
            <w:hideMark/>
          </w:tcPr>
          <w:p w14:paraId="5F26571B" w14:textId="77777777" w:rsidR="009C778C" w:rsidRPr="009C778C" w:rsidRDefault="009C778C" w:rsidP="009C778C">
            <w:pPr>
              <w:rPr>
                <w:rFonts w:cstheme="minorHAnsi"/>
                <w:sz w:val="24"/>
                <w:szCs w:val="24"/>
              </w:rPr>
            </w:pPr>
            <w:r w:rsidRPr="009C778C">
              <w:rPr>
                <w:rFonts w:cstheme="minorHAnsi"/>
                <w:sz w:val="24"/>
                <w:szCs w:val="24"/>
              </w:rPr>
              <w:t>0.040*</w:t>
            </w:r>
          </w:p>
        </w:tc>
        <w:tc>
          <w:tcPr>
            <w:tcW w:w="388" w:type="pct"/>
            <w:hideMark/>
          </w:tcPr>
          <w:p w14:paraId="5CE892EE" w14:textId="77777777" w:rsidR="009C778C" w:rsidRPr="009C778C" w:rsidRDefault="009C778C" w:rsidP="009C778C">
            <w:pPr>
              <w:rPr>
                <w:rFonts w:cstheme="minorHAnsi"/>
                <w:sz w:val="24"/>
                <w:szCs w:val="24"/>
              </w:rPr>
            </w:pPr>
            <w:r w:rsidRPr="009C778C">
              <w:rPr>
                <w:rFonts w:cstheme="minorHAnsi"/>
                <w:sz w:val="24"/>
                <w:szCs w:val="24"/>
              </w:rPr>
              <w:t>0.018***</w:t>
            </w:r>
          </w:p>
        </w:tc>
        <w:tc>
          <w:tcPr>
            <w:tcW w:w="388" w:type="pct"/>
            <w:hideMark/>
          </w:tcPr>
          <w:p w14:paraId="6159926B" w14:textId="77777777" w:rsidR="009C778C" w:rsidRPr="009C778C" w:rsidRDefault="009C778C" w:rsidP="009C778C">
            <w:pPr>
              <w:rPr>
                <w:rFonts w:cstheme="minorHAnsi"/>
                <w:sz w:val="24"/>
                <w:szCs w:val="24"/>
              </w:rPr>
            </w:pPr>
            <w:r w:rsidRPr="009C778C">
              <w:rPr>
                <w:rFonts w:cstheme="minorHAnsi"/>
                <w:sz w:val="24"/>
                <w:szCs w:val="24"/>
              </w:rPr>
              <w:t>0.018***</w:t>
            </w:r>
          </w:p>
        </w:tc>
        <w:tc>
          <w:tcPr>
            <w:tcW w:w="388" w:type="pct"/>
            <w:hideMark/>
          </w:tcPr>
          <w:p w14:paraId="44530A88" w14:textId="77777777" w:rsidR="009C778C" w:rsidRPr="009C778C" w:rsidRDefault="009C778C" w:rsidP="009C778C">
            <w:pPr>
              <w:rPr>
                <w:rFonts w:cstheme="minorHAnsi"/>
                <w:sz w:val="24"/>
                <w:szCs w:val="24"/>
              </w:rPr>
            </w:pPr>
            <w:r w:rsidRPr="009C778C">
              <w:rPr>
                <w:rFonts w:cstheme="minorHAnsi"/>
                <w:sz w:val="24"/>
                <w:szCs w:val="24"/>
              </w:rPr>
              <w:t>0.079</w:t>
            </w:r>
          </w:p>
        </w:tc>
        <w:tc>
          <w:tcPr>
            <w:tcW w:w="388" w:type="pct"/>
            <w:hideMark/>
          </w:tcPr>
          <w:p w14:paraId="40C7E051" w14:textId="77777777" w:rsidR="009C778C" w:rsidRPr="009C778C" w:rsidRDefault="009C778C" w:rsidP="009C778C">
            <w:pPr>
              <w:rPr>
                <w:rFonts w:cstheme="minorHAnsi"/>
                <w:sz w:val="24"/>
                <w:szCs w:val="24"/>
              </w:rPr>
            </w:pPr>
            <w:r w:rsidRPr="009C778C">
              <w:rPr>
                <w:rFonts w:cstheme="minorHAnsi"/>
                <w:sz w:val="24"/>
                <w:szCs w:val="24"/>
              </w:rPr>
              <w:t>0.082</w:t>
            </w:r>
          </w:p>
        </w:tc>
      </w:tr>
      <w:tr w:rsidR="009C778C" w:rsidRPr="009C778C" w14:paraId="6851CEF5" w14:textId="77777777" w:rsidTr="0046257B">
        <w:tc>
          <w:tcPr>
            <w:tcW w:w="879" w:type="pct"/>
            <w:hideMark/>
          </w:tcPr>
          <w:p w14:paraId="3760BBDB" w14:textId="77777777" w:rsidR="009C778C" w:rsidRPr="009C778C" w:rsidRDefault="009C778C" w:rsidP="009C778C">
            <w:pPr>
              <w:rPr>
                <w:rFonts w:cstheme="minorHAnsi"/>
                <w:b/>
                <w:bCs/>
                <w:sz w:val="24"/>
                <w:szCs w:val="24"/>
              </w:rPr>
            </w:pPr>
          </w:p>
        </w:tc>
        <w:tc>
          <w:tcPr>
            <w:tcW w:w="243" w:type="pct"/>
            <w:hideMark/>
          </w:tcPr>
          <w:p w14:paraId="15139E26" w14:textId="77777777" w:rsidR="009C778C" w:rsidRPr="009C778C" w:rsidRDefault="009C778C" w:rsidP="009C778C">
            <w:pPr>
              <w:rPr>
                <w:rFonts w:cstheme="minorHAnsi"/>
                <w:b/>
                <w:bCs/>
                <w:sz w:val="24"/>
                <w:szCs w:val="24"/>
              </w:rPr>
            </w:pPr>
          </w:p>
        </w:tc>
        <w:tc>
          <w:tcPr>
            <w:tcW w:w="388" w:type="pct"/>
            <w:hideMark/>
          </w:tcPr>
          <w:p w14:paraId="2CA6C643" w14:textId="77777777" w:rsidR="009C778C" w:rsidRPr="009C778C" w:rsidRDefault="009C778C" w:rsidP="009C778C">
            <w:pPr>
              <w:rPr>
                <w:rFonts w:cstheme="minorHAnsi"/>
                <w:sz w:val="24"/>
                <w:szCs w:val="24"/>
              </w:rPr>
            </w:pPr>
            <w:r w:rsidRPr="009C778C">
              <w:rPr>
                <w:rFonts w:cstheme="minorHAnsi"/>
                <w:sz w:val="24"/>
                <w:szCs w:val="24"/>
              </w:rPr>
              <w:t>(− 1.57)</w:t>
            </w:r>
          </w:p>
        </w:tc>
        <w:tc>
          <w:tcPr>
            <w:tcW w:w="388" w:type="pct"/>
            <w:hideMark/>
          </w:tcPr>
          <w:p w14:paraId="1510C37F" w14:textId="77777777" w:rsidR="009C778C" w:rsidRPr="009C778C" w:rsidRDefault="009C778C" w:rsidP="009C778C">
            <w:pPr>
              <w:rPr>
                <w:rFonts w:cstheme="minorHAnsi"/>
                <w:sz w:val="24"/>
                <w:szCs w:val="24"/>
              </w:rPr>
            </w:pPr>
            <w:r w:rsidRPr="009C778C">
              <w:rPr>
                <w:rFonts w:cstheme="minorHAnsi"/>
                <w:sz w:val="24"/>
                <w:szCs w:val="24"/>
              </w:rPr>
              <w:t>(− 1.52)</w:t>
            </w:r>
          </w:p>
        </w:tc>
        <w:tc>
          <w:tcPr>
            <w:tcW w:w="388" w:type="pct"/>
            <w:hideMark/>
          </w:tcPr>
          <w:p w14:paraId="3F2899BB" w14:textId="77777777" w:rsidR="009C778C" w:rsidRPr="009C778C" w:rsidRDefault="009C778C" w:rsidP="009C778C">
            <w:pPr>
              <w:rPr>
                <w:rFonts w:cstheme="minorHAnsi"/>
                <w:sz w:val="24"/>
                <w:szCs w:val="24"/>
              </w:rPr>
            </w:pPr>
            <w:r w:rsidRPr="009C778C">
              <w:rPr>
                <w:rFonts w:cstheme="minorHAnsi"/>
                <w:sz w:val="24"/>
                <w:szCs w:val="24"/>
              </w:rPr>
              <w:t>(4.05)</w:t>
            </w:r>
          </w:p>
        </w:tc>
        <w:tc>
          <w:tcPr>
            <w:tcW w:w="388" w:type="pct"/>
            <w:hideMark/>
          </w:tcPr>
          <w:p w14:paraId="139E766D" w14:textId="77777777" w:rsidR="009C778C" w:rsidRPr="009C778C" w:rsidRDefault="009C778C" w:rsidP="009C778C">
            <w:pPr>
              <w:rPr>
                <w:rFonts w:cstheme="minorHAnsi"/>
                <w:sz w:val="24"/>
                <w:szCs w:val="24"/>
              </w:rPr>
            </w:pPr>
            <w:r w:rsidRPr="009C778C">
              <w:rPr>
                <w:rFonts w:cstheme="minorHAnsi"/>
                <w:sz w:val="24"/>
                <w:szCs w:val="24"/>
              </w:rPr>
              <w:t>(4.29)</w:t>
            </w:r>
          </w:p>
        </w:tc>
        <w:tc>
          <w:tcPr>
            <w:tcW w:w="388" w:type="pct"/>
            <w:hideMark/>
          </w:tcPr>
          <w:p w14:paraId="4131DEC2" w14:textId="77777777" w:rsidR="009C778C" w:rsidRPr="009C778C" w:rsidRDefault="009C778C" w:rsidP="009C778C">
            <w:pPr>
              <w:rPr>
                <w:rFonts w:cstheme="minorHAnsi"/>
                <w:sz w:val="24"/>
                <w:szCs w:val="24"/>
              </w:rPr>
            </w:pPr>
            <w:r w:rsidRPr="009C778C">
              <w:rPr>
                <w:rFonts w:cstheme="minorHAnsi"/>
                <w:sz w:val="24"/>
                <w:szCs w:val="24"/>
              </w:rPr>
              <w:t>(1.81)</w:t>
            </w:r>
          </w:p>
        </w:tc>
        <w:tc>
          <w:tcPr>
            <w:tcW w:w="388" w:type="pct"/>
            <w:hideMark/>
          </w:tcPr>
          <w:p w14:paraId="313B83EE" w14:textId="77777777" w:rsidR="009C778C" w:rsidRPr="009C778C" w:rsidRDefault="009C778C" w:rsidP="009C778C">
            <w:pPr>
              <w:rPr>
                <w:rFonts w:cstheme="minorHAnsi"/>
                <w:sz w:val="24"/>
                <w:szCs w:val="24"/>
              </w:rPr>
            </w:pPr>
            <w:r w:rsidRPr="009C778C">
              <w:rPr>
                <w:rFonts w:cstheme="minorHAnsi"/>
                <w:sz w:val="24"/>
                <w:szCs w:val="24"/>
              </w:rPr>
              <w:t>(1.89)</w:t>
            </w:r>
          </w:p>
        </w:tc>
        <w:tc>
          <w:tcPr>
            <w:tcW w:w="388" w:type="pct"/>
            <w:hideMark/>
          </w:tcPr>
          <w:p w14:paraId="534117ED" w14:textId="77777777" w:rsidR="009C778C" w:rsidRPr="009C778C" w:rsidRDefault="009C778C" w:rsidP="009C778C">
            <w:pPr>
              <w:rPr>
                <w:rFonts w:cstheme="minorHAnsi"/>
                <w:sz w:val="24"/>
                <w:szCs w:val="24"/>
              </w:rPr>
            </w:pPr>
            <w:r w:rsidRPr="009C778C">
              <w:rPr>
                <w:rFonts w:cstheme="minorHAnsi"/>
                <w:sz w:val="24"/>
                <w:szCs w:val="24"/>
              </w:rPr>
              <w:t>(5.76)</w:t>
            </w:r>
          </w:p>
        </w:tc>
        <w:tc>
          <w:tcPr>
            <w:tcW w:w="388" w:type="pct"/>
            <w:hideMark/>
          </w:tcPr>
          <w:p w14:paraId="033FD078" w14:textId="77777777" w:rsidR="009C778C" w:rsidRPr="009C778C" w:rsidRDefault="009C778C" w:rsidP="009C778C">
            <w:pPr>
              <w:rPr>
                <w:rFonts w:cstheme="minorHAnsi"/>
                <w:sz w:val="24"/>
                <w:szCs w:val="24"/>
              </w:rPr>
            </w:pPr>
            <w:r w:rsidRPr="009C778C">
              <w:rPr>
                <w:rFonts w:cstheme="minorHAnsi"/>
                <w:sz w:val="24"/>
                <w:szCs w:val="24"/>
              </w:rPr>
              <w:t>(5.76)</w:t>
            </w:r>
          </w:p>
        </w:tc>
        <w:tc>
          <w:tcPr>
            <w:tcW w:w="388" w:type="pct"/>
            <w:hideMark/>
          </w:tcPr>
          <w:p w14:paraId="422D3840" w14:textId="77777777" w:rsidR="009C778C" w:rsidRPr="009C778C" w:rsidRDefault="009C778C" w:rsidP="009C778C">
            <w:pPr>
              <w:rPr>
                <w:rFonts w:cstheme="minorHAnsi"/>
                <w:sz w:val="24"/>
                <w:szCs w:val="24"/>
              </w:rPr>
            </w:pPr>
            <w:r w:rsidRPr="009C778C">
              <w:rPr>
                <w:rFonts w:cstheme="minorHAnsi"/>
                <w:sz w:val="24"/>
                <w:szCs w:val="24"/>
              </w:rPr>
              <w:t>(0.74)</w:t>
            </w:r>
          </w:p>
        </w:tc>
        <w:tc>
          <w:tcPr>
            <w:tcW w:w="388" w:type="pct"/>
            <w:hideMark/>
          </w:tcPr>
          <w:p w14:paraId="5BD3D2FB" w14:textId="77777777" w:rsidR="009C778C" w:rsidRPr="009C778C" w:rsidRDefault="009C778C" w:rsidP="009C778C">
            <w:pPr>
              <w:rPr>
                <w:rFonts w:cstheme="minorHAnsi"/>
                <w:sz w:val="24"/>
                <w:szCs w:val="24"/>
              </w:rPr>
            </w:pPr>
            <w:r w:rsidRPr="009C778C">
              <w:rPr>
                <w:rFonts w:cstheme="minorHAnsi"/>
                <w:sz w:val="24"/>
                <w:szCs w:val="24"/>
              </w:rPr>
              <w:t>(0.77)</w:t>
            </w:r>
          </w:p>
        </w:tc>
      </w:tr>
      <w:tr w:rsidR="009C778C" w:rsidRPr="009C778C" w14:paraId="304D47BE" w14:textId="77777777" w:rsidTr="0046257B">
        <w:tc>
          <w:tcPr>
            <w:tcW w:w="879" w:type="pct"/>
            <w:hideMark/>
          </w:tcPr>
          <w:p w14:paraId="257D7CCD" w14:textId="77777777" w:rsidR="009C778C" w:rsidRPr="009C778C" w:rsidRDefault="009C778C" w:rsidP="009C778C">
            <w:pPr>
              <w:rPr>
                <w:rFonts w:cstheme="minorHAnsi"/>
                <w:b/>
                <w:bCs/>
                <w:sz w:val="24"/>
                <w:szCs w:val="24"/>
              </w:rPr>
            </w:pPr>
            <w:r w:rsidRPr="009C778C">
              <w:rPr>
                <w:rFonts w:cstheme="minorHAnsi"/>
                <w:b/>
                <w:bCs/>
                <w:sz w:val="24"/>
                <w:szCs w:val="24"/>
              </w:rPr>
              <w:t>GDPGROWTH</w:t>
            </w:r>
            <w:r w:rsidRPr="009C778C">
              <w:rPr>
                <w:rFonts w:cstheme="minorHAnsi"/>
                <w:b/>
                <w:bCs/>
                <w:sz w:val="24"/>
                <w:szCs w:val="24"/>
                <w:vertAlign w:val="subscript"/>
              </w:rPr>
              <w:t>t − 1</w:t>
            </w:r>
          </w:p>
        </w:tc>
        <w:tc>
          <w:tcPr>
            <w:tcW w:w="243" w:type="pct"/>
            <w:hideMark/>
          </w:tcPr>
          <w:p w14:paraId="5A29783F" w14:textId="77777777" w:rsidR="009C778C" w:rsidRPr="009C778C" w:rsidRDefault="009C778C" w:rsidP="009C778C">
            <w:pPr>
              <w:rPr>
                <w:rFonts w:cstheme="minorHAnsi"/>
                <w:b/>
                <w:bCs/>
                <w:sz w:val="24"/>
                <w:szCs w:val="24"/>
              </w:rPr>
            </w:pPr>
          </w:p>
        </w:tc>
        <w:tc>
          <w:tcPr>
            <w:tcW w:w="388" w:type="pct"/>
            <w:hideMark/>
          </w:tcPr>
          <w:p w14:paraId="03F6F670" w14:textId="77777777" w:rsidR="009C778C" w:rsidRPr="009C778C" w:rsidRDefault="009C778C" w:rsidP="009C778C">
            <w:pPr>
              <w:rPr>
                <w:rFonts w:cstheme="minorHAnsi"/>
                <w:sz w:val="24"/>
                <w:szCs w:val="24"/>
              </w:rPr>
            </w:pPr>
            <w:r w:rsidRPr="009C778C">
              <w:rPr>
                <w:rFonts w:cstheme="minorHAnsi"/>
                <w:sz w:val="24"/>
                <w:szCs w:val="24"/>
              </w:rPr>
              <w:t>− 0.022</w:t>
            </w:r>
          </w:p>
        </w:tc>
        <w:tc>
          <w:tcPr>
            <w:tcW w:w="388" w:type="pct"/>
            <w:hideMark/>
          </w:tcPr>
          <w:p w14:paraId="3458C93B" w14:textId="77777777" w:rsidR="009C778C" w:rsidRPr="009C778C" w:rsidRDefault="009C778C" w:rsidP="009C778C">
            <w:pPr>
              <w:rPr>
                <w:rFonts w:cstheme="minorHAnsi"/>
                <w:sz w:val="24"/>
                <w:szCs w:val="24"/>
              </w:rPr>
            </w:pPr>
            <w:r w:rsidRPr="009C778C">
              <w:rPr>
                <w:rFonts w:cstheme="minorHAnsi"/>
                <w:sz w:val="24"/>
                <w:szCs w:val="24"/>
              </w:rPr>
              <w:t>− 0.020</w:t>
            </w:r>
          </w:p>
        </w:tc>
        <w:tc>
          <w:tcPr>
            <w:tcW w:w="388" w:type="pct"/>
            <w:hideMark/>
          </w:tcPr>
          <w:p w14:paraId="4D2CAC28" w14:textId="77777777" w:rsidR="009C778C" w:rsidRPr="009C778C" w:rsidRDefault="009C778C" w:rsidP="009C778C">
            <w:pPr>
              <w:rPr>
                <w:rFonts w:cstheme="minorHAnsi"/>
                <w:sz w:val="24"/>
                <w:szCs w:val="24"/>
              </w:rPr>
            </w:pPr>
            <w:r w:rsidRPr="009C778C">
              <w:rPr>
                <w:rFonts w:cstheme="minorHAnsi"/>
                <w:sz w:val="24"/>
                <w:szCs w:val="24"/>
              </w:rPr>
              <w:t>− 0.218***</w:t>
            </w:r>
          </w:p>
        </w:tc>
        <w:tc>
          <w:tcPr>
            <w:tcW w:w="388" w:type="pct"/>
            <w:hideMark/>
          </w:tcPr>
          <w:p w14:paraId="45D55E8F" w14:textId="77777777" w:rsidR="009C778C" w:rsidRPr="009C778C" w:rsidRDefault="009C778C" w:rsidP="009C778C">
            <w:pPr>
              <w:rPr>
                <w:rFonts w:cstheme="minorHAnsi"/>
                <w:sz w:val="24"/>
                <w:szCs w:val="24"/>
              </w:rPr>
            </w:pPr>
            <w:r w:rsidRPr="009C778C">
              <w:rPr>
                <w:rFonts w:cstheme="minorHAnsi"/>
                <w:sz w:val="24"/>
                <w:szCs w:val="24"/>
              </w:rPr>
              <w:t>− 0.214***</w:t>
            </w:r>
          </w:p>
        </w:tc>
        <w:tc>
          <w:tcPr>
            <w:tcW w:w="388" w:type="pct"/>
            <w:hideMark/>
          </w:tcPr>
          <w:p w14:paraId="25998099" w14:textId="77777777" w:rsidR="009C778C" w:rsidRPr="009C778C" w:rsidRDefault="009C778C" w:rsidP="009C778C">
            <w:pPr>
              <w:rPr>
                <w:rFonts w:cstheme="minorHAnsi"/>
                <w:sz w:val="24"/>
                <w:szCs w:val="24"/>
              </w:rPr>
            </w:pPr>
            <w:r w:rsidRPr="009C778C">
              <w:rPr>
                <w:rFonts w:cstheme="minorHAnsi"/>
                <w:sz w:val="24"/>
                <w:szCs w:val="24"/>
              </w:rPr>
              <w:t>− 0.869**</w:t>
            </w:r>
          </w:p>
        </w:tc>
        <w:tc>
          <w:tcPr>
            <w:tcW w:w="388" w:type="pct"/>
            <w:hideMark/>
          </w:tcPr>
          <w:p w14:paraId="0CE72F99" w14:textId="77777777" w:rsidR="009C778C" w:rsidRPr="009C778C" w:rsidRDefault="009C778C" w:rsidP="009C778C">
            <w:pPr>
              <w:rPr>
                <w:rFonts w:cstheme="minorHAnsi"/>
                <w:sz w:val="24"/>
                <w:szCs w:val="24"/>
              </w:rPr>
            </w:pPr>
            <w:r w:rsidRPr="009C778C">
              <w:rPr>
                <w:rFonts w:cstheme="minorHAnsi"/>
                <w:sz w:val="24"/>
                <w:szCs w:val="24"/>
              </w:rPr>
              <w:t>− 0.858**</w:t>
            </w:r>
          </w:p>
        </w:tc>
        <w:tc>
          <w:tcPr>
            <w:tcW w:w="388" w:type="pct"/>
            <w:hideMark/>
          </w:tcPr>
          <w:p w14:paraId="1C19B509" w14:textId="77777777" w:rsidR="009C778C" w:rsidRPr="009C778C" w:rsidRDefault="009C778C" w:rsidP="009C778C">
            <w:pPr>
              <w:rPr>
                <w:rFonts w:cstheme="minorHAnsi"/>
                <w:sz w:val="24"/>
                <w:szCs w:val="24"/>
              </w:rPr>
            </w:pPr>
            <w:r w:rsidRPr="009C778C">
              <w:rPr>
                <w:rFonts w:cstheme="minorHAnsi"/>
                <w:sz w:val="24"/>
                <w:szCs w:val="24"/>
              </w:rPr>
              <w:t>0.566***</w:t>
            </w:r>
          </w:p>
        </w:tc>
        <w:tc>
          <w:tcPr>
            <w:tcW w:w="388" w:type="pct"/>
            <w:hideMark/>
          </w:tcPr>
          <w:p w14:paraId="2142D371" w14:textId="77777777" w:rsidR="009C778C" w:rsidRPr="009C778C" w:rsidRDefault="009C778C" w:rsidP="009C778C">
            <w:pPr>
              <w:rPr>
                <w:rFonts w:cstheme="minorHAnsi"/>
                <w:sz w:val="24"/>
                <w:szCs w:val="24"/>
              </w:rPr>
            </w:pPr>
            <w:r w:rsidRPr="009C778C">
              <w:rPr>
                <w:rFonts w:cstheme="minorHAnsi"/>
                <w:sz w:val="24"/>
                <w:szCs w:val="24"/>
              </w:rPr>
              <w:t>0.569***</w:t>
            </w:r>
          </w:p>
        </w:tc>
        <w:tc>
          <w:tcPr>
            <w:tcW w:w="388" w:type="pct"/>
            <w:hideMark/>
          </w:tcPr>
          <w:p w14:paraId="1BB6603B" w14:textId="77777777" w:rsidR="009C778C" w:rsidRPr="009C778C" w:rsidRDefault="009C778C" w:rsidP="009C778C">
            <w:pPr>
              <w:rPr>
                <w:rFonts w:cstheme="minorHAnsi"/>
                <w:sz w:val="24"/>
                <w:szCs w:val="24"/>
              </w:rPr>
            </w:pPr>
            <w:r w:rsidRPr="009C778C">
              <w:rPr>
                <w:rFonts w:cstheme="minorHAnsi"/>
                <w:sz w:val="24"/>
                <w:szCs w:val="24"/>
              </w:rPr>
              <w:t>− 3.895**</w:t>
            </w:r>
          </w:p>
        </w:tc>
        <w:tc>
          <w:tcPr>
            <w:tcW w:w="388" w:type="pct"/>
            <w:hideMark/>
          </w:tcPr>
          <w:p w14:paraId="3E968A88" w14:textId="77777777" w:rsidR="009C778C" w:rsidRPr="009C778C" w:rsidRDefault="009C778C" w:rsidP="009C778C">
            <w:pPr>
              <w:rPr>
                <w:rFonts w:cstheme="minorHAnsi"/>
                <w:sz w:val="24"/>
                <w:szCs w:val="24"/>
              </w:rPr>
            </w:pPr>
            <w:r w:rsidRPr="009C778C">
              <w:rPr>
                <w:rFonts w:cstheme="minorHAnsi"/>
                <w:sz w:val="24"/>
                <w:szCs w:val="24"/>
              </w:rPr>
              <w:t>− 3.830**</w:t>
            </w:r>
          </w:p>
        </w:tc>
      </w:tr>
      <w:tr w:rsidR="009C778C" w:rsidRPr="009C778C" w14:paraId="202EF740" w14:textId="77777777" w:rsidTr="0046257B">
        <w:tc>
          <w:tcPr>
            <w:tcW w:w="879" w:type="pct"/>
            <w:hideMark/>
          </w:tcPr>
          <w:p w14:paraId="1FC610AD" w14:textId="77777777" w:rsidR="009C778C" w:rsidRPr="009C778C" w:rsidRDefault="009C778C" w:rsidP="009C778C">
            <w:pPr>
              <w:rPr>
                <w:rFonts w:cstheme="minorHAnsi"/>
                <w:b/>
                <w:bCs/>
                <w:sz w:val="24"/>
                <w:szCs w:val="24"/>
              </w:rPr>
            </w:pPr>
          </w:p>
        </w:tc>
        <w:tc>
          <w:tcPr>
            <w:tcW w:w="243" w:type="pct"/>
            <w:hideMark/>
          </w:tcPr>
          <w:p w14:paraId="0C7A8FB9" w14:textId="77777777" w:rsidR="009C778C" w:rsidRPr="009C778C" w:rsidRDefault="009C778C" w:rsidP="009C778C">
            <w:pPr>
              <w:rPr>
                <w:rFonts w:cstheme="minorHAnsi"/>
                <w:b/>
                <w:bCs/>
                <w:sz w:val="24"/>
                <w:szCs w:val="24"/>
              </w:rPr>
            </w:pPr>
          </w:p>
        </w:tc>
        <w:tc>
          <w:tcPr>
            <w:tcW w:w="388" w:type="pct"/>
            <w:hideMark/>
          </w:tcPr>
          <w:p w14:paraId="54E85BA3" w14:textId="77777777" w:rsidR="009C778C" w:rsidRPr="009C778C" w:rsidRDefault="009C778C" w:rsidP="009C778C">
            <w:pPr>
              <w:rPr>
                <w:rFonts w:cstheme="minorHAnsi"/>
                <w:sz w:val="24"/>
                <w:szCs w:val="24"/>
              </w:rPr>
            </w:pPr>
            <w:r w:rsidRPr="009C778C">
              <w:rPr>
                <w:rFonts w:cstheme="minorHAnsi"/>
                <w:sz w:val="24"/>
                <w:szCs w:val="24"/>
              </w:rPr>
              <w:t>(− 0.29)</w:t>
            </w:r>
          </w:p>
        </w:tc>
        <w:tc>
          <w:tcPr>
            <w:tcW w:w="388" w:type="pct"/>
            <w:hideMark/>
          </w:tcPr>
          <w:p w14:paraId="7110553A" w14:textId="77777777" w:rsidR="009C778C" w:rsidRPr="009C778C" w:rsidRDefault="009C778C" w:rsidP="009C778C">
            <w:pPr>
              <w:rPr>
                <w:rFonts w:cstheme="minorHAnsi"/>
                <w:sz w:val="24"/>
                <w:szCs w:val="24"/>
              </w:rPr>
            </w:pPr>
            <w:r w:rsidRPr="009C778C">
              <w:rPr>
                <w:rFonts w:cstheme="minorHAnsi"/>
                <w:sz w:val="24"/>
                <w:szCs w:val="24"/>
              </w:rPr>
              <w:t>(− 0.26)</w:t>
            </w:r>
          </w:p>
        </w:tc>
        <w:tc>
          <w:tcPr>
            <w:tcW w:w="388" w:type="pct"/>
            <w:hideMark/>
          </w:tcPr>
          <w:p w14:paraId="1AA28A2F" w14:textId="77777777" w:rsidR="009C778C" w:rsidRPr="009C778C" w:rsidRDefault="009C778C" w:rsidP="009C778C">
            <w:pPr>
              <w:rPr>
                <w:rFonts w:cstheme="minorHAnsi"/>
                <w:sz w:val="24"/>
                <w:szCs w:val="24"/>
              </w:rPr>
            </w:pPr>
            <w:r w:rsidRPr="009C778C">
              <w:rPr>
                <w:rFonts w:cstheme="minorHAnsi"/>
                <w:sz w:val="24"/>
                <w:szCs w:val="24"/>
              </w:rPr>
              <w:t>(− 6.25)</w:t>
            </w:r>
          </w:p>
        </w:tc>
        <w:tc>
          <w:tcPr>
            <w:tcW w:w="388" w:type="pct"/>
            <w:hideMark/>
          </w:tcPr>
          <w:p w14:paraId="689BE724" w14:textId="77777777" w:rsidR="009C778C" w:rsidRPr="009C778C" w:rsidRDefault="009C778C" w:rsidP="009C778C">
            <w:pPr>
              <w:rPr>
                <w:rFonts w:cstheme="minorHAnsi"/>
                <w:sz w:val="24"/>
                <w:szCs w:val="24"/>
              </w:rPr>
            </w:pPr>
            <w:r w:rsidRPr="009C778C">
              <w:rPr>
                <w:rFonts w:cstheme="minorHAnsi"/>
                <w:sz w:val="24"/>
                <w:szCs w:val="24"/>
              </w:rPr>
              <w:t>(− 6.14)</w:t>
            </w:r>
          </w:p>
        </w:tc>
        <w:tc>
          <w:tcPr>
            <w:tcW w:w="388" w:type="pct"/>
            <w:hideMark/>
          </w:tcPr>
          <w:p w14:paraId="3FFF4784" w14:textId="77777777" w:rsidR="009C778C" w:rsidRPr="009C778C" w:rsidRDefault="009C778C" w:rsidP="009C778C">
            <w:pPr>
              <w:rPr>
                <w:rFonts w:cstheme="minorHAnsi"/>
                <w:sz w:val="24"/>
                <w:szCs w:val="24"/>
              </w:rPr>
            </w:pPr>
            <w:r w:rsidRPr="009C778C">
              <w:rPr>
                <w:rFonts w:cstheme="minorHAnsi"/>
                <w:sz w:val="24"/>
                <w:szCs w:val="24"/>
              </w:rPr>
              <w:t>(− 2.09)</w:t>
            </w:r>
          </w:p>
        </w:tc>
        <w:tc>
          <w:tcPr>
            <w:tcW w:w="388" w:type="pct"/>
            <w:hideMark/>
          </w:tcPr>
          <w:p w14:paraId="3F675AF6" w14:textId="77777777" w:rsidR="009C778C" w:rsidRPr="009C778C" w:rsidRDefault="009C778C" w:rsidP="009C778C">
            <w:pPr>
              <w:rPr>
                <w:rFonts w:cstheme="minorHAnsi"/>
                <w:sz w:val="24"/>
                <w:szCs w:val="24"/>
              </w:rPr>
            </w:pPr>
            <w:r w:rsidRPr="009C778C">
              <w:rPr>
                <w:rFonts w:cstheme="minorHAnsi"/>
                <w:sz w:val="24"/>
                <w:szCs w:val="24"/>
              </w:rPr>
              <w:t>(− 2.06)</w:t>
            </w:r>
          </w:p>
        </w:tc>
        <w:tc>
          <w:tcPr>
            <w:tcW w:w="388" w:type="pct"/>
            <w:hideMark/>
          </w:tcPr>
          <w:p w14:paraId="7B195832" w14:textId="77777777" w:rsidR="009C778C" w:rsidRPr="009C778C" w:rsidRDefault="009C778C" w:rsidP="009C778C">
            <w:pPr>
              <w:rPr>
                <w:rFonts w:cstheme="minorHAnsi"/>
                <w:sz w:val="24"/>
                <w:szCs w:val="24"/>
              </w:rPr>
            </w:pPr>
            <w:r w:rsidRPr="009C778C">
              <w:rPr>
                <w:rFonts w:cstheme="minorHAnsi"/>
                <w:sz w:val="24"/>
                <w:szCs w:val="24"/>
              </w:rPr>
              <w:t>(9.36)</w:t>
            </w:r>
          </w:p>
        </w:tc>
        <w:tc>
          <w:tcPr>
            <w:tcW w:w="388" w:type="pct"/>
            <w:hideMark/>
          </w:tcPr>
          <w:p w14:paraId="16596549" w14:textId="77777777" w:rsidR="009C778C" w:rsidRPr="009C778C" w:rsidRDefault="009C778C" w:rsidP="009C778C">
            <w:pPr>
              <w:rPr>
                <w:rFonts w:cstheme="minorHAnsi"/>
                <w:sz w:val="24"/>
                <w:szCs w:val="24"/>
              </w:rPr>
            </w:pPr>
            <w:r w:rsidRPr="009C778C">
              <w:rPr>
                <w:rFonts w:cstheme="minorHAnsi"/>
                <w:sz w:val="24"/>
                <w:szCs w:val="24"/>
              </w:rPr>
              <w:t>(9.40)</w:t>
            </w:r>
          </w:p>
        </w:tc>
        <w:tc>
          <w:tcPr>
            <w:tcW w:w="388" w:type="pct"/>
            <w:hideMark/>
          </w:tcPr>
          <w:p w14:paraId="7E8F6361" w14:textId="77777777" w:rsidR="009C778C" w:rsidRPr="009C778C" w:rsidRDefault="009C778C" w:rsidP="009C778C">
            <w:pPr>
              <w:rPr>
                <w:rFonts w:cstheme="minorHAnsi"/>
                <w:sz w:val="24"/>
                <w:szCs w:val="24"/>
              </w:rPr>
            </w:pPr>
            <w:r w:rsidRPr="009C778C">
              <w:rPr>
                <w:rFonts w:cstheme="minorHAnsi"/>
                <w:sz w:val="24"/>
                <w:szCs w:val="24"/>
              </w:rPr>
              <w:t>(− 2.49)</w:t>
            </w:r>
          </w:p>
        </w:tc>
        <w:tc>
          <w:tcPr>
            <w:tcW w:w="388" w:type="pct"/>
            <w:hideMark/>
          </w:tcPr>
          <w:p w14:paraId="5DE4737A" w14:textId="77777777" w:rsidR="009C778C" w:rsidRPr="009C778C" w:rsidRDefault="009C778C" w:rsidP="009C778C">
            <w:pPr>
              <w:rPr>
                <w:rFonts w:cstheme="minorHAnsi"/>
                <w:sz w:val="24"/>
                <w:szCs w:val="24"/>
              </w:rPr>
            </w:pPr>
            <w:r w:rsidRPr="009C778C">
              <w:rPr>
                <w:rFonts w:cstheme="minorHAnsi"/>
                <w:sz w:val="24"/>
                <w:szCs w:val="24"/>
              </w:rPr>
              <w:t>(− 2.45)</w:t>
            </w:r>
          </w:p>
        </w:tc>
      </w:tr>
      <w:tr w:rsidR="009C778C" w:rsidRPr="009C778C" w14:paraId="28263A7D" w14:textId="77777777" w:rsidTr="0046257B">
        <w:tc>
          <w:tcPr>
            <w:tcW w:w="879" w:type="pct"/>
            <w:hideMark/>
          </w:tcPr>
          <w:p w14:paraId="44D00341" w14:textId="77777777" w:rsidR="009C778C" w:rsidRPr="009C778C" w:rsidRDefault="009C778C" w:rsidP="009C778C">
            <w:pPr>
              <w:rPr>
                <w:rFonts w:cstheme="minorHAnsi"/>
                <w:b/>
                <w:bCs/>
                <w:sz w:val="24"/>
                <w:szCs w:val="24"/>
              </w:rPr>
            </w:pPr>
            <w:r w:rsidRPr="009C778C">
              <w:rPr>
                <w:rFonts w:cstheme="minorHAnsi"/>
                <w:b/>
                <w:bCs/>
                <w:sz w:val="24"/>
                <w:szCs w:val="24"/>
              </w:rPr>
              <w:t>INFLATION</w:t>
            </w:r>
            <w:r w:rsidRPr="009C778C">
              <w:rPr>
                <w:rFonts w:cstheme="minorHAnsi"/>
                <w:b/>
                <w:bCs/>
                <w:sz w:val="24"/>
                <w:szCs w:val="24"/>
                <w:vertAlign w:val="subscript"/>
              </w:rPr>
              <w:t>t − 1</w:t>
            </w:r>
          </w:p>
        </w:tc>
        <w:tc>
          <w:tcPr>
            <w:tcW w:w="243" w:type="pct"/>
            <w:hideMark/>
          </w:tcPr>
          <w:p w14:paraId="7B19A682" w14:textId="77777777" w:rsidR="009C778C" w:rsidRPr="009C778C" w:rsidRDefault="009C778C" w:rsidP="009C778C">
            <w:pPr>
              <w:rPr>
                <w:rFonts w:cstheme="minorHAnsi"/>
                <w:b/>
                <w:bCs/>
                <w:sz w:val="24"/>
                <w:szCs w:val="24"/>
              </w:rPr>
            </w:pPr>
          </w:p>
        </w:tc>
        <w:tc>
          <w:tcPr>
            <w:tcW w:w="388" w:type="pct"/>
            <w:hideMark/>
          </w:tcPr>
          <w:p w14:paraId="2215B786" w14:textId="77777777" w:rsidR="009C778C" w:rsidRPr="009C778C" w:rsidRDefault="009C778C" w:rsidP="009C778C">
            <w:pPr>
              <w:rPr>
                <w:rFonts w:cstheme="minorHAnsi"/>
                <w:sz w:val="24"/>
                <w:szCs w:val="24"/>
              </w:rPr>
            </w:pPr>
            <w:r w:rsidRPr="009C778C">
              <w:rPr>
                <w:rFonts w:cstheme="minorHAnsi"/>
                <w:sz w:val="24"/>
                <w:szCs w:val="24"/>
              </w:rPr>
              <w:t>− 0.215**</w:t>
            </w:r>
          </w:p>
        </w:tc>
        <w:tc>
          <w:tcPr>
            <w:tcW w:w="388" w:type="pct"/>
            <w:hideMark/>
          </w:tcPr>
          <w:p w14:paraId="362E518B" w14:textId="77777777" w:rsidR="009C778C" w:rsidRPr="009C778C" w:rsidRDefault="009C778C" w:rsidP="009C778C">
            <w:pPr>
              <w:rPr>
                <w:rFonts w:cstheme="minorHAnsi"/>
                <w:sz w:val="24"/>
                <w:szCs w:val="24"/>
              </w:rPr>
            </w:pPr>
            <w:r w:rsidRPr="009C778C">
              <w:rPr>
                <w:rFonts w:cstheme="minorHAnsi"/>
                <w:sz w:val="24"/>
                <w:szCs w:val="24"/>
              </w:rPr>
              <w:t>− 0.212**</w:t>
            </w:r>
          </w:p>
        </w:tc>
        <w:tc>
          <w:tcPr>
            <w:tcW w:w="388" w:type="pct"/>
            <w:hideMark/>
          </w:tcPr>
          <w:p w14:paraId="29FB0E60" w14:textId="77777777" w:rsidR="009C778C" w:rsidRPr="009C778C" w:rsidRDefault="009C778C" w:rsidP="009C778C">
            <w:pPr>
              <w:rPr>
                <w:rFonts w:cstheme="minorHAnsi"/>
                <w:sz w:val="24"/>
                <w:szCs w:val="24"/>
              </w:rPr>
            </w:pPr>
            <w:r w:rsidRPr="009C778C">
              <w:rPr>
                <w:rFonts w:cstheme="minorHAnsi"/>
                <w:sz w:val="24"/>
                <w:szCs w:val="24"/>
              </w:rPr>
              <w:t>− 0.052</w:t>
            </w:r>
          </w:p>
        </w:tc>
        <w:tc>
          <w:tcPr>
            <w:tcW w:w="388" w:type="pct"/>
            <w:hideMark/>
          </w:tcPr>
          <w:p w14:paraId="1F633A4A" w14:textId="77777777" w:rsidR="009C778C" w:rsidRPr="009C778C" w:rsidRDefault="009C778C" w:rsidP="009C778C">
            <w:pPr>
              <w:rPr>
                <w:rFonts w:cstheme="minorHAnsi"/>
                <w:sz w:val="24"/>
                <w:szCs w:val="24"/>
              </w:rPr>
            </w:pPr>
            <w:r w:rsidRPr="009C778C">
              <w:rPr>
                <w:rFonts w:cstheme="minorHAnsi"/>
                <w:sz w:val="24"/>
                <w:szCs w:val="24"/>
              </w:rPr>
              <w:t>− 0.042</w:t>
            </w:r>
          </w:p>
        </w:tc>
        <w:tc>
          <w:tcPr>
            <w:tcW w:w="388" w:type="pct"/>
            <w:hideMark/>
          </w:tcPr>
          <w:p w14:paraId="3CBFF250" w14:textId="77777777" w:rsidR="009C778C" w:rsidRPr="009C778C" w:rsidRDefault="009C778C" w:rsidP="009C778C">
            <w:pPr>
              <w:rPr>
                <w:rFonts w:cstheme="minorHAnsi"/>
                <w:sz w:val="24"/>
                <w:szCs w:val="24"/>
              </w:rPr>
            </w:pPr>
            <w:r w:rsidRPr="009C778C">
              <w:rPr>
                <w:rFonts w:cstheme="minorHAnsi"/>
                <w:sz w:val="24"/>
                <w:szCs w:val="24"/>
              </w:rPr>
              <w:t>2.274***</w:t>
            </w:r>
          </w:p>
        </w:tc>
        <w:tc>
          <w:tcPr>
            <w:tcW w:w="388" w:type="pct"/>
            <w:hideMark/>
          </w:tcPr>
          <w:p w14:paraId="2ABFC134" w14:textId="77777777" w:rsidR="009C778C" w:rsidRPr="009C778C" w:rsidRDefault="009C778C" w:rsidP="009C778C">
            <w:pPr>
              <w:rPr>
                <w:rFonts w:cstheme="minorHAnsi"/>
                <w:sz w:val="24"/>
                <w:szCs w:val="24"/>
              </w:rPr>
            </w:pPr>
            <w:r w:rsidRPr="009C778C">
              <w:rPr>
                <w:rFonts w:cstheme="minorHAnsi"/>
                <w:sz w:val="24"/>
                <w:szCs w:val="24"/>
              </w:rPr>
              <w:t>2.303***</w:t>
            </w:r>
          </w:p>
        </w:tc>
        <w:tc>
          <w:tcPr>
            <w:tcW w:w="388" w:type="pct"/>
            <w:hideMark/>
          </w:tcPr>
          <w:p w14:paraId="1963AF13" w14:textId="77777777" w:rsidR="009C778C" w:rsidRPr="009C778C" w:rsidRDefault="009C778C" w:rsidP="009C778C">
            <w:pPr>
              <w:rPr>
                <w:rFonts w:cstheme="minorHAnsi"/>
                <w:sz w:val="24"/>
                <w:szCs w:val="24"/>
              </w:rPr>
            </w:pPr>
            <w:r w:rsidRPr="009C778C">
              <w:rPr>
                <w:rFonts w:cstheme="minorHAnsi"/>
                <w:sz w:val="24"/>
                <w:szCs w:val="24"/>
              </w:rPr>
              <w:t>0.177**</w:t>
            </w:r>
          </w:p>
        </w:tc>
        <w:tc>
          <w:tcPr>
            <w:tcW w:w="388" w:type="pct"/>
            <w:hideMark/>
          </w:tcPr>
          <w:p w14:paraId="204034CF" w14:textId="77777777" w:rsidR="009C778C" w:rsidRPr="009C778C" w:rsidRDefault="009C778C" w:rsidP="009C778C">
            <w:pPr>
              <w:rPr>
                <w:rFonts w:cstheme="minorHAnsi"/>
                <w:sz w:val="24"/>
                <w:szCs w:val="24"/>
              </w:rPr>
            </w:pPr>
            <w:r w:rsidRPr="009C778C">
              <w:rPr>
                <w:rFonts w:cstheme="minorHAnsi"/>
                <w:sz w:val="24"/>
                <w:szCs w:val="24"/>
              </w:rPr>
              <w:t>0.178**</w:t>
            </w:r>
          </w:p>
        </w:tc>
        <w:tc>
          <w:tcPr>
            <w:tcW w:w="388" w:type="pct"/>
            <w:hideMark/>
          </w:tcPr>
          <w:p w14:paraId="5A36B8EC" w14:textId="77777777" w:rsidR="009C778C" w:rsidRPr="009C778C" w:rsidRDefault="009C778C" w:rsidP="009C778C">
            <w:pPr>
              <w:rPr>
                <w:rFonts w:cstheme="minorHAnsi"/>
                <w:sz w:val="24"/>
                <w:szCs w:val="24"/>
              </w:rPr>
            </w:pPr>
            <w:r w:rsidRPr="009C778C">
              <w:rPr>
                <w:rFonts w:cstheme="minorHAnsi"/>
                <w:sz w:val="24"/>
                <w:szCs w:val="24"/>
              </w:rPr>
              <w:t>− 1.180</w:t>
            </w:r>
          </w:p>
        </w:tc>
        <w:tc>
          <w:tcPr>
            <w:tcW w:w="388" w:type="pct"/>
            <w:hideMark/>
          </w:tcPr>
          <w:p w14:paraId="006119C5" w14:textId="77777777" w:rsidR="009C778C" w:rsidRPr="009C778C" w:rsidRDefault="009C778C" w:rsidP="009C778C">
            <w:pPr>
              <w:rPr>
                <w:rFonts w:cstheme="minorHAnsi"/>
                <w:sz w:val="24"/>
                <w:szCs w:val="24"/>
              </w:rPr>
            </w:pPr>
            <w:r w:rsidRPr="009C778C">
              <w:rPr>
                <w:rFonts w:cstheme="minorHAnsi"/>
                <w:sz w:val="24"/>
                <w:szCs w:val="24"/>
              </w:rPr>
              <w:t>− 1.040</w:t>
            </w:r>
          </w:p>
        </w:tc>
      </w:tr>
      <w:tr w:rsidR="009C778C" w:rsidRPr="009C778C" w14:paraId="4F5106D4" w14:textId="77777777" w:rsidTr="0046257B">
        <w:tc>
          <w:tcPr>
            <w:tcW w:w="879" w:type="pct"/>
            <w:hideMark/>
          </w:tcPr>
          <w:p w14:paraId="5D9E8F6C" w14:textId="77777777" w:rsidR="009C778C" w:rsidRPr="009C778C" w:rsidRDefault="009C778C" w:rsidP="009C778C">
            <w:pPr>
              <w:rPr>
                <w:rFonts w:cstheme="minorHAnsi"/>
                <w:b/>
                <w:bCs/>
                <w:sz w:val="24"/>
                <w:szCs w:val="24"/>
              </w:rPr>
            </w:pPr>
          </w:p>
        </w:tc>
        <w:tc>
          <w:tcPr>
            <w:tcW w:w="243" w:type="pct"/>
            <w:hideMark/>
          </w:tcPr>
          <w:p w14:paraId="26F10B70" w14:textId="77777777" w:rsidR="009C778C" w:rsidRPr="009C778C" w:rsidRDefault="009C778C" w:rsidP="009C778C">
            <w:pPr>
              <w:rPr>
                <w:rFonts w:cstheme="minorHAnsi"/>
                <w:b/>
                <w:bCs/>
                <w:sz w:val="24"/>
                <w:szCs w:val="24"/>
              </w:rPr>
            </w:pPr>
          </w:p>
        </w:tc>
        <w:tc>
          <w:tcPr>
            <w:tcW w:w="388" w:type="pct"/>
            <w:hideMark/>
          </w:tcPr>
          <w:p w14:paraId="08507C11" w14:textId="77777777" w:rsidR="009C778C" w:rsidRPr="009C778C" w:rsidRDefault="009C778C" w:rsidP="009C778C">
            <w:pPr>
              <w:rPr>
                <w:rFonts w:cstheme="minorHAnsi"/>
                <w:sz w:val="24"/>
                <w:szCs w:val="24"/>
              </w:rPr>
            </w:pPr>
            <w:r w:rsidRPr="009C778C">
              <w:rPr>
                <w:rFonts w:cstheme="minorHAnsi"/>
                <w:sz w:val="24"/>
                <w:szCs w:val="24"/>
              </w:rPr>
              <w:t>(− 2.10)</w:t>
            </w:r>
          </w:p>
        </w:tc>
        <w:tc>
          <w:tcPr>
            <w:tcW w:w="388" w:type="pct"/>
            <w:hideMark/>
          </w:tcPr>
          <w:p w14:paraId="12B44A61" w14:textId="77777777" w:rsidR="009C778C" w:rsidRPr="009C778C" w:rsidRDefault="009C778C" w:rsidP="009C778C">
            <w:pPr>
              <w:rPr>
                <w:rFonts w:cstheme="minorHAnsi"/>
                <w:sz w:val="24"/>
                <w:szCs w:val="24"/>
              </w:rPr>
            </w:pPr>
            <w:r w:rsidRPr="009C778C">
              <w:rPr>
                <w:rFonts w:cstheme="minorHAnsi"/>
                <w:sz w:val="24"/>
                <w:szCs w:val="24"/>
              </w:rPr>
              <w:t>(− 2.06)</w:t>
            </w:r>
          </w:p>
        </w:tc>
        <w:tc>
          <w:tcPr>
            <w:tcW w:w="388" w:type="pct"/>
            <w:hideMark/>
          </w:tcPr>
          <w:p w14:paraId="2996398A" w14:textId="77777777" w:rsidR="009C778C" w:rsidRPr="009C778C" w:rsidRDefault="009C778C" w:rsidP="009C778C">
            <w:pPr>
              <w:rPr>
                <w:rFonts w:cstheme="minorHAnsi"/>
                <w:sz w:val="24"/>
                <w:szCs w:val="24"/>
              </w:rPr>
            </w:pPr>
            <w:r w:rsidRPr="009C778C">
              <w:rPr>
                <w:rFonts w:cstheme="minorHAnsi"/>
                <w:sz w:val="24"/>
                <w:szCs w:val="24"/>
              </w:rPr>
              <w:t>(− 1.02)</w:t>
            </w:r>
          </w:p>
        </w:tc>
        <w:tc>
          <w:tcPr>
            <w:tcW w:w="388" w:type="pct"/>
            <w:hideMark/>
          </w:tcPr>
          <w:p w14:paraId="032A35DC" w14:textId="77777777" w:rsidR="009C778C" w:rsidRPr="009C778C" w:rsidRDefault="009C778C" w:rsidP="009C778C">
            <w:pPr>
              <w:rPr>
                <w:rFonts w:cstheme="minorHAnsi"/>
                <w:sz w:val="24"/>
                <w:szCs w:val="24"/>
              </w:rPr>
            </w:pPr>
            <w:r w:rsidRPr="009C778C">
              <w:rPr>
                <w:rFonts w:cstheme="minorHAnsi"/>
                <w:sz w:val="24"/>
                <w:szCs w:val="24"/>
              </w:rPr>
              <w:t>(− 0.83)</w:t>
            </w:r>
          </w:p>
        </w:tc>
        <w:tc>
          <w:tcPr>
            <w:tcW w:w="388" w:type="pct"/>
            <w:hideMark/>
          </w:tcPr>
          <w:p w14:paraId="0560DA6B" w14:textId="77777777" w:rsidR="009C778C" w:rsidRPr="009C778C" w:rsidRDefault="009C778C" w:rsidP="009C778C">
            <w:pPr>
              <w:rPr>
                <w:rFonts w:cstheme="minorHAnsi"/>
                <w:sz w:val="24"/>
                <w:szCs w:val="24"/>
              </w:rPr>
            </w:pPr>
            <w:r w:rsidRPr="009C778C">
              <w:rPr>
                <w:rFonts w:cstheme="minorHAnsi"/>
                <w:sz w:val="24"/>
                <w:szCs w:val="24"/>
              </w:rPr>
              <w:t>(4.00)</w:t>
            </w:r>
          </w:p>
        </w:tc>
        <w:tc>
          <w:tcPr>
            <w:tcW w:w="388" w:type="pct"/>
            <w:hideMark/>
          </w:tcPr>
          <w:p w14:paraId="6FA7F5C4" w14:textId="77777777" w:rsidR="009C778C" w:rsidRPr="009C778C" w:rsidRDefault="009C778C" w:rsidP="009C778C">
            <w:pPr>
              <w:rPr>
                <w:rFonts w:cstheme="minorHAnsi"/>
                <w:sz w:val="24"/>
                <w:szCs w:val="24"/>
              </w:rPr>
            </w:pPr>
            <w:r w:rsidRPr="009C778C">
              <w:rPr>
                <w:rFonts w:cstheme="minorHAnsi"/>
                <w:sz w:val="24"/>
                <w:szCs w:val="24"/>
              </w:rPr>
              <w:t>(4.05)</w:t>
            </w:r>
          </w:p>
        </w:tc>
        <w:tc>
          <w:tcPr>
            <w:tcW w:w="388" w:type="pct"/>
            <w:hideMark/>
          </w:tcPr>
          <w:p w14:paraId="198C4832" w14:textId="77777777" w:rsidR="009C778C" w:rsidRPr="009C778C" w:rsidRDefault="009C778C" w:rsidP="009C778C">
            <w:pPr>
              <w:rPr>
                <w:rFonts w:cstheme="minorHAnsi"/>
                <w:sz w:val="24"/>
                <w:szCs w:val="24"/>
              </w:rPr>
            </w:pPr>
            <w:r w:rsidRPr="009C778C">
              <w:rPr>
                <w:rFonts w:cstheme="minorHAnsi"/>
                <w:sz w:val="24"/>
                <w:szCs w:val="24"/>
              </w:rPr>
              <w:t>(2.11)</w:t>
            </w:r>
          </w:p>
        </w:tc>
        <w:tc>
          <w:tcPr>
            <w:tcW w:w="388" w:type="pct"/>
            <w:hideMark/>
          </w:tcPr>
          <w:p w14:paraId="35BA755D" w14:textId="77777777" w:rsidR="009C778C" w:rsidRPr="009C778C" w:rsidRDefault="009C778C" w:rsidP="009C778C">
            <w:pPr>
              <w:rPr>
                <w:rFonts w:cstheme="minorHAnsi"/>
                <w:sz w:val="24"/>
                <w:szCs w:val="24"/>
              </w:rPr>
            </w:pPr>
            <w:r w:rsidRPr="009C778C">
              <w:rPr>
                <w:rFonts w:cstheme="minorHAnsi"/>
                <w:sz w:val="24"/>
                <w:szCs w:val="24"/>
              </w:rPr>
              <w:t>(2.12)</w:t>
            </w:r>
          </w:p>
        </w:tc>
        <w:tc>
          <w:tcPr>
            <w:tcW w:w="388" w:type="pct"/>
            <w:hideMark/>
          </w:tcPr>
          <w:p w14:paraId="4D354A66" w14:textId="77777777" w:rsidR="009C778C" w:rsidRPr="009C778C" w:rsidRDefault="009C778C" w:rsidP="009C778C">
            <w:pPr>
              <w:rPr>
                <w:rFonts w:cstheme="minorHAnsi"/>
                <w:sz w:val="24"/>
                <w:szCs w:val="24"/>
              </w:rPr>
            </w:pPr>
            <w:r w:rsidRPr="009C778C">
              <w:rPr>
                <w:rFonts w:cstheme="minorHAnsi"/>
                <w:sz w:val="24"/>
                <w:szCs w:val="24"/>
              </w:rPr>
              <w:t>(− 0.47)</w:t>
            </w:r>
          </w:p>
        </w:tc>
        <w:tc>
          <w:tcPr>
            <w:tcW w:w="388" w:type="pct"/>
            <w:hideMark/>
          </w:tcPr>
          <w:p w14:paraId="10740E30" w14:textId="77777777" w:rsidR="009C778C" w:rsidRPr="009C778C" w:rsidRDefault="009C778C" w:rsidP="009C778C">
            <w:pPr>
              <w:rPr>
                <w:rFonts w:cstheme="minorHAnsi"/>
                <w:sz w:val="24"/>
                <w:szCs w:val="24"/>
              </w:rPr>
            </w:pPr>
            <w:r w:rsidRPr="009C778C">
              <w:rPr>
                <w:rFonts w:cstheme="minorHAnsi"/>
                <w:sz w:val="24"/>
                <w:szCs w:val="24"/>
              </w:rPr>
              <w:t>(− 0.42)</w:t>
            </w:r>
          </w:p>
        </w:tc>
      </w:tr>
      <w:tr w:rsidR="009C778C" w:rsidRPr="009C778C" w14:paraId="6CC6FE41" w14:textId="77777777" w:rsidTr="0046257B">
        <w:tc>
          <w:tcPr>
            <w:tcW w:w="879" w:type="pct"/>
            <w:hideMark/>
          </w:tcPr>
          <w:p w14:paraId="727FC01D" w14:textId="77777777" w:rsidR="009C778C" w:rsidRPr="009C778C" w:rsidRDefault="009C778C" w:rsidP="009C778C">
            <w:pPr>
              <w:rPr>
                <w:rFonts w:cstheme="minorHAnsi"/>
                <w:b/>
                <w:bCs/>
                <w:sz w:val="24"/>
                <w:szCs w:val="24"/>
              </w:rPr>
            </w:pPr>
            <w:r w:rsidRPr="009C778C">
              <w:rPr>
                <w:rFonts w:cstheme="minorHAnsi"/>
                <w:b/>
                <w:bCs/>
                <w:sz w:val="24"/>
                <w:szCs w:val="24"/>
              </w:rPr>
              <w:t>CONSTANT, YEAR, INDUSTRY &amp; COUNTRY FE</w:t>
            </w:r>
          </w:p>
        </w:tc>
        <w:tc>
          <w:tcPr>
            <w:tcW w:w="243" w:type="pct"/>
            <w:hideMark/>
          </w:tcPr>
          <w:p w14:paraId="29FA1538" w14:textId="77777777" w:rsidR="009C778C" w:rsidRPr="009C778C" w:rsidRDefault="009C778C" w:rsidP="009C778C">
            <w:pPr>
              <w:rPr>
                <w:rFonts w:cstheme="minorHAnsi"/>
                <w:b/>
                <w:bCs/>
                <w:sz w:val="24"/>
                <w:szCs w:val="24"/>
              </w:rPr>
            </w:pPr>
          </w:p>
        </w:tc>
        <w:tc>
          <w:tcPr>
            <w:tcW w:w="388" w:type="pct"/>
            <w:hideMark/>
          </w:tcPr>
          <w:p w14:paraId="7A0CC268"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568B1168"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3027A5EA"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7C14C165"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434C3328"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5D535BEC"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61FA5721"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5BED8A7E"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42E6E721" w14:textId="77777777" w:rsidR="009C778C" w:rsidRPr="009C778C" w:rsidRDefault="009C778C" w:rsidP="009C778C">
            <w:pPr>
              <w:rPr>
                <w:rFonts w:cstheme="minorHAnsi"/>
                <w:sz w:val="24"/>
                <w:szCs w:val="24"/>
              </w:rPr>
            </w:pPr>
            <w:r w:rsidRPr="009C778C">
              <w:rPr>
                <w:rFonts w:cstheme="minorHAnsi"/>
                <w:sz w:val="24"/>
                <w:szCs w:val="24"/>
              </w:rPr>
              <w:t>Yes</w:t>
            </w:r>
          </w:p>
        </w:tc>
        <w:tc>
          <w:tcPr>
            <w:tcW w:w="388" w:type="pct"/>
            <w:hideMark/>
          </w:tcPr>
          <w:p w14:paraId="2F3DB149" w14:textId="77777777" w:rsidR="009C778C" w:rsidRPr="009C778C" w:rsidRDefault="009C778C" w:rsidP="009C778C">
            <w:pPr>
              <w:rPr>
                <w:rFonts w:cstheme="minorHAnsi"/>
                <w:sz w:val="24"/>
                <w:szCs w:val="24"/>
              </w:rPr>
            </w:pPr>
            <w:r w:rsidRPr="009C778C">
              <w:rPr>
                <w:rFonts w:cstheme="minorHAnsi"/>
                <w:sz w:val="24"/>
                <w:szCs w:val="24"/>
              </w:rPr>
              <w:t>Yes</w:t>
            </w:r>
          </w:p>
        </w:tc>
      </w:tr>
      <w:tr w:rsidR="009C778C" w:rsidRPr="009C778C" w14:paraId="2D2CE0AA" w14:textId="77777777" w:rsidTr="0046257B">
        <w:tc>
          <w:tcPr>
            <w:tcW w:w="879" w:type="pct"/>
            <w:hideMark/>
          </w:tcPr>
          <w:p w14:paraId="2915016B" w14:textId="77777777" w:rsidR="009C778C" w:rsidRPr="009C778C" w:rsidRDefault="009C778C" w:rsidP="009C778C">
            <w:pPr>
              <w:rPr>
                <w:rFonts w:cstheme="minorHAnsi"/>
                <w:b/>
                <w:bCs/>
                <w:sz w:val="24"/>
                <w:szCs w:val="24"/>
              </w:rPr>
            </w:pPr>
            <w:r w:rsidRPr="009C778C">
              <w:rPr>
                <w:rFonts w:cstheme="minorHAnsi"/>
                <w:b/>
                <w:bCs/>
                <w:sz w:val="24"/>
                <w:szCs w:val="24"/>
              </w:rPr>
              <w:t>Number of observations</w:t>
            </w:r>
          </w:p>
        </w:tc>
        <w:tc>
          <w:tcPr>
            <w:tcW w:w="243" w:type="pct"/>
            <w:hideMark/>
          </w:tcPr>
          <w:p w14:paraId="25E43ED0" w14:textId="77777777" w:rsidR="009C778C" w:rsidRPr="009C778C" w:rsidRDefault="009C778C" w:rsidP="009C778C">
            <w:pPr>
              <w:rPr>
                <w:rFonts w:cstheme="minorHAnsi"/>
                <w:b/>
                <w:bCs/>
                <w:sz w:val="24"/>
                <w:szCs w:val="24"/>
              </w:rPr>
            </w:pPr>
          </w:p>
        </w:tc>
        <w:tc>
          <w:tcPr>
            <w:tcW w:w="388" w:type="pct"/>
            <w:hideMark/>
          </w:tcPr>
          <w:p w14:paraId="404A7C57"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0490FA17"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48D6E7B9"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778473DA"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2F5D759F"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2F761F51"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619C35FF"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40D07418"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18028B3F" w14:textId="77777777" w:rsidR="009C778C" w:rsidRPr="009C778C" w:rsidRDefault="009C778C" w:rsidP="009C778C">
            <w:pPr>
              <w:rPr>
                <w:rFonts w:cstheme="minorHAnsi"/>
                <w:sz w:val="24"/>
                <w:szCs w:val="24"/>
              </w:rPr>
            </w:pPr>
            <w:r w:rsidRPr="009C778C">
              <w:rPr>
                <w:rFonts w:cstheme="minorHAnsi"/>
                <w:sz w:val="24"/>
                <w:szCs w:val="24"/>
              </w:rPr>
              <w:t>66,286</w:t>
            </w:r>
          </w:p>
        </w:tc>
        <w:tc>
          <w:tcPr>
            <w:tcW w:w="388" w:type="pct"/>
            <w:hideMark/>
          </w:tcPr>
          <w:p w14:paraId="34A4B126" w14:textId="77777777" w:rsidR="009C778C" w:rsidRPr="009C778C" w:rsidRDefault="009C778C" w:rsidP="009C778C">
            <w:pPr>
              <w:rPr>
                <w:rFonts w:cstheme="minorHAnsi"/>
                <w:sz w:val="24"/>
                <w:szCs w:val="24"/>
              </w:rPr>
            </w:pPr>
            <w:r w:rsidRPr="009C778C">
              <w:rPr>
                <w:rFonts w:cstheme="minorHAnsi"/>
                <w:sz w:val="24"/>
                <w:szCs w:val="24"/>
              </w:rPr>
              <w:t>66,286</w:t>
            </w:r>
          </w:p>
        </w:tc>
      </w:tr>
      <w:tr w:rsidR="009C778C" w:rsidRPr="009C778C" w14:paraId="63D6A6E7" w14:textId="77777777" w:rsidTr="0046257B">
        <w:tc>
          <w:tcPr>
            <w:tcW w:w="879" w:type="pct"/>
            <w:hideMark/>
          </w:tcPr>
          <w:p w14:paraId="2DB395C7" w14:textId="77777777" w:rsidR="009C778C" w:rsidRPr="009C778C" w:rsidRDefault="009C778C" w:rsidP="009C778C">
            <w:pPr>
              <w:rPr>
                <w:rFonts w:cstheme="minorHAnsi"/>
                <w:b/>
                <w:bCs/>
                <w:sz w:val="24"/>
                <w:szCs w:val="24"/>
              </w:rPr>
            </w:pPr>
            <w:r w:rsidRPr="009C778C">
              <w:rPr>
                <w:rFonts w:cstheme="minorHAnsi"/>
                <w:b/>
                <w:bCs/>
                <w:sz w:val="24"/>
                <w:szCs w:val="24"/>
              </w:rPr>
              <w:t>R-squared</w:t>
            </w:r>
          </w:p>
        </w:tc>
        <w:tc>
          <w:tcPr>
            <w:tcW w:w="243" w:type="pct"/>
            <w:hideMark/>
          </w:tcPr>
          <w:p w14:paraId="5D85B9B9" w14:textId="77777777" w:rsidR="009C778C" w:rsidRPr="009C778C" w:rsidRDefault="009C778C" w:rsidP="009C778C">
            <w:pPr>
              <w:rPr>
                <w:rFonts w:cstheme="minorHAnsi"/>
                <w:b/>
                <w:bCs/>
                <w:sz w:val="24"/>
                <w:szCs w:val="24"/>
              </w:rPr>
            </w:pPr>
          </w:p>
        </w:tc>
        <w:tc>
          <w:tcPr>
            <w:tcW w:w="388" w:type="pct"/>
            <w:hideMark/>
          </w:tcPr>
          <w:p w14:paraId="6E32E484" w14:textId="77777777" w:rsidR="009C778C" w:rsidRPr="009C778C" w:rsidRDefault="009C778C" w:rsidP="009C778C">
            <w:pPr>
              <w:rPr>
                <w:rFonts w:cstheme="minorHAnsi"/>
                <w:sz w:val="24"/>
                <w:szCs w:val="24"/>
              </w:rPr>
            </w:pPr>
            <w:r w:rsidRPr="009C778C">
              <w:rPr>
                <w:rFonts w:cstheme="minorHAnsi"/>
                <w:sz w:val="24"/>
                <w:szCs w:val="24"/>
              </w:rPr>
              <w:t>0.227</w:t>
            </w:r>
          </w:p>
        </w:tc>
        <w:tc>
          <w:tcPr>
            <w:tcW w:w="388" w:type="pct"/>
            <w:hideMark/>
          </w:tcPr>
          <w:p w14:paraId="317594E3" w14:textId="77777777" w:rsidR="009C778C" w:rsidRPr="009C778C" w:rsidRDefault="009C778C" w:rsidP="009C778C">
            <w:pPr>
              <w:rPr>
                <w:rFonts w:cstheme="minorHAnsi"/>
                <w:sz w:val="24"/>
                <w:szCs w:val="24"/>
              </w:rPr>
            </w:pPr>
            <w:r w:rsidRPr="009C778C">
              <w:rPr>
                <w:rFonts w:cstheme="minorHAnsi"/>
                <w:sz w:val="24"/>
                <w:szCs w:val="24"/>
              </w:rPr>
              <w:t>0.227</w:t>
            </w:r>
          </w:p>
        </w:tc>
        <w:tc>
          <w:tcPr>
            <w:tcW w:w="388" w:type="pct"/>
            <w:hideMark/>
          </w:tcPr>
          <w:p w14:paraId="06DDA8E7" w14:textId="77777777" w:rsidR="009C778C" w:rsidRPr="009C778C" w:rsidRDefault="009C778C" w:rsidP="009C778C">
            <w:pPr>
              <w:rPr>
                <w:rFonts w:cstheme="minorHAnsi"/>
                <w:sz w:val="24"/>
                <w:szCs w:val="24"/>
              </w:rPr>
            </w:pPr>
            <w:r w:rsidRPr="009C778C">
              <w:rPr>
                <w:rFonts w:cstheme="minorHAnsi"/>
                <w:sz w:val="24"/>
                <w:szCs w:val="24"/>
              </w:rPr>
              <w:t>0.181</w:t>
            </w:r>
          </w:p>
        </w:tc>
        <w:tc>
          <w:tcPr>
            <w:tcW w:w="388" w:type="pct"/>
            <w:hideMark/>
          </w:tcPr>
          <w:p w14:paraId="00A550A2" w14:textId="77777777" w:rsidR="009C778C" w:rsidRPr="009C778C" w:rsidRDefault="009C778C" w:rsidP="009C778C">
            <w:pPr>
              <w:rPr>
                <w:rFonts w:cstheme="minorHAnsi"/>
                <w:sz w:val="24"/>
                <w:szCs w:val="24"/>
              </w:rPr>
            </w:pPr>
            <w:r w:rsidRPr="009C778C">
              <w:rPr>
                <w:rFonts w:cstheme="minorHAnsi"/>
                <w:sz w:val="24"/>
                <w:szCs w:val="24"/>
              </w:rPr>
              <w:t>0.182</w:t>
            </w:r>
          </w:p>
        </w:tc>
        <w:tc>
          <w:tcPr>
            <w:tcW w:w="388" w:type="pct"/>
            <w:hideMark/>
          </w:tcPr>
          <w:p w14:paraId="6112F87E" w14:textId="77777777" w:rsidR="009C778C" w:rsidRPr="009C778C" w:rsidRDefault="009C778C" w:rsidP="009C778C">
            <w:pPr>
              <w:rPr>
                <w:rFonts w:cstheme="minorHAnsi"/>
                <w:sz w:val="24"/>
                <w:szCs w:val="24"/>
              </w:rPr>
            </w:pPr>
            <w:r w:rsidRPr="009C778C">
              <w:rPr>
                <w:rFonts w:cstheme="minorHAnsi"/>
                <w:sz w:val="24"/>
                <w:szCs w:val="24"/>
              </w:rPr>
              <w:t>0.058</w:t>
            </w:r>
          </w:p>
        </w:tc>
        <w:tc>
          <w:tcPr>
            <w:tcW w:w="388" w:type="pct"/>
            <w:hideMark/>
          </w:tcPr>
          <w:p w14:paraId="2FD3E8F8" w14:textId="77777777" w:rsidR="009C778C" w:rsidRPr="009C778C" w:rsidRDefault="009C778C" w:rsidP="009C778C">
            <w:pPr>
              <w:rPr>
                <w:rFonts w:cstheme="minorHAnsi"/>
                <w:sz w:val="24"/>
                <w:szCs w:val="24"/>
              </w:rPr>
            </w:pPr>
            <w:r w:rsidRPr="009C778C">
              <w:rPr>
                <w:rFonts w:cstheme="minorHAnsi"/>
                <w:sz w:val="24"/>
                <w:szCs w:val="24"/>
              </w:rPr>
              <w:t>0.058</w:t>
            </w:r>
          </w:p>
        </w:tc>
        <w:tc>
          <w:tcPr>
            <w:tcW w:w="388" w:type="pct"/>
            <w:hideMark/>
          </w:tcPr>
          <w:p w14:paraId="6F9D4650" w14:textId="77777777" w:rsidR="009C778C" w:rsidRPr="009C778C" w:rsidRDefault="009C778C" w:rsidP="009C778C">
            <w:pPr>
              <w:rPr>
                <w:rFonts w:cstheme="minorHAnsi"/>
                <w:sz w:val="24"/>
                <w:szCs w:val="24"/>
              </w:rPr>
            </w:pPr>
            <w:r w:rsidRPr="009C778C">
              <w:rPr>
                <w:rFonts w:cstheme="minorHAnsi"/>
                <w:sz w:val="24"/>
                <w:szCs w:val="24"/>
              </w:rPr>
              <w:t>0.223</w:t>
            </w:r>
          </w:p>
        </w:tc>
        <w:tc>
          <w:tcPr>
            <w:tcW w:w="388" w:type="pct"/>
            <w:hideMark/>
          </w:tcPr>
          <w:p w14:paraId="7F9F4B31" w14:textId="77777777" w:rsidR="009C778C" w:rsidRPr="009C778C" w:rsidRDefault="009C778C" w:rsidP="009C778C">
            <w:pPr>
              <w:rPr>
                <w:rFonts w:cstheme="minorHAnsi"/>
                <w:sz w:val="24"/>
                <w:szCs w:val="24"/>
              </w:rPr>
            </w:pPr>
            <w:r w:rsidRPr="009C778C">
              <w:rPr>
                <w:rFonts w:cstheme="minorHAnsi"/>
                <w:sz w:val="24"/>
                <w:szCs w:val="24"/>
              </w:rPr>
              <w:t>0.223</w:t>
            </w:r>
          </w:p>
        </w:tc>
        <w:tc>
          <w:tcPr>
            <w:tcW w:w="388" w:type="pct"/>
            <w:hideMark/>
          </w:tcPr>
          <w:p w14:paraId="1D1498CE" w14:textId="77777777" w:rsidR="009C778C" w:rsidRPr="009C778C" w:rsidRDefault="009C778C" w:rsidP="009C778C">
            <w:pPr>
              <w:rPr>
                <w:rFonts w:cstheme="minorHAnsi"/>
                <w:sz w:val="24"/>
                <w:szCs w:val="24"/>
              </w:rPr>
            </w:pPr>
            <w:r w:rsidRPr="009C778C">
              <w:rPr>
                <w:rFonts w:cstheme="minorHAnsi"/>
                <w:sz w:val="24"/>
                <w:szCs w:val="24"/>
              </w:rPr>
              <w:t>0.091</w:t>
            </w:r>
          </w:p>
        </w:tc>
        <w:tc>
          <w:tcPr>
            <w:tcW w:w="388" w:type="pct"/>
            <w:hideMark/>
          </w:tcPr>
          <w:p w14:paraId="3A36D002" w14:textId="77777777" w:rsidR="009C778C" w:rsidRPr="009C778C" w:rsidRDefault="009C778C" w:rsidP="009C778C">
            <w:pPr>
              <w:rPr>
                <w:rFonts w:cstheme="minorHAnsi"/>
                <w:sz w:val="24"/>
                <w:szCs w:val="24"/>
              </w:rPr>
            </w:pPr>
            <w:r w:rsidRPr="009C778C">
              <w:rPr>
                <w:rFonts w:cstheme="minorHAnsi"/>
                <w:sz w:val="24"/>
                <w:szCs w:val="24"/>
              </w:rPr>
              <w:t>0.091</w:t>
            </w:r>
          </w:p>
        </w:tc>
      </w:tr>
      <w:tr w:rsidR="0046257B" w:rsidRPr="009C778C" w14:paraId="579545FF" w14:textId="77777777" w:rsidTr="0046257B">
        <w:tc>
          <w:tcPr>
            <w:tcW w:w="879" w:type="pct"/>
            <w:hideMark/>
          </w:tcPr>
          <w:p w14:paraId="266AF306" w14:textId="77777777" w:rsidR="0046257B" w:rsidRPr="009C778C" w:rsidRDefault="0046257B" w:rsidP="009C778C">
            <w:pPr>
              <w:rPr>
                <w:rFonts w:cstheme="minorHAnsi"/>
                <w:b/>
                <w:bCs/>
                <w:sz w:val="24"/>
                <w:szCs w:val="24"/>
              </w:rPr>
            </w:pPr>
            <w:r w:rsidRPr="009C778C">
              <w:rPr>
                <w:rFonts w:cstheme="minorHAnsi"/>
                <w:b/>
                <w:bCs/>
                <w:sz w:val="24"/>
                <w:szCs w:val="24"/>
              </w:rPr>
              <w:t>F-stat DOMESTIC</w:t>
            </w:r>
            <w:r w:rsidRPr="009C778C">
              <w:rPr>
                <w:rFonts w:cstheme="minorHAnsi"/>
                <w:b/>
                <w:bCs/>
                <w:sz w:val="24"/>
                <w:szCs w:val="24"/>
                <w:vertAlign w:val="subscript"/>
              </w:rPr>
              <w:t>t − 1</w:t>
            </w:r>
            <w:r w:rsidRPr="009C778C">
              <w:rPr>
                <w:rFonts w:cstheme="minorHAnsi"/>
                <w:b/>
                <w:bCs/>
                <w:sz w:val="24"/>
                <w:szCs w:val="24"/>
              </w:rPr>
              <w:t> = FOREIGN</w:t>
            </w:r>
            <w:r w:rsidRPr="009C778C">
              <w:rPr>
                <w:rFonts w:cstheme="minorHAnsi"/>
                <w:b/>
                <w:bCs/>
                <w:sz w:val="24"/>
                <w:szCs w:val="24"/>
                <w:vertAlign w:val="subscript"/>
              </w:rPr>
              <w:t>t − 1</w:t>
            </w:r>
          </w:p>
        </w:tc>
        <w:tc>
          <w:tcPr>
            <w:tcW w:w="243" w:type="pct"/>
          </w:tcPr>
          <w:p w14:paraId="6FF9FD81" w14:textId="77777777" w:rsidR="0046257B" w:rsidRPr="009C778C" w:rsidRDefault="0046257B" w:rsidP="009C778C">
            <w:pPr>
              <w:rPr>
                <w:rFonts w:cstheme="minorHAnsi"/>
                <w:b/>
                <w:bCs/>
                <w:sz w:val="24"/>
                <w:szCs w:val="24"/>
              </w:rPr>
            </w:pPr>
          </w:p>
        </w:tc>
        <w:tc>
          <w:tcPr>
            <w:tcW w:w="388" w:type="pct"/>
          </w:tcPr>
          <w:p w14:paraId="3CCDE561" w14:textId="0327BC2E" w:rsidR="0046257B" w:rsidRPr="009C778C" w:rsidRDefault="0046257B" w:rsidP="009C778C">
            <w:pPr>
              <w:rPr>
                <w:rFonts w:cstheme="minorHAnsi"/>
                <w:b/>
                <w:bCs/>
                <w:sz w:val="24"/>
                <w:szCs w:val="24"/>
              </w:rPr>
            </w:pPr>
          </w:p>
        </w:tc>
        <w:tc>
          <w:tcPr>
            <w:tcW w:w="388" w:type="pct"/>
            <w:hideMark/>
          </w:tcPr>
          <w:p w14:paraId="41E57E93" w14:textId="77777777" w:rsidR="0046257B" w:rsidRPr="009C778C" w:rsidRDefault="0046257B" w:rsidP="009C778C">
            <w:pPr>
              <w:rPr>
                <w:rFonts w:cstheme="minorHAnsi"/>
                <w:sz w:val="24"/>
                <w:szCs w:val="24"/>
              </w:rPr>
            </w:pPr>
            <w:r w:rsidRPr="009C778C">
              <w:rPr>
                <w:rFonts w:cstheme="minorHAnsi"/>
                <w:sz w:val="24"/>
                <w:szCs w:val="24"/>
              </w:rPr>
              <w:t>3.90**</w:t>
            </w:r>
          </w:p>
        </w:tc>
        <w:tc>
          <w:tcPr>
            <w:tcW w:w="388" w:type="pct"/>
            <w:hideMark/>
          </w:tcPr>
          <w:p w14:paraId="1C359A0E" w14:textId="77777777" w:rsidR="0046257B" w:rsidRPr="009C778C" w:rsidRDefault="0046257B" w:rsidP="009C778C">
            <w:pPr>
              <w:rPr>
                <w:rFonts w:cstheme="minorHAnsi"/>
                <w:sz w:val="24"/>
                <w:szCs w:val="24"/>
              </w:rPr>
            </w:pPr>
          </w:p>
        </w:tc>
        <w:tc>
          <w:tcPr>
            <w:tcW w:w="388" w:type="pct"/>
            <w:hideMark/>
          </w:tcPr>
          <w:p w14:paraId="4F63DDF5" w14:textId="77777777" w:rsidR="0046257B" w:rsidRPr="009C778C" w:rsidRDefault="0046257B" w:rsidP="009C778C">
            <w:pPr>
              <w:rPr>
                <w:rFonts w:cstheme="minorHAnsi"/>
                <w:sz w:val="24"/>
                <w:szCs w:val="24"/>
              </w:rPr>
            </w:pPr>
            <w:r w:rsidRPr="009C778C">
              <w:rPr>
                <w:rFonts w:cstheme="minorHAnsi"/>
                <w:sz w:val="24"/>
                <w:szCs w:val="24"/>
              </w:rPr>
              <w:t>47.67**</w:t>
            </w:r>
          </w:p>
        </w:tc>
        <w:tc>
          <w:tcPr>
            <w:tcW w:w="388" w:type="pct"/>
            <w:hideMark/>
          </w:tcPr>
          <w:p w14:paraId="4546D5CC" w14:textId="77777777" w:rsidR="0046257B" w:rsidRPr="009C778C" w:rsidRDefault="0046257B" w:rsidP="009C778C">
            <w:pPr>
              <w:rPr>
                <w:rFonts w:cstheme="minorHAnsi"/>
                <w:sz w:val="24"/>
                <w:szCs w:val="24"/>
              </w:rPr>
            </w:pPr>
          </w:p>
        </w:tc>
        <w:tc>
          <w:tcPr>
            <w:tcW w:w="388" w:type="pct"/>
            <w:hideMark/>
          </w:tcPr>
          <w:p w14:paraId="4984CC20" w14:textId="77777777" w:rsidR="0046257B" w:rsidRPr="009C778C" w:rsidRDefault="0046257B" w:rsidP="009C778C">
            <w:pPr>
              <w:rPr>
                <w:rFonts w:cstheme="minorHAnsi"/>
                <w:sz w:val="24"/>
                <w:szCs w:val="24"/>
              </w:rPr>
            </w:pPr>
            <w:r w:rsidRPr="009C778C">
              <w:rPr>
                <w:rFonts w:cstheme="minorHAnsi"/>
                <w:sz w:val="24"/>
                <w:szCs w:val="24"/>
              </w:rPr>
              <w:t>4.12**</w:t>
            </w:r>
          </w:p>
        </w:tc>
        <w:tc>
          <w:tcPr>
            <w:tcW w:w="388" w:type="pct"/>
            <w:hideMark/>
          </w:tcPr>
          <w:p w14:paraId="0697B960" w14:textId="77777777" w:rsidR="0046257B" w:rsidRPr="009C778C" w:rsidRDefault="0046257B" w:rsidP="009C778C">
            <w:pPr>
              <w:rPr>
                <w:rFonts w:cstheme="minorHAnsi"/>
                <w:sz w:val="24"/>
                <w:szCs w:val="24"/>
              </w:rPr>
            </w:pPr>
          </w:p>
        </w:tc>
        <w:tc>
          <w:tcPr>
            <w:tcW w:w="388" w:type="pct"/>
            <w:hideMark/>
          </w:tcPr>
          <w:p w14:paraId="05AF51E0" w14:textId="77777777" w:rsidR="0046257B" w:rsidRPr="009C778C" w:rsidRDefault="0046257B" w:rsidP="009C778C">
            <w:pPr>
              <w:rPr>
                <w:rFonts w:cstheme="minorHAnsi"/>
                <w:sz w:val="24"/>
                <w:szCs w:val="24"/>
              </w:rPr>
            </w:pPr>
            <w:r w:rsidRPr="009C778C">
              <w:rPr>
                <w:rFonts w:cstheme="minorHAnsi"/>
                <w:sz w:val="24"/>
                <w:szCs w:val="24"/>
              </w:rPr>
              <w:t>3.18**</w:t>
            </w:r>
          </w:p>
        </w:tc>
        <w:tc>
          <w:tcPr>
            <w:tcW w:w="388" w:type="pct"/>
            <w:hideMark/>
          </w:tcPr>
          <w:p w14:paraId="31E4A21E" w14:textId="77777777" w:rsidR="0046257B" w:rsidRPr="009C778C" w:rsidRDefault="0046257B" w:rsidP="009C778C">
            <w:pPr>
              <w:rPr>
                <w:rFonts w:cstheme="minorHAnsi"/>
                <w:sz w:val="24"/>
                <w:szCs w:val="24"/>
              </w:rPr>
            </w:pPr>
          </w:p>
        </w:tc>
        <w:tc>
          <w:tcPr>
            <w:tcW w:w="388" w:type="pct"/>
            <w:hideMark/>
          </w:tcPr>
          <w:p w14:paraId="2B2C2507" w14:textId="77777777" w:rsidR="0046257B" w:rsidRPr="009C778C" w:rsidRDefault="0046257B" w:rsidP="009C778C">
            <w:pPr>
              <w:rPr>
                <w:rFonts w:cstheme="minorHAnsi"/>
                <w:sz w:val="24"/>
                <w:szCs w:val="24"/>
              </w:rPr>
            </w:pPr>
            <w:r w:rsidRPr="009C778C">
              <w:rPr>
                <w:rFonts w:cstheme="minorHAnsi"/>
                <w:sz w:val="24"/>
                <w:szCs w:val="24"/>
              </w:rPr>
              <w:t>3.83**</w:t>
            </w:r>
          </w:p>
        </w:tc>
      </w:tr>
      <w:tr w:rsidR="009C778C" w:rsidRPr="009C778C" w14:paraId="1926511C" w14:textId="77777777" w:rsidTr="0046257B">
        <w:tc>
          <w:tcPr>
            <w:tcW w:w="879" w:type="pct"/>
            <w:hideMark/>
          </w:tcPr>
          <w:p w14:paraId="14AB3A48" w14:textId="77777777" w:rsidR="009C778C" w:rsidRPr="009C778C" w:rsidRDefault="009C778C" w:rsidP="009C778C">
            <w:pPr>
              <w:rPr>
                <w:rFonts w:cstheme="minorHAnsi"/>
                <w:b/>
                <w:bCs/>
                <w:sz w:val="24"/>
                <w:szCs w:val="24"/>
              </w:rPr>
            </w:pPr>
            <w:r w:rsidRPr="009C778C">
              <w:rPr>
                <w:rFonts w:cstheme="minorHAnsi"/>
                <w:b/>
                <w:bCs/>
                <w:sz w:val="24"/>
                <w:szCs w:val="24"/>
              </w:rPr>
              <w:t>(</w:t>
            </w:r>
            <w:r w:rsidRPr="009C778C">
              <w:rPr>
                <w:rFonts w:cstheme="minorHAnsi"/>
                <w:b/>
                <w:bCs/>
                <w:i/>
                <w:iCs/>
                <w:sz w:val="24"/>
                <w:szCs w:val="24"/>
              </w:rPr>
              <w:t>p</w:t>
            </w:r>
            <w:r w:rsidRPr="009C778C">
              <w:rPr>
                <w:rFonts w:cstheme="minorHAnsi"/>
                <w:b/>
                <w:bCs/>
                <w:sz w:val="24"/>
                <w:szCs w:val="24"/>
              </w:rPr>
              <w:t>-Value)</w:t>
            </w:r>
          </w:p>
        </w:tc>
        <w:tc>
          <w:tcPr>
            <w:tcW w:w="243" w:type="pct"/>
            <w:hideMark/>
          </w:tcPr>
          <w:p w14:paraId="07E78C30" w14:textId="77777777" w:rsidR="009C778C" w:rsidRPr="009C778C" w:rsidRDefault="009C778C" w:rsidP="009C778C">
            <w:pPr>
              <w:rPr>
                <w:rFonts w:cstheme="minorHAnsi"/>
                <w:b/>
                <w:bCs/>
                <w:sz w:val="24"/>
                <w:szCs w:val="24"/>
              </w:rPr>
            </w:pPr>
          </w:p>
        </w:tc>
        <w:tc>
          <w:tcPr>
            <w:tcW w:w="388" w:type="pct"/>
            <w:hideMark/>
          </w:tcPr>
          <w:p w14:paraId="58F9D179" w14:textId="77777777" w:rsidR="009C778C" w:rsidRPr="009C778C" w:rsidRDefault="009C778C" w:rsidP="009C778C">
            <w:pPr>
              <w:rPr>
                <w:rFonts w:cstheme="minorHAnsi"/>
                <w:sz w:val="24"/>
                <w:szCs w:val="24"/>
              </w:rPr>
            </w:pPr>
          </w:p>
        </w:tc>
        <w:tc>
          <w:tcPr>
            <w:tcW w:w="388" w:type="pct"/>
            <w:hideMark/>
          </w:tcPr>
          <w:p w14:paraId="02E5E61A" w14:textId="77777777" w:rsidR="009C778C" w:rsidRPr="009C778C" w:rsidRDefault="009C778C" w:rsidP="009C778C">
            <w:pPr>
              <w:rPr>
                <w:rFonts w:cstheme="minorHAnsi"/>
                <w:sz w:val="24"/>
                <w:szCs w:val="24"/>
              </w:rPr>
            </w:pPr>
            <w:r w:rsidRPr="009C778C">
              <w:rPr>
                <w:rFonts w:cstheme="minorHAnsi"/>
                <w:sz w:val="24"/>
                <w:szCs w:val="24"/>
              </w:rPr>
              <w:t>(0.05)</w:t>
            </w:r>
          </w:p>
        </w:tc>
        <w:tc>
          <w:tcPr>
            <w:tcW w:w="388" w:type="pct"/>
            <w:hideMark/>
          </w:tcPr>
          <w:p w14:paraId="48B93070" w14:textId="77777777" w:rsidR="009C778C" w:rsidRPr="009C778C" w:rsidRDefault="009C778C" w:rsidP="009C778C">
            <w:pPr>
              <w:rPr>
                <w:rFonts w:cstheme="minorHAnsi"/>
                <w:sz w:val="24"/>
                <w:szCs w:val="24"/>
              </w:rPr>
            </w:pPr>
          </w:p>
        </w:tc>
        <w:tc>
          <w:tcPr>
            <w:tcW w:w="388" w:type="pct"/>
            <w:hideMark/>
          </w:tcPr>
          <w:p w14:paraId="03840CFD" w14:textId="77777777" w:rsidR="009C778C" w:rsidRPr="009C778C" w:rsidRDefault="009C778C" w:rsidP="009C778C">
            <w:pPr>
              <w:rPr>
                <w:rFonts w:cstheme="minorHAnsi"/>
                <w:sz w:val="24"/>
                <w:szCs w:val="24"/>
              </w:rPr>
            </w:pPr>
            <w:r w:rsidRPr="009C778C">
              <w:rPr>
                <w:rFonts w:cstheme="minorHAnsi"/>
                <w:sz w:val="24"/>
                <w:szCs w:val="24"/>
              </w:rPr>
              <w:t>(&lt; 0.01)</w:t>
            </w:r>
          </w:p>
        </w:tc>
        <w:tc>
          <w:tcPr>
            <w:tcW w:w="388" w:type="pct"/>
            <w:hideMark/>
          </w:tcPr>
          <w:p w14:paraId="7BF2F749" w14:textId="77777777" w:rsidR="009C778C" w:rsidRPr="009C778C" w:rsidRDefault="009C778C" w:rsidP="009C778C">
            <w:pPr>
              <w:rPr>
                <w:rFonts w:cstheme="minorHAnsi"/>
                <w:sz w:val="24"/>
                <w:szCs w:val="24"/>
              </w:rPr>
            </w:pPr>
          </w:p>
        </w:tc>
        <w:tc>
          <w:tcPr>
            <w:tcW w:w="388" w:type="pct"/>
            <w:hideMark/>
          </w:tcPr>
          <w:p w14:paraId="3305A042" w14:textId="77777777" w:rsidR="009C778C" w:rsidRPr="009C778C" w:rsidRDefault="009C778C" w:rsidP="009C778C">
            <w:pPr>
              <w:rPr>
                <w:rFonts w:cstheme="minorHAnsi"/>
                <w:sz w:val="24"/>
                <w:szCs w:val="24"/>
              </w:rPr>
            </w:pPr>
            <w:r w:rsidRPr="009C778C">
              <w:rPr>
                <w:rFonts w:cstheme="minorHAnsi"/>
                <w:sz w:val="24"/>
                <w:szCs w:val="24"/>
              </w:rPr>
              <w:t>(0.04)</w:t>
            </w:r>
          </w:p>
        </w:tc>
        <w:tc>
          <w:tcPr>
            <w:tcW w:w="388" w:type="pct"/>
            <w:hideMark/>
          </w:tcPr>
          <w:p w14:paraId="79E1DDD0" w14:textId="77777777" w:rsidR="009C778C" w:rsidRPr="009C778C" w:rsidRDefault="009C778C" w:rsidP="009C778C">
            <w:pPr>
              <w:rPr>
                <w:rFonts w:cstheme="minorHAnsi"/>
                <w:sz w:val="24"/>
                <w:szCs w:val="24"/>
              </w:rPr>
            </w:pPr>
          </w:p>
        </w:tc>
        <w:tc>
          <w:tcPr>
            <w:tcW w:w="388" w:type="pct"/>
            <w:hideMark/>
          </w:tcPr>
          <w:p w14:paraId="69076C98" w14:textId="77777777" w:rsidR="009C778C" w:rsidRPr="009C778C" w:rsidRDefault="009C778C" w:rsidP="009C778C">
            <w:pPr>
              <w:rPr>
                <w:rFonts w:cstheme="minorHAnsi"/>
                <w:sz w:val="24"/>
                <w:szCs w:val="24"/>
              </w:rPr>
            </w:pPr>
            <w:r w:rsidRPr="009C778C">
              <w:rPr>
                <w:rFonts w:cstheme="minorHAnsi"/>
                <w:sz w:val="24"/>
                <w:szCs w:val="24"/>
              </w:rPr>
              <w:t>(0.07)</w:t>
            </w:r>
          </w:p>
        </w:tc>
        <w:tc>
          <w:tcPr>
            <w:tcW w:w="388" w:type="pct"/>
            <w:hideMark/>
          </w:tcPr>
          <w:p w14:paraId="5CDE031F" w14:textId="77777777" w:rsidR="009C778C" w:rsidRPr="009C778C" w:rsidRDefault="009C778C" w:rsidP="009C778C">
            <w:pPr>
              <w:rPr>
                <w:rFonts w:cstheme="minorHAnsi"/>
                <w:sz w:val="24"/>
                <w:szCs w:val="24"/>
              </w:rPr>
            </w:pPr>
          </w:p>
        </w:tc>
        <w:tc>
          <w:tcPr>
            <w:tcW w:w="388" w:type="pct"/>
            <w:hideMark/>
          </w:tcPr>
          <w:p w14:paraId="4C2A986C" w14:textId="77777777" w:rsidR="009C778C" w:rsidRPr="009C778C" w:rsidRDefault="009C778C" w:rsidP="009C778C">
            <w:pPr>
              <w:rPr>
                <w:rFonts w:cstheme="minorHAnsi"/>
                <w:sz w:val="24"/>
                <w:szCs w:val="24"/>
              </w:rPr>
            </w:pPr>
            <w:r w:rsidRPr="009C778C">
              <w:rPr>
                <w:rFonts w:cstheme="minorHAnsi"/>
                <w:sz w:val="24"/>
                <w:szCs w:val="24"/>
              </w:rPr>
              <w:t>(0.05)</w:t>
            </w:r>
          </w:p>
        </w:tc>
      </w:tr>
    </w:tbl>
    <w:p w14:paraId="6E026BE5" w14:textId="77777777" w:rsidR="009C778C" w:rsidRPr="009C778C" w:rsidRDefault="009C778C" w:rsidP="0046257B">
      <w:pPr>
        <w:pStyle w:val="Heading1"/>
      </w:pPr>
      <w:r w:rsidRPr="009C778C">
        <w:t>Appendix C. Additional robustness tests.</w:t>
      </w:r>
    </w:p>
    <w:p w14:paraId="6DF23064" w14:textId="77777777" w:rsidR="009C778C" w:rsidRPr="009C778C" w:rsidRDefault="009C778C" w:rsidP="009C778C">
      <w:pPr>
        <w:rPr>
          <w:rFonts w:cstheme="minorHAnsi"/>
          <w:sz w:val="24"/>
          <w:szCs w:val="24"/>
        </w:rPr>
      </w:pPr>
      <w:r w:rsidRPr="009C778C">
        <w:rPr>
          <w:rFonts w:cstheme="minorHAnsi"/>
          <w:sz w:val="24"/>
          <w:szCs w:val="24"/>
        </w:rPr>
        <w:t>This table reports estimation results from panel regressions of earnings management on institutional ownership for non-US firms from 2001 to 2013. Variable definitions are given in </w:t>
      </w:r>
      <w:hyperlink r:id="rId184" w:anchor="s0085" w:history="1">
        <w:r w:rsidRPr="009C778C">
          <w:rPr>
            <w:rStyle w:val="Hyperlink"/>
            <w:rFonts w:cstheme="minorHAnsi"/>
            <w:sz w:val="24"/>
            <w:szCs w:val="24"/>
          </w:rPr>
          <w:t>Appendix A</w:t>
        </w:r>
      </w:hyperlink>
      <w:bookmarkEnd w:id="55"/>
      <w:r w:rsidRPr="009C778C">
        <w:rPr>
          <w:rFonts w:cstheme="minorHAnsi"/>
          <w:sz w:val="24"/>
          <w:szCs w:val="24"/>
        </w:rPr>
        <w:t>. Column of </w:t>
      </w:r>
      <w:r w:rsidRPr="009C778C">
        <w:rPr>
          <w:rFonts w:cstheme="minorHAnsi"/>
          <w:i/>
          <w:iCs/>
          <w:sz w:val="24"/>
          <w:szCs w:val="24"/>
        </w:rPr>
        <w:t>Pred. Sign</w:t>
      </w:r>
      <w:r w:rsidRPr="009C778C">
        <w:rPr>
          <w:rFonts w:cstheme="minorHAnsi"/>
          <w:sz w:val="24"/>
          <w:szCs w:val="24"/>
        </w:rPr>
        <w:t> provides expected directional relations between the dependent variables and the main independent variables of interest. Below the coefficient estimates in parentheses are </w:t>
      </w:r>
      <w:r w:rsidRPr="009C778C">
        <w:rPr>
          <w:rFonts w:cstheme="minorHAnsi"/>
          <w:i/>
          <w:iCs/>
          <w:sz w:val="24"/>
          <w:szCs w:val="24"/>
        </w:rPr>
        <w:t>t</w:t>
      </w:r>
      <w:r w:rsidRPr="009C778C">
        <w:rPr>
          <w:rFonts w:cstheme="minorHAnsi"/>
          <w:sz w:val="24"/>
          <w:szCs w:val="24"/>
        </w:rPr>
        <w:t>-values adjusted for heteroscedasticity and firm-level clustering. *, **, and *** indicate significance level of less than 0.10, 0.05 and 0.01, respectively, based on a two-tailed test.</w:t>
      </w:r>
    </w:p>
    <w:tbl>
      <w:tblPr>
        <w:tblStyle w:val="TableGrid"/>
        <w:tblW w:w="0" w:type="auto"/>
        <w:tblLook w:val="04A0" w:firstRow="1" w:lastRow="0" w:firstColumn="1" w:lastColumn="0" w:noHBand="0" w:noVBand="1"/>
      </w:tblPr>
      <w:tblGrid>
        <w:gridCol w:w="1814"/>
        <w:gridCol w:w="576"/>
        <w:gridCol w:w="839"/>
        <w:gridCol w:w="840"/>
        <w:gridCol w:w="840"/>
        <w:gridCol w:w="961"/>
        <w:gridCol w:w="840"/>
        <w:gridCol w:w="840"/>
        <w:gridCol w:w="840"/>
        <w:gridCol w:w="840"/>
        <w:gridCol w:w="840"/>
      </w:tblGrid>
      <w:tr w:rsidR="009C778C" w:rsidRPr="009C778C" w14:paraId="248A8629" w14:textId="77777777" w:rsidTr="0046257B">
        <w:tc>
          <w:tcPr>
            <w:tcW w:w="0" w:type="auto"/>
            <w:hideMark/>
          </w:tcPr>
          <w:p w14:paraId="7F37646F" w14:textId="77777777" w:rsidR="009C778C" w:rsidRPr="009C778C" w:rsidRDefault="009C778C" w:rsidP="009C778C">
            <w:pPr>
              <w:rPr>
                <w:rFonts w:cstheme="minorHAnsi"/>
                <w:sz w:val="24"/>
                <w:szCs w:val="24"/>
              </w:rPr>
            </w:pPr>
            <w:r w:rsidRPr="009C778C">
              <w:rPr>
                <w:rFonts w:cstheme="minorHAnsi"/>
                <w:sz w:val="24"/>
                <w:szCs w:val="24"/>
              </w:rPr>
              <w:t>Empty Cell</w:t>
            </w:r>
          </w:p>
        </w:tc>
        <w:tc>
          <w:tcPr>
            <w:tcW w:w="0" w:type="auto"/>
            <w:hideMark/>
          </w:tcPr>
          <w:p w14:paraId="0B14FD20" w14:textId="77777777" w:rsidR="009C778C" w:rsidRPr="009C778C" w:rsidRDefault="009C778C" w:rsidP="009C778C">
            <w:pPr>
              <w:rPr>
                <w:rFonts w:cstheme="minorHAnsi"/>
                <w:sz w:val="24"/>
                <w:szCs w:val="24"/>
              </w:rPr>
            </w:pPr>
            <w:r w:rsidRPr="009C778C">
              <w:rPr>
                <w:rFonts w:cstheme="minorHAnsi"/>
                <w:sz w:val="24"/>
                <w:szCs w:val="24"/>
              </w:rPr>
              <w:t>Empty Cell</w:t>
            </w:r>
          </w:p>
        </w:tc>
        <w:tc>
          <w:tcPr>
            <w:tcW w:w="0" w:type="auto"/>
            <w:hideMark/>
          </w:tcPr>
          <w:p w14:paraId="3F3F5F69" w14:textId="77777777" w:rsidR="009C778C" w:rsidRPr="009C778C" w:rsidRDefault="009C778C" w:rsidP="009C778C">
            <w:pPr>
              <w:rPr>
                <w:rFonts w:cstheme="minorHAnsi"/>
                <w:b/>
                <w:bCs/>
                <w:sz w:val="24"/>
                <w:szCs w:val="24"/>
              </w:rPr>
            </w:pPr>
            <w:r w:rsidRPr="009C778C">
              <w:rPr>
                <w:rFonts w:cstheme="minorHAnsi"/>
                <w:b/>
                <w:bCs/>
                <w:sz w:val="24"/>
                <w:szCs w:val="24"/>
              </w:rPr>
              <w:t>Firm FE</w:t>
            </w:r>
          </w:p>
        </w:tc>
        <w:tc>
          <w:tcPr>
            <w:tcW w:w="0" w:type="auto"/>
            <w:hideMark/>
          </w:tcPr>
          <w:p w14:paraId="7D3C0E1E" w14:textId="77777777" w:rsidR="009C778C" w:rsidRPr="009C778C" w:rsidRDefault="009C778C" w:rsidP="009C778C">
            <w:pPr>
              <w:rPr>
                <w:rFonts w:cstheme="minorHAnsi"/>
                <w:b/>
                <w:bCs/>
                <w:sz w:val="24"/>
                <w:szCs w:val="24"/>
              </w:rPr>
            </w:pPr>
            <w:r w:rsidRPr="009C778C">
              <w:rPr>
                <w:rFonts w:cstheme="minorHAnsi"/>
                <w:b/>
                <w:bCs/>
                <w:sz w:val="24"/>
                <w:szCs w:val="24"/>
              </w:rPr>
              <w:t>Cluster by country</w:t>
            </w:r>
          </w:p>
        </w:tc>
        <w:tc>
          <w:tcPr>
            <w:tcW w:w="0" w:type="auto"/>
            <w:hideMark/>
          </w:tcPr>
          <w:p w14:paraId="03F67FFA" w14:textId="77777777" w:rsidR="009C778C" w:rsidRPr="009C778C" w:rsidRDefault="009C778C" w:rsidP="009C778C">
            <w:pPr>
              <w:rPr>
                <w:rFonts w:cstheme="minorHAnsi"/>
                <w:b/>
                <w:bCs/>
                <w:sz w:val="24"/>
                <w:szCs w:val="24"/>
              </w:rPr>
            </w:pPr>
            <w:r w:rsidRPr="009C778C">
              <w:rPr>
                <w:rFonts w:cstheme="minorHAnsi"/>
                <w:b/>
                <w:bCs/>
                <w:sz w:val="24"/>
                <w:szCs w:val="24"/>
              </w:rPr>
              <w:t>Two-way</w:t>
            </w:r>
            <w:r w:rsidRPr="009C778C">
              <w:rPr>
                <w:rFonts w:cstheme="minorHAnsi"/>
                <w:b/>
                <w:bCs/>
                <w:sz w:val="24"/>
                <w:szCs w:val="24"/>
              </w:rPr>
              <w:br/>
              <w:t>clustering</w:t>
            </w:r>
          </w:p>
        </w:tc>
        <w:tc>
          <w:tcPr>
            <w:tcW w:w="0" w:type="auto"/>
            <w:hideMark/>
          </w:tcPr>
          <w:p w14:paraId="22983CAA" w14:textId="77777777" w:rsidR="009C778C" w:rsidRPr="009C778C" w:rsidRDefault="009C778C" w:rsidP="009C778C">
            <w:pPr>
              <w:rPr>
                <w:rFonts w:cstheme="minorHAnsi"/>
                <w:b/>
                <w:bCs/>
                <w:sz w:val="24"/>
                <w:szCs w:val="24"/>
              </w:rPr>
            </w:pPr>
            <w:r w:rsidRPr="009C778C">
              <w:rPr>
                <w:rFonts w:cstheme="minorHAnsi"/>
                <w:b/>
                <w:bCs/>
                <w:sz w:val="24"/>
                <w:szCs w:val="24"/>
              </w:rPr>
              <w:t>Delete zero</w:t>
            </w:r>
            <w:r w:rsidRPr="009C778C">
              <w:rPr>
                <w:rFonts w:cstheme="minorHAnsi"/>
                <w:b/>
                <w:bCs/>
                <w:sz w:val="24"/>
                <w:szCs w:val="24"/>
              </w:rPr>
              <w:br/>
            </w:r>
            <w:r w:rsidRPr="009C778C">
              <w:rPr>
                <w:rFonts w:cstheme="minorHAnsi"/>
                <w:b/>
                <w:bCs/>
                <w:i/>
                <w:iCs/>
                <w:sz w:val="24"/>
                <w:szCs w:val="24"/>
              </w:rPr>
              <w:t>INSTIT_OWN</w:t>
            </w:r>
          </w:p>
        </w:tc>
        <w:tc>
          <w:tcPr>
            <w:tcW w:w="0" w:type="auto"/>
            <w:hideMark/>
          </w:tcPr>
          <w:p w14:paraId="455C0AFE" w14:textId="77777777" w:rsidR="009C778C" w:rsidRPr="009C778C" w:rsidRDefault="009C778C" w:rsidP="009C778C">
            <w:pPr>
              <w:rPr>
                <w:rFonts w:cstheme="minorHAnsi"/>
                <w:b/>
                <w:bCs/>
                <w:sz w:val="24"/>
                <w:szCs w:val="24"/>
              </w:rPr>
            </w:pPr>
            <w:r w:rsidRPr="009C778C">
              <w:rPr>
                <w:rFonts w:cstheme="minorHAnsi"/>
                <w:b/>
                <w:bCs/>
                <w:sz w:val="24"/>
                <w:szCs w:val="24"/>
              </w:rPr>
              <w:t>Exclude</w:t>
            </w:r>
            <w:r w:rsidRPr="009C778C">
              <w:rPr>
                <w:rFonts w:cstheme="minorHAnsi"/>
                <w:b/>
                <w:bCs/>
                <w:sz w:val="24"/>
                <w:szCs w:val="24"/>
              </w:rPr>
              <w:br/>
              <w:t>Japan</w:t>
            </w:r>
          </w:p>
        </w:tc>
        <w:tc>
          <w:tcPr>
            <w:tcW w:w="0" w:type="auto"/>
            <w:hideMark/>
          </w:tcPr>
          <w:p w14:paraId="771E85D1" w14:textId="77777777" w:rsidR="009C778C" w:rsidRPr="009C778C" w:rsidRDefault="009C778C" w:rsidP="009C778C">
            <w:pPr>
              <w:rPr>
                <w:rFonts w:cstheme="minorHAnsi"/>
                <w:b/>
                <w:bCs/>
                <w:sz w:val="24"/>
                <w:szCs w:val="24"/>
              </w:rPr>
            </w:pPr>
            <w:r w:rsidRPr="009C778C">
              <w:rPr>
                <w:rFonts w:cstheme="minorHAnsi"/>
                <w:b/>
                <w:bCs/>
                <w:sz w:val="24"/>
                <w:szCs w:val="24"/>
              </w:rPr>
              <w:t>RATIO</w:t>
            </w:r>
          </w:p>
        </w:tc>
        <w:tc>
          <w:tcPr>
            <w:tcW w:w="0" w:type="auto"/>
            <w:hideMark/>
          </w:tcPr>
          <w:p w14:paraId="69009111" w14:textId="77777777" w:rsidR="009C778C" w:rsidRPr="009C778C" w:rsidRDefault="009C778C" w:rsidP="009C778C">
            <w:pPr>
              <w:rPr>
                <w:rFonts w:cstheme="minorHAnsi"/>
                <w:b/>
                <w:bCs/>
                <w:sz w:val="24"/>
                <w:szCs w:val="24"/>
              </w:rPr>
            </w:pPr>
            <w:r w:rsidRPr="009C778C">
              <w:rPr>
                <w:rFonts w:cstheme="minorHAnsi"/>
                <w:b/>
                <w:bCs/>
                <w:sz w:val="24"/>
                <w:szCs w:val="24"/>
              </w:rPr>
              <w:t>Excl. financial crisis</w:t>
            </w:r>
          </w:p>
        </w:tc>
        <w:tc>
          <w:tcPr>
            <w:tcW w:w="0" w:type="auto"/>
            <w:hideMark/>
          </w:tcPr>
          <w:p w14:paraId="55CA39FA" w14:textId="77777777" w:rsidR="009C778C" w:rsidRPr="009C778C" w:rsidRDefault="009C778C" w:rsidP="009C778C">
            <w:pPr>
              <w:rPr>
                <w:rFonts w:cstheme="minorHAnsi"/>
                <w:b/>
                <w:bCs/>
                <w:sz w:val="24"/>
                <w:szCs w:val="24"/>
              </w:rPr>
            </w:pPr>
            <w:r w:rsidRPr="009C778C">
              <w:rPr>
                <w:rFonts w:cstheme="minorHAnsi"/>
                <w:b/>
                <w:bCs/>
                <w:sz w:val="24"/>
                <w:szCs w:val="24"/>
              </w:rPr>
              <w:t>Add</w:t>
            </w:r>
            <w:r w:rsidRPr="009C778C">
              <w:rPr>
                <w:rFonts w:cstheme="minorHAnsi"/>
                <w:b/>
                <w:bCs/>
                <w:sz w:val="24"/>
                <w:szCs w:val="24"/>
              </w:rPr>
              <w:br/>
            </w:r>
            <w:r w:rsidRPr="009C778C">
              <w:rPr>
                <w:rFonts w:cstheme="minorHAnsi"/>
                <w:b/>
                <w:bCs/>
                <w:i/>
                <w:iCs/>
                <w:sz w:val="24"/>
                <w:szCs w:val="24"/>
              </w:rPr>
              <w:t>CROSS_</w:t>
            </w:r>
            <w:r w:rsidRPr="009C778C">
              <w:rPr>
                <w:rFonts w:cstheme="minorHAnsi"/>
                <w:b/>
                <w:bCs/>
                <w:sz w:val="24"/>
                <w:szCs w:val="24"/>
              </w:rPr>
              <w:br/>
            </w:r>
            <w:r w:rsidRPr="009C778C">
              <w:rPr>
                <w:rFonts w:cstheme="minorHAnsi"/>
                <w:b/>
                <w:bCs/>
                <w:i/>
                <w:iCs/>
                <w:sz w:val="24"/>
                <w:szCs w:val="24"/>
              </w:rPr>
              <w:t>LISTING</w:t>
            </w:r>
          </w:p>
        </w:tc>
        <w:tc>
          <w:tcPr>
            <w:tcW w:w="0" w:type="auto"/>
            <w:hideMark/>
          </w:tcPr>
          <w:p w14:paraId="4A1F0EE0" w14:textId="77777777" w:rsidR="009C778C" w:rsidRPr="009C778C" w:rsidRDefault="009C778C" w:rsidP="009C778C">
            <w:pPr>
              <w:rPr>
                <w:rFonts w:cstheme="minorHAnsi"/>
                <w:b/>
                <w:bCs/>
                <w:sz w:val="24"/>
                <w:szCs w:val="24"/>
              </w:rPr>
            </w:pPr>
            <w:r w:rsidRPr="009C778C">
              <w:rPr>
                <w:rFonts w:cstheme="minorHAnsi"/>
                <w:b/>
                <w:bCs/>
                <w:sz w:val="24"/>
                <w:szCs w:val="24"/>
              </w:rPr>
              <w:t>Add</w:t>
            </w:r>
            <w:r w:rsidRPr="009C778C">
              <w:rPr>
                <w:rFonts w:cstheme="minorHAnsi"/>
                <w:b/>
                <w:bCs/>
                <w:sz w:val="24"/>
                <w:szCs w:val="24"/>
              </w:rPr>
              <w:br/>
            </w:r>
            <w:r w:rsidRPr="009C778C">
              <w:rPr>
                <w:rFonts w:cstheme="minorHAnsi"/>
                <w:b/>
                <w:bCs/>
                <w:i/>
                <w:iCs/>
                <w:sz w:val="24"/>
                <w:szCs w:val="24"/>
              </w:rPr>
              <w:t>G_INDEX</w:t>
            </w:r>
          </w:p>
        </w:tc>
      </w:tr>
      <w:tr w:rsidR="009C778C" w:rsidRPr="009C778C" w14:paraId="0E602EAA" w14:textId="77777777" w:rsidTr="0046257B">
        <w:tc>
          <w:tcPr>
            <w:tcW w:w="0" w:type="auto"/>
            <w:hideMark/>
          </w:tcPr>
          <w:p w14:paraId="7149A41D" w14:textId="77777777" w:rsidR="009C778C" w:rsidRPr="009C778C" w:rsidRDefault="009C778C" w:rsidP="009C778C">
            <w:pPr>
              <w:rPr>
                <w:rFonts w:cstheme="minorHAnsi"/>
                <w:sz w:val="24"/>
                <w:szCs w:val="24"/>
              </w:rPr>
            </w:pPr>
          </w:p>
        </w:tc>
        <w:tc>
          <w:tcPr>
            <w:tcW w:w="0" w:type="auto"/>
            <w:hideMark/>
          </w:tcPr>
          <w:p w14:paraId="3129E8D8" w14:textId="77777777" w:rsidR="009C778C" w:rsidRPr="009C778C" w:rsidRDefault="009C778C" w:rsidP="009C778C">
            <w:pPr>
              <w:rPr>
                <w:rFonts w:cstheme="minorHAnsi"/>
                <w:b/>
                <w:bCs/>
                <w:sz w:val="24"/>
                <w:szCs w:val="24"/>
              </w:rPr>
            </w:pPr>
            <w:r w:rsidRPr="009C778C">
              <w:rPr>
                <w:rFonts w:cstheme="minorHAnsi"/>
                <w:b/>
                <w:bCs/>
                <w:i/>
                <w:iCs/>
                <w:sz w:val="24"/>
                <w:szCs w:val="24"/>
              </w:rPr>
              <w:t>Sign</w:t>
            </w:r>
          </w:p>
        </w:tc>
        <w:tc>
          <w:tcPr>
            <w:tcW w:w="0" w:type="auto"/>
            <w:hideMark/>
          </w:tcPr>
          <w:p w14:paraId="2FD66722" w14:textId="77777777" w:rsidR="009C778C" w:rsidRPr="009C778C" w:rsidRDefault="009C778C" w:rsidP="009C778C">
            <w:pPr>
              <w:rPr>
                <w:rFonts w:cstheme="minorHAnsi"/>
                <w:b/>
                <w:bCs/>
                <w:sz w:val="24"/>
                <w:szCs w:val="24"/>
              </w:rPr>
            </w:pPr>
            <w:r w:rsidRPr="009C778C">
              <w:rPr>
                <w:rFonts w:cstheme="minorHAnsi"/>
                <w:b/>
                <w:bCs/>
                <w:sz w:val="24"/>
                <w:szCs w:val="24"/>
              </w:rPr>
              <w:t>(1)</w:t>
            </w:r>
          </w:p>
        </w:tc>
        <w:tc>
          <w:tcPr>
            <w:tcW w:w="0" w:type="auto"/>
            <w:hideMark/>
          </w:tcPr>
          <w:p w14:paraId="4F3F53D3" w14:textId="77777777" w:rsidR="009C778C" w:rsidRPr="009C778C" w:rsidRDefault="009C778C" w:rsidP="009C778C">
            <w:pPr>
              <w:rPr>
                <w:rFonts w:cstheme="minorHAnsi"/>
                <w:b/>
                <w:bCs/>
                <w:sz w:val="24"/>
                <w:szCs w:val="24"/>
              </w:rPr>
            </w:pPr>
            <w:r w:rsidRPr="009C778C">
              <w:rPr>
                <w:rFonts w:cstheme="minorHAnsi"/>
                <w:b/>
                <w:bCs/>
                <w:sz w:val="24"/>
                <w:szCs w:val="24"/>
              </w:rPr>
              <w:t>(2)</w:t>
            </w:r>
          </w:p>
        </w:tc>
        <w:tc>
          <w:tcPr>
            <w:tcW w:w="0" w:type="auto"/>
            <w:hideMark/>
          </w:tcPr>
          <w:p w14:paraId="4B7FA2A3" w14:textId="77777777" w:rsidR="009C778C" w:rsidRPr="009C778C" w:rsidRDefault="009C778C" w:rsidP="009C778C">
            <w:pPr>
              <w:rPr>
                <w:rFonts w:cstheme="minorHAnsi"/>
                <w:b/>
                <w:bCs/>
                <w:sz w:val="24"/>
                <w:szCs w:val="24"/>
              </w:rPr>
            </w:pPr>
            <w:r w:rsidRPr="009C778C">
              <w:rPr>
                <w:rFonts w:cstheme="minorHAnsi"/>
                <w:b/>
                <w:bCs/>
                <w:sz w:val="24"/>
                <w:szCs w:val="24"/>
              </w:rPr>
              <w:t>(3)</w:t>
            </w:r>
          </w:p>
        </w:tc>
        <w:tc>
          <w:tcPr>
            <w:tcW w:w="0" w:type="auto"/>
            <w:hideMark/>
          </w:tcPr>
          <w:p w14:paraId="7A8F3103" w14:textId="77777777" w:rsidR="009C778C" w:rsidRPr="009C778C" w:rsidRDefault="009C778C" w:rsidP="009C778C">
            <w:pPr>
              <w:rPr>
                <w:rFonts w:cstheme="minorHAnsi"/>
                <w:b/>
                <w:bCs/>
                <w:sz w:val="24"/>
                <w:szCs w:val="24"/>
              </w:rPr>
            </w:pPr>
            <w:r w:rsidRPr="009C778C">
              <w:rPr>
                <w:rFonts w:cstheme="minorHAnsi"/>
                <w:b/>
                <w:bCs/>
                <w:sz w:val="24"/>
                <w:szCs w:val="24"/>
              </w:rPr>
              <w:t>(4)</w:t>
            </w:r>
          </w:p>
        </w:tc>
        <w:tc>
          <w:tcPr>
            <w:tcW w:w="0" w:type="auto"/>
            <w:hideMark/>
          </w:tcPr>
          <w:p w14:paraId="62582C36" w14:textId="77777777" w:rsidR="009C778C" w:rsidRPr="009C778C" w:rsidRDefault="009C778C" w:rsidP="009C778C">
            <w:pPr>
              <w:rPr>
                <w:rFonts w:cstheme="minorHAnsi"/>
                <w:b/>
                <w:bCs/>
                <w:sz w:val="24"/>
                <w:szCs w:val="24"/>
              </w:rPr>
            </w:pPr>
            <w:r w:rsidRPr="009C778C">
              <w:rPr>
                <w:rFonts w:cstheme="minorHAnsi"/>
                <w:b/>
                <w:bCs/>
                <w:sz w:val="24"/>
                <w:szCs w:val="24"/>
              </w:rPr>
              <w:t>(5)</w:t>
            </w:r>
          </w:p>
        </w:tc>
        <w:tc>
          <w:tcPr>
            <w:tcW w:w="0" w:type="auto"/>
            <w:hideMark/>
          </w:tcPr>
          <w:p w14:paraId="6BA4F1A6" w14:textId="77777777" w:rsidR="009C778C" w:rsidRPr="009C778C" w:rsidRDefault="009C778C" w:rsidP="009C778C">
            <w:pPr>
              <w:rPr>
                <w:rFonts w:cstheme="minorHAnsi"/>
                <w:b/>
                <w:bCs/>
                <w:sz w:val="24"/>
                <w:szCs w:val="24"/>
              </w:rPr>
            </w:pPr>
            <w:r w:rsidRPr="009C778C">
              <w:rPr>
                <w:rFonts w:cstheme="minorHAnsi"/>
                <w:b/>
                <w:bCs/>
                <w:sz w:val="24"/>
                <w:szCs w:val="24"/>
              </w:rPr>
              <w:t>(6)</w:t>
            </w:r>
          </w:p>
        </w:tc>
        <w:tc>
          <w:tcPr>
            <w:tcW w:w="0" w:type="auto"/>
            <w:hideMark/>
          </w:tcPr>
          <w:p w14:paraId="31D76BEF" w14:textId="77777777" w:rsidR="009C778C" w:rsidRPr="009C778C" w:rsidRDefault="009C778C" w:rsidP="009C778C">
            <w:pPr>
              <w:rPr>
                <w:rFonts w:cstheme="minorHAnsi"/>
                <w:b/>
                <w:bCs/>
                <w:sz w:val="24"/>
                <w:szCs w:val="24"/>
              </w:rPr>
            </w:pPr>
            <w:r w:rsidRPr="009C778C">
              <w:rPr>
                <w:rFonts w:cstheme="minorHAnsi"/>
                <w:b/>
                <w:bCs/>
                <w:sz w:val="24"/>
                <w:szCs w:val="24"/>
              </w:rPr>
              <w:t>(7)</w:t>
            </w:r>
          </w:p>
        </w:tc>
        <w:tc>
          <w:tcPr>
            <w:tcW w:w="0" w:type="auto"/>
            <w:hideMark/>
          </w:tcPr>
          <w:p w14:paraId="305488C4" w14:textId="77777777" w:rsidR="009C778C" w:rsidRPr="009C778C" w:rsidRDefault="009C778C" w:rsidP="009C778C">
            <w:pPr>
              <w:rPr>
                <w:rFonts w:cstheme="minorHAnsi"/>
                <w:b/>
                <w:bCs/>
                <w:sz w:val="24"/>
                <w:szCs w:val="24"/>
              </w:rPr>
            </w:pPr>
            <w:r w:rsidRPr="009C778C">
              <w:rPr>
                <w:rFonts w:cstheme="minorHAnsi"/>
                <w:b/>
                <w:bCs/>
                <w:sz w:val="24"/>
                <w:szCs w:val="24"/>
              </w:rPr>
              <w:t>(8)</w:t>
            </w:r>
          </w:p>
        </w:tc>
        <w:tc>
          <w:tcPr>
            <w:tcW w:w="0" w:type="auto"/>
            <w:hideMark/>
          </w:tcPr>
          <w:p w14:paraId="360F91FC" w14:textId="77777777" w:rsidR="009C778C" w:rsidRPr="009C778C" w:rsidRDefault="009C778C" w:rsidP="009C778C">
            <w:pPr>
              <w:rPr>
                <w:rFonts w:cstheme="minorHAnsi"/>
                <w:b/>
                <w:bCs/>
                <w:sz w:val="24"/>
                <w:szCs w:val="24"/>
              </w:rPr>
            </w:pPr>
            <w:r w:rsidRPr="009C778C">
              <w:rPr>
                <w:rFonts w:cstheme="minorHAnsi"/>
                <w:b/>
                <w:bCs/>
                <w:sz w:val="24"/>
                <w:szCs w:val="24"/>
              </w:rPr>
              <w:t>(9)</w:t>
            </w:r>
          </w:p>
        </w:tc>
      </w:tr>
      <w:tr w:rsidR="009C778C" w:rsidRPr="009C778C" w14:paraId="17E41BFE" w14:textId="77777777" w:rsidTr="0046257B">
        <w:tc>
          <w:tcPr>
            <w:tcW w:w="0" w:type="auto"/>
            <w:hideMark/>
          </w:tcPr>
          <w:p w14:paraId="1AEAF97D" w14:textId="77777777" w:rsidR="009C778C" w:rsidRPr="009C778C" w:rsidRDefault="009C778C" w:rsidP="009C778C">
            <w:pPr>
              <w:rPr>
                <w:rFonts w:cstheme="minorHAnsi"/>
                <w:b/>
                <w:bCs/>
                <w:sz w:val="24"/>
                <w:szCs w:val="24"/>
              </w:rPr>
            </w:pPr>
            <w:r w:rsidRPr="009C778C">
              <w:rPr>
                <w:rFonts w:cstheme="minorHAnsi"/>
                <w:b/>
                <w:bCs/>
                <w:sz w:val="24"/>
                <w:szCs w:val="24"/>
              </w:rPr>
              <w:t>DOMESTIC</w:t>
            </w:r>
            <w:r w:rsidRPr="009C778C">
              <w:rPr>
                <w:rFonts w:cstheme="minorHAnsi"/>
                <w:b/>
                <w:bCs/>
                <w:sz w:val="24"/>
                <w:szCs w:val="24"/>
                <w:vertAlign w:val="subscript"/>
              </w:rPr>
              <w:t>t − 1</w:t>
            </w:r>
          </w:p>
        </w:tc>
        <w:tc>
          <w:tcPr>
            <w:tcW w:w="0" w:type="auto"/>
            <w:hideMark/>
          </w:tcPr>
          <w:p w14:paraId="4372000F" w14:textId="77777777" w:rsidR="009C778C" w:rsidRPr="009C778C" w:rsidRDefault="009C778C" w:rsidP="009C778C">
            <w:pPr>
              <w:rPr>
                <w:rFonts w:cstheme="minorHAnsi"/>
                <w:sz w:val="24"/>
                <w:szCs w:val="24"/>
              </w:rPr>
            </w:pPr>
            <w:r w:rsidRPr="009C778C">
              <w:rPr>
                <w:rFonts w:cstheme="minorHAnsi"/>
                <w:sz w:val="24"/>
                <w:szCs w:val="24"/>
              </w:rPr>
              <w:t>–</w:t>
            </w:r>
          </w:p>
        </w:tc>
        <w:tc>
          <w:tcPr>
            <w:tcW w:w="0" w:type="auto"/>
            <w:hideMark/>
          </w:tcPr>
          <w:p w14:paraId="07791C84" w14:textId="77777777" w:rsidR="009C778C" w:rsidRPr="009C778C" w:rsidRDefault="009C778C" w:rsidP="009C778C">
            <w:pPr>
              <w:rPr>
                <w:rFonts w:cstheme="minorHAnsi"/>
                <w:sz w:val="24"/>
                <w:szCs w:val="24"/>
              </w:rPr>
            </w:pPr>
            <w:r w:rsidRPr="009C778C">
              <w:rPr>
                <w:rFonts w:cstheme="minorHAnsi"/>
                <w:sz w:val="24"/>
                <w:szCs w:val="24"/>
              </w:rPr>
              <w:t>− 0.201**</w:t>
            </w:r>
          </w:p>
        </w:tc>
        <w:tc>
          <w:tcPr>
            <w:tcW w:w="0" w:type="auto"/>
            <w:hideMark/>
          </w:tcPr>
          <w:p w14:paraId="4C4797FE" w14:textId="77777777" w:rsidR="009C778C" w:rsidRPr="009C778C" w:rsidRDefault="009C778C" w:rsidP="009C778C">
            <w:pPr>
              <w:rPr>
                <w:rFonts w:cstheme="minorHAnsi"/>
                <w:sz w:val="24"/>
                <w:szCs w:val="24"/>
              </w:rPr>
            </w:pPr>
            <w:r w:rsidRPr="009C778C">
              <w:rPr>
                <w:rFonts w:cstheme="minorHAnsi"/>
                <w:sz w:val="24"/>
                <w:szCs w:val="24"/>
              </w:rPr>
              <w:t>− 0.353***</w:t>
            </w:r>
          </w:p>
        </w:tc>
        <w:tc>
          <w:tcPr>
            <w:tcW w:w="0" w:type="auto"/>
            <w:hideMark/>
          </w:tcPr>
          <w:p w14:paraId="719ED345" w14:textId="77777777" w:rsidR="009C778C" w:rsidRPr="009C778C" w:rsidRDefault="009C778C" w:rsidP="009C778C">
            <w:pPr>
              <w:rPr>
                <w:rFonts w:cstheme="minorHAnsi"/>
                <w:sz w:val="24"/>
                <w:szCs w:val="24"/>
              </w:rPr>
            </w:pPr>
            <w:r w:rsidRPr="009C778C">
              <w:rPr>
                <w:rFonts w:cstheme="minorHAnsi"/>
                <w:sz w:val="24"/>
                <w:szCs w:val="24"/>
              </w:rPr>
              <w:t>− 0.353***</w:t>
            </w:r>
          </w:p>
        </w:tc>
        <w:tc>
          <w:tcPr>
            <w:tcW w:w="0" w:type="auto"/>
            <w:hideMark/>
          </w:tcPr>
          <w:p w14:paraId="751C02C3" w14:textId="77777777" w:rsidR="009C778C" w:rsidRPr="009C778C" w:rsidRDefault="009C778C" w:rsidP="009C778C">
            <w:pPr>
              <w:rPr>
                <w:rFonts w:cstheme="minorHAnsi"/>
                <w:sz w:val="24"/>
                <w:szCs w:val="24"/>
              </w:rPr>
            </w:pPr>
            <w:r w:rsidRPr="009C778C">
              <w:rPr>
                <w:rFonts w:cstheme="minorHAnsi"/>
                <w:sz w:val="24"/>
                <w:szCs w:val="24"/>
              </w:rPr>
              <w:t>− 0.366***</w:t>
            </w:r>
          </w:p>
        </w:tc>
        <w:tc>
          <w:tcPr>
            <w:tcW w:w="0" w:type="auto"/>
            <w:hideMark/>
          </w:tcPr>
          <w:p w14:paraId="4EA2E70E" w14:textId="77777777" w:rsidR="009C778C" w:rsidRPr="009C778C" w:rsidRDefault="009C778C" w:rsidP="009C778C">
            <w:pPr>
              <w:rPr>
                <w:rFonts w:cstheme="minorHAnsi"/>
                <w:sz w:val="24"/>
                <w:szCs w:val="24"/>
              </w:rPr>
            </w:pPr>
            <w:r w:rsidRPr="009C778C">
              <w:rPr>
                <w:rFonts w:cstheme="minorHAnsi"/>
                <w:sz w:val="24"/>
                <w:szCs w:val="24"/>
              </w:rPr>
              <w:t>− 0.342***</w:t>
            </w:r>
          </w:p>
        </w:tc>
        <w:tc>
          <w:tcPr>
            <w:tcW w:w="0" w:type="auto"/>
            <w:hideMark/>
          </w:tcPr>
          <w:p w14:paraId="5A86D36F" w14:textId="77777777" w:rsidR="009C778C" w:rsidRPr="009C778C" w:rsidRDefault="009C778C" w:rsidP="009C778C">
            <w:pPr>
              <w:rPr>
                <w:rFonts w:cstheme="minorHAnsi"/>
                <w:sz w:val="24"/>
                <w:szCs w:val="24"/>
              </w:rPr>
            </w:pPr>
          </w:p>
        </w:tc>
        <w:tc>
          <w:tcPr>
            <w:tcW w:w="0" w:type="auto"/>
            <w:hideMark/>
          </w:tcPr>
          <w:p w14:paraId="016A30E1" w14:textId="77777777" w:rsidR="009C778C" w:rsidRPr="009C778C" w:rsidRDefault="009C778C" w:rsidP="009C778C">
            <w:pPr>
              <w:rPr>
                <w:rFonts w:cstheme="minorHAnsi"/>
                <w:sz w:val="24"/>
                <w:szCs w:val="24"/>
              </w:rPr>
            </w:pPr>
            <w:r w:rsidRPr="009C778C">
              <w:rPr>
                <w:rFonts w:cstheme="minorHAnsi"/>
                <w:sz w:val="24"/>
                <w:szCs w:val="24"/>
              </w:rPr>
              <w:t>− 0.355***</w:t>
            </w:r>
          </w:p>
        </w:tc>
        <w:tc>
          <w:tcPr>
            <w:tcW w:w="0" w:type="auto"/>
            <w:hideMark/>
          </w:tcPr>
          <w:p w14:paraId="61E1DC43" w14:textId="77777777" w:rsidR="009C778C" w:rsidRPr="009C778C" w:rsidRDefault="009C778C" w:rsidP="009C778C">
            <w:pPr>
              <w:rPr>
                <w:rFonts w:cstheme="minorHAnsi"/>
                <w:sz w:val="24"/>
                <w:szCs w:val="24"/>
              </w:rPr>
            </w:pPr>
            <w:r w:rsidRPr="009C778C">
              <w:rPr>
                <w:rFonts w:cstheme="minorHAnsi"/>
                <w:sz w:val="24"/>
                <w:szCs w:val="24"/>
              </w:rPr>
              <w:t>− 0.348***</w:t>
            </w:r>
          </w:p>
        </w:tc>
        <w:tc>
          <w:tcPr>
            <w:tcW w:w="0" w:type="auto"/>
            <w:hideMark/>
          </w:tcPr>
          <w:p w14:paraId="30CBDCD8" w14:textId="77777777" w:rsidR="009C778C" w:rsidRPr="009C778C" w:rsidRDefault="009C778C" w:rsidP="009C778C">
            <w:pPr>
              <w:rPr>
                <w:rFonts w:cstheme="minorHAnsi"/>
                <w:sz w:val="24"/>
                <w:szCs w:val="24"/>
              </w:rPr>
            </w:pPr>
            <w:r w:rsidRPr="009C778C">
              <w:rPr>
                <w:rFonts w:cstheme="minorHAnsi"/>
                <w:sz w:val="24"/>
                <w:szCs w:val="24"/>
              </w:rPr>
              <w:t>− 0.131*</w:t>
            </w:r>
          </w:p>
        </w:tc>
      </w:tr>
      <w:tr w:rsidR="009C778C" w:rsidRPr="009C778C" w14:paraId="3157EEA1" w14:textId="77777777" w:rsidTr="0046257B">
        <w:tc>
          <w:tcPr>
            <w:tcW w:w="0" w:type="auto"/>
            <w:hideMark/>
          </w:tcPr>
          <w:p w14:paraId="2512AABA" w14:textId="77777777" w:rsidR="009C778C" w:rsidRPr="009C778C" w:rsidRDefault="009C778C" w:rsidP="009C778C">
            <w:pPr>
              <w:rPr>
                <w:rFonts w:cstheme="minorHAnsi"/>
                <w:b/>
                <w:bCs/>
                <w:sz w:val="24"/>
                <w:szCs w:val="24"/>
              </w:rPr>
            </w:pPr>
          </w:p>
        </w:tc>
        <w:tc>
          <w:tcPr>
            <w:tcW w:w="0" w:type="auto"/>
            <w:hideMark/>
          </w:tcPr>
          <w:p w14:paraId="582C7809" w14:textId="77777777" w:rsidR="009C778C" w:rsidRPr="009C778C" w:rsidRDefault="009C778C" w:rsidP="009C778C">
            <w:pPr>
              <w:rPr>
                <w:rFonts w:cstheme="minorHAnsi"/>
                <w:sz w:val="24"/>
                <w:szCs w:val="24"/>
              </w:rPr>
            </w:pPr>
          </w:p>
        </w:tc>
        <w:tc>
          <w:tcPr>
            <w:tcW w:w="0" w:type="auto"/>
            <w:hideMark/>
          </w:tcPr>
          <w:p w14:paraId="3D05E2A3" w14:textId="77777777" w:rsidR="009C778C" w:rsidRPr="009C778C" w:rsidRDefault="009C778C" w:rsidP="009C778C">
            <w:pPr>
              <w:rPr>
                <w:rFonts w:cstheme="minorHAnsi"/>
                <w:sz w:val="24"/>
                <w:szCs w:val="24"/>
              </w:rPr>
            </w:pPr>
            <w:r w:rsidRPr="009C778C">
              <w:rPr>
                <w:rFonts w:cstheme="minorHAnsi"/>
                <w:sz w:val="24"/>
                <w:szCs w:val="24"/>
              </w:rPr>
              <w:t>(− 2.23)</w:t>
            </w:r>
          </w:p>
        </w:tc>
        <w:tc>
          <w:tcPr>
            <w:tcW w:w="0" w:type="auto"/>
            <w:hideMark/>
          </w:tcPr>
          <w:p w14:paraId="25D45A3D" w14:textId="77777777" w:rsidR="009C778C" w:rsidRPr="009C778C" w:rsidRDefault="009C778C" w:rsidP="009C778C">
            <w:pPr>
              <w:rPr>
                <w:rFonts w:cstheme="minorHAnsi"/>
                <w:sz w:val="24"/>
                <w:szCs w:val="24"/>
              </w:rPr>
            </w:pPr>
            <w:r w:rsidRPr="009C778C">
              <w:rPr>
                <w:rFonts w:cstheme="minorHAnsi"/>
                <w:sz w:val="24"/>
                <w:szCs w:val="24"/>
              </w:rPr>
              <w:t>(− 4.81)</w:t>
            </w:r>
          </w:p>
        </w:tc>
        <w:tc>
          <w:tcPr>
            <w:tcW w:w="0" w:type="auto"/>
            <w:hideMark/>
          </w:tcPr>
          <w:p w14:paraId="5E969386" w14:textId="77777777" w:rsidR="009C778C" w:rsidRPr="009C778C" w:rsidRDefault="009C778C" w:rsidP="009C778C">
            <w:pPr>
              <w:rPr>
                <w:rFonts w:cstheme="minorHAnsi"/>
                <w:sz w:val="24"/>
                <w:szCs w:val="24"/>
              </w:rPr>
            </w:pPr>
            <w:r w:rsidRPr="009C778C">
              <w:rPr>
                <w:rFonts w:cstheme="minorHAnsi"/>
                <w:sz w:val="24"/>
                <w:szCs w:val="24"/>
              </w:rPr>
              <w:t>(− 6.60)</w:t>
            </w:r>
          </w:p>
        </w:tc>
        <w:tc>
          <w:tcPr>
            <w:tcW w:w="0" w:type="auto"/>
            <w:hideMark/>
          </w:tcPr>
          <w:p w14:paraId="51A672D1" w14:textId="77777777" w:rsidR="009C778C" w:rsidRPr="009C778C" w:rsidRDefault="009C778C" w:rsidP="009C778C">
            <w:pPr>
              <w:rPr>
                <w:rFonts w:cstheme="minorHAnsi"/>
                <w:sz w:val="24"/>
                <w:szCs w:val="24"/>
              </w:rPr>
            </w:pPr>
            <w:r w:rsidRPr="009C778C">
              <w:rPr>
                <w:rFonts w:cstheme="minorHAnsi"/>
                <w:sz w:val="24"/>
                <w:szCs w:val="24"/>
              </w:rPr>
              <w:t>(− 5.97)</w:t>
            </w:r>
          </w:p>
        </w:tc>
        <w:tc>
          <w:tcPr>
            <w:tcW w:w="0" w:type="auto"/>
            <w:hideMark/>
          </w:tcPr>
          <w:p w14:paraId="798F8E6B" w14:textId="77777777" w:rsidR="009C778C" w:rsidRPr="009C778C" w:rsidRDefault="009C778C" w:rsidP="009C778C">
            <w:pPr>
              <w:rPr>
                <w:rFonts w:cstheme="minorHAnsi"/>
                <w:sz w:val="24"/>
                <w:szCs w:val="24"/>
              </w:rPr>
            </w:pPr>
            <w:r w:rsidRPr="009C778C">
              <w:rPr>
                <w:rFonts w:cstheme="minorHAnsi"/>
                <w:sz w:val="24"/>
                <w:szCs w:val="24"/>
              </w:rPr>
              <w:t>(− 5.70)</w:t>
            </w:r>
          </w:p>
        </w:tc>
        <w:tc>
          <w:tcPr>
            <w:tcW w:w="0" w:type="auto"/>
            <w:hideMark/>
          </w:tcPr>
          <w:p w14:paraId="13579E8D" w14:textId="77777777" w:rsidR="009C778C" w:rsidRPr="009C778C" w:rsidRDefault="009C778C" w:rsidP="009C778C">
            <w:pPr>
              <w:rPr>
                <w:rFonts w:cstheme="minorHAnsi"/>
                <w:sz w:val="24"/>
                <w:szCs w:val="24"/>
              </w:rPr>
            </w:pPr>
          </w:p>
        </w:tc>
        <w:tc>
          <w:tcPr>
            <w:tcW w:w="0" w:type="auto"/>
            <w:hideMark/>
          </w:tcPr>
          <w:p w14:paraId="236A4E7B" w14:textId="77777777" w:rsidR="009C778C" w:rsidRPr="009C778C" w:rsidRDefault="009C778C" w:rsidP="009C778C">
            <w:pPr>
              <w:rPr>
                <w:rFonts w:cstheme="minorHAnsi"/>
                <w:sz w:val="24"/>
                <w:szCs w:val="24"/>
              </w:rPr>
            </w:pPr>
            <w:r w:rsidRPr="009C778C">
              <w:rPr>
                <w:rFonts w:cstheme="minorHAnsi"/>
                <w:sz w:val="24"/>
                <w:szCs w:val="24"/>
              </w:rPr>
              <w:t>(− 4.96)</w:t>
            </w:r>
          </w:p>
        </w:tc>
        <w:tc>
          <w:tcPr>
            <w:tcW w:w="0" w:type="auto"/>
            <w:hideMark/>
          </w:tcPr>
          <w:p w14:paraId="4051948F" w14:textId="77777777" w:rsidR="009C778C" w:rsidRPr="009C778C" w:rsidRDefault="009C778C" w:rsidP="009C778C">
            <w:pPr>
              <w:rPr>
                <w:rFonts w:cstheme="minorHAnsi"/>
                <w:sz w:val="24"/>
                <w:szCs w:val="24"/>
              </w:rPr>
            </w:pPr>
            <w:r w:rsidRPr="009C778C">
              <w:rPr>
                <w:rFonts w:cstheme="minorHAnsi"/>
                <w:sz w:val="24"/>
                <w:szCs w:val="24"/>
              </w:rPr>
              <w:t>(− 6.10)</w:t>
            </w:r>
          </w:p>
        </w:tc>
        <w:tc>
          <w:tcPr>
            <w:tcW w:w="0" w:type="auto"/>
            <w:hideMark/>
          </w:tcPr>
          <w:p w14:paraId="14BCFD8E" w14:textId="77777777" w:rsidR="009C778C" w:rsidRPr="009C778C" w:rsidRDefault="009C778C" w:rsidP="009C778C">
            <w:pPr>
              <w:rPr>
                <w:rFonts w:cstheme="minorHAnsi"/>
                <w:sz w:val="24"/>
                <w:szCs w:val="24"/>
              </w:rPr>
            </w:pPr>
            <w:r w:rsidRPr="009C778C">
              <w:rPr>
                <w:rFonts w:cstheme="minorHAnsi"/>
                <w:sz w:val="24"/>
                <w:szCs w:val="24"/>
              </w:rPr>
              <w:t>(− 1.89)</w:t>
            </w:r>
          </w:p>
        </w:tc>
      </w:tr>
      <w:tr w:rsidR="009C778C" w:rsidRPr="009C778C" w14:paraId="37DFDDFE" w14:textId="77777777" w:rsidTr="0046257B">
        <w:tc>
          <w:tcPr>
            <w:tcW w:w="0" w:type="auto"/>
            <w:hideMark/>
          </w:tcPr>
          <w:p w14:paraId="156A5941" w14:textId="77777777" w:rsidR="009C778C" w:rsidRPr="009C778C" w:rsidRDefault="009C778C" w:rsidP="009C778C">
            <w:pPr>
              <w:rPr>
                <w:rFonts w:cstheme="minorHAnsi"/>
                <w:b/>
                <w:bCs/>
                <w:sz w:val="24"/>
                <w:szCs w:val="24"/>
              </w:rPr>
            </w:pPr>
            <w:r w:rsidRPr="009C778C">
              <w:rPr>
                <w:rFonts w:cstheme="minorHAnsi"/>
                <w:b/>
                <w:bCs/>
                <w:sz w:val="24"/>
                <w:szCs w:val="24"/>
              </w:rPr>
              <w:t>FOREIGN</w:t>
            </w:r>
            <w:r w:rsidRPr="009C778C">
              <w:rPr>
                <w:rFonts w:cstheme="minorHAnsi"/>
                <w:b/>
                <w:bCs/>
                <w:sz w:val="24"/>
                <w:szCs w:val="24"/>
                <w:vertAlign w:val="subscript"/>
              </w:rPr>
              <w:t>t − 1</w:t>
            </w:r>
          </w:p>
        </w:tc>
        <w:tc>
          <w:tcPr>
            <w:tcW w:w="0" w:type="auto"/>
            <w:hideMark/>
          </w:tcPr>
          <w:p w14:paraId="2BEEC005" w14:textId="77777777" w:rsidR="009C778C" w:rsidRPr="009C778C" w:rsidRDefault="009C778C" w:rsidP="009C778C">
            <w:pPr>
              <w:rPr>
                <w:rFonts w:cstheme="minorHAnsi"/>
                <w:sz w:val="24"/>
                <w:szCs w:val="24"/>
              </w:rPr>
            </w:pPr>
            <w:r w:rsidRPr="009C778C">
              <w:rPr>
                <w:rFonts w:cstheme="minorHAnsi"/>
                <w:sz w:val="24"/>
                <w:szCs w:val="24"/>
              </w:rPr>
              <w:t>–</w:t>
            </w:r>
          </w:p>
        </w:tc>
        <w:tc>
          <w:tcPr>
            <w:tcW w:w="0" w:type="auto"/>
            <w:hideMark/>
          </w:tcPr>
          <w:p w14:paraId="01495C82" w14:textId="77777777" w:rsidR="009C778C" w:rsidRPr="009C778C" w:rsidRDefault="009C778C" w:rsidP="009C778C">
            <w:pPr>
              <w:rPr>
                <w:rFonts w:cstheme="minorHAnsi"/>
                <w:sz w:val="24"/>
                <w:szCs w:val="24"/>
              </w:rPr>
            </w:pPr>
            <w:r w:rsidRPr="009C778C">
              <w:rPr>
                <w:rFonts w:cstheme="minorHAnsi"/>
                <w:sz w:val="24"/>
                <w:szCs w:val="24"/>
              </w:rPr>
              <w:t>0.050</w:t>
            </w:r>
          </w:p>
        </w:tc>
        <w:tc>
          <w:tcPr>
            <w:tcW w:w="0" w:type="auto"/>
            <w:hideMark/>
          </w:tcPr>
          <w:p w14:paraId="766E8EC9" w14:textId="77777777" w:rsidR="009C778C" w:rsidRPr="009C778C" w:rsidRDefault="009C778C" w:rsidP="009C778C">
            <w:pPr>
              <w:rPr>
                <w:rFonts w:cstheme="minorHAnsi"/>
                <w:sz w:val="24"/>
                <w:szCs w:val="24"/>
              </w:rPr>
            </w:pPr>
            <w:r w:rsidRPr="009C778C">
              <w:rPr>
                <w:rFonts w:cstheme="minorHAnsi"/>
                <w:sz w:val="24"/>
                <w:szCs w:val="24"/>
              </w:rPr>
              <w:t>− 0.090</w:t>
            </w:r>
          </w:p>
        </w:tc>
        <w:tc>
          <w:tcPr>
            <w:tcW w:w="0" w:type="auto"/>
            <w:hideMark/>
          </w:tcPr>
          <w:p w14:paraId="0A68B1A1" w14:textId="77777777" w:rsidR="009C778C" w:rsidRPr="009C778C" w:rsidRDefault="009C778C" w:rsidP="009C778C">
            <w:pPr>
              <w:rPr>
                <w:rFonts w:cstheme="minorHAnsi"/>
                <w:sz w:val="24"/>
                <w:szCs w:val="24"/>
              </w:rPr>
            </w:pPr>
            <w:r w:rsidRPr="009C778C">
              <w:rPr>
                <w:rFonts w:cstheme="minorHAnsi"/>
                <w:sz w:val="24"/>
                <w:szCs w:val="24"/>
              </w:rPr>
              <w:t>− 0.090</w:t>
            </w:r>
          </w:p>
        </w:tc>
        <w:tc>
          <w:tcPr>
            <w:tcW w:w="0" w:type="auto"/>
            <w:hideMark/>
          </w:tcPr>
          <w:p w14:paraId="6D732F33" w14:textId="77777777" w:rsidR="009C778C" w:rsidRPr="009C778C" w:rsidRDefault="009C778C" w:rsidP="009C778C">
            <w:pPr>
              <w:rPr>
                <w:rFonts w:cstheme="minorHAnsi"/>
                <w:sz w:val="24"/>
                <w:szCs w:val="24"/>
              </w:rPr>
            </w:pPr>
            <w:r w:rsidRPr="009C778C">
              <w:rPr>
                <w:rFonts w:cstheme="minorHAnsi"/>
                <w:sz w:val="24"/>
                <w:szCs w:val="24"/>
              </w:rPr>
              <w:t>− 0.121*</w:t>
            </w:r>
          </w:p>
        </w:tc>
        <w:tc>
          <w:tcPr>
            <w:tcW w:w="0" w:type="auto"/>
            <w:hideMark/>
          </w:tcPr>
          <w:p w14:paraId="76E69CD4" w14:textId="77777777" w:rsidR="009C778C" w:rsidRPr="009C778C" w:rsidRDefault="009C778C" w:rsidP="009C778C">
            <w:pPr>
              <w:rPr>
                <w:rFonts w:cstheme="minorHAnsi"/>
                <w:sz w:val="24"/>
                <w:szCs w:val="24"/>
              </w:rPr>
            </w:pPr>
            <w:r w:rsidRPr="009C778C">
              <w:rPr>
                <w:rFonts w:cstheme="minorHAnsi"/>
                <w:sz w:val="24"/>
                <w:szCs w:val="24"/>
              </w:rPr>
              <w:t>− 0.077</w:t>
            </w:r>
          </w:p>
        </w:tc>
        <w:tc>
          <w:tcPr>
            <w:tcW w:w="0" w:type="auto"/>
            <w:hideMark/>
          </w:tcPr>
          <w:p w14:paraId="081B610A" w14:textId="77777777" w:rsidR="009C778C" w:rsidRPr="009C778C" w:rsidRDefault="009C778C" w:rsidP="009C778C">
            <w:pPr>
              <w:rPr>
                <w:rFonts w:cstheme="minorHAnsi"/>
                <w:sz w:val="24"/>
                <w:szCs w:val="24"/>
              </w:rPr>
            </w:pPr>
          </w:p>
        </w:tc>
        <w:tc>
          <w:tcPr>
            <w:tcW w:w="0" w:type="auto"/>
            <w:hideMark/>
          </w:tcPr>
          <w:p w14:paraId="1D665F07" w14:textId="77777777" w:rsidR="009C778C" w:rsidRPr="009C778C" w:rsidRDefault="009C778C" w:rsidP="009C778C">
            <w:pPr>
              <w:rPr>
                <w:rFonts w:cstheme="minorHAnsi"/>
                <w:sz w:val="24"/>
                <w:szCs w:val="24"/>
              </w:rPr>
            </w:pPr>
            <w:r w:rsidRPr="009C778C">
              <w:rPr>
                <w:rFonts w:cstheme="minorHAnsi"/>
                <w:sz w:val="24"/>
                <w:szCs w:val="24"/>
              </w:rPr>
              <w:t>− 0.095</w:t>
            </w:r>
          </w:p>
        </w:tc>
        <w:tc>
          <w:tcPr>
            <w:tcW w:w="0" w:type="auto"/>
            <w:hideMark/>
          </w:tcPr>
          <w:p w14:paraId="7B585154" w14:textId="77777777" w:rsidR="009C778C" w:rsidRPr="009C778C" w:rsidRDefault="009C778C" w:rsidP="009C778C">
            <w:pPr>
              <w:rPr>
                <w:rFonts w:cstheme="minorHAnsi"/>
                <w:sz w:val="24"/>
                <w:szCs w:val="24"/>
              </w:rPr>
            </w:pPr>
            <w:r w:rsidRPr="009C778C">
              <w:rPr>
                <w:rFonts w:cstheme="minorHAnsi"/>
                <w:sz w:val="24"/>
                <w:szCs w:val="24"/>
              </w:rPr>
              <w:t>− 0.086</w:t>
            </w:r>
          </w:p>
        </w:tc>
        <w:tc>
          <w:tcPr>
            <w:tcW w:w="0" w:type="auto"/>
            <w:hideMark/>
          </w:tcPr>
          <w:p w14:paraId="0634EFCA" w14:textId="77777777" w:rsidR="009C778C" w:rsidRPr="009C778C" w:rsidRDefault="009C778C" w:rsidP="009C778C">
            <w:pPr>
              <w:rPr>
                <w:rFonts w:cstheme="minorHAnsi"/>
                <w:sz w:val="24"/>
                <w:szCs w:val="24"/>
              </w:rPr>
            </w:pPr>
            <w:r w:rsidRPr="009C778C">
              <w:rPr>
                <w:rFonts w:cstheme="minorHAnsi"/>
                <w:sz w:val="24"/>
                <w:szCs w:val="24"/>
              </w:rPr>
              <w:t>0.037</w:t>
            </w:r>
          </w:p>
        </w:tc>
      </w:tr>
      <w:tr w:rsidR="009C778C" w:rsidRPr="009C778C" w14:paraId="050830FC" w14:textId="77777777" w:rsidTr="0046257B">
        <w:tc>
          <w:tcPr>
            <w:tcW w:w="0" w:type="auto"/>
            <w:hideMark/>
          </w:tcPr>
          <w:p w14:paraId="2254294D" w14:textId="77777777" w:rsidR="009C778C" w:rsidRPr="009C778C" w:rsidRDefault="009C778C" w:rsidP="009C778C">
            <w:pPr>
              <w:rPr>
                <w:rFonts w:cstheme="minorHAnsi"/>
                <w:b/>
                <w:bCs/>
                <w:sz w:val="24"/>
                <w:szCs w:val="24"/>
              </w:rPr>
            </w:pPr>
          </w:p>
        </w:tc>
        <w:tc>
          <w:tcPr>
            <w:tcW w:w="0" w:type="auto"/>
            <w:hideMark/>
          </w:tcPr>
          <w:p w14:paraId="11C12227" w14:textId="77777777" w:rsidR="009C778C" w:rsidRPr="009C778C" w:rsidRDefault="009C778C" w:rsidP="009C778C">
            <w:pPr>
              <w:rPr>
                <w:rFonts w:cstheme="minorHAnsi"/>
                <w:sz w:val="24"/>
                <w:szCs w:val="24"/>
              </w:rPr>
            </w:pPr>
          </w:p>
        </w:tc>
        <w:tc>
          <w:tcPr>
            <w:tcW w:w="0" w:type="auto"/>
            <w:hideMark/>
          </w:tcPr>
          <w:p w14:paraId="3947E7F8" w14:textId="77777777" w:rsidR="009C778C" w:rsidRPr="009C778C" w:rsidRDefault="009C778C" w:rsidP="009C778C">
            <w:pPr>
              <w:rPr>
                <w:rFonts w:cstheme="minorHAnsi"/>
                <w:sz w:val="24"/>
                <w:szCs w:val="24"/>
              </w:rPr>
            </w:pPr>
            <w:r w:rsidRPr="009C778C">
              <w:rPr>
                <w:rFonts w:cstheme="minorHAnsi"/>
                <w:sz w:val="24"/>
                <w:szCs w:val="24"/>
              </w:rPr>
              <w:t>(0.43)</w:t>
            </w:r>
          </w:p>
        </w:tc>
        <w:tc>
          <w:tcPr>
            <w:tcW w:w="0" w:type="auto"/>
            <w:hideMark/>
          </w:tcPr>
          <w:p w14:paraId="169AD89B" w14:textId="77777777" w:rsidR="009C778C" w:rsidRPr="009C778C" w:rsidRDefault="009C778C" w:rsidP="009C778C">
            <w:pPr>
              <w:rPr>
                <w:rFonts w:cstheme="minorHAnsi"/>
                <w:sz w:val="24"/>
                <w:szCs w:val="24"/>
              </w:rPr>
            </w:pPr>
            <w:r w:rsidRPr="009C778C">
              <w:rPr>
                <w:rFonts w:cstheme="minorHAnsi"/>
                <w:sz w:val="24"/>
                <w:szCs w:val="24"/>
              </w:rPr>
              <w:t>(− 1.34)</w:t>
            </w:r>
          </w:p>
        </w:tc>
        <w:tc>
          <w:tcPr>
            <w:tcW w:w="0" w:type="auto"/>
            <w:hideMark/>
          </w:tcPr>
          <w:p w14:paraId="4D747F09" w14:textId="77777777" w:rsidR="009C778C" w:rsidRPr="009C778C" w:rsidRDefault="009C778C" w:rsidP="009C778C">
            <w:pPr>
              <w:rPr>
                <w:rFonts w:cstheme="minorHAnsi"/>
                <w:sz w:val="24"/>
                <w:szCs w:val="24"/>
              </w:rPr>
            </w:pPr>
            <w:r w:rsidRPr="009C778C">
              <w:rPr>
                <w:rFonts w:cstheme="minorHAnsi"/>
                <w:sz w:val="24"/>
                <w:szCs w:val="24"/>
              </w:rPr>
              <w:t>(− 1.47)</w:t>
            </w:r>
          </w:p>
        </w:tc>
        <w:tc>
          <w:tcPr>
            <w:tcW w:w="0" w:type="auto"/>
            <w:hideMark/>
          </w:tcPr>
          <w:p w14:paraId="093A561D" w14:textId="77777777" w:rsidR="009C778C" w:rsidRPr="009C778C" w:rsidRDefault="009C778C" w:rsidP="009C778C">
            <w:pPr>
              <w:rPr>
                <w:rFonts w:cstheme="minorHAnsi"/>
                <w:sz w:val="24"/>
                <w:szCs w:val="24"/>
              </w:rPr>
            </w:pPr>
            <w:r w:rsidRPr="009C778C">
              <w:rPr>
                <w:rFonts w:cstheme="minorHAnsi"/>
                <w:sz w:val="24"/>
                <w:szCs w:val="24"/>
              </w:rPr>
              <w:t>(− 1.92)</w:t>
            </w:r>
          </w:p>
        </w:tc>
        <w:tc>
          <w:tcPr>
            <w:tcW w:w="0" w:type="auto"/>
            <w:hideMark/>
          </w:tcPr>
          <w:p w14:paraId="1E0641D9" w14:textId="77777777" w:rsidR="009C778C" w:rsidRPr="009C778C" w:rsidRDefault="009C778C" w:rsidP="009C778C">
            <w:pPr>
              <w:rPr>
                <w:rFonts w:cstheme="minorHAnsi"/>
                <w:sz w:val="24"/>
                <w:szCs w:val="24"/>
              </w:rPr>
            </w:pPr>
            <w:r w:rsidRPr="009C778C">
              <w:rPr>
                <w:rFonts w:cstheme="minorHAnsi"/>
                <w:sz w:val="24"/>
                <w:szCs w:val="24"/>
              </w:rPr>
              <w:t>(− 0.97)</w:t>
            </w:r>
          </w:p>
        </w:tc>
        <w:tc>
          <w:tcPr>
            <w:tcW w:w="0" w:type="auto"/>
            <w:hideMark/>
          </w:tcPr>
          <w:p w14:paraId="7118D4DB" w14:textId="77777777" w:rsidR="009C778C" w:rsidRPr="009C778C" w:rsidRDefault="009C778C" w:rsidP="009C778C">
            <w:pPr>
              <w:rPr>
                <w:rFonts w:cstheme="minorHAnsi"/>
                <w:sz w:val="24"/>
                <w:szCs w:val="24"/>
              </w:rPr>
            </w:pPr>
          </w:p>
        </w:tc>
        <w:tc>
          <w:tcPr>
            <w:tcW w:w="0" w:type="auto"/>
            <w:hideMark/>
          </w:tcPr>
          <w:p w14:paraId="60AACA25" w14:textId="77777777" w:rsidR="009C778C" w:rsidRPr="009C778C" w:rsidRDefault="009C778C" w:rsidP="009C778C">
            <w:pPr>
              <w:rPr>
                <w:rFonts w:cstheme="minorHAnsi"/>
                <w:sz w:val="24"/>
                <w:szCs w:val="24"/>
              </w:rPr>
            </w:pPr>
            <w:r w:rsidRPr="009C778C">
              <w:rPr>
                <w:rFonts w:cstheme="minorHAnsi"/>
                <w:sz w:val="24"/>
                <w:szCs w:val="24"/>
              </w:rPr>
              <w:t>(− 1.01)</w:t>
            </w:r>
          </w:p>
        </w:tc>
        <w:tc>
          <w:tcPr>
            <w:tcW w:w="0" w:type="auto"/>
            <w:hideMark/>
          </w:tcPr>
          <w:p w14:paraId="1319DF8F" w14:textId="77777777" w:rsidR="009C778C" w:rsidRPr="009C778C" w:rsidRDefault="009C778C" w:rsidP="009C778C">
            <w:pPr>
              <w:rPr>
                <w:rFonts w:cstheme="minorHAnsi"/>
                <w:sz w:val="24"/>
                <w:szCs w:val="24"/>
              </w:rPr>
            </w:pPr>
            <w:r w:rsidRPr="009C778C">
              <w:rPr>
                <w:rFonts w:cstheme="minorHAnsi"/>
                <w:sz w:val="24"/>
                <w:szCs w:val="24"/>
              </w:rPr>
              <w:t>(− 1.19)</w:t>
            </w:r>
          </w:p>
        </w:tc>
        <w:tc>
          <w:tcPr>
            <w:tcW w:w="0" w:type="auto"/>
            <w:hideMark/>
          </w:tcPr>
          <w:p w14:paraId="62A23CED" w14:textId="77777777" w:rsidR="009C778C" w:rsidRPr="009C778C" w:rsidRDefault="009C778C" w:rsidP="009C778C">
            <w:pPr>
              <w:rPr>
                <w:rFonts w:cstheme="minorHAnsi"/>
                <w:sz w:val="24"/>
                <w:szCs w:val="24"/>
              </w:rPr>
            </w:pPr>
            <w:r w:rsidRPr="009C778C">
              <w:rPr>
                <w:rFonts w:cstheme="minorHAnsi"/>
                <w:sz w:val="24"/>
                <w:szCs w:val="24"/>
              </w:rPr>
              <w:t>(0.49)</w:t>
            </w:r>
          </w:p>
        </w:tc>
      </w:tr>
      <w:tr w:rsidR="009C778C" w:rsidRPr="009C778C" w14:paraId="30E0FBB1" w14:textId="77777777" w:rsidTr="0046257B">
        <w:tc>
          <w:tcPr>
            <w:tcW w:w="0" w:type="auto"/>
            <w:hideMark/>
          </w:tcPr>
          <w:p w14:paraId="264BE1B4" w14:textId="77777777" w:rsidR="009C778C" w:rsidRPr="009C778C" w:rsidRDefault="009C778C" w:rsidP="009C778C">
            <w:pPr>
              <w:rPr>
                <w:rFonts w:cstheme="minorHAnsi"/>
                <w:b/>
                <w:bCs/>
                <w:sz w:val="24"/>
                <w:szCs w:val="24"/>
              </w:rPr>
            </w:pPr>
            <w:r w:rsidRPr="009C778C">
              <w:rPr>
                <w:rFonts w:cstheme="minorHAnsi"/>
                <w:b/>
                <w:bCs/>
                <w:sz w:val="24"/>
                <w:szCs w:val="24"/>
              </w:rPr>
              <w:t>DOMESTIC</w:t>
            </w:r>
            <w:r w:rsidRPr="009C778C">
              <w:rPr>
                <w:rFonts w:cstheme="minorHAnsi"/>
                <w:b/>
                <w:bCs/>
                <w:sz w:val="24"/>
                <w:szCs w:val="24"/>
                <w:vertAlign w:val="subscript"/>
              </w:rPr>
              <w:t>t − 1</w:t>
            </w:r>
            <w:r w:rsidRPr="009C778C">
              <w:rPr>
                <w:rFonts w:cstheme="minorHAnsi"/>
                <w:b/>
                <w:bCs/>
                <w:sz w:val="24"/>
                <w:szCs w:val="24"/>
              </w:rPr>
              <w:t>/FOREIGN</w:t>
            </w:r>
            <w:r w:rsidRPr="009C778C">
              <w:rPr>
                <w:rFonts w:cstheme="minorHAnsi"/>
                <w:b/>
                <w:bCs/>
                <w:sz w:val="24"/>
                <w:szCs w:val="24"/>
                <w:vertAlign w:val="subscript"/>
              </w:rPr>
              <w:t>t − 1</w:t>
            </w:r>
          </w:p>
        </w:tc>
        <w:tc>
          <w:tcPr>
            <w:tcW w:w="0" w:type="auto"/>
            <w:hideMark/>
          </w:tcPr>
          <w:p w14:paraId="481E8C09" w14:textId="77777777" w:rsidR="009C778C" w:rsidRPr="009C778C" w:rsidRDefault="009C778C" w:rsidP="009C778C">
            <w:pPr>
              <w:rPr>
                <w:rFonts w:cstheme="minorHAnsi"/>
                <w:sz w:val="24"/>
                <w:szCs w:val="24"/>
              </w:rPr>
            </w:pPr>
            <w:r w:rsidRPr="009C778C">
              <w:rPr>
                <w:rFonts w:cstheme="minorHAnsi"/>
                <w:sz w:val="24"/>
                <w:szCs w:val="24"/>
              </w:rPr>
              <w:t>–</w:t>
            </w:r>
          </w:p>
        </w:tc>
        <w:tc>
          <w:tcPr>
            <w:tcW w:w="0" w:type="auto"/>
            <w:hideMark/>
          </w:tcPr>
          <w:p w14:paraId="56EF0059" w14:textId="77777777" w:rsidR="009C778C" w:rsidRPr="009C778C" w:rsidRDefault="009C778C" w:rsidP="009C778C">
            <w:pPr>
              <w:rPr>
                <w:rFonts w:cstheme="minorHAnsi"/>
                <w:sz w:val="24"/>
                <w:szCs w:val="24"/>
              </w:rPr>
            </w:pPr>
          </w:p>
        </w:tc>
        <w:tc>
          <w:tcPr>
            <w:tcW w:w="0" w:type="auto"/>
            <w:hideMark/>
          </w:tcPr>
          <w:p w14:paraId="29ED3053" w14:textId="77777777" w:rsidR="009C778C" w:rsidRPr="009C778C" w:rsidRDefault="009C778C" w:rsidP="009C778C">
            <w:pPr>
              <w:rPr>
                <w:rFonts w:cstheme="minorHAnsi"/>
                <w:sz w:val="24"/>
                <w:szCs w:val="24"/>
              </w:rPr>
            </w:pPr>
          </w:p>
        </w:tc>
        <w:tc>
          <w:tcPr>
            <w:tcW w:w="0" w:type="auto"/>
            <w:hideMark/>
          </w:tcPr>
          <w:p w14:paraId="0B639967" w14:textId="77777777" w:rsidR="009C778C" w:rsidRPr="009C778C" w:rsidRDefault="009C778C" w:rsidP="009C778C">
            <w:pPr>
              <w:rPr>
                <w:rFonts w:cstheme="minorHAnsi"/>
                <w:sz w:val="24"/>
                <w:szCs w:val="24"/>
              </w:rPr>
            </w:pPr>
          </w:p>
        </w:tc>
        <w:tc>
          <w:tcPr>
            <w:tcW w:w="0" w:type="auto"/>
            <w:hideMark/>
          </w:tcPr>
          <w:p w14:paraId="0700AF35" w14:textId="77777777" w:rsidR="009C778C" w:rsidRPr="009C778C" w:rsidRDefault="009C778C" w:rsidP="009C778C">
            <w:pPr>
              <w:rPr>
                <w:rFonts w:cstheme="minorHAnsi"/>
                <w:sz w:val="24"/>
                <w:szCs w:val="24"/>
              </w:rPr>
            </w:pPr>
          </w:p>
        </w:tc>
        <w:tc>
          <w:tcPr>
            <w:tcW w:w="0" w:type="auto"/>
            <w:hideMark/>
          </w:tcPr>
          <w:p w14:paraId="404E2CDE" w14:textId="77777777" w:rsidR="009C778C" w:rsidRPr="009C778C" w:rsidRDefault="009C778C" w:rsidP="009C778C">
            <w:pPr>
              <w:rPr>
                <w:rFonts w:cstheme="minorHAnsi"/>
                <w:sz w:val="24"/>
                <w:szCs w:val="24"/>
              </w:rPr>
            </w:pPr>
          </w:p>
        </w:tc>
        <w:tc>
          <w:tcPr>
            <w:tcW w:w="0" w:type="auto"/>
            <w:hideMark/>
          </w:tcPr>
          <w:p w14:paraId="121C055C" w14:textId="77777777" w:rsidR="009C778C" w:rsidRPr="009C778C" w:rsidRDefault="009C778C" w:rsidP="009C778C">
            <w:pPr>
              <w:rPr>
                <w:rFonts w:cstheme="minorHAnsi"/>
                <w:sz w:val="24"/>
                <w:szCs w:val="24"/>
              </w:rPr>
            </w:pPr>
            <w:r w:rsidRPr="009C778C">
              <w:rPr>
                <w:rFonts w:cstheme="minorHAnsi"/>
                <w:sz w:val="24"/>
                <w:szCs w:val="24"/>
              </w:rPr>
              <w:t>− 0.002***</w:t>
            </w:r>
          </w:p>
        </w:tc>
        <w:tc>
          <w:tcPr>
            <w:tcW w:w="0" w:type="auto"/>
            <w:hideMark/>
          </w:tcPr>
          <w:p w14:paraId="5806638D" w14:textId="77777777" w:rsidR="009C778C" w:rsidRPr="009C778C" w:rsidRDefault="009C778C" w:rsidP="009C778C">
            <w:pPr>
              <w:rPr>
                <w:rFonts w:cstheme="minorHAnsi"/>
                <w:sz w:val="24"/>
                <w:szCs w:val="24"/>
              </w:rPr>
            </w:pPr>
          </w:p>
        </w:tc>
        <w:tc>
          <w:tcPr>
            <w:tcW w:w="0" w:type="auto"/>
            <w:hideMark/>
          </w:tcPr>
          <w:p w14:paraId="0825FCDB" w14:textId="77777777" w:rsidR="009C778C" w:rsidRPr="009C778C" w:rsidRDefault="009C778C" w:rsidP="009C778C">
            <w:pPr>
              <w:rPr>
                <w:rFonts w:cstheme="minorHAnsi"/>
                <w:sz w:val="24"/>
                <w:szCs w:val="24"/>
              </w:rPr>
            </w:pPr>
          </w:p>
        </w:tc>
        <w:tc>
          <w:tcPr>
            <w:tcW w:w="0" w:type="auto"/>
            <w:hideMark/>
          </w:tcPr>
          <w:p w14:paraId="34620EDD" w14:textId="77777777" w:rsidR="009C778C" w:rsidRPr="009C778C" w:rsidRDefault="009C778C" w:rsidP="009C778C">
            <w:pPr>
              <w:rPr>
                <w:rFonts w:cstheme="minorHAnsi"/>
                <w:sz w:val="24"/>
                <w:szCs w:val="24"/>
              </w:rPr>
            </w:pPr>
          </w:p>
        </w:tc>
      </w:tr>
      <w:tr w:rsidR="009C778C" w:rsidRPr="009C778C" w14:paraId="1558055F" w14:textId="77777777" w:rsidTr="0046257B">
        <w:tc>
          <w:tcPr>
            <w:tcW w:w="0" w:type="auto"/>
            <w:hideMark/>
          </w:tcPr>
          <w:p w14:paraId="4224931C" w14:textId="77777777" w:rsidR="009C778C" w:rsidRPr="009C778C" w:rsidRDefault="009C778C" w:rsidP="009C778C">
            <w:pPr>
              <w:rPr>
                <w:rFonts w:cstheme="minorHAnsi"/>
                <w:b/>
                <w:bCs/>
                <w:sz w:val="24"/>
                <w:szCs w:val="24"/>
              </w:rPr>
            </w:pPr>
          </w:p>
        </w:tc>
        <w:tc>
          <w:tcPr>
            <w:tcW w:w="0" w:type="auto"/>
            <w:hideMark/>
          </w:tcPr>
          <w:p w14:paraId="102C82E6" w14:textId="77777777" w:rsidR="009C778C" w:rsidRPr="009C778C" w:rsidRDefault="009C778C" w:rsidP="009C778C">
            <w:pPr>
              <w:rPr>
                <w:rFonts w:cstheme="minorHAnsi"/>
                <w:sz w:val="24"/>
                <w:szCs w:val="24"/>
              </w:rPr>
            </w:pPr>
          </w:p>
        </w:tc>
        <w:tc>
          <w:tcPr>
            <w:tcW w:w="0" w:type="auto"/>
            <w:hideMark/>
          </w:tcPr>
          <w:p w14:paraId="16A67059" w14:textId="77777777" w:rsidR="009C778C" w:rsidRPr="009C778C" w:rsidRDefault="009C778C" w:rsidP="009C778C">
            <w:pPr>
              <w:rPr>
                <w:rFonts w:cstheme="minorHAnsi"/>
                <w:sz w:val="24"/>
                <w:szCs w:val="24"/>
              </w:rPr>
            </w:pPr>
          </w:p>
        </w:tc>
        <w:tc>
          <w:tcPr>
            <w:tcW w:w="0" w:type="auto"/>
            <w:hideMark/>
          </w:tcPr>
          <w:p w14:paraId="0A30C20E" w14:textId="77777777" w:rsidR="009C778C" w:rsidRPr="009C778C" w:rsidRDefault="009C778C" w:rsidP="009C778C">
            <w:pPr>
              <w:rPr>
                <w:rFonts w:cstheme="minorHAnsi"/>
                <w:sz w:val="24"/>
                <w:szCs w:val="24"/>
              </w:rPr>
            </w:pPr>
          </w:p>
        </w:tc>
        <w:tc>
          <w:tcPr>
            <w:tcW w:w="0" w:type="auto"/>
            <w:hideMark/>
          </w:tcPr>
          <w:p w14:paraId="0B913DA6" w14:textId="77777777" w:rsidR="009C778C" w:rsidRPr="009C778C" w:rsidRDefault="009C778C" w:rsidP="009C778C">
            <w:pPr>
              <w:rPr>
                <w:rFonts w:cstheme="minorHAnsi"/>
                <w:sz w:val="24"/>
                <w:szCs w:val="24"/>
              </w:rPr>
            </w:pPr>
          </w:p>
        </w:tc>
        <w:tc>
          <w:tcPr>
            <w:tcW w:w="0" w:type="auto"/>
            <w:hideMark/>
          </w:tcPr>
          <w:p w14:paraId="5DF6C35F" w14:textId="77777777" w:rsidR="009C778C" w:rsidRPr="009C778C" w:rsidRDefault="009C778C" w:rsidP="009C778C">
            <w:pPr>
              <w:rPr>
                <w:rFonts w:cstheme="minorHAnsi"/>
                <w:sz w:val="24"/>
                <w:szCs w:val="24"/>
              </w:rPr>
            </w:pPr>
          </w:p>
        </w:tc>
        <w:tc>
          <w:tcPr>
            <w:tcW w:w="0" w:type="auto"/>
            <w:hideMark/>
          </w:tcPr>
          <w:p w14:paraId="5EB20AF2" w14:textId="77777777" w:rsidR="009C778C" w:rsidRPr="009C778C" w:rsidRDefault="009C778C" w:rsidP="009C778C">
            <w:pPr>
              <w:rPr>
                <w:rFonts w:cstheme="minorHAnsi"/>
                <w:sz w:val="24"/>
                <w:szCs w:val="24"/>
              </w:rPr>
            </w:pPr>
          </w:p>
        </w:tc>
        <w:tc>
          <w:tcPr>
            <w:tcW w:w="0" w:type="auto"/>
            <w:hideMark/>
          </w:tcPr>
          <w:p w14:paraId="6F5AD448" w14:textId="77777777" w:rsidR="009C778C" w:rsidRPr="009C778C" w:rsidRDefault="009C778C" w:rsidP="009C778C">
            <w:pPr>
              <w:rPr>
                <w:rFonts w:cstheme="minorHAnsi"/>
                <w:sz w:val="24"/>
                <w:szCs w:val="24"/>
              </w:rPr>
            </w:pPr>
            <w:r w:rsidRPr="009C778C">
              <w:rPr>
                <w:rFonts w:cstheme="minorHAnsi"/>
                <w:sz w:val="24"/>
                <w:szCs w:val="24"/>
              </w:rPr>
              <w:t>(− 2.84)</w:t>
            </w:r>
          </w:p>
        </w:tc>
        <w:tc>
          <w:tcPr>
            <w:tcW w:w="0" w:type="auto"/>
            <w:hideMark/>
          </w:tcPr>
          <w:p w14:paraId="0A8EBD5A" w14:textId="77777777" w:rsidR="009C778C" w:rsidRPr="009C778C" w:rsidRDefault="009C778C" w:rsidP="009C778C">
            <w:pPr>
              <w:rPr>
                <w:rFonts w:cstheme="minorHAnsi"/>
                <w:sz w:val="24"/>
                <w:szCs w:val="24"/>
              </w:rPr>
            </w:pPr>
          </w:p>
        </w:tc>
        <w:tc>
          <w:tcPr>
            <w:tcW w:w="0" w:type="auto"/>
            <w:hideMark/>
          </w:tcPr>
          <w:p w14:paraId="2102EE74" w14:textId="77777777" w:rsidR="009C778C" w:rsidRPr="009C778C" w:rsidRDefault="009C778C" w:rsidP="009C778C">
            <w:pPr>
              <w:rPr>
                <w:rFonts w:cstheme="minorHAnsi"/>
                <w:sz w:val="24"/>
                <w:szCs w:val="24"/>
              </w:rPr>
            </w:pPr>
          </w:p>
        </w:tc>
        <w:tc>
          <w:tcPr>
            <w:tcW w:w="0" w:type="auto"/>
            <w:hideMark/>
          </w:tcPr>
          <w:p w14:paraId="088299EE" w14:textId="77777777" w:rsidR="009C778C" w:rsidRPr="009C778C" w:rsidRDefault="009C778C" w:rsidP="009C778C">
            <w:pPr>
              <w:rPr>
                <w:rFonts w:cstheme="minorHAnsi"/>
                <w:sz w:val="24"/>
                <w:szCs w:val="24"/>
              </w:rPr>
            </w:pPr>
          </w:p>
        </w:tc>
      </w:tr>
      <w:tr w:rsidR="009C778C" w:rsidRPr="009C778C" w14:paraId="58EC2EA7" w14:textId="77777777" w:rsidTr="0046257B">
        <w:tc>
          <w:tcPr>
            <w:tcW w:w="0" w:type="auto"/>
            <w:hideMark/>
          </w:tcPr>
          <w:p w14:paraId="6CD2D30B" w14:textId="77777777" w:rsidR="009C778C" w:rsidRPr="009C778C" w:rsidRDefault="009C778C" w:rsidP="009C778C">
            <w:pPr>
              <w:rPr>
                <w:rFonts w:cstheme="minorHAnsi"/>
                <w:b/>
                <w:bCs/>
                <w:sz w:val="24"/>
                <w:szCs w:val="24"/>
              </w:rPr>
            </w:pPr>
            <w:r w:rsidRPr="009C778C">
              <w:rPr>
                <w:rFonts w:cstheme="minorHAnsi"/>
                <w:b/>
                <w:bCs/>
                <w:sz w:val="24"/>
                <w:szCs w:val="24"/>
              </w:rPr>
              <w:t>SIZE</w:t>
            </w:r>
            <w:r w:rsidRPr="009C778C">
              <w:rPr>
                <w:rFonts w:cstheme="minorHAnsi"/>
                <w:b/>
                <w:bCs/>
                <w:sz w:val="24"/>
                <w:szCs w:val="24"/>
                <w:vertAlign w:val="subscript"/>
              </w:rPr>
              <w:t>t − 1</w:t>
            </w:r>
          </w:p>
        </w:tc>
        <w:tc>
          <w:tcPr>
            <w:tcW w:w="0" w:type="auto"/>
            <w:hideMark/>
          </w:tcPr>
          <w:p w14:paraId="6EF73C69" w14:textId="77777777" w:rsidR="009C778C" w:rsidRPr="009C778C" w:rsidRDefault="009C778C" w:rsidP="009C778C">
            <w:pPr>
              <w:rPr>
                <w:rFonts w:cstheme="minorHAnsi"/>
                <w:b/>
                <w:bCs/>
                <w:sz w:val="24"/>
                <w:szCs w:val="24"/>
              </w:rPr>
            </w:pPr>
          </w:p>
        </w:tc>
        <w:tc>
          <w:tcPr>
            <w:tcW w:w="0" w:type="auto"/>
            <w:hideMark/>
          </w:tcPr>
          <w:p w14:paraId="1DD58C3F" w14:textId="77777777" w:rsidR="009C778C" w:rsidRPr="009C778C" w:rsidRDefault="009C778C" w:rsidP="009C778C">
            <w:pPr>
              <w:rPr>
                <w:rFonts w:cstheme="minorHAnsi"/>
                <w:sz w:val="24"/>
                <w:szCs w:val="24"/>
              </w:rPr>
            </w:pPr>
            <w:r w:rsidRPr="009C778C">
              <w:rPr>
                <w:rFonts w:cstheme="minorHAnsi"/>
                <w:sz w:val="24"/>
                <w:szCs w:val="24"/>
              </w:rPr>
              <w:t>− 0.044***</w:t>
            </w:r>
          </w:p>
        </w:tc>
        <w:tc>
          <w:tcPr>
            <w:tcW w:w="0" w:type="auto"/>
            <w:hideMark/>
          </w:tcPr>
          <w:p w14:paraId="2472095B" w14:textId="77777777" w:rsidR="009C778C" w:rsidRPr="009C778C" w:rsidRDefault="009C778C" w:rsidP="009C778C">
            <w:pPr>
              <w:rPr>
                <w:rFonts w:cstheme="minorHAnsi"/>
                <w:sz w:val="24"/>
                <w:szCs w:val="24"/>
              </w:rPr>
            </w:pPr>
            <w:r w:rsidRPr="009C778C">
              <w:rPr>
                <w:rFonts w:cstheme="minorHAnsi"/>
                <w:sz w:val="24"/>
                <w:szCs w:val="24"/>
              </w:rPr>
              <w:t>− 0.023***</w:t>
            </w:r>
          </w:p>
        </w:tc>
        <w:tc>
          <w:tcPr>
            <w:tcW w:w="0" w:type="auto"/>
            <w:hideMark/>
          </w:tcPr>
          <w:p w14:paraId="45DDB1F0" w14:textId="77777777" w:rsidR="009C778C" w:rsidRPr="009C778C" w:rsidRDefault="009C778C" w:rsidP="009C778C">
            <w:pPr>
              <w:rPr>
                <w:rFonts w:cstheme="minorHAnsi"/>
                <w:sz w:val="24"/>
                <w:szCs w:val="24"/>
              </w:rPr>
            </w:pPr>
            <w:r w:rsidRPr="009C778C">
              <w:rPr>
                <w:rFonts w:cstheme="minorHAnsi"/>
                <w:sz w:val="24"/>
                <w:szCs w:val="24"/>
              </w:rPr>
              <w:t>− 0.023***</w:t>
            </w:r>
          </w:p>
        </w:tc>
        <w:tc>
          <w:tcPr>
            <w:tcW w:w="0" w:type="auto"/>
            <w:hideMark/>
          </w:tcPr>
          <w:p w14:paraId="650021C5" w14:textId="77777777" w:rsidR="009C778C" w:rsidRPr="009C778C" w:rsidRDefault="009C778C" w:rsidP="009C778C">
            <w:pPr>
              <w:rPr>
                <w:rFonts w:cstheme="minorHAnsi"/>
                <w:sz w:val="24"/>
                <w:szCs w:val="24"/>
              </w:rPr>
            </w:pPr>
            <w:r w:rsidRPr="009C778C">
              <w:rPr>
                <w:rFonts w:cstheme="minorHAnsi"/>
                <w:sz w:val="24"/>
                <w:szCs w:val="24"/>
              </w:rPr>
              <w:t>− 0.019***</w:t>
            </w:r>
          </w:p>
        </w:tc>
        <w:tc>
          <w:tcPr>
            <w:tcW w:w="0" w:type="auto"/>
            <w:hideMark/>
          </w:tcPr>
          <w:p w14:paraId="511C7DBF" w14:textId="77777777" w:rsidR="009C778C" w:rsidRPr="009C778C" w:rsidRDefault="009C778C" w:rsidP="009C778C">
            <w:pPr>
              <w:rPr>
                <w:rFonts w:cstheme="minorHAnsi"/>
                <w:sz w:val="24"/>
                <w:szCs w:val="24"/>
              </w:rPr>
            </w:pPr>
            <w:r w:rsidRPr="009C778C">
              <w:rPr>
                <w:rFonts w:cstheme="minorHAnsi"/>
                <w:sz w:val="24"/>
                <w:szCs w:val="24"/>
              </w:rPr>
              <w:t>− 0.023***</w:t>
            </w:r>
          </w:p>
        </w:tc>
        <w:tc>
          <w:tcPr>
            <w:tcW w:w="0" w:type="auto"/>
            <w:hideMark/>
          </w:tcPr>
          <w:p w14:paraId="4D10F9E7" w14:textId="77777777" w:rsidR="009C778C" w:rsidRPr="009C778C" w:rsidRDefault="009C778C" w:rsidP="009C778C">
            <w:pPr>
              <w:rPr>
                <w:rFonts w:cstheme="minorHAnsi"/>
                <w:sz w:val="24"/>
                <w:szCs w:val="24"/>
              </w:rPr>
            </w:pPr>
            <w:r w:rsidRPr="009C778C">
              <w:rPr>
                <w:rFonts w:cstheme="minorHAnsi"/>
                <w:sz w:val="24"/>
                <w:szCs w:val="24"/>
              </w:rPr>
              <w:t>− 0.025***</w:t>
            </w:r>
          </w:p>
        </w:tc>
        <w:tc>
          <w:tcPr>
            <w:tcW w:w="0" w:type="auto"/>
            <w:hideMark/>
          </w:tcPr>
          <w:p w14:paraId="1F4FF3E1" w14:textId="77777777" w:rsidR="009C778C" w:rsidRPr="009C778C" w:rsidRDefault="009C778C" w:rsidP="009C778C">
            <w:pPr>
              <w:rPr>
                <w:rFonts w:cstheme="minorHAnsi"/>
                <w:sz w:val="24"/>
                <w:szCs w:val="24"/>
              </w:rPr>
            </w:pPr>
            <w:r w:rsidRPr="009C778C">
              <w:rPr>
                <w:rFonts w:cstheme="minorHAnsi"/>
                <w:sz w:val="24"/>
                <w:szCs w:val="24"/>
              </w:rPr>
              <w:t>− 0.022***</w:t>
            </w:r>
          </w:p>
        </w:tc>
        <w:tc>
          <w:tcPr>
            <w:tcW w:w="0" w:type="auto"/>
            <w:hideMark/>
          </w:tcPr>
          <w:p w14:paraId="594BB3DC" w14:textId="77777777" w:rsidR="009C778C" w:rsidRPr="009C778C" w:rsidRDefault="009C778C" w:rsidP="009C778C">
            <w:pPr>
              <w:rPr>
                <w:rFonts w:cstheme="minorHAnsi"/>
                <w:sz w:val="24"/>
                <w:szCs w:val="24"/>
              </w:rPr>
            </w:pPr>
            <w:r w:rsidRPr="009C778C">
              <w:rPr>
                <w:rFonts w:cstheme="minorHAnsi"/>
                <w:sz w:val="24"/>
                <w:szCs w:val="24"/>
              </w:rPr>
              <w:t>− 0.023***</w:t>
            </w:r>
          </w:p>
        </w:tc>
        <w:tc>
          <w:tcPr>
            <w:tcW w:w="0" w:type="auto"/>
            <w:hideMark/>
          </w:tcPr>
          <w:p w14:paraId="483FF6CF" w14:textId="77777777" w:rsidR="009C778C" w:rsidRPr="009C778C" w:rsidRDefault="009C778C" w:rsidP="009C778C">
            <w:pPr>
              <w:rPr>
                <w:rFonts w:cstheme="minorHAnsi"/>
                <w:sz w:val="24"/>
                <w:szCs w:val="24"/>
              </w:rPr>
            </w:pPr>
            <w:r w:rsidRPr="009C778C">
              <w:rPr>
                <w:rFonts w:cstheme="minorHAnsi"/>
                <w:sz w:val="24"/>
                <w:szCs w:val="24"/>
              </w:rPr>
              <w:t>− 0.017</w:t>
            </w:r>
          </w:p>
        </w:tc>
      </w:tr>
      <w:tr w:rsidR="009C778C" w:rsidRPr="009C778C" w14:paraId="663F5B56" w14:textId="77777777" w:rsidTr="0046257B">
        <w:tc>
          <w:tcPr>
            <w:tcW w:w="0" w:type="auto"/>
            <w:hideMark/>
          </w:tcPr>
          <w:p w14:paraId="77C69322" w14:textId="77777777" w:rsidR="009C778C" w:rsidRPr="009C778C" w:rsidRDefault="009C778C" w:rsidP="009C778C">
            <w:pPr>
              <w:rPr>
                <w:rFonts w:cstheme="minorHAnsi"/>
                <w:b/>
                <w:bCs/>
                <w:sz w:val="24"/>
                <w:szCs w:val="24"/>
              </w:rPr>
            </w:pPr>
          </w:p>
        </w:tc>
        <w:tc>
          <w:tcPr>
            <w:tcW w:w="0" w:type="auto"/>
            <w:hideMark/>
          </w:tcPr>
          <w:p w14:paraId="180770B9" w14:textId="77777777" w:rsidR="009C778C" w:rsidRPr="009C778C" w:rsidRDefault="009C778C" w:rsidP="009C778C">
            <w:pPr>
              <w:rPr>
                <w:rFonts w:cstheme="minorHAnsi"/>
                <w:b/>
                <w:bCs/>
                <w:sz w:val="24"/>
                <w:szCs w:val="24"/>
              </w:rPr>
            </w:pPr>
          </w:p>
        </w:tc>
        <w:tc>
          <w:tcPr>
            <w:tcW w:w="0" w:type="auto"/>
            <w:hideMark/>
          </w:tcPr>
          <w:p w14:paraId="707C15F0" w14:textId="77777777" w:rsidR="009C778C" w:rsidRPr="009C778C" w:rsidRDefault="009C778C" w:rsidP="009C778C">
            <w:pPr>
              <w:rPr>
                <w:rFonts w:cstheme="minorHAnsi"/>
                <w:sz w:val="24"/>
                <w:szCs w:val="24"/>
              </w:rPr>
            </w:pPr>
            <w:r w:rsidRPr="009C778C">
              <w:rPr>
                <w:rFonts w:cstheme="minorHAnsi"/>
                <w:sz w:val="24"/>
                <w:szCs w:val="24"/>
              </w:rPr>
              <w:t>(− 2.90)</w:t>
            </w:r>
          </w:p>
        </w:tc>
        <w:tc>
          <w:tcPr>
            <w:tcW w:w="0" w:type="auto"/>
            <w:hideMark/>
          </w:tcPr>
          <w:p w14:paraId="636282E2" w14:textId="77777777" w:rsidR="009C778C" w:rsidRPr="009C778C" w:rsidRDefault="009C778C" w:rsidP="009C778C">
            <w:pPr>
              <w:rPr>
                <w:rFonts w:cstheme="minorHAnsi"/>
                <w:sz w:val="24"/>
                <w:szCs w:val="24"/>
              </w:rPr>
            </w:pPr>
            <w:r w:rsidRPr="009C778C">
              <w:rPr>
                <w:rFonts w:cstheme="minorHAnsi"/>
                <w:sz w:val="24"/>
                <w:szCs w:val="24"/>
              </w:rPr>
              <w:t>(− 5.63)</w:t>
            </w:r>
          </w:p>
        </w:tc>
        <w:tc>
          <w:tcPr>
            <w:tcW w:w="0" w:type="auto"/>
            <w:hideMark/>
          </w:tcPr>
          <w:p w14:paraId="55440B1E" w14:textId="77777777" w:rsidR="009C778C" w:rsidRPr="009C778C" w:rsidRDefault="009C778C" w:rsidP="009C778C">
            <w:pPr>
              <w:rPr>
                <w:rFonts w:cstheme="minorHAnsi"/>
                <w:sz w:val="24"/>
                <w:szCs w:val="24"/>
              </w:rPr>
            </w:pPr>
            <w:r w:rsidRPr="009C778C">
              <w:rPr>
                <w:rFonts w:cstheme="minorHAnsi"/>
                <w:sz w:val="24"/>
                <w:szCs w:val="24"/>
              </w:rPr>
              <w:t>(− 8.64)</w:t>
            </w:r>
          </w:p>
        </w:tc>
        <w:tc>
          <w:tcPr>
            <w:tcW w:w="0" w:type="auto"/>
            <w:hideMark/>
          </w:tcPr>
          <w:p w14:paraId="2E6B50C5" w14:textId="77777777" w:rsidR="009C778C" w:rsidRPr="009C778C" w:rsidRDefault="009C778C" w:rsidP="009C778C">
            <w:pPr>
              <w:rPr>
                <w:rFonts w:cstheme="minorHAnsi"/>
                <w:sz w:val="24"/>
                <w:szCs w:val="24"/>
              </w:rPr>
            </w:pPr>
            <w:r w:rsidRPr="009C778C">
              <w:rPr>
                <w:rFonts w:cstheme="minorHAnsi"/>
                <w:sz w:val="24"/>
                <w:szCs w:val="24"/>
              </w:rPr>
              <w:t>(− 4.94)</w:t>
            </w:r>
          </w:p>
        </w:tc>
        <w:tc>
          <w:tcPr>
            <w:tcW w:w="0" w:type="auto"/>
            <w:hideMark/>
          </w:tcPr>
          <w:p w14:paraId="66066B5B" w14:textId="77777777" w:rsidR="009C778C" w:rsidRPr="009C778C" w:rsidRDefault="009C778C" w:rsidP="009C778C">
            <w:pPr>
              <w:rPr>
                <w:rFonts w:cstheme="minorHAnsi"/>
                <w:sz w:val="24"/>
                <w:szCs w:val="24"/>
              </w:rPr>
            </w:pPr>
            <w:r w:rsidRPr="009C778C">
              <w:rPr>
                <w:rFonts w:cstheme="minorHAnsi"/>
                <w:sz w:val="24"/>
                <w:szCs w:val="24"/>
              </w:rPr>
              <w:t>(− 5.72)</w:t>
            </w:r>
          </w:p>
        </w:tc>
        <w:tc>
          <w:tcPr>
            <w:tcW w:w="0" w:type="auto"/>
            <w:hideMark/>
          </w:tcPr>
          <w:p w14:paraId="1F518170" w14:textId="77777777" w:rsidR="009C778C" w:rsidRPr="009C778C" w:rsidRDefault="009C778C" w:rsidP="009C778C">
            <w:pPr>
              <w:rPr>
                <w:rFonts w:cstheme="minorHAnsi"/>
                <w:sz w:val="24"/>
                <w:szCs w:val="24"/>
              </w:rPr>
            </w:pPr>
            <w:r w:rsidRPr="009C778C">
              <w:rPr>
                <w:rFonts w:cstheme="minorHAnsi"/>
                <w:sz w:val="24"/>
                <w:szCs w:val="24"/>
              </w:rPr>
              <w:t>(− 7.31)</w:t>
            </w:r>
          </w:p>
        </w:tc>
        <w:tc>
          <w:tcPr>
            <w:tcW w:w="0" w:type="auto"/>
            <w:hideMark/>
          </w:tcPr>
          <w:p w14:paraId="14DF7770" w14:textId="77777777" w:rsidR="009C778C" w:rsidRPr="009C778C" w:rsidRDefault="009C778C" w:rsidP="009C778C">
            <w:pPr>
              <w:rPr>
                <w:rFonts w:cstheme="minorHAnsi"/>
                <w:sz w:val="24"/>
                <w:szCs w:val="24"/>
              </w:rPr>
            </w:pPr>
            <w:r w:rsidRPr="009C778C">
              <w:rPr>
                <w:rFonts w:cstheme="minorHAnsi"/>
                <w:sz w:val="24"/>
                <w:szCs w:val="24"/>
              </w:rPr>
              <w:t>(− 5.48)</w:t>
            </w:r>
          </w:p>
        </w:tc>
        <w:tc>
          <w:tcPr>
            <w:tcW w:w="0" w:type="auto"/>
            <w:hideMark/>
          </w:tcPr>
          <w:p w14:paraId="5BF5BDAE" w14:textId="77777777" w:rsidR="009C778C" w:rsidRPr="009C778C" w:rsidRDefault="009C778C" w:rsidP="009C778C">
            <w:pPr>
              <w:rPr>
                <w:rFonts w:cstheme="minorHAnsi"/>
                <w:sz w:val="24"/>
                <w:szCs w:val="24"/>
              </w:rPr>
            </w:pPr>
            <w:r w:rsidRPr="009C778C">
              <w:rPr>
                <w:rFonts w:cstheme="minorHAnsi"/>
                <w:sz w:val="24"/>
                <w:szCs w:val="24"/>
              </w:rPr>
              <w:t>(− 6.98)</w:t>
            </w:r>
          </w:p>
        </w:tc>
        <w:tc>
          <w:tcPr>
            <w:tcW w:w="0" w:type="auto"/>
            <w:hideMark/>
          </w:tcPr>
          <w:p w14:paraId="7D7AACAD" w14:textId="77777777" w:rsidR="009C778C" w:rsidRPr="009C778C" w:rsidRDefault="009C778C" w:rsidP="009C778C">
            <w:pPr>
              <w:rPr>
                <w:rFonts w:cstheme="minorHAnsi"/>
                <w:sz w:val="24"/>
                <w:szCs w:val="24"/>
              </w:rPr>
            </w:pPr>
            <w:r w:rsidRPr="009C778C">
              <w:rPr>
                <w:rFonts w:cstheme="minorHAnsi"/>
                <w:sz w:val="24"/>
                <w:szCs w:val="24"/>
              </w:rPr>
              <w:t>(− 1.65)</w:t>
            </w:r>
          </w:p>
        </w:tc>
      </w:tr>
      <w:tr w:rsidR="009C778C" w:rsidRPr="009C778C" w14:paraId="6FE88238" w14:textId="77777777" w:rsidTr="0046257B">
        <w:tc>
          <w:tcPr>
            <w:tcW w:w="0" w:type="auto"/>
            <w:hideMark/>
          </w:tcPr>
          <w:p w14:paraId="279FE110" w14:textId="77777777" w:rsidR="009C778C" w:rsidRPr="009C778C" w:rsidRDefault="009C778C" w:rsidP="009C778C">
            <w:pPr>
              <w:rPr>
                <w:rFonts w:cstheme="minorHAnsi"/>
                <w:b/>
                <w:bCs/>
                <w:sz w:val="24"/>
                <w:szCs w:val="24"/>
              </w:rPr>
            </w:pPr>
            <w:r w:rsidRPr="009C778C">
              <w:rPr>
                <w:rFonts w:cstheme="minorHAnsi"/>
                <w:b/>
                <w:bCs/>
                <w:sz w:val="24"/>
                <w:szCs w:val="24"/>
              </w:rPr>
              <w:t>ROA</w:t>
            </w:r>
            <w:r w:rsidRPr="009C778C">
              <w:rPr>
                <w:rFonts w:cstheme="minorHAnsi"/>
                <w:b/>
                <w:bCs/>
                <w:sz w:val="24"/>
                <w:szCs w:val="24"/>
                <w:vertAlign w:val="subscript"/>
              </w:rPr>
              <w:t>t − 1</w:t>
            </w:r>
          </w:p>
        </w:tc>
        <w:tc>
          <w:tcPr>
            <w:tcW w:w="0" w:type="auto"/>
            <w:hideMark/>
          </w:tcPr>
          <w:p w14:paraId="3B89EF17" w14:textId="77777777" w:rsidR="009C778C" w:rsidRPr="009C778C" w:rsidRDefault="009C778C" w:rsidP="009C778C">
            <w:pPr>
              <w:rPr>
                <w:rFonts w:cstheme="minorHAnsi"/>
                <w:b/>
                <w:bCs/>
                <w:sz w:val="24"/>
                <w:szCs w:val="24"/>
              </w:rPr>
            </w:pPr>
          </w:p>
        </w:tc>
        <w:tc>
          <w:tcPr>
            <w:tcW w:w="0" w:type="auto"/>
            <w:hideMark/>
          </w:tcPr>
          <w:p w14:paraId="35A61BC0" w14:textId="77777777" w:rsidR="009C778C" w:rsidRPr="009C778C" w:rsidRDefault="009C778C" w:rsidP="009C778C">
            <w:pPr>
              <w:rPr>
                <w:rFonts w:cstheme="minorHAnsi"/>
                <w:sz w:val="24"/>
                <w:szCs w:val="24"/>
              </w:rPr>
            </w:pPr>
            <w:r w:rsidRPr="009C778C">
              <w:rPr>
                <w:rFonts w:cstheme="minorHAnsi"/>
                <w:sz w:val="24"/>
                <w:szCs w:val="24"/>
              </w:rPr>
              <w:t>− 0.370***</w:t>
            </w:r>
          </w:p>
        </w:tc>
        <w:tc>
          <w:tcPr>
            <w:tcW w:w="0" w:type="auto"/>
            <w:hideMark/>
          </w:tcPr>
          <w:p w14:paraId="408358C9" w14:textId="77777777" w:rsidR="009C778C" w:rsidRPr="009C778C" w:rsidRDefault="009C778C" w:rsidP="009C778C">
            <w:pPr>
              <w:rPr>
                <w:rFonts w:cstheme="minorHAnsi"/>
                <w:sz w:val="24"/>
                <w:szCs w:val="24"/>
              </w:rPr>
            </w:pPr>
            <w:r w:rsidRPr="009C778C">
              <w:rPr>
                <w:rFonts w:cstheme="minorHAnsi"/>
                <w:sz w:val="24"/>
                <w:szCs w:val="24"/>
              </w:rPr>
              <w:t>− 0.621***</w:t>
            </w:r>
          </w:p>
        </w:tc>
        <w:tc>
          <w:tcPr>
            <w:tcW w:w="0" w:type="auto"/>
            <w:hideMark/>
          </w:tcPr>
          <w:p w14:paraId="09F1EE2A" w14:textId="77777777" w:rsidR="009C778C" w:rsidRPr="009C778C" w:rsidRDefault="009C778C" w:rsidP="009C778C">
            <w:pPr>
              <w:rPr>
                <w:rFonts w:cstheme="minorHAnsi"/>
                <w:sz w:val="24"/>
                <w:szCs w:val="24"/>
              </w:rPr>
            </w:pPr>
            <w:r w:rsidRPr="009C778C">
              <w:rPr>
                <w:rFonts w:cstheme="minorHAnsi"/>
                <w:sz w:val="24"/>
                <w:szCs w:val="24"/>
              </w:rPr>
              <w:t>− 0.621***</w:t>
            </w:r>
          </w:p>
        </w:tc>
        <w:tc>
          <w:tcPr>
            <w:tcW w:w="0" w:type="auto"/>
            <w:hideMark/>
          </w:tcPr>
          <w:p w14:paraId="214A7E40" w14:textId="77777777" w:rsidR="009C778C" w:rsidRPr="009C778C" w:rsidRDefault="009C778C" w:rsidP="009C778C">
            <w:pPr>
              <w:rPr>
                <w:rFonts w:cstheme="minorHAnsi"/>
                <w:sz w:val="24"/>
                <w:szCs w:val="24"/>
              </w:rPr>
            </w:pPr>
            <w:r w:rsidRPr="009C778C">
              <w:rPr>
                <w:rFonts w:cstheme="minorHAnsi"/>
                <w:sz w:val="24"/>
                <w:szCs w:val="24"/>
              </w:rPr>
              <w:t>− 0.669***</w:t>
            </w:r>
          </w:p>
        </w:tc>
        <w:tc>
          <w:tcPr>
            <w:tcW w:w="0" w:type="auto"/>
            <w:hideMark/>
          </w:tcPr>
          <w:p w14:paraId="41DA318B" w14:textId="77777777" w:rsidR="009C778C" w:rsidRPr="009C778C" w:rsidRDefault="009C778C" w:rsidP="009C778C">
            <w:pPr>
              <w:rPr>
                <w:rFonts w:cstheme="minorHAnsi"/>
                <w:sz w:val="24"/>
                <w:szCs w:val="24"/>
              </w:rPr>
            </w:pPr>
            <w:r w:rsidRPr="009C778C">
              <w:rPr>
                <w:rFonts w:cstheme="minorHAnsi"/>
                <w:sz w:val="24"/>
                <w:szCs w:val="24"/>
              </w:rPr>
              <w:t>− 0.561***</w:t>
            </w:r>
          </w:p>
        </w:tc>
        <w:tc>
          <w:tcPr>
            <w:tcW w:w="0" w:type="auto"/>
            <w:hideMark/>
          </w:tcPr>
          <w:p w14:paraId="6AAB8898" w14:textId="77777777" w:rsidR="009C778C" w:rsidRPr="009C778C" w:rsidRDefault="009C778C" w:rsidP="009C778C">
            <w:pPr>
              <w:rPr>
                <w:rFonts w:cstheme="minorHAnsi"/>
                <w:sz w:val="24"/>
                <w:szCs w:val="24"/>
              </w:rPr>
            </w:pPr>
            <w:r w:rsidRPr="009C778C">
              <w:rPr>
                <w:rFonts w:cstheme="minorHAnsi"/>
                <w:sz w:val="24"/>
                <w:szCs w:val="24"/>
              </w:rPr>
              <w:t>− 0.648***</w:t>
            </w:r>
          </w:p>
        </w:tc>
        <w:tc>
          <w:tcPr>
            <w:tcW w:w="0" w:type="auto"/>
            <w:hideMark/>
          </w:tcPr>
          <w:p w14:paraId="51A42D06" w14:textId="77777777" w:rsidR="009C778C" w:rsidRPr="009C778C" w:rsidRDefault="009C778C" w:rsidP="009C778C">
            <w:pPr>
              <w:rPr>
                <w:rFonts w:cstheme="minorHAnsi"/>
                <w:sz w:val="24"/>
                <w:szCs w:val="24"/>
              </w:rPr>
            </w:pPr>
            <w:r w:rsidRPr="009C778C">
              <w:rPr>
                <w:rFonts w:cstheme="minorHAnsi"/>
                <w:sz w:val="24"/>
                <w:szCs w:val="24"/>
              </w:rPr>
              <w:t>− 0.671***</w:t>
            </w:r>
          </w:p>
        </w:tc>
        <w:tc>
          <w:tcPr>
            <w:tcW w:w="0" w:type="auto"/>
            <w:hideMark/>
          </w:tcPr>
          <w:p w14:paraId="2260180C" w14:textId="77777777" w:rsidR="009C778C" w:rsidRPr="009C778C" w:rsidRDefault="009C778C" w:rsidP="009C778C">
            <w:pPr>
              <w:rPr>
                <w:rFonts w:cstheme="minorHAnsi"/>
                <w:sz w:val="24"/>
                <w:szCs w:val="24"/>
              </w:rPr>
            </w:pPr>
            <w:r w:rsidRPr="009C778C">
              <w:rPr>
                <w:rFonts w:cstheme="minorHAnsi"/>
                <w:sz w:val="24"/>
                <w:szCs w:val="24"/>
              </w:rPr>
              <w:t>− 0.626***</w:t>
            </w:r>
          </w:p>
        </w:tc>
        <w:tc>
          <w:tcPr>
            <w:tcW w:w="0" w:type="auto"/>
            <w:hideMark/>
          </w:tcPr>
          <w:p w14:paraId="5B87482B" w14:textId="77777777" w:rsidR="009C778C" w:rsidRPr="009C778C" w:rsidRDefault="009C778C" w:rsidP="009C778C">
            <w:pPr>
              <w:rPr>
                <w:rFonts w:cstheme="minorHAnsi"/>
                <w:sz w:val="24"/>
                <w:szCs w:val="24"/>
              </w:rPr>
            </w:pPr>
            <w:r w:rsidRPr="009C778C">
              <w:rPr>
                <w:rFonts w:cstheme="minorHAnsi"/>
                <w:sz w:val="24"/>
                <w:szCs w:val="24"/>
              </w:rPr>
              <w:t>− 0.006</w:t>
            </w:r>
          </w:p>
        </w:tc>
      </w:tr>
      <w:tr w:rsidR="009C778C" w:rsidRPr="009C778C" w14:paraId="03142900" w14:textId="77777777" w:rsidTr="0046257B">
        <w:tc>
          <w:tcPr>
            <w:tcW w:w="0" w:type="auto"/>
            <w:hideMark/>
          </w:tcPr>
          <w:p w14:paraId="45D88E10" w14:textId="77777777" w:rsidR="009C778C" w:rsidRPr="009C778C" w:rsidRDefault="009C778C" w:rsidP="009C778C">
            <w:pPr>
              <w:rPr>
                <w:rFonts w:cstheme="minorHAnsi"/>
                <w:b/>
                <w:bCs/>
                <w:sz w:val="24"/>
                <w:szCs w:val="24"/>
              </w:rPr>
            </w:pPr>
          </w:p>
        </w:tc>
        <w:tc>
          <w:tcPr>
            <w:tcW w:w="0" w:type="auto"/>
            <w:hideMark/>
          </w:tcPr>
          <w:p w14:paraId="1FCECF0F" w14:textId="77777777" w:rsidR="009C778C" w:rsidRPr="009C778C" w:rsidRDefault="009C778C" w:rsidP="009C778C">
            <w:pPr>
              <w:rPr>
                <w:rFonts w:cstheme="minorHAnsi"/>
                <w:b/>
                <w:bCs/>
                <w:sz w:val="24"/>
                <w:szCs w:val="24"/>
              </w:rPr>
            </w:pPr>
          </w:p>
        </w:tc>
        <w:tc>
          <w:tcPr>
            <w:tcW w:w="0" w:type="auto"/>
            <w:hideMark/>
          </w:tcPr>
          <w:p w14:paraId="5BEA44B8" w14:textId="77777777" w:rsidR="009C778C" w:rsidRPr="009C778C" w:rsidRDefault="009C778C" w:rsidP="009C778C">
            <w:pPr>
              <w:rPr>
                <w:rFonts w:cstheme="minorHAnsi"/>
                <w:sz w:val="24"/>
                <w:szCs w:val="24"/>
              </w:rPr>
            </w:pPr>
            <w:r w:rsidRPr="009C778C">
              <w:rPr>
                <w:rFonts w:cstheme="minorHAnsi"/>
                <w:sz w:val="24"/>
                <w:szCs w:val="24"/>
              </w:rPr>
              <w:t>(− 6.40)</w:t>
            </w:r>
          </w:p>
        </w:tc>
        <w:tc>
          <w:tcPr>
            <w:tcW w:w="0" w:type="auto"/>
            <w:hideMark/>
          </w:tcPr>
          <w:p w14:paraId="455B319E" w14:textId="77777777" w:rsidR="009C778C" w:rsidRPr="009C778C" w:rsidRDefault="009C778C" w:rsidP="009C778C">
            <w:pPr>
              <w:rPr>
                <w:rFonts w:cstheme="minorHAnsi"/>
                <w:sz w:val="24"/>
                <w:szCs w:val="24"/>
              </w:rPr>
            </w:pPr>
            <w:r w:rsidRPr="009C778C">
              <w:rPr>
                <w:rFonts w:cstheme="minorHAnsi"/>
                <w:sz w:val="24"/>
                <w:szCs w:val="24"/>
              </w:rPr>
              <w:t>(− 5.29)</w:t>
            </w:r>
          </w:p>
        </w:tc>
        <w:tc>
          <w:tcPr>
            <w:tcW w:w="0" w:type="auto"/>
            <w:hideMark/>
          </w:tcPr>
          <w:p w14:paraId="568B4E04" w14:textId="77777777" w:rsidR="009C778C" w:rsidRPr="009C778C" w:rsidRDefault="009C778C" w:rsidP="009C778C">
            <w:pPr>
              <w:rPr>
                <w:rFonts w:cstheme="minorHAnsi"/>
                <w:sz w:val="24"/>
                <w:szCs w:val="24"/>
              </w:rPr>
            </w:pPr>
            <w:r w:rsidRPr="009C778C">
              <w:rPr>
                <w:rFonts w:cstheme="minorHAnsi"/>
                <w:sz w:val="24"/>
                <w:szCs w:val="24"/>
              </w:rPr>
              <w:t>(− 5.86)</w:t>
            </w:r>
          </w:p>
        </w:tc>
        <w:tc>
          <w:tcPr>
            <w:tcW w:w="0" w:type="auto"/>
            <w:hideMark/>
          </w:tcPr>
          <w:p w14:paraId="393CE491" w14:textId="77777777" w:rsidR="009C778C" w:rsidRPr="009C778C" w:rsidRDefault="009C778C" w:rsidP="009C778C">
            <w:pPr>
              <w:rPr>
                <w:rFonts w:cstheme="minorHAnsi"/>
                <w:sz w:val="24"/>
                <w:szCs w:val="24"/>
              </w:rPr>
            </w:pPr>
            <w:r w:rsidRPr="009C778C">
              <w:rPr>
                <w:rFonts w:cstheme="minorHAnsi"/>
                <w:sz w:val="24"/>
                <w:szCs w:val="24"/>
              </w:rPr>
              <w:t>(− 13.28)</w:t>
            </w:r>
          </w:p>
        </w:tc>
        <w:tc>
          <w:tcPr>
            <w:tcW w:w="0" w:type="auto"/>
            <w:hideMark/>
          </w:tcPr>
          <w:p w14:paraId="701964D7" w14:textId="77777777" w:rsidR="009C778C" w:rsidRPr="009C778C" w:rsidRDefault="009C778C" w:rsidP="009C778C">
            <w:pPr>
              <w:rPr>
                <w:rFonts w:cstheme="minorHAnsi"/>
                <w:sz w:val="24"/>
                <w:szCs w:val="24"/>
              </w:rPr>
            </w:pPr>
            <w:r w:rsidRPr="009C778C">
              <w:rPr>
                <w:rFonts w:cstheme="minorHAnsi"/>
                <w:sz w:val="24"/>
                <w:szCs w:val="24"/>
              </w:rPr>
              <w:t>(− 14.01)</w:t>
            </w:r>
          </w:p>
        </w:tc>
        <w:tc>
          <w:tcPr>
            <w:tcW w:w="0" w:type="auto"/>
            <w:hideMark/>
          </w:tcPr>
          <w:p w14:paraId="193E87F7" w14:textId="77777777" w:rsidR="009C778C" w:rsidRPr="009C778C" w:rsidRDefault="009C778C" w:rsidP="009C778C">
            <w:pPr>
              <w:rPr>
                <w:rFonts w:cstheme="minorHAnsi"/>
                <w:sz w:val="24"/>
                <w:szCs w:val="24"/>
              </w:rPr>
            </w:pPr>
            <w:r w:rsidRPr="009C778C">
              <w:rPr>
                <w:rFonts w:cstheme="minorHAnsi"/>
                <w:sz w:val="24"/>
                <w:szCs w:val="24"/>
              </w:rPr>
              <w:t>(− 15.13)</w:t>
            </w:r>
          </w:p>
        </w:tc>
        <w:tc>
          <w:tcPr>
            <w:tcW w:w="0" w:type="auto"/>
            <w:hideMark/>
          </w:tcPr>
          <w:p w14:paraId="0EF2CBF3" w14:textId="77777777" w:rsidR="009C778C" w:rsidRPr="009C778C" w:rsidRDefault="009C778C" w:rsidP="009C778C">
            <w:pPr>
              <w:rPr>
                <w:rFonts w:cstheme="minorHAnsi"/>
                <w:sz w:val="24"/>
                <w:szCs w:val="24"/>
              </w:rPr>
            </w:pPr>
            <w:r w:rsidRPr="009C778C">
              <w:rPr>
                <w:rFonts w:cstheme="minorHAnsi"/>
                <w:sz w:val="24"/>
                <w:szCs w:val="24"/>
              </w:rPr>
              <w:t>(− 13.66)</w:t>
            </w:r>
          </w:p>
        </w:tc>
        <w:tc>
          <w:tcPr>
            <w:tcW w:w="0" w:type="auto"/>
            <w:hideMark/>
          </w:tcPr>
          <w:p w14:paraId="1386EC1E" w14:textId="77777777" w:rsidR="009C778C" w:rsidRPr="009C778C" w:rsidRDefault="009C778C" w:rsidP="009C778C">
            <w:pPr>
              <w:rPr>
                <w:rFonts w:cstheme="minorHAnsi"/>
                <w:sz w:val="24"/>
                <w:szCs w:val="24"/>
              </w:rPr>
            </w:pPr>
            <w:r w:rsidRPr="009C778C">
              <w:rPr>
                <w:rFonts w:cstheme="minorHAnsi"/>
                <w:sz w:val="24"/>
                <w:szCs w:val="24"/>
              </w:rPr>
              <w:t>(− 16.20)</w:t>
            </w:r>
          </w:p>
        </w:tc>
        <w:tc>
          <w:tcPr>
            <w:tcW w:w="0" w:type="auto"/>
            <w:hideMark/>
          </w:tcPr>
          <w:p w14:paraId="3A1CEF46" w14:textId="77777777" w:rsidR="009C778C" w:rsidRPr="009C778C" w:rsidRDefault="009C778C" w:rsidP="009C778C">
            <w:pPr>
              <w:rPr>
                <w:rFonts w:cstheme="minorHAnsi"/>
                <w:sz w:val="24"/>
                <w:szCs w:val="24"/>
              </w:rPr>
            </w:pPr>
            <w:r w:rsidRPr="009C778C">
              <w:rPr>
                <w:rFonts w:cstheme="minorHAnsi"/>
                <w:sz w:val="24"/>
                <w:szCs w:val="24"/>
              </w:rPr>
              <w:t>(− 0.39)</w:t>
            </w:r>
          </w:p>
        </w:tc>
      </w:tr>
      <w:tr w:rsidR="009C778C" w:rsidRPr="009C778C" w14:paraId="3E638E1D" w14:textId="77777777" w:rsidTr="0046257B">
        <w:tc>
          <w:tcPr>
            <w:tcW w:w="0" w:type="auto"/>
            <w:hideMark/>
          </w:tcPr>
          <w:p w14:paraId="37758CF0" w14:textId="77777777" w:rsidR="009C778C" w:rsidRPr="009C778C" w:rsidRDefault="009C778C" w:rsidP="009C778C">
            <w:pPr>
              <w:rPr>
                <w:rFonts w:cstheme="minorHAnsi"/>
                <w:b/>
                <w:bCs/>
                <w:sz w:val="24"/>
                <w:szCs w:val="24"/>
              </w:rPr>
            </w:pPr>
            <w:r w:rsidRPr="009C778C">
              <w:rPr>
                <w:rFonts w:cstheme="minorHAnsi"/>
                <w:b/>
                <w:bCs/>
                <w:sz w:val="24"/>
                <w:szCs w:val="24"/>
              </w:rPr>
              <w:t>MTB</w:t>
            </w:r>
            <w:r w:rsidRPr="009C778C">
              <w:rPr>
                <w:rFonts w:cstheme="minorHAnsi"/>
                <w:b/>
                <w:bCs/>
                <w:sz w:val="24"/>
                <w:szCs w:val="24"/>
                <w:vertAlign w:val="subscript"/>
              </w:rPr>
              <w:t>t − 1</w:t>
            </w:r>
          </w:p>
        </w:tc>
        <w:tc>
          <w:tcPr>
            <w:tcW w:w="0" w:type="auto"/>
            <w:hideMark/>
          </w:tcPr>
          <w:p w14:paraId="33ACA5E9" w14:textId="77777777" w:rsidR="009C778C" w:rsidRPr="009C778C" w:rsidRDefault="009C778C" w:rsidP="009C778C">
            <w:pPr>
              <w:rPr>
                <w:rFonts w:cstheme="minorHAnsi"/>
                <w:b/>
                <w:bCs/>
                <w:sz w:val="24"/>
                <w:szCs w:val="24"/>
              </w:rPr>
            </w:pPr>
          </w:p>
        </w:tc>
        <w:tc>
          <w:tcPr>
            <w:tcW w:w="0" w:type="auto"/>
            <w:hideMark/>
          </w:tcPr>
          <w:p w14:paraId="0165BA82" w14:textId="77777777" w:rsidR="009C778C" w:rsidRPr="009C778C" w:rsidRDefault="009C778C" w:rsidP="009C778C">
            <w:pPr>
              <w:rPr>
                <w:rFonts w:cstheme="minorHAnsi"/>
                <w:sz w:val="24"/>
                <w:szCs w:val="24"/>
              </w:rPr>
            </w:pPr>
            <w:r w:rsidRPr="009C778C">
              <w:rPr>
                <w:rFonts w:cstheme="minorHAnsi"/>
                <w:sz w:val="24"/>
                <w:szCs w:val="24"/>
              </w:rPr>
              <w:t>− 0.001</w:t>
            </w:r>
          </w:p>
        </w:tc>
        <w:tc>
          <w:tcPr>
            <w:tcW w:w="0" w:type="auto"/>
            <w:hideMark/>
          </w:tcPr>
          <w:p w14:paraId="36B0BF0E" w14:textId="77777777" w:rsidR="009C778C" w:rsidRPr="009C778C" w:rsidRDefault="009C778C" w:rsidP="009C778C">
            <w:pPr>
              <w:rPr>
                <w:rFonts w:cstheme="minorHAnsi"/>
                <w:sz w:val="24"/>
                <w:szCs w:val="24"/>
              </w:rPr>
            </w:pPr>
            <w:r w:rsidRPr="009C778C">
              <w:rPr>
                <w:rFonts w:cstheme="minorHAnsi"/>
                <w:sz w:val="24"/>
                <w:szCs w:val="24"/>
              </w:rPr>
              <w:t>− 0.019*</w:t>
            </w:r>
          </w:p>
        </w:tc>
        <w:tc>
          <w:tcPr>
            <w:tcW w:w="0" w:type="auto"/>
            <w:hideMark/>
          </w:tcPr>
          <w:p w14:paraId="359E4DE9" w14:textId="77777777" w:rsidR="009C778C" w:rsidRPr="009C778C" w:rsidRDefault="009C778C" w:rsidP="009C778C">
            <w:pPr>
              <w:rPr>
                <w:rFonts w:cstheme="minorHAnsi"/>
                <w:sz w:val="24"/>
                <w:szCs w:val="24"/>
              </w:rPr>
            </w:pPr>
            <w:r w:rsidRPr="009C778C">
              <w:rPr>
                <w:rFonts w:cstheme="minorHAnsi"/>
                <w:sz w:val="24"/>
                <w:szCs w:val="24"/>
              </w:rPr>
              <w:t>− 0.019</w:t>
            </w:r>
          </w:p>
        </w:tc>
        <w:tc>
          <w:tcPr>
            <w:tcW w:w="0" w:type="auto"/>
            <w:hideMark/>
          </w:tcPr>
          <w:p w14:paraId="151FB013" w14:textId="77777777" w:rsidR="009C778C" w:rsidRPr="009C778C" w:rsidRDefault="009C778C" w:rsidP="009C778C">
            <w:pPr>
              <w:rPr>
                <w:rFonts w:cstheme="minorHAnsi"/>
                <w:sz w:val="24"/>
                <w:szCs w:val="24"/>
              </w:rPr>
            </w:pPr>
            <w:r w:rsidRPr="009C778C">
              <w:rPr>
                <w:rFonts w:cstheme="minorHAnsi"/>
                <w:sz w:val="24"/>
                <w:szCs w:val="24"/>
              </w:rPr>
              <w:t>− 0.023**</w:t>
            </w:r>
          </w:p>
        </w:tc>
        <w:tc>
          <w:tcPr>
            <w:tcW w:w="0" w:type="auto"/>
            <w:hideMark/>
          </w:tcPr>
          <w:p w14:paraId="7BB286DD" w14:textId="77777777" w:rsidR="009C778C" w:rsidRPr="009C778C" w:rsidRDefault="009C778C" w:rsidP="009C778C">
            <w:pPr>
              <w:rPr>
                <w:rFonts w:cstheme="minorHAnsi"/>
                <w:sz w:val="24"/>
                <w:szCs w:val="24"/>
              </w:rPr>
            </w:pPr>
            <w:r w:rsidRPr="009C778C">
              <w:rPr>
                <w:rFonts w:cstheme="minorHAnsi"/>
                <w:sz w:val="24"/>
                <w:szCs w:val="24"/>
              </w:rPr>
              <w:t>− 0.022**</w:t>
            </w:r>
          </w:p>
        </w:tc>
        <w:tc>
          <w:tcPr>
            <w:tcW w:w="0" w:type="auto"/>
            <w:hideMark/>
          </w:tcPr>
          <w:p w14:paraId="0AECD4CF" w14:textId="77777777" w:rsidR="009C778C" w:rsidRPr="009C778C" w:rsidRDefault="009C778C" w:rsidP="009C778C">
            <w:pPr>
              <w:rPr>
                <w:rFonts w:cstheme="minorHAnsi"/>
                <w:sz w:val="24"/>
                <w:szCs w:val="24"/>
              </w:rPr>
            </w:pPr>
            <w:r w:rsidRPr="009C778C">
              <w:rPr>
                <w:rFonts w:cstheme="minorHAnsi"/>
                <w:sz w:val="24"/>
                <w:szCs w:val="24"/>
              </w:rPr>
              <w:t>− 0.026**</w:t>
            </w:r>
          </w:p>
        </w:tc>
        <w:tc>
          <w:tcPr>
            <w:tcW w:w="0" w:type="auto"/>
            <w:hideMark/>
          </w:tcPr>
          <w:p w14:paraId="3AACBAE1" w14:textId="77777777" w:rsidR="009C778C" w:rsidRPr="009C778C" w:rsidRDefault="009C778C" w:rsidP="009C778C">
            <w:pPr>
              <w:rPr>
                <w:rFonts w:cstheme="minorHAnsi"/>
                <w:sz w:val="24"/>
                <w:szCs w:val="24"/>
              </w:rPr>
            </w:pPr>
            <w:r w:rsidRPr="009C778C">
              <w:rPr>
                <w:rFonts w:cstheme="minorHAnsi"/>
                <w:sz w:val="24"/>
                <w:szCs w:val="24"/>
              </w:rPr>
              <w:t>− 0.020</w:t>
            </w:r>
          </w:p>
        </w:tc>
        <w:tc>
          <w:tcPr>
            <w:tcW w:w="0" w:type="auto"/>
            <w:hideMark/>
          </w:tcPr>
          <w:p w14:paraId="0F8A0DA0" w14:textId="77777777" w:rsidR="009C778C" w:rsidRPr="009C778C" w:rsidRDefault="009C778C" w:rsidP="009C778C">
            <w:pPr>
              <w:rPr>
                <w:rFonts w:cstheme="minorHAnsi"/>
                <w:sz w:val="24"/>
                <w:szCs w:val="24"/>
              </w:rPr>
            </w:pPr>
            <w:r w:rsidRPr="009C778C">
              <w:rPr>
                <w:rFonts w:cstheme="minorHAnsi"/>
                <w:sz w:val="24"/>
                <w:szCs w:val="24"/>
              </w:rPr>
              <w:t>− 0.018*</w:t>
            </w:r>
          </w:p>
        </w:tc>
        <w:tc>
          <w:tcPr>
            <w:tcW w:w="0" w:type="auto"/>
            <w:hideMark/>
          </w:tcPr>
          <w:p w14:paraId="3E397C55" w14:textId="77777777" w:rsidR="009C778C" w:rsidRPr="009C778C" w:rsidRDefault="009C778C" w:rsidP="009C778C">
            <w:pPr>
              <w:rPr>
                <w:rFonts w:cstheme="minorHAnsi"/>
                <w:sz w:val="24"/>
                <w:szCs w:val="24"/>
              </w:rPr>
            </w:pPr>
            <w:r w:rsidRPr="009C778C">
              <w:rPr>
                <w:rFonts w:cstheme="minorHAnsi"/>
                <w:sz w:val="24"/>
                <w:szCs w:val="24"/>
              </w:rPr>
              <w:t>− 0.482***</w:t>
            </w:r>
          </w:p>
        </w:tc>
      </w:tr>
      <w:tr w:rsidR="009C778C" w:rsidRPr="009C778C" w14:paraId="5A57DA77" w14:textId="77777777" w:rsidTr="0046257B">
        <w:tc>
          <w:tcPr>
            <w:tcW w:w="0" w:type="auto"/>
            <w:hideMark/>
          </w:tcPr>
          <w:p w14:paraId="0C4FC215" w14:textId="77777777" w:rsidR="009C778C" w:rsidRPr="009C778C" w:rsidRDefault="009C778C" w:rsidP="009C778C">
            <w:pPr>
              <w:rPr>
                <w:rFonts w:cstheme="minorHAnsi"/>
                <w:b/>
                <w:bCs/>
                <w:sz w:val="24"/>
                <w:szCs w:val="24"/>
              </w:rPr>
            </w:pPr>
          </w:p>
        </w:tc>
        <w:tc>
          <w:tcPr>
            <w:tcW w:w="0" w:type="auto"/>
            <w:hideMark/>
          </w:tcPr>
          <w:p w14:paraId="6AD56768" w14:textId="77777777" w:rsidR="009C778C" w:rsidRPr="009C778C" w:rsidRDefault="009C778C" w:rsidP="009C778C">
            <w:pPr>
              <w:rPr>
                <w:rFonts w:cstheme="minorHAnsi"/>
                <w:b/>
                <w:bCs/>
                <w:sz w:val="24"/>
                <w:szCs w:val="24"/>
              </w:rPr>
            </w:pPr>
          </w:p>
        </w:tc>
        <w:tc>
          <w:tcPr>
            <w:tcW w:w="0" w:type="auto"/>
            <w:hideMark/>
          </w:tcPr>
          <w:p w14:paraId="17ED0170" w14:textId="77777777" w:rsidR="009C778C" w:rsidRPr="009C778C" w:rsidRDefault="009C778C" w:rsidP="009C778C">
            <w:pPr>
              <w:rPr>
                <w:rFonts w:cstheme="minorHAnsi"/>
                <w:sz w:val="24"/>
                <w:szCs w:val="24"/>
              </w:rPr>
            </w:pPr>
            <w:r w:rsidRPr="009C778C">
              <w:rPr>
                <w:rFonts w:cstheme="minorHAnsi"/>
                <w:sz w:val="24"/>
                <w:szCs w:val="24"/>
              </w:rPr>
              <w:t>(− 0.07)</w:t>
            </w:r>
          </w:p>
        </w:tc>
        <w:tc>
          <w:tcPr>
            <w:tcW w:w="0" w:type="auto"/>
            <w:hideMark/>
          </w:tcPr>
          <w:p w14:paraId="7A5CD484" w14:textId="77777777" w:rsidR="009C778C" w:rsidRPr="009C778C" w:rsidRDefault="009C778C" w:rsidP="009C778C">
            <w:pPr>
              <w:rPr>
                <w:rFonts w:cstheme="minorHAnsi"/>
                <w:sz w:val="24"/>
                <w:szCs w:val="24"/>
              </w:rPr>
            </w:pPr>
            <w:r w:rsidRPr="009C778C">
              <w:rPr>
                <w:rFonts w:cstheme="minorHAnsi"/>
                <w:sz w:val="24"/>
                <w:szCs w:val="24"/>
              </w:rPr>
              <w:t>(− 1.79)</w:t>
            </w:r>
          </w:p>
        </w:tc>
        <w:tc>
          <w:tcPr>
            <w:tcW w:w="0" w:type="auto"/>
            <w:hideMark/>
          </w:tcPr>
          <w:p w14:paraId="5651B9F2" w14:textId="77777777" w:rsidR="009C778C" w:rsidRPr="009C778C" w:rsidRDefault="009C778C" w:rsidP="009C778C">
            <w:pPr>
              <w:rPr>
                <w:rFonts w:cstheme="minorHAnsi"/>
                <w:sz w:val="24"/>
                <w:szCs w:val="24"/>
              </w:rPr>
            </w:pPr>
            <w:r w:rsidRPr="009C778C">
              <w:rPr>
                <w:rFonts w:cstheme="minorHAnsi"/>
                <w:sz w:val="24"/>
                <w:szCs w:val="24"/>
              </w:rPr>
              <w:t>(− 1.54)</w:t>
            </w:r>
          </w:p>
        </w:tc>
        <w:tc>
          <w:tcPr>
            <w:tcW w:w="0" w:type="auto"/>
            <w:hideMark/>
          </w:tcPr>
          <w:p w14:paraId="18576BA2" w14:textId="77777777" w:rsidR="009C778C" w:rsidRPr="009C778C" w:rsidRDefault="009C778C" w:rsidP="009C778C">
            <w:pPr>
              <w:rPr>
                <w:rFonts w:cstheme="minorHAnsi"/>
                <w:sz w:val="24"/>
                <w:szCs w:val="24"/>
              </w:rPr>
            </w:pPr>
            <w:r w:rsidRPr="009C778C">
              <w:rPr>
                <w:rFonts w:cstheme="minorHAnsi"/>
                <w:sz w:val="24"/>
                <w:szCs w:val="24"/>
              </w:rPr>
              <w:t>(− 2.07)</w:t>
            </w:r>
          </w:p>
        </w:tc>
        <w:tc>
          <w:tcPr>
            <w:tcW w:w="0" w:type="auto"/>
            <w:hideMark/>
          </w:tcPr>
          <w:p w14:paraId="6CC8DCD9" w14:textId="77777777" w:rsidR="009C778C" w:rsidRPr="009C778C" w:rsidRDefault="009C778C" w:rsidP="009C778C">
            <w:pPr>
              <w:rPr>
                <w:rFonts w:cstheme="minorHAnsi"/>
                <w:sz w:val="24"/>
                <w:szCs w:val="24"/>
              </w:rPr>
            </w:pPr>
            <w:r w:rsidRPr="009C778C">
              <w:rPr>
                <w:rFonts w:cstheme="minorHAnsi"/>
                <w:sz w:val="24"/>
                <w:szCs w:val="24"/>
              </w:rPr>
              <w:t>(− 2.13)</w:t>
            </w:r>
          </w:p>
        </w:tc>
        <w:tc>
          <w:tcPr>
            <w:tcW w:w="0" w:type="auto"/>
            <w:hideMark/>
          </w:tcPr>
          <w:p w14:paraId="70CD571B" w14:textId="77777777" w:rsidR="009C778C" w:rsidRPr="009C778C" w:rsidRDefault="009C778C" w:rsidP="009C778C">
            <w:pPr>
              <w:rPr>
                <w:rFonts w:cstheme="minorHAnsi"/>
                <w:sz w:val="24"/>
                <w:szCs w:val="24"/>
              </w:rPr>
            </w:pPr>
            <w:r w:rsidRPr="009C778C">
              <w:rPr>
                <w:rFonts w:cstheme="minorHAnsi"/>
                <w:sz w:val="24"/>
                <w:szCs w:val="24"/>
              </w:rPr>
              <w:t>(− 2.42)</w:t>
            </w:r>
          </w:p>
        </w:tc>
        <w:tc>
          <w:tcPr>
            <w:tcW w:w="0" w:type="auto"/>
            <w:hideMark/>
          </w:tcPr>
          <w:p w14:paraId="1093A4C4" w14:textId="77777777" w:rsidR="009C778C" w:rsidRPr="009C778C" w:rsidRDefault="009C778C" w:rsidP="009C778C">
            <w:pPr>
              <w:rPr>
                <w:rFonts w:cstheme="minorHAnsi"/>
                <w:sz w:val="24"/>
                <w:szCs w:val="24"/>
              </w:rPr>
            </w:pPr>
            <w:r w:rsidRPr="009C778C">
              <w:rPr>
                <w:rFonts w:cstheme="minorHAnsi"/>
                <w:sz w:val="24"/>
                <w:szCs w:val="24"/>
              </w:rPr>
              <w:t>(− 1.58)</w:t>
            </w:r>
          </w:p>
        </w:tc>
        <w:tc>
          <w:tcPr>
            <w:tcW w:w="0" w:type="auto"/>
            <w:hideMark/>
          </w:tcPr>
          <w:p w14:paraId="0B24B3B8" w14:textId="77777777" w:rsidR="009C778C" w:rsidRPr="009C778C" w:rsidRDefault="009C778C" w:rsidP="009C778C">
            <w:pPr>
              <w:rPr>
                <w:rFonts w:cstheme="minorHAnsi"/>
                <w:sz w:val="24"/>
                <w:szCs w:val="24"/>
              </w:rPr>
            </w:pPr>
            <w:r w:rsidRPr="009C778C">
              <w:rPr>
                <w:rFonts w:cstheme="minorHAnsi"/>
                <w:sz w:val="24"/>
                <w:szCs w:val="24"/>
              </w:rPr>
              <w:t>(− 1.83)</w:t>
            </w:r>
          </w:p>
        </w:tc>
        <w:tc>
          <w:tcPr>
            <w:tcW w:w="0" w:type="auto"/>
            <w:hideMark/>
          </w:tcPr>
          <w:p w14:paraId="1A0F5C62" w14:textId="77777777" w:rsidR="009C778C" w:rsidRPr="009C778C" w:rsidRDefault="009C778C" w:rsidP="009C778C">
            <w:pPr>
              <w:rPr>
                <w:rFonts w:cstheme="minorHAnsi"/>
                <w:sz w:val="24"/>
                <w:szCs w:val="24"/>
              </w:rPr>
            </w:pPr>
            <w:r w:rsidRPr="009C778C">
              <w:rPr>
                <w:rFonts w:cstheme="minorHAnsi"/>
                <w:sz w:val="24"/>
                <w:szCs w:val="24"/>
              </w:rPr>
              <w:t>(− 2.99)</w:t>
            </w:r>
          </w:p>
        </w:tc>
      </w:tr>
      <w:tr w:rsidR="009C778C" w:rsidRPr="009C778C" w14:paraId="7A217EA1" w14:textId="77777777" w:rsidTr="0046257B">
        <w:tc>
          <w:tcPr>
            <w:tcW w:w="0" w:type="auto"/>
            <w:hideMark/>
          </w:tcPr>
          <w:p w14:paraId="7764F047" w14:textId="77777777" w:rsidR="009C778C" w:rsidRPr="009C778C" w:rsidRDefault="009C778C" w:rsidP="009C778C">
            <w:pPr>
              <w:rPr>
                <w:rFonts w:cstheme="minorHAnsi"/>
                <w:b/>
                <w:bCs/>
                <w:sz w:val="24"/>
                <w:szCs w:val="24"/>
              </w:rPr>
            </w:pPr>
            <w:r w:rsidRPr="009C778C">
              <w:rPr>
                <w:rFonts w:cstheme="minorHAnsi"/>
                <w:b/>
                <w:bCs/>
                <w:sz w:val="24"/>
                <w:szCs w:val="24"/>
              </w:rPr>
              <w:t>SALEGROWTH</w:t>
            </w:r>
            <w:r w:rsidRPr="009C778C">
              <w:rPr>
                <w:rFonts w:cstheme="minorHAnsi"/>
                <w:b/>
                <w:bCs/>
                <w:sz w:val="24"/>
                <w:szCs w:val="24"/>
                <w:vertAlign w:val="subscript"/>
              </w:rPr>
              <w:t>t − 1</w:t>
            </w:r>
          </w:p>
        </w:tc>
        <w:tc>
          <w:tcPr>
            <w:tcW w:w="0" w:type="auto"/>
            <w:hideMark/>
          </w:tcPr>
          <w:p w14:paraId="7662C6F4" w14:textId="77777777" w:rsidR="009C778C" w:rsidRPr="009C778C" w:rsidRDefault="009C778C" w:rsidP="009C778C">
            <w:pPr>
              <w:rPr>
                <w:rFonts w:cstheme="minorHAnsi"/>
                <w:b/>
                <w:bCs/>
                <w:sz w:val="24"/>
                <w:szCs w:val="24"/>
              </w:rPr>
            </w:pPr>
          </w:p>
        </w:tc>
        <w:tc>
          <w:tcPr>
            <w:tcW w:w="0" w:type="auto"/>
            <w:hideMark/>
          </w:tcPr>
          <w:p w14:paraId="467785E3" w14:textId="77777777" w:rsidR="009C778C" w:rsidRPr="009C778C" w:rsidRDefault="009C778C" w:rsidP="009C778C">
            <w:pPr>
              <w:rPr>
                <w:rFonts w:cstheme="minorHAnsi"/>
                <w:sz w:val="24"/>
                <w:szCs w:val="24"/>
              </w:rPr>
            </w:pPr>
            <w:r w:rsidRPr="009C778C">
              <w:rPr>
                <w:rFonts w:cstheme="minorHAnsi"/>
                <w:sz w:val="24"/>
                <w:szCs w:val="24"/>
              </w:rPr>
              <w:t>0.007</w:t>
            </w:r>
          </w:p>
        </w:tc>
        <w:tc>
          <w:tcPr>
            <w:tcW w:w="0" w:type="auto"/>
            <w:hideMark/>
          </w:tcPr>
          <w:p w14:paraId="72582A0E" w14:textId="77777777" w:rsidR="009C778C" w:rsidRPr="009C778C" w:rsidRDefault="009C778C" w:rsidP="009C778C">
            <w:pPr>
              <w:rPr>
                <w:rFonts w:cstheme="minorHAnsi"/>
                <w:sz w:val="24"/>
                <w:szCs w:val="24"/>
              </w:rPr>
            </w:pPr>
            <w:r w:rsidRPr="009C778C">
              <w:rPr>
                <w:rFonts w:cstheme="minorHAnsi"/>
                <w:sz w:val="24"/>
                <w:szCs w:val="24"/>
              </w:rPr>
              <w:t>0.033**</w:t>
            </w:r>
          </w:p>
        </w:tc>
        <w:tc>
          <w:tcPr>
            <w:tcW w:w="0" w:type="auto"/>
            <w:hideMark/>
          </w:tcPr>
          <w:p w14:paraId="3B525E10" w14:textId="77777777" w:rsidR="009C778C" w:rsidRPr="009C778C" w:rsidRDefault="009C778C" w:rsidP="009C778C">
            <w:pPr>
              <w:rPr>
                <w:rFonts w:cstheme="minorHAnsi"/>
                <w:sz w:val="24"/>
                <w:szCs w:val="24"/>
              </w:rPr>
            </w:pPr>
            <w:r w:rsidRPr="009C778C">
              <w:rPr>
                <w:rFonts w:cstheme="minorHAnsi"/>
                <w:sz w:val="24"/>
                <w:szCs w:val="24"/>
              </w:rPr>
              <w:t>0.033</w:t>
            </w:r>
          </w:p>
        </w:tc>
        <w:tc>
          <w:tcPr>
            <w:tcW w:w="0" w:type="auto"/>
            <w:hideMark/>
          </w:tcPr>
          <w:p w14:paraId="61EF52C5" w14:textId="77777777" w:rsidR="009C778C" w:rsidRPr="009C778C" w:rsidRDefault="009C778C" w:rsidP="009C778C">
            <w:pPr>
              <w:rPr>
                <w:rFonts w:cstheme="minorHAnsi"/>
                <w:sz w:val="24"/>
                <w:szCs w:val="24"/>
              </w:rPr>
            </w:pPr>
            <w:r w:rsidRPr="009C778C">
              <w:rPr>
                <w:rFonts w:cstheme="minorHAnsi"/>
                <w:sz w:val="24"/>
                <w:szCs w:val="24"/>
              </w:rPr>
              <w:t>0.046***</w:t>
            </w:r>
          </w:p>
        </w:tc>
        <w:tc>
          <w:tcPr>
            <w:tcW w:w="0" w:type="auto"/>
            <w:hideMark/>
          </w:tcPr>
          <w:p w14:paraId="354729EE" w14:textId="77777777" w:rsidR="009C778C" w:rsidRPr="009C778C" w:rsidRDefault="009C778C" w:rsidP="009C778C">
            <w:pPr>
              <w:rPr>
                <w:rFonts w:cstheme="minorHAnsi"/>
                <w:sz w:val="24"/>
                <w:szCs w:val="24"/>
              </w:rPr>
            </w:pPr>
            <w:r w:rsidRPr="009C778C">
              <w:rPr>
                <w:rFonts w:cstheme="minorHAnsi"/>
                <w:sz w:val="24"/>
                <w:szCs w:val="24"/>
              </w:rPr>
              <w:t>0.037***</w:t>
            </w:r>
          </w:p>
        </w:tc>
        <w:tc>
          <w:tcPr>
            <w:tcW w:w="0" w:type="auto"/>
            <w:hideMark/>
          </w:tcPr>
          <w:p w14:paraId="06206B8D" w14:textId="77777777" w:rsidR="009C778C" w:rsidRPr="009C778C" w:rsidRDefault="009C778C" w:rsidP="009C778C">
            <w:pPr>
              <w:rPr>
                <w:rFonts w:cstheme="minorHAnsi"/>
                <w:sz w:val="24"/>
                <w:szCs w:val="24"/>
              </w:rPr>
            </w:pPr>
            <w:r w:rsidRPr="009C778C">
              <w:rPr>
                <w:rFonts w:cstheme="minorHAnsi"/>
                <w:sz w:val="24"/>
                <w:szCs w:val="24"/>
              </w:rPr>
              <w:t>0.035**</w:t>
            </w:r>
          </w:p>
        </w:tc>
        <w:tc>
          <w:tcPr>
            <w:tcW w:w="0" w:type="auto"/>
            <w:hideMark/>
          </w:tcPr>
          <w:p w14:paraId="24CABCC4" w14:textId="77777777" w:rsidR="009C778C" w:rsidRPr="009C778C" w:rsidRDefault="009C778C" w:rsidP="009C778C">
            <w:pPr>
              <w:rPr>
                <w:rFonts w:cstheme="minorHAnsi"/>
                <w:sz w:val="24"/>
                <w:szCs w:val="24"/>
              </w:rPr>
            </w:pPr>
            <w:r w:rsidRPr="009C778C">
              <w:rPr>
                <w:rFonts w:cstheme="minorHAnsi"/>
                <w:sz w:val="24"/>
                <w:szCs w:val="24"/>
              </w:rPr>
              <w:t>0.048***</w:t>
            </w:r>
          </w:p>
        </w:tc>
        <w:tc>
          <w:tcPr>
            <w:tcW w:w="0" w:type="auto"/>
            <w:hideMark/>
          </w:tcPr>
          <w:p w14:paraId="10B87C0E" w14:textId="77777777" w:rsidR="009C778C" w:rsidRPr="009C778C" w:rsidRDefault="009C778C" w:rsidP="009C778C">
            <w:pPr>
              <w:rPr>
                <w:rFonts w:cstheme="minorHAnsi"/>
                <w:sz w:val="24"/>
                <w:szCs w:val="24"/>
              </w:rPr>
            </w:pPr>
            <w:r w:rsidRPr="009C778C">
              <w:rPr>
                <w:rFonts w:cstheme="minorHAnsi"/>
                <w:sz w:val="24"/>
                <w:szCs w:val="24"/>
              </w:rPr>
              <w:t>0.033**</w:t>
            </w:r>
          </w:p>
        </w:tc>
        <w:tc>
          <w:tcPr>
            <w:tcW w:w="0" w:type="auto"/>
            <w:hideMark/>
          </w:tcPr>
          <w:p w14:paraId="107BD831" w14:textId="77777777" w:rsidR="009C778C" w:rsidRPr="009C778C" w:rsidRDefault="009C778C" w:rsidP="009C778C">
            <w:pPr>
              <w:rPr>
                <w:rFonts w:cstheme="minorHAnsi"/>
                <w:sz w:val="24"/>
                <w:szCs w:val="24"/>
              </w:rPr>
            </w:pPr>
            <w:r w:rsidRPr="009C778C">
              <w:rPr>
                <w:rFonts w:cstheme="minorHAnsi"/>
                <w:sz w:val="24"/>
                <w:szCs w:val="24"/>
              </w:rPr>
              <w:t>− 0.058</w:t>
            </w:r>
          </w:p>
        </w:tc>
      </w:tr>
      <w:tr w:rsidR="009C778C" w:rsidRPr="009C778C" w14:paraId="6B73BA56" w14:textId="77777777" w:rsidTr="0046257B">
        <w:tc>
          <w:tcPr>
            <w:tcW w:w="0" w:type="auto"/>
            <w:hideMark/>
          </w:tcPr>
          <w:p w14:paraId="7203D47B" w14:textId="77777777" w:rsidR="009C778C" w:rsidRPr="009C778C" w:rsidRDefault="009C778C" w:rsidP="009C778C">
            <w:pPr>
              <w:rPr>
                <w:rFonts w:cstheme="minorHAnsi"/>
                <w:b/>
                <w:bCs/>
                <w:sz w:val="24"/>
                <w:szCs w:val="24"/>
              </w:rPr>
            </w:pPr>
          </w:p>
        </w:tc>
        <w:tc>
          <w:tcPr>
            <w:tcW w:w="0" w:type="auto"/>
            <w:hideMark/>
          </w:tcPr>
          <w:p w14:paraId="17FB6567" w14:textId="77777777" w:rsidR="009C778C" w:rsidRPr="009C778C" w:rsidRDefault="009C778C" w:rsidP="009C778C">
            <w:pPr>
              <w:rPr>
                <w:rFonts w:cstheme="minorHAnsi"/>
                <w:b/>
                <w:bCs/>
                <w:sz w:val="24"/>
                <w:szCs w:val="24"/>
              </w:rPr>
            </w:pPr>
          </w:p>
        </w:tc>
        <w:tc>
          <w:tcPr>
            <w:tcW w:w="0" w:type="auto"/>
            <w:hideMark/>
          </w:tcPr>
          <w:p w14:paraId="226DD77E" w14:textId="77777777" w:rsidR="009C778C" w:rsidRPr="009C778C" w:rsidRDefault="009C778C" w:rsidP="009C778C">
            <w:pPr>
              <w:rPr>
                <w:rFonts w:cstheme="minorHAnsi"/>
                <w:sz w:val="24"/>
                <w:szCs w:val="24"/>
              </w:rPr>
            </w:pPr>
            <w:r w:rsidRPr="009C778C">
              <w:rPr>
                <w:rFonts w:cstheme="minorHAnsi"/>
                <w:sz w:val="24"/>
                <w:szCs w:val="24"/>
              </w:rPr>
              <w:t>(0.44)</w:t>
            </w:r>
          </w:p>
        </w:tc>
        <w:tc>
          <w:tcPr>
            <w:tcW w:w="0" w:type="auto"/>
            <w:hideMark/>
          </w:tcPr>
          <w:p w14:paraId="6AF0C3A7" w14:textId="77777777" w:rsidR="009C778C" w:rsidRPr="009C778C" w:rsidRDefault="009C778C" w:rsidP="009C778C">
            <w:pPr>
              <w:rPr>
                <w:rFonts w:cstheme="minorHAnsi"/>
                <w:sz w:val="24"/>
                <w:szCs w:val="24"/>
              </w:rPr>
            </w:pPr>
            <w:r w:rsidRPr="009C778C">
              <w:rPr>
                <w:rFonts w:cstheme="minorHAnsi"/>
                <w:sz w:val="24"/>
                <w:szCs w:val="24"/>
              </w:rPr>
              <w:t>(2.23)</w:t>
            </w:r>
          </w:p>
        </w:tc>
        <w:tc>
          <w:tcPr>
            <w:tcW w:w="0" w:type="auto"/>
            <w:hideMark/>
          </w:tcPr>
          <w:p w14:paraId="318ED76D" w14:textId="77777777" w:rsidR="009C778C" w:rsidRPr="009C778C" w:rsidRDefault="009C778C" w:rsidP="009C778C">
            <w:pPr>
              <w:rPr>
                <w:rFonts w:cstheme="minorHAnsi"/>
                <w:sz w:val="24"/>
                <w:szCs w:val="24"/>
              </w:rPr>
            </w:pPr>
            <w:r w:rsidRPr="009C778C">
              <w:rPr>
                <w:rFonts w:cstheme="minorHAnsi"/>
                <w:sz w:val="24"/>
                <w:szCs w:val="24"/>
              </w:rPr>
              <w:t>(1.54)</w:t>
            </w:r>
          </w:p>
        </w:tc>
        <w:tc>
          <w:tcPr>
            <w:tcW w:w="0" w:type="auto"/>
            <w:hideMark/>
          </w:tcPr>
          <w:p w14:paraId="4FEB50E1" w14:textId="77777777" w:rsidR="009C778C" w:rsidRPr="009C778C" w:rsidRDefault="009C778C" w:rsidP="009C778C">
            <w:pPr>
              <w:rPr>
                <w:rFonts w:cstheme="minorHAnsi"/>
                <w:sz w:val="24"/>
                <w:szCs w:val="24"/>
              </w:rPr>
            </w:pPr>
            <w:r w:rsidRPr="009C778C">
              <w:rPr>
                <w:rFonts w:cstheme="minorHAnsi"/>
                <w:sz w:val="24"/>
                <w:szCs w:val="24"/>
              </w:rPr>
              <w:t>(2.73)</w:t>
            </w:r>
          </w:p>
        </w:tc>
        <w:tc>
          <w:tcPr>
            <w:tcW w:w="0" w:type="auto"/>
            <w:hideMark/>
          </w:tcPr>
          <w:p w14:paraId="118AB13E" w14:textId="77777777" w:rsidR="009C778C" w:rsidRPr="009C778C" w:rsidRDefault="009C778C" w:rsidP="009C778C">
            <w:pPr>
              <w:rPr>
                <w:rFonts w:cstheme="minorHAnsi"/>
                <w:sz w:val="24"/>
                <w:szCs w:val="24"/>
              </w:rPr>
            </w:pPr>
            <w:r w:rsidRPr="009C778C">
              <w:rPr>
                <w:rFonts w:cstheme="minorHAnsi"/>
                <w:sz w:val="24"/>
                <w:szCs w:val="24"/>
              </w:rPr>
              <w:t>(2.69)</w:t>
            </w:r>
          </w:p>
        </w:tc>
        <w:tc>
          <w:tcPr>
            <w:tcW w:w="0" w:type="auto"/>
            <w:hideMark/>
          </w:tcPr>
          <w:p w14:paraId="10BE4169" w14:textId="77777777" w:rsidR="009C778C" w:rsidRPr="009C778C" w:rsidRDefault="009C778C" w:rsidP="009C778C">
            <w:pPr>
              <w:rPr>
                <w:rFonts w:cstheme="minorHAnsi"/>
                <w:sz w:val="24"/>
                <w:szCs w:val="24"/>
              </w:rPr>
            </w:pPr>
            <w:r w:rsidRPr="009C778C">
              <w:rPr>
                <w:rFonts w:cstheme="minorHAnsi"/>
                <w:sz w:val="24"/>
                <w:szCs w:val="24"/>
              </w:rPr>
              <w:t>(2.48)</w:t>
            </w:r>
          </w:p>
        </w:tc>
        <w:tc>
          <w:tcPr>
            <w:tcW w:w="0" w:type="auto"/>
            <w:hideMark/>
          </w:tcPr>
          <w:p w14:paraId="6DE02139" w14:textId="77777777" w:rsidR="009C778C" w:rsidRPr="009C778C" w:rsidRDefault="009C778C" w:rsidP="009C778C">
            <w:pPr>
              <w:rPr>
                <w:rFonts w:cstheme="minorHAnsi"/>
                <w:sz w:val="24"/>
                <w:szCs w:val="24"/>
              </w:rPr>
            </w:pPr>
            <w:r w:rsidRPr="009C778C">
              <w:rPr>
                <w:rFonts w:cstheme="minorHAnsi"/>
                <w:sz w:val="24"/>
                <w:szCs w:val="24"/>
              </w:rPr>
              <w:t>(2.80)</w:t>
            </w:r>
          </w:p>
        </w:tc>
        <w:tc>
          <w:tcPr>
            <w:tcW w:w="0" w:type="auto"/>
            <w:hideMark/>
          </w:tcPr>
          <w:p w14:paraId="4A677DDE" w14:textId="77777777" w:rsidR="009C778C" w:rsidRPr="009C778C" w:rsidRDefault="009C778C" w:rsidP="009C778C">
            <w:pPr>
              <w:rPr>
                <w:rFonts w:cstheme="minorHAnsi"/>
                <w:sz w:val="24"/>
                <w:szCs w:val="24"/>
              </w:rPr>
            </w:pPr>
            <w:r w:rsidRPr="009C778C">
              <w:rPr>
                <w:rFonts w:cstheme="minorHAnsi"/>
                <w:sz w:val="24"/>
                <w:szCs w:val="24"/>
              </w:rPr>
              <w:t>(2.46)</w:t>
            </w:r>
          </w:p>
        </w:tc>
        <w:tc>
          <w:tcPr>
            <w:tcW w:w="0" w:type="auto"/>
            <w:hideMark/>
          </w:tcPr>
          <w:p w14:paraId="7F5498B8" w14:textId="77777777" w:rsidR="009C778C" w:rsidRPr="009C778C" w:rsidRDefault="009C778C" w:rsidP="009C778C">
            <w:pPr>
              <w:rPr>
                <w:rFonts w:cstheme="minorHAnsi"/>
                <w:sz w:val="24"/>
                <w:szCs w:val="24"/>
              </w:rPr>
            </w:pPr>
            <w:r w:rsidRPr="009C778C">
              <w:rPr>
                <w:rFonts w:cstheme="minorHAnsi"/>
                <w:sz w:val="24"/>
                <w:szCs w:val="24"/>
              </w:rPr>
              <w:t>(− 1.26)</w:t>
            </w:r>
          </w:p>
        </w:tc>
      </w:tr>
      <w:tr w:rsidR="009C778C" w:rsidRPr="009C778C" w14:paraId="1AB24401" w14:textId="77777777" w:rsidTr="0046257B">
        <w:tc>
          <w:tcPr>
            <w:tcW w:w="0" w:type="auto"/>
            <w:hideMark/>
          </w:tcPr>
          <w:p w14:paraId="51C059DF" w14:textId="77777777" w:rsidR="009C778C" w:rsidRPr="009C778C" w:rsidRDefault="009C778C" w:rsidP="009C778C">
            <w:pPr>
              <w:rPr>
                <w:rFonts w:cstheme="minorHAnsi"/>
                <w:b/>
                <w:bCs/>
                <w:sz w:val="24"/>
                <w:szCs w:val="24"/>
              </w:rPr>
            </w:pPr>
            <w:r w:rsidRPr="009C778C">
              <w:rPr>
                <w:rFonts w:cstheme="minorHAnsi"/>
                <w:b/>
                <w:bCs/>
                <w:sz w:val="24"/>
                <w:szCs w:val="24"/>
              </w:rPr>
              <w:t>LEV</w:t>
            </w:r>
            <w:r w:rsidRPr="009C778C">
              <w:rPr>
                <w:rFonts w:cstheme="minorHAnsi"/>
                <w:b/>
                <w:bCs/>
                <w:sz w:val="24"/>
                <w:szCs w:val="24"/>
                <w:vertAlign w:val="subscript"/>
              </w:rPr>
              <w:t>t − 1</w:t>
            </w:r>
          </w:p>
        </w:tc>
        <w:tc>
          <w:tcPr>
            <w:tcW w:w="0" w:type="auto"/>
            <w:hideMark/>
          </w:tcPr>
          <w:p w14:paraId="5B4497C0" w14:textId="77777777" w:rsidR="009C778C" w:rsidRPr="009C778C" w:rsidRDefault="009C778C" w:rsidP="009C778C">
            <w:pPr>
              <w:rPr>
                <w:rFonts w:cstheme="minorHAnsi"/>
                <w:b/>
                <w:bCs/>
                <w:sz w:val="24"/>
                <w:szCs w:val="24"/>
              </w:rPr>
            </w:pPr>
          </w:p>
        </w:tc>
        <w:tc>
          <w:tcPr>
            <w:tcW w:w="0" w:type="auto"/>
            <w:hideMark/>
          </w:tcPr>
          <w:p w14:paraId="717E957C" w14:textId="77777777" w:rsidR="009C778C" w:rsidRPr="009C778C" w:rsidRDefault="009C778C" w:rsidP="009C778C">
            <w:pPr>
              <w:rPr>
                <w:rFonts w:cstheme="minorHAnsi"/>
                <w:sz w:val="24"/>
                <w:szCs w:val="24"/>
              </w:rPr>
            </w:pPr>
            <w:r w:rsidRPr="009C778C">
              <w:rPr>
                <w:rFonts w:cstheme="minorHAnsi"/>
                <w:sz w:val="24"/>
                <w:szCs w:val="24"/>
              </w:rPr>
              <w:t>0.304***</w:t>
            </w:r>
          </w:p>
        </w:tc>
        <w:tc>
          <w:tcPr>
            <w:tcW w:w="0" w:type="auto"/>
            <w:hideMark/>
          </w:tcPr>
          <w:p w14:paraId="2039B61A" w14:textId="77777777" w:rsidR="009C778C" w:rsidRPr="009C778C" w:rsidRDefault="009C778C" w:rsidP="009C778C">
            <w:pPr>
              <w:rPr>
                <w:rFonts w:cstheme="minorHAnsi"/>
                <w:sz w:val="24"/>
                <w:szCs w:val="24"/>
              </w:rPr>
            </w:pPr>
            <w:r w:rsidRPr="009C778C">
              <w:rPr>
                <w:rFonts w:cstheme="minorHAnsi"/>
                <w:sz w:val="24"/>
                <w:szCs w:val="24"/>
              </w:rPr>
              <w:t>0.228***</w:t>
            </w:r>
          </w:p>
        </w:tc>
        <w:tc>
          <w:tcPr>
            <w:tcW w:w="0" w:type="auto"/>
            <w:hideMark/>
          </w:tcPr>
          <w:p w14:paraId="610BC741" w14:textId="77777777" w:rsidR="009C778C" w:rsidRPr="009C778C" w:rsidRDefault="009C778C" w:rsidP="009C778C">
            <w:pPr>
              <w:rPr>
                <w:rFonts w:cstheme="minorHAnsi"/>
                <w:sz w:val="24"/>
                <w:szCs w:val="24"/>
              </w:rPr>
            </w:pPr>
            <w:r w:rsidRPr="009C778C">
              <w:rPr>
                <w:rFonts w:cstheme="minorHAnsi"/>
                <w:sz w:val="24"/>
                <w:szCs w:val="24"/>
              </w:rPr>
              <w:t>0.228***</w:t>
            </w:r>
          </w:p>
        </w:tc>
        <w:tc>
          <w:tcPr>
            <w:tcW w:w="0" w:type="auto"/>
            <w:hideMark/>
          </w:tcPr>
          <w:p w14:paraId="1BE7F137" w14:textId="77777777" w:rsidR="009C778C" w:rsidRPr="009C778C" w:rsidRDefault="009C778C" w:rsidP="009C778C">
            <w:pPr>
              <w:rPr>
                <w:rFonts w:cstheme="minorHAnsi"/>
                <w:sz w:val="24"/>
                <w:szCs w:val="24"/>
              </w:rPr>
            </w:pPr>
            <w:r w:rsidRPr="009C778C">
              <w:rPr>
                <w:rFonts w:cstheme="minorHAnsi"/>
                <w:sz w:val="24"/>
                <w:szCs w:val="24"/>
              </w:rPr>
              <w:t>0.163***</w:t>
            </w:r>
          </w:p>
        </w:tc>
        <w:tc>
          <w:tcPr>
            <w:tcW w:w="0" w:type="auto"/>
            <w:hideMark/>
          </w:tcPr>
          <w:p w14:paraId="2C1D9456" w14:textId="77777777" w:rsidR="009C778C" w:rsidRPr="009C778C" w:rsidRDefault="009C778C" w:rsidP="009C778C">
            <w:pPr>
              <w:rPr>
                <w:rFonts w:cstheme="minorHAnsi"/>
                <w:sz w:val="24"/>
                <w:szCs w:val="24"/>
              </w:rPr>
            </w:pPr>
            <w:r w:rsidRPr="009C778C">
              <w:rPr>
                <w:rFonts w:cstheme="minorHAnsi"/>
                <w:sz w:val="24"/>
                <w:szCs w:val="24"/>
              </w:rPr>
              <w:t>0.241***</w:t>
            </w:r>
          </w:p>
        </w:tc>
        <w:tc>
          <w:tcPr>
            <w:tcW w:w="0" w:type="auto"/>
            <w:hideMark/>
          </w:tcPr>
          <w:p w14:paraId="05D07A6B" w14:textId="77777777" w:rsidR="009C778C" w:rsidRPr="009C778C" w:rsidRDefault="009C778C" w:rsidP="009C778C">
            <w:pPr>
              <w:rPr>
                <w:rFonts w:cstheme="minorHAnsi"/>
                <w:sz w:val="24"/>
                <w:szCs w:val="24"/>
              </w:rPr>
            </w:pPr>
            <w:r w:rsidRPr="009C778C">
              <w:rPr>
                <w:rFonts w:cstheme="minorHAnsi"/>
                <w:sz w:val="24"/>
                <w:szCs w:val="24"/>
              </w:rPr>
              <w:t>0.228***</w:t>
            </w:r>
          </w:p>
        </w:tc>
        <w:tc>
          <w:tcPr>
            <w:tcW w:w="0" w:type="auto"/>
            <w:hideMark/>
          </w:tcPr>
          <w:p w14:paraId="29F4FFD0" w14:textId="77777777" w:rsidR="009C778C" w:rsidRPr="009C778C" w:rsidRDefault="009C778C" w:rsidP="009C778C">
            <w:pPr>
              <w:rPr>
                <w:rFonts w:cstheme="minorHAnsi"/>
                <w:sz w:val="24"/>
                <w:szCs w:val="24"/>
              </w:rPr>
            </w:pPr>
            <w:r w:rsidRPr="009C778C">
              <w:rPr>
                <w:rFonts w:cstheme="minorHAnsi"/>
                <w:sz w:val="24"/>
                <w:szCs w:val="24"/>
              </w:rPr>
              <w:t>0.250***</w:t>
            </w:r>
          </w:p>
        </w:tc>
        <w:tc>
          <w:tcPr>
            <w:tcW w:w="0" w:type="auto"/>
            <w:hideMark/>
          </w:tcPr>
          <w:p w14:paraId="37069718" w14:textId="77777777" w:rsidR="009C778C" w:rsidRPr="009C778C" w:rsidRDefault="009C778C" w:rsidP="009C778C">
            <w:pPr>
              <w:rPr>
                <w:rFonts w:cstheme="minorHAnsi"/>
                <w:sz w:val="24"/>
                <w:szCs w:val="24"/>
              </w:rPr>
            </w:pPr>
            <w:r w:rsidRPr="009C778C">
              <w:rPr>
                <w:rFonts w:cstheme="minorHAnsi"/>
                <w:sz w:val="24"/>
                <w:szCs w:val="24"/>
              </w:rPr>
              <w:t>0.230***</w:t>
            </w:r>
          </w:p>
        </w:tc>
        <w:tc>
          <w:tcPr>
            <w:tcW w:w="0" w:type="auto"/>
            <w:hideMark/>
          </w:tcPr>
          <w:p w14:paraId="12DF46F8" w14:textId="77777777" w:rsidR="009C778C" w:rsidRPr="009C778C" w:rsidRDefault="009C778C" w:rsidP="009C778C">
            <w:pPr>
              <w:rPr>
                <w:rFonts w:cstheme="minorHAnsi"/>
                <w:sz w:val="24"/>
                <w:szCs w:val="24"/>
              </w:rPr>
            </w:pPr>
            <w:r w:rsidRPr="009C778C">
              <w:rPr>
                <w:rFonts w:cstheme="minorHAnsi"/>
                <w:sz w:val="24"/>
                <w:szCs w:val="24"/>
              </w:rPr>
              <w:t>− 0.083**</w:t>
            </w:r>
          </w:p>
        </w:tc>
      </w:tr>
      <w:tr w:rsidR="009C778C" w:rsidRPr="009C778C" w14:paraId="4E7DD617" w14:textId="77777777" w:rsidTr="0046257B">
        <w:tc>
          <w:tcPr>
            <w:tcW w:w="0" w:type="auto"/>
            <w:hideMark/>
          </w:tcPr>
          <w:p w14:paraId="43E79EC6" w14:textId="77777777" w:rsidR="009C778C" w:rsidRPr="009C778C" w:rsidRDefault="009C778C" w:rsidP="009C778C">
            <w:pPr>
              <w:rPr>
                <w:rFonts w:cstheme="minorHAnsi"/>
                <w:b/>
                <w:bCs/>
                <w:sz w:val="24"/>
                <w:szCs w:val="24"/>
              </w:rPr>
            </w:pPr>
          </w:p>
        </w:tc>
        <w:tc>
          <w:tcPr>
            <w:tcW w:w="0" w:type="auto"/>
            <w:hideMark/>
          </w:tcPr>
          <w:p w14:paraId="27C2E58D" w14:textId="77777777" w:rsidR="009C778C" w:rsidRPr="009C778C" w:rsidRDefault="009C778C" w:rsidP="009C778C">
            <w:pPr>
              <w:rPr>
                <w:rFonts w:cstheme="minorHAnsi"/>
                <w:b/>
                <w:bCs/>
                <w:sz w:val="24"/>
                <w:szCs w:val="24"/>
              </w:rPr>
            </w:pPr>
          </w:p>
        </w:tc>
        <w:tc>
          <w:tcPr>
            <w:tcW w:w="0" w:type="auto"/>
            <w:hideMark/>
          </w:tcPr>
          <w:p w14:paraId="7AED20F8" w14:textId="77777777" w:rsidR="009C778C" w:rsidRPr="009C778C" w:rsidRDefault="009C778C" w:rsidP="009C778C">
            <w:pPr>
              <w:rPr>
                <w:rFonts w:cstheme="minorHAnsi"/>
                <w:sz w:val="24"/>
                <w:szCs w:val="24"/>
              </w:rPr>
            </w:pPr>
            <w:r w:rsidRPr="009C778C">
              <w:rPr>
                <w:rFonts w:cstheme="minorHAnsi"/>
                <w:sz w:val="24"/>
                <w:szCs w:val="24"/>
              </w:rPr>
              <w:t>(5.35)</w:t>
            </w:r>
          </w:p>
        </w:tc>
        <w:tc>
          <w:tcPr>
            <w:tcW w:w="0" w:type="auto"/>
            <w:hideMark/>
          </w:tcPr>
          <w:p w14:paraId="7616C69F" w14:textId="77777777" w:rsidR="009C778C" w:rsidRPr="009C778C" w:rsidRDefault="009C778C" w:rsidP="009C778C">
            <w:pPr>
              <w:rPr>
                <w:rFonts w:cstheme="minorHAnsi"/>
                <w:sz w:val="24"/>
                <w:szCs w:val="24"/>
              </w:rPr>
            </w:pPr>
            <w:r w:rsidRPr="009C778C">
              <w:rPr>
                <w:rFonts w:cstheme="minorHAnsi"/>
                <w:sz w:val="24"/>
                <w:szCs w:val="24"/>
              </w:rPr>
              <w:t>(3.51)</w:t>
            </w:r>
          </w:p>
        </w:tc>
        <w:tc>
          <w:tcPr>
            <w:tcW w:w="0" w:type="auto"/>
            <w:hideMark/>
          </w:tcPr>
          <w:p w14:paraId="62CEBDC4" w14:textId="77777777" w:rsidR="009C778C" w:rsidRPr="009C778C" w:rsidRDefault="009C778C" w:rsidP="009C778C">
            <w:pPr>
              <w:rPr>
                <w:rFonts w:cstheme="minorHAnsi"/>
                <w:sz w:val="24"/>
                <w:szCs w:val="24"/>
              </w:rPr>
            </w:pPr>
            <w:r w:rsidRPr="009C778C">
              <w:rPr>
                <w:rFonts w:cstheme="minorHAnsi"/>
                <w:sz w:val="24"/>
                <w:szCs w:val="24"/>
              </w:rPr>
              <w:t>(3.72)</w:t>
            </w:r>
          </w:p>
        </w:tc>
        <w:tc>
          <w:tcPr>
            <w:tcW w:w="0" w:type="auto"/>
            <w:hideMark/>
          </w:tcPr>
          <w:p w14:paraId="3052F9B9" w14:textId="77777777" w:rsidR="009C778C" w:rsidRPr="009C778C" w:rsidRDefault="009C778C" w:rsidP="009C778C">
            <w:pPr>
              <w:rPr>
                <w:rFonts w:cstheme="minorHAnsi"/>
                <w:sz w:val="24"/>
                <w:szCs w:val="24"/>
              </w:rPr>
            </w:pPr>
            <w:r w:rsidRPr="009C778C">
              <w:rPr>
                <w:rFonts w:cstheme="minorHAnsi"/>
                <w:sz w:val="24"/>
                <w:szCs w:val="24"/>
              </w:rPr>
              <w:t>(4.54)</w:t>
            </w:r>
          </w:p>
        </w:tc>
        <w:tc>
          <w:tcPr>
            <w:tcW w:w="0" w:type="auto"/>
            <w:hideMark/>
          </w:tcPr>
          <w:p w14:paraId="7A42E8CC" w14:textId="77777777" w:rsidR="009C778C" w:rsidRPr="009C778C" w:rsidRDefault="009C778C" w:rsidP="009C778C">
            <w:pPr>
              <w:rPr>
                <w:rFonts w:cstheme="minorHAnsi"/>
                <w:sz w:val="24"/>
                <w:szCs w:val="24"/>
              </w:rPr>
            </w:pPr>
            <w:r w:rsidRPr="009C778C">
              <w:rPr>
                <w:rFonts w:cstheme="minorHAnsi"/>
                <w:sz w:val="24"/>
                <w:szCs w:val="24"/>
              </w:rPr>
              <w:t>(6.42)</w:t>
            </w:r>
          </w:p>
        </w:tc>
        <w:tc>
          <w:tcPr>
            <w:tcW w:w="0" w:type="auto"/>
            <w:hideMark/>
          </w:tcPr>
          <w:p w14:paraId="73E9DBF5" w14:textId="77777777" w:rsidR="009C778C" w:rsidRPr="009C778C" w:rsidRDefault="009C778C" w:rsidP="009C778C">
            <w:pPr>
              <w:rPr>
                <w:rFonts w:cstheme="minorHAnsi"/>
                <w:sz w:val="24"/>
                <w:szCs w:val="24"/>
              </w:rPr>
            </w:pPr>
            <w:r w:rsidRPr="009C778C">
              <w:rPr>
                <w:rFonts w:cstheme="minorHAnsi"/>
                <w:sz w:val="24"/>
                <w:szCs w:val="24"/>
              </w:rPr>
              <w:t>(6.73)</w:t>
            </w:r>
          </w:p>
        </w:tc>
        <w:tc>
          <w:tcPr>
            <w:tcW w:w="0" w:type="auto"/>
            <w:hideMark/>
          </w:tcPr>
          <w:p w14:paraId="6DA83DF6" w14:textId="77777777" w:rsidR="009C778C" w:rsidRPr="009C778C" w:rsidRDefault="009C778C" w:rsidP="009C778C">
            <w:pPr>
              <w:rPr>
                <w:rFonts w:cstheme="minorHAnsi"/>
                <w:sz w:val="24"/>
                <w:szCs w:val="24"/>
              </w:rPr>
            </w:pPr>
            <w:r w:rsidRPr="009C778C">
              <w:rPr>
                <w:rFonts w:cstheme="minorHAnsi"/>
                <w:sz w:val="24"/>
                <w:szCs w:val="24"/>
              </w:rPr>
              <w:t>(6.60)</w:t>
            </w:r>
          </w:p>
        </w:tc>
        <w:tc>
          <w:tcPr>
            <w:tcW w:w="0" w:type="auto"/>
            <w:hideMark/>
          </w:tcPr>
          <w:p w14:paraId="6A5DFF39" w14:textId="77777777" w:rsidR="009C778C" w:rsidRPr="009C778C" w:rsidRDefault="009C778C" w:rsidP="009C778C">
            <w:pPr>
              <w:rPr>
                <w:rFonts w:cstheme="minorHAnsi"/>
                <w:sz w:val="24"/>
                <w:szCs w:val="24"/>
              </w:rPr>
            </w:pPr>
            <w:r w:rsidRPr="009C778C">
              <w:rPr>
                <w:rFonts w:cstheme="minorHAnsi"/>
                <w:sz w:val="24"/>
                <w:szCs w:val="24"/>
              </w:rPr>
              <w:t>(7.28)</w:t>
            </w:r>
          </w:p>
        </w:tc>
        <w:tc>
          <w:tcPr>
            <w:tcW w:w="0" w:type="auto"/>
            <w:hideMark/>
          </w:tcPr>
          <w:p w14:paraId="33152D76" w14:textId="77777777" w:rsidR="009C778C" w:rsidRPr="009C778C" w:rsidRDefault="009C778C" w:rsidP="009C778C">
            <w:pPr>
              <w:rPr>
                <w:rFonts w:cstheme="minorHAnsi"/>
                <w:sz w:val="24"/>
                <w:szCs w:val="24"/>
              </w:rPr>
            </w:pPr>
            <w:r w:rsidRPr="009C778C">
              <w:rPr>
                <w:rFonts w:cstheme="minorHAnsi"/>
                <w:sz w:val="24"/>
                <w:szCs w:val="24"/>
              </w:rPr>
              <w:t>(− 2.22)</w:t>
            </w:r>
          </w:p>
        </w:tc>
      </w:tr>
      <w:tr w:rsidR="009C778C" w:rsidRPr="009C778C" w14:paraId="2EC413A8" w14:textId="77777777" w:rsidTr="0046257B">
        <w:tc>
          <w:tcPr>
            <w:tcW w:w="0" w:type="auto"/>
            <w:hideMark/>
          </w:tcPr>
          <w:p w14:paraId="4C8B2279" w14:textId="77777777" w:rsidR="009C778C" w:rsidRPr="009C778C" w:rsidRDefault="009C778C" w:rsidP="009C778C">
            <w:pPr>
              <w:rPr>
                <w:rFonts w:cstheme="minorHAnsi"/>
                <w:b/>
                <w:bCs/>
                <w:sz w:val="24"/>
                <w:szCs w:val="24"/>
              </w:rPr>
            </w:pPr>
            <w:r w:rsidRPr="009C778C">
              <w:rPr>
                <w:rFonts w:cstheme="minorHAnsi"/>
                <w:b/>
                <w:bCs/>
                <w:sz w:val="24"/>
                <w:szCs w:val="24"/>
              </w:rPr>
              <w:t>STDSALE</w:t>
            </w:r>
            <w:r w:rsidRPr="009C778C">
              <w:rPr>
                <w:rFonts w:cstheme="minorHAnsi"/>
                <w:b/>
                <w:bCs/>
                <w:sz w:val="24"/>
                <w:szCs w:val="24"/>
                <w:vertAlign w:val="subscript"/>
              </w:rPr>
              <w:t>t − 1</w:t>
            </w:r>
          </w:p>
        </w:tc>
        <w:tc>
          <w:tcPr>
            <w:tcW w:w="0" w:type="auto"/>
            <w:hideMark/>
          </w:tcPr>
          <w:p w14:paraId="10B647F0" w14:textId="77777777" w:rsidR="009C778C" w:rsidRPr="009C778C" w:rsidRDefault="009C778C" w:rsidP="009C778C">
            <w:pPr>
              <w:rPr>
                <w:rFonts w:cstheme="minorHAnsi"/>
                <w:b/>
                <w:bCs/>
                <w:sz w:val="24"/>
                <w:szCs w:val="24"/>
              </w:rPr>
            </w:pPr>
          </w:p>
        </w:tc>
        <w:tc>
          <w:tcPr>
            <w:tcW w:w="0" w:type="auto"/>
            <w:hideMark/>
          </w:tcPr>
          <w:p w14:paraId="3BF27CB5" w14:textId="77777777" w:rsidR="009C778C" w:rsidRPr="009C778C" w:rsidRDefault="009C778C" w:rsidP="009C778C">
            <w:pPr>
              <w:rPr>
                <w:rFonts w:cstheme="minorHAnsi"/>
                <w:sz w:val="24"/>
                <w:szCs w:val="24"/>
              </w:rPr>
            </w:pPr>
            <w:r w:rsidRPr="009C778C">
              <w:rPr>
                <w:rFonts w:cstheme="minorHAnsi"/>
                <w:sz w:val="24"/>
                <w:szCs w:val="24"/>
              </w:rPr>
              <w:t>0.171***</w:t>
            </w:r>
          </w:p>
        </w:tc>
        <w:tc>
          <w:tcPr>
            <w:tcW w:w="0" w:type="auto"/>
            <w:hideMark/>
          </w:tcPr>
          <w:p w14:paraId="60A70045" w14:textId="77777777" w:rsidR="009C778C" w:rsidRPr="009C778C" w:rsidRDefault="009C778C" w:rsidP="009C778C">
            <w:pPr>
              <w:rPr>
                <w:rFonts w:cstheme="minorHAnsi"/>
                <w:sz w:val="24"/>
                <w:szCs w:val="24"/>
              </w:rPr>
            </w:pPr>
            <w:r w:rsidRPr="009C778C">
              <w:rPr>
                <w:rFonts w:cstheme="minorHAnsi"/>
                <w:sz w:val="24"/>
                <w:szCs w:val="24"/>
              </w:rPr>
              <w:t>0.397***</w:t>
            </w:r>
          </w:p>
        </w:tc>
        <w:tc>
          <w:tcPr>
            <w:tcW w:w="0" w:type="auto"/>
            <w:hideMark/>
          </w:tcPr>
          <w:p w14:paraId="01C25314" w14:textId="77777777" w:rsidR="009C778C" w:rsidRPr="009C778C" w:rsidRDefault="009C778C" w:rsidP="009C778C">
            <w:pPr>
              <w:rPr>
                <w:rFonts w:cstheme="minorHAnsi"/>
                <w:sz w:val="24"/>
                <w:szCs w:val="24"/>
              </w:rPr>
            </w:pPr>
            <w:r w:rsidRPr="009C778C">
              <w:rPr>
                <w:rFonts w:cstheme="minorHAnsi"/>
                <w:sz w:val="24"/>
                <w:szCs w:val="24"/>
              </w:rPr>
              <w:t>0.397***</w:t>
            </w:r>
          </w:p>
        </w:tc>
        <w:tc>
          <w:tcPr>
            <w:tcW w:w="0" w:type="auto"/>
            <w:hideMark/>
          </w:tcPr>
          <w:p w14:paraId="16F9CAFC" w14:textId="77777777" w:rsidR="009C778C" w:rsidRPr="009C778C" w:rsidRDefault="009C778C" w:rsidP="009C778C">
            <w:pPr>
              <w:rPr>
                <w:rFonts w:cstheme="minorHAnsi"/>
                <w:sz w:val="24"/>
                <w:szCs w:val="24"/>
              </w:rPr>
            </w:pPr>
            <w:r w:rsidRPr="009C778C">
              <w:rPr>
                <w:rFonts w:cstheme="minorHAnsi"/>
                <w:sz w:val="24"/>
                <w:szCs w:val="24"/>
              </w:rPr>
              <w:t>0.393***</w:t>
            </w:r>
          </w:p>
        </w:tc>
        <w:tc>
          <w:tcPr>
            <w:tcW w:w="0" w:type="auto"/>
            <w:hideMark/>
          </w:tcPr>
          <w:p w14:paraId="07ECD92E" w14:textId="77777777" w:rsidR="009C778C" w:rsidRPr="009C778C" w:rsidRDefault="009C778C" w:rsidP="009C778C">
            <w:pPr>
              <w:rPr>
                <w:rFonts w:cstheme="minorHAnsi"/>
                <w:sz w:val="24"/>
                <w:szCs w:val="24"/>
              </w:rPr>
            </w:pPr>
            <w:r w:rsidRPr="009C778C">
              <w:rPr>
                <w:rFonts w:cstheme="minorHAnsi"/>
                <w:sz w:val="24"/>
                <w:szCs w:val="24"/>
              </w:rPr>
              <w:t>0.388***</w:t>
            </w:r>
          </w:p>
        </w:tc>
        <w:tc>
          <w:tcPr>
            <w:tcW w:w="0" w:type="auto"/>
            <w:hideMark/>
          </w:tcPr>
          <w:p w14:paraId="24546399" w14:textId="77777777" w:rsidR="009C778C" w:rsidRPr="009C778C" w:rsidRDefault="009C778C" w:rsidP="009C778C">
            <w:pPr>
              <w:rPr>
                <w:rFonts w:cstheme="minorHAnsi"/>
                <w:sz w:val="24"/>
                <w:szCs w:val="24"/>
              </w:rPr>
            </w:pPr>
            <w:r w:rsidRPr="009C778C">
              <w:rPr>
                <w:rFonts w:cstheme="minorHAnsi"/>
                <w:sz w:val="24"/>
                <w:szCs w:val="24"/>
              </w:rPr>
              <w:t>0.397***</w:t>
            </w:r>
          </w:p>
        </w:tc>
        <w:tc>
          <w:tcPr>
            <w:tcW w:w="0" w:type="auto"/>
            <w:hideMark/>
          </w:tcPr>
          <w:p w14:paraId="547DACAA" w14:textId="77777777" w:rsidR="009C778C" w:rsidRPr="009C778C" w:rsidRDefault="009C778C" w:rsidP="009C778C">
            <w:pPr>
              <w:rPr>
                <w:rFonts w:cstheme="minorHAnsi"/>
                <w:sz w:val="24"/>
                <w:szCs w:val="24"/>
              </w:rPr>
            </w:pPr>
            <w:r w:rsidRPr="009C778C">
              <w:rPr>
                <w:rFonts w:cstheme="minorHAnsi"/>
                <w:sz w:val="24"/>
                <w:szCs w:val="24"/>
              </w:rPr>
              <w:t>0.432***</w:t>
            </w:r>
          </w:p>
        </w:tc>
        <w:tc>
          <w:tcPr>
            <w:tcW w:w="0" w:type="auto"/>
            <w:hideMark/>
          </w:tcPr>
          <w:p w14:paraId="7455C58E" w14:textId="77777777" w:rsidR="009C778C" w:rsidRPr="009C778C" w:rsidRDefault="009C778C" w:rsidP="009C778C">
            <w:pPr>
              <w:rPr>
                <w:rFonts w:cstheme="minorHAnsi"/>
                <w:sz w:val="24"/>
                <w:szCs w:val="24"/>
              </w:rPr>
            </w:pPr>
            <w:r w:rsidRPr="009C778C">
              <w:rPr>
                <w:rFonts w:cstheme="minorHAnsi"/>
                <w:sz w:val="24"/>
                <w:szCs w:val="24"/>
              </w:rPr>
              <w:t>0.399***</w:t>
            </w:r>
          </w:p>
        </w:tc>
        <w:tc>
          <w:tcPr>
            <w:tcW w:w="0" w:type="auto"/>
            <w:hideMark/>
          </w:tcPr>
          <w:p w14:paraId="1988C396" w14:textId="77777777" w:rsidR="009C778C" w:rsidRPr="009C778C" w:rsidRDefault="009C778C" w:rsidP="009C778C">
            <w:pPr>
              <w:rPr>
                <w:rFonts w:cstheme="minorHAnsi"/>
                <w:sz w:val="24"/>
                <w:szCs w:val="24"/>
              </w:rPr>
            </w:pPr>
            <w:r w:rsidRPr="009C778C">
              <w:rPr>
                <w:rFonts w:cstheme="minorHAnsi"/>
                <w:sz w:val="24"/>
                <w:szCs w:val="24"/>
              </w:rPr>
              <w:t>0.095</w:t>
            </w:r>
          </w:p>
        </w:tc>
      </w:tr>
      <w:tr w:rsidR="009C778C" w:rsidRPr="009C778C" w14:paraId="32C82547" w14:textId="77777777" w:rsidTr="0046257B">
        <w:tc>
          <w:tcPr>
            <w:tcW w:w="0" w:type="auto"/>
            <w:hideMark/>
          </w:tcPr>
          <w:p w14:paraId="3332D66B" w14:textId="77777777" w:rsidR="009C778C" w:rsidRPr="009C778C" w:rsidRDefault="009C778C" w:rsidP="009C778C">
            <w:pPr>
              <w:rPr>
                <w:rFonts w:cstheme="minorHAnsi"/>
                <w:b/>
                <w:bCs/>
                <w:sz w:val="24"/>
                <w:szCs w:val="24"/>
              </w:rPr>
            </w:pPr>
          </w:p>
        </w:tc>
        <w:tc>
          <w:tcPr>
            <w:tcW w:w="0" w:type="auto"/>
            <w:hideMark/>
          </w:tcPr>
          <w:p w14:paraId="40589E2A" w14:textId="77777777" w:rsidR="009C778C" w:rsidRPr="009C778C" w:rsidRDefault="009C778C" w:rsidP="009C778C">
            <w:pPr>
              <w:rPr>
                <w:rFonts w:cstheme="minorHAnsi"/>
                <w:b/>
                <w:bCs/>
                <w:sz w:val="24"/>
                <w:szCs w:val="24"/>
              </w:rPr>
            </w:pPr>
          </w:p>
        </w:tc>
        <w:tc>
          <w:tcPr>
            <w:tcW w:w="0" w:type="auto"/>
            <w:hideMark/>
          </w:tcPr>
          <w:p w14:paraId="22B87C30" w14:textId="77777777" w:rsidR="009C778C" w:rsidRPr="009C778C" w:rsidRDefault="009C778C" w:rsidP="009C778C">
            <w:pPr>
              <w:rPr>
                <w:rFonts w:cstheme="minorHAnsi"/>
                <w:sz w:val="24"/>
                <w:szCs w:val="24"/>
              </w:rPr>
            </w:pPr>
            <w:r w:rsidRPr="009C778C">
              <w:rPr>
                <w:rFonts w:cstheme="minorHAnsi"/>
                <w:sz w:val="24"/>
                <w:szCs w:val="24"/>
              </w:rPr>
              <w:t>(3.90)</w:t>
            </w:r>
          </w:p>
        </w:tc>
        <w:tc>
          <w:tcPr>
            <w:tcW w:w="0" w:type="auto"/>
            <w:hideMark/>
          </w:tcPr>
          <w:p w14:paraId="1A81097E" w14:textId="77777777" w:rsidR="009C778C" w:rsidRPr="009C778C" w:rsidRDefault="009C778C" w:rsidP="009C778C">
            <w:pPr>
              <w:rPr>
                <w:rFonts w:cstheme="minorHAnsi"/>
                <w:sz w:val="24"/>
                <w:szCs w:val="24"/>
              </w:rPr>
            </w:pPr>
            <w:r w:rsidRPr="009C778C">
              <w:rPr>
                <w:rFonts w:cstheme="minorHAnsi"/>
                <w:sz w:val="24"/>
                <w:szCs w:val="24"/>
              </w:rPr>
              <w:t>(9.49)</w:t>
            </w:r>
          </w:p>
        </w:tc>
        <w:tc>
          <w:tcPr>
            <w:tcW w:w="0" w:type="auto"/>
            <w:hideMark/>
          </w:tcPr>
          <w:p w14:paraId="6355E842" w14:textId="77777777" w:rsidR="009C778C" w:rsidRPr="009C778C" w:rsidRDefault="009C778C" w:rsidP="009C778C">
            <w:pPr>
              <w:rPr>
                <w:rFonts w:cstheme="minorHAnsi"/>
                <w:sz w:val="24"/>
                <w:szCs w:val="24"/>
              </w:rPr>
            </w:pPr>
            <w:r w:rsidRPr="009C778C">
              <w:rPr>
                <w:rFonts w:cstheme="minorHAnsi"/>
                <w:sz w:val="24"/>
                <w:szCs w:val="24"/>
              </w:rPr>
              <w:t>(4.46)</w:t>
            </w:r>
          </w:p>
        </w:tc>
        <w:tc>
          <w:tcPr>
            <w:tcW w:w="0" w:type="auto"/>
            <w:hideMark/>
          </w:tcPr>
          <w:p w14:paraId="71BC22BC" w14:textId="77777777" w:rsidR="009C778C" w:rsidRPr="009C778C" w:rsidRDefault="009C778C" w:rsidP="009C778C">
            <w:pPr>
              <w:rPr>
                <w:rFonts w:cstheme="minorHAnsi"/>
                <w:sz w:val="24"/>
                <w:szCs w:val="24"/>
              </w:rPr>
            </w:pPr>
            <w:r w:rsidRPr="009C778C">
              <w:rPr>
                <w:rFonts w:cstheme="minorHAnsi"/>
                <w:sz w:val="24"/>
                <w:szCs w:val="24"/>
              </w:rPr>
              <w:t>(10.06)</w:t>
            </w:r>
          </w:p>
        </w:tc>
        <w:tc>
          <w:tcPr>
            <w:tcW w:w="0" w:type="auto"/>
            <w:hideMark/>
          </w:tcPr>
          <w:p w14:paraId="598D82AD" w14:textId="77777777" w:rsidR="009C778C" w:rsidRPr="009C778C" w:rsidRDefault="009C778C" w:rsidP="009C778C">
            <w:pPr>
              <w:rPr>
                <w:rFonts w:cstheme="minorHAnsi"/>
                <w:sz w:val="24"/>
                <w:szCs w:val="24"/>
              </w:rPr>
            </w:pPr>
            <w:r w:rsidRPr="009C778C">
              <w:rPr>
                <w:rFonts w:cstheme="minorHAnsi"/>
                <w:sz w:val="24"/>
                <w:szCs w:val="24"/>
              </w:rPr>
              <w:t>(11.48)</w:t>
            </w:r>
          </w:p>
        </w:tc>
        <w:tc>
          <w:tcPr>
            <w:tcW w:w="0" w:type="auto"/>
            <w:hideMark/>
          </w:tcPr>
          <w:p w14:paraId="24DB14C5" w14:textId="77777777" w:rsidR="009C778C" w:rsidRPr="009C778C" w:rsidRDefault="009C778C" w:rsidP="009C778C">
            <w:pPr>
              <w:rPr>
                <w:rFonts w:cstheme="minorHAnsi"/>
                <w:sz w:val="24"/>
                <w:szCs w:val="24"/>
              </w:rPr>
            </w:pPr>
            <w:r w:rsidRPr="009C778C">
              <w:rPr>
                <w:rFonts w:cstheme="minorHAnsi"/>
                <w:sz w:val="24"/>
                <w:szCs w:val="24"/>
              </w:rPr>
              <w:t>(12.23)</w:t>
            </w:r>
          </w:p>
        </w:tc>
        <w:tc>
          <w:tcPr>
            <w:tcW w:w="0" w:type="auto"/>
            <w:hideMark/>
          </w:tcPr>
          <w:p w14:paraId="03B88EF4" w14:textId="77777777" w:rsidR="009C778C" w:rsidRPr="009C778C" w:rsidRDefault="009C778C" w:rsidP="009C778C">
            <w:pPr>
              <w:rPr>
                <w:rFonts w:cstheme="minorHAnsi"/>
                <w:sz w:val="24"/>
                <w:szCs w:val="24"/>
              </w:rPr>
            </w:pPr>
            <w:r w:rsidRPr="009C778C">
              <w:rPr>
                <w:rFonts w:cstheme="minorHAnsi"/>
                <w:sz w:val="24"/>
                <w:szCs w:val="24"/>
              </w:rPr>
              <w:t>(11.07)</w:t>
            </w:r>
          </w:p>
        </w:tc>
        <w:tc>
          <w:tcPr>
            <w:tcW w:w="0" w:type="auto"/>
            <w:hideMark/>
          </w:tcPr>
          <w:p w14:paraId="5A50E1C2" w14:textId="77777777" w:rsidR="009C778C" w:rsidRPr="009C778C" w:rsidRDefault="009C778C" w:rsidP="009C778C">
            <w:pPr>
              <w:rPr>
                <w:rFonts w:cstheme="minorHAnsi"/>
                <w:sz w:val="24"/>
                <w:szCs w:val="24"/>
              </w:rPr>
            </w:pPr>
            <w:r w:rsidRPr="009C778C">
              <w:rPr>
                <w:rFonts w:cstheme="minorHAnsi"/>
                <w:sz w:val="24"/>
                <w:szCs w:val="24"/>
              </w:rPr>
              <w:t>(13.05)</w:t>
            </w:r>
          </w:p>
        </w:tc>
        <w:tc>
          <w:tcPr>
            <w:tcW w:w="0" w:type="auto"/>
            <w:hideMark/>
          </w:tcPr>
          <w:p w14:paraId="6BF1B560" w14:textId="77777777" w:rsidR="009C778C" w:rsidRPr="009C778C" w:rsidRDefault="009C778C" w:rsidP="009C778C">
            <w:pPr>
              <w:rPr>
                <w:rFonts w:cstheme="minorHAnsi"/>
                <w:sz w:val="24"/>
                <w:szCs w:val="24"/>
              </w:rPr>
            </w:pPr>
            <w:r w:rsidRPr="009C778C">
              <w:rPr>
                <w:rFonts w:cstheme="minorHAnsi"/>
                <w:sz w:val="24"/>
                <w:szCs w:val="24"/>
              </w:rPr>
              <w:t>(1.24)</w:t>
            </w:r>
          </w:p>
        </w:tc>
      </w:tr>
      <w:tr w:rsidR="009C778C" w:rsidRPr="009C778C" w14:paraId="57F81999" w14:textId="77777777" w:rsidTr="0046257B">
        <w:tc>
          <w:tcPr>
            <w:tcW w:w="0" w:type="auto"/>
            <w:hideMark/>
          </w:tcPr>
          <w:p w14:paraId="434AE2F1" w14:textId="77777777" w:rsidR="009C778C" w:rsidRPr="009C778C" w:rsidRDefault="009C778C" w:rsidP="009C778C">
            <w:pPr>
              <w:rPr>
                <w:rFonts w:cstheme="minorHAnsi"/>
                <w:b/>
                <w:bCs/>
                <w:sz w:val="24"/>
                <w:szCs w:val="24"/>
              </w:rPr>
            </w:pPr>
            <w:r w:rsidRPr="009C778C">
              <w:rPr>
                <w:rFonts w:cstheme="minorHAnsi"/>
                <w:b/>
                <w:bCs/>
                <w:sz w:val="24"/>
                <w:szCs w:val="24"/>
              </w:rPr>
              <w:t>CAPITAL_INTENSITY</w:t>
            </w:r>
            <w:r w:rsidRPr="009C778C">
              <w:rPr>
                <w:rFonts w:cstheme="minorHAnsi"/>
                <w:b/>
                <w:bCs/>
                <w:sz w:val="24"/>
                <w:szCs w:val="24"/>
                <w:vertAlign w:val="subscript"/>
              </w:rPr>
              <w:t>t − 1</w:t>
            </w:r>
          </w:p>
        </w:tc>
        <w:tc>
          <w:tcPr>
            <w:tcW w:w="0" w:type="auto"/>
            <w:hideMark/>
          </w:tcPr>
          <w:p w14:paraId="2AF122B3" w14:textId="77777777" w:rsidR="009C778C" w:rsidRPr="009C778C" w:rsidRDefault="009C778C" w:rsidP="009C778C">
            <w:pPr>
              <w:rPr>
                <w:rFonts w:cstheme="minorHAnsi"/>
                <w:b/>
                <w:bCs/>
                <w:sz w:val="24"/>
                <w:szCs w:val="24"/>
              </w:rPr>
            </w:pPr>
          </w:p>
        </w:tc>
        <w:tc>
          <w:tcPr>
            <w:tcW w:w="0" w:type="auto"/>
            <w:hideMark/>
          </w:tcPr>
          <w:p w14:paraId="7FCCFD1F" w14:textId="77777777" w:rsidR="009C778C" w:rsidRPr="009C778C" w:rsidRDefault="009C778C" w:rsidP="009C778C">
            <w:pPr>
              <w:rPr>
                <w:rFonts w:cstheme="minorHAnsi"/>
                <w:sz w:val="24"/>
                <w:szCs w:val="24"/>
              </w:rPr>
            </w:pPr>
            <w:r w:rsidRPr="009C778C">
              <w:rPr>
                <w:rFonts w:cstheme="minorHAnsi"/>
                <w:sz w:val="24"/>
                <w:szCs w:val="24"/>
              </w:rPr>
              <w:t>− 0.063**</w:t>
            </w:r>
          </w:p>
        </w:tc>
        <w:tc>
          <w:tcPr>
            <w:tcW w:w="0" w:type="auto"/>
            <w:hideMark/>
          </w:tcPr>
          <w:p w14:paraId="76179521" w14:textId="77777777" w:rsidR="009C778C" w:rsidRPr="009C778C" w:rsidRDefault="009C778C" w:rsidP="009C778C">
            <w:pPr>
              <w:rPr>
                <w:rFonts w:cstheme="minorHAnsi"/>
                <w:sz w:val="24"/>
                <w:szCs w:val="24"/>
              </w:rPr>
            </w:pPr>
            <w:r w:rsidRPr="009C778C">
              <w:rPr>
                <w:rFonts w:cstheme="minorHAnsi"/>
                <w:sz w:val="24"/>
                <w:szCs w:val="24"/>
              </w:rPr>
              <w:t>− 0.160***</w:t>
            </w:r>
          </w:p>
        </w:tc>
        <w:tc>
          <w:tcPr>
            <w:tcW w:w="0" w:type="auto"/>
            <w:hideMark/>
          </w:tcPr>
          <w:p w14:paraId="01C11165" w14:textId="77777777" w:rsidR="009C778C" w:rsidRPr="009C778C" w:rsidRDefault="009C778C" w:rsidP="009C778C">
            <w:pPr>
              <w:rPr>
                <w:rFonts w:cstheme="minorHAnsi"/>
                <w:sz w:val="24"/>
                <w:szCs w:val="24"/>
              </w:rPr>
            </w:pPr>
            <w:r w:rsidRPr="009C778C">
              <w:rPr>
                <w:rFonts w:cstheme="minorHAnsi"/>
                <w:sz w:val="24"/>
                <w:szCs w:val="24"/>
              </w:rPr>
              <w:t>− 0.160***</w:t>
            </w:r>
          </w:p>
        </w:tc>
        <w:tc>
          <w:tcPr>
            <w:tcW w:w="0" w:type="auto"/>
            <w:hideMark/>
          </w:tcPr>
          <w:p w14:paraId="66C513A6" w14:textId="77777777" w:rsidR="009C778C" w:rsidRPr="009C778C" w:rsidRDefault="009C778C" w:rsidP="009C778C">
            <w:pPr>
              <w:rPr>
                <w:rFonts w:cstheme="minorHAnsi"/>
                <w:sz w:val="24"/>
                <w:szCs w:val="24"/>
              </w:rPr>
            </w:pPr>
            <w:r w:rsidRPr="009C778C">
              <w:rPr>
                <w:rFonts w:cstheme="minorHAnsi"/>
                <w:sz w:val="24"/>
                <w:szCs w:val="24"/>
              </w:rPr>
              <w:t>− 0.150***</w:t>
            </w:r>
          </w:p>
        </w:tc>
        <w:tc>
          <w:tcPr>
            <w:tcW w:w="0" w:type="auto"/>
            <w:hideMark/>
          </w:tcPr>
          <w:p w14:paraId="318FBDD8" w14:textId="77777777" w:rsidR="009C778C" w:rsidRPr="009C778C" w:rsidRDefault="009C778C" w:rsidP="009C778C">
            <w:pPr>
              <w:rPr>
                <w:rFonts w:cstheme="minorHAnsi"/>
                <w:sz w:val="24"/>
                <w:szCs w:val="24"/>
              </w:rPr>
            </w:pPr>
            <w:r w:rsidRPr="009C778C">
              <w:rPr>
                <w:rFonts w:cstheme="minorHAnsi"/>
                <w:sz w:val="24"/>
                <w:szCs w:val="24"/>
              </w:rPr>
              <w:t>− 0.174***</w:t>
            </w:r>
          </w:p>
        </w:tc>
        <w:tc>
          <w:tcPr>
            <w:tcW w:w="0" w:type="auto"/>
            <w:hideMark/>
          </w:tcPr>
          <w:p w14:paraId="7272DF95" w14:textId="77777777" w:rsidR="009C778C" w:rsidRPr="009C778C" w:rsidRDefault="009C778C" w:rsidP="009C778C">
            <w:pPr>
              <w:rPr>
                <w:rFonts w:cstheme="minorHAnsi"/>
                <w:sz w:val="24"/>
                <w:szCs w:val="24"/>
              </w:rPr>
            </w:pPr>
            <w:r w:rsidRPr="009C778C">
              <w:rPr>
                <w:rFonts w:cstheme="minorHAnsi"/>
                <w:sz w:val="24"/>
                <w:szCs w:val="24"/>
              </w:rPr>
              <w:t>− 0.154***</w:t>
            </w:r>
          </w:p>
        </w:tc>
        <w:tc>
          <w:tcPr>
            <w:tcW w:w="0" w:type="auto"/>
            <w:hideMark/>
          </w:tcPr>
          <w:p w14:paraId="3BF84859" w14:textId="77777777" w:rsidR="009C778C" w:rsidRPr="009C778C" w:rsidRDefault="009C778C" w:rsidP="009C778C">
            <w:pPr>
              <w:rPr>
                <w:rFonts w:cstheme="minorHAnsi"/>
                <w:sz w:val="24"/>
                <w:szCs w:val="24"/>
              </w:rPr>
            </w:pPr>
            <w:r w:rsidRPr="009C778C">
              <w:rPr>
                <w:rFonts w:cstheme="minorHAnsi"/>
                <w:sz w:val="24"/>
                <w:szCs w:val="24"/>
              </w:rPr>
              <w:t>− 0.185***</w:t>
            </w:r>
          </w:p>
        </w:tc>
        <w:tc>
          <w:tcPr>
            <w:tcW w:w="0" w:type="auto"/>
            <w:hideMark/>
          </w:tcPr>
          <w:p w14:paraId="3EFC437E" w14:textId="77777777" w:rsidR="009C778C" w:rsidRPr="009C778C" w:rsidRDefault="009C778C" w:rsidP="009C778C">
            <w:pPr>
              <w:rPr>
                <w:rFonts w:cstheme="minorHAnsi"/>
                <w:sz w:val="24"/>
                <w:szCs w:val="24"/>
              </w:rPr>
            </w:pPr>
            <w:r w:rsidRPr="009C778C">
              <w:rPr>
                <w:rFonts w:cstheme="minorHAnsi"/>
                <w:sz w:val="24"/>
                <w:szCs w:val="24"/>
              </w:rPr>
              <w:t>− 0.159***</w:t>
            </w:r>
          </w:p>
        </w:tc>
        <w:tc>
          <w:tcPr>
            <w:tcW w:w="0" w:type="auto"/>
            <w:hideMark/>
          </w:tcPr>
          <w:p w14:paraId="6EB60559" w14:textId="77777777" w:rsidR="009C778C" w:rsidRPr="009C778C" w:rsidRDefault="009C778C" w:rsidP="009C778C">
            <w:pPr>
              <w:rPr>
                <w:rFonts w:cstheme="minorHAnsi"/>
                <w:sz w:val="24"/>
                <w:szCs w:val="24"/>
              </w:rPr>
            </w:pPr>
            <w:r w:rsidRPr="009C778C">
              <w:rPr>
                <w:rFonts w:cstheme="minorHAnsi"/>
                <w:sz w:val="24"/>
                <w:szCs w:val="24"/>
              </w:rPr>
              <w:t>− 0.051***</w:t>
            </w:r>
          </w:p>
        </w:tc>
      </w:tr>
      <w:tr w:rsidR="009C778C" w:rsidRPr="009C778C" w14:paraId="04E826AF" w14:textId="77777777" w:rsidTr="0046257B">
        <w:tc>
          <w:tcPr>
            <w:tcW w:w="0" w:type="auto"/>
            <w:hideMark/>
          </w:tcPr>
          <w:p w14:paraId="63FADC92" w14:textId="77777777" w:rsidR="009C778C" w:rsidRPr="009C778C" w:rsidRDefault="009C778C" w:rsidP="009C778C">
            <w:pPr>
              <w:rPr>
                <w:rFonts w:cstheme="minorHAnsi"/>
                <w:b/>
                <w:bCs/>
                <w:sz w:val="24"/>
                <w:szCs w:val="24"/>
              </w:rPr>
            </w:pPr>
          </w:p>
        </w:tc>
        <w:tc>
          <w:tcPr>
            <w:tcW w:w="0" w:type="auto"/>
            <w:hideMark/>
          </w:tcPr>
          <w:p w14:paraId="29ECACA6" w14:textId="77777777" w:rsidR="009C778C" w:rsidRPr="009C778C" w:rsidRDefault="009C778C" w:rsidP="009C778C">
            <w:pPr>
              <w:rPr>
                <w:rFonts w:cstheme="minorHAnsi"/>
                <w:b/>
                <w:bCs/>
                <w:sz w:val="24"/>
                <w:szCs w:val="24"/>
              </w:rPr>
            </w:pPr>
          </w:p>
        </w:tc>
        <w:tc>
          <w:tcPr>
            <w:tcW w:w="0" w:type="auto"/>
            <w:hideMark/>
          </w:tcPr>
          <w:p w14:paraId="77A82D73" w14:textId="77777777" w:rsidR="009C778C" w:rsidRPr="009C778C" w:rsidRDefault="009C778C" w:rsidP="009C778C">
            <w:pPr>
              <w:rPr>
                <w:rFonts w:cstheme="minorHAnsi"/>
                <w:sz w:val="24"/>
                <w:szCs w:val="24"/>
              </w:rPr>
            </w:pPr>
            <w:r w:rsidRPr="009C778C">
              <w:rPr>
                <w:rFonts w:cstheme="minorHAnsi"/>
                <w:sz w:val="24"/>
                <w:szCs w:val="24"/>
              </w:rPr>
              <w:t>(− 1.96)</w:t>
            </w:r>
          </w:p>
        </w:tc>
        <w:tc>
          <w:tcPr>
            <w:tcW w:w="0" w:type="auto"/>
            <w:hideMark/>
          </w:tcPr>
          <w:p w14:paraId="09E48A1E" w14:textId="77777777" w:rsidR="009C778C" w:rsidRPr="009C778C" w:rsidRDefault="009C778C" w:rsidP="009C778C">
            <w:pPr>
              <w:rPr>
                <w:rFonts w:cstheme="minorHAnsi"/>
                <w:sz w:val="24"/>
                <w:szCs w:val="24"/>
              </w:rPr>
            </w:pPr>
            <w:r w:rsidRPr="009C778C">
              <w:rPr>
                <w:rFonts w:cstheme="minorHAnsi"/>
                <w:sz w:val="24"/>
                <w:szCs w:val="24"/>
              </w:rPr>
              <w:t>(− 6.10)</w:t>
            </w:r>
          </w:p>
        </w:tc>
        <w:tc>
          <w:tcPr>
            <w:tcW w:w="0" w:type="auto"/>
            <w:hideMark/>
          </w:tcPr>
          <w:p w14:paraId="1F9365C3" w14:textId="77777777" w:rsidR="009C778C" w:rsidRPr="009C778C" w:rsidRDefault="009C778C" w:rsidP="009C778C">
            <w:pPr>
              <w:rPr>
                <w:rFonts w:cstheme="minorHAnsi"/>
                <w:sz w:val="24"/>
                <w:szCs w:val="24"/>
              </w:rPr>
            </w:pPr>
            <w:r w:rsidRPr="009C778C">
              <w:rPr>
                <w:rFonts w:cstheme="minorHAnsi"/>
                <w:sz w:val="24"/>
                <w:szCs w:val="24"/>
              </w:rPr>
              <w:t>(− 4.50)</w:t>
            </w:r>
          </w:p>
        </w:tc>
        <w:tc>
          <w:tcPr>
            <w:tcW w:w="0" w:type="auto"/>
            <w:hideMark/>
          </w:tcPr>
          <w:p w14:paraId="74B39A8A" w14:textId="77777777" w:rsidR="009C778C" w:rsidRPr="009C778C" w:rsidRDefault="009C778C" w:rsidP="009C778C">
            <w:pPr>
              <w:rPr>
                <w:rFonts w:cstheme="minorHAnsi"/>
                <w:sz w:val="24"/>
                <w:szCs w:val="24"/>
              </w:rPr>
            </w:pPr>
            <w:r w:rsidRPr="009C778C">
              <w:rPr>
                <w:rFonts w:cstheme="minorHAnsi"/>
                <w:sz w:val="24"/>
                <w:szCs w:val="24"/>
              </w:rPr>
              <w:t>(− 11.13)</w:t>
            </w:r>
          </w:p>
        </w:tc>
        <w:tc>
          <w:tcPr>
            <w:tcW w:w="0" w:type="auto"/>
            <w:hideMark/>
          </w:tcPr>
          <w:p w14:paraId="293CA2E2" w14:textId="77777777" w:rsidR="009C778C" w:rsidRPr="009C778C" w:rsidRDefault="009C778C" w:rsidP="009C778C">
            <w:pPr>
              <w:rPr>
                <w:rFonts w:cstheme="minorHAnsi"/>
                <w:sz w:val="24"/>
                <w:szCs w:val="24"/>
              </w:rPr>
            </w:pPr>
            <w:r w:rsidRPr="009C778C">
              <w:rPr>
                <w:rFonts w:cstheme="minorHAnsi"/>
                <w:sz w:val="24"/>
                <w:szCs w:val="24"/>
              </w:rPr>
              <w:t>(− 11.65)</w:t>
            </w:r>
          </w:p>
        </w:tc>
        <w:tc>
          <w:tcPr>
            <w:tcW w:w="0" w:type="auto"/>
            <w:hideMark/>
          </w:tcPr>
          <w:p w14:paraId="16419098" w14:textId="77777777" w:rsidR="009C778C" w:rsidRPr="009C778C" w:rsidRDefault="009C778C" w:rsidP="009C778C">
            <w:pPr>
              <w:rPr>
                <w:rFonts w:cstheme="minorHAnsi"/>
                <w:sz w:val="24"/>
                <w:szCs w:val="24"/>
              </w:rPr>
            </w:pPr>
            <w:r w:rsidRPr="009C778C">
              <w:rPr>
                <w:rFonts w:cstheme="minorHAnsi"/>
                <w:sz w:val="24"/>
                <w:szCs w:val="24"/>
              </w:rPr>
              <w:t>(− 12.32)</w:t>
            </w:r>
          </w:p>
        </w:tc>
        <w:tc>
          <w:tcPr>
            <w:tcW w:w="0" w:type="auto"/>
            <w:hideMark/>
          </w:tcPr>
          <w:p w14:paraId="6C54DE8C" w14:textId="77777777" w:rsidR="009C778C" w:rsidRPr="009C778C" w:rsidRDefault="009C778C" w:rsidP="009C778C">
            <w:pPr>
              <w:rPr>
                <w:rFonts w:cstheme="minorHAnsi"/>
                <w:sz w:val="24"/>
                <w:szCs w:val="24"/>
              </w:rPr>
            </w:pPr>
            <w:r w:rsidRPr="009C778C">
              <w:rPr>
                <w:rFonts w:cstheme="minorHAnsi"/>
                <w:sz w:val="24"/>
                <w:szCs w:val="24"/>
              </w:rPr>
              <w:t>(− 12.86)</w:t>
            </w:r>
          </w:p>
        </w:tc>
        <w:tc>
          <w:tcPr>
            <w:tcW w:w="0" w:type="auto"/>
            <w:hideMark/>
          </w:tcPr>
          <w:p w14:paraId="0EEA9E11" w14:textId="77777777" w:rsidR="009C778C" w:rsidRPr="009C778C" w:rsidRDefault="009C778C" w:rsidP="009C778C">
            <w:pPr>
              <w:rPr>
                <w:rFonts w:cstheme="minorHAnsi"/>
                <w:sz w:val="24"/>
                <w:szCs w:val="24"/>
              </w:rPr>
            </w:pPr>
            <w:r w:rsidRPr="009C778C">
              <w:rPr>
                <w:rFonts w:cstheme="minorHAnsi"/>
                <w:sz w:val="24"/>
                <w:szCs w:val="24"/>
              </w:rPr>
              <w:t>(− 13.57)</w:t>
            </w:r>
          </w:p>
        </w:tc>
        <w:tc>
          <w:tcPr>
            <w:tcW w:w="0" w:type="auto"/>
            <w:hideMark/>
          </w:tcPr>
          <w:p w14:paraId="59BEB9BB" w14:textId="77777777" w:rsidR="009C778C" w:rsidRPr="009C778C" w:rsidRDefault="009C778C" w:rsidP="009C778C">
            <w:pPr>
              <w:rPr>
                <w:rFonts w:cstheme="minorHAnsi"/>
                <w:sz w:val="24"/>
                <w:szCs w:val="24"/>
              </w:rPr>
            </w:pPr>
            <w:r w:rsidRPr="009C778C">
              <w:rPr>
                <w:rFonts w:cstheme="minorHAnsi"/>
                <w:sz w:val="24"/>
                <w:szCs w:val="24"/>
              </w:rPr>
              <w:t>(− 3.73)</w:t>
            </w:r>
          </w:p>
        </w:tc>
      </w:tr>
      <w:tr w:rsidR="009C778C" w:rsidRPr="009C778C" w14:paraId="00B8E998" w14:textId="77777777" w:rsidTr="0046257B">
        <w:tc>
          <w:tcPr>
            <w:tcW w:w="0" w:type="auto"/>
            <w:hideMark/>
          </w:tcPr>
          <w:p w14:paraId="5920C2B1" w14:textId="77777777" w:rsidR="009C778C" w:rsidRPr="009C778C" w:rsidRDefault="009C778C" w:rsidP="009C778C">
            <w:pPr>
              <w:rPr>
                <w:rFonts w:cstheme="minorHAnsi"/>
                <w:b/>
                <w:bCs/>
                <w:sz w:val="24"/>
                <w:szCs w:val="24"/>
              </w:rPr>
            </w:pPr>
            <w:r w:rsidRPr="009C778C">
              <w:rPr>
                <w:rFonts w:cstheme="minorHAnsi"/>
                <w:b/>
                <w:bCs/>
                <w:sz w:val="24"/>
                <w:szCs w:val="24"/>
              </w:rPr>
              <w:t>ANALYST</w:t>
            </w:r>
            <w:r w:rsidRPr="009C778C">
              <w:rPr>
                <w:rFonts w:cstheme="minorHAnsi"/>
                <w:b/>
                <w:bCs/>
                <w:sz w:val="24"/>
                <w:szCs w:val="24"/>
                <w:vertAlign w:val="subscript"/>
              </w:rPr>
              <w:t>t − 1</w:t>
            </w:r>
          </w:p>
        </w:tc>
        <w:tc>
          <w:tcPr>
            <w:tcW w:w="0" w:type="auto"/>
            <w:hideMark/>
          </w:tcPr>
          <w:p w14:paraId="58D9E634" w14:textId="77777777" w:rsidR="009C778C" w:rsidRPr="009C778C" w:rsidRDefault="009C778C" w:rsidP="009C778C">
            <w:pPr>
              <w:rPr>
                <w:rFonts w:cstheme="minorHAnsi"/>
                <w:b/>
                <w:bCs/>
                <w:sz w:val="24"/>
                <w:szCs w:val="24"/>
              </w:rPr>
            </w:pPr>
          </w:p>
        </w:tc>
        <w:tc>
          <w:tcPr>
            <w:tcW w:w="0" w:type="auto"/>
            <w:hideMark/>
          </w:tcPr>
          <w:p w14:paraId="3A6133EE" w14:textId="77777777" w:rsidR="009C778C" w:rsidRPr="009C778C" w:rsidRDefault="009C778C" w:rsidP="009C778C">
            <w:pPr>
              <w:rPr>
                <w:rFonts w:cstheme="minorHAnsi"/>
                <w:sz w:val="24"/>
                <w:szCs w:val="24"/>
              </w:rPr>
            </w:pPr>
            <w:r w:rsidRPr="009C778C">
              <w:rPr>
                <w:rFonts w:cstheme="minorHAnsi"/>
                <w:sz w:val="24"/>
                <w:szCs w:val="24"/>
              </w:rPr>
              <w:t>0.012**</w:t>
            </w:r>
          </w:p>
        </w:tc>
        <w:tc>
          <w:tcPr>
            <w:tcW w:w="0" w:type="auto"/>
            <w:hideMark/>
          </w:tcPr>
          <w:p w14:paraId="3E11FF89" w14:textId="77777777" w:rsidR="009C778C" w:rsidRPr="009C778C" w:rsidRDefault="009C778C" w:rsidP="009C778C">
            <w:pPr>
              <w:rPr>
                <w:rFonts w:cstheme="minorHAnsi"/>
                <w:sz w:val="24"/>
                <w:szCs w:val="24"/>
              </w:rPr>
            </w:pPr>
            <w:r w:rsidRPr="009C778C">
              <w:rPr>
                <w:rFonts w:cstheme="minorHAnsi"/>
                <w:sz w:val="24"/>
                <w:szCs w:val="24"/>
              </w:rPr>
              <w:t>− 0.010**</w:t>
            </w:r>
          </w:p>
        </w:tc>
        <w:tc>
          <w:tcPr>
            <w:tcW w:w="0" w:type="auto"/>
            <w:hideMark/>
          </w:tcPr>
          <w:p w14:paraId="53850EF3" w14:textId="77777777" w:rsidR="009C778C" w:rsidRPr="009C778C" w:rsidRDefault="009C778C" w:rsidP="009C778C">
            <w:pPr>
              <w:rPr>
                <w:rFonts w:cstheme="minorHAnsi"/>
                <w:sz w:val="24"/>
                <w:szCs w:val="24"/>
              </w:rPr>
            </w:pPr>
            <w:r w:rsidRPr="009C778C">
              <w:rPr>
                <w:rFonts w:cstheme="minorHAnsi"/>
                <w:sz w:val="24"/>
                <w:szCs w:val="24"/>
              </w:rPr>
              <w:t>− 0.010***</w:t>
            </w:r>
          </w:p>
        </w:tc>
        <w:tc>
          <w:tcPr>
            <w:tcW w:w="0" w:type="auto"/>
            <w:hideMark/>
          </w:tcPr>
          <w:p w14:paraId="329B547F" w14:textId="77777777" w:rsidR="009C778C" w:rsidRPr="009C778C" w:rsidRDefault="009C778C" w:rsidP="009C778C">
            <w:pPr>
              <w:rPr>
                <w:rFonts w:cstheme="minorHAnsi"/>
                <w:sz w:val="24"/>
                <w:szCs w:val="24"/>
              </w:rPr>
            </w:pPr>
            <w:r w:rsidRPr="009C778C">
              <w:rPr>
                <w:rFonts w:cstheme="minorHAnsi"/>
                <w:sz w:val="24"/>
                <w:szCs w:val="24"/>
              </w:rPr>
              <w:t>− 0.009**</w:t>
            </w:r>
          </w:p>
        </w:tc>
        <w:tc>
          <w:tcPr>
            <w:tcW w:w="0" w:type="auto"/>
            <w:hideMark/>
          </w:tcPr>
          <w:p w14:paraId="0C056C46" w14:textId="77777777" w:rsidR="009C778C" w:rsidRPr="009C778C" w:rsidRDefault="009C778C" w:rsidP="009C778C">
            <w:pPr>
              <w:rPr>
                <w:rFonts w:cstheme="minorHAnsi"/>
                <w:sz w:val="24"/>
                <w:szCs w:val="24"/>
              </w:rPr>
            </w:pPr>
            <w:r w:rsidRPr="009C778C">
              <w:rPr>
                <w:rFonts w:cstheme="minorHAnsi"/>
                <w:sz w:val="24"/>
                <w:szCs w:val="24"/>
              </w:rPr>
              <w:t>− 0.013***</w:t>
            </w:r>
          </w:p>
        </w:tc>
        <w:tc>
          <w:tcPr>
            <w:tcW w:w="0" w:type="auto"/>
            <w:hideMark/>
          </w:tcPr>
          <w:p w14:paraId="47176EA1" w14:textId="77777777" w:rsidR="009C778C" w:rsidRPr="009C778C" w:rsidRDefault="009C778C" w:rsidP="009C778C">
            <w:pPr>
              <w:rPr>
                <w:rFonts w:cstheme="minorHAnsi"/>
                <w:sz w:val="24"/>
                <w:szCs w:val="24"/>
              </w:rPr>
            </w:pPr>
            <w:r w:rsidRPr="009C778C">
              <w:rPr>
                <w:rFonts w:cstheme="minorHAnsi"/>
                <w:sz w:val="24"/>
                <w:szCs w:val="24"/>
              </w:rPr>
              <w:t>− 0.016***</w:t>
            </w:r>
          </w:p>
        </w:tc>
        <w:tc>
          <w:tcPr>
            <w:tcW w:w="0" w:type="auto"/>
            <w:hideMark/>
          </w:tcPr>
          <w:p w14:paraId="68FBEEFA" w14:textId="77777777" w:rsidR="009C778C" w:rsidRPr="009C778C" w:rsidRDefault="009C778C" w:rsidP="009C778C">
            <w:pPr>
              <w:rPr>
                <w:rFonts w:cstheme="minorHAnsi"/>
                <w:sz w:val="24"/>
                <w:szCs w:val="24"/>
              </w:rPr>
            </w:pPr>
            <w:r w:rsidRPr="009C778C">
              <w:rPr>
                <w:rFonts w:cstheme="minorHAnsi"/>
                <w:sz w:val="24"/>
                <w:szCs w:val="24"/>
              </w:rPr>
              <w:t>− 0.014***</w:t>
            </w:r>
          </w:p>
        </w:tc>
        <w:tc>
          <w:tcPr>
            <w:tcW w:w="0" w:type="auto"/>
            <w:hideMark/>
          </w:tcPr>
          <w:p w14:paraId="240BDA84" w14:textId="77777777" w:rsidR="009C778C" w:rsidRPr="009C778C" w:rsidRDefault="009C778C" w:rsidP="009C778C">
            <w:pPr>
              <w:rPr>
                <w:rFonts w:cstheme="minorHAnsi"/>
                <w:sz w:val="24"/>
                <w:szCs w:val="24"/>
              </w:rPr>
            </w:pPr>
            <w:r w:rsidRPr="009C778C">
              <w:rPr>
                <w:rFonts w:cstheme="minorHAnsi"/>
                <w:sz w:val="24"/>
                <w:szCs w:val="24"/>
              </w:rPr>
              <w:t>− 0.010***</w:t>
            </w:r>
          </w:p>
        </w:tc>
        <w:tc>
          <w:tcPr>
            <w:tcW w:w="0" w:type="auto"/>
            <w:hideMark/>
          </w:tcPr>
          <w:p w14:paraId="75CAD0CB" w14:textId="77777777" w:rsidR="009C778C" w:rsidRPr="009C778C" w:rsidRDefault="009C778C" w:rsidP="009C778C">
            <w:pPr>
              <w:rPr>
                <w:rFonts w:cstheme="minorHAnsi"/>
                <w:sz w:val="24"/>
                <w:szCs w:val="24"/>
              </w:rPr>
            </w:pPr>
            <w:r w:rsidRPr="009C778C">
              <w:rPr>
                <w:rFonts w:cstheme="minorHAnsi"/>
                <w:sz w:val="24"/>
                <w:szCs w:val="24"/>
              </w:rPr>
              <w:t>− 0.017***</w:t>
            </w:r>
          </w:p>
        </w:tc>
      </w:tr>
      <w:tr w:rsidR="009C778C" w:rsidRPr="009C778C" w14:paraId="46549915" w14:textId="77777777" w:rsidTr="0046257B">
        <w:tc>
          <w:tcPr>
            <w:tcW w:w="0" w:type="auto"/>
            <w:hideMark/>
          </w:tcPr>
          <w:p w14:paraId="50E62AC8" w14:textId="77777777" w:rsidR="009C778C" w:rsidRPr="009C778C" w:rsidRDefault="009C778C" w:rsidP="009C778C">
            <w:pPr>
              <w:rPr>
                <w:rFonts w:cstheme="minorHAnsi"/>
                <w:b/>
                <w:bCs/>
                <w:sz w:val="24"/>
                <w:szCs w:val="24"/>
              </w:rPr>
            </w:pPr>
          </w:p>
        </w:tc>
        <w:tc>
          <w:tcPr>
            <w:tcW w:w="0" w:type="auto"/>
            <w:hideMark/>
          </w:tcPr>
          <w:p w14:paraId="29042E33" w14:textId="77777777" w:rsidR="009C778C" w:rsidRPr="009C778C" w:rsidRDefault="009C778C" w:rsidP="009C778C">
            <w:pPr>
              <w:rPr>
                <w:rFonts w:cstheme="minorHAnsi"/>
                <w:b/>
                <w:bCs/>
                <w:sz w:val="24"/>
                <w:szCs w:val="24"/>
              </w:rPr>
            </w:pPr>
          </w:p>
        </w:tc>
        <w:tc>
          <w:tcPr>
            <w:tcW w:w="0" w:type="auto"/>
            <w:hideMark/>
          </w:tcPr>
          <w:p w14:paraId="206D1CEB" w14:textId="77777777" w:rsidR="009C778C" w:rsidRPr="009C778C" w:rsidRDefault="009C778C" w:rsidP="009C778C">
            <w:pPr>
              <w:rPr>
                <w:rFonts w:cstheme="minorHAnsi"/>
                <w:sz w:val="24"/>
                <w:szCs w:val="24"/>
              </w:rPr>
            </w:pPr>
            <w:r w:rsidRPr="009C778C">
              <w:rPr>
                <w:rFonts w:cstheme="minorHAnsi"/>
                <w:sz w:val="24"/>
                <w:szCs w:val="24"/>
              </w:rPr>
              <w:t>(2.06)</w:t>
            </w:r>
          </w:p>
        </w:tc>
        <w:tc>
          <w:tcPr>
            <w:tcW w:w="0" w:type="auto"/>
            <w:hideMark/>
          </w:tcPr>
          <w:p w14:paraId="14FB144D" w14:textId="77777777" w:rsidR="009C778C" w:rsidRPr="009C778C" w:rsidRDefault="009C778C" w:rsidP="009C778C">
            <w:pPr>
              <w:rPr>
                <w:rFonts w:cstheme="minorHAnsi"/>
                <w:sz w:val="24"/>
                <w:szCs w:val="24"/>
              </w:rPr>
            </w:pPr>
            <w:r w:rsidRPr="009C778C">
              <w:rPr>
                <w:rFonts w:cstheme="minorHAnsi"/>
                <w:sz w:val="24"/>
                <w:szCs w:val="24"/>
              </w:rPr>
              <w:t>(− 2.52)</w:t>
            </w:r>
          </w:p>
        </w:tc>
        <w:tc>
          <w:tcPr>
            <w:tcW w:w="0" w:type="auto"/>
            <w:hideMark/>
          </w:tcPr>
          <w:p w14:paraId="7F4698E6" w14:textId="77777777" w:rsidR="009C778C" w:rsidRPr="009C778C" w:rsidRDefault="009C778C" w:rsidP="009C778C">
            <w:pPr>
              <w:rPr>
                <w:rFonts w:cstheme="minorHAnsi"/>
                <w:sz w:val="24"/>
                <w:szCs w:val="24"/>
              </w:rPr>
            </w:pPr>
            <w:r w:rsidRPr="009C778C">
              <w:rPr>
                <w:rFonts w:cstheme="minorHAnsi"/>
                <w:sz w:val="24"/>
                <w:szCs w:val="24"/>
              </w:rPr>
              <w:t>(− 2.70)</w:t>
            </w:r>
          </w:p>
        </w:tc>
        <w:tc>
          <w:tcPr>
            <w:tcW w:w="0" w:type="auto"/>
            <w:hideMark/>
          </w:tcPr>
          <w:p w14:paraId="5264A1F8" w14:textId="77777777" w:rsidR="009C778C" w:rsidRPr="009C778C" w:rsidRDefault="009C778C" w:rsidP="009C778C">
            <w:pPr>
              <w:rPr>
                <w:rFonts w:cstheme="minorHAnsi"/>
                <w:sz w:val="24"/>
                <w:szCs w:val="24"/>
              </w:rPr>
            </w:pPr>
            <w:r w:rsidRPr="009C778C">
              <w:rPr>
                <w:rFonts w:cstheme="minorHAnsi"/>
                <w:sz w:val="24"/>
                <w:szCs w:val="24"/>
              </w:rPr>
              <w:t>(− 2.29)</w:t>
            </w:r>
          </w:p>
        </w:tc>
        <w:tc>
          <w:tcPr>
            <w:tcW w:w="0" w:type="auto"/>
            <w:hideMark/>
          </w:tcPr>
          <w:p w14:paraId="79A68F04" w14:textId="77777777" w:rsidR="009C778C" w:rsidRPr="009C778C" w:rsidRDefault="009C778C" w:rsidP="009C778C">
            <w:pPr>
              <w:rPr>
                <w:rFonts w:cstheme="minorHAnsi"/>
                <w:sz w:val="24"/>
                <w:szCs w:val="24"/>
              </w:rPr>
            </w:pPr>
            <w:r w:rsidRPr="009C778C">
              <w:rPr>
                <w:rFonts w:cstheme="minorHAnsi"/>
                <w:sz w:val="24"/>
                <w:szCs w:val="24"/>
              </w:rPr>
              <w:t>(− 3.14)</w:t>
            </w:r>
          </w:p>
        </w:tc>
        <w:tc>
          <w:tcPr>
            <w:tcW w:w="0" w:type="auto"/>
            <w:hideMark/>
          </w:tcPr>
          <w:p w14:paraId="05C98A30" w14:textId="77777777" w:rsidR="009C778C" w:rsidRPr="009C778C" w:rsidRDefault="009C778C" w:rsidP="009C778C">
            <w:pPr>
              <w:rPr>
                <w:rFonts w:cstheme="minorHAnsi"/>
                <w:sz w:val="24"/>
                <w:szCs w:val="24"/>
              </w:rPr>
            </w:pPr>
            <w:r w:rsidRPr="009C778C">
              <w:rPr>
                <w:rFonts w:cstheme="minorHAnsi"/>
                <w:sz w:val="24"/>
                <w:szCs w:val="24"/>
              </w:rPr>
              <w:t>(− 4.53)</w:t>
            </w:r>
          </w:p>
        </w:tc>
        <w:tc>
          <w:tcPr>
            <w:tcW w:w="0" w:type="auto"/>
            <w:hideMark/>
          </w:tcPr>
          <w:p w14:paraId="1FC6FF1F" w14:textId="77777777" w:rsidR="009C778C" w:rsidRPr="009C778C" w:rsidRDefault="009C778C" w:rsidP="009C778C">
            <w:pPr>
              <w:rPr>
                <w:rFonts w:cstheme="minorHAnsi"/>
                <w:sz w:val="24"/>
                <w:szCs w:val="24"/>
              </w:rPr>
            </w:pPr>
            <w:r w:rsidRPr="009C778C">
              <w:rPr>
                <w:rFonts w:cstheme="minorHAnsi"/>
                <w:sz w:val="24"/>
                <w:szCs w:val="24"/>
              </w:rPr>
              <w:t>(− 3.16)</w:t>
            </w:r>
          </w:p>
        </w:tc>
        <w:tc>
          <w:tcPr>
            <w:tcW w:w="0" w:type="auto"/>
            <w:hideMark/>
          </w:tcPr>
          <w:p w14:paraId="30361E21" w14:textId="77777777" w:rsidR="009C778C" w:rsidRPr="009C778C" w:rsidRDefault="009C778C" w:rsidP="009C778C">
            <w:pPr>
              <w:rPr>
                <w:rFonts w:cstheme="minorHAnsi"/>
                <w:sz w:val="24"/>
                <w:szCs w:val="24"/>
              </w:rPr>
            </w:pPr>
            <w:r w:rsidRPr="009C778C">
              <w:rPr>
                <w:rFonts w:cstheme="minorHAnsi"/>
                <w:sz w:val="24"/>
                <w:szCs w:val="24"/>
              </w:rPr>
              <w:t>(− 2.91)</w:t>
            </w:r>
          </w:p>
        </w:tc>
        <w:tc>
          <w:tcPr>
            <w:tcW w:w="0" w:type="auto"/>
            <w:hideMark/>
          </w:tcPr>
          <w:p w14:paraId="272EB7F9" w14:textId="77777777" w:rsidR="009C778C" w:rsidRPr="009C778C" w:rsidRDefault="009C778C" w:rsidP="009C778C">
            <w:pPr>
              <w:rPr>
                <w:rFonts w:cstheme="minorHAnsi"/>
                <w:sz w:val="24"/>
                <w:szCs w:val="24"/>
              </w:rPr>
            </w:pPr>
            <w:r w:rsidRPr="009C778C">
              <w:rPr>
                <w:rFonts w:cstheme="minorHAnsi"/>
                <w:sz w:val="24"/>
                <w:szCs w:val="24"/>
              </w:rPr>
              <w:t>(− 3.22)</w:t>
            </w:r>
          </w:p>
        </w:tc>
      </w:tr>
      <w:tr w:rsidR="009C778C" w:rsidRPr="009C778C" w14:paraId="5008A9A0" w14:textId="77777777" w:rsidTr="0046257B">
        <w:tc>
          <w:tcPr>
            <w:tcW w:w="0" w:type="auto"/>
            <w:hideMark/>
          </w:tcPr>
          <w:p w14:paraId="36819B5D" w14:textId="77777777" w:rsidR="009C778C" w:rsidRPr="009C778C" w:rsidRDefault="009C778C" w:rsidP="009C778C">
            <w:pPr>
              <w:rPr>
                <w:rFonts w:cstheme="minorHAnsi"/>
                <w:b/>
                <w:bCs/>
                <w:sz w:val="24"/>
                <w:szCs w:val="24"/>
              </w:rPr>
            </w:pPr>
            <w:r w:rsidRPr="009C778C">
              <w:rPr>
                <w:rFonts w:cstheme="minorHAnsi"/>
                <w:b/>
                <w:bCs/>
                <w:sz w:val="24"/>
                <w:szCs w:val="24"/>
              </w:rPr>
              <w:t>ACC_STANDARD</w:t>
            </w:r>
            <w:r w:rsidRPr="009C778C">
              <w:rPr>
                <w:rFonts w:cstheme="minorHAnsi"/>
                <w:b/>
                <w:bCs/>
                <w:sz w:val="24"/>
                <w:szCs w:val="24"/>
                <w:vertAlign w:val="subscript"/>
              </w:rPr>
              <w:t>t − 1</w:t>
            </w:r>
          </w:p>
        </w:tc>
        <w:tc>
          <w:tcPr>
            <w:tcW w:w="0" w:type="auto"/>
            <w:hideMark/>
          </w:tcPr>
          <w:p w14:paraId="2532055F" w14:textId="77777777" w:rsidR="009C778C" w:rsidRPr="009C778C" w:rsidRDefault="009C778C" w:rsidP="009C778C">
            <w:pPr>
              <w:rPr>
                <w:rFonts w:cstheme="minorHAnsi"/>
                <w:b/>
                <w:bCs/>
                <w:sz w:val="24"/>
                <w:szCs w:val="24"/>
              </w:rPr>
            </w:pPr>
          </w:p>
        </w:tc>
        <w:tc>
          <w:tcPr>
            <w:tcW w:w="0" w:type="auto"/>
            <w:hideMark/>
          </w:tcPr>
          <w:p w14:paraId="0B04C50A" w14:textId="77777777" w:rsidR="009C778C" w:rsidRPr="009C778C" w:rsidRDefault="009C778C" w:rsidP="009C778C">
            <w:pPr>
              <w:rPr>
                <w:rFonts w:cstheme="minorHAnsi"/>
                <w:sz w:val="24"/>
                <w:szCs w:val="24"/>
              </w:rPr>
            </w:pPr>
            <w:r w:rsidRPr="009C778C">
              <w:rPr>
                <w:rFonts w:cstheme="minorHAnsi"/>
                <w:sz w:val="24"/>
                <w:szCs w:val="24"/>
              </w:rPr>
              <w:t>0.027*</w:t>
            </w:r>
          </w:p>
        </w:tc>
        <w:tc>
          <w:tcPr>
            <w:tcW w:w="0" w:type="auto"/>
            <w:hideMark/>
          </w:tcPr>
          <w:p w14:paraId="5107B499" w14:textId="77777777" w:rsidR="009C778C" w:rsidRPr="009C778C" w:rsidRDefault="009C778C" w:rsidP="009C778C">
            <w:pPr>
              <w:rPr>
                <w:rFonts w:cstheme="minorHAnsi"/>
                <w:sz w:val="24"/>
                <w:szCs w:val="24"/>
              </w:rPr>
            </w:pPr>
            <w:r w:rsidRPr="009C778C">
              <w:rPr>
                <w:rFonts w:cstheme="minorHAnsi"/>
                <w:sz w:val="24"/>
                <w:szCs w:val="24"/>
              </w:rPr>
              <w:t>0.035</w:t>
            </w:r>
          </w:p>
        </w:tc>
        <w:tc>
          <w:tcPr>
            <w:tcW w:w="0" w:type="auto"/>
            <w:hideMark/>
          </w:tcPr>
          <w:p w14:paraId="2FA8329E" w14:textId="77777777" w:rsidR="009C778C" w:rsidRPr="009C778C" w:rsidRDefault="009C778C" w:rsidP="009C778C">
            <w:pPr>
              <w:rPr>
                <w:rFonts w:cstheme="minorHAnsi"/>
                <w:sz w:val="24"/>
                <w:szCs w:val="24"/>
              </w:rPr>
            </w:pPr>
            <w:r w:rsidRPr="009C778C">
              <w:rPr>
                <w:rFonts w:cstheme="minorHAnsi"/>
                <w:sz w:val="24"/>
                <w:szCs w:val="24"/>
              </w:rPr>
              <w:t>0.035*</w:t>
            </w:r>
          </w:p>
        </w:tc>
        <w:tc>
          <w:tcPr>
            <w:tcW w:w="0" w:type="auto"/>
            <w:hideMark/>
          </w:tcPr>
          <w:p w14:paraId="62AA937D" w14:textId="77777777" w:rsidR="009C778C" w:rsidRPr="009C778C" w:rsidRDefault="009C778C" w:rsidP="009C778C">
            <w:pPr>
              <w:rPr>
                <w:rFonts w:cstheme="minorHAnsi"/>
                <w:sz w:val="24"/>
                <w:szCs w:val="24"/>
              </w:rPr>
            </w:pPr>
            <w:r w:rsidRPr="009C778C">
              <w:rPr>
                <w:rFonts w:cstheme="minorHAnsi"/>
                <w:sz w:val="24"/>
                <w:szCs w:val="24"/>
              </w:rPr>
              <w:t>0.025*</w:t>
            </w:r>
          </w:p>
        </w:tc>
        <w:tc>
          <w:tcPr>
            <w:tcW w:w="0" w:type="auto"/>
            <w:hideMark/>
          </w:tcPr>
          <w:p w14:paraId="44E9162D" w14:textId="77777777" w:rsidR="009C778C" w:rsidRPr="009C778C" w:rsidRDefault="009C778C" w:rsidP="009C778C">
            <w:pPr>
              <w:rPr>
                <w:rFonts w:cstheme="minorHAnsi"/>
                <w:sz w:val="24"/>
                <w:szCs w:val="24"/>
              </w:rPr>
            </w:pPr>
            <w:r w:rsidRPr="009C778C">
              <w:rPr>
                <w:rFonts w:cstheme="minorHAnsi"/>
                <w:sz w:val="24"/>
                <w:szCs w:val="24"/>
              </w:rPr>
              <w:t>0.020</w:t>
            </w:r>
          </w:p>
        </w:tc>
        <w:tc>
          <w:tcPr>
            <w:tcW w:w="0" w:type="auto"/>
            <w:hideMark/>
          </w:tcPr>
          <w:p w14:paraId="3D04882D" w14:textId="77777777" w:rsidR="009C778C" w:rsidRPr="009C778C" w:rsidRDefault="009C778C" w:rsidP="009C778C">
            <w:pPr>
              <w:rPr>
                <w:rFonts w:cstheme="minorHAnsi"/>
                <w:sz w:val="24"/>
                <w:szCs w:val="24"/>
              </w:rPr>
            </w:pPr>
            <w:r w:rsidRPr="009C778C">
              <w:rPr>
                <w:rFonts w:cstheme="minorHAnsi"/>
                <w:sz w:val="24"/>
                <w:szCs w:val="24"/>
              </w:rPr>
              <w:t>0.036***</w:t>
            </w:r>
          </w:p>
        </w:tc>
        <w:tc>
          <w:tcPr>
            <w:tcW w:w="0" w:type="auto"/>
            <w:hideMark/>
          </w:tcPr>
          <w:p w14:paraId="71E8F94A" w14:textId="77777777" w:rsidR="009C778C" w:rsidRPr="009C778C" w:rsidRDefault="009C778C" w:rsidP="009C778C">
            <w:pPr>
              <w:rPr>
                <w:rFonts w:cstheme="minorHAnsi"/>
                <w:sz w:val="24"/>
                <w:szCs w:val="24"/>
              </w:rPr>
            </w:pPr>
            <w:r w:rsidRPr="009C778C">
              <w:rPr>
                <w:rFonts w:cstheme="minorHAnsi"/>
                <w:sz w:val="24"/>
                <w:szCs w:val="24"/>
              </w:rPr>
              <w:t>0.043***</w:t>
            </w:r>
          </w:p>
        </w:tc>
        <w:tc>
          <w:tcPr>
            <w:tcW w:w="0" w:type="auto"/>
            <w:hideMark/>
          </w:tcPr>
          <w:p w14:paraId="11B08F03" w14:textId="77777777" w:rsidR="009C778C" w:rsidRPr="009C778C" w:rsidRDefault="009C778C" w:rsidP="009C778C">
            <w:pPr>
              <w:rPr>
                <w:rFonts w:cstheme="minorHAnsi"/>
                <w:sz w:val="24"/>
                <w:szCs w:val="24"/>
              </w:rPr>
            </w:pPr>
            <w:r w:rsidRPr="009C778C">
              <w:rPr>
                <w:rFonts w:cstheme="minorHAnsi"/>
                <w:sz w:val="24"/>
                <w:szCs w:val="24"/>
              </w:rPr>
              <w:t>0.034***</w:t>
            </w:r>
          </w:p>
        </w:tc>
        <w:tc>
          <w:tcPr>
            <w:tcW w:w="0" w:type="auto"/>
            <w:hideMark/>
          </w:tcPr>
          <w:p w14:paraId="3D6B14C5" w14:textId="77777777" w:rsidR="009C778C" w:rsidRPr="009C778C" w:rsidRDefault="009C778C" w:rsidP="009C778C">
            <w:pPr>
              <w:rPr>
                <w:rFonts w:cstheme="minorHAnsi"/>
                <w:sz w:val="24"/>
                <w:szCs w:val="24"/>
              </w:rPr>
            </w:pPr>
            <w:r w:rsidRPr="009C778C">
              <w:rPr>
                <w:rFonts w:cstheme="minorHAnsi"/>
                <w:sz w:val="24"/>
                <w:szCs w:val="24"/>
              </w:rPr>
              <w:t>− 0.024</w:t>
            </w:r>
          </w:p>
        </w:tc>
      </w:tr>
      <w:tr w:rsidR="009C778C" w:rsidRPr="009C778C" w14:paraId="7D4AF7FE" w14:textId="77777777" w:rsidTr="0046257B">
        <w:tc>
          <w:tcPr>
            <w:tcW w:w="0" w:type="auto"/>
            <w:hideMark/>
          </w:tcPr>
          <w:p w14:paraId="776033B7" w14:textId="77777777" w:rsidR="009C778C" w:rsidRPr="009C778C" w:rsidRDefault="009C778C" w:rsidP="009C778C">
            <w:pPr>
              <w:rPr>
                <w:rFonts w:cstheme="minorHAnsi"/>
                <w:b/>
                <w:bCs/>
                <w:sz w:val="24"/>
                <w:szCs w:val="24"/>
              </w:rPr>
            </w:pPr>
          </w:p>
        </w:tc>
        <w:tc>
          <w:tcPr>
            <w:tcW w:w="0" w:type="auto"/>
            <w:hideMark/>
          </w:tcPr>
          <w:p w14:paraId="40ACF675" w14:textId="77777777" w:rsidR="009C778C" w:rsidRPr="009C778C" w:rsidRDefault="009C778C" w:rsidP="009C778C">
            <w:pPr>
              <w:rPr>
                <w:rFonts w:cstheme="minorHAnsi"/>
                <w:b/>
                <w:bCs/>
                <w:sz w:val="24"/>
                <w:szCs w:val="24"/>
              </w:rPr>
            </w:pPr>
          </w:p>
        </w:tc>
        <w:tc>
          <w:tcPr>
            <w:tcW w:w="0" w:type="auto"/>
            <w:hideMark/>
          </w:tcPr>
          <w:p w14:paraId="4677AD76" w14:textId="77777777" w:rsidR="009C778C" w:rsidRPr="009C778C" w:rsidRDefault="009C778C" w:rsidP="009C778C">
            <w:pPr>
              <w:rPr>
                <w:rFonts w:cstheme="minorHAnsi"/>
                <w:sz w:val="24"/>
                <w:szCs w:val="24"/>
              </w:rPr>
            </w:pPr>
            <w:r w:rsidRPr="009C778C">
              <w:rPr>
                <w:rFonts w:cstheme="minorHAnsi"/>
                <w:sz w:val="24"/>
                <w:szCs w:val="24"/>
              </w:rPr>
              <w:t>(1.77)</w:t>
            </w:r>
          </w:p>
        </w:tc>
        <w:tc>
          <w:tcPr>
            <w:tcW w:w="0" w:type="auto"/>
            <w:hideMark/>
          </w:tcPr>
          <w:p w14:paraId="7846623A" w14:textId="77777777" w:rsidR="009C778C" w:rsidRPr="009C778C" w:rsidRDefault="009C778C" w:rsidP="009C778C">
            <w:pPr>
              <w:rPr>
                <w:rFonts w:cstheme="minorHAnsi"/>
                <w:sz w:val="24"/>
                <w:szCs w:val="24"/>
              </w:rPr>
            </w:pPr>
            <w:r w:rsidRPr="009C778C">
              <w:rPr>
                <w:rFonts w:cstheme="minorHAnsi"/>
                <w:sz w:val="24"/>
                <w:szCs w:val="24"/>
              </w:rPr>
              <w:t>(1.60)</w:t>
            </w:r>
          </w:p>
        </w:tc>
        <w:tc>
          <w:tcPr>
            <w:tcW w:w="0" w:type="auto"/>
            <w:hideMark/>
          </w:tcPr>
          <w:p w14:paraId="3F334D85" w14:textId="77777777" w:rsidR="009C778C" w:rsidRPr="009C778C" w:rsidRDefault="009C778C" w:rsidP="009C778C">
            <w:pPr>
              <w:rPr>
                <w:rFonts w:cstheme="minorHAnsi"/>
                <w:sz w:val="24"/>
                <w:szCs w:val="24"/>
              </w:rPr>
            </w:pPr>
            <w:r w:rsidRPr="009C778C">
              <w:rPr>
                <w:rFonts w:cstheme="minorHAnsi"/>
                <w:sz w:val="24"/>
                <w:szCs w:val="24"/>
              </w:rPr>
              <w:t>(1.82)</w:t>
            </w:r>
          </w:p>
        </w:tc>
        <w:tc>
          <w:tcPr>
            <w:tcW w:w="0" w:type="auto"/>
            <w:hideMark/>
          </w:tcPr>
          <w:p w14:paraId="2E31CA4C" w14:textId="77777777" w:rsidR="009C778C" w:rsidRPr="009C778C" w:rsidRDefault="009C778C" w:rsidP="009C778C">
            <w:pPr>
              <w:rPr>
                <w:rFonts w:cstheme="minorHAnsi"/>
                <w:sz w:val="24"/>
                <w:szCs w:val="24"/>
              </w:rPr>
            </w:pPr>
            <w:r w:rsidRPr="009C778C">
              <w:rPr>
                <w:rFonts w:cstheme="minorHAnsi"/>
                <w:sz w:val="24"/>
                <w:szCs w:val="24"/>
              </w:rPr>
              <w:t>(1.73)</w:t>
            </w:r>
          </w:p>
        </w:tc>
        <w:tc>
          <w:tcPr>
            <w:tcW w:w="0" w:type="auto"/>
            <w:hideMark/>
          </w:tcPr>
          <w:p w14:paraId="472A9D6D" w14:textId="77777777" w:rsidR="009C778C" w:rsidRPr="009C778C" w:rsidRDefault="009C778C" w:rsidP="009C778C">
            <w:pPr>
              <w:rPr>
                <w:rFonts w:cstheme="minorHAnsi"/>
                <w:sz w:val="24"/>
                <w:szCs w:val="24"/>
              </w:rPr>
            </w:pPr>
            <w:r w:rsidRPr="009C778C">
              <w:rPr>
                <w:rFonts w:cstheme="minorHAnsi"/>
                <w:sz w:val="24"/>
                <w:szCs w:val="24"/>
              </w:rPr>
              <w:t>(1.42)</w:t>
            </w:r>
          </w:p>
        </w:tc>
        <w:tc>
          <w:tcPr>
            <w:tcW w:w="0" w:type="auto"/>
            <w:hideMark/>
          </w:tcPr>
          <w:p w14:paraId="48E633F1" w14:textId="77777777" w:rsidR="009C778C" w:rsidRPr="009C778C" w:rsidRDefault="009C778C" w:rsidP="009C778C">
            <w:pPr>
              <w:rPr>
                <w:rFonts w:cstheme="minorHAnsi"/>
                <w:sz w:val="24"/>
                <w:szCs w:val="24"/>
              </w:rPr>
            </w:pPr>
            <w:r w:rsidRPr="009C778C">
              <w:rPr>
                <w:rFonts w:cstheme="minorHAnsi"/>
                <w:sz w:val="24"/>
                <w:szCs w:val="24"/>
              </w:rPr>
              <w:t>(2.68)</w:t>
            </w:r>
          </w:p>
        </w:tc>
        <w:tc>
          <w:tcPr>
            <w:tcW w:w="0" w:type="auto"/>
            <w:hideMark/>
          </w:tcPr>
          <w:p w14:paraId="42637A1E" w14:textId="77777777" w:rsidR="009C778C" w:rsidRPr="009C778C" w:rsidRDefault="009C778C" w:rsidP="009C778C">
            <w:pPr>
              <w:rPr>
                <w:rFonts w:cstheme="minorHAnsi"/>
                <w:sz w:val="24"/>
                <w:szCs w:val="24"/>
              </w:rPr>
            </w:pPr>
            <w:r w:rsidRPr="009C778C">
              <w:rPr>
                <w:rFonts w:cstheme="minorHAnsi"/>
                <w:sz w:val="24"/>
                <w:szCs w:val="24"/>
              </w:rPr>
              <w:t>(2.98)</w:t>
            </w:r>
          </w:p>
        </w:tc>
        <w:tc>
          <w:tcPr>
            <w:tcW w:w="0" w:type="auto"/>
            <w:hideMark/>
          </w:tcPr>
          <w:p w14:paraId="7D50BB5E" w14:textId="77777777" w:rsidR="009C778C" w:rsidRPr="009C778C" w:rsidRDefault="009C778C" w:rsidP="009C778C">
            <w:pPr>
              <w:rPr>
                <w:rFonts w:cstheme="minorHAnsi"/>
                <w:sz w:val="24"/>
                <w:szCs w:val="24"/>
              </w:rPr>
            </w:pPr>
            <w:r w:rsidRPr="009C778C">
              <w:rPr>
                <w:rFonts w:cstheme="minorHAnsi"/>
                <w:sz w:val="24"/>
                <w:szCs w:val="24"/>
              </w:rPr>
              <w:t>(2.70)</w:t>
            </w:r>
          </w:p>
        </w:tc>
        <w:tc>
          <w:tcPr>
            <w:tcW w:w="0" w:type="auto"/>
            <w:hideMark/>
          </w:tcPr>
          <w:p w14:paraId="1D3109A0" w14:textId="77777777" w:rsidR="009C778C" w:rsidRPr="009C778C" w:rsidRDefault="009C778C" w:rsidP="009C778C">
            <w:pPr>
              <w:rPr>
                <w:rFonts w:cstheme="minorHAnsi"/>
                <w:sz w:val="24"/>
                <w:szCs w:val="24"/>
              </w:rPr>
            </w:pPr>
            <w:r w:rsidRPr="009C778C">
              <w:rPr>
                <w:rFonts w:cstheme="minorHAnsi"/>
                <w:sz w:val="24"/>
                <w:szCs w:val="24"/>
              </w:rPr>
              <w:t>(− 0.84)</w:t>
            </w:r>
          </w:p>
        </w:tc>
      </w:tr>
      <w:tr w:rsidR="009C778C" w:rsidRPr="009C778C" w14:paraId="3604DE07" w14:textId="77777777" w:rsidTr="0046257B">
        <w:tc>
          <w:tcPr>
            <w:tcW w:w="0" w:type="auto"/>
            <w:hideMark/>
          </w:tcPr>
          <w:p w14:paraId="4018C64E" w14:textId="77777777" w:rsidR="009C778C" w:rsidRPr="009C778C" w:rsidRDefault="009C778C" w:rsidP="009C778C">
            <w:pPr>
              <w:rPr>
                <w:rFonts w:cstheme="minorHAnsi"/>
                <w:b/>
                <w:bCs/>
                <w:sz w:val="24"/>
                <w:szCs w:val="24"/>
              </w:rPr>
            </w:pPr>
            <w:r w:rsidRPr="009C778C">
              <w:rPr>
                <w:rFonts w:cstheme="minorHAnsi"/>
                <w:b/>
                <w:bCs/>
                <w:sz w:val="24"/>
                <w:szCs w:val="24"/>
              </w:rPr>
              <w:t>GDPGROWTH</w:t>
            </w:r>
            <w:r w:rsidRPr="009C778C">
              <w:rPr>
                <w:rFonts w:cstheme="minorHAnsi"/>
                <w:b/>
                <w:bCs/>
                <w:sz w:val="24"/>
                <w:szCs w:val="24"/>
                <w:vertAlign w:val="subscript"/>
              </w:rPr>
              <w:t>t − 1</w:t>
            </w:r>
          </w:p>
        </w:tc>
        <w:tc>
          <w:tcPr>
            <w:tcW w:w="0" w:type="auto"/>
            <w:hideMark/>
          </w:tcPr>
          <w:p w14:paraId="117C8212" w14:textId="77777777" w:rsidR="009C778C" w:rsidRPr="009C778C" w:rsidRDefault="009C778C" w:rsidP="009C778C">
            <w:pPr>
              <w:rPr>
                <w:rFonts w:cstheme="minorHAnsi"/>
                <w:b/>
                <w:bCs/>
                <w:sz w:val="24"/>
                <w:szCs w:val="24"/>
              </w:rPr>
            </w:pPr>
          </w:p>
        </w:tc>
        <w:tc>
          <w:tcPr>
            <w:tcW w:w="0" w:type="auto"/>
            <w:hideMark/>
          </w:tcPr>
          <w:p w14:paraId="709696F2" w14:textId="77777777" w:rsidR="009C778C" w:rsidRPr="009C778C" w:rsidRDefault="009C778C" w:rsidP="009C778C">
            <w:pPr>
              <w:rPr>
                <w:rFonts w:cstheme="minorHAnsi"/>
                <w:sz w:val="24"/>
                <w:szCs w:val="24"/>
              </w:rPr>
            </w:pPr>
            <w:r w:rsidRPr="009C778C">
              <w:rPr>
                <w:rFonts w:cstheme="minorHAnsi"/>
                <w:sz w:val="24"/>
                <w:szCs w:val="24"/>
              </w:rPr>
              <w:t>− 0.314</w:t>
            </w:r>
          </w:p>
        </w:tc>
        <w:tc>
          <w:tcPr>
            <w:tcW w:w="0" w:type="auto"/>
            <w:hideMark/>
          </w:tcPr>
          <w:p w14:paraId="5C29BAC6" w14:textId="77777777" w:rsidR="009C778C" w:rsidRPr="009C778C" w:rsidRDefault="009C778C" w:rsidP="009C778C">
            <w:pPr>
              <w:rPr>
                <w:rFonts w:cstheme="minorHAnsi"/>
                <w:sz w:val="24"/>
                <w:szCs w:val="24"/>
              </w:rPr>
            </w:pPr>
            <w:r w:rsidRPr="009C778C">
              <w:rPr>
                <w:rFonts w:cstheme="minorHAnsi"/>
                <w:sz w:val="24"/>
                <w:szCs w:val="24"/>
              </w:rPr>
              <w:t>− 0.418</w:t>
            </w:r>
          </w:p>
        </w:tc>
        <w:tc>
          <w:tcPr>
            <w:tcW w:w="0" w:type="auto"/>
            <w:hideMark/>
          </w:tcPr>
          <w:p w14:paraId="47EF1752" w14:textId="77777777" w:rsidR="009C778C" w:rsidRPr="009C778C" w:rsidRDefault="009C778C" w:rsidP="009C778C">
            <w:pPr>
              <w:rPr>
                <w:rFonts w:cstheme="minorHAnsi"/>
                <w:sz w:val="24"/>
                <w:szCs w:val="24"/>
              </w:rPr>
            </w:pPr>
            <w:r w:rsidRPr="009C778C">
              <w:rPr>
                <w:rFonts w:cstheme="minorHAnsi"/>
                <w:sz w:val="24"/>
                <w:szCs w:val="24"/>
              </w:rPr>
              <w:t>− 0.418</w:t>
            </w:r>
          </w:p>
        </w:tc>
        <w:tc>
          <w:tcPr>
            <w:tcW w:w="0" w:type="auto"/>
            <w:hideMark/>
          </w:tcPr>
          <w:p w14:paraId="3A5E7304" w14:textId="77777777" w:rsidR="009C778C" w:rsidRPr="009C778C" w:rsidRDefault="009C778C" w:rsidP="009C778C">
            <w:pPr>
              <w:rPr>
                <w:rFonts w:cstheme="minorHAnsi"/>
                <w:sz w:val="24"/>
                <w:szCs w:val="24"/>
              </w:rPr>
            </w:pPr>
            <w:r w:rsidRPr="009C778C">
              <w:rPr>
                <w:rFonts w:cstheme="minorHAnsi"/>
                <w:sz w:val="24"/>
                <w:szCs w:val="24"/>
              </w:rPr>
              <w:t>− 0.443</w:t>
            </w:r>
          </w:p>
        </w:tc>
        <w:tc>
          <w:tcPr>
            <w:tcW w:w="0" w:type="auto"/>
            <w:hideMark/>
          </w:tcPr>
          <w:p w14:paraId="546F2C34" w14:textId="77777777" w:rsidR="009C778C" w:rsidRPr="009C778C" w:rsidRDefault="009C778C" w:rsidP="009C778C">
            <w:pPr>
              <w:rPr>
                <w:rFonts w:cstheme="minorHAnsi"/>
                <w:sz w:val="24"/>
                <w:szCs w:val="24"/>
              </w:rPr>
            </w:pPr>
            <w:r w:rsidRPr="009C778C">
              <w:rPr>
                <w:rFonts w:cstheme="minorHAnsi"/>
                <w:sz w:val="24"/>
                <w:szCs w:val="24"/>
              </w:rPr>
              <w:t>− 0.409</w:t>
            </w:r>
          </w:p>
        </w:tc>
        <w:tc>
          <w:tcPr>
            <w:tcW w:w="0" w:type="auto"/>
            <w:hideMark/>
          </w:tcPr>
          <w:p w14:paraId="47FFB93B" w14:textId="77777777" w:rsidR="009C778C" w:rsidRPr="009C778C" w:rsidRDefault="009C778C" w:rsidP="009C778C">
            <w:pPr>
              <w:rPr>
                <w:rFonts w:cstheme="minorHAnsi"/>
                <w:sz w:val="24"/>
                <w:szCs w:val="24"/>
              </w:rPr>
            </w:pPr>
            <w:r w:rsidRPr="009C778C">
              <w:rPr>
                <w:rFonts w:cstheme="minorHAnsi"/>
                <w:sz w:val="24"/>
                <w:szCs w:val="24"/>
              </w:rPr>
              <w:t>− 0.304</w:t>
            </w:r>
          </w:p>
        </w:tc>
        <w:tc>
          <w:tcPr>
            <w:tcW w:w="0" w:type="auto"/>
            <w:hideMark/>
          </w:tcPr>
          <w:p w14:paraId="3871ED51" w14:textId="77777777" w:rsidR="009C778C" w:rsidRPr="009C778C" w:rsidRDefault="009C778C" w:rsidP="009C778C">
            <w:pPr>
              <w:rPr>
                <w:rFonts w:cstheme="minorHAnsi"/>
                <w:sz w:val="24"/>
                <w:szCs w:val="24"/>
              </w:rPr>
            </w:pPr>
            <w:r w:rsidRPr="009C778C">
              <w:rPr>
                <w:rFonts w:cstheme="minorHAnsi"/>
                <w:sz w:val="24"/>
                <w:szCs w:val="24"/>
              </w:rPr>
              <w:t>0.551</w:t>
            </w:r>
          </w:p>
        </w:tc>
        <w:tc>
          <w:tcPr>
            <w:tcW w:w="0" w:type="auto"/>
            <w:hideMark/>
          </w:tcPr>
          <w:p w14:paraId="05AA10F3" w14:textId="77777777" w:rsidR="009C778C" w:rsidRPr="009C778C" w:rsidRDefault="009C778C" w:rsidP="009C778C">
            <w:pPr>
              <w:rPr>
                <w:rFonts w:cstheme="minorHAnsi"/>
                <w:sz w:val="24"/>
                <w:szCs w:val="24"/>
              </w:rPr>
            </w:pPr>
            <w:r w:rsidRPr="009C778C">
              <w:rPr>
                <w:rFonts w:cstheme="minorHAnsi"/>
                <w:sz w:val="24"/>
                <w:szCs w:val="24"/>
              </w:rPr>
              <w:t>− 0.442*</w:t>
            </w:r>
          </w:p>
        </w:tc>
        <w:tc>
          <w:tcPr>
            <w:tcW w:w="0" w:type="auto"/>
            <w:hideMark/>
          </w:tcPr>
          <w:p w14:paraId="6858E98E" w14:textId="77777777" w:rsidR="009C778C" w:rsidRPr="009C778C" w:rsidRDefault="009C778C" w:rsidP="009C778C">
            <w:pPr>
              <w:rPr>
                <w:rFonts w:cstheme="minorHAnsi"/>
                <w:sz w:val="24"/>
                <w:szCs w:val="24"/>
              </w:rPr>
            </w:pPr>
            <w:r w:rsidRPr="009C778C">
              <w:rPr>
                <w:rFonts w:cstheme="minorHAnsi"/>
                <w:sz w:val="24"/>
                <w:szCs w:val="24"/>
              </w:rPr>
              <w:t>− 1.189</w:t>
            </w:r>
          </w:p>
        </w:tc>
      </w:tr>
      <w:tr w:rsidR="009C778C" w:rsidRPr="009C778C" w14:paraId="6393AC6E" w14:textId="77777777" w:rsidTr="0046257B">
        <w:tc>
          <w:tcPr>
            <w:tcW w:w="0" w:type="auto"/>
            <w:hideMark/>
          </w:tcPr>
          <w:p w14:paraId="73C68C87" w14:textId="77777777" w:rsidR="009C778C" w:rsidRPr="009C778C" w:rsidRDefault="009C778C" w:rsidP="009C778C">
            <w:pPr>
              <w:rPr>
                <w:rFonts w:cstheme="minorHAnsi"/>
                <w:b/>
                <w:bCs/>
                <w:sz w:val="24"/>
                <w:szCs w:val="24"/>
              </w:rPr>
            </w:pPr>
          </w:p>
        </w:tc>
        <w:tc>
          <w:tcPr>
            <w:tcW w:w="0" w:type="auto"/>
            <w:hideMark/>
          </w:tcPr>
          <w:p w14:paraId="230A1D04" w14:textId="77777777" w:rsidR="009C778C" w:rsidRPr="009C778C" w:rsidRDefault="009C778C" w:rsidP="009C778C">
            <w:pPr>
              <w:rPr>
                <w:rFonts w:cstheme="minorHAnsi"/>
                <w:b/>
                <w:bCs/>
                <w:sz w:val="24"/>
                <w:szCs w:val="24"/>
              </w:rPr>
            </w:pPr>
          </w:p>
        </w:tc>
        <w:tc>
          <w:tcPr>
            <w:tcW w:w="0" w:type="auto"/>
            <w:hideMark/>
          </w:tcPr>
          <w:p w14:paraId="5607F399" w14:textId="77777777" w:rsidR="009C778C" w:rsidRPr="009C778C" w:rsidRDefault="009C778C" w:rsidP="009C778C">
            <w:pPr>
              <w:rPr>
                <w:rFonts w:cstheme="minorHAnsi"/>
                <w:sz w:val="24"/>
                <w:szCs w:val="24"/>
              </w:rPr>
            </w:pPr>
            <w:r w:rsidRPr="009C778C">
              <w:rPr>
                <w:rFonts w:cstheme="minorHAnsi"/>
                <w:sz w:val="24"/>
                <w:szCs w:val="24"/>
              </w:rPr>
              <w:t>(− 1.02)</w:t>
            </w:r>
          </w:p>
        </w:tc>
        <w:tc>
          <w:tcPr>
            <w:tcW w:w="0" w:type="auto"/>
            <w:hideMark/>
          </w:tcPr>
          <w:p w14:paraId="0A1929EC" w14:textId="77777777" w:rsidR="009C778C" w:rsidRPr="009C778C" w:rsidRDefault="009C778C" w:rsidP="009C778C">
            <w:pPr>
              <w:rPr>
                <w:rFonts w:cstheme="minorHAnsi"/>
                <w:sz w:val="24"/>
                <w:szCs w:val="24"/>
              </w:rPr>
            </w:pPr>
            <w:r w:rsidRPr="009C778C">
              <w:rPr>
                <w:rFonts w:cstheme="minorHAnsi"/>
                <w:sz w:val="24"/>
                <w:szCs w:val="24"/>
              </w:rPr>
              <w:t>(− 0.81)</w:t>
            </w:r>
          </w:p>
        </w:tc>
        <w:tc>
          <w:tcPr>
            <w:tcW w:w="0" w:type="auto"/>
            <w:hideMark/>
          </w:tcPr>
          <w:p w14:paraId="026A0773" w14:textId="77777777" w:rsidR="009C778C" w:rsidRPr="009C778C" w:rsidRDefault="009C778C" w:rsidP="009C778C">
            <w:pPr>
              <w:rPr>
                <w:rFonts w:cstheme="minorHAnsi"/>
                <w:sz w:val="24"/>
                <w:szCs w:val="24"/>
              </w:rPr>
            </w:pPr>
            <w:r w:rsidRPr="009C778C">
              <w:rPr>
                <w:rFonts w:cstheme="minorHAnsi"/>
                <w:sz w:val="24"/>
                <w:szCs w:val="24"/>
              </w:rPr>
              <w:t>(− 0.66)</w:t>
            </w:r>
          </w:p>
        </w:tc>
        <w:tc>
          <w:tcPr>
            <w:tcW w:w="0" w:type="auto"/>
            <w:hideMark/>
          </w:tcPr>
          <w:p w14:paraId="38AC698B" w14:textId="77777777" w:rsidR="009C778C" w:rsidRPr="009C778C" w:rsidRDefault="009C778C" w:rsidP="009C778C">
            <w:pPr>
              <w:rPr>
                <w:rFonts w:cstheme="minorHAnsi"/>
                <w:sz w:val="24"/>
                <w:szCs w:val="24"/>
              </w:rPr>
            </w:pPr>
            <w:r w:rsidRPr="009C778C">
              <w:rPr>
                <w:rFonts w:cstheme="minorHAnsi"/>
                <w:sz w:val="24"/>
                <w:szCs w:val="24"/>
              </w:rPr>
              <w:t>(− 1.31)</w:t>
            </w:r>
          </w:p>
        </w:tc>
        <w:tc>
          <w:tcPr>
            <w:tcW w:w="0" w:type="auto"/>
            <w:hideMark/>
          </w:tcPr>
          <w:p w14:paraId="4959DE20" w14:textId="77777777" w:rsidR="009C778C" w:rsidRPr="009C778C" w:rsidRDefault="009C778C" w:rsidP="009C778C">
            <w:pPr>
              <w:rPr>
                <w:rFonts w:cstheme="minorHAnsi"/>
                <w:sz w:val="24"/>
                <w:szCs w:val="24"/>
              </w:rPr>
            </w:pPr>
            <w:r w:rsidRPr="009C778C">
              <w:rPr>
                <w:rFonts w:cstheme="minorHAnsi"/>
                <w:sz w:val="24"/>
                <w:szCs w:val="24"/>
              </w:rPr>
              <w:t>(− 1.40)</w:t>
            </w:r>
          </w:p>
        </w:tc>
        <w:tc>
          <w:tcPr>
            <w:tcW w:w="0" w:type="auto"/>
            <w:hideMark/>
          </w:tcPr>
          <w:p w14:paraId="17AB604C" w14:textId="77777777" w:rsidR="009C778C" w:rsidRPr="009C778C" w:rsidRDefault="009C778C" w:rsidP="009C778C">
            <w:pPr>
              <w:rPr>
                <w:rFonts w:cstheme="minorHAnsi"/>
                <w:sz w:val="24"/>
                <w:szCs w:val="24"/>
              </w:rPr>
            </w:pPr>
            <w:r w:rsidRPr="009C778C">
              <w:rPr>
                <w:rFonts w:cstheme="minorHAnsi"/>
                <w:sz w:val="24"/>
                <w:szCs w:val="24"/>
              </w:rPr>
              <w:t>(− 1.08)</w:t>
            </w:r>
          </w:p>
        </w:tc>
        <w:tc>
          <w:tcPr>
            <w:tcW w:w="0" w:type="auto"/>
            <w:hideMark/>
          </w:tcPr>
          <w:p w14:paraId="249A01F4" w14:textId="77777777" w:rsidR="009C778C" w:rsidRPr="009C778C" w:rsidRDefault="009C778C" w:rsidP="009C778C">
            <w:pPr>
              <w:rPr>
                <w:rFonts w:cstheme="minorHAnsi"/>
                <w:sz w:val="24"/>
                <w:szCs w:val="24"/>
              </w:rPr>
            </w:pPr>
            <w:r w:rsidRPr="009C778C">
              <w:rPr>
                <w:rFonts w:cstheme="minorHAnsi"/>
                <w:sz w:val="24"/>
                <w:szCs w:val="24"/>
              </w:rPr>
              <w:t>(1.55)</w:t>
            </w:r>
          </w:p>
        </w:tc>
        <w:tc>
          <w:tcPr>
            <w:tcW w:w="0" w:type="auto"/>
            <w:hideMark/>
          </w:tcPr>
          <w:p w14:paraId="4349A5E9" w14:textId="77777777" w:rsidR="009C778C" w:rsidRPr="009C778C" w:rsidRDefault="009C778C" w:rsidP="009C778C">
            <w:pPr>
              <w:rPr>
                <w:rFonts w:cstheme="minorHAnsi"/>
                <w:sz w:val="24"/>
                <w:szCs w:val="24"/>
              </w:rPr>
            </w:pPr>
            <w:r w:rsidRPr="009C778C">
              <w:rPr>
                <w:rFonts w:cstheme="minorHAnsi"/>
                <w:sz w:val="24"/>
                <w:szCs w:val="24"/>
              </w:rPr>
              <w:t>(− 1.69)</w:t>
            </w:r>
          </w:p>
        </w:tc>
        <w:tc>
          <w:tcPr>
            <w:tcW w:w="0" w:type="auto"/>
            <w:hideMark/>
          </w:tcPr>
          <w:p w14:paraId="7B6EC54A" w14:textId="77777777" w:rsidR="009C778C" w:rsidRPr="009C778C" w:rsidRDefault="009C778C" w:rsidP="009C778C">
            <w:pPr>
              <w:rPr>
                <w:rFonts w:cstheme="minorHAnsi"/>
                <w:sz w:val="24"/>
                <w:szCs w:val="24"/>
              </w:rPr>
            </w:pPr>
            <w:r w:rsidRPr="009C778C">
              <w:rPr>
                <w:rFonts w:cstheme="minorHAnsi"/>
                <w:sz w:val="24"/>
                <w:szCs w:val="24"/>
              </w:rPr>
              <w:t>(− 1.71)</w:t>
            </w:r>
          </w:p>
        </w:tc>
      </w:tr>
      <w:tr w:rsidR="009C778C" w:rsidRPr="009C778C" w14:paraId="67985BBB" w14:textId="77777777" w:rsidTr="0046257B">
        <w:tc>
          <w:tcPr>
            <w:tcW w:w="0" w:type="auto"/>
            <w:hideMark/>
          </w:tcPr>
          <w:p w14:paraId="334ADE3D" w14:textId="77777777" w:rsidR="009C778C" w:rsidRPr="009C778C" w:rsidRDefault="009C778C" w:rsidP="009C778C">
            <w:pPr>
              <w:rPr>
                <w:rFonts w:cstheme="minorHAnsi"/>
                <w:b/>
                <w:bCs/>
                <w:sz w:val="24"/>
                <w:szCs w:val="24"/>
              </w:rPr>
            </w:pPr>
            <w:r w:rsidRPr="009C778C">
              <w:rPr>
                <w:rFonts w:cstheme="minorHAnsi"/>
                <w:b/>
                <w:bCs/>
                <w:sz w:val="24"/>
                <w:szCs w:val="24"/>
              </w:rPr>
              <w:t>INFLATION</w:t>
            </w:r>
            <w:r w:rsidRPr="009C778C">
              <w:rPr>
                <w:rFonts w:cstheme="minorHAnsi"/>
                <w:b/>
                <w:bCs/>
                <w:sz w:val="24"/>
                <w:szCs w:val="24"/>
                <w:vertAlign w:val="subscript"/>
              </w:rPr>
              <w:t>t − 1</w:t>
            </w:r>
          </w:p>
        </w:tc>
        <w:tc>
          <w:tcPr>
            <w:tcW w:w="0" w:type="auto"/>
            <w:hideMark/>
          </w:tcPr>
          <w:p w14:paraId="5A3CA1AD" w14:textId="77777777" w:rsidR="009C778C" w:rsidRPr="009C778C" w:rsidRDefault="009C778C" w:rsidP="009C778C">
            <w:pPr>
              <w:rPr>
                <w:rFonts w:cstheme="minorHAnsi"/>
                <w:b/>
                <w:bCs/>
                <w:sz w:val="24"/>
                <w:szCs w:val="24"/>
              </w:rPr>
            </w:pPr>
          </w:p>
        </w:tc>
        <w:tc>
          <w:tcPr>
            <w:tcW w:w="0" w:type="auto"/>
            <w:hideMark/>
          </w:tcPr>
          <w:p w14:paraId="631349AE" w14:textId="77777777" w:rsidR="009C778C" w:rsidRPr="009C778C" w:rsidRDefault="009C778C" w:rsidP="009C778C">
            <w:pPr>
              <w:rPr>
                <w:rFonts w:cstheme="minorHAnsi"/>
                <w:sz w:val="24"/>
                <w:szCs w:val="24"/>
              </w:rPr>
            </w:pPr>
            <w:r w:rsidRPr="009C778C">
              <w:rPr>
                <w:rFonts w:cstheme="minorHAnsi"/>
                <w:sz w:val="24"/>
                <w:szCs w:val="24"/>
              </w:rPr>
              <w:t>0.778*</w:t>
            </w:r>
          </w:p>
        </w:tc>
        <w:tc>
          <w:tcPr>
            <w:tcW w:w="0" w:type="auto"/>
            <w:hideMark/>
          </w:tcPr>
          <w:p w14:paraId="75FE7E43" w14:textId="77777777" w:rsidR="009C778C" w:rsidRPr="009C778C" w:rsidRDefault="009C778C" w:rsidP="009C778C">
            <w:pPr>
              <w:rPr>
                <w:rFonts w:cstheme="minorHAnsi"/>
                <w:sz w:val="24"/>
                <w:szCs w:val="24"/>
              </w:rPr>
            </w:pPr>
            <w:r w:rsidRPr="009C778C">
              <w:rPr>
                <w:rFonts w:cstheme="minorHAnsi"/>
                <w:sz w:val="24"/>
                <w:szCs w:val="24"/>
              </w:rPr>
              <w:t>1.375</w:t>
            </w:r>
          </w:p>
        </w:tc>
        <w:tc>
          <w:tcPr>
            <w:tcW w:w="0" w:type="auto"/>
            <w:hideMark/>
          </w:tcPr>
          <w:p w14:paraId="3F3EB951" w14:textId="77777777" w:rsidR="009C778C" w:rsidRPr="009C778C" w:rsidRDefault="009C778C" w:rsidP="009C778C">
            <w:pPr>
              <w:rPr>
                <w:rFonts w:cstheme="minorHAnsi"/>
                <w:sz w:val="24"/>
                <w:szCs w:val="24"/>
              </w:rPr>
            </w:pPr>
            <w:r w:rsidRPr="009C778C">
              <w:rPr>
                <w:rFonts w:cstheme="minorHAnsi"/>
                <w:sz w:val="24"/>
                <w:szCs w:val="24"/>
              </w:rPr>
              <w:t>1.375**</w:t>
            </w:r>
          </w:p>
        </w:tc>
        <w:tc>
          <w:tcPr>
            <w:tcW w:w="0" w:type="auto"/>
            <w:hideMark/>
          </w:tcPr>
          <w:p w14:paraId="64581E55" w14:textId="77777777" w:rsidR="009C778C" w:rsidRPr="009C778C" w:rsidRDefault="009C778C" w:rsidP="009C778C">
            <w:pPr>
              <w:rPr>
                <w:rFonts w:cstheme="minorHAnsi"/>
                <w:sz w:val="24"/>
                <w:szCs w:val="24"/>
              </w:rPr>
            </w:pPr>
            <w:r w:rsidRPr="009C778C">
              <w:rPr>
                <w:rFonts w:cstheme="minorHAnsi"/>
                <w:sz w:val="24"/>
                <w:szCs w:val="24"/>
              </w:rPr>
              <w:t>1.829***</w:t>
            </w:r>
          </w:p>
        </w:tc>
        <w:tc>
          <w:tcPr>
            <w:tcW w:w="0" w:type="auto"/>
            <w:hideMark/>
          </w:tcPr>
          <w:p w14:paraId="23908EC7" w14:textId="77777777" w:rsidR="009C778C" w:rsidRPr="009C778C" w:rsidRDefault="009C778C" w:rsidP="009C778C">
            <w:pPr>
              <w:rPr>
                <w:rFonts w:cstheme="minorHAnsi"/>
                <w:sz w:val="24"/>
                <w:szCs w:val="24"/>
              </w:rPr>
            </w:pPr>
            <w:r w:rsidRPr="009C778C">
              <w:rPr>
                <w:rFonts w:cstheme="minorHAnsi"/>
                <w:sz w:val="24"/>
                <w:szCs w:val="24"/>
              </w:rPr>
              <w:t>0.651*</w:t>
            </w:r>
          </w:p>
        </w:tc>
        <w:tc>
          <w:tcPr>
            <w:tcW w:w="0" w:type="auto"/>
            <w:hideMark/>
          </w:tcPr>
          <w:p w14:paraId="7BC23158" w14:textId="77777777" w:rsidR="009C778C" w:rsidRPr="009C778C" w:rsidRDefault="009C778C" w:rsidP="009C778C">
            <w:pPr>
              <w:rPr>
                <w:rFonts w:cstheme="minorHAnsi"/>
                <w:sz w:val="24"/>
                <w:szCs w:val="24"/>
              </w:rPr>
            </w:pPr>
            <w:r w:rsidRPr="009C778C">
              <w:rPr>
                <w:rFonts w:cstheme="minorHAnsi"/>
                <w:sz w:val="24"/>
                <w:szCs w:val="24"/>
              </w:rPr>
              <w:t>1.647***</w:t>
            </w:r>
          </w:p>
        </w:tc>
        <w:tc>
          <w:tcPr>
            <w:tcW w:w="0" w:type="auto"/>
            <w:hideMark/>
          </w:tcPr>
          <w:p w14:paraId="63EC00FE" w14:textId="77777777" w:rsidR="009C778C" w:rsidRPr="009C778C" w:rsidRDefault="009C778C" w:rsidP="009C778C">
            <w:pPr>
              <w:rPr>
                <w:rFonts w:cstheme="minorHAnsi"/>
                <w:sz w:val="24"/>
                <w:szCs w:val="24"/>
              </w:rPr>
            </w:pPr>
            <w:r w:rsidRPr="009C778C">
              <w:rPr>
                <w:rFonts w:cstheme="minorHAnsi"/>
                <w:sz w:val="24"/>
                <w:szCs w:val="24"/>
              </w:rPr>
              <w:t>1.781***</w:t>
            </w:r>
          </w:p>
        </w:tc>
        <w:tc>
          <w:tcPr>
            <w:tcW w:w="0" w:type="auto"/>
            <w:hideMark/>
          </w:tcPr>
          <w:p w14:paraId="6FEEEC35" w14:textId="77777777" w:rsidR="009C778C" w:rsidRPr="009C778C" w:rsidRDefault="009C778C" w:rsidP="009C778C">
            <w:pPr>
              <w:rPr>
                <w:rFonts w:cstheme="minorHAnsi"/>
                <w:sz w:val="24"/>
                <w:szCs w:val="24"/>
              </w:rPr>
            </w:pPr>
            <w:r w:rsidRPr="009C778C">
              <w:rPr>
                <w:rFonts w:cstheme="minorHAnsi"/>
                <w:sz w:val="24"/>
                <w:szCs w:val="24"/>
              </w:rPr>
              <w:t>1.385***</w:t>
            </w:r>
          </w:p>
        </w:tc>
        <w:tc>
          <w:tcPr>
            <w:tcW w:w="0" w:type="auto"/>
            <w:hideMark/>
          </w:tcPr>
          <w:p w14:paraId="3BE8A896" w14:textId="77777777" w:rsidR="009C778C" w:rsidRPr="009C778C" w:rsidRDefault="009C778C" w:rsidP="009C778C">
            <w:pPr>
              <w:rPr>
                <w:rFonts w:cstheme="minorHAnsi"/>
                <w:sz w:val="24"/>
                <w:szCs w:val="24"/>
              </w:rPr>
            </w:pPr>
            <w:r w:rsidRPr="009C778C">
              <w:rPr>
                <w:rFonts w:cstheme="minorHAnsi"/>
                <w:sz w:val="24"/>
                <w:szCs w:val="24"/>
              </w:rPr>
              <w:t>0.155</w:t>
            </w:r>
          </w:p>
        </w:tc>
      </w:tr>
      <w:tr w:rsidR="009C778C" w:rsidRPr="009C778C" w14:paraId="27EFE845" w14:textId="77777777" w:rsidTr="0046257B">
        <w:tc>
          <w:tcPr>
            <w:tcW w:w="0" w:type="auto"/>
            <w:hideMark/>
          </w:tcPr>
          <w:p w14:paraId="5B03FB96" w14:textId="77777777" w:rsidR="009C778C" w:rsidRPr="009C778C" w:rsidRDefault="009C778C" w:rsidP="009C778C">
            <w:pPr>
              <w:rPr>
                <w:rFonts w:cstheme="minorHAnsi"/>
                <w:b/>
                <w:bCs/>
                <w:sz w:val="24"/>
                <w:szCs w:val="24"/>
              </w:rPr>
            </w:pPr>
          </w:p>
        </w:tc>
        <w:tc>
          <w:tcPr>
            <w:tcW w:w="0" w:type="auto"/>
            <w:hideMark/>
          </w:tcPr>
          <w:p w14:paraId="42D77D7D" w14:textId="77777777" w:rsidR="009C778C" w:rsidRPr="009C778C" w:rsidRDefault="009C778C" w:rsidP="009C778C">
            <w:pPr>
              <w:rPr>
                <w:rFonts w:cstheme="minorHAnsi"/>
                <w:b/>
                <w:bCs/>
                <w:sz w:val="24"/>
                <w:szCs w:val="24"/>
              </w:rPr>
            </w:pPr>
          </w:p>
        </w:tc>
        <w:tc>
          <w:tcPr>
            <w:tcW w:w="0" w:type="auto"/>
            <w:hideMark/>
          </w:tcPr>
          <w:p w14:paraId="5FF5EFA3" w14:textId="77777777" w:rsidR="009C778C" w:rsidRPr="009C778C" w:rsidRDefault="009C778C" w:rsidP="009C778C">
            <w:pPr>
              <w:rPr>
                <w:rFonts w:cstheme="minorHAnsi"/>
                <w:sz w:val="24"/>
                <w:szCs w:val="24"/>
              </w:rPr>
            </w:pPr>
            <w:r w:rsidRPr="009C778C">
              <w:rPr>
                <w:rFonts w:cstheme="minorHAnsi"/>
                <w:sz w:val="24"/>
                <w:szCs w:val="24"/>
              </w:rPr>
              <w:t>(1.83)</w:t>
            </w:r>
          </w:p>
        </w:tc>
        <w:tc>
          <w:tcPr>
            <w:tcW w:w="0" w:type="auto"/>
            <w:hideMark/>
          </w:tcPr>
          <w:p w14:paraId="78F72823" w14:textId="77777777" w:rsidR="009C778C" w:rsidRPr="009C778C" w:rsidRDefault="009C778C" w:rsidP="009C778C">
            <w:pPr>
              <w:rPr>
                <w:rFonts w:cstheme="minorHAnsi"/>
                <w:sz w:val="24"/>
                <w:szCs w:val="24"/>
              </w:rPr>
            </w:pPr>
            <w:r w:rsidRPr="009C778C">
              <w:rPr>
                <w:rFonts w:cstheme="minorHAnsi"/>
                <w:sz w:val="24"/>
                <w:szCs w:val="24"/>
              </w:rPr>
              <w:t>(1.64)</w:t>
            </w:r>
          </w:p>
        </w:tc>
        <w:tc>
          <w:tcPr>
            <w:tcW w:w="0" w:type="auto"/>
            <w:hideMark/>
          </w:tcPr>
          <w:p w14:paraId="3CCBC472" w14:textId="77777777" w:rsidR="009C778C" w:rsidRPr="009C778C" w:rsidRDefault="009C778C" w:rsidP="009C778C">
            <w:pPr>
              <w:rPr>
                <w:rFonts w:cstheme="minorHAnsi"/>
                <w:sz w:val="24"/>
                <w:szCs w:val="24"/>
              </w:rPr>
            </w:pPr>
            <w:r w:rsidRPr="009C778C">
              <w:rPr>
                <w:rFonts w:cstheme="minorHAnsi"/>
                <w:sz w:val="24"/>
                <w:szCs w:val="24"/>
              </w:rPr>
              <w:t>(1.98)</w:t>
            </w:r>
          </w:p>
        </w:tc>
        <w:tc>
          <w:tcPr>
            <w:tcW w:w="0" w:type="auto"/>
            <w:hideMark/>
          </w:tcPr>
          <w:p w14:paraId="703C1B75" w14:textId="77777777" w:rsidR="009C778C" w:rsidRPr="009C778C" w:rsidRDefault="009C778C" w:rsidP="009C778C">
            <w:pPr>
              <w:rPr>
                <w:rFonts w:cstheme="minorHAnsi"/>
                <w:sz w:val="24"/>
                <w:szCs w:val="24"/>
              </w:rPr>
            </w:pPr>
            <w:r w:rsidRPr="009C778C">
              <w:rPr>
                <w:rFonts w:cstheme="minorHAnsi"/>
                <w:sz w:val="24"/>
                <w:szCs w:val="24"/>
              </w:rPr>
              <w:t>(4.14)</w:t>
            </w:r>
          </w:p>
        </w:tc>
        <w:tc>
          <w:tcPr>
            <w:tcW w:w="0" w:type="auto"/>
            <w:hideMark/>
          </w:tcPr>
          <w:p w14:paraId="4CF653BC" w14:textId="77777777" w:rsidR="009C778C" w:rsidRPr="009C778C" w:rsidRDefault="009C778C" w:rsidP="009C778C">
            <w:pPr>
              <w:rPr>
                <w:rFonts w:cstheme="minorHAnsi"/>
                <w:sz w:val="24"/>
                <w:szCs w:val="24"/>
              </w:rPr>
            </w:pPr>
            <w:r w:rsidRPr="009C778C">
              <w:rPr>
                <w:rFonts w:cstheme="minorHAnsi"/>
                <w:sz w:val="24"/>
                <w:szCs w:val="24"/>
              </w:rPr>
              <w:t>(1.77)</w:t>
            </w:r>
          </w:p>
        </w:tc>
        <w:tc>
          <w:tcPr>
            <w:tcW w:w="0" w:type="auto"/>
            <w:hideMark/>
          </w:tcPr>
          <w:p w14:paraId="20F7336F" w14:textId="77777777" w:rsidR="009C778C" w:rsidRPr="009C778C" w:rsidRDefault="009C778C" w:rsidP="009C778C">
            <w:pPr>
              <w:rPr>
                <w:rFonts w:cstheme="minorHAnsi"/>
                <w:sz w:val="24"/>
                <w:szCs w:val="24"/>
              </w:rPr>
            </w:pPr>
            <w:r w:rsidRPr="009C778C">
              <w:rPr>
                <w:rFonts w:cstheme="minorHAnsi"/>
                <w:sz w:val="24"/>
                <w:szCs w:val="24"/>
              </w:rPr>
              <w:t>(4.50)</w:t>
            </w:r>
          </w:p>
        </w:tc>
        <w:tc>
          <w:tcPr>
            <w:tcW w:w="0" w:type="auto"/>
            <w:hideMark/>
          </w:tcPr>
          <w:p w14:paraId="467CDE86" w14:textId="77777777" w:rsidR="009C778C" w:rsidRPr="009C778C" w:rsidRDefault="009C778C" w:rsidP="009C778C">
            <w:pPr>
              <w:rPr>
                <w:rFonts w:cstheme="minorHAnsi"/>
                <w:sz w:val="24"/>
                <w:szCs w:val="24"/>
              </w:rPr>
            </w:pPr>
            <w:r w:rsidRPr="009C778C">
              <w:rPr>
                <w:rFonts w:cstheme="minorHAnsi"/>
                <w:sz w:val="24"/>
                <w:szCs w:val="24"/>
              </w:rPr>
              <w:t>(3.79)</w:t>
            </w:r>
          </w:p>
        </w:tc>
        <w:tc>
          <w:tcPr>
            <w:tcW w:w="0" w:type="auto"/>
            <w:hideMark/>
          </w:tcPr>
          <w:p w14:paraId="3F71932C" w14:textId="77777777" w:rsidR="009C778C" w:rsidRPr="009C778C" w:rsidRDefault="009C778C" w:rsidP="009C778C">
            <w:pPr>
              <w:rPr>
                <w:rFonts w:cstheme="minorHAnsi"/>
                <w:sz w:val="24"/>
                <w:szCs w:val="24"/>
              </w:rPr>
            </w:pPr>
            <w:r w:rsidRPr="009C778C">
              <w:rPr>
                <w:rFonts w:cstheme="minorHAnsi"/>
                <w:sz w:val="24"/>
                <w:szCs w:val="24"/>
              </w:rPr>
              <w:t>(4.02)</w:t>
            </w:r>
          </w:p>
        </w:tc>
        <w:tc>
          <w:tcPr>
            <w:tcW w:w="0" w:type="auto"/>
            <w:hideMark/>
          </w:tcPr>
          <w:p w14:paraId="0327C652" w14:textId="77777777" w:rsidR="009C778C" w:rsidRPr="009C778C" w:rsidRDefault="009C778C" w:rsidP="009C778C">
            <w:pPr>
              <w:rPr>
                <w:rFonts w:cstheme="minorHAnsi"/>
                <w:sz w:val="24"/>
                <w:szCs w:val="24"/>
              </w:rPr>
            </w:pPr>
            <w:r w:rsidRPr="009C778C">
              <w:rPr>
                <w:rFonts w:cstheme="minorHAnsi"/>
                <w:sz w:val="24"/>
                <w:szCs w:val="24"/>
              </w:rPr>
              <w:t>(0.26)</w:t>
            </w:r>
          </w:p>
        </w:tc>
      </w:tr>
      <w:tr w:rsidR="009C778C" w:rsidRPr="009C778C" w14:paraId="1D5194D6" w14:textId="77777777" w:rsidTr="0046257B">
        <w:tc>
          <w:tcPr>
            <w:tcW w:w="0" w:type="auto"/>
            <w:hideMark/>
          </w:tcPr>
          <w:p w14:paraId="39AE668D" w14:textId="77777777" w:rsidR="009C778C" w:rsidRPr="009C778C" w:rsidRDefault="009C778C" w:rsidP="009C778C">
            <w:pPr>
              <w:rPr>
                <w:rFonts w:cstheme="minorHAnsi"/>
                <w:b/>
                <w:bCs/>
                <w:sz w:val="24"/>
                <w:szCs w:val="24"/>
              </w:rPr>
            </w:pPr>
            <w:r w:rsidRPr="009C778C">
              <w:rPr>
                <w:rFonts w:cstheme="minorHAnsi"/>
                <w:b/>
                <w:bCs/>
                <w:sz w:val="24"/>
                <w:szCs w:val="24"/>
              </w:rPr>
              <w:t>CROSS_LISTING</w:t>
            </w:r>
          </w:p>
        </w:tc>
        <w:tc>
          <w:tcPr>
            <w:tcW w:w="0" w:type="auto"/>
            <w:hideMark/>
          </w:tcPr>
          <w:p w14:paraId="72A104A3" w14:textId="77777777" w:rsidR="009C778C" w:rsidRPr="009C778C" w:rsidRDefault="009C778C" w:rsidP="009C778C">
            <w:pPr>
              <w:rPr>
                <w:rFonts w:cstheme="minorHAnsi"/>
                <w:b/>
                <w:bCs/>
                <w:sz w:val="24"/>
                <w:szCs w:val="24"/>
              </w:rPr>
            </w:pPr>
          </w:p>
        </w:tc>
        <w:tc>
          <w:tcPr>
            <w:tcW w:w="0" w:type="auto"/>
            <w:hideMark/>
          </w:tcPr>
          <w:p w14:paraId="263BE41E" w14:textId="77777777" w:rsidR="009C778C" w:rsidRPr="009C778C" w:rsidRDefault="009C778C" w:rsidP="009C778C">
            <w:pPr>
              <w:rPr>
                <w:rFonts w:cstheme="minorHAnsi"/>
                <w:sz w:val="24"/>
                <w:szCs w:val="24"/>
              </w:rPr>
            </w:pPr>
          </w:p>
        </w:tc>
        <w:tc>
          <w:tcPr>
            <w:tcW w:w="0" w:type="auto"/>
            <w:hideMark/>
          </w:tcPr>
          <w:p w14:paraId="62AB12F6" w14:textId="77777777" w:rsidR="009C778C" w:rsidRPr="009C778C" w:rsidRDefault="009C778C" w:rsidP="009C778C">
            <w:pPr>
              <w:rPr>
                <w:rFonts w:cstheme="minorHAnsi"/>
                <w:sz w:val="24"/>
                <w:szCs w:val="24"/>
              </w:rPr>
            </w:pPr>
          </w:p>
        </w:tc>
        <w:tc>
          <w:tcPr>
            <w:tcW w:w="0" w:type="auto"/>
            <w:hideMark/>
          </w:tcPr>
          <w:p w14:paraId="58034CD2" w14:textId="77777777" w:rsidR="009C778C" w:rsidRPr="009C778C" w:rsidRDefault="009C778C" w:rsidP="009C778C">
            <w:pPr>
              <w:rPr>
                <w:rFonts w:cstheme="minorHAnsi"/>
                <w:sz w:val="24"/>
                <w:szCs w:val="24"/>
              </w:rPr>
            </w:pPr>
          </w:p>
        </w:tc>
        <w:tc>
          <w:tcPr>
            <w:tcW w:w="0" w:type="auto"/>
            <w:hideMark/>
          </w:tcPr>
          <w:p w14:paraId="11A6EBE2" w14:textId="77777777" w:rsidR="009C778C" w:rsidRPr="009C778C" w:rsidRDefault="009C778C" w:rsidP="009C778C">
            <w:pPr>
              <w:rPr>
                <w:rFonts w:cstheme="minorHAnsi"/>
                <w:sz w:val="24"/>
                <w:szCs w:val="24"/>
              </w:rPr>
            </w:pPr>
          </w:p>
        </w:tc>
        <w:tc>
          <w:tcPr>
            <w:tcW w:w="0" w:type="auto"/>
            <w:hideMark/>
          </w:tcPr>
          <w:p w14:paraId="4BB3FD8A" w14:textId="77777777" w:rsidR="009C778C" w:rsidRPr="009C778C" w:rsidRDefault="009C778C" w:rsidP="009C778C">
            <w:pPr>
              <w:rPr>
                <w:rFonts w:cstheme="minorHAnsi"/>
                <w:sz w:val="24"/>
                <w:szCs w:val="24"/>
              </w:rPr>
            </w:pPr>
          </w:p>
        </w:tc>
        <w:tc>
          <w:tcPr>
            <w:tcW w:w="0" w:type="auto"/>
            <w:hideMark/>
          </w:tcPr>
          <w:p w14:paraId="53127910" w14:textId="77777777" w:rsidR="009C778C" w:rsidRPr="009C778C" w:rsidRDefault="009C778C" w:rsidP="009C778C">
            <w:pPr>
              <w:rPr>
                <w:rFonts w:cstheme="minorHAnsi"/>
                <w:sz w:val="24"/>
                <w:szCs w:val="24"/>
              </w:rPr>
            </w:pPr>
          </w:p>
        </w:tc>
        <w:tc>
          <w:tcPr>
            <w:tcW w:w="0" w:type="auto"/>
            <w:hideMark/>
          </w:tcPr>
          <w:p w14:paraId="06BB442A" w14:textId="77777777" w:rsidR="009C778C" w:rsidRPr="009C778C" w:rsidRDefault="009C778C" w:rsidP="009C778C">
            <w:pPr>
              <w:rPr>
                <w:rFonts w:cstheme="minorHAnsi"/>
                <w:sz w:val="24"/>
                <w:szCs w:val="24"/>
              </w:rPr>
            </w:pPr>
          </w:p>
        </w:tc>
        <w:tc>
          <w:tcPr>
            <w:tcW w:w="0" w:type="auto"/>
            <w:hideMark/>
          </w:tcPr>
          <w:p w14:paraId="5932C191" w14:textId="77777777" w:rsidR="009C778C" w:rsidRPr="009C778C" w:rsidRDefault="009C778C" w:rsidP="009C778C">
            <w:pPr>
              <w:rPr>
                <w:rFonts w:cstheme="minorHAnsi"/>
                <w:sz w:val="24"/>
                <w:szCs w:val="24"/>
              </w:rPr>
            </w:pPr>
            <w:r w:rsidRPr="009C778C">
              <w:rPr>
                <w:rFonts w:cstheme="minorHAnsi"/>
                <w:sz w:val="24"/>
                <w:szCs w:val="24"/>
              </w:rPr>
              <w:t>− 0.174***</w:t>
            </w:r>
          </w:p>
        </w:tc>
        <w:tc>
          <w:tcPr>
            <w:tcW w:w="0" w:type="auto"/>
            <w:hideMark/>
          </w:tcPr>
          <w:p w14:paraId="0B38CE5E" w14:textId="77777777" w:rsidR="009C778C" w:rsidRPr="009C778C" w:rsidRDefault="009C778C" w:rsidP="009C778C">
            <w:pPr>
              <w:rPr>
                <w:rFonts w:cstheme="minorHAnsi"/>
                <w:sz w:val="24"/>
                <w:szCs w:val="24"/>
              </w:rPr>
            </w:pPr>
          </w:p>
        </w:tc>
      </w:tr>
      <w:tr w:rsidR="009C778C" w:rsidRPr="009C778C" w14:paraId="3E952A3B" w14:textId="77777777" w:rsidTr="0046257B">
        <w:tc>
          <w:tcPr>
            <w:tcW w:w="0" w:type="auto"/>
            <w:hideMark/>
          </w:tcPr>
          <w:p w14:paraId="5DC7A16B" w14:textId="77777777" w:rsidR="009C778C" w:rsidRPr="009C778C" w:rsidRDefault="009C778C" w:rsidP="009C778C">
            <w:pPr>
              <w:rPr>
                <w:rFonts w:cstheme="minorHAnsi"/>
                <w:b/>
                <w:bCs/>
                <w:sz w:val="24"/>
                <w:szCs w:val="24"/>
              </w:rPr>
            </w:pPr>
          </w:p>
        </w:tc>
        <w:tc>
          <w:tcPr>
            <w:tcW w:w="0" w:type="auto"/>
            <w:hideMark/>
          </w:tcPr>
          <w:p w14:paraId="4E88713E" w14:textId="77777777" w:rsidR="009C778C" w:rsidRPr="009C778C" w:rsidRDefault="009C778C" w:rsidP="009C778C">
            <w:pPr>
              <w:rPr>
                <w:rFonts w:cstheme="minorHAnsi"/>
                <w:b/>
                <w:bCs/>
                <w:sz w:val="24"/>
                <w:szCs w:val="24"/>
              </w:rPr>
            </w:pPr>
          </w:p>
        </w:tc>
        <w:tc>
          <w:tcPr>
            <w:tcW w:w="0" w:type="auto"/>
            <w:hideMark/>
          </w:tcPr>
          <w:p w14:paraId="636D3C86" w14:textId="77777777" w:rsidR="009C778C" w:rsidRPr="009C778C" w:rsidRDefault="009C778C" w:rsidP="009C778C">
            <w:pPr>
              <w:rPr>
                <w:rFonts w:cstheme="minorHAnsi"/>
                <w:sz w:val="24"/>
                <w:szCs w:val="24"/>
              </w:rPr>
            </w:pPr>
          </w:p>
        </w:tc>
        <w:tc>
          <w:tcPr>
            <w:tcW w:w="0" w:type="auto"/>
            <w:hideMark/>
          </w:tcPr>
          <w:p w14:paraId="70B7DB2F" w14:textId="77777777" w:rsidR="009C778C" w:rsidRPr="009C778C" w:rsidRDefault="009C778C" w:rsidP="009C778C">
            <w:pPr>
              <w:rPr>
                <w:rFonts w:cstheme="minorHAnsi"/>
                <w:sz w:val="24"/>
                <w:szCs w:val="24"/>
              </w:rPr>
            </w:pPr>
          </w:p>
        </w:tc>
        <w:tc>
          <w:tcPr>
            <w:tcW w:w="0" w:type="auto"/>
            <w:hideMark/>
          </w:tcPr>
          <w:p w14:paraId="5860999A" w14:textId="77777777" w:rsidR="009C778C" w:rsidRPr="009C778C" w:rsidRDefault="009C778C" w:rsidP="009C778C">
            <w:pPr>
              <w:rPr>
                <w:rFonts w:cstheme="minorHAnsi"/>
                <w:sz w:val="24"/>
                <w:szCs w:val="24"/>
              </w:rPr>
            </w:pPr>
          </w:p>
        </w:tc>
        <w:tc>
          <w:tcPr>
            <w:tcW w:w="0" w:type="auto"/>
            <w:hideMark/>
          </w:tcPr>
          <w:p w14:paraId="0CF188C8" w14:textId="77777777" w:rsidR="009C778C" w:rsidRPr="009C778C" w:rsidRDefault="009C778C" w:rsidP="009C778C">
            <w:pPr>
              <w:rPr>
                <w:rFonts w:cstheme="minorHAnsi"/>
                <w:sz w:val="24"/>
                <w:szCs w:val="24"/>
              </w:rPr>
            </w:pPr>
          </w:p>
        </w:tc>
        <w:tc>
          <w:tcPr>
            <w:tcW w:w="0" w:type="auto"/>
            <w:hideMark/>
          </w:tcPr>
          <w:p w14:paraId="29192059" w14:textId="77777777" w:rsidR="009C778C" w:rsidRPr="009C778C" w:rsidRDefault="009C778C" w:rsidP="009C778C">
            <w:pPr>
              <w:rPr>
                <w:rFonts w:cstheme="minorHAnsi"/>
                <w:sz w:val="24"/>
                <w:szCs w:val="24"/>
              </w:rPr>
            </w:pPr>
          </w:p>
        </w:tc>
        <w:tc>
          <w:tcPr>
            <w:tcW w:w="0" w:type="auto"/>
            <w:hideMark/>
          </w:tcPr>
          <w:p w14:paraId="43FAB8F2" w14:textId="77777777" w:rsidR="009C778C" w:rsidRPr="009C778C" w:rsidRDefault="009C778C" w:rsidP="009C778C">
            <w:pPr>
              <w:rPr>
                <w:rFonts w:cstheme="minorHAnsi"/>
                <w:sz w:val="24"/>
                <w:szCs w:val="24"/>
              </w:rPr>
            </w:pPr>
          </w:p>
        </w:tc>
        <w:tc>
          <w:tcPr>
            <w:tcW w:w="0" w:type="auto"/>
            <w:hideMark/>
          </w:tcPr>
          <w:p w14:paraId="0495E1C0" w14:textId="77777777" w:rsidR="009C778C" w:rsidRPr="009C778C" w:rsidRDefault="009C778C" w:rsidP="009C778C">
            <w:pPr>
              <w:rPr>
                <w:rFonts w:cstheme="minorHAnsi"/>
                <w:sz w:val="24"/>
                <w:szCs w:val="24"/>
              </w:rPr>
            </w:pPr>
          </w:p>
        </w:tc>
        <w:tc>
          <w:tcPr>
            <w:tcW w:w="0" w:type="auto"/>
            <w:hideMark/>
          </w:tcPr>
          <w:p w14:paraId="05024152" w14:textId="77777777" w:rsidR="009C778C" w:rsidRPr="009C778C" w:rsidRDefault="009C778C" w:rsidP="009C778C">
            <w:pPr>
              <w:rPr>
                <w:rFonts w:cstheme="minorHAnsi"/>
                <w:sz w:val="24"/>
                <w:szCs w:val="24"/>
              </w:rPr>
            </w:pPr>
            <w:r w:rsidRPr="009C778C">
              <w:rPr>
                <w:rFonts w:cstheme="minorHAnsi"/>
                <w:sz w:val="24"/>
                <w:szCs w:val="24"/>
              </w:rPr>
              <w:t>(− 3.23)</w:t>
            </w:r>
          </w:p>
        </w:tc>
        <w:tc>
          <w:tcPr>
            <w:tcW w:w="0" w:type="auto"/>
            <w:hideMark/>
          </w:tcPr>
          <w:p w14:paraId="42908D9A" w14:textId="77777777" w:rsidR="009C778C" w:rsidRPr="009C778C" w:rsidRDefault="009C778C" w:rsidP="009C778C">
            <w:pPr>
              <w:rPr>
                <w:rFonts w:cstheme="minorHAnsi"/>
                <w:sz w:val="24"/>
                <w:szCs w:val="24"/>
              </w:rPr>
            </w:pPr>
          </w:p>
        </w:tc>
      </w:tr>
      <w:tr w:rsidR="009C778C" w:rsidRPr="009C778C" w14:paraId="7C156C4B" w14:textId="77777777" w:rsidTr="0046257B">
        <w:tc>
          <w:tcPr>
            <w:tcW w:w="0" w:type="auto"/>
            <w:hideMark/>
          </w:tcPr>
          <w:p w14:paraId="7B81F8BD" w14:textId="77777777" w:rsidR="009C778C" w:rsidRPr="009C778C" w:rsidRDefault="009C778C" w:rsidP="009C778C">
            <w:pPr>
              <w:rPr>
                <w:rFonts w:cstheme="minorHAnsi"/>
                <w:b/>
                <w:bCs/>
                <w:sz w:val="24"/>
                <w:szCs w:val="24"/>
              </w:rPr>
            </w:pPr>
            <w:r w:rsidRPr="009C778C">
              <w:rPr>
                <w:rFonts w:cstheme="minorHAnsi"/>
                <w:b/>
                <w:bCs/>
                <w:sz w:val="24"/>
                <w:szCs w:val="24"/>
              </w:rPr>
              <w:t>G_INDEX</w:t>
            </w:r>
          </w:p>
        </w:tc>
        <w:tc>
          <w:tcPr>
            <w:tcW w:w="0" w:type="auto"/>
            <w:hideMark/>
          </w:tcPr>
          <w:p w14:paraId="44306CA9" w14:textId="77777777" w:rsidR="009C778C" w:rsidRPr="009C778C" w:rsidRDefault="009C778C" w:rsidP="009C778C">
            <w:pPr>
              <w:rPr>
                <w:rFonts w:cstheme="minorHAnsi"/>
                <w:b/>
                <w:bCs/>
                <w:sz w:val="24"/>
                <w:szCs w:val="24"/>
              </w:rPr>
            </w:pPr>
          </w:p>
        </w:tc>
        <w:tc>
          <w:tcPr>
            <w:tcW w:w="0" w:type="auto"/>
            <w:hideMark/>
          </w:tcPr>
          <w:p w14:paraId="10C56EEE" w14:textId="77777777" w:rsidR="009C778C" w:rsidRPr="009C778C" w:rsidRDefault="009C778C" w:rsidP="009C778C">
            <w:pPr>
              <w:rPr>
                <w:rFonts w:cstheme="minorHAnsi"/>
                <w:sz w:val="24"/>
                <w:szCs w:val="24"/>
              </w:rPr>
            </w:pPr>
          </w:p>
        </w:tc>
        <w:tc>
          <w:tcPr>
            <w:tcW w:w="0" w:type="auto"/>
            <w:hideMark/>
          </w:tcPr>
          <w:p w14:paraId="013D6AA5" w14:textId="77777777" w:rsidR="009C778C" w:rsidRPr="009C778C" w:rsidRDefault="009C778C" w:rsidP="009C778C">
            <w:pPr>
              <w:rPr>
                <w:rFonts w:cstheme="minorHAnsi"/>
                <w:sz w:val="24"/>
                <w:szCs w:val="24"/>
              </w:rPr>
            </w:pPr>
          </w:p>
        </w:tc>
        <w:tc>
          <w:tcPr>
            <w:tcW w:w="0" w:type="auto"/>
            <w:hideMark/>
          </w:tcPr>
          <w:p w14:paraId="2C30E8AD" w14:textId="77777777" w:rsidR="009C778C" w:rsidRPr="009C778C" w:rsidRDefault="009C778C" w:rsidP="009C778C">
            <w:pPr>
              <w:rPr>
                <w:rFonts w:cstheme="minorHAnsi"/>
                <w:sz w:val="24"/>
                <w:szCs w:val="24"/>
              </w:rPr>
            </w:pPr>
          </w:p>
        </w:tc>
        <w:tc>
          <w:tcPr>
            <w:tcW w:w="0" w:type="auto"/>
            <w:hideMark/>
          </w:tcPr>
          <w:p w14:paraId="6B5AF92E" w14:textId="77777777" w:rsidR="009C778C" w:rsidRPr="009C778C" w:rsidRDefault="009C778C" w:rsidP="009C778C">
            <w:pPr>
              <w:rPr>
                <w:rFonts w:cstheme="minorHAnsi"/>
                <w:sz w:val="24"/>
                <w:szCs w:val="24"/>
              </w:rPr>
            </w:pPr>
          </w:p>
        </w:tc>
        <w:tc>
          <w:tcPr>
            <w:tcW w:w="0" w:type="auto"/>
            <w:hideMark/>
          </w:tcPr>
          <w:p w14:paraId="1C16583B" w14:textId="77777777" w:rsidR="009C778C" w:rsidRPr="009C778C" w:rsidRDefault="009C778C" w:rsidP="009C778C">
            <w:pPr>
              <w:rPr>
                <w:rFonts w:cstheme="minorHAnsi"/>
                <w:sz w:val="24"/>
                <w:szCs w:val="24"/>
              </w:rPr>
            </w:pPr>
          </w:p>
        </w:tc>
        <w:tc>
          <w:tcPr>
            <w:tcW w:w="0" w:type="auto"/>
            <w:hideMark/>
          </w:tcPr>
          <w:p w14:paraId="20438AB4" w14:textId="77777777" w:rsidR="009C778C" w:rsidRPr="009C778C" w:rsidRDefault="009C778C" w:rsidP="009C778C">
            <w:pPr>
              <w:rPr>
                <w:rFonts w:cstheme="minorHAnsi"/>
                <w:sz w:val="24"/>
                <w:szCs w:val="24"/>
              </w:rPr>
            </w:pPr>
          </w:p>
        </w:tc>
        <w:tc>
          <w:tcPr>
            <w:tcW w:w="0" w:type="auto"/>
            <w:hideMark/>
          </w:tcPr>
          <w:p w14:paraId="5A2CE8DD" w14:textId="77777777" w:rsidR="009C778C" w:rsidRPr="009C778C" w:rsidRDefault="009C778C" w:rsidP="009C778C">
            <w:pPr>
              <w:rPr>
                <w:rFonts w:cstheme="minorHAnsi"/>
                <w:sz w:val="24"/>
                <w:szCs w:val="24"/>
              </w:rPr>
            </w:pPr>
          </w:p>
        </w:tc>
        <w:tc>
          <w:tcPr>
            <w:tcW w:w="0" w:type="auto"/>
            <w:hideMark/>
          </w:tcPr>
          <w:p w14:paraId="07EE5F73" w14:textId="77777777" w:rsidR="009C778C" w:rsidRPr="009C778C" w:rsidRDefault="009C778C" w:rsidP="009C778C">
            <w:pPr>
              <w:rPr>
                <w:rFonts w:cstheme="minorHAnsi"/>
                <w:sz w:val="24"/>
                <w:szCs w:val="24"/>
              </w:rPr>
            </w:pPr>
          </w:p>
        </w:tc>
        <w:tc>
          <w:tcPr>
            <w:tcW w:w="0" w:type="auto"/>
            <w:hideMark/>
          </w:tcPr>
          <w:p w14:paraId="5ED0673D" w14:textId="77777777" w:rsidR="009C778C" w:rsidRPr="009C778C" w:rsidRDefault="009C778C" w:rsidP="009C778C">
            <w:pPr>
              <w:rPr>
                <w:rFonts w:cstheme="minorHAnsi"/>
                <w:sz w:val="24"/>
                <w:szCs w:val="24"/>
              </w:rPr>
            </w:pPr>
            <w:r w:rsidRPr="009C778C">
              <w:rPr>
                <w:rFonts w:cstheme="minorHAnsi"/>
                <w:sz w:val="24"/>
                <w:szCs w:val="24"/>
              </w:rPr>
              <w:t>− 0.123</w:t>
            </w:r>
          </w:p>
        </w:tc>
      </w:tr>
      <w:tr w:rsidR="009C778C" w:rsidRPr="009C778C" w14:paraId="4854D5BE" w14:textId="77777777" w:rsidTr="0046257B">
        <w:tc>
          <w:tcPr>
            <w:tcW w:w="0" w:type="auto"/>
            <w:hideMark/>
          </w:tcPr>
          <w:p w14:paraId="5CE870FB" w14:textId="77777777" w:rsidR="009C778C" w:rsidRPr="009C778C" w:rsidRDefault="009C778C" w:rsidP="009C778C">
            <w:pPr>
              <w:rPr>
                <w:rFonts w:cstheme="minorHAnsi"/>
                <w:b/>
                <w:bCs/>
                <w:sz w:val="24"/>
                <w:szCs w:val="24"/>
              </w:rPr>
            </w:pPr>
          </w:p>
        </w:tc>
        <w:tc>
          <w:tcPr>
            <w:tcW w:w="0" w:type="auto"/>
            <w:hideMark/>
          </w:tcPr>
          <w:p w14:paraId="5C433136" w14:textId="77777777" w:rsidR="009C778C" w:rsidRPr="009C778C" w:rsidRDefault="009C778C" w:rsidP="009C778C">
            <w:pPr>
              <w:rPr>
                <w:rFonts w:cstheme="minorHAnsi"/>
                <w:b/>
                <w:bCs/>
                <w:sz w:val="24"/>
                <w:szCs w:val="24"/>
              </w:rPr>
            </w:pPr>
          </w:p>
        </w:tc>
        <w:tc>
          <w:tcPr>
            <w:tcW w:w="0" w:type="auto"/>
            <w:hideMark/>
          </w:tcPr>
          <w:p w14:paraId="18C3D144" w14:textId="77777777" w:rsidR="009C778C" w:rsidRPr="009C778C" w:rsidRDefault="009C778C" w:rsidP="009C778C">
            <w:pPr>
              <w:rPr>
                <w:rFonts w:cstheme="minorHAnsi"/>
                <w:sz w:val="24"/>
                <w:szCs w:val="24"/>
              </w:rPr>
            </w:pPr>
          </w:p>
        </w:tc>
        <w:tc>
          <w:tcPr>
            <w:tcW w:w="0" w:type="auto"/>
            <w:hideMark/>
          </w:tcPr>
          <w:p w14:paraId="2B3FDFB7" w14:textId="77777777" w:rsidR="009C778C" w:rsidRPr="009C778C" w:rsidRDefault="009C778C" w:rsidP="009C778C">
            <w:pPr>
              <w:rPr>
                <w:rFonts w:cstheme="minorHAnsi"/>
                <w:sz w:val="24"/>
                <w:szCs w:val="24"/>
              </w:rPr>
            </w:pPr>
          </w:p>
        </w:tc>
        <w:tc>
          <w:tcPr>
            <w:tcW w:w="0" w:type="auto"/>
            <w:hideMark/>
          </w:tcPr>
          <w:p w14:paraId="4C764A4B" w14:textId="77777777" w:rsidR="009C778C" w:rsidRPr="009C778C" w:rsidRDefault="009C778C" w:rsidP="009C778C">
            <w:pPr>
              <w:rPr>
                <w:rFonts w:cstheme="minorHAnsi"/>
                <w:sz w:val="24"/>
                <w:szCs w:val="24"/>
              </w:rPr>
            </w:pPr>
          </w:p>
        </w:tc>
        <w:tc>
          <w:tcPr>
            <w:tcW w:w="0" w:type="auto"/>
            <w:hideMark/>
          </w:tcPr>
          <w:p w14:paraId="710CFEC7" w14:textId="77777777" w:rsidR="009C778C" w:rsidRPr="009C778C" w:rsidRDefault="009C778C" w:rsidP="009C778C">
            <w:pPr>
              <w:rPr>
                <w:rFonts w:cstheme="minorHAnsi"/>
                <w:sz w:val="24"/>
                <w:szCs w:val="24"/>
              </w:rPr>
            </w:pPr>
          </w:p>
        </w:tc>
        <w:tc>
          <w:tcPr>
            <w:tcW w:w="0" w:type="auto"/>
            <w:hideMark/>
          </w:tcPr>
          <w:p w14:paraId="1A9708D6" w14:textId="77777777" w:rsidR="009C778C" w:rsidRPr="009C778C" w:rsidRDefault="009C778C" w:rsidP="009C778C">
            <w:pPr>
              <w:rPr>
                <w:rFonts w:cstheme="minorHAnsi"/>
                <w:sz w:val="24"/>
                <w:szCs w:val="24"/>
              </w:rPr>
            </w:pPr>
          </w:p>
        </w:tc>
        <w:tc>
          <w:tcPr>
            <w:tcW w:w="0" w:type="auto"/>
            <w:hideMark/>
          </w:tcPr>
          <w:p w14:paraId="2F3ACCFD" w14:textId="77777777" w:rsidR="009C778C" w:rsidRPr="009C778C" w:rsidRDefault="009C778C" w:rsidP="009C778C">
            <w:pPr>
              <w:rPr>
                <w:rFonts w:cstheme="minorHAnsi"/>
                <w:sz w:val="24"/>
                <w:szCs w:val="24"/>
              </w:rPr>
            </w:pPr>
          </w:p>
        </w:tc>
        <w:tc>
          <w:tcPr>
            <w:tcW w:w="0" w:type="auto"/>
            <w:hideMark/>
          </w:tcPr>
          <w:p w14:paraId="7DD6D82E" w14:textId="77777777" w:rsidR="009C778C" w:rsidRPr="009C778C" w:rsidRDefault="009C778C" w:rsidP="009C778C">
            <w:pPr>
              <w:rPr>
                <w:rFonts w:cstheme="minorHAnsi"/>
                <w:sz w:val="24"/>
                <w:szCs w:val="24"/>
              </w:rPr>
            </w:pPr>
          </w:p>
        </w:tc>
        <w:tc>
          <w:tcPr>
            <w:tcW w:w="0" w:type="auto"/>
            <w:hideMark/>
          </w:tcPr>
          <w:p w14:paraId="3630477C" w14:textId="77777777" w:rsidR="009C778C" w:rsidRPr="009C778C" w:rsidRDefault="009C778C" w:rsidP="009C778C">
            <w:pPr>
              <w:rPr>
                <w:rFonts w:cstheme="minorHAnsi"/>
                <w:sz w:val="24"/>
                <w:szCs w:val="24"/>
              </w:rPr>
            </w:pPr>
          </w:p>
        </w:tc>
        <w:tc>
          <w:tcPr>
            <w:tcW w:w="0" w:type="auto"/>
            <w:hideMark/>
          </w:tcPr>
          <w:p w14:paraId="753333BD" w14:textId="77777777" w:rsidR="009C778C" w:rsidRPr="009C778C" w:rsidRDefault="009C778C" w:rsidP="009C778C">
            <w:pPr>
              <w:rPr>
                <w:rFonts w:cstheme="minorHAnsi"/>
                <w:sz w:val="24"/>
                <w:szCs w:val="24"/>
              </w:rPr>
            </w:pPr>
            <w:r w:rsidRPr="009C778C">
              <w:rPr>
                <w:rFonts w:cstheme="minorHAnsi"/>
                <w:sz w:val="24"/>
                <w:szCs w:val="24"/>
              </w:rPr>
              <w:t>(− 0.89)</w:t>
            </w:r>
          </w:p>
        </w:tc>
      </w:tr>
      <w:tr w:rsidR="009C778C" w:rsidRPr="009C778C" w14:paraId="2063DF0C" w14:textId="77777777" w:rsidTr="0046257B">
        <w:tc>
          <w:tcPr>
            <w:tcW w:w="0" w:type="auto"/>
            <w:hideMark/>
          </w:tcPr>
          <w:p w14:paraId="7998AC11" w14:textId="77777777" w:rsidR="009C778C" w:rsidRPr="009C778C" w:rsidRDefault="009C778C" w:rsidP="009C778C">
            <w:pPr>
              <w:rPr>
                <w:rFonts w:cstheme="minorHAnsi"/>
                <w:b/>
                <w:bCs/>
                <w:sz w:val="24"/>
                <w:szCs w:val="24"/>
              </w:rPr>
            </w:pPr>
            <w:r w:rsidRPr="009C778C">
              <w:rPr>
                <w:rFonts w:cstheme="minorHAnsi"/>
                <w:b/>
                <w:bCs/>
                <w:sz w:val="24"/>
                <w:szCs w:val="24"/>
              </w:rPr>
              <w:t>CONSTANT, YEAR,</w:t>
            </w:r>
            <w:r w:rsidRPr="009C778C">
              <w:rPr>
                <w:rFonts w:cstheme="minorHAnsi"/>
                <w:b/>
                <w:bCs/>
                <w:sz w:val="24"/>
                <w:szCs w:val="24"/>
              </w:rPr>
              <w:br/>
              <w:t>FIRM, &amp; COUNTRY FE</w:t>
            </w:r>
          </w:p>
        </w:tc>
        <w:tc>
          <w:tcPr>
            <w:tcW w:w="0" w:type="auto"/>
            <w:hideMark/>
          </w:tcPr>
          <w:p w14:paraId="710E0467" w14:textId="77777777" w:rsidR="009C778C" w:rsidRPr="009C778C" w:rsidRDefault="009C778C" w:rsidP="009C778C">
            <w:pPr>
              <w:rPr>
                <w:rFonts w:cstheme="minorHAnsi"/>
                <w:b/>
                <w:bCs/>
                <w:sz w:val="24"/>
                <w:szCs w:val="24"/>
              </w:rPr>
            </w:pPr>
          </w:p>
        </w:tc>
        <w:tc>
          <w:tcPr>
            <w:tcW w:w="0" w:type="auto"/>
            <w:hideMark/>
          </w:tcPr>
          <w:p w14:paraId="41CBE9EA" w14:textId="77777777" w:rsidR="009C778C" w:rsidRPr="009C778C" w:rsidRDefault="009C778C" w:rsidP="009C778C">
            <w:pPr>
              <w:rPr>
                <w:rFonts w:cstheme="minorHAnsi"/>
                <w:sz w:val="24"/>
                <w:szCs w:val="24"/>
              </w:rPr>
            </w:pPr>
            <w:r w:rsidRPr="009C778C">
              <w:rPr>
                <w:rFonts w:cstheme="minorHAnsi"/>
                <w:sz w:val="24"/>
                <w:szCs w:val="24"/>
              </w:rPr>
              <w:t>YES</w:t>
            </w:r>
          </w:p>
        </w:tc>
        <w:tc>
          <w:tcPr>
            <w:tcW w:w="0" w:type="auto"/>
            <w:hideMark/>
          </w:tcPr>
          <w:p w14:paraId="46D991A5" w14:textId="77777777" w:rsidR="009C778C" w:rsidRPr="009C778C" w:rsidRDefault="009C778C" w:rsidP="009C778C">
            <w:pPr>
              <w:rPr>
                <w:rFonts w:cstheme="minorHAnsi"/>
                <w:sz w:val="24"/>
                <w:szCs w:val="24"/>
              </w:rPr>
            </w:pPr>
          </w:p>
        </w:tc>
        <w:tc>
          <w:tcPr>
            <w:tcW w:w="0" w:type="auto"/>
            <w:hideMark/>
          </w:tcPr>
          <w:p w14:paraId="23B54667" w14:textId="77777777" w:rsidR="009C778C" w:rsidRPr="009C778C" w:rsidRDefault="009C778C" w:rsidP="009C778C">
            <w:pPr>
              <w:rPr>
                <w:rFonts w:cstheme="minorHAnsi"/>
                <w:sz w:val="24"/>
                <w:szCs w:val="24"/>
              </w:rPr>
            </w:pPr>
          </w:p>
        </w:tc>
        <w:tc>
          <w:tcPr>
            <w:tcW w:w="0" w:type="auto"/>
            <w:hideMark/>
          </w:tcPr>
          <w:p w14:paraId="7C5AA0A0" w14:textId="77777777" w:rsidR="009C778C" w:rsidRPr="009C778C" w:rsidRDefault="009C778C" w:rsidP="009C778C">
            <w:pPr>
              <w:rPr>
                <w:rFonts w:cstheme="minorHAnsi"/>
                <w:sz w:val="24"/>
                <w:szCs w:val="24"/>
              </w:rPr>
            </w:pPr>
          </w:p>
        </w:tc>
        <w:tc>
          <w:tcPr>
            <w:tcW w:w="0" w:type="auto"/>
            <w:hideMark/>
          </w:tcPr>
          <w:p w14:paraId="3BD117B5" w14:textId="77777777" w:rsidR="009C778C" w:rsidRPr="009C778C" w:rsidRDefault="009C778C" w:rsidP="009C778C">
            <w:pPr>
              <w:rPr>
                <w:rFonts w:cstheme="minorHAnsi"/>
                <w:sz w:val="24"/>
                <w:szCs w:val="24"/>
              </w:rPr>
            </w:pPr>
          </w:p>
        </w:tc>
        <w:tc>
          <w:tcPr>
            <w:tcW w:w="0" w:type="auto"/>
            <w:hideMark/>
          </w:tcPr>
          <w:p w14:paraId="5F873EB6" w14:textId="77777777" w:rsidR="009C778C" w:rsidRPr="009C778C" w:rsidRDefault="009C778C" w:rsidP="009C778C">
            <w:pPr>
              <w:rPr>
                <w:rFonts w:cstheme="minorHAnsi"/>
                <w:sz w:val="24"/>
                <w:szCs w:val="24"/>
              </w:rPr>
            </w:pPr>
          </w:p>
        </w:tc>
        <w:tc>
          <w:tcPr>
            <w:tcW w:w="0" w:type="auto"/>
            <w:hideMark/>
          </w:tcPr>
          <w:p w14:paraId="627DC2A7" w14:textId="77777777" w:rsidR="009C778C" w:rsidRPr="009C778C" w:rsidRDefault="009C778C" w:rsidP="009C778C">
            <w:pPr>
              <w:rPr>
                <w:rFonts w:cstheme="minorHAnsi"/>
                <w:sz w:val="24"/>
                <w:szCs w:val="24"/>
              </w:rPr>
            </w:pPr>
          </w:p>
        </w:tc>
        <w:tc>
          <w:tcPr>
            <w:tcW w:w="0" w:type="auto"/>
            <w:hideMark/>
          </w:tcPr>
          <w:p w14:paraId="0DA16826" w14:textId="77777777" w:rsidR="009C778C" w:rsidRPr="009C778C" w:rsidRDefault="009C778C" w:rsidP="009C778C">
            <w:pPr>
              <w:rPr>
                <w:rFonts w:cstheme="minorHAnsi"/>
                <w:sz w:val="24"/>
                <w:szCs w:val="24"/>
              </w:rPr>
            </w:pPr>
          </w:p>
        </w:tc>
        <w:tc>
          <w:tcPr>
            <w:tcW w:w="0" w:type="auto"/>
            <w:hideMark/>
          </w:tcPr>
          <w:p w14:paraId="0425275D" w14:textId="77777777" w:rsidR="009C778C" w:rsidRPr="009C778C" w:rsidRDefault="009C778C" w:rsidP="009C778C">
            <w:pPr>
              <w:rPr>
                <w:rFonts w:cstheme="minorHAnsi"/>
                <w:sz w:val="24"/>
                <w:szCs w:val="24"/>
              </w:rPr>
            </w:pPr>
          </w:p>
        </w:tc>
      </w:tr>
      <w:tr w:rsidR="009C778C" w:rsidRPr="009C778C" w14:paraId="4972DB4D" w14:textId="77777777" w:rsidTr="0046257B">
        <w:tc>
          <w:tcPr>
            <w:tcW w:w="0" w:type="auto"/>
            <w:hideMark/>
          </w:tcPr>
          <w:p w14:paraId="3270950B" w14:textId="77777777" w:rsidR="009C778C" w:rsidRPr="009C778C" w:rsidRDefault="009C778C" w:rsidP="009C778C">
            <w:pPr>
              <w:rPr>
                <w:rFonts w:cstheme="minorHAnsi"/>
                <w:b/>
                <w:bCs/>
                <w:sz w:val="24"/>
                <w:szCs w:val="24"/>
              </w:rPr>
            </w:pPr>
            <w:r w:rsidRPr="009C778C">
              <w:rPr>
                <w:rFonts w:cstheme="minorHAnsi"/>
                <w:b/>
                <w:bCs/>
                <w:sz w:val="24"/>
                <w:szCs w:val="24"/>
              </w:rPr>
              <w:t>CONSTANT, YEAR,</w:t>
            </w:r>
            <w:r w:rsidRPr="009C778C">
              <w:rPr>
                <w:rFonts w:cstheme="minorHAnsi"/>
                <w:b/>
                <w:bCs/>
                <w:sz w:val="24"/>
                <w:szCs w:val="24"/>
              </w:rPr>
              <w:br/>
              <w:t>INDUSTRY, &amp; COUNTRY FE</w:t>
            </w:r>
          </w:p>
        </w:tc>
        <w:tc>
          <w:tcPr>
            <w:tcW w:w="0" w:type="auto"/>
            <w:hideMark/>
          </w:tcPr>
          <w:p w14:paraId="24129DFD" w14:textId="77777777" w:rsidR="009C778C" w:rsidRPr="009C778C" w:rsidRDefault="009C778C" w:rsidP="009C778C">
            <w:pPr>
              <w:rPr>
                <w:rFonts w:cstheme="minorHAnsi"/>
                <w:b/>
                <w:bCs/>
                <w:sz w:val="24"/>
                <w:szCs w:val="24"/>
              </w:rPr>
            </w:pPr>
          </w:p>
        </w:tc>
        <w:tc>
          <w:tcPr>
            <w:tcW w:w="0" w:type="auto"/>
            <w:hideMark/>
          </w:tcPr>
          <w:p w14:paraId="7943C853" w14:textId="77777777" w:rsidR="009C778C" w:rsidRPr="009C778C" w:rsidRDefault="009C778C" w:rsidP="009C778C">
            <w:pPr>
              <w:rPr>
                <w:rFonts w:cstheme="minorHAnsi"/>
                <w:sz w:val="24"/>
                <w:szCs w:val="24"/>
              </w:rPr>
            </w:pPr>
          </w:p>
        </w:tc>
        <w:tc>
          <w:tcPr>
            <w:tcW w:w="0" w:type="auto"/>
            <w:hideMark/>
          </w:tcPr>
          <w:p w14:paraId="38691B0E" w14:textId="77777777" w:rsidR="009C778C" w:rsidRPr="009C778C" w:rsidRDefault="009C778C" w:rsidP="009C778C">
            <w:pPr>
              <w:rPr>
                <w:rFonts w:cstheme="minorHAnsi"/>
                <w:sz w:val="24"/>
                <w:szCs w:val="24"/>
              </w:rPr>
            </w:pPr>
            <w:r w:rsidRPr="009C778C">
              <w:rPr>
                <w:rFonts w:cstheme="minorHAnsi"/>
                <w:sz w:val="24"/>
                <w:szCs w:val="24"/>
              </w:rPr>
              <w:t>YES</w:t>
            </w:r>
          </w:p>
        </w:tc>
        <w:tc>
          <w:tcPr>
            <w:tcW w:w="0" w:type="auto"/>
            <w:hideMark/>
          </w:tcPr>
          <w:p w14:paraId="333FA827" w14:textId="77777777" w:rsidR="009C778C" w:rsidRPr="009C778C" w:rsidRDefault="009C778C" w:rsidP="009C778C">
            <w:pPr>
              <w:rPr>
                <w:rFonts w:cstheme="minorHAnsi"/>
                <w:sz w:val="24"/>
                <w:szCs w:val="24"/>
              </w:rPr>
            </w:pPr>
            <w:r w:rsidRPr="009C778C">
              <w:rPr>
                <w:rFonts w:cstheme="minorHAnsi"/>
                <w:sz w:val="24"/>
                <w:szCs w:val="24"/>
              </w:rPr>
              <w:t>YES</w:t>
            </w:r>
          </w:p>
        </w:tc>
        <w:tc>
          <w:tcPr>
            <w:tcW w:w="0" w:type="auto"/>
            <w:hideMark/>
          </w:tcPr>
          <w:p w14:paraId="2C229F42" w14:textId="77777777" w:rsidR="009C778C" w:rsidRPr="009C778C" w:rsidRDefault="009C778C" w:rsidP="009C778C">
            <w:pPr>
              <w:rPr>
                <w:rFonts w:cstheme="minorHAnsi"/>
                <w:sz w:val="24"/>
                <w:szCs w:val="24"/>
              </w:rPr>
            </w:pPr>
            <w:r w:rsidRPr="009C778C">
              <w:rPr>
                <w:rFonts w:cstheme="minorHAnsi"/>
                <w:sz w:val="24"/>
                <w:szCs w:val="24"/>
              </w:rPr>
              <w:t>YES</w:t>
            </w:r>
          </w:p>
        </w:tc>
        <w:tc>
          <w:tcPr>
            <w:tcW w:w="0" w:type="auto"/>
            <w:hideMark/>
          </w:tcPr>
          <w:p w14:paraId="47447E91" w14:textId="77777777" w:rsidR="009C778C" w:rsidRPr="009C778C" w:rsidRDefault="009C778C" w:rsidP="009C778C">
            <w:pPr>
              <w:rPr>
                <w:rFonts w:cstheme="minorHAnsi"/>
                <w:sz w:val="24"/>
                <w:szCs w:val="24"/>
              </w:rPr>
            </w:pPr>
            <w:r w:rsidRPr="009C778C">
              <w:rPr>
                <w:rFonts w:cstheme="minorHAnsi"/>
                <w:sz w:val="24"/>
                <w:szCs w:val="24"/>
              </w:rPr>
              <w:t>YES</w:t>
            </w:r>
          </w:p>
        </w:tc>
        <w:tc>
          <w:tcPr>
            <w:tcW w:w="0" w:type="auto"/>
            <w:hideMark/>
          </w:tcPr>
          <w:p w14:paraId="29B8677B" w14:textId="77777777" w:rsidR="009C778C" w:rsidRPr="009C778C" w:rsidRDefault="009C778C" w:rsidP="009C778C">
            <w:pPr>
              <w:rPr>
                <w:rFonts w:cstheme="minorHAnsi"/>
                <w:sz w:val="24"/>
                <w:szCs w:val="24"/>
              </w:rPr>
            </w:pPr>
            <w:r w:rsidRPr="009C778C">
              <w:rPr>
                <w:rFonts w:cstheme="minorHAnsi"/>
                <w:sz w:val="24"/>
                <w:szCs w:val="24"/>
              </w:rPr>
              <w:t>YES</w:t>
            </w:r>
          </w:p>
        </w:tc>
        <w:tc>
          <w:tcPr>
            <w:tcW w:w="0" w:type="auto"/>
            <w:hideMark/>
          </w:tcPr>
          <w:p w14:paraId="22669541" w14:textId="77777777" w:rsidR="009C778C" w:rsidRPr="009C778C" w:rsidRDefault="009C778C" w:rsidP="009C778C">
            <w:pPr>
              <w:rPr>
                <w:rFonts w:cstheme="minorHAnsi"/>
                <w:sz w:val="24"/>
                <w:szCs w:val="24"/>
              </w:rPr>
            </w:pPr>
            <w:r w:rsidRPr="009C778C">
              <w:rPr>
                <w:rFonts w:cstheme="minorHAnsi"/>
                <w:sz w:val="24"/>
                <w:szCs w:val="24"/>
              </w:rPr>
              <w:t>YES</w:t>
            </w:r>
          </w:p>
        </w:tc>
        <w:tc>
          <w:tcPr>
            <w:tcW w:w="0" w:type="auto"/>
            <w:hideMark/>
          </w:tcPr>
          <w:p w14:paraId="5478A199" w14:textId="77777777" w:rsidR="009C778C" w:rsidRPr="009C778C" w:rsidRDefault="009C778C" w:rsidP="009C778C">
            <w:pPr>
              <w:rPr>
                <w:rFonts w:cstheme="minorHAnsi"/>
                <w:sz w:val="24"/>
                <w:szCs w:val="24"/>
              </w:rPr>
            </w:pPr>
            <w:r w:rsidRPr="009C778C">
              <w:rPr>
                <w:rFonts w:cstheme="minorHAnsi"/>
                <w:sz w:val="24"/>
                <w:szCs w:val="24"/>
              </w:rPr>
              <w:t>YES</w:t>
            </w:r>
          </w:p>
        </w:tc>
        <w:tc>
          <w:tcPr>
            <w:tcW w:w="0" w:type="auto"/>
            <w:hideMark/>
          </w:tcPr>
          <w:p w14:paraId="32DC5342" w14:textId="77777777" w:rsidR="009C778C" w:rsidRPr="009C778C" w:rsidRDefault="009C778C" w:rsidP="009C778C">
            <w:pPr>
              <w:rPr>
                <w:rFonts w:cstheme="minorHAnsi"/>
                <w:sz w:val="24"/>
                <w:szCs w:val="24"/>
              </w:rPr>
            </w:pPr>
            <w:r w:rsidRPr="009C778C">
              <w:rPr>
                <w:rFonts w:cstheme="minorHAnsi"/>
                <w:sz w:val="24"/>
                <w:szCs w:val="24"/>
              </w:rPr>
              <w:t>YES</w:t>
            </w:r>
          </w:p>
        </w:tc>
      </w:tr>
      <w:tr w:rsidR="009C778C" w:rsidRPr="009C778C" w14:paraId="165E8278" w14:textId="77777777" w:rsidTr="0046257B">
        <w:tc>
          <w:tcPr>
            <w:tcW w:w="0" w:type="auto"/>
            <w:hideMark/>
          </w:tcPr>
          <w:p w14:paraId="5653E805" w14:textId="77777777" w:rsidR="009C778C" w:rsidRPr="009C778C" w:rsidRDefault="009C778C" w:rsidP="009C778C">
            <w:pPr>
              <w:rPr>
                <w:rFonts w:cstheme="minorHAnsi"/>
                <w:b/>
                <w:bCs/>
                <w:sz w:val="24"/>
                <w:szCs w:val="24"/>
              </w:rPr>
            </w:pPr>
            <w:r w:rsidRPr="009C778C">
              <w:rPr>
                <w:rFonts w:cstheme="minorHAnsi"/>
                <w:b/>
                <w:bCs/>
                <w:sz w:val="24"/>
                <w:szCs w:val="24"/>
              </w:rPr>
              <w:t>Number of observations</w:t>
            </w:r>
          </w:p>
        </w:tc>
        <w:tc>
          <w:tcPr>
            <w:tcW w:w="0" w:type="auto"/>
            <w:hideMark/>
          </w:tcPr>
          <w:p w14:paraId="6BF8F9DB" w14:textId="77777777" w:rsidR="009C778C" w:rsidRPr="009C778C" w:rsidRDefault="009C778C" w:rsidP="009C778C">
            <w:pPr>
              <w:rPr>
                <w:rFonts w:cstheme="minorHAnsi"/>
                <w:b/>
                <w:bCs/>
                <w:sz w:val="24"/>
                <w:szCs w:val="24"/>
              </w:rPr>
            </w:pPr>
          </w:p>
        </w:tc>
        <w:tc>
          <w:tcPr>
            <w:tcW w:w="0" w:type="auto"/>
            <w:hideMark/>
          </w:tcPr>
          <w:p w14:paraId="499631EE" w14:textId="77777777" w:rsidR="009C778C" w:rsidRPr="009C778C" w:rsidRDefault="009C778C" w:rsidP="009C778C">
            <w:pPr>
              <w:rPr>
                <w:rFonts w:cstheme="minorHAnsi"/>
                <w:sz w:val="24"/>
                <w:szCs w:val="24"/>
              </w:rPr>
            </w:pPr>
            <w:r w:rsidRPr="009C778C">
              <w:rPr>
                <w:rFonts w:cstheme="minorHAnsi"/>
                <w:sz w:val="24"/>
                <w:szCs w:val="24"/>
              </w:rPr>
              <w:t>66,286</w:t>
            </w:r>
          </w:p>
        </w:tc>
        <w:tc>
          <w:tcPr>
            <w:tcW w:w="0" w:type="auto"/>
            <w:hideMark/>
          </w:tcPr>
          <w:p w14:paraId="22065C8B" w14:textId="77777777" w:rsidR="009C778C" w:rsidRPr="009C778C" w:rsidRDefault="009C778C" w:rsidP="009C778C">
            <w:pPr>
              <w:rPr>
                <w:rFonts w:cstheme="minorHAnsi"/>
                <w:sz w:val="24"/>
                <w:szCs w:val="24"/>
              </w:rPr>
            </w:pPr>
            <w:r w:rsidRPr="009C778C">
              <w:rPr>
                <w:rFonts w:cstheme="minorHAnsi"/>
                <w:sz w:val="24"/>
                <w:szCs w:val="24"/>
              </w:rPr>
              <w:t>66,286</w:t>
            </w:r>
          </w:p>
        </w:tc>
        <w:tc>
          <w:tcPr>
            <w:tcW w:w="0" w:type="auto"/>
            <w:hideMark/>
          </w:tcPr>
          <w:p w14:paraId="6918F53E" w14:textId="77777777" w:rsidR="009C778C" w:rsidRPr="009C778C" w:rsidRDefault="009C778C" w:rsidP="009C778C">
            <w:pPr>
              <w:rPr>
                <w:rFonts w:cstheme="minorHAnsi"/>
                <w:sz w:val="24"/>
                <w:szCs w:val="24"/>
              </w:rPr>
            </w:pPr>
            <w:r w:rsidRPr="009C778C">
              <w:rPr>
                <w:rFonts w:cstheme="minorHAnsi"/>
                <w:sz w:val="24"/>
                <w:szCs w:val="24"/>
              </w:rPr>
              <w:t>66,286</w:t>
            </w:r>
          </w:p>
        </w:tc>
        <w:tc>
          <w:tcPr>
            <w:tcW w:w="0" w:type="auto"/>
            <w:hideMark/>
          </w:tcPr>
          <w:p w14:paraId="7D8546ED" w14:textId="77777777" w:rsidR="009C778C" w:rsidRPr="009C778C" w:rsidRDefault="009C778C" w:rsidP="009C778C">
            <w:pPr>
              <w:rPr>
                <w:rFonts w:cstheme="minorHAnsi"/>
                <w:sz w:val="24"/>
                <w:szCs w:val="24"/>
              </w:rPr>
            </w:pPr>
            <w:r w:rsidRPr="009C778C">
              <w:rPr>
                <w:rFonts w:cstheme="minorHAnsi"/>
                <w:sz w:val="24"/>
                <w:szCs w:val="24"/>
              </w:rPr>
              <w:t>45,321</w:t>
            </w:r>
          </w:p>
        </w:tc>
        <w:tc>
          <w:tcPr>
            <w:tcW w:w="0" w:type="auto"/>
            <w:hideMark/>
          </w:tcPr>
          <w:p w14:paraId="7CFEF884" w14:textId="77777777" w:rsidR="009C778C" w:rsidRPr="009C778C" w:rsidRDefault="009C778C" w:rsidP="009C778C">
            <w:pPr>
              <w:rPr>
                <w:rFonts w:cstheme="minorHAnsi"/>
                <w:sz w:val="24"/>
                <w:szCs w:val="24"/>
              </w:rPr>
            </w:pPr>
            <w:r w:rsidRPr="009C778C">
              <w:rPr>
                <w:rFonts w:cstheme="minorHAnsi"/>
                <w:sz w:val="24"/>
                <w:szCs w:val="24"/>
              </w:rPr>
              <w:t>48,082</w:t>
            </w:r>
          </w:p>
        </w:tc>
        <w:tc>
          <w:tcPr>
            <w:tcW w:w="0" w:type="auto"/>
            <w:hideMark/>
          </w:tcPr>
          <w:p w14:paraId="5C90DB0F" w14:textId="77777777" w:rsidR="009C778C" w:rsidRPr="009C778C" w:rsidRDefault="009C778C" w:rsidP="009C778C">
            <w:pPr>
              <w:rPr>
                <w:rFonts w:cstheme="minorHAnsi"/>
                <w:sz w:val="24"/>
                <w:szCs w:val="24"/>
              </w:rPr>
            </w:pPr>
            <w:r w:rsidRPr="009C778C">
              <w:rPr>
                <w:rFonts w:cstheme="minorHAnsi"/>
                <w:sz w:val="24"/>
                <w:szCs w:val="24"/>
              </w:rPr>
              <w:t>48,459</w:t>
            </w:r>
          </w:p>
        </w:tc>
        <w:tc>
          <w:tcPr>
            <w:tcW w:w="0" w:type="auto"/>
            <w:hideMark/>
          </w:tcPr>
          <w:p w14:paraId="3C30B913" w14:textId="77777777" w:rsidR="009C778C" w:rsidRPr="009C778C" w:rsidRDefault="009C778C" w:rsidP="009C778C">
            <w:pPr>
              <w:rPr>
                <w:rFonts w:cstheme="minorHAnsi"/>
                <w:sz w:val="24"/>
                <w:szCs w:val="24"/>
              </w:rPr>
            </w:pPr>
            <w:r w:rsidRPr="009C778C">
              <w:rPr>
                <w:rFonts w:cstheme="minorHAnsi"/>
                <w:sz w:val="24"/>
                <w:szCs w:val="24"/>
              </w:rPr>
              <w:t>47,489</w:t>
            </w:r>
          </w:p>
        </w:tc>
        <w:tc>
          <w:tcPr>
            <w:tcW w:w="0" w:type="auto"/>
            <w:hideMark/>
          </w:tcPr>
          <w:p w14:paraId="3438D396" w14:textId="77777777" w:rsidR="009C778C" w:rsidRPr="009C778C" w:rsidRDefault="009C778C" w:rsidP="009C778C">
            <w:pPr>
              <w:rPr>
                <w:rFonts w:cstheme="minorHAnsi"/>
                <w:sz w:val="24"/>
                <w:szCs w:val="24"/>
              </w:rPr>
            </w:pPr>
            <w:r w:rsidRPr="009C778C">
              <w:rPr>
                <w:rFonts w:cstheme="minorHAnsi"/>
                <w:sz w:val="24"/>
                <w:szCs w:val="24"/>
              </w:rPr>
              <w:t>66,286</w:t>
            </w:r>
          </w:p>
        </w:tc>
        <w:tc>
          <w:tcPr>
            <w:tcW w:w="0" w:type="auto"/>
            <w:hideMark/>
          </w:tcPr>
          <w:p w14:paraId="0319F87D" w14:textId="77777777" w:rsidR="009C778C" w:rsidRPr="009C778C" w:rsidRDefault="009C778C" w:rsidP="009C778C">
            <w:pPr>
              <w:rPr>
                <w:rFonts w:cstheme="minorHAnsi"/>
                <w:sz w:val="24"/>
                <w:szCs w:val="24"/>
              </w:rPr>
            </w:pPr>
            <w:r w:rsidRPr="009C778C">
              <w:rPr>
                <w:rFonts w:cstheme="minorHAnsi"/>
                <w:sz w:val="24"/>
                <w:szCs w:val="24"/>
              </w:rPr>
              <w:t>3,522</w:t>
            </w:r>
          </w:p>
        </w:tc>
      </w:tr>
      <w:tr w:rsidR="009C778C" w:rsidRPr="009C778C" w14:paraId="3135C522" w14:textId="77777777" w:rsidTr="0046257B">
        <w:tc>
          <w:tcPr>
            <w:tcW w:w="0" w:type="auto"/>
            <w:hideMark/>
          </w:tcPr>
          <w:p w14:paraId="42BFEBC5" w14:textId="77777777" w:rsidR="009C778C" w:rsidRPr="009C778C" w:rsidRDefault="009C778C" w:rsidP="009C778C">
            <w:pPr>
              <w:rPr>
                <w:rFonts w:cstheme="minorHAnsi"/>
                <w:b/>
                <w:bCs/>
                <w:sz w:val="24"/>
                <w:szCs w:val="24"/>
              </w:rPr>
            </w:pPr>
            <w:r w:rsidRPr="009C778C">
              <w:rPr>
                <w:rFonts w:cstheme="minorHAnsi"/>
                <w:b/>
                <w:bCs/>
                <w:sz w:val="24"/>
                <w:szCs w:val="24"/>
              </w:rPr>
              <w:t>Adj. R-squared</w:t>
            </w:r>
          </w:p>
        </w:tc>
        <w:tc>
          <w:tcPr>
            <w:tcW w:w="0" w:type="auto"/>
            <w:hideMark/>
          </w:tcPr>
          <w:p w14:paraId="57C4BB8F" w14:textId="77777777" w:rsidR="009C778C" w:rsidRPr="009C778C" w:rsidRDefault="009C778C" w:rsidP="009C778C">
            <w:pPr>
              <w:rPr>
                <w:rFonts w:cstheme="minorHAnsi"/>
                <w:b/>
                <w:bCs/>
                <w:sz w:val="24"/>
                <w:szCs w:val="24"/>
              </w:rPr>
            </w:pPr>
          </w:p>
        </w:tc>
        <w:tc>
          <w:tcPr>
            <w:tcW w:w="0" w:type="auto"/>
            <w:hideMark/>
          </w:tcPr>
          <w:p w14:paraId="315C325E" w14:textId="77777777" w:rsidR="009C778C" w:rsidRPr="009C778C" w:rsidRDefault="009C778C" w:rsidP="009C778C">
            <w:pPr>
              <w:rPr>
                <w:rFonts w:cstheme="minorHAnsi"/>
                <w:sz w:val="24"/>
                <w:szCs w:val="24"/>
              </w:rPr>
            </w:pPr>
            <w:r w:rsidRPr="009C778C">
              <w:rPr>
                <w:rFonts w:cstheme="minorHAnsi"/>
                <w:sz w:val="24"/>
                <w:szCs w:val="24"/>
              </w:rPr>
              <w:t>0.223</w:t>
            </w:r>
          </w:p>
        </w:tc>
        <w:tc>
          <w:tcPr>
            <w:tcW w:w="0" w:type="auto"/>
            <w:hideMark/>
          </w:tcPr>
          <w:p w14:paraId="39051CB0" w14:textId="77777777" w:rsidR="009C778C" w:rsidRPr="009C778C" w:rsidRDefault="009C778C" w:rsidP="009C778C">
            <w:pPr>
              <w:rPr>
                <w:rFonts w:cstheme="minorHAnsi"/>
                <w:sz w:val="24"/>
                <w:szCs w:val="24"/>
              </w:rPr>
            </w:pPr>
            <w:r w:rsidRPr="009C778C">
              <w:rPr>
                <w:rFonts w:cstheme="minorHAnsi"/>
                <w:sz w:val="24"/>
                <w:szCs w:val="24"/>
              </w:rPr>
              <w:t>0.108</w:t>
            </w:r>
          </w:p>
        </w:tc>
        <w:tc>
          <w:tcPr>
            <w:tcW w:w="0" w:type="auto"/>
            <w:hideMark/>
          </w:tcPr>
          <w:p w14:paraId="142A4BEE" w14:textId="77777777" w:rsidR="009C778C" w:rsidRPr="009C778C" w:rsidRDefault="009C778C" w:rsidP="009C778C">
            <w:pPr>
              <w:rPr>
                <w:rFonts w:cstheme="minorHAnsi"/>
                <w:sz w:val="24"/>
                <w:szCs w:val="24"/>
              </w:rPr>
            </w:pPr>
            <w:r w:rsidRPr="009C778C">
              <w:rPr>
                <w:rFonts w:cstheme="minorHAnsi"/>
                <w:sz w:val="24"/>
                <w:szCs w:val="24"/>
              </w:rPr>
              <w:t>0.108</w:t>
            </w:r>
          </w:p>
        </w:tc>
        <w:tc>
          <w:tcPr>
            <w:tcW w:w="0" w:type="auto"/>
            <w:hideMark/>
          </w:tcPr>
          <w:p w14:paraId="35AFA195" w14:textId="77777777" w:rsidR="009C778C" w:rsidRPr="009C778C" w:rsidRDefault="009C778C" w:rsidP="009C778C">
            <w:pPr>
              <w:rPr>
                <w:rFonts w:cstheme="minorHAnsi"/>
                <w:sz w:val="24"/>
                <w:szCs w:val="24"/>
              </w:rPr>
            </w:pPr>
            <w:r w:rsidRPr="009C778C">
              <w:rPr>
                <w:rFonts w:cstheme="minorHAnsi"/>
                <w:sz w:val="24"/>
                <w:szCs w:val="24"/>
              </w:rPr>
              <w:t>0.107</w:t>
            </w:r>
          </w:p>
        </w:tc>
        <w:tc>
          <w:tcPr>
            <w:tcW w:w="0" w:type="auto"/>
            <w:hideMark/>
          </w:tcPr>
          <w:p w14:paraId="2DD6ACD8" w14:textId="77777777" w:rsidR="009C778C" w:rsidRPr="009C778C" w:rsidRDefault="009C778C" w:rsidP="009C778C">
            <w:pPr>
              <w:rPr>
                <w:rFonts w:cstheme="minorHAnsi"/>
                <w:sz w:val="24"/>
                <w:szCs w:val="24"/>
              </w:rPr>
            </w:pPr>
            <w:r w:rsidRPr="009C778C">
              <w:rPr>
                <w:rFonts w:cstheme="minorHAnsi"/>
                <w:sz w:val="24"/>
                <w:szCs w:val="24"/>
              </w:rPr>
              <w:t>0.104</w:t>
            </w:r>
          </w:p>
        </w:tc>
        <w:tc>
          <w:tcPr>
            <w:tcW w:w="0" w:type="auto"/>
            <w:hideMark/>
          </w:tcPr>
          <w:p w14:paraId="1FB19A89" w14:textId="77777777" w:rsidR="009C778C" w:rsidRPr="009C778C" w:rsidRDefault="009C778C" w:rsidP="009C778C">
            <w:pPr>
              <w:rPr>
                <w:rFonts w:cstheme="minorHAnsi"/>
                <w:sz w:val="24"/>
                <w:szCs w:val="24"/>
              </w:rPr>
            </w:pPr>
            <w:r w:rsidRPr="009C778C">
              <w:rPr>
                <w:rFonts w:cstheme="minorHAnsi"/>
                <w:sz w:val="24"/>
                <w:szCs w:val="24"/>
              </w:rPr>
              <w:t>0.110</w:t>
            </w:r>
          </w:p>
        </w:tc>
        <w:tc>
          <w:tcPr>
            <w:tcW w:w="0" w:type="auto"/>
            <w:hideMark/>
          </w:tcPr>
          <w:p w14:paraId="7B8238DB" w14:textId="77777777" w:rsidR="009C778C" w:rsidRPr="009C778C" w:rsidRDefault="009C778C" w:rsidP="009C778C">
            <w:pPr>
              <w:rPr>
                <w:rFonts w:cstheme="minorHAnsi"/>
                <w:sz w:val="24"/>
                <w:szCs w:val="24"/>
              </w:rPr>
            </w:pPr>
            <w:r w:rsidRPr="009C778C">
              <w:rPr>
                <w:rFonts w:cstheme="minorHAnsi"/>
                <w:sz w:val="24"/>
                <w:szCs w:val="24"/>
              </w:rPr>
              <w:t>0.119</w:t>
            </w:r>
          </w:p>
        </w:tc>
        <w:tc>
          <w:tcPr>
            <w:tcW w:w="0" w:type="auto"/>
            <w:hideMark/>
          </w:tcPr>
          <w:p w14:paraId="4DCC2783" w14:textId="77777777" w:rsidR="009C778C" w:rsidRPr="009C778C" w:rsidRDefault="009C778C" w:rsidP="009C778C">
            <w:pPr>
              <w:rPr>
                <w:rFonts w:cstheme="minorHAnsi"/>
                <w:sz w:val="24"/>
                <w:szCs w:val="24"/>
              </w:rPr>
            </w:pPr>
            <w:r w:rsidRPr="009C778C">
              <w:rPr>
                <w:rFonts w:cstheme="minorHAnsi"/>
                <w:sz w:val="24"/>
                <w:szCs w:val="24"/>
              </w:rPr>
              <w:t>0.108</w:t>
            </w:r>
          </w:p>
        </w:tc>
        <w:tc>
          <w:tcPr>
            <w:tcW w:w="0" w:type="auto"/>
            <w:hideMark/>
          </w:tcPr>
          <w:p w14:paraId="2C14B378" w14:textId="77777777" w:rsidR="009C778C" w:rsidRPr="009C778C" w:rsidRDefault="009C778C" w:rsidP="009C778C">
            <w:pPr>
              <w:rPr>
                <w:rFonts w:cstheme="minorHAnsi"/>
                <w:sz w:val="24"/>
                <w:szCs w:val="24"/>
              </w:rPr>
            </w:pPr>
            <w:r w:rsidRPr="009C778C">
              <w:rPr>
                <w:rFonts w:cstheme="minorHAnsi"/>
                <w:sz w:val="24"/>
                <w:szCs w:val="24"/>
              </w:rPr>
              <w:t>0.099</w:t>
            </w:r>
          </w:p>
        </w:tc>
      </w:tr>
      <w:tr w:rsidR="009C778C" w:rsidRPr="009C778C" w14:paraId="24849B2B" w14:textId="77777777" w:rsidTr="0046257B">
        <w:tc>
          <w:tcPr>
            <w:tcW w:w="0" w:type="auto"/>
            <w:hideMark/>
          </w:tcPr>
          <w:p w14:paraId="76D86837" w14:textId="77777777" w:rsidR="009C778C" w:rsidRPr="009C778C" w:rsidRDefault="009C778C" w:rsidP="009C778C">
            <w:pPr>
              <w:rPr>
                <w:rFonts w:cstheme="minorHAnsi"/>
                <w:b/>
                <w:bCs/>
                <w:sz w:val="24"/>
                <w:szCs w:val="24"/>
              </w:rPr>
            </w:pPr>
            <w:r w:rsidRPr="009C778C">
              <w:rPr>
                <w:rFonts w:cstheme="minorHAnsi"/>
                <w:b/>
                <w:bCs/>
                <w:sz w:val="24"/>
                <w:szCs w:val="24"/>
              </w:rPr>
              <w:t>F-stat DOMESTIC</w:t>
            </w:r>
            <w:r w:rsidRPr="009C778C">
              <w:rPr>
                <w:rFonts w:cstheme="minorHAnsi"/>
                <w:b/>
                <w:bCs/>
                <w:sz w:val="24"/>
                <w:szCs w:val="24"/>
                <w:vertAlign w:val="subscript"/>
              </w:rPr>
              <w:t>t − 1</w:t>
            </w:r>
            <w:r w:rsidRPr="009C778C">
              <w:rPr>
                <w:rFonts w:cstheme="minorHAnsi"/>
                <w:b/>
                <w:bCs/>
                <w:sz w:val="24"/>
                <w:szCs w:val="24"/>
              </w:rPr>
              <w:t> = FOREIGN</w:t>
            </w:r>
            <w:r w:rsidRPr="009C778C">
              <w:rPr>
                <w:rFonts w:cstheme="minorHAnsi"/>
                <w:b/>
                <w:bCs/>
                <w:sz w:val="24"/>
                <w:szCs w:val="24"/>
                <w:vertAlign w:val="subscript"/>
              </w:rPr>
              <w:t>t − 1</w:t>
            </w:r>
          </w:p>
        </w:tc>
        <w:tc>
          <w:tcPr>
            <w:tcW w:w="0" w:type="auto"/>
            <w:hideMark/>
          </w:tcPr>
          <w:p w14:paraId="6722EF07" w14:textId="77777777" w:rsidR="009C778C" w:rsidRPr="009C778C" w:rsidRDefault="009C778C" w:rsidP="009C778C">
            <w:pPr>
              <w:rPr>
                <w:rFonts w:cstheme="minorHAnsi"/>
                <w:b/>
                <w:bCs/>
                <w:sz w:val="24"/>
                <w:szCs w:val="24"/>
              </w:rPr>
            </w:pPr>
          </w:p>
        </w:tc>
        <w:tc>
          <w:tcPr>
            <w:tcW w:w="0" w:type="auto"/>
            <w:hideMark/>
          </w:tcPr>
          <w:p w14:paraId="4238D2DC" w14:textId="77777777" w:rsidR="009C778C" w:rsidRPr="009C778C" w:rsidRDefault="009C778C" w:rsidP="009C778C">
            <w:pPr>
              <w:rPr>
                <w:rFonts w:cstheme="minorHAnsi"/>
                <w:sz w:val="24"/>
                <w:szCs w:val="24"/>
              </w:rPr>
            </w:pPr>
            <w:r w:rsidRPr="009C778C">
              <w:rPr>
                <w:rFonts w:cstheme="minorHAnsi"/>
                <w:sz w:val="24"/>
                <w:szCs w:val="24"/>
              </w:rPr>
              <w:t>3.11*</w:t>
            </w:r>
          </w:p>
        </w:tc>
        <w:tc>
          <w:tcPr>
            <w:tcW w:w="0" w:type="auto"/>
            <w:hideMark/>
          </w:tcPr>
          <w:p w14:paraId="18FE0A4E" w14:textId="77777777" w:rsidR="009C778C" w:rsidRPr="009C778C" w:rsidRDefault="009C778C" w:rsidP="009C778C">
            <w:pPr>
              <w:rPr>
                <w:rFonts w:cstheme="minorHAnsi"/>
                <w:sz w:val="24"/>
                <w:szCs w:val="24"/>
              </w:rPr>
            </w:pPr>
            <w:r w:rsidRPr="009C778C">
              <w:rPr>
                <w:rFonts w:cstheme="minorHAnsi"/>
                <w:sz w:val="24"/>
                <w:szCs w:val="24"/>
              </w:rPr>
              <w:t>8.86***</w:t>
            </w:r>
          </w:p>
        </w:tc>
        <w:tc>
          <w:tcPr>
            <w:tcW w:w="0" w:type="auto"/>
            <w:hideMark/>
          </w:tcPr>
          <w:p w14:paraId="64DE17A5" w14:textId="77777777" w:rsidR="009C778C" w:rsidRPr="009C778C" w:rsidRDefault="009C778C" w:rsidP="009C778C">
            <w:pPr>
              <w:rPr>
                <w:rFonts w:cstheme="minorHAnsi"/>
                <w:sz w:val="24"/>
                <w:szCs w:val="24"/>
              </w:rPr>
            </w:pPr>
            <w:r w:rsidRPr="009C778C">
              <w:rPr>
                <w:rFonts w:cstheme="minorHAnsi"/>
                <w:sz w:val="24"/>
                <w:szCs w:val="24"/>
              </w:rPr>
              <w:t>8.94***</w:t>
            </w:r>
          </w:p>
        </w:tc>
        <w:tc>
          <w:tcPr>
            <w:tcW w:w="0" w:type="auto"/>
            <w:hideMark/>
          </w:tcPr>
          <w:p w14:paraId="373DEF75" w14:textId="77777777" w:rsidR="009C778C" w:rsidRPr="009C778C" w:rsidRDefault="009C778C" w:rsidP="009C778C">
            <w:pPr>
              <w:rPr>
                <w:rFonts w:cstheme="minorHAnsi"/>
                <w:sz w:val="24"/>
                <w:szCs w:val="24"/>
              </w:rPr>
            </w:pPr>
            <w:r w:rsidRPr="009C778C">
              <w:rPr>
                <w:rFonts w:cstheme="minorHAnsi"/>
                <w:sz w:val="24"/>
                <w:szCs w:val="24"/>
              </w:rPr>
              <w:t>7.58***</w:t>
            </w:r>
          </w:p>
        </w:tc>
        <w:tc>
          <w:tcPr>
            <w:tcW w:w="0" w:type="auto"/>
            <w:hideMark/>
          </w:tcPr>
          <w:p w14:paraId="5E181F2A" w14:textId="77777777" w:rsidR="009C778C" w:rsidRPr="009C778C" w:rsidRDefault="009C778C" w:rsidP="009C778C">
            <w:pPr>
              <w:rPr>
                <w:rFonts w:cstheme="minorHAnsi"/>
                <w:sz w:val="24"/>
                <w:szCs w:val="24"/>
              </w:rPr>
            </w:pPr>
            <w:r w:rsidRPr="009C778C">
              <w:rPr>
                <w:rFonts w:cstheme="minorHAnsi"/>
                <w:sz w:val="24"/>
                <w:szCs w:val="24"/>
              </w:rPr>
              <w:t>6.74***</w:t>
            </w:r>
          </w:p>
        </w:tc>
        <w:tc>
          <w:tcPr>
            <w:tcW w:w="0" w:type="auto"/>
            <w:hideMark/>
          </w:tcPr>
          <w:p w14:paraId="5E7068EB" w14:textId="77777777" w:rsidR="009C778C" w:rsidRPr="009C778C" w:rsidRDefault="009C778C" w:rsidP="009C778C">
            <w:pPr>
              <w:rPr>
                <w:rFonts w:cstheme="minorHAnsi"/>
                <w:sz w:val="24"/>
                <w:szCs w:val="24"/>
              </w:rPr>
            </w:pPr>
          </w:p>
        </w:tc>
        <w:tc>
          <w:tcPr>
            <w:tcW w:w="0" w:type="auto"/>
            <w:hideMark/>
          </w:tcPr>
          <w:p w14:paraId="1975F755" w14:textId="77777777" w:rsidR="009C778C" w:rsidRPr="009C778C" w:rsidRDefault="009C778C" w:rsidP="009C778C">
            <w:pPr>
              <w:rPr>
                <w:rFonts w:cstheme="minorHAnsi"/>
                <w:sz w:val="24"/>
                <w:szCs w:val="24"/>
              </w:rPr>
            </w:pPr>
            <w:r w:rsidRPr="009C778C">
              <w:rPr>
                <w:rFonts w:cstheme="minorHAnsi"/>
                <w:sz w:val="24"/>
                <w:szCs w:val="24"/>
              </w:rPr>
              <w:t>4.65**</w:t>
            </w:r>
          </w:p>
        </w:tc>
        <w:tc>
          <w:tcPr>
            <w:tcW w:w="0" w:type="auto"/>
            <w:hideMark/>
          </w:tcPr>
          <w:p w14:paraId="5D9E4A4C" w14:textId="77777777" w:rsidR="009C778C" w:rsidRPr="009C778C" w:rsidRDefault="009C778C" w:rsidP="009C778C">
            <w:pPr>
              <w:rPr>
                <w:rFonts w:cstheme="minorHAnsi"/>
                <w:sz w:val="24"/>
                <w:szCs w:val="24"/>
              </w:rPr>
            </w:pPr>
            <w:r w:rsidRPr="009C778C">
              <w:rPr>
                <w:rFonts w:cstheme="minorHAnsi"/>
                <w:sz w:val="24"/>
                <w:szCs w:val="24"/>
              </w:rPr>
              <w:t>7.53***</w:t>
            </w:r>
          </w:p>
        </w:tc>
        <w:tc>
          <w:tcPr>
            <w:tcW w:w="0" w:type="auto"/>
            <w:hideMark/>
          </w:tcPr>
          <w:p w14:paraId="1C953E52" w14:textId="77777777" w:rsidR="009C778C" w:rsidRPr="009C778C" w:rsidRDefault="009C778C" w:rsidP="009C778C">
            <w:pPr>
              <w:rPr>
                <w:rFonts w:cstheme="minorHAnsi"/>
                <w:sz w:val="24"/>
                <w:szCs w:val="24"/>
              </w:rPr>
            </w:pPr>
            <w:r w:rsidRPr="009C778C">
              <w:rPr>
                <w:rFonts w:cstheme="minorHAnsi"/>
                <w:sz w:val="24"/>
                <w:szCs w:val="24"/>
              </w:rPr>
              <w:t>4.35**</w:t>
            </w:r>
          </w:p>
        </w:tc>
      </w:tr>
      <w:tr w:rsidR="009C778C" w:rsidRPr="009C778C" w14:paraId="2975F2C7" w14:textId="77777777" w:rsidTr="0046257B">
        <w:tc>
          <w:tcPr>
            <w:tcW w:w="0" w:type="auto"/>
            <w:hideMark/>
          </w:tcPr>
          <w:p w14:paraId="0E419020" w14:textId="77777777" w:rsidR="009C778C" w:rsidRPr="009C778C" w:rsidRDefault="009C778C" w:rsidP="009C778C">
            <w:pPr>
              <w:rPr>
                <w:rFonts w:cstheme="minorHAnsi"/>
                <w:b/>
                <w:bCs/>
                <w:sz w:val="24"/>
                <w:szCs w:val="24"/>
              </w:rPr>
            </w:pPr>
            <w:r w:rsidRPr="009C778C">
              <w:rPr>
                <w:rFonts w:cstheme="minorHAnsi"/>
                <w:b/>
                <w:bCs/>
                <w:sz w:val="24"/>
                <w:szCs w:val="24"/>
              </w:rPr>
              <w:t>(</w:t>
            </w:r>
            <w:r w:rsidRPr="009C778C">
              <w:rPr>
                <w:rFonts w:cstheme="minorHAnsi"/>
                <w:b/>
                <w:bCs/>
                <w:i/>
                <w:iCs/>
                <w:sz w:val="24"/>
                <w:szCs w:val="24"/>
              </w:rPr>
              <w:t>p</w:t>
            </w:r>
            <w:r w:rsidRPr="009C778C">
              <w:rPr>
                <w:rFonts w:cstheme="minorHAnsi"/>
                <w:b/>
                <w:bCs/>
                <w:sz w:val="24"/>
                <w:szCs w:val="24"/>
              </w:rPr>
              <w:t>-Value)</w:t>
            </w:r>
          </w:p>
        </w:tc>
        <w:tc>
          <w:tcPr>
            <w:tcW w:w="0" w:type="auto"/>
            <w:hideMark/>
          </w:tcPr>
          <w:p w14:paraId="0442C464" w14:textId="77777777" w:rsidR="009C778C" w:rsidRPr="009C778C" w:rsidRDefault="009C778C" w:rsidP="009C778C">
            <w:pPr>
              <w:rPr>
                <w:rFonts w:cstheme="minorHAnsi"/>
                <w:b/>
                <w:bCs/>
                <w:sz w:val="24"/>
                <w:szCs w:val="24"/>
              </w:rPr>
            </w:pPr>
          </w:p>
        </w:tc>
        <w:tc>
          <w:tcPr>
            <w:tcW w:w="0" w:type="auto"/>
            <w:hideMark/>
          </w:tcPr>
          <w:p w14:paraId="1074DC9D" w14:textId="77777777" w:rsidR="009C778C" w:rsidRPr="009C778C" w:rsidRDefault="009C778C" w:rsidP="009C778C">
            <w:pPr>
              <w:rPr>
                <w:rFonts w:cstheme="minorHAnsi"/>
                <w:sz w:val="24"/>
                <w:szCs w:val="24"/>
              </w:rPr>
            </w:pPr>
            <w:r w:rsidRPr="009C778C">
              <w:rPr>
                <w:rFonts w:cstheme="minorHAnsi"/>
                <w:sz w:val="24"/>
                <w:szCs w:val="24"/>
              </w:rPr>
              <w:t>(0.08)</w:t>
            </w:r>
          </w:p>
        </w:tc>
        <w:tc>
          <w:tcPr>
            <w:tcW w:w="0" w:type="auto"/>
            <w:hideMark/>
          </w:tcPr>
          <w:p w14:paraId="6E4033EC" w14:textId="77777777" w:rsidR="009C778C" w:rsidRPr="009C778C" w:rsidRDefault="009C778C" w:rsidP="009C778C">
            <w:pPr>
              <w:rPr>
                <w:rFonts w:cstheme="minorHAnsi"/>
                <w:sz w:val="24"/>
                <w:szCs w:val="24"/>
              </w:rPr>
            </w:pPr>
            <w:r w:rsidRPr="009C778C">
              <w:rPr>
                <w:rFonts w:cstheme="minorHAnsi"/>
                <w:sz w:val="24"/>
                <w:szCs w:val="24"/>
              </w:rPr>
              <w:t>(&lt; 0.01)</w:t>
            </w:r>
          </w:p>
        </w:tc>
        <w:tc>
          <w:tcPr>
            <w:tcW w:w="0" w:type="auto"/>
            <w:hideMark/>
          </w:tcPr>
          <w:p w14:paraId="3014CA1D" w14:textId="77777777" w:rsidR="009C778C" w:rsidRPr="009C778C" w:rsidRDefault="009C778C" w:rsidP="009C778C">
            <w:pPr>
              <w:rPr>
                <w:rFonts w:cstheme="minorHAnsi"/>
                <w:sz w:val="24"/>
                <w:szCs w:val="24"/>
              </w:rPr>
            </w:pPr>
            <w:r w:rsidRPr="009C778C">
              <w:rPr>
                <w:rFonts w:cstheme="minorHAnsi"/>
                <w:sz w:val="24"/>
                <w:szCs w:val="24"/>
              </w:rPr>
              <w:t>(&lt; 0.01)</w:t>
            </w:r>
          </w:p>
        </w:tc>
        <w:tc>
          <w:tcPr>
            <w:tcW w:w="0" w:type="auto"/>
            <w:hideMark/>
          </w:tcPr>
          <w:p w14:paraId="289A8B3C" w14:textId="77777777" w:rsidR="009C778C" w:rsidRPr="009C778C" w:rsidRDefault="009C778C" w:rsidP="009C778C">
            <w:pPr>
              <w:rPr>
                <w:rFonts w:cstheme="minorHAnsi"/>
                <w:sz w:val="24"/>
                <w:szCs w:val="24"/>
              </w:rPr>
            </w:pPr>
            <w:r w:rsidRPr="009C778C">
              <w:rPr>
                <w:rFonts w:cstheme="minorHAnsi"/>
                <w:sz w:val="24"/>
                <w:szCs w:val="24"/>
              </w:rPr>
              <w:t>(&lt; 0.01)</w:t>
            </w:r>
          </w:p>
        </w:tc>
        <w:tc>
          <w:tcPr>
            <w:tcW w:w="0" w:type="auto"/>
            <w:hideMark/>
          </w:tcPr>
          <w:p w14:paraId="4BDC4853" w14:textId="77777777" w:rsidR="009C778C" w:rsidRPr="009C778C" w:rsidRDefault="009C778C" w:rsidP="009C778C">
            <w:pPr>
              <w:rPr>
                <w:rFonts w:cstheme="minorHAnsi"/>
                <w:sz w:val="24"/>
                <w:szCs w:val="24"/>
              </w:rPr>
            </w:pPr>
            <w:r w:rsidRPr="009C778C">
              <w:rPr>
                <w:rFonts w:cstheme="minorHAnsi"/>
                <w:sz w:val="24"/>
                <w:szCs w:val="24"/>
              </w:rPr>
              <w:t>(&lt; 0.01)</w:t>
            </w:r>
          </w:p>
        </w:tc>
        <w:tc>
          <w:tcPr>
            <w:tcW w:w="0" w:type="auto"/>
            <w:hideMark/>
          </w:tcPr>
          <w:p w14:paraId="5CCF7596" w14:textId="77777777" w:rsidR="009C778C" w:rsidRPr="009C778C" w:rsidRDefault="009C778C" w:rsidP="009C778C">
            <w:pPr>
              <w:rPr>
                <w:rFonts w:cstheme="minorHAnsi"/>
                <w:sz w:val="24"/>
                <w:szCs w:val="24"/>
              </w:rPr>
            </w:pPr>
          </w:p>
        </w:tc>
        <w:tc>
          <w:tcPr>
            <w:tcW w:w="0" w:type="auto"/>
            <w:hideMark/>
          </w:tcPr>
          <w:p w14:paraId="1DDEE8BD" w14:textId="77777777" w:rsidR="009C778C" w:rsidRPr="009C778C" w:rsidRDefault="009C778C" w:rsidP="009C778C">
            <w:pPr>
              <w:rPr>
                <w:rFonts w:cstheme="minorHAnsi"/>
                <w:sz w:val="24"/>
                <w:szCs w:val="24"/>
              </w:rPr>
            </w:pPr>
            <w:r w:rsidRPr="009C778C">
              <w:rPr>
                <w:rFonts w:cstheme="minorHAnsi"/>
                <w:sz w:val="24"/>
                <w:szCs w:val="24"/>
              </w:rPr>
              <w:t>(0.03)</w:t>
            </w:r>
          </w:p>
        </w:tc>
        <w:tc>
          <w:tcPr>
            <w:tcW w:w="0" w:type="auto"/>
            <w:hideMark/>
          </w:tcPr>
          <w:p w14:paraId="0B936E0F" w14:textId="77777777" w:rsidR="009C778C" w:rsidRPr="009C778C" w:rsidRDefault="009C778C" w:rsidP="009C778C">
            <w:pPr>
              <w:rPr>
                <w:rFonts w:cstheme="minorHAnsi"/>
                <w:sz w:val="24"/>
                <w:szCs w:val="24"/>
              </w:rPr>
            </w:pPr>
            <w:r w:rsidRPr="009C778C">
              <w:rPr>
                <w:rFonts w:cstheme="minorHAnsi"/>
                <w:sz w:val="24"/>
                <w:szCs w:val="24"/>
              </w:rPr>
              <w:t>(&lt; 0.01)</w:t>
            </w:r>
          </w:p>
        </w:tc>
        <w:tc>
          <w:tcPr>
            <w:tcW w:w="0" w:type="auto"/>
            <w:hideMark/>
          </w:tcPr>
          <w:p w14:paraId="31F1EF4C" w14:textId="77777777" w:rsidR="009C778C" w:rsidRPr="009C778C" w:rsidRDefault="009C778C" w:rsidP="009C778C">
            <w:pPr>
              <w:rPr>
                <w:rFonts w:cstheme="minorHAnsi"/>
                <w:sz w:val="24"/>
                <w:szCs w:val="24"/>
              </w:rPr>
            </w:pPr>
            <w:r w:rsidRPr="009C778C">
              <w:rPr>
                <w:rFonts w:cstheme="minorHAnsi"/>
                <w:sz w:val="24"/>
                <w:szCs w:val="24"/>
              </w:rPr>
              <w:t>(0.05)</w:t>
            </w:r>
          </w:p>
        </w:tc>
      </w:tr>
    </w:tbl>
    <w:p w14:paraId="4968DB76" w14:textId="77777777" w:rsidR="009C778C" w:rsidRPr="009C778C" w:rsidRDefault="009C778C" w:rsidP="0046257B">
      <w:pPr>
        <w:pStyle w:val="Heading1"/>
      </w:pPr>
      <w:r w:rsidRPr="009C778C">
        <w:t>References</w:t>
      </w:r>
    </w:p>
    <w:p w14:paraId="1473ACD0" w14:textId="3D813BDC" w:rsidR="009C778C" w:rsidRPr="00E92A45" w:rsidRDefault="009C778C" w:rsidP="00E92A45">
      <w:pPr>
        <w:spacing w:after="0"/>
        <w:ind w:left="720" w:hanging="720"/>
        <w:rPr>
          <w:rFonts w:cstheme="minorHAnsi"/>
          <w:sz w:val="24"/>
          <w:szCs w:val="24"/>
        </w:rPr>
      </w:pPr>
      <w:r w:rsidRPr="00E92A45">
        <w:rPr>
          <w:rFonts w:cstheme="minorHAnsi"/>
          <w:sz w:val="24"/>
          <w:szCs w:val="24"/>
        </w:rPr>
        <w:t>R. Aggarwal, I. Erel, M. Ferreira, P. Matos</w:t>
      </w:r>
      <w:r w:rsidR="00491C24" w:rsidRPr="00E92A45">
        <w:rPr>
          <w:rFonts w:cstheme="minorHAnsi"/>
          <w:sz w:val="24"/>
          <w:szCs w:val="24"/>
        </w:rPr>
        <w:t xml:space="preserve">. </w:t>
      </w:r>
      <w:r w:rsidRPr="00E92A45">
        <w:rPr>
          <w:rFonts w:cstheme="minorHAnsi"/>
          <w:sz w:val="24"/>
          <w:szCs w:val="24"/>
        </w:rPr>
        <w:t>Does governance travel around the world? Evidence from institutional investors</w:t>
      </w:r>
      <w:r w:rsidR="00491C24" w:rsidRPr="00E92A45">
        <w:rPr>
          <w:rFonts w:cstheme="minorHAnsi"/>
          <w:sz w:val="24"/>
          <w:szCs w:val="24"/>
        </w:rPr>
        <w:t xml:space="preserve">. </w:t>
      </w:r>
      <w:r w:rsidRPr="00E92A45">
        <w:rPr>
          <w:rFonts w:cstheme="minorHAnsi"/>
          <w:sz w:val="24"/>
          <w:szCs w:val="24"/>
        </w:rPr>
        <w:t>J. Financ. Econ., 100 (1) (2011), pp. 154-181</w:t>
      </w:r>
    </w:p>
    <w:p w14:paraId="3ACCE4C3" w14:textId="7B12A7A4" w:rsidR="009C778C" w:rsidRPr="00E92A45" w:rsidRDefault="009C778C" w:rsidP="00E92A45">
      <w:pPr>
        <w:spacing w:after="0"/>
        <w:ind w:left="720" w:hanging="720"/>
        <w:rPr>
          <w:rFonts w:cstheme="minorHAnsi"/>
          <w:sz w:val="24"/>
          <w:szCs w:val="24"/>
        </w:rPr>
      </w:pPr>
      <w:r w:rsidRPr="00E92A45">
        <w:rPr>
          <w:rFonts w:cstheme="minorHAnsi"/>
          <w:sz w:val="24"/>
          <w:szCs w:val="24"/>
        </w:rPr>
        <w:t>A. Agrawal, S. Chadha</w:t>
      </w:r>
      <w:r w:rsidR="00491C24" w:rsidRPr="00E92A45">
        <w:rPr>
          <w:rFonts w:cstheme="minorHAnsi"/>
          <w:sz w:val="24"/>
          <w:szCs w:val="24"/>
        </w:rPr>
        <w:t xml:space="preserve">. </w:t>
      </w:r>
      <w:r w:rsidRPr="00E92A45">
        <w:rPr>
          <w:rFonts w:cstheme="minorHAnsi"/>
          <w:sz w:val="24"/>
          <w:szCs w:val="24"/>
        </w:rPr>
        <w:t>Corporate governance and accounting scandals</w:t>
      </w:r>
      <w:r w:rsidR="00491C24" w:rsidRPr="00E92A45">
        <w:rPr>
          <w:rFonts w:cstheme="minorHAnsi"/>
          <w:sz w:val="24"/>
          <w:szCs w:val="24"/>
        </w:rPr>
        <w:t xml:space="preserve">. </w:t>
      </w:r>
      <w:r w:rsidRPr="00E92A45">
        <w:rPr>
          <w:rFonts w:cstheme="minorHAnsi"/>
          <w:sz w:val="24"/>
          <w:szCs w:val="24"/>
        </w:rPr>
        <w:t>J. Law Econ., 48 (2) (2005), pp. 371-406</w:t>
      </w:r>
      <w:r w:rsidR="005E4828" w:rsidRPr="00E92A45">
        <w:rPr>
          <w:rFonts w:cstheme="minorHAnsi"/>
          <w:sz w:val="24"/>
          <w:szCs w:val="24"/>
        </w:rPr>
        <w:t>.</w:t>
      </w:r>
    </w:p>
    <w:p w14:paraId="0F7A66E5" w14:textId="2E582FD5" w:rsidR="009C778C" w:rsidRPr="00E92A45" w:rsidRDefault="009C778C" w:rsidP="00E92A45">
      <w:pPr>
        <w:spacing w:after="0"/>
        <w:ind w:left="720" w:hanging="720"/>
        <w:rPr>
          <w:rFonts w:cstheme="minorHAnsi"/>
          <w:sz w:val="24"/>
          <w:szCs w:val="24"/>
        </w:rPr>
      </w:pPr>
      <w:r w:rsidRPr="00E92A45">
        <w:rPr>
          <w:rFonts w:cstheme="minorHAnsi"/>
          <w:sz w:val="24"/>
          <w:szCs w:val="24"/>
        </w:rPr>
        <w:t>C. Armstrong, W. Guay, J. Weber</w:t>
      </w:r>
      <w:r w:rsidR="005E4828" w:rsidRPr="00E92A45">
        <w:rPr>
          <w:rFonts w:cstheme="minorHAnsi"/>
          <w:sz w:val="24"/>
          <w:szCs w:val="24"/>
        </w:rPr>
        <w:t xml:space="preserve">. </w:t>
      </w:r>
      <w:r w:rsidRPr="00E92A45">
        <w:rPr>
          <w:rFonts w:cstheme="minorHAnsi"/>
          <w:sz w:val="24"/>
          <w:szCs w:val="24"/>
        </w:rPr>
        <w:t>The role of information and financial reporting in corporate governance and debt contracting</w:t>
      </w:r>
      <w:r w:rsidR="005E4828" w:rsidRPr="00E92A45">
        <w:rPr>
          <w:rFonts w:cstheme="minorHAnsi"/>
          <w:sz w:val="24"/>
          <w:szCs w:val="24"/>
        </w:rPr>
        <w:t xml:space="preserve">. </w:t>
      </w:r>
      <w:r w:rsidRPr="00E92A45">
        <w:rPr>
          <w:rFonts w:cstheme="minorHAnsi"/>
          <w:sz w:val="24"/>
          <w:szCs w:val="24"/>
        </w:rPr>
        <w:t>J. Account. Econ., 50 (2/3) (2010), pp. 179-234</w:t>
      </w:r>
    </w:p>
    <w:p w14:paraId="2A7D0FC6" w14:textId="594BB4E1" w:rsidR="009C778C" w:rsidRPr="00E92A45" w:rsidRDefault="009C778C" w:rsidP="00E92A45">
      <w:pPr>
        <w:spacing w:after="0"/>
        <w:ind w:left="720" w:hanging="720"/>
        <w:rPr>
          <w:rFonts w:cstheme="minorHAnsi"/>
          <w:sz w:val="24"/>
          <w:szCs w:val="24"/>
        </w:rPr>
      </w:pPr>
      <w:r w:rsidRPr="00E92A45">
        <w:rPr>
          <w:rFonts w:cstheme="minorHAnsi"/>
          <w:sz w:val="24"/>
          <w:szCs w:val="24"/>
        </w:rPr>
        <w:t>H. Ashbaugh, R. LaFond, B. Mayhew</w:t>
      </w:r>
      <w:r w:rsidR="005E4828" w:rsidRPr="00E92A45">
        <w:rPr>
          <w:rFonts w:cstheme="minorHAnsi"/>
          <w:sz w:val="24"/>
          <w:szCs w:val="24"/>
        </w:rPr>
        <w:t xml:space="preserve">. </w:t>
      </w:r>
      <w:r w:rsidRPr="00E92A45">
        <w:rPr>
          <w:rFonts w:cstheme="minorHAnsi"/>
          <w:sz w:val="24"/>
          <w:szCs w:val="24"/>
        </w:rPr>
        <w:t>Do nonaudit services compromise auditor independence? Further evidence</w:t>
      </w:r>
      <w:r w:rsidR="005E4828" w:rsidRPr="00E92A45">
        <w:rPr>
          <w:rFonts w:cstheme="minorHAnsi"/>
          <w:sz w:val="24"/>
          <w:szCs w:val="24"/>
        </w:rPr>
        <w:t xml:space="preserve">. </w:t>
      </w:r>
      <w:r w:rsidRPr="00E92A45">
        <w:rPr>
          <w:rFonts w:cstheme="minorHAnsi"/>
          <w:sz w:val="24"/>
          <w:szCs w:val="24"/>
        </w:rPr>
        <w:t>Account. Rev., 78 (3) (2003), pp. 611-639</w:t>
      </w:r>
    </w:p>
    <w:p w14:paraId="15E9D85E" w14:textId="3C47F017" w:rsidR="009C778C" w:rsidRPr="00E92A45" w:rsidRDefault="009C778C" w:rsidP="00E92A45">
      <w:pPr>
        <w:spacing w:after="0"/>
        <w:ind w:left="720" w:hanging="720"/>
        <w:rPr>
          <w:rFonts w:cstheme="minorHAnsi"/>
          <w:sz w:val="24"/>
          <w:szCs w:val="24"/>
        </w:rPr>
      </w:pPr>
      <w:r w:rsidRPr="00E92A45">
        <w:rPr>
          <w:rFonts w:cstheme="minorHAnsi"/>
          <w:sz w:val="24"/>
          <w:szCs w:val="24"/>
        </w:rPr>
        <w:t>B. Ayers, S. Ramalingegowda, P.E. Yeung</w:t>
      </w:r>
      <w:r w:rsidR="005E4828" w:rsidRPr="00E92A45">
        <w:rPr>
          <w:rFonts w:cstheme="minorHAnsi"/>
          <w:sz w:val="24"/>
          <w:szCs w:val="24"/>
        </w:rPr>
        <w:t xml:space="preserve">. </w:t>
      </w:r>
      <w:r w:rsidRPr="00E92A45">
        <w:rPr>
          <w:rFonts w:cstheme="minorHAnsi"/>
          <w:sz w:val="24"/>
          <w:szCs w:val="24"/>
        </w:rPr>
        <w:t>Hometown advantage: The effects of monitoring institution location on financial reporting discretion</w:t>
      </w:r>
      <w:r w:rsidR="005E4828" w:rsidRPr="00E92A45">
        <w:rPr>
          <w:rFonts w:cstheme="minorHAnsi"/>
          <w:sz w:val="24"/>
          <w:szCs w:val="24"/>
        </w:rPr>
        <w:t xml:space="preserve">. </w:t>
      </w:r>
      <w:r w:rsidRPr="00E92A45">
        <w:rPr>
          <w:rFonts w:cstheme="minorHAnsi"/>
          <w:sz w:val="24"/>
          <w:szCs w:val="24"/>
        </w:rPr>
        <w:t>J. Account. Econ., 52 (1) (2011), pp. 41-61</w:t>
      </w:r>
    </w:p>
    <w:p w14:paraId="7407D1EB" w14:textId="68B76395" w:rsidR="009C778C" w:rsidRPr="00E92A45" w:rsidRDefault="009C778C" w:rsidP="00E92A45">
      <w:pPr>
        <w:spacing w:after="0"/>
        <w:ind w:left="720" w:hanging="720"/>
        <w:rPr>
          <w:rFonts w:cstheme="minorHAnsi"/>
          <w:sz w:val="24"/>
          <w:szCs w:val="24"/>
        </w:rPr>
      </w:pPr>
      <w:r w:rsidRPr="00E92A45">
        <w:rPr>
          <w:rFonts w:cstheme="minorHAnsi"/>
          <w:sz w:val="24"/>
          <w:szCs w:val="24"/>
        </w:rPr>
        <w:t>K.-H. Bae, R. Stulz, H. Tan</w:t>
      </w:r>
      <w:r w:rsidR="005E4828" w:rsidRPr="00E92A45">
        <w:rPr>
          <w:rFonts w:cstheme="minorHAnsi"/>
          <w:sz w:val="24"/>
          <w:szCs w:val="24"/>
        </w:rPr>
        <w:t xml:space="preserve">. </w:t>
      </w:r>
      <w:r w:rsidRPr="00E92A45">
        <w:rPr>
          <w:rFonts w:cstheme="minorHAnsi"/>
          <w:sz w:val="24"/>
          <w:szCs w:val="24"/>
        </w:rPr>
        <w:t>Do local analysts know more? A cross-country study of the performance of local analysts and foreign analysts</w:t>
      </w:r>
      <w:r w:rsidR="005E4828" w:rsidRPr="00E92A45">
        <w:rPr>
          <w:rFonts w:cstheme="minorHAnsi"/>
          <w:sz w:val="24"/>
          <w:szCs w:val="24"/>
        </w:rPr>
        <w:t xml:space="preserve">. </w:t>
      </w:r>
      <w:r w:rsidRPr="00E92A45">
        <w:rPr>
          <w:rFonts w:cstheme="minorHAnsi"/>
          <w:sz w:val="24"/>
          <w:szCs w:val="24"/>
        </w:rPr>
        <w:t>J. Financ. Econ., 88 (3) (2008), pp. 581-606</w:t>
      </w:r>
    </w:p>
    <w:p w14:paraId="791090C0" w14:textId="6559101E" w:rsidR="009C778C" w:rsidRPr="00E92A45" w:rsidRDefault="009C778C" w:rsidP="00E92A45">
      <w:pPr>
        <w:spacing w:after="0"/>
        <w:ind w:left="720" w:hanging="720"/>
        <w:rPr>
          <w:rFonts w:cstheme="minorHAnsi"/>
          <w:sz w:val="24"/>
          <w:szCs w:val="24"/>
        </w:rPr>
      </w:pPr>
      <w:r w:rsidRPr="00E92A45">
        <w:rPr>
          <w:rFonts w:cstheme="minorHAnsi"/>
          <w:sz w:val="24"/>
          <w:szCs w:val="24"/>
        </w:rPr>
        <w:t>R. Ball, L. Shivakumar</w:t>
      </w:r>
      <w:r w:rsidR="005E4828" w:rsidRPr="00E92A45">
        <w:rPr>
          <w:rFonts w:cstheme="minorHAnsi"/>
          <w:sz w:val="24"/>
          <w:szCs w:val="24"/>
        </w:rPr>
        <w:t xml:space="preserve">. </w:t>
      </w:r>
      <w:r w:rsidRPr="00E92A45">
        <w:rPr>
          <w:rFonts w:cstheme="minorHAnsi"/>
          <w:sz w:val="24"/>
          <w:szCs w:val="24"/>
        </w:rPr>
        <w:t>Earnings quality in U.K. private firms: comparative loss recognition</w:t>
      </w:r>
      <w:r w:rsidR="005E4828" w:rsidRPr="00E92A45">
        <w:rPr>
          <w:rFonts w:cstheme="minorHAnsi"/>
          <w:sz w:val="24"/>
          <w:szCs w:val="24"/>
        </w:rPr>
        <w:t xml:space="preserve">. </w:t>
      </w:r>
      <w:r w:rsidRPr="00E92A45">
        <w:rPr>
          <w:rFonts w:cstheme="minorHAnsi"/>
          <w:sz w:val="24"/>
          <w:szCs w:val="24"/>
        </w:rPr>
        <w:t>J. Account. Econ., 39 (1) (2005), pp. 83-128</w:t>
      </w:r>
    </w:p>
    <w:p w14:paraId="1F9C99F3" w14:textId="55694999" w:rsidR="009C778C" w:rsidRPr="00E92A45" w:rsidRDefault="009C778C" w:rsidP="00E92A45">
      <w:pPr>
        <w:spacing w:after="0"/>
        <w:ind w:left="720" w:hanging="720"/>
        <w:rPr>
          <w:rFonts w:cstheme="minorHAnsi"/>
          <w:sz w:val="24"/>
          <w:szCs w:val="24"/>
        </w:rPr>
      </w:pPr>
      <w:r w:rsidRPr="00E92A45">
        <w:rPr>
          <w:rFonts w:cstheme="minorHAnsi"/>
          <w:sz w:val="24"/>
          <w:szCs w:val="24"/>
        </w:rPr>
        <w:t>R. Ball, L. Shivakumar</w:t>
      </w:r>
      <w:r w:rsidR="005E4828" w:rsidRPr="00E92A45">
        <w:rPr>
          <w:rFonts w:cstheme="minorHAnsi"/>
          <w:sz w:val="24"/>
          <w:szCs w:val="24"/>
        </w:rPr>
        <w:t xml:space="preserve">. </w:t>
      </w:r>
      <w:r w:rsidRPr="00E92A45">
        <w:rPr>
          <w:rFonts w:cstheme="minorHAnsi"/>
          <w:sz w:val="24"/>
          <w:szCs w:val="24"/>
        </w:rPr>
        <w:t>The role of accruals in asymmetrically timely gain and loss recognition</w:t>
      </w:r>
      <w:r w:rsidR="005E4828" w:rsidRPr="00E92A45">
        <w:rPr>
          <w:rFonts w:cstheme="minorHAnsi"/>
          <w:sz w:val="24"/>
          <w:szCs w:val="24"/>
        </w:rPr>
        <w:t xml:space="preserve">. </w:t>
      </w:r>
      <w:r w:rsidRPr="00E92A45">
        <w:rPr>
          <w:rFonts w:cstheme="minorHAnsi"/>
          <w:sz w:val="24"/>
          <w:szCs w:val="24"/>
        </w:rPr>
        <w:t>J. Account. Res., 44 (2) (2006), pp. 207-242</w:t>
      </w:r>
    </w:p>
    <w:p w14:paraId="061D7418" w14:textId="1096D321" w:rsidR="009C778C" w:rsidRPr="00E92A45" w:rsidRDefault="009C778C" w:rsidP="00E92A45">
      <w:pPr>
        <w:spacing w:after="0"/>
        <w:ind w:left="720" w:hanging="720"/>
        <w:rPr>
          <w:rFonts w:cstheme="minorHAnsi"/>
          <w:sz w:val="24"/>
          <w:szCs w:val="24"/>
        </w:rPr>
      </w:pPr>
      <w:r w:rsidRPr="00E92A45">
        <w:rPr>
          <w:rFonts w:cstheme="minorHAnsi"/>
          <w:sz w:val="24"/>
          <w:szCs w:val="24"/>
        </w:rPr>
        <w:t>M. Barth, W. Landsman, M. Lang</w:t>
      </w:r>
      <w:r w:rsidR="005E4828" w:rsidRPr="00E92A45">
        <w:rPr>
          <w:rFonts w:cstheme="minorHAnsi"/>
          <w:sz w:val="24"/>
          <w:szCs w:val="24"/>
        </w:rPr>
        <w:t xml:space="preserve">. </w:t>
      </w:r>
      <w:r w:rsidRPr="00E92A45">
        <w:rPr>
          <w:rFonts w:cstheme="minorHAnsi"/>
          <w:sz w:val="24"/>
          <w:szCs w:val="24"/>
        </w:rPr>
        <w:t>International accounting standards and accounting quality</w:t>
      </w:r>
      <w:r w:rsidR="005E4828" w:rsidRPr="00E92A45">
        <w:rPr>
          <w:rFonts w:cstheme="minorHAnsi"/>
          <w:sz w:val="24"/>
          <w:szCs w:val="24"/>
        </w:rPr>
        <w:t xml:space="preserve">. </w:t>
      </w:r>
      <w:r w:rsidRPr="00E92A45">
        <w:rPr>
          <w:rFonts w:cstheme="minorHAnsi"/>
          <w:sz w:val="24"/>
          <w:szCs w:val="24"/>
        </w:rPr>
        <w:t>J. Account. Res., 46 (3) (2008), pp. 467-498</w:t>
      </w:r>
    </w:p>
    <w:p w14:paraId="3683F5DF" w14:textId="07FBDEFA" w:rsidR="009C778C" w:rsidRPr="00E92A45" w:rsidRDefault="009C778C" w:rsidP="00E92A45">
      <w:pPr>
        <w:spacing w:after="0"/>
        <w:ind w:left="720" w:hanging="720"/>
        <w:rPr>
          <w:rFonts w:cstheme="minorHAnsi"/>
          <w:sz w:val="24"/>
          <w:szCs w:val="24"/>
        </w:rPr>
      </w:pPr>
      <w:r w:rsidRPr="00E92A45">
        <w:rPr>
          <w:rFonts w:cstheme="minorHAnsi"/>
          <w:sz w:val="24"/>
          <w:szCs w:val="24"/>
        </w:rPr>
        <w:t>S. Basu</w:t>
      </w:r>
      <w:r w:rsidR="005E4828" w:rsidRPr="00E92A45">
        <w:rPr>
          <w:rFonts w:cstheme="minorHAnsi"/>
          <w:sz w:val="24"/>
          <w:szCs w:val="24"/>
        </w:rPr>
        <w:t xml:space="preserve">. </w:t>
      </w:r>
      <w:r w:rsidRPr="00E92A45">
        <w:rPr>
          <w:rFonts w:cstheme="minorHAnsi"/>
          <w:sz w:val="24"/>
          <w:szCs w:val="24"/>
        </w:rPr>
        <w:t>The conservatism principle and asymmetric timeliness of earnings</w:t>
      </w:r>
      <w:r w:rsidR="005E4828" w:rsidRPr="00E92A45">
        <w:rPr>
          <w:rFonts w:cstheme="minorHAnsi"/>
          <w:sz w:val="24"/>
          <w:szCs w:val="24"/>
        </w:rPr>
        <w:t xml:space="preserve">. </w:t>
      </w:r>
      <w:r w:rsidRPr="00E92A45">
        <w:rPr>
          <w:rFonts w:cstheme="minorHAnsi"/>
          <w:sz w:val="24"/>
          <w:szCs w:val="24"/>
        </w:rPr>
        <w:t>J. Account. Econ., 24 (1) (1997), pp. 3-37</w:t>
      </w:r>
    </w:p>
    <w:p w14:paraId="76D526DB" w14:textId="79B5D6C5" w:rsidR="009C778C" w:rsidRPr="00E92A45" w:rsidRDefault="009C778C" w:rsidP="00E92A45">
      <w:pPr>
        <w:spacing w:after="0"/>
        <w:ind w:left="720" w:hanging="720"/>
        <w:rPr>
          <w:rFonts w:cstheme="minorHAnsi"/>
          <w:sz w:val="24"/>
          <w:szCs w:val="24"/>
        </w:rPr>
      </w:pPr>
      <w:r w:rsidRPr="00E92A45">
        <w:rPr>
          <w:rFonts w:cstheme="minorHAnsi"/>
          <w:sz w:val="24"/>
          <w:szCs w:val="24"/>
        </w:rPr>
        <w:t>R. Bauer, G.L. Clark, M. Viehs</w:t>
      </w:r>
      <w:r w:rsidR="005E4828" w:rsidRPr="00E92A45">
        <w:rPr>
          <w:rFonts w:cstheme="minorHAnsi"/>
          <w:sz w:val="24"/>
          <w:szCs w:val="24"/>
        </w:rPr>
        <w:t xml:space="preserve">. </w:t>
      </w:r>
      <w:r w:rsidRPr="00E92A45">
        <w:rPr>
          <w:rFonts w:cstheme="minorHAnsi"/>
          <w:sz w:val="24"/>
          <w:szCs w:val="24"/>
        </w:rPr>
        <w:t xml:space="preserve">The Geography of Shareholder Engagement: Evidence </w:t>
      </w:r>
      <w:proofErr w:type="gramStart"/>
      <w:r w:rsidRPr="00E92A45">
        <w:rPr>
          <w:rFonts w:cstheme="minorHAnsi"/>
          <w:sz w:val="24"/>
          <w:szCs w:val="24"/>
        </w:rPr>
        <w:t>From</w:t>
      </w:r>
      <w:proofErr w:type="gramEnd"/>
      <w:r w:rsidRPr="00E92A45">
        <w:rPr>
          <w:rFonts w:cstheme="minorHAnsi"/>
          <w:sz w:val="24"/>
          <w:szCs w:val="24"/>
        </w:rPr>
        <w:t xml:space="preserve"> a Large British Institutional Investor</w:t>
      </w:r>
      <w:r w:rsidR="005E4828" w:rsidRPr="00E92A45">
        <w:rPr>
          <w:rFonts w:cstheme="minorHAnsi"/>
          <w:sz w:val="24"/>
          <w:szCs w:val="24"/>
        </w:rPr>
        <w:t xml:space="preserve">. </w:t>
      </w:r>
      <w:r w:rsidRPr="00E92A45">
        <w:rPr>
          <w:rFonts w:cstheme="minorHAnsi"/>
          <w:sz w:val="24"/>
          <w:szCs w:val="24"/>
        </w:rPr>
        <w:t>(2013)</w:t>
      </w:r>
    </w:p>
    <w:p w14:paraId="1DC3EB47" w14:textId="28A7387C" w:rsidR="009C778C" w:rsidRPr="00E92A45" w:rsidRDefault="009C778C" w:rsidP="00E92A45">
      <w:pPr>
        <w:spacing w:after="0"/>
        <w:ind w:left="720" w:hanging="720"/>
        <w:rPr>
          <w:rFonts w:cstheme="minorHAnsi"/>
          <w:sz w:val="24"/>
          <w:szCs w:val="24"/>
        </w:rPr>
      </w:pPr>
      <w:r w:rsidRPr="00E92A45">
        <w:rPr>
          <w:rFonts w:cstheme="minorHAnsi"/>
          <w:sz w:val="24"/>
          <w:szCs w:val="24"/>
        </w:rPr>
        <w:t>S.R. Bharath, R. Pasquariello, G. Wu</w:t>
      </w:r>
      <w:r w:rsidR="005E4828" w:rsidRPr="00E92A45">
        <w:rPr>
          <w:rFonts w:cstheme="minorHAnsi"/>
          <w:sz w:val="24"/>
          <w:szCs w:val="24"/>
        </w:rPr>
        <w:t xml:space="preserve">. </w:t>
      </w:r>
      <w:r w:rsidRPr="00E92A45">
        <w:rPr>
          <w:rFonts w:cstheme="minorHAnsi"/>
          <w:sz w:val="24"/>
          <w:szCs w:val="24"/>
        </w:rPr>
        <w:t>Does asymmetric information drive capital structure decisions?</w:t>
      </w:r>
      <w:r w:rsidR="005E4828" w:rsidRPr="00E92A45">
        <w:rPr>
          <w:rFonts w:cstheme="minorHAnsi"/>
          <w:sz w:val="24"/>
          <w:szCs w:val="24"/>
        </w:rPr>
        <w:t xml:space="preserve"> </w:t>
      </w:r>
      <w:r w:rsidRPr="00E92A45">
        <w:rPr>
          <w:rFonts w:cstheme="minorHAnsi"/>
          <w:sz w:val="24"/>
          <w:szCs w:val="24"/>
        </w:rPr>
        <w:t>Rev. Financ. Stud., 22 (8) (2009), pp. 3211-3243</w:t>
      </w:r>
    </w:p>
    <w:p w14:paraId="179CC475" w14:textId="0C877B83" w:rsidR="009C778C" w:rsidRPr="00E92A45" w:rsidRDefault="009C778C" w:rsidP="00E92A45">
      <w:pPr>
        <w:spacing w:after="0"/>
        <w:ind w:left="720" w:hanging="720"/>
        <w:rPr>
          <w:rFonts w:cstheme="minorHAnsi"/>
          <w:sz w:val="24"/>
          <w:szCs w:val="24"/>
        </w:rPr>
      </w:pPr>
      <w:r w:rsidRPr="00E92A45">
        <w:rPr>
          <w:rFonts w:cstheme="minorHAnsi"/>
          <w:sz w:val="24"/>
          <w:szCs w:val="24"/>
        </w:rPr>
        <w:t>B.S. Black, J.C. Coffee</w:t>
      </w:r>
      <w:r w:rsidR="005E4828" w:rsidRPr="00E92A45">
        <w:rPr>
          <w:rFonts w:cstheme="minorHAnsi"/>
          <w:sz w:val="24"/>
          <w:szCs w:val="24"/>
        </w:rPr>
        <w:t xml:space="preserve">. </w:t>
      </w:r>
      <w:r w:rsidRPr="00E92A45">
        <w:rPr>
          <w:rFonts w:cstheme="minorHAnsi"/>
          <w:sz w:val="24"/>
          <w:szCs w:val="24"/>
        </w:rPr>
        <w:t>Hail Britannia? Institutional investor behavior under limited regulation</w:t>
      </w:r>
      <w:r w:rsidR="005E4828" w:rsidRPr="00E92A45">
        <w:rPr>
          <w:rFonts w:cstheme="minorHAnsi"/>
          <w:sz w:val="24"/>
          <w:szCs w:val="24"/>
        </w:rPr>
        <w:t xml:space="preserve">. </w:t>
      </w:r>
      <w:r w:rsidRPr="00E92A45">
        <w:rPr>
          <w:rFonts w:cstheme="minorHAnsi"/>
          <w:sz w:val="24"/>
          <w:szCs w:val="24"/>
        </w:rPr>
        <w:t>Mich. Law Rev., 92 (7) (1994), pp. 1997-2087</w:t>
      </w:r>
    </w:p>
    <w:p w14:paraId="3621FB04" w14:textId="25EF2810" w:rsidR="009C778C" w:rsidRPr="00E92A45" w:rsidRDefault="009C778C" w:rsidP="00E92A45">
      <w:pPr>
        <w:spacing w:after="0"/>
        <w:ind w:left="720" w:hanging="720"/>
        <w:rPr>
          <w:rFonts w:cstheme="minorHAnsi"/>
          <w:sz w:val="24"/>
          <w:szCs w:val="24"/>
        </w:rPr>
      </w:pPr>
      <w:r w:rsidRPr="00E92A45">
        <w:rPr>
          <w:rFonts w:cstheme="minorHAnsi"/>
          <w:sz w:val="24"/>
          <w:szCs w:val="24"/>
        </w:rPr>
        <w:t>J. Brickley, R. Lease, C. Smith</w:t>
      </w:r>
      <w:r w:rsidR="005E4828" w:rsidRPr="00E92A45">
        <w:rPr>
          <w:rFonts w:cstheme="minorHAnsi"/>
          <w:sz w:val="24"/>
          <w:szCs w:val="24"/>
        </w:rPr>
        <w:t xml:space="preserve">. </w:t>
      </w:r>
      <w:r w:rsidRPr="00E92A45">
        <w:rPr>
          <w:rFonts w:cstheme="minorHAnsi"/>
          <w:sz w:val="24"/>
          <w:szCs w:val="24"/>
        </w:rPr>
        <w:t>Ownership structure and voting on antitakeover amendments</w:t>
      </w:r>
      <w:r w:rsidR="005E4828" w:rsidRPr="00E92A45">
        <w:rPr>
          <w:rFonts w:cstheme="minorHAnsi"/>
          <w:sz w:val="24"/>
          <w:szCs w:val="24"/>
        </w:rPr>
        <w:t xml:space="preserve">. </w:t>
      </w:r>
      <w:r w:rsidRPr="00E92A45">
        <w:rPr>
          <w:rFonts w:cstheme="minorHAnsi"/>
          <w:sz w:val="24"/>
          <w:szCs w:val="24"/>
        </w:rPr>
        <w:t>J. Financ. Econ., 20 (1988), pp. 267-292</w:t>
      </w:r>
    </w:p>
    <w:p w14:paraId="5E1BB526" w14:textId="55D02A40" w:rsidR="009C778C" w:rsidRPr="00E92A45" w:rsidRDefault="009C778C" w:rsidP="00E92A45">
      <w:pPr>
        <w:spacing w:after="0"/>
        <w:ind w:left="720" w:hanging="720"/>
        <w:rPr>
          <w:rFonts w:cstheme="minorHAnsi"/>
          <w:sz w:val="24"/>
          <w:szCs w:val="24"/>
        </w:rPr>
      </w:pPr>
      <w:r w:rsidRPr="00E92A45">
        <w:rPr>
          <w:rFonts w:cstheme="minorHAnsi"/>
          <w:sz w:val="24"/>
          <w:szCs w:val="24"/>
        </w:rPr>
        <w:t>D. Burgstahler, I. Dichev</w:t>
      </w:r>
      <w:r w:rsidR="005E4828" w:rsidRPr="00E92A45">
        <w:rPr>
          <w:rFonts w:cstheme="minorHAnsi"/>
          <w:sz w:val="24"/>
          <w:szCs w:val="24"/>
        </w:rPr>
        <w:t xml:space="preserve">. </w:t>
      </w:r>
      <w:r w:rsidRPr="00E92A45">
        <w:rPr>
          <w:rFonts w:cstheme="minorHAnsi"/>
          <w:sz w:val="24"/>
          <w:szCs w:val="24"/>
        </w:rPr>
        <w:t>Earnings management to avoid earnings decreases and losses</w:t>
      </w:r>
      <w:r w:rsidR="005E4828" w:rsidRPr="00E92A45">
        <w:rPr>
          <w:rFonts w:cstheme="minorHAnsi"/>
          <w:sz w:val="24"/>
          <w:szCs w:val="24"/>
        </w:rPr>
        <w:t xml:space="preserve">. </w:t>
      </w:r>
      <w:r w:rsidRPr="00E92A45">
        <w:rPr>
          <w:rFonts w:cstheme="minorHAnsi"/>
          <w:sz w:val="24"/>
          <w:szCs w:val="24"/>
        </w:rPr>
        <w:t>J. Account. Econ., 24 (1) (1997), pp. 99-126</w:t>
      </w:r>
      <w:r w:rsidR="005E4828" w:rsidRPr="00E92A45">
        <w:rPr>
          <w:rFonts w:cstheme="minorHAnsi"/>
          <w:sz w:val="24"/>
          <w:szCs w:val="24"/>
        </w:rPr>
        <w:t>.</w:t>
      </w:r>
    </w:p>
    <w:p w14:paraId="20228E2F" w14:textId="6F4CC6E9" w:rsidR="009C778C" w:rsidRPr="00E92A45" w:rsidRDefault="009C778C" w:rsidP="00E92A45">
      <w:pPr>
        <w:spacing w:after="0"/>
        <w:ind w:left="720" w:hanging="720"/>
        <w:rPr>
          <w:rFonts w:cstheme="minorHAnsi"/>
          <w:sz w:val="24"/>
          <w:szCs w:val="24"/>
        </w:rPr>
      </w:pPr>
      <w:r w:rsidRPr="00E92A45">
        <w:rPr>
          <w:rFonts w:cstheme="minorHAnsi"/>
          <w:sz w:val="24"/>
          <w:szCs w:val="24"/>
        </w:rPr>
        <w:t>B.J. Bushee</w:t>
      </w:r>
      <w:r w:rsidR="005E4828" w:rsidRPr="00E92A45">
        <w:rPr>
          <w:rFonts w:cstheme="minorHAnsi"/>
          <w:sz w:val="24"/>
          <w:szCs w:val="24"/>
        </w:rPr>
        <w:t xml:space="preserve">. </w:t>
      </w:r>
      <w:r w:rsidRPr="00E92A45">
        <w:rPr>
          <w:rFonts w:cstheme="minorHAnsi"/>
          <w:sz w:val="24"/>
          <w:szCs w:val="24"/>
        </w:rPr>
        <w:t>The influence of institutional investors on myopic R&amp;D investment behavior</w:t>
      </w:r>
      <w:r w:rsidR="005E4828" w:rsidRPr="00E92A45">
        <w:rPr>
          <w:rFonts w:cstheme="minorHAnsi"/>
          <w:sz w:val="24"/>
          <w:szCs w:val="24"/>
        </w:rPr>
        <w:t xml:space="preserve">. </w:t>
      </w:r>
      <w:r w:rsidRPr="00E92A45">
        <w:rPr>
          <w:rFonts w:cstheme="minorHAnsi"/>
          <w:sz w:val="24"/>
          <w:szCs w:val="24"/>
        </w:rPr>
        <w:t>Account. Rev., 73 (3) (1998), pp. 305-333</w:t>
      </w:r>
    </w:p>
    <w:p w14:paraId="71311E42" w14:textId="2D2BBC24" w:rsidR="009C778C" w:rsidRPr="00E92A45" w:rsidRDefault="009C778C" w:rsidP="00E92A45">
      <w:pPr>
        <w:spacing w:after="0"/>
        <w:ind w:left="720" w:hanging="720"/>
        <w:rPr>
          <w:rFonts w:cstheme="minorHAnsi"/>
          <w:sz w:val="24"/>
          <w:szCs w:val="24"/>
        </w:rPr>
      </w:pPr>
      <w:r w:rsidRPr="00E92A45">
        <w:rPr>
          <w:rFonts w:cstheme="minorHAnsi"/>
          <w:sz w:val="24"/>
          <w:szCs w:val="24"/>
        </w:rPr>
        <w:t>A. Butler</w:t>
      </w:r>
      <w:r w:rsidR="005E4828" w:rsidRPr="00E92A45">
        <w:rPr>
          <w:rFonts w:cstheme="minorHAnsi"/>
          <w:sz w:val="24"/>
          <w:szCs w:val="24"/>
        </w:rPr>
        <w:t xml:space="preserve">. </w:t>
      </w:r>
      <w:r w:rsidRPr="00E92A45">
        <w:rPr>
          <w:rFonts w:cstheme="minorHAnsi"/>
          <w:sz w:val="24"/>
          <w:szCs w:val="24"/>
        </w:rPr>
        <w:t xml:space="preserve">Distance still </w:t>
      </w:r>
      <w:proofErr w:type="gramStart"/>
      <w:r w:rsidRPr="00E92A45">
        <w:rPr>
          <w:rFonts w:cstheme="minorHAnsi"/>
          <w:sz w:val="24"/>
          <w:szCs w:val="24"/>
        </w:rPr>
        <w:t>matters:</w:t>
      </w:r>
      <w:proofErr w:type="gramEnd"/>
      <w:r w:rsidRPr="00E92A45">
        <w:rPr>
          <w:rFonts w:cstheme="minorHAnsi"/>
          <w:sz w:val="24"/>
          <w:szCs w:val="24"/>
        </w:rPr>
        <w:t xml:space="preserve"> evidence from municipal bond underwriting</w:t>
      </w:r>
      <w:r w:rsidR="005E4828" w:rsidRPr="00E92A45">
        <w:rPr>
          <w:rFonts w:cstheme="minorHAnsi"/>
          <w:sz w:val="24"/>
          <w:szCs w:val="24"/>
        </w:rPr>
        <w:t xml:space="preserve">. </w:t>
      </w:r>
      <w:r w:rsidRPr="00E92A45">
        <w:rPr>
          <w:rFonts w:cstheme="minorHAnsi"/>
          <w:sz w:val="24"/>
          <w:szCs w:val="24"/>
        </w:rPr>
        <w:t>Rev. Financ. Stud., 21 (2) (2008), pp. 763-784</w:t>
      </w:r>
    </w:p>
    <w:p w14:paraId="1B004203" w14:textId="03402A95" w:rsidR="009C778C" w:rsidRPr="00E92A45" w:rsidRDefault="009C778C" w:rsidP="00E92A45">
      <w:pPr>
        <w:spacing w:after="0"/>
        <w:ind w:left="720" w:hanging="720"/>
        <w:rPr>
          <w:rFonts w:cstheme="minorHAnsi"/>
          <w:sz w:val="24"/>
          <w:szCs w:val="24"/>
        </w:rPr>
      </w:pPr>
      <w:r w:rsidRPr="00E92A45">
        <w:rPr>
          <w:rFonts w:cstheme="minorHAnsi"/>
          <w:sz w:val="24"/>
          <w:szCs w:val="24"/>
        </w:rPr>
        <w:t>W.T. Carleton, J.M. Nelson, M.S. Weisbach</w:t>
      </w:r>
      <w:r w:rsidR="005E4828" w:rsidRPr="00E92A45">
        <w:rPr>
          <w:rFonts w:cstheme="minorHAnsi"/>
          <w:sz w:val="24"/>
          <w:szCs w:val="24"/>
        </w:rPr>
        <w:t xml:space="preserve">. </w:t>
      </w:r>
      <w:r w:rsidRPr="00E92A45">
        <w:rPr>
          <w:rFonts w:cstheme="minorHAnsi"/>
          <w:sz w:val="24"/>
          <w:szCs w:val="24"/>
        </w:rPr>
        <w:t>The influence of institutions on corporate governance through private negotiations: evidence from TIAA-CREF</w:t>
      </w:r>
      <w:r w:rsidR="005E4828" w:rsidRPr="00E92A45">
        <w:rPr>
          <w:rFonts w:cstheme="minorHAnsi"/>
          <w:sz w:val="24"/>
          <w:szCs w:val="24"/>
        </w:rPr>
        <w:t xml:space="preserve">. </w:t>
      </w:r>
      <w:r w:rsidRPr="00E92A45">
        <w:rPr>
          <w:rFonts w:cstheme="minorHAnsi"/>
          <w:sz w:val="24"/>
          <w:szCs w:val="24"/>
        </w:rPr>
        <w:t>J. Financ., 53 (4) (1998), pp. 1335-1362</w:t>
      </w:r>
    </w:p>
    <w:p w14:paraId="35DF8C93" w14:textId="61D0431E" w:rsidR="009C778C" w:rsidRPr="00E92A45" w:rsidRDefault="009C778C" w:rsidP="00E92A45">
      <w:pPr>
        <w:spacing w:after="0"/>
        <w:ind w:left="720" w:hanging="720"/>
        <w:rPr>
          <w:rFonts w:cstheme="minorHAnsi"/>
          <w:sz w:val="24"/>
          <w:szCs w:val="24"/>
        </w:rPr>
      </w:pPr>
      <w:r w:rsidRPr="00E92A45">
        <w:rPr>
          <w:rFonts w:cstheme="minorHAnsi"/>
          <w:sz w:val="24"/>
          <w:szCs w:val="24"/>
        </w:rPr>
        <w:t>P. Chaney, M. Faccio, D. Parsley</w:t>
      </w:r>
      <w:r w:rsidR="005E4828" w:rsidRPr="00E92A45">
        <w:rPr>
          <w:rFonts w:cstheme="minorHAnsi"/>
          <w:sz w:val="24"/>
          <w:szCs w:val="24"/>
        </w:rPr>
        <w:t xml:space="preserve">. </w:t>
      </w:r>
      <w:r w:rsidRPr="00E92A45">
        <w:rPr>
          <w:rFonts w:cstheme="minorHAnsi"/>
          <w:sz w:val="24"/>
          <w:szCs w:val="24"/>
        </w:rPr>
        <w:t>The quality of accounting information in politically connected firms</w:t>
      </w:r>
      <w:r w:rsidR="005E4828" w:rsidRPr="00E92A45">
        <w:rPr>
          <w:rFonts w:cstheme="minorHAnsi"/>
          <w:sz w:val="24"/>
          <w:szCs w:val="24"/>
        </w:rPr>
        <w:t xml:space="preserve">. </w:t>
      </w:r>
      <w:r w:rsidRPr="00E92A45">
        <w:rPr>
          <w:rFonts w:cstheme="minorHAnsi"/>
          <w:sz w:val="24"/>
          <w:szCs w:val="24"/>
        </w:rPr>
        <w:t>J. Account. Econ., 51 (1-2) (2011), pp. 58-76</w:t>
      </w:r>
    </w:p>
    <w:p w14:paraId="0D74731B" w14:textId="6F1C3063" w:rsidR="009C778C" w:rsidRPr="00E92A45" w:rsidRDefault="009C778C" w:rsidP="00E92A45">
      <w:pPr>
        <w:spacing w:after="0"/>
        <w:ind w:left="720" w:hanging="720"/>
        <w:rPr>
          <w:rFonts w:cstheme="minorHAnsi"/>
          <w:sz w:val="24"/>
          <w:szCs w:val="24"/>
        </w:rPr>
      </w:pPr>
      <w:r w:rsidRPr="00E92A45">
        <w:rPr>
          <w:rFonts w:cstheme="minorHAnsi"/>
          <w:sz w:val="24"/>
          <w:szCs w:val="24"/>
        </w:rPr>
        <w:t>X. Chen, J. Harford, K. Li</w:t>
      </w:r>
      <w:r w:rsidR="005E4828" w:rsidRPr="00E92A45">
        <w:rPr>
          <w:rFonts w:cstheme="minorHAnsi"/>
          <w:sz w:val="24"/>
          <w:szCs w:val="24"/>
        </w:rPr>
        <w:t xml:space="preserve">. </w:t>
      </w:r>
      <w:r w:rsidRPr="00E92A45">
        <w:rPr>
          <w:rFonts w:cstheme="minorHAnsi"/>
          <w:sz w:val="24"/>
          <w:szCs w:val="24"/>
        </w:rPr>
        <w:t>Monitoring: which institutions matter?</w:t>
      </w:r>
      <w:r w:rsidR="005E4828" w:rsidRPr="00E92A45">
        <w:rPr>
          <w:rFonts w:cstheme="minorHAnsi"/>
          <w:sz w:val="24"/>
          <w:szCs w:val="24"/>
        </w:rPr>
        <w:t xml:space="preserve"> </w:t>
      </w:r>
      <w:r w:rsidRPr="00E92A45">
        <w:rPr>
          <w:rFonts w:cstheme="minorHAnsi"/>
          <w:sz w:val="24"/>
          <w:szCs w:val="24"/>
        </w:rPr>
        <w:t>J. Financ. Econ., 86 (2) (2007), pp. 279-305</w:t>
      </w:r>
      <w:r w:rsidR="005E4828" w:rsidRPr="00E92A45">
        <w:rPr>
          <w:rFonts w:cstheme="minorHAnsi"/>
          <w:sz w:val="24"/>
          <w:szCs w:val="24"/>
        </w:rPr>
        <w:t xml:space="preserve"> </w:t>
      </w:r>
    </w:p>
    <w:p w14:paraId="1E5E4BB5" w14:textId="008F2F4B" w:rsidR="009C778C" w:rsidRPr="00E92A45" w:rsidRDefault="009C778C" w:rsidP="00E92A45">
      <w:pPr>
        <w:spacing w:after="0"/>
        <w:ind w:left="720" w:hanging="720"/>
        <w:rPr>
          <w:rFonts w:cstheme="minorHAnsi"/>
          <w:sz w:val="24"/>
          <w:szCs w:val="24"/>
        </w:rPr>
      </w:pPr>
      <w:r w:rsidRPr="00E92A45">
        <w:rPr>
          <w:rFonts w:cstheme="minorHAnsi"/>
          <w:sz w:val="24"/>
          <w:szCs w:val="24"/>
        </w:rPr>
        <w:t>V. Chhaochharia, A. Kumar, A. Niessen-Ruenzi</w:t>
      </w:r>
      <w:r w:rsidR="005E4828" w:rsidRPr="00E92A45">
        <w:rPr>
          <w:rFonts w:cstheme="minorHAnsi"/>
          <w:sz w:val="24"/>
          <w:szCs w:val="24"/>
        </w:rPr>
        <w:t xml:space="preserve">. </w:t>
      </w:r>
      <w:r w:rsidRPr="00E92A45">
        <w:rPr>
          <w:rFonts w:cstheme="minorHAnsi"/>
          <w:sz w:val="24"/>
          <w:szCs w:val="24"/>
        </w:rPr>
        <w:t>Local investors and corporate governance</w:t>
      </w:r>
      <w:r w:rsidR="005E4828" w:rsidRPr="00E92A45">
        <w:rPr>
          <w:rFonts w:cstheme="minorHAnsi"/>
          <w:sz w:val="24"/>
          <w:szCs w:val="24"/>
        </w:rPr>
        <w:t xml:space="preserve">. </w:t>
      </w:r>
      <w:r w:rsidRPr="00E92A45">
        <w:rPr>
          <w:rFonts w:cstheme="minorHAnsi"/>
          <w:sz w:val="24"/>
          <w:szCs w:val="24"/>
        </w:rPr>
        <w:t>J. Account. Econ., 54 (1) (2012), pp. 42-67</w:t>
      </w:r>
    </w:p>
    <w:p w14:paraId="29E2431E" w14:textId="48446F5B" w:rsidR="009C778C" w:rsidRPr="00E92A45" w:rsidRDefault="009C778C" w:rsidP="00E92A45">
      <w:pPr>
        <w:spacing w:after="0"/>
        <w:ind w:left="720" w:hanging="720"/>
        <w:rPr>
          <w:rFonts w:cstheme="minorHAnsi"/>
          <w:sz w:val="24"/>
          <w:szCs w:val="24"/>
        </w:rPr>
      </w:pPr>
      <w:r w:rsidRPr="00E92A45">
        <w:rPr>
          <w:rFonts w:cstheme="minorHAnsi"/>
          <w:sz w:val="24"/>
          <w:szCs w:val="24"/>
        </w:rPr>
        <w:t>R. Chung, M. Firth, J.-B. Kim</w:t>
      </w:r>
      <w:r w:rsidR="005E4828" w:rsidRPr="00E92A45">
        <w:rPr>
          <w:rFonts w:cstheme="minorHAnsi"/>
          <w:sz w:val="24"/>
          <w:szCs w:val="24"/>
        </w:rPr>
        <w:t xml:space="preserve">. </w:t>
      </w:r>
      <w:r w:rsidRPr="00E92A45">
        <w:rPr>
          <w:rFonts w:cstheme="minorHAnsi"/>
          <w:sz w:val="24"/>
          <w:szCs w:val="24"/>
        </w:rPr>
        <w:t>Institutional monitoring and opportunistic earnings management</w:t>
      </w:r>
      <w:r w:rsidR="005E4828" w:rsidRPr="00E92A45">
        <w:rPr>
          <w:rFonts w:cstheme="minorHAnsi"/>
          <w:sz w:val="24"/>
          <w:szCs w:val="24"/>
        </w:rPr>
        <w:t xml:space="preserve">. </w:t>
      </w:r>
      <w:r w:rsidRPr="00E92A45">
        <w:rPr>
          <w:rFonts w:cstheme="minorHAnsi"/>
          <w:sz w:val="24"/>
          <w:szCs w:val="24"/>
        </w:rPr>
        <w:t>J. Corp. Financ., 8 (1) (2002), pp. 29-48</w:t>
      </w:r>
    </w:p>
    <w:p w14:paraId="459D5D60" w14:textId="7F0B9C2A" w:rsidR="009C778C" w:rsidRPr="00E92A45" w:rsidRDefault="009C778C" w:rsidP="00E92A45">
      <w:pPr>
        <w:spacing w:after="0"/>
        <w:ind w:left="720" w:hanging="720"/>
        <w:rPr>
          <w:rFonts w:cstheme="minorHAnsi"/>
          <w:sz w:val="24"/>
          <w:szCs w:val="24"/>
        </w:rPr>
      </w:pPr>
      <w:r w:rsidRPr="00E92A45">
        <w:rPr>
          <w:rFonts w:cstheme="minorHAnsi"/>
          <w:sz w:val="24"/>
          <w:szCs w:val="24"/>
        </w:rPr>
        <w:t>M.M. Cornett, J.J. Marcus, H. Tehranian</w:t>
      </w:r>
      <w:r w:rsidR="005E4828" w:rsidRPr="00E92A45">
        <w:rPr>
          <w:rFonts w:cstheme="minorHAnsi"/>
          <w:sz w:val="24"/>
          <w:szCs w:val="24"/>
        </w:rPr>
        <w:t xml:space="preserve">. </w:t>
      </w:r>
      <w:r w:rsidRPr="00E92A45">
        <w:rPr>
          <w:rFonts w:cstheme="minorHAnsi"/>
          <w:sz w:val="24"/>
          <w:szCs w:val="24"/>
        </w:rPr>
        <w:t>Corporate governance and pay-for-performance: the impact of earnings management</w:t>
      </w:r>
      <w:r w:rsidR="005E4828" w:rsidRPr="00E92A45">
        <w:rPr>
          <w:rFonts w:cstheme="minorHAnsi"/>
          <w:sz w:val="24"/>
          <w:szCs w:val="24"/>
        </w:rPr>
        <w:t xml:space="preserve">. </w:t>
      </w:r>
      <w:r w:rsidRPr="00E92A45">
        <w:rPr>
          <w:rFonts w:cstheme="minorHAnsi"/>
          <w:sz w:val="24"/>
          <w:szCs w:val="24"/>
        </w:rPr>
        <w:t>J. Financ. Econ., 87 (2) (2008), pp. 357-373</w:t>
      </w:r>
    </w:p>
    <w:p w14:paraId="7314ADF2" w14:textId="342917CC" w:rsidR="009C778C" w:rsidRPr="00E92A45" w:rsidRDefault="009C778C" w:rsidP="00E92A45">
      <w:pPr>
        <w:spacing w:after="0"/>
        <w:ind w:left="720" w:hanging="720"/>
        <w:rPr>
          <w:rFonts w:cstheme="minorHAnsi"/>
          <w:sz w:val="24"/>
          <w:szCs w:val="24"/>
        </w:rPr>
      </w:pPr>
      <w:r w:rsidRPr="00E92A45">
        <w:rPr>
          <w:rFonts w:cstheme="minorHAnsi"/>
          <w:sz w:val="24"/>
          <w:szCs w:val="24"/>
        </w:rPr>
        <w:t>M.M. Cornett, J.J. Marcus, H. Tehranian</w:t>
      </w:r>
      <w:r w:rsidR="005E4828" w:rsidRPr="00E92A45">
        <w:rPr>
          <w:rFonts w:cstheme="minorHAnsi"/>
          <w:sz w:val="24"/>
          <w:szCs w:val="24"/>
        </w:rPr>
        <w:t xml:space="preserve">. </w:t>
      </w:r>
      <w:r w:rsidRPr="00E92A45">
        <w:rPr>
          <w:rFonts w:cstheme="minorHAnsi"/>
          <w:sz w:val="24"/>
          <w:szCs w:val="24"/>
        </w:rPr>
        <w:t>Corporate governance and earnings management at large U.S. bank holding companies</w:t>
      </w:r>
      <w:r w:rsidR="005E4828" w:rsidRPr="00E92A45">
        <w:rPr>
          <w:rFonts w:cstheme="minorHAnsi"/>
          <w:sz w:val="24"/>
          <w:szCs w:val="24"/>
        </w:rPr>
        <w:t xml:space="preserve">. </w:t>
      </w:r>
      <w:r w:rsidRPr="00E92A45">
        <w:rPr>
          <w:rFonts w:cstheme="minorHAnsi"/>
          <w:sz w:val="24"/>
          <w:szCs w:val="24"/>
        </w:rPr>
        <w:t>J. Corp. Financ., 15 (4) (2009), pp. 412-430</w:t>
      </w:r>
    </w:p>
    <w:p w14:paraId="78BCA2B7" w14:textId="7B4F0ED2" w:rsidR="009C778C" w:rsidRPr="00E92A45" w:rsidRDefault="009C778C" w:rsidP="00E92A45">
      <w:pPr>
        <w:spacing w:after="0"/>
        <w:ind w:left="720" w:hanging="720"/>
        <w:rPr>
          <w:rFonts w:cstheme="minorHAnsi"/>
          <w:sz w:val="24"/>
          <w:szCs w:val="24"/>
        </w:rPr>
      </w:pPr>
      <w:r w:rsidRPr="00E92A45">
        <w:rPr>
          <w:rFonts w:cstheme="minorHAnsi"/>
          <w:sz w:val="24"/>
          <w:szCs w:val="24"/>
        </w:rPr>
        <w:t>J. Coval, T. Moskowitz</w:t>
      </w:r>
      <w:r w:rsidR="005E4828" w:rsidRPr="00E92A45">
        <w:rPr>
          <w:rFonts w:cstheme="minorHAnsi"/>
          <w:sz w:val="24"/>
          <w:szCs w:val="24"/>
        </w:rPr>
        <w:t xml:space="preserve">. </w:t>
      </w:r>
      <w:r w:rsidRPr="00E92A45">
        <w:rPr>
          <w:rFonts w:cstheme="minorHAnsi"/>
          <w:sz w:val="24"/>
          <w:szCs w:val="24"/>
        </w:rPr>
        <w:t>Home bias at home: local equity preference in domestic portfolios</w:t>
      </w:r>
      <w:r w:rsidR="005E4828" w:rsidRPr="00E92A45">
        <w:rPr>
          <w:rFonts w:cstheme="minorHAnsi"/>
          <w:sz w:val="24"/>
          <w:szCs w:val="24"/>
        </w:rPr>
        <w:t xml:space="preserve">. </w:t>
      </w:r>
      <w:r w:rsidRPr="00E92A45">
        <w:rPr>
          <w:rFonts w:cstheme="minorHAnsi"/>
          <w:sz w:val="24"/>
          <w:szCs w:val="24"/>
        </w:rPr>
        <w:t>J. Financ., 54 (6) (1999), pp. 2045-2073</w:t>
      </w:r>
    </w:p>
    <w:p w14:paraId="44107439" w14:textId="6821FD32" w:rsidR="009C778C" w:rsidRPr="00E92A45" w:rsidRDefault="009C778C" w:rsidP="00E92A45">
      <w:pPr>
        <w:spacing w:after="0"/>
        <w:ind w:left="720" w:hanging="720"/>
        <w:rPr>
          <w:rFonts w:cstheme="minorHAnsi"/>
          <w:sz w:val="24"/>
          <w:szCs w:val="24"/>
        </w:rPr>
      </w:pPr>
      <w:r w:rsidRPr="00E92A45">
        <w:rPr>
          <w:rFonts w:cstheme="minorHAnsi"/>
          <w:sz w:val="24"/>
          <w:szCs w:val="24"/>
        </w:rPr>
        <w:t>M. DeFond, M. Hung, R. Trezevant</w:t>
      </w:r>
      <w:r w:rsidR="005E4828" w:rsidRPr="00E92A45">
        <w:rPr>
          <w:rFonts w:cstheme="minorHAnsi"/>
          <w:sz w:val="24"/>
          <w:szCs w:val="24"/>
        </w:rPr>
        <w:t xml:space="preserve">. </w:t>
      </w:r>
      <w:r w:rsidRPr="00E92A45">
        <w:rPr>
          <w:rFonts w:cstheme="minorHAnsi"/>
          <w:sz w:val="24"/>
          <w:szCs w:val="24"/>
        </w:rPr>
        <w:t>Investor protection and the information content of annual earnings announcements: international evidence</w:t>
      </w:r>
      <w:r w:rsidR="005E4828" w:rsidRPr="00E92A45">
        <w:rPr>
          <w:rFonts w:cstheme="minorHAnsi"/>
          <w:sz w:val="24"/>
          <w:szCs w:val="24"/>
        </w:rPr>
        <w:t xml:space="preserve">. </w:t>
      </w:r>
      <w:r w:rsidRPr="00E92A45">
        <w:rPr>
          <w:rFonts w:cstheme="minorHAnsi"/>
          <w:sz w:val="24"/>
          <w:szCs w:val="24"/>
        </w:rPr>
        <w:t>J. Account. Econ., 43 (1) (2007), pp. 37-67</w:t>
      </w:r>
    </w:p>
    <w:p w14:paraId="14B6D435" w14:textId="71B79B3B" w:rsidR="009C778C" w:rsidRPr="00E92A45" w:rsidRDefault="009C778C" w:rsidP="00E92A45">
      <w:pPr>
        <w:spacing w:after="0"/>
        <w:ind w:left="720" w:hanging="720"/>
        <w:rPr>
          <w:rFonts w:cstheme="minorHAnsi"/>
          <w:sz w:val="24"/>
          <w:szCs w:val="24"/>
        </w:rPr>
      </w:pPr>
      <w:r w:rsidRPr="00E92A45">
        <w:rPr>
          <w:rFonts w:cstheme="minorHAnsi"/>
          <w:sz w:val="24"/>
          <w:szCs w:val="24"/>
        </w:rPr>
        <w:t>M. DeFond, X. Hu, M. Huang, S. Li</w:t>
      </w:r>
      <w:r w:rsidR="005E4828" w:rsidRPr="00E92A45">
        <w:rPr>
          <w:rFonts w:cstheme="minorHAnsi"/>
          <w:sz w:val="24"/>
          <w:szCs w:val="24"/>
        </w:rPr>
        <w:t xml:space="preserve">. </w:t>
      </w:r>
      <w:r w:rsidRPr="00E92A45">
        <w:rPr>
          <w:rFonts w:cstheme="minorHAnsi"/>
          <w:sz w:val="24"/>
          <w:szCs w:val="24"/>
        </w:rPr>
        <w:t>The impact of mandatory IFRS adoption on foreign mutual fund ownership: the role of comparability</w:t>
      </w:r>
      <w:r w:rsidR="005E4828" w:rsidRPr="00E92A45">
        <w:rPr>
          <w:rFonts w:cstheme="minorHAnsi"/>
          <w:sz w:val="24"/>
          <w:szCs w:val="24"/>
        </w:rPr>
        <w:t xml:space="preserve">. </w:t>
      </w:r>
      <w:r w:rsidRPr="00E92A45">
        <w:rPr>
          <w:rFonts w:cstheme="minorHAnsi"/>
          <w:sz w:val="24"/>
          <w:szCs w:val="24"/>
        </w:rPr>
        <w:t>J. Financ. Econ., 51 (3) (2011), pp. 240-258</w:t>
      </w:r>
    </w:p>
    <w:p w14:paraId="066EC391" w14:textId="6A8EC618" w:rsidR="009C778C" w:rsidRPr="00E92A45" w:rsidRDefault="009C778C" w:rsidP="00E92A45">
      <w:pPr>
        <w:spacing w:after="0"/>
        <w:ind w:left="720" w:hanging="720"/>
        <w:rPr>
          <w:rFonts w:cstheme="minorHAnsi"/>
          <w:sz w:val="24"/>
          <w:szCs w:val="24"/>
        </w:rPr>
      </w:pPr>
      <w:r w:rsidRPr="00E92A45">
        <w:rPr>
          <w:rFonts w:cstheme="minorHAnsi"/>
          <w:sz w:val="24"/>
          <w:szCs w:val="24"/>
        </w:rPr>
        <w:t>H. Degryse, S. Ongena</w:t>
      </w:r>
      <w:r w:rsidR="005E4828" w:rsidRPr="00E92A45">
        <w:rPr>
          <w:rFonts w:cstheme="minorHAnsi"/>
          <w:sz w:val="24"/>
          <w:szCs w:val="24"/>
        </w:rPr>
        <w:t xml:space="preserve">. </w:t>
      </w:r>
      <w:r w:rsidRPr="00E92A45">
        <w:rPr>
          <w:rFonts w:cstheme="minorHAnsi"/>
          <w:sz w:val="24"/>
          <w:szCs w:val="24"/>
        </w:rPr>
        <w:t>Distance, lending relationships, and competition</w:t>
      </w:r>
      <w:r w:rsidR="005E4828" w:rsidRPr="00E92A45">
        <w:rPr>
          <w:rFonts w:cstheme="minorHAnsi"/>
          <w:sz w:val="24"/>
          <w:szCs w:val="24"/>
        </w:rPr>
        <w:t xml:space="preserve">. </w:t>
      </w:r>
      <w:r w:rsidRPr="00E92A45">
        <w:rPr>
          <w:rFonts w:cstheme="minorHAnsi"/>
          <w:sz w:val="24"/>
          <w:szCs w:val="24"/>
        </w:rPr>
        <w:t>J. Financ., 60 (1) (2005), pp. 231-266</w:t>
      </w:r>
    </w:p>
    <w:p w14:paraId="2C051223" w14:textId="28182A11" w:rsidR="009C778C" w:rsidRPr="00E92A45" w:rsidRDefault="009C778C" w:rsidP="00E92A45">
      <w:pPr>
        <w:spacing w:after="0"/>
        <w:ind w:left="720" w:hanging="720"/>
        <w:rPr>
          <w:rFonts w:cstheme="minorHAnsi"/>
          <w:sz w:val="24"/>
          <w:szCs w:val="24"/>
        </w:rPr>
      </w:pPr>
      <w:r w:rsidRPr="00E92A45">
        <w:rPr>
          <w:rFonts w:cstheme="minorHAnsi"/>
          <w:sz w:val="24"/>
          <w:szCs w:val="24"/>
        </w:rPr>
        <w:t>V.W. Fang, M. Maffett, B. Zhang</w:t>
      </w:r>
      <w:r w:rsidR="005E4828" w:rsidRPr="00E92A45">
        <w:rPr>
          <w:rFonts w:cstheme="minorHAnsi"/>
          <w:sz w:val="24"/>
          <w:szCs w:val="24"/>
        </w:rPr>
        <w:t xml:space="preserve">. </w:t>
      </w:r>
      <w:r w:rsidRPr="00E92A45">
        <w:rPr>
          <w:rFonts w:cstheme="minorHAnsi"/>
          <w:sz w:val="24"/>
          <w:szCs w:val="24"/>
        </w:rPr>
        <w:t>Foreign institutional ownership and the global convergence of financial reporting practices</w:t>
      </w:r>
      <w:r w:rsidR="005E4828" w:rsidRPr="00E92A45">
        <w:rPr>
          <w:rFonts w:cstheme="minorHAnsi"/>
          <w:sz w:val="24"/>
          <w:szCs w:val="24"/>
        </w:rPr>
        <w:t xml:space="preserve">. </w:t>
      </w:r>
      <w:r w:rsidRPr="00E92A45">
        <w:rPr>
          <w:rFonts w:cstheme="minorHAnsi"/>
          <w:sz w:val="24"/>
          <w:szCs w:val="24"/>
        </w:rPr>
        <w:t>J. Account. Res., 53 (3) (2015), pp. 593-631</w:t>
      </w:r>
    </w:p>
    <w:p w14:paraId="5E712D9E" w14:textId="4AA7889B" w:rsidR="009C778C" w:rsidRPr="00E92A45" w:rsidRDefault="009C778C" w:rsidP="00E92A45">
      <w:pPr>
        <w:spacing w:after="0"/>
        <w:ind w:left="720" w:hanging="720"/>
        <w:rPr>
          <w:rFonts w:cstheme="minorHAnsi"/>
          <w:sz w:val="24"/>
          <w:szCs w:val="24"/>
        </w:rPr>
      </w:pPr>
      <w:r w:rsidRPr="00E92A45">
        <w:rPr>
          <w:rFonts w:cstheme="minorHAnsi"/>
          <w:sz w:val="24"/>
          <w:szCs w:val="24"/>
        </w:rPr>
        <w:t>M. Ferreira, P. Matos</w:t>
      </w:r>
      <w:r w:rsidR="005E4828" w:rsidRPr="00E92A45">
        <w:rPr>
          <w:rFonts w:cstheme="minorHAnsi"/>
          <w:sz w:val="24"/>
          <w:szCs w:val="24"/>
        </w:rPr>
        <w:t xml:space="preserve">. </w:t>
      </w:r>
      <w:r w:rsidRPr="00E92A45">
        <w:rPr>
          <w:rFonts w:cstheme="minorHAnsi"/>
          <w:sz w:val="24"/>
          <w:szCs w:val="24"/>
        </w:rPr>
        <w:t>The colors of investors’ money: the role of institutional investors around the world</w:t>
      </w:r>
      <w:r w:rsidR="005E4828" w:rsidRPr="00E92A45">
        <w:rPr>
          <w:rFonts w:cstheme="minorHAnsi"/>
          <w:sz w:val="24"/>
          <w:szCs w:val="24"/>
        </w:rPr>
        <w:t xml:space="preserve">. </w:t>
      </w:r>
      <w:r w:rsidRPr="00E92A45">
        <w:rPr>
          <w:rFonts w:cstheme="minorHAnsi"/>
          <w:sz w:val="24"/>
          <w:szCs w:val="24"/>
        </w:rPr>
        <w:t>J. Financ. Econ., 88 (3) (2008), pp. 499-533</w:t>
      </w:r>
    </w:p>
    <w:p w14:paraId="2A4F6225" w14:textId="79BA00D6" w:rsidR="009C778C" w:rsidRPr="00E92A45" w:rsidRDefault="009C778C" w:rsidP="00E92A45">
      <w:pPr>
        <w:spacing w:after="0"/>
        <w:ind w:left="720" w:hanging="720"/>
        <w:rPr>
          <w:rFonts w:cstheme="minorHAnsi"/>
          <w:sz w:val="24"/>
          <w:szCs w:val="24"/>
        </w:rPr>
      </w:pPr>
      <w:r w:rsidRPr="00E92A45">
        <w:rPr>
          <w:rFonts w:cstheme="minorHAnsi"/>
          <w:sz w:val="24"/>
          <w:szCs w:val="24"/>
        </w:rPr>
        <w:t>M.J. Gelfand, L. Nishii, J. Raver</w:t>
      </w:r>
      <w:r w:rsidR="005E4828" w:rsidRPr="00E92A45">
        <w:rPr>
          <w:rFonts w:cstheme="minorHAnsi"/>
          <w:sz w:val="24"/>
          <w:szCs w:val="24"/>
        </w:rPr>
        <w:t xml:space="preserve">. </w:t>
      </w:r>
      <w:r w:rsidRPr="00E92A45">
        <w:rPr>
          <w:rFonts w:cstheme="minorHAnsi"/>
          <w:sz w:val="24"/>
          <w:szCs w:val="24"/>
        </w:rPr>
        <w:t>On the nature and importance of cultural tightness-looseness</w:t>
      </w:r>
      <w:r w:rsidR="005E4828" w:rsidRPr="00E92A45">
        <w:rPr>
          <w:rFonts w:cstheme="minorHAnsi"/>
          <w:sz w:val="24"/>
          <w:szCs w:val="24"/>
        </w:rPr>
        <w:t xml:space="preserve">. </w:t>
      </w:r>
      <w:r w:rsidRPr="00E92A45">
        <w:rPr>
          <w:rFonts w:cstheme="minorHAnsi"/>
          <w:sz w:val="24"/>
          <w:szCs w:val="24"/>
        </w:rPr>
        <w:t>J. Appl. Psychol., 91 (6) (2006), pp. 1225-1244</w:t>
      </w:r>
    </w:p>
    <w:p w14:paraId="3A36711E" w14:textId="526F27F8" w:rsidR="009C778C" w:rsidRPr="00E92A45" w:rsidRDefault="009C778C" w:rsidP="00E92A45">
      <w:pPr>
        <w:spacing w:after="0"/>
        <w:ind w:left="720" w:hanging="720"/>
        <w:rPr>
          <w:rFonts w:cstheme="minorHAnsi"/>
          <w:sz w:val="24"/>
          <w:szCs w:val="24"/>
        </w:rPr>
      </w:pPr>
      <w:r w:rsidRPr="00E92A45">
        <w:rPr>
          <w:rFonts w:cstheme="minorHAnsi"/>
          <w:sz w:val="24"/>
          <w:szCs w:val="24"/>
        </w:rPr>
        <w:t>M. Gelfand, J. Raver, L. Nishii, L. Leslie, J. Lun, </w:t>
      </w:r>
      <w:r w:rsidRPr="00E92A45">
        <w:rPr>
          <w:rFonts w:cstheme="minorHAnsi"/>
          <w:i/>
          <w:iCs/>
          <w:sz w:val="24"/>
          <w:szCs w:val="24"/>
        </w:rPr>
        <w:t>et al.</w:t>
      </w:r>
      <w:r w:rsidR="005E4828" w:rsidRPr="00E92A45">
        <w:rPr>
          <w:rFonts w:cstheme="minorHAnsi"/>
          <w:i/>
          <w:iCs/>
          <w:sz w:val="24"/>
          <w:szCs w:val="24"/>
        </w:rPr>
        <w:t xml:space="preserve"> </w:t>
      </w:r>
      <w:r w:rsidRPr="00E92A45">
        <w:rPr>
          <w:rFonts w:cstheme="minorHAnsi"/>
          <w:sz w:val="24"/>
          <w:szCs w:val="24"/>
        </w:rPr>
        <w:t>Differences between tight and loose societies: a 33-nation study</w:t>
      </w:r>
      <w:r w:rsidR="005E4828" w:rsidRPr="00E92A45">
        <w:rPr>
          <w:rFonts w:cstheme="minorHAnsi"/>
          <w:sz w:val="24"/>
          <w:szCs w:val="24"/>
        </w:rPr>
        <w:t xml:space="preserve">. </w:t>
      </w:r>
      <w:r w:rsidRPr="00E92A45">
        <w:rPr>
          <w:rFonts w:cstheme="minorHAnsi"/>
          <w:sz w:val="24"/>
          <w:szCs w:val="24"/>
        </w:rPr>
        <w:t>Science, 332 (2011), pp. 1100-1104</w:t>
      </w:r>
    </w:p>
    <w:p w14:paraId="75F2BD53" w14:textId="3C8806D6" w:rsidR="009C778C" w:rsidRPr="00E92A45" w:rsidRDefault="009C778C" w:rsidP="00E92A45">
      <w:pPr>
        <w:spacing w:after="0"/>
        <w:ind w:left="720" w:hanging="720"/>
        <w:rPr>
          <w:rFonts w:cstheme="minorHAnsi"/>
          <w:sz w:val="24"/>
          <w:szCs w:val="24"/>
        </w:rPr>
      </w:pPr>
      <w:r w:rsidRPr="00E92A45">
        <w:rPr>
          <w:rFonts w:cstheme="minorHAnsi"/>
          <w:sz w:val="24"/>
          <w:szCs w:val="24"/>
        </w:rPr>
        <w:t>R. Giannini, P. Irvine, T. Shu</w:t>
      </w:r>
      <w:r w:rsidR="005E4828" w:rsidRPr="00E92A45">
        <w:rPr>
          <w:rFonts w:cstheme="minorHAnsi"/>
          <w:sz w:val="24"/>
          <w:szCs w:val="24"/>
        </w:rPr>
        <w:t xml:space="preserve">. </w:t>
      </w:r>
      <w:r w:rsidRPr="00E92A45">
        <w:rPr>
          <w:rFonts w:cstheme="minorHAnsi"/>
          <w:sz w:val="24"/>
          <w:szCs w:val="24"/>
        </w:rPr>
        <w:t>Do Local Investors Know More? A Direct Examination of Individual Investors' Information Set</w:t>
      </w:r>
      <w:r w:rsidR="005E4828" w:rsidRPr="00E92A45">
        <w:rPr>
          <w:rFonts w:cstheme="minorHAnsi"/>
          <w:sz w:val="24"/>
          <w:szCs w:val="24"/>
        </w:rPr>
        <w:t xml:space="preserve">. </w:t>
      </w:r>
      <w:r w:rsidRPr="00E92A45">
        <w:rPr>
          <w:rFonts w:cstheme="minorHAnsi"/>
          <w:sz w:val="24"/>
          <w:szCs w:val="24"/>
        </w:rPr>
        <w:t>(2013)</w:t>
      </w:r>
    </w:p>
    <w:p w14:paraId="37F1CFB3" w14:textId="6448E361" w:rsidR="009C778C" w:rsidRPr="00E92A45" w:rsidRDefault="009C778C" w:rsidP="00E92A45">
      <w:pPr>
        <w:spacing w:after="0"/>
        <w:ind w:left="720" w:hanging="720"/>
        <w:rPr>
          <w:rFonts w:cstheme="minorHAnsi"/>
          <w:sz w:val="24"/>
          <w:szCs w:val="24"/>
        </w:rPr>
      </w:pPr>
      <w:r w:rsidRPr="00E92A45">
        <w:rPr>
          <w:rFonts w:cstheme="minorHAnsi"/>
          <w:sz w:val="24"/>
          <w:szCs w:val="24"/>
        </w:rPr>
        <w:t>S.L. Gillan</w:t>
      </w:r>
      <w:r w:rsidR="005E4828" w:rsidRPr="00E92A45">
        <w:rPr>
          <w:rFonts w:cstheme="minorHAnsi"/>
          <w:sz w:val="24"/>
          <w:szCs w:val="24"/>
        </w:rPr>
        <w:t xml:space="preserve">. </w:t>
      </w:r>
      <w:r w:rsidRPr="00E92A45">
        <w:rPr>
          <w:rFonts w:cstheme="minorHAnsi"/>
          <w:sz w:val="24"/>
          <w:szCs w:val="24"/>
        </w:rPr>
        <w:t>Recent developments in corporate governance: an overview</w:t>
      </w:r>
      <w:r w:rsidR="005E4828" w:rsidRPr="00E92A45">
        <w:rPr>
          <w:rFonts w:cstheme="minorHAnsi"/>
          <w:sz w:val="24"/>
          <w:szCs w:val="24"/>
        </w:rPr>
        <w:t xml:space="preserve">. </w:t>
      </w:r>
      <w:r w:rsidRPr="00E92A45">
        <w:rPr>
          <w:rFonts w:cstheme="minorHAnsi"/>
          <w:sz w:val="24"/>
          <w:szCs w:val="24"/>
        </w:rPr>
        <w:t>J. Corp. Financ., 12 (3) (2006), pp. 381-402</w:t>
      </w:r>
    </w:p>
    <w:p w14:paraId="037C9452" w14:textId="410C085D" w:rsidR="009C778C" w:rsidRPr="00E92A45" w:rsidRDefault="009C778C" w:rsidP="00E92A45">
      <w:pPr>
        <w:spacing w:after="0"/>
        <w:ind w:left="720" w:hanging="720"/>
        <w:rPr>
          <w:rFonts w:cstheme="minorHAnsi"/>
          <w:sz w:val="24"/>
          <w:szCs w:val="24"/>
        </w:rPr>
      </w:pPr>
      <w:r w:rsidRPr="00E92A45">
        <w:rPr>
          <w:rFonts w:cstheme="minorHAnsi"/>
          <w:sz w:val="24"/>
          <w:szCs w:val="24"/>
        </w:rPr>
        <w:t>S.L. Gillan, L.T. Starks</w:t>
      </w:r>
      <w:r w:rsidR="005E4828" w:rsidRPr="00E92A45">
        <w:rPr>
          <w:rFonts w:cstheme="minorHAnsi"/>
          <w:sz w:val="24"/>
          <w:szCs w:val="24"/>
        </w:rPr>
        <w:t xml:space="preserve">. </w:t>
      </w:r>
      <w:r w:rsidRPr="00E92A45">
        <w:rPr>
          <w:rFonts w:cstheme="minorHAnsi"/>
          <w:sz w:val="24"/>
          <w:szCs w:val="24"/>
        </w:rPr>
        <w:t>Corporate governance, corporate ownership, and the role of institutional investors: a global perspective</w:t>
      </w:r>
      <w:r w:rsidR="005E4828" w:rsidRPr="00E92A45">
        <w:rPr>
          <w:rFonts w:cstheme="minorHAnsi"/>
          <w:sz w:val="24"/>
          <w:szCs w:val="24"/>
        </w:rPr>
        <w:t xml:space="preserve">. </w:t>
      </w:r>
      <w:r w:rsidRPr="00E92A45">
        <w:rPr>
          <w:rFonts w:cstheme="minorHAnsi"/>
          <w:sz w:val="24"/>
          <w:szCs w:val="24"/>
        </w:rPr>
        <w:t>J. Appl. Financ, 13 (2003), pp. 4-22</w:t>
      </w:r>
    </w:p>
    <w:p w14:paraId="4CE5B3C7" w14:textId="5AFC9967" w:rsidR="009C778C" w:rsidRPr="00E92A45" w:rsidRDefault="009C778C" w:rsidP="00E92A45">
      <w:pPr>
        <w:spacing w:after="0"/>
        <w:ind w:left="720" w:hanging="720"/>
        <w:rPr>
          <w:rFonts w:cstheme="minorHAnsi"/>
          <w:sz w:val="24"/>
          <w:szCs w:val="24"/>
        </w:rPr>
      </w:pPr>
      <w:r w:rsidRPr="00E92A45">
        <w:rPr>
          <w:rFonts w:cstheme="minorHAnsi"/>
          <w:sz w:val="24"/>
          <w:szCs w:val="24"/>
        </w:rPr>
        <w:t>P. Gompers, A. Metrick</w:t>
      </w:r>
      <w:r w:rsidR="005E4828" w:rsidRPr="00E92A45">
        <w:rPr>
          <w:rFonts w:cstheme="minorHAnsi"/>
          <w:sz w:val="24"/>
          <w:szCs w:val="24"/>
        </w:rPr>
        <w:t xml:space="preserve">. </w:t>
      </w:r>
      <w:r w:rsidRPr="00E92A45">
        <w:rPr>
          <w:rFonts w:cstheme="minorHAnsi"/>
          <w:sz w:val="24"/>
          <w:szCs w:val="24"/>
        </w:rPr>
        <w:t>Institutional investors and equity prices</w:t>
      </w:r>
      <w:r w:rsidR="005E4828" w:rsidRPr="00E92A45">
        <w:rPr>
          <w:rFonts w:cstheme="minorHAnsi"/>
          <w:sz w:val="24"/>
          <w:szCs w:val="24"/>
        </w:rPr>
        <w:t xml:space="preserve">. </w:t>
      </w:r>
      <w:r w:rsidRPr="00E92A45">
        <w:rPr>
          <w:rFonts w:cstheme="minorHAnsi"/>
          <w:sz w:val="24"/>
          <w:szCs w:val="24"/>
        </w:rPr>
        <w:t>Q. J. Econ., 116 (1) (2001), pp. 229-259</w:t>
      </w:r>
      <w:r w:rsidR="005E4828" w:rsidRPr="00E92A45">
        <w:rPr>
          <w:rFonts w:cstheme="minorHAnsi"/>
          <w:sz w:val="24"/>
          <w:szCs w:val="24"/>
        </w:rPr>
        <w:t xml:space="preserve">. </w:t>
      </w:r>
    </w:p>
    <w:p w14:paraId="2B763835" w14:textId="7282AB8B" w:rsidR="009C778C" w:rsidRPr="00E92A45" w:rsidRDefault="009C778C" w:rsidP="00E92A45">
      <w:pPr>
        <w:spacing w:after="0"/>
        <w:ind w:left="720" w:hanging="720"/>
        <w:rPr>
          <w:rFonts w:cstheme="minorHAnsi"/>
          <w:sz w:val="24"/>
          <w:szCs w:val="24"/>
        </w:rPr>
      </w:pPr>
      <w:r w:rsidRPr="00E92A45">
        <w:rPr>
          <w:rFonts w:cstheme="minorHAnsi"/>
          <w:sz w:val="24"/>
          <w:szCs w:val="24"/>
        </w:rPr>
        <w:t>R. Gopalan, S. Jayaraman</w:t>
      </w:r>
      <w:r w:rsidR="005E4828" w:rsidRPr="00E92A45">
        <w:rPr>
          <w:rFonts w:cstheme="minorHAnsi"/>
          <w:sz w:val="24"/>
          <w:szCs w:val="24"/>
        </w:rPr>
        <w:t xml:space="preserve">. </w:t>
      </w:r>
      <w:r w:rsidRPr="00E92A45">
        <w:rPr>
          <w:rFonts w:cstheme="minorHAnsi"/>
          <w:sz w:val="24"/>
          <w:szCs w:val="24"/>
        </w:rPr>
        <w:t xml:space="preserve">Private control benefits and earnings management: evidence from </w:t>
      </w:r>
      <w:proofErr w:type="gramStart"/>
      <w:r w:rsidRPr="00E92A45">
        <w:rPr>
          <w:rFonts w:cstheme="minorHAnsi"/>
          <w:sz w:val="24"/>
          <w:szCs w:val="24"/>
        </w:rPr>
        <w:t>insider controlled</w:t>
      </w:r>
      <w:proofErr w:type="gramEnd"/>
      <w:r w:rsidRPr="00E92A45">
        <w:rPr>
          <w:rFonts w:cstheme="minorHAnsi"/>
          <w:sz w:val="24"/>
          <w:szCs w:val="24"/>
        </w:rPr>
        <w:t xml:space="preserve"> firms</w:t>
      </w:r>
      <w:r w:rsidR="005E4828" w:rsidRPr="00E92A45">
        <w:rPr>
          <w:rFonts w:cstheme="minorHAnsi"/>
          <w:sz w:val="24"/>
          <w:szCs w:val="24"/>
        </w:rPr>
        <w:t xml:space="preserve">. </w:t>
      </w:r>
      <w:r w:rsidRPr="00E92A45">
        <w:rPr>
          <w:rFonts w:cstheme="minorHAnsi"/>
          <w:sz w:val="24"/>
          <w:szCs w:val="24"/>
        </w:rPr>
        <w:t>J. Account. Res., 50 (1) (2012), pp. 117-157</w:t>
      </w:r>
    </w:p>
    <w:p w14:paraId="3A01CA50" w14:textId="42B5B5A5" w:rsidR="009C778C" w:rsidRPr="00E92A45" w:rsidRDefault="009C778C" w:rsidP="00E92A45">
      <w:pPr>
        <w:spacing w:after="0"/>
        <w:ind w:left="720" w:hanging="720"/>
        <w:rPr>
          <w:rFonts w:cstheme="minorHAnsi"/>
          <w:sz w:val="24"/>
          <w:szCs w:val="24"/>
        </w:rPr>
      </w:pPr>
      <w:r w:rsidRPr="00E92A45">
        <w:rPr>
          <w:rFonts w:cstheme="minorHAnsi"/>
          <w:sz w:val="24"/>
          <w:szCs w:val="24"/>
        </w:rPr>
        <w:t>R.H. Gordon, A.L. Bovenberg</w:t>
      </w:r>
      <w:r w:rsidR="005E4828" w:rsidRPr="00E92A45">
        <w:rPr>
          <w:rFonts w:cstheme="minorHAnsi"/>
          <w:sz w:val="24"/>
          <w:szCs w:val="24"/>
        </w:rPr>
        <w:t xml:space="preserve">. </w:t>
      </w:r>
      <w:r w:rsidRPr="00E92A45">
        <w:rPr>
          <w:rFonts w:cstheme="minorHAnsi"/>
          <w:sz w:val="24"/>
          <w:szCs w:val="24"/>
        </w:rPr>
        <w:t>Why is capital so immobile internationally? Possible explanations and implications for capital income taxation</w:t>
      </w:r>
      <w:r w:rsidR="005E4828" w:rsidRPr="00E92A45">
        <w:rPr>
          <w:rFonts w:cstheme="minorHAnsi"/>
          <w:sz w:val="24"/>
          <w:szCs w:val="24"/>
        </w:rPr>
        <w:t xml:space="preserve">. </w:t>
      </w:r>
      <w:r w:rsidRPr="00E92A45">
        <w:rPr>
          <w:rFonts w:cstheme="minorHAnsi"/>
          <w:sz w:val="24"/>
          <w:szCs w:val="24"/>
        </w:rPr>
        <w:t>American Economic Review, 86 (5) (1996), pp. 1057-1075</w:t>
      </w:r>
    </w:p>
    <w:p w14:paraId="5896881D" w14:textId="1A6377E8" w:rsidR="009C778C" w:rsidRPr="00E92A45" w:rsidRDefault="009C778C" w:rsidP="00E92A45">
      <w:pPr>
        <w:spacing w:after="0"/>
        <w:ind w:left="720" w:hanging="720"/>
        <w:rPr>
          <w:rFonts w:cstheme="minorHAnsi"/>
          <w:sz w:val="24"/>
          <w:szCs w:val="24"/>
        </w:rPr>
      </w:pPr>
      <w:r w:rsidRPr="00E92A45">
        <w:rPr>
          <w:rFonts w:cstheme="minorHAnsi"/>
          <w:sz w:val="24"/>
          <w:szCs w:val="24"/>
        </w:rPr>
        <w:t>J.M. Griffin, F. Nardari, R.M. Stulz</w:t>
      </w:r>
      <w:r w:rsidR="005E4828" w:rsidRPr="00E92A45">
        <w:rPr>
          <w:rFonts w:cstheme="minorHAnsi"/>
          <w:sz w:val="24"/>
          <w:szCs w:val="24"/>
        </w:rPr>
        <w:t xml:space="preserve">. </w:t>
      </w:r>
      <w:r w:rsidRPr="00E92A45">
        <w:rPr>
          <w:rFonts w:cstheme="minorHAnsi"/>
          <w:sz w:val="24"/>
          <w:szCs w:val="24"/>
        </w:rPr>
        <w:t>Are daily cross-border equity flows pushed or pulled?</w:t>
      </w:r>
      <w:r w:rsidR="00ED1A37" w:rsidRPr="00E92A45">
        <w:rPr>
          <w:rFonts w:cstheme="minorHAnsi"/>
          <w:sz w:val="24"/>
          <w:szCs w:val="24"/>
        </w:rPr>
        <w:t xml:space="preserve"> </w:t>
      </w:r>
      <w:r w:rsidRPr="00E92A45">
        <w:rPr>
          <w:rFonts w:cstheme="minorHAnsi"/>
          <w:sz w:val="24"/>
          <w:szCs w:val="24"/>
        </w:rPr>
        <w:t>Rev. Econ. Stat., 86 (3) (2004), pp. 641-657</w:t>
      </w:r>
    </w:p>
    <w:p w14:paraId="79DD1876" w14:textId="2E7C7B35" w:rsidR="009C778C" w:rsidRPr="00E92A45" w:rsidRDefault="009C778C" w:rsidP="00E92A45">
      <w:pPr>
        <w:spacing w:after="0"/>
        <w:ind w:left="720" w:hanging="720"/>
        <w:rPr>
          <w:rFonts w:cstheme="minorHAnsi"/>
          <w:sz w:val="24"/>
          <w:szCs w:val="24"/>
        </w:rPr>
      </w:pPr>
      <w:r w:rsidRPr="00E92A45">
        <w:rPr>
          <w:rFonts w:cstheme="minorHAnsi"/>
          <w:sz w:val="24"/>
          <w:szCs w:val="24"/>
        </w:rPr>
        <w:t>M. Grinblatt, M. Keloharju</w:t>
      </w:r>
      <w:r w:rsidR="00ED1A37" w:rsidRPr="00E92A45">
        <w:rPr>
          <w:rFonts w:cstheme="minorHAnsi"/>
          <w:sz w:val="24"/>
          <w:szCs w:val="24"/>
        </w:rPr>
        <w:t xml:space="preserve">. </w:t>
      </w:r>
      <w:r w:rsidRPr="00E92A45">
        <w:rPr>
          <w:rFonts w:cstheme="minorHAnsi"/>
          <w:sz w:val="24"/>
          <w:szCs w:val="24"/>
        </w:rPr>
        <w:t>The investment behavior and performance of various investor types: a study of Finland’s unique data set</w:t>
      </w:r>
      <w:r w:rsidR="00ED1A37" w:rsidRPr="00E92A45">
        <w:rPr>
          <w:rFonts w:cstheme="minorHAnsi"/>
          <w:sz w:val="24"/>
          <w:szCs w:val="24"/>
        </w:rPr>
        <w:t xml:space="preserve">. </w:t>
      </w:r>
      <w:r w:rsidRPr="00E92A45">
        <w:rPr>
          <w:rFonts w:cstheme="minorHAnsi"/>
          <w:sz w:val="24"/>
          <w:szCs w:val="24"/>
        </w:rPr>
        <w:t>J. Financ. Econ., 55 (1) (2000), pp. 43-67</w:t>
      </w:r>
    </w:p>
    <w:p w14:paraId="0E6D38FF" w14:textId="601C63AB" w:rsidR="009C778C" w:rsidRPr="00E92A45" w:rsidRDefault="009C778C" w:rsidP="00E92A45">
      <w:pPr>
        <w:spacing w:after="0"/>
        <w:ind w:left="720" w:hanging="720"/>
        <w:rPr>
          <w:rFonts w:cstheme="minorHAnsi"/>
          <w:sz w:val="24"/>
          <w:szCs w:val="24"/>
        </w:rPr>
      </w:pPr>
      <w:r w:rsidRPr="00E92A45">
        <w:rPr>
          <w:rFonts w:cstheme="minorHAnsi"/>
          <w:sz w:val="24"/>
          <w:szCs w:val="24"/>
        </w:rPr>
        <w:t>H. Hau</w:t>
      </w:r>
      <w:r w:rsidR="00ED1A37" w:rsidRPr="00E92A45">
        <w:rPr>
          <w:rFonts w:cstheme="minorHAnsi"/>
          <w:sz w:val="24"/>
          <w:szCs w:val="24"/>
        </w:rPr>
        <w:t xml:space="preserve">. </w:t>
      </w:r>
      <w:r w:rsidRPr="00E92A45">
        <w:rPr>
          <w:rFonts w:cstheme="minorHAnsi"/>
          <w:sz w:val="24"/>
          <w:szCs w:val="24"/>
        </w:rPr>
        <w:t>An examination of trading profits</w:t>
      </w:r>
      <w:r w:rsidR="00ED1A37" w:rsidRPr="00E92A45">
        <w:rPr>
          <w:rFonts w:cstheme="minorHAnsi"/>
          <w:sz w:val="24"/>
          <w:szCs w:val="24"/>
        </w:rPr>
        <w:t xml:space="preserve">. </w:t>
      </w:r>
      <w:r w:rsidRPr="00E92A45">
        <w:rPr>
          <w:rFonts w:cstheme="minorHAnsi"/>
          <w:sz w:val="24"/>
          <w:szCs w:val="24"/>
        </w:rPr>
        <w:t>J. Financ., 56 (5) (2001), pp. 1959-1983</w:t>
      </w:r>
    </w:p>
    <w:p w14:paraId="12338104" w14:textId="3F190FF0" w:rsidR="009C778C" w:rsidRPr="00E92A45" w:rsidRDefault="009C778C" w:rsidP="00E92A45">
      <w:pPr>
        <w:spacing w:after="0"/>
        <w:ind w:left="720" w:hanging="720"/>
        <w:rPr>
          <w:rFonts w:cstheme="minorHAnsi"/>
          <w:sz w:val="24"/>
          <w:szCs w:val="24"/>
        </w:rPr>
      </w:pPr>
      <w:r w:rsidRPr="00E92A45">
        <w:rPr>
          <w:rFonts w:cstheme="minorHAnsi"/>
          <w:sz w:val="24"/>
          <w:szCs w:val="24"/>
        </w:rPr>
        <w:t>P. Hribar, D.C. Nichols</w:t>
      </w:r>
      <w:r w:rsidR="00ED1A37" w:rsidRPr="00E92A45">
        <w:rPr>
          <w:rFonts w:cstheme="minorHAnsi"/>
          <w:sz w:val="24"/>
          <w:szCs w:val="24"/>
        </w:rPr>
        <w:t xml:space="preserve">. </w:t>
      </w:r>
      <w:r w:rsidRPr="00E92A45">
        <w:rPr>
          <w:rFonts w:cstheme="minorHAnsi"/>
          <w:sz w:val="24"/>
          <w:szCs w:val="24"/>
        </w:rPr>
        <w:t>The use of unsigned earnings quality measures in tests of earnings management</w:t>
      </w:r>
      <w:r w:rsidR="00ED1A37" w:rsidRPr="00E92A45">
        <w:rPr>
          <w:rFonts w:cstheme="minorHAnsi"/>
          <w:sz w:val="24"/>
          <w:szCs w:val="24"/>
        </w:rPr>
        <w:t xml:space="preserve">. </w:t>
      </w:r>
      <w:r w:rsidRPr="00E92A45">
        <w:rPr>
          <w:rFonts w:cstheme="minorHAnsi"/>
          <w:sz w:val="24"/>
          <w:szCs w:val="24"/>
        </w:rPr>
        <w:t>J. Account. Res., 45 (5) (2007), pp. 1017-1053</w:t>
      </w:r>
    </w:p>
    <w:p w14:paraId="34D0731C" w14:textId="4B5EC604" w:rsidR="009C778C" w:rsidRPr="00E92A45" w:rsidRDefault="009C778C" w:rsidP="00E92A45">
      <w:pPr>
        <w:spacing w:after="0"/>
        <w:ind w:left="720" w:hanging="720"/>
        <w:rPr>
          <w:rFonts w:cstheme="minorHAnsi"/>
          <w:sz w:val="24"/>
          <w:szCs w:val="24"/>
        </w:rPr>
      </w:pPr>
      <w:r w:rsidRPr="00E92A45">
        <w:rPr>
          <w:rFonts w:cstheme="minorHAnsi"/>
          <w:sz w:val="24"/>
          <w:szCs w:val="24"/>
        </w:rPr>
        <w:t>M. Huang</w:t>
      </w:r>
      <w:r w:rsidR="00ED1A37" w:rsidRPr="00E92A45">
        <w:rPr>
          <w:rFonts w:cstheme="minorHAnsi"/>
          <w:sz w:val="24"/>
          <w:szCs w:val="24"/>
        </w:rPr>
        <w:t xml:space="preserve">. </w:t>
      </w:r>
      <w:r w:rsidRPr="00E92A45">
        <w:rPr>
          <w:rFonts w:cstheme="minorHAnsi"/>
          <w:sz w:val="24"/>
          <w:szCs w:val="24"/>
        </w:rPr>
        <w:t>Accounting standards and value relevance of financial statements: an international analysis</w:t>
      </w:r>
      <w:r w:rsidR="00ED1A37" w:rsidRPr="00E92A45">
        <w:rPr>
          <w:rFonts w:cstheme="minorHAnsi"/>
          <w:sz w:val="24"/>
          <w:szCs w:val="24"/>
        </w:rPr>
        <w:t xml:space="preserve">. </w:t>
      </w:r>
      <w:r w:rsidRPr="00E92A45">
        <w:rPr>
          <w:rFonts w:cstheme="minorHAnsi"/>
          <w:sz w:val="24"/>
          <w:szCs w:val="24"/>
        </w:rPr>
        <w:t>J. Account. Econ., 30 (3) (2000), pp. 401-420</w:t>
      </w:r>
    </w:p>
    <w:p w14:paraId="67BB76A6" w14:textId="3A0CAD7A" w:rsidR="009C778C" w:rsidRPr="00E92A45" w:rsidRDefault="009C778C" w:rsidP="00E92A45">
      <w:pPr>
        <w:spacing w:after="0"/>
        <w:ind w:left="720" w:hanging="720"/>
        <w:rPr>
          <w:rFonts w:cstheme="minorHAnsi"/>
          <w:sz w:val="24"/>
          <w:szCs w:val="24"/>
        </w:rPr>
      </w:pPr>
      <w:r w:rsidRPr="00E92A45">
        <w:rPr>
          <w:rFonts w:cstheme="minorHAnsi"/>
          <w:sz w:val="24"/>
          <w:szCs w:val="24"/>
        </w:rPr>
        <w:t>W. Huang, T. Zhu</w:t>
      </w:r>
      <w:r w:rsidR="00ED1A37" w:rsidRPr="00E92A45">
        <w:rPr>
          <w:rFonts w:cstheme="minorHAnsi"/>
          <w:sz w:val="24"/>
          <w:szCs w:val="24"/>
        </w:rPr>
        <w:t xml:space="preserve">. </w:t>
      </w:r>
      <w:r w:rsidRPr="00E92A45">
        <w:rPr>
          <w:rFonts w:cstheme="minorHAnsi"/>
          <w:sz w:val="24"/>
          <w:szCs w:val="24"/>
        </w:rPr>
        <w:t>Foreign institutional investors and corporate governance in emerging markets: evidence of a split-share structure reform in China</w:t>
      </w:r>
      <w:r w:rsidR="00ED1A37" w:rsidRPr="00E92A45">
        <w:rPr>
          <w:rFonts w:cstheme="minorHAnsi"/>
          <w:sz w:val="24"/>
          <w:szCs w:val="24"/>
        </w:rPr>
        <w:t xml:space="preserve">. </w:t>
      </w:r>
      <w:r w:rsidRPr="00E92A45">
        <w:rPr>
          <w:rFonts w:cstheme="minorHAnsi"/>
          <w:sz w:val="24"/>
          <w:szCs w:val="24"/>
        </w:rPr>
        <w:t>J. Corp. Financ., 32 (2015), pp. 312-325</w:t>
      </w:r>
    </w:p>
    <w:p w14:paraId="75C84708" w14:textId="648EEF8C" w:rsidR="009C778C" w:rsidRPr="00E92A45" w:rsidRDefault="009C778C" w:rsidP="00E92A45">
      <w:pPr>
        <w:spacing w:after="0"/>
        <w:ind w:left="720" w:hanging="720"/>
        <w:rPr>
          <w:rFonts w:cstheme="minorHAnsi"/>
          <w:sz w:val="24"/>
          <w:szCs w:val="24"/>
        </w:rPr>
      </w:pPr>
      <w:r w:rsidRPr="00E92A45">
        <w:rPr>
          <w:rFonts w:cstheme="minorHAnsi"/>
          <w:sz w:val="24"/>
          <w:szCs w:val="24"/>
        </w:rPr>
        <w:t>P. Iliev, K.V. Lins, D.P. Miller, L. Roth</w:t>
      </w:r>
      <w:r w:rsidR="00ED1A37" w:rsidRPr="00E92A45">
        <w:rPr>
          <w:rFonts w:cstheme="minorHAnsi"/>
          <w:sz w:val="24"/>
          <w:szCs w:val="24"/>
        </w:rPr>
        <w:t xml:space="preserve">. </w:t>
      </w:r>
      <w:r w:rsidRPr="00E92A45">
        <w:rPr>
          <w:rFonts w:cstheme="minorHAnsi"/>
          <w:sz w:val="24"/>
          <w:szCs w:val="24"/>
        </w:rPr>
        <w:t>Shareholder voting and corporate governance around the world</w:t>
      </w:r>
      <w:r w:rsidR="00ED1A37" w:rsidRPr="00E92A45">
        <w:rPr>
          <w:rFonts w:cstheme="minorHAnsi"/>
          <w:sz w:val="24"/>
          <w:szCs w:val="24"/>
        </w:rPr>
        <w:t xml:space="preserve">. </w:t>
      </w:r>
      <w:r w:rsidRPr="00E92A45">
        <w:rPr>
          <w:rFonts w:cstheme="minorHAnsi"/>
          <w:sz w:val="24"/>
          <w:szCs w:val="24"/>
        </w:rPr>
        <w:t>Rev. Financ. Stud., 28 (8) (2015), pp. 2167-2202</w:t>
      </w:r>
    </w:p>
    <w:p w14:paraId="3DB441F6" w14:textId="11825D00" w:rsidR="009C778C" w:rsidRPr="00E92A45" w:rsidRDefault="009C778C" w:rsidP="00E92A45">
      <w:pPr>
        <w:spacing w:after="0"/>
        <w:ind w:left="720" w:hanging="720"/>
        <w:rPr>
          <w:rFonts w:cstheme="minorHAnsi"/>
          <w:sz w:val="24"/>
          <w:szCs w:val="24"/>
        </w:rPr>
      </w:pPr>
      <w:r w:rsidRPr="00E92A45">
        <w:rPr>
          <w:rFonts w:cstheme="minorHAnsi"/>
          <w:sz w:val="24"/>
          <w:szCs w:val="24"/>
        </w:rPr>
        <w:t>M.C. Jensen</w:t>
      </w:r>
      <w:r w:rsidR="00ED1A37" w:rsidRPr="00E92A45">
        <w:rPr>
          <w:rFonts w:cstheme="minorHAnsi"/>
          <w:sz w:val="24"/>
          <w:szCs w:val="24"/>
        </w:rPr>
        <w:t xml:space="preserve">. </w:t>
      </w:r>
      <w:r w:rsidRPr="00E92A45">
        <w:rPr>
          <w:rFonts w:cstheme="minorHAnsi"/>
          <w:sz w:val="24"/>
          <w:szCs w:val="24"/>
        </w:rPr>
        <w:t>Agency costs of free cash flow, corporate finance, and takeovers</w:t>
      </w:r>
      <w:r w:rsidR="00ED1A37" w:rsidRPr="00E92A45">
        <w:rPr>
          <w:rFonts w:cstheme="minorHAnsi"/>
          <w:sz w:val="24"/>
          <w:szCs w:val="24"/>
        </w:rPr>
        <w:t xml:space="preserve">. </w:t>
      </w:r>
      <w:r w:rsidRPr="00E92A45">
        <w:rPr>
          <w:rFonts w:cstheme="minorHAnsi"/>
          <w:sz w:val="24"/>
          <w:szCs w:val="24"/>
        </w:rPr>
        <w:t>Am. Econ. Rev., 76 (2) (1986), pp. 323-329</w:t>
      </w:r>
    </w:p>
    <w:p w14:paraId="40976573" w14:textId="37AFB948" w:rsidR="009C778C" w:rsidRPr="00E92A45" w:rsidRDefault="009C778C" w:rsidP="00E92A45">
      <w:pPr>
        <w:spacing w:after="0"/>
        <w:ind w:left="720" w:hanging="720"/>
        <w:rPr>
          <w:rFonts w:cstheme="minorHAnsi"/>
          <w:sz w:val="24"/>
          <w:szCs w:val="24"/>
        </w:rPr>
      </w:pPr>
      <w:r w:rsidRPr="00E92A45">
        <w:rPr>
          <w:rFonts w:cstheme="minorHAnsi"/>
          <w:sz w:val="24"/>
          <w:szCs w:val="24"/>
        </w:rPr>
        <w:t>J.K. Kang, R.M. Stulz</w:t>
      </w:r>
      <w:r w:rsidR="00ED1A37" w:rsidRPr="00E92A45">
        <w:rPr>
          <w:rFonts w:cstheme="minorHAnsi"/>
          <w:sz w:val="24"/>
          <w:szCs w:val="24"/>
        </w:rPr>
        <w:t xml:space="preserve">. </w:t>
      </w:r>
      <w:r w:rsidRPr="00E92A45">
        <w:rPr>
          <w:rFonts w:cstheme="minorHAnsi"/>
          <w:sz w:val="24"/>
          <w:szCs w:val="24"/>
        </w:rPr>
        <w:t>Why is there a home bias? An analysis of foreign portfolio equity ownership in Japan</w:t>
      </w:r>
      <w:r w:rsidR="00ED1A37" w:rsidRPr="00E92A45">
        <w:rPr>
          <w:rFonts w:cstheme="minorHAnsi"/>
          <w:sz w:val="24"/>
          <w:szCs w:val="24"/>
        </w:rPr>
        <w:t xml:space="preserve">. </w:t>
      </w:r>
      <w:r w:rsidRPr="00E92A45">
        <w:rPr>
          <w:rFonts w:cstheme="minorHAnsi"/>
          <w:sz w:val="24"/>
          <w:szCs w:val="24"/>
        </w:rPr>
        <w:t>J. Financ. Econ., 46 (1997), pp. 3-28</w:t>
      </w:r>
    </w:p>
    <w:p w14:paraId="0BB3616D" w14:textId="7079AA11" w:rsidR="009C778C" w:rsidRPr="00E92A45" w:rsidRDefault="009C778C" w:rsidP="00E92A45">
      <w:pPr>
        <w:spacing w:after="0"/>
        <w:ind w:left="720" w:hanging="720"/>
        <w:rPr>
          <w:rFonts w:cstheme="minorHAnsi"/>
          <w:sz w:val="24"/>
          <w:szCs w:val="24"/>
        </w:rPr>
      </w:pPr>
      <w:r w:rsidRPr="00E92A45">
        <w:rPr>
          <w:rFonts w:cstheme="minorHAnsi"/>
          <w:sz w:val="24"/>
          <w:szCs w:val="24"/>
        </w:rPr>
        <w:t>A. Klein</w:t>
      </w:r>
      <w:r w:rsidR="00ED1A37" w:rsidRPr="00E92A45">
        <w:rPr>
          <w:rFonts w:cstheme="minorHAnsi"/>
          <w:sz w:val="24"/>
          <w:szCs w:val="24"/>
        </w:rPr>
        <w:t xml:space="preserve">. </w:t>
      </w:r>
      <w:r w:rsidRPr="00E92A45">
        <w:rPr>
          <w:rFonts w:cstheme="minorHAnsi"/>
          <w:sz w:val="24"/>
          <w:szCs w:val="24"/>
        </w:rPr>
        <w:t>Audit committee, board of director characteristics, and earnings management</w:t>
      </w:r>
      <w:r w:rsidR="00ED1A37" w:rsidRPr="00E92A45">
        <w:rPr>
          <w:rFonts w:cstheme="minorHAnsi"/>
          <w:sz w:val="24"/>
          <w:szCs w:val="24"/>
        </w:rPr>
        <w:t xml:space="preserve">. </w:t>
      </w:r>
      <w:r w:rsidRPr="00E92A45">
        <w:rPr>
          <w:rFonts w:cstheme="minorHAnsi"/>
          <w:sz w:val="24"/>
          <w:szCs w:val="24"/>
        </w:rPr>
        <w:t>J. Account. Econ., 33 (3) (2002), pp. 375-400</w:t>
      </w:r>
    </w:p>
    <w:p w14:paraId="585DA814" w14:textId="7A105243" w:rsidR="009C778C" w:rsidRPr="00E92A45" w:rsidRDefault="009C778C" w:rsidP="00E92A45">
      <w:pPr>
        <w:spacing w:after="0"/>
        <w:ind w:left="720" w:hanging="720"/>
        <w:rPr>
          <w:rFonts w:cstheme="minorHAnsi"/>
          <w:sz w:val="24"/>
          <w:szCs w:val="24"/>
        </w:rPr>
      </w:pPr>
      <w:r w:rsidRPr="00E92A45">
        <w:rPr>
          <w:rFonts w:cstheme="minorHAnsi"/>
          <w:sz w:val="24"/>
          <w:szCs w:val="24"/>
        </w:rPr>
        <w:t>R. La Porta, F. Lopez-de-Silanes, A. Shleifer, R. Vishny</w:t>
      </w:r>
      <w:r w:rsidR="00ED1A37" w:rsidRPr="00E92A45">
        <w:rPr>
          <w:rFonts w:cstheme="minorHAnsi"/>
          <w:sz w:val="24"/>
          <w:szCs w:val="24"/>
        </w:rPr>
        <w:t xml:space="preserve">. </w:t>
      </w:r>
      <w:r w:rsidRPr="00E92A45">
        <w:rPr>
          <w:rFonts w:cstheme="minorHAnsi"/>
          <w:sz w:val="24"/>
          <w:szCs w:val="24"/>
        </w:rPr>
        <w:t>Law and finance</w:t>
      </w:r>
      <w:r w:rsidR="00ED1A37" w:rsidRPr="00E92A45">
        <w:rPr>
          <w:rFonts w:cstheme="minorHAnsi"/>
          <w:sz w:val="24"/>
          <w:szCs w:val="24"/>
        </w:rPr>
        <w:t xml:space="preserve">. </w:t>
      </w:r>
      <w:r w:rsidRPr="00E92A45">
        <w:rPr>
          <w:rFonts w:cstheme="minorHAnsi"/>
          <w:sz w:val="24"/>
          <w:szCs w:val="24"/>
        </w:rPr>
        <w:t>J. Polit. Econ., 106 (6) (1998), pp. 1113-1155</w:t>
      </w:r>
    </w:p>
    <w:p w14:paraId="76DF895F" w14:textId="480C8D68" w:rsidR="009C778C" w:rsidRPr="00E92A45" w:rsidRDefault="009C778C" w:rsidP="00E92A45">
      <w:pPr>
        <w:spacing w:after="0"/>
        <w:ind w:left="720" w:hanging="720"/>
        <w:rPr>
          <w:rFonts w:cstheme="minorHAnsi"/>
          <w:sz w:val="24"/>
          <w:szCs w:val="24"/>
        </w:rPr>
      </w:pPr>
      <w:r w:rsidRPr="00E92A45">
        <w:rPr>
          <w:rFonts w:cstheme="minorHAnsi"/>
          <w:sz w:val="24"/>
          <w:szCs w:val="24"/>
        </w:rPr>
        <w:t>R. La Porta, F. Lopez-de-Silanes, A. Shleifer</w:t>
      </w:r>
      <w:r w:rsidR="00ED1A37" w:rsidRPr="00E92A45">
        <w:rPr>
          <w:rFonts w:cstheme="minorHAnsi"/>
          <w:sz w:val="24"/>
          <w:szCs w:val="24"/>
        </w:rPr>
        <w:t xml:space="preserve">. </w:t>
      </w:r>
      <w:r w:rsidRPr="00E92A45">
        <w:rPr>
          <w:rFonts w:cstheme="minorHAnsi"/>
          <w:sz w:val="24"/>
          <w:szCs w:val="24"/>
        </w:rPr>
        <w:t>What works in securities laws?</w:t>
      </w:r>
      <w:r w:rsidR="00ED1A37" w:rsidRPr="00E92A45">
        <w:rPr>
          <w:rFonts w:cstheme="minorHAnsi"/>
          <w:sz w:val="24"/>
          <w:szCs w:val="24"/>
        </w:rPr>
        <w:t xml:space="preserve"> </w:t>
      </w:r>
      <w:r w:rsidRPr="00E92A45">
        <w:rPr>
          <w:rFonts w:cstheme="minorHAnsi"/>
          <w:sz w:val="24"/>
          <w:szCs w:val="24"/>
        </w:rPr>
        <w:t>J. Financ., 61 (1) (2006), pp. 1-32</w:t>
      </w:r>
    </w:p>
    <w:p w14:paraId="33C84A6C" w14:textId="4D6E7A2C" w:rsidR="009C778C" w:rsidRPr="00E92A45" w:rsidRDefault="009C778C" w:rsidP="00E92A45">
      <w:pPr>
        <w:spacing w:after="0"/>
        <w:ind w:left="720" w:hanging="720"/>
        <w:rPr>
          <w:rFonts w:cstheme="minorHAnsi"/>
          <w:sz w:val="24"/>
          <w:szCs w:val="24"/>
        </w:rPr>
      </w:pPr>
      <w:r w:rsidRPr="00E92A45">
        <w:rPr>
          <w:rFonts w:cstheme="minorHAnsi"/>
          <w:sz w:val="24"/>
          <w:szCs w:val="24"/>
        </w:rPr>
        <w:t>K. Lehn, A. Poulsen</w:t>
      </w:r>
      <w:r w:rsidR="00ED1A37" w:rsidRPr="00E92A45">
        <w:rPr>
          <w:rFonts w:cstheme="minorHAnsi"/>
          <w:sz w:val="24"/>
          <w:szCs w:val="24"/>
        </w:rPr>
        <w:t xml:space="preserve">. </w:t>
      </w:r>
      <w:r w:rsidRPr="00E92A45">
        <w:rPr>
          <w:rFonts w:cstheme="minorHAnsi"/>
          <w:sz w:val="24"/>
          <w:szCs w:val="24"/>
        </w:rPr>
        <w:t>Free cash flow and stockholder gains in going private transactions</w:t>
      </w:r>
      <w:r w:rsidR="00ED1A37" w:rsidRPr="00E92A45">
        <w:rPr>
          <w:rFonts w:cstheme="minorHAnsi"/>
          <w:sz w:val="24"/>
          <w:szCs w:val="24"/>
        </w:rPr>
        <w:t xml:space="preserve">. </w:t>
      </w:r>
      <w:r w:rsidRPr="00E92A45">
        <w:rPr>
          <w:rFonts w:cstheme="minorHAnsi"/>
          <w:sz w:val="24"/>
          <w:szCs w:val="24"/>
        </w:rPr>
        <w:t>J. Financ., 44 (3) (1989), pp. 771-787</w:t>
      </w:r>
    </w:p>
    <w:p w14:paraId="760AAA4A" w14:textId="4FDDBBE5" w:rsidR="009C778C" w:rsidRPr="00E92A45" w:rsidRDefault="009C778C" w:rsidP="00E92A45">
      <w:pPr>
        <w:spacing w:after="0"/>
        <w:ind w:left="720" w:hanging="720"/>
        <w:rPr>
          <w:rFonts w:cstheme="minorHAnsi"/>
          <w:sz w:val="24"/>
          <w:szCs w:val="24"/>
        </w:rPr>
      </w:pPr>
      <w:r w:rsidRPr="00E92A45">
        <w:rPr>
          <w:rFonts w:cstheme="minorHAnsi"/>
          <w:sz w:val="24"/>
          <w:szCs w:val="24"/>
        </w:rPr>
        <w:t>U. Lel</w:t>
      </w:r>
      <w:r w:rsidR="00ED1A37" w:rsidRPr="00E92A45">
        <w:rPr>
          <w:rFonts w:cstheme="minorHAnsi"/>
          <w:sz w:val="24"/>
          <w:szCs w:val="24"/>
        </w:rPr>
        <w:t xml:space="preserve">. </w:t>
      </w:r>
      <w:r w:rsidRPr="00E92A45">
        <w:rPr>
          <w:rFonts w:cstheme="minorHAnsi"/>
          <w:sz w:val="24"/>
          <w:szCs w:val="24"/>
        </w:rPr>
        <w:t>The Role of Foreign Institutional Investors in Restraining Earnings Management Activities Across Countries. Working Paper, Last Revised on SSRN Feb. 1, 2015</w:t>
      </w:r>
      <w:r w:rsidR="00ED1A37" w:rsidRPr="00E92A45">
        <w:rPr>
          <w:rFonts w:cstheme="minorHAnsi"/>
          <w:sz w:val="24"/>
          <w:szCs w:val="24"/>
        </w:rPr>
        <w:t xml:space="preserve">. </w:t>
      </w:r>
    </w:p>
    <w:p w14:paraId="0611B415" w14:textId="066DA97E" w:rsidR="009C778C" w:rsidRPr="00E92A45" w:rsidRDefault="009C778C" w:rsidP="00E92A45">
      <w:pPr>
        <w:spacing w:after="0"/>
        <w:ind w:left="720" w:hanging="720"/>
        <w:rPr>
          <w:rFonts w:cstheme="minorHAnsi"/>
          <w:sz w:val="24"/>
          <w:szCs w:val="24"/>
        </w:rPr>
      </w:pPr>
      <w:r w:rsidRPr="00E92A45">
        <w:rPr>
          <w:rFonts w:cstheme="minorHAnsi"/>
          <w:sz w:val="24"/>
          <w:szCs w:val="24"/>
        </w:rPr>
        <w:t>J. Lerner</w:t>
      </w:r>
      <w:r w:rsidR="00ED1A37" w:rsidRPr="00E92A45">
        <w:rPr>
          <w:rFonts w:cstheme="minorHAnsi"/>
          <w:sz w:val="24"/>
          <w:szCs w:val="24"/>
        </w:rPr>
        <w:t xml:space="preserve">. </w:t>
      </w:r>
      <w:r w:rsidRPr="00E92A45">
        <w:rPr>
          <w:rFonts w:cstheme="minorHAnsi"/>
          <w:sz w:val="24"/>
          <w:szCs w:val="24"/>
        </w:rPr>
        <w:t>Venture capitalists and the oversight of private firms</w:t>
      </w:r>
      <w:r w:rsidR="00ED1A37" w:rsidRPr="00E92A45">
        <w:rPr>
          <w:rFonts w:cstheme="minorHAnsi"/>
          <w:sz w:val="24"/>
          <w:szCs w:val="24"/>
        </w:rPr>
        <w:t xml:space="preserve">. </w:t>
      </w:r>
      <w:r w:rsidRPr="00E92A45">
        <w:rPr>
          <w:rFonts w:cstheme="minorHAnsi"/>
          <w:sz w:val="24"/>
          <w:szCs w:val="24"/>
        </w:rPr>
        <w:t>J. Financ., 50 (1) (1995), pp. 301-318</w:t>
      </w:r>
    </w:p>
    <w:p w14:paraId="38DC27E5" w14:textId="3D081AEF" w:rsidR="009C778C" w:rsidRPr="00E92A45" w:rsidRDefault="009C778C" w:rsidP="00E92A45">
      <w:pPr>
        <w:spacing w:after="0"/>
        <w:ind w:left="720" w:hanging="720"/>
        <w:rPr>
          <w:rFonts w:cstheme="minorHAnsi"/>
          <w:sz w:val="24"/>
          <w:szCs w:val="24"/>
        </w:rPr>
      </w:pPr>
      <w:r w:rsidRPr="00E92A45">
        <w:rPr>
          <w:rFonts w:cstheme="minorHAnsi"/>
          <w:sz w:val="24"/>
          <w:szCs w:val="24"/>
        </w:rPr>
        <w:t>C. Leuz, D. Nanda, P. Wysocki</w:t>
      </w:r>
      <w:r w:rsidR="00ED1A37" w:rsidRPr="00E92A45">
        <w:rPr>
          <w:rFonts w:cstheme="minorHAnsi"/>
          <w:sz w:val="24"/>
          <w:szCs w:val="24"/>
        </w:rPr>
        <w:t xml:space="preserve">. </w:t>
      </w:r>
      <w:r w:rsidRPr="00E92A45">
        <w:rPr>
          <w:rFonts w:cstheme="minorHAnsi"/>
          <w:sz w:val="24"/>
          <w:szCs w:val="24"/>
        </w:rPr>
        <w:t>Earnings management and investor protection: an international comparison</w:t>
      </w:r>
      <w:r w:rsidR="00ED1A37" w:rsidRPr="00E92A45">
        <w:rPr>
          <w:rFonts w:cstheme="minorHAnsi"/>
          <w:sz w:val="24"/>
          <w:szCs w:val="24"/>
        </w:rPr>
        <w:t xml:space="preserve">. </w:t>
      </w:r>
      <w:r w:rsidRPr="00E92A45">
        <w:rPr>
          <w:rFonts w:cstheme="minorHAnsi"/>
          <w:sz w:val="24"/>
          <w:szCs w:val="24"/>
        </w:rPr>
        <w:t>J. Financ. Econ., 69 (3) (2003), pp. 505-527</w:t>
      </w:r>
    </w:p>
    <w:p w14:paraId="3D789A43" w14:textId="5543E43C" w:rsidR="009C778C" w:rsidRPr="00E92A45" w:rsidRDefault="009C778C" w:rsidP="00E92A45">
      <w:pPr>
        <w:spacing w:after="0"/>
        <w:ind w:left="720" w:hanging="720"/>
        <w:rPr>
          <w:rFonts w:cstheme="minorHAnsi"/>
          <w:sz w:val="24"/>
          <w:szCs w:val="24"/>
        </w:rPr>
      </w:pPr>
      <w:r w:rsidRPr="00E92A45">
        <w:rPr>
          <w:rFonts w:cstheme="minorHAnsi"/>
          <w:sz w:val="24"/>
          <w:szCs w:val="24"/>
        </w:rPr>
        <w:t>J.S. Linck, J.M. Netter, T. Yang</w:t>
      </w:r>
      <w:r w:rsidR="00ED1A37" w:rsidRPr="00E92A45">
        <w:rPr>
          <w:rFonts w:cstheme="minorHAnsi"/>
          <w:sz w:val="24"/>
          <w:szCs w:val="24"/>
        </w:rPr>
        <w:t xml:space="preserve">. </w:t>
      </w:r>
      <w:r w:rsidRPr="00E92A45">
        <w:rPr>
          <w:rFonts w:cstheme="minorHAnsi"/>
          <w:sz w:val="24"/>
          <w:szCs w:val="24"/>
        </w:rPr>
        <w:t>The determinants of board structure</w:t>
      </w:r>
      <w:r w:rsidR="00ED1A37" w:rsidRPr="00E92A45">
        <w:rPr>
          <w:rFonts w:cstheme="minorHAnsi"/>
          <w:sz w:val="24"/>
          <w:szCs w:val="24"/>
        </w:rPr>
        <w:t xml:space="preserve">. </w:t>
      </w:r>
      <w:r w:rsidRPr="00E92A45">
        <w:rPr>
          <w:rFonts w:cstheme="minorHAnsi"/>
          <w:sz w:val="24"/>
          <w:szCs w:val="24"/>
        </w:rPr>
        <w:t>J. Financ. Econ., 87 (2) (2008), pp. 308-328</w:t>
      </w:r>
    </w:p>
    <w:p w14:paraId="43E54D8B" w14:textId="4F297B2B" w:rsidR="009C778C" w:rsidRPr="00E92A45" w:rsidRDefault="009C778C" w:rsidP="00E92A45">
      <w:pPr>
        <w:spacing w:after="0"/>
        <w:ind w:left="720" w:hanging="720"/>
        <w:rPr>
          <w:rFonts w:cstheme="minorHAnsi"/>
          <w:sz w:val="24"/>
          <w:szCs w:val="24"/>
        </w:rPr>
      </w:pPr>
      <w:r w:rsidRPr="00E92A45">
        <w:rPr>
          <w:rFonts w:cstheme="minorHAnsi"/>
          <w:sz w:val="24"/>
          <w:szCs w:val="24"/>
        </w:rPr>
        <w:t>C.J. Malloy</w:t>
      </w:r>
      <w:r w:rsidR="00ED1A37" w:rsidRPr="00E92A45">
        <w:rPr>
          <w:rFonts w:cstheme="minorHAnsi"/>
          <w:sz w:val="24"/>
          <w:szCs w:val="24"/>
        </w:rPr>
        <w:t xml:space="preserve">. </w:t>
      </w:r>
      <w:r w:rsidRPr="00E92A45">
        <w:rPr>
          <w:rFonts w:cstheme="minorHAnsi"/>
          <w:sz w:val="24"/>
          <w:szCs w:val="24"/>
        </w:rPr>
        <w:t>The geography of equity analysis</w:t>
      </w:r>
      <w:r w:rsidR="00ED1A37" w:rsidRPr="00E92A45">
        <w:rPr>
          <w:rFonts w:cstheme="minorHAnsi"/>
          <w:sz w:val="24"/>
          <w:szCs w:val="24"/>
        </w:rPr>
        <w:t xml:space="preserve">. </w:t>
      </w:r>
      <w:r w:rsidRPr="00E92A45">
        <w:rPr>
          <w:rFonts w:cstheme="minorHAnsi"/>
          <w:sz w:val="24"/>
          <w:szCs w:val="24"/>
        </w:rPr>
        <w:t>J. Financ., 60 (2) (2005), pp. 719-755</w:t>
      </w:r>
    </w:p>
    <w:p w14:paraId="1BA10112" w14:textId="0A0BBEE8" w:rsidR="009C778C" w:rsidRPr="00E92A45" w:rsidRDefault="009C778C" w:rsidP="00E92A45">
      <w:pPr>
        <w:spacing w:after="0"/>
        <w:ind w:left="720" w:hanging="720"/>
        <w:rPr>
          <w:rFonts w:cstheme="minorHAnsi"/>
          <w:sz w:val="24"/>
          <w:szCs w:val="24"/>
        </w:rPr>
      </w:pPr>
      <w:r w:rsidRPr="00E92A45">
        <w:rPr>
          <w:rFonts w:cstheme="minorHAnsi"/>
          <w:sz w:val="24"/>
          <w:szCs w:val="24"/>
        </w:rPr>
        <w:t>M. Miletkov, A. Poulsen, M.B. Wintoki</w:t>
      </w:r>
      <w:r w:rsidR="00ED1A37" w:rsidRPr="00E92A45">
        <w:rPr>
          <w:rFonts w:cstheme="minorHAnsi"/>
          <w:sz w:val="24"/>
          <w:szCs w:val="24"/>
        </w:rPr>
        <w:t xml:space="preserve">. </w:t>
      </w:r>
      <w:r w:rsidRPr="00E92A45">
        <w:rPr>
          <w:rFonts w:cstheme="minorHAnsi"/>
          <w:sz w:val="24"/>
          <w:szCs w:val="24"/>
        </w:rPr>
        <w:t>Foreign Directors in Different Investor Protection Regimes</w:t>
      </w:r>
      <w:r w:rsidR="00ED1A37" w:rsidRPr="00E92A45">
        <w:rPr>
          <w:rFonts w:cstheme="minorHAnsi"/>
          <w:sz w:val="24"/>
          <w:szCs w:val="24"/>
        </w:rPr>
        <w:t xml:space="preserve">. </w:t>
      </w:r>
      <w:r w:rsidRPr="00E92A45">
        <w:rPr>
          <w:rFonts w:cstheme="minorHAnsi"/>
          <w:sz w:val="24"/>
          <w:szCs w:val="24"/>
        </w:rPr>
        <w:t>(2016)</w:t>
      </w:r>
    </w:p>
    <w:p w14:paraId="188B36CF" w14:textId="37A0D9AB" w:rsidR="009C778C" w:rsidRPr="00E92A45" w:rsidRDefault="009C778C" w:rsidP="00E92A45">
      <w:pPr>
        <w:spacing w:after="0"/>
        <w:ind w:left="720" w:hanging="720"/>
        <w:rPr>
          <w:rFonts w:cstheme="minorHAnsi"/>
          <w:sz w:val="24"/>
          <w:szCs w:val="24"/>
        </w:rPr>
      </w:pPr>
      <w:r w:rsidRPr="00E92A45">
        <w:rPr>
          <w:rFonts w:cstheme="minorHAnsi"/>
          <w:sz w:val="24"/>
          <w:szCs w:val="24"/>
        </w:rPr>
        <w:t>S. Mitra, W. Cready</w:t>
      </w:r>
      <w:r w:rsidR="00ED1A37" w:rsidRPr="00E92A45">
        <w:rPr>
          <w:rFonts w:cstheme="minorHAnsi"/>
          <w:sz w:val="24"/>
          <w:szCs w:val="24"/>
        </w:rPr>
        <w:t xml:space="preserve">. </w:t>
      </w:r>
      <w:r w:rsidRPr="00E92A45">
        <w:rPr>
          <w:rFonts w:cstheme="minorHAnsi"/>
          <w:sz w:val="24"/>
          <w:szCs w:val="24"/>
        </w:rPr>
        <w:t>Institutional stock ownership, accrual management, and information environment</w:t>
      </w:r>
      <w:r w:rsidR="00ED1A37" w:rsidRPr="00E92A45">
        <w:rPr>
          <w:rFonts w:cstheme="minorHAnsi"/>
          <w:sz w:val="24"/>
          <w:szCs w:val="24"/>
        </w:rPr>
        <w:t xml:space="preserve">. </w:t>
      </w:r>
      <w:r w:rsidRPr="00E92A45">
        <w:rPr>
          <w:rFonts w:cstheme="minorHAnsi"/>
          <w:sz w:val="24"/>
          <w:szCs w:val="24"/>
        </w:rPr>
        <w:t>J. Account., Audit. Financ., 20 (2005), pp. 257-286</w:t>
      </w:r>
    </w:p>
    <w:p w14:paraId="661758EB" w14:textId="19BFEDCA" w:rsidR="009C778C" w:rsidRPr="00E92A45" w:rsidRDefault="009C778C" w:rsidP="00E92A45">
      <w:pPr>
        <w:spacing w:after="0"/>
        <w:ind w:left="720" w:hanging="720"/>
        <w:rPr>
          <w:rFonts w:cstheme="minorHAnsi"/>
          <w:sz w:val="24"/>
          <w:szCs w:val="24"/>
        </w:rPr>
      </w:pPr>
      <w:r w:rsidRPr="00E92A45">
        <w:rPr>
          <w:rFonts w:cstheme="minorHAnsi"/>
          <w:sz w:val="24"/>
          <w:szCs w:val="24"/>
        </w:rPr>
        <w:t>R.M. O’Brien</w:t>
      </w:r>
      <w:r w:rsidR="00ED1A37" w:rsidRPr="00E92A45">
        <w:rPr>
          <w:rFonts w:cstheme="minorHAnsi"/>
          <w:sz w:val="24"/>
          <w:szCs w:val="24"/>
        </w:rPr>
        <w:t xml:space="preserve">. </w:t>
      </w:r>
      <w:r w:rsidRPr="00E92A45">
        <w:rPr>
          <w:rFonts w:cstheme="minorHAnsi"/>
          <w:sz w:val="24"/>
          <w:szCs w:val="24"/>
        </w:rPr>
        <w:t>A caution regarding rules of thumb for variance inflation factors</w:t>
      </w:r>
      <w:r w:rsidR="00531C24" w:rsidRPr="00E92A45">
        <w:rPr>
          <w:rFonts w:cstheme="minorHAnsi"/>
          <w:sz w:val="24"/>
          <w:szCs w:val="24"/>
        </w:rPr>
        <w:t xml:space="preserve">. </w:t>
      </w:r>
      <w:r w:rsidRPr="00E92A45">
        <w:rPr>
          <w:rFonts w:cstheme="minorHAnsi"/>
          <w:sz w:val="24"/>
          <w:szCs w:val="24"/>
        </w:rPr>
        <w:t>Qual. Quant., 41 (5) (2007), pp. 673-690</w:t>
      </w:r>
    </w:p>
    <w:p w14:paraId="3DC2F31D" w14:textId="61719DDF" w:rsidR="009C778C" w:rsidRPr="00E92A45" w:rsidRDefault="009C778C" w:rsidP="00E92A45">
      <w:pPr>
        <w:spacing w:after="0"/>
        <w:ind w:left="720" w:hanging="720"/>
        <w:rPr>
          <w:rFonts w:cstheme="minorHAnsi"/>
          <w:sz w:val="24"/>
          <w:szCs w:val="24"/>
        </w:rPr>
      </w:pPr>
      <w:r w:rsidRPr="00E92A45">
        <w:rPr>
          <w:rFonts w:cstheme="minorHAnsi"/>
          <w:sz w:val="24"/>
          <w:szCs w:val="24"/>
        </w:rPr>
        <w:t>P. Pelto</w:t>
      </w:r>
      <w:r w:rsidR="00531C24" w:rsidRPr="00E92A45">
        <w:rPr>
          <w:rFonts w:cstheme="minorHAnsi"/>
          <w:sz w:val="24"/>
          <w:szCs w:val="24"/>
        </w:rPr>
        <w:t xml:space="preserve">. </w:t>
      </w:r>
      <w:r w:rsidRPr="00E92A45">
        <w:rPr>
          <w:rFonts w:cstheme="minorHAnsi"/>
          <w:sz w:val="24"/>
          <w:szCs w:val="24"/>
        </w:rPr>
        <w:t>The difference between “tight” and “loose” societies</w:t>
      </w:r>
      <w:r w:rsidR="00531C24" w:rsidRPr="00E92A45">
        <w:rPr>
          <w:rFonts w:cstheme="minorHAnsi"/>
          <w:sz w:val="24"/>
          <w:szCs w:val="24"/>
        </w:rPr>
        <w:t xml:space="preserve">. </w:t>
      </w:r>
      <w:r w:rsidRPr="00E92A45">
        <w:rPr>
          <w:rFonts w:cstheme="minorHAnsi"/>
          <w:sz w:val="24"/>
          <w:szCs w:val="24"/>
        </w:rPr>
        <w:t>Transaction, 5 (1968), pp. 37-40</w:t>
      </w:r>
    </w:p>
    <w:p w14:paraId="6E45A3E4" w14:textId="6AF5C5C4" w:rsidR="009C778C" w:rsidRPr="00E92A45" w:rsidRDefault="009C778C" w:rsidP="00E92A45">
      <w:pPr>
        <w:spacing w:after="0"/>
        <w:ind w:left="720" w:hanging="720"/>
        <w:rPr>
          <w:rFonts w:cstheme="minorHAnsi"/>
          <w:sz w:val="24"/>
          <w:szCs w:val="24"/>
        </w:rPr>
      </w:pPr>
      <w:r w:rsidRPr="00E92A45">
        <w:rPr>
          <w:rFonts w:cstheme="minorHAnsi"/>
          <w:sz w:val="24"/>
          <w:szCs w:val="24"/>
        </w:rPr>
        <w:t>R. Portes, H. Rey</w:t>
      </w:r>
      <w:r w:rsidR="00531C24" w:rsidRPr="00E92A45">
        <w:rPr>
          <w:rFonts w:cstheme="minorHAnsi"/>
          <w:sz w:val="24"/>
          <w:szCs w:val="24"/>
        </w:rPr>
        <w:t xml:space="preserve">. </w:t>
      </w:r>
      <w:r w:rsidRPr="00E92A45">
        <w:rPr>
          <w:rFonts w:cstheme="minorHAnsi"/>
          <w:sz w:val="24"/>
          <w:szCs w:val="24"/>
        </w:rPr>
        <w:t>The determinants of cross-border equity flows</w:t>
      </w:r>
      <w:r w:rsidR="00531C24" w:rsidRPr="00E92A45">
        <w:rPr>
          <w:rFonts w:cstheme="minorHAnsi"/>
          <w:sz w:val="24"/>
          <w:szCs w:val="24"/>
        </w:rPr>
        <w:t xml:space="preserve">. </w:t>
      </w:r>
      <w:r w:rsidRPr="00E92A45">
        <w:rPr>
          <w:rFonts w:cstheme="minorHAnsi"/>
          <w:sz w:val="24"/>
          <w:szCs w:val="24"/>
        </w:rPr>
        <w:t>J. Int. Econ., 65 (2005), pp. 269-296</w:t>
      </w:r>
    </w:p>
    <w:p w14:paraId="220711EB" w14:textId="388BC10E" w:rsidR="009C778C" w:rsidRPr="00E92A45" w:rsidRDefault="009C778C" w:rsidP="00E92A45">
      <w:pPr>
        <w:spacing w:after="0"/>
        <w:ind w:left="720" w:hanging="720"/>
        <w:rPr>
          <w:rFonts w:cstheme="minorHAnsi"/>
          <w:sz w:val="24"/>
          <w:szCs w:val="24"/>
        </w:rPr>
      </w:pPr>
      <w:r w:rsidRPr="00E92A45">
        <w:rPr>
          <w:rFonts w:cstheme="minorHAnsi"/>
          <w:sz w:val="24"/>
          <w:szCs w:val="24"/>
        </w:rPr>
        <w:t>H. Triandis</w:t>
      </w:r>
      <w:r w:rsidR="00531C24" w:rsidRPr="00E92A45">
        <w:rPr>
          <w:rFonts w:cstheme="minorHAnsi"/>
          <w:sz w:val="24"/>
          <w:szCs w:val="24"/>
        </w:rPr>
        <w:t xml:space="preserve">. </w:t>
      </w:r>
      <w:proofErr w:type="gramStart"/>
      <w:r w:rsidRPr="00E92A45">
        <w:rPr>
          <w:rFonts w:cstheme="minorHAnsi"/>
          <w:sz w:val="24"/>
          <w:szCs w:val="24"/>
        </w:rPr>
        <w:t>The self</w:t>
      </w:r>
      <w:proofErr w:type="gramEnd"/>
      <w:r w:rsidRPr="00E92A45">
        <w:rPr>
          <w:rFonts w:cstheme="minorHAnsi"/>
          <w:sz w:val="24"/>
          <w:szCs w:val="24"/>
        </w:rPr>
        <w:t xml:space="preserve"> and social behavior in differing cultural contexts</w:t>
      </w:r>
      <w:r w:rsidR="00531C24" w:rsidRPr="00E92A45">
        <w:rPr>
          <w:rFonts w:cstheme="minorHAnsi"/>
          <w:sz w:val="24"/>
          <w:szCs w:val="24"/>
        </w:rPr>
        <w:t xml:space="preserve">. </w:t>
      </w:r>
      <w:r w:rsidRPr="00E92A45">
        <w:rPr>
          <w:rFonts w:cstheme="minorHAnsi"/>
          <w:sz w:val="24"/>
          <w:szCs w:val="24"/>
        </w:rPr>
        <w:t>Psychol. Rev., 96 (3) (1989), pp. 506-520</w:t>
      </w:r>
    </w:p>
    <w:p w14:paraId="281D902B" w14:textId="3DB90AB9" w:rsidR="009C778C" w:rsidRPr="00E92A45" w:rsidRDefault="009C778C" w:rsidP="00E92A45">
      <w:pPr>
        <w:spacing w:after="0"/>
        <w:ind w:left="720" w:hanging="720"/>
        <w:rPr>
          <w:rFonts w:cstheme="minorHAnsi"/>
          <w:sz w:val="24"/>
          <w:szCs w:val="24"/>
        </w:rPr>
      </w:pPr>
      <w:r w:rsidRPr="00E92A45">
        <w:rPr>
          <w:rFonts w:cstheme="minorHAnsi"/>
          <w:sz w:val="24"/>
          <w:szCs w:val="24"/>
        </w:rPr>
        <w:t>A. Tsang, F. Xie, X. Xin</w:t>
      </w:r>
      <w:r w:rsidR="00531C24" w:rsidRPr="00E92A45">
        <w:rPr>
          <w:rFonts w:cstheme="minorHAnsi"/>
          <w:sz w:val="24"/>
          <w:szCs w:val="24"/>
        </w:rPr>
        <w:t xml:space="preserve">. </w:t>
      </w:r>
      <w:r w:rsidRPr="00E92A45">
        <w:rPr>
          <w:rFonts w:cstheme="minorHAnsi"/>
          <w:sz w:val="24"/>
          <w:szCs w:val="24"/>
        </w:rPr>
        <w:t>Foreign Institutional Investors and Voluntary Disclosure Around the World</w:t>
      </w:r>
      <w:r w:rsidR="00531C24" w:rsidRPr="00E92A45">
        <w:rPr>
          <w:rFonts w:cstheme="minorHAnsi"/>
          <w:sz w:val="24"/>
          <w:szCs w:val="24"/>
        </w:rPr>
        <w:t xml:space="preserve">. </w:t>
      </w:r>
      <w:r w:rsidRPr="00E92A45">
        <w:rPr>
          <w:rFonts w:cstheme="minorHAnsi"/>
          <w:sz w:val="24"/>
          <w:szCs w:val="24"/>
        </w:rPr>
        <w:t>(2016)</w:t>
      </w:r>
    </w:p>
    <w:p w14:paraId="4E64BC00" w14:textId="78914B15" w:rsidR="009C778C" w:rsidRPr="00E92A45" w:rsidRDefault="009C778C" w:rsidP="00E92A45">
      <w:pPr>
        <w:spacing w:after="0"/>
        <w:ind w:left="720" w:hanging="720"/>
        <w:rPr>
          <w:rFonts w:cstheme="minorHAnsi"/>
          <w:sz w:val="24"/>
          <w:szCs w:val="24"/>
        </w:rPr>
      </w:pPr>
      <w:r w:rsidRPr="00E92A45">
        <w:rPr>
          <w:rFonts w:cstheme="minorHAnsi"/>
          <w:sz w:val="24"/>
          <w:szCs w:val="24"/>
        </w:rPr>
        <w:t>B. Xie, W.N. Davidson, P.J. DaDalt</w:t>
      </w:r>
      <w:r w:rsidR="00531C24" w:rsidRPr="00E92A45">
        <w:rPr>
          <w:rFonts w:cstheme="minorHAnsi"/>
          <w:sz w:val="24"/>
          <w:szCs w:val="24"/>
        </w:rPr>
        <w:t xml:space="preserve">. </w:t>
      </w:r>
      <w:r w:rsidRPr="00E92A45">
        <w:rPr>
          <w:rFonts w:cstheme="minorHAnsi"/>
          <w:sz w:val="24"/>
          <w:szCs w:val="24"/>
        </w:rPr>
        <w:t>Earnings management and corporate governance: the role of the board and the audit committee</w:t>
      </w:r>
      <w:r w:rsidR="00531C24" w:rsidRPr="00E92A45">
        <w:rPr>
          <w:rFonts w:cstheme="minorHAnsi"/>
          <w:sz w:val="24"/>
          <w:szCs w:val="24"/>
        </w:rPr>
        <w:t xml:space="preserve">. </w:t>
      </w:r>
      <w:r w:rsidRPr="00E92A45">
        <w:rPr>
          <w:rFonts w:cstheme="minorHAnsi"/>
          <w:sz w:val="24"/>
          <w:szCs w:val="24"/>
        </w:rPr>
        <w:t>J. Corp. Financ., 9 (3) (2003), pp. 295-316</w:t>
      </w:r>
    </w:p>
    <w:p w14:paraId="47015283" w14:textId="716DA975" w:rsidR="009C778C" w:rsidRPr="00E92A45" w:rsidRDefault="009C778C" w:rsidP="00E92A45">
      <w:pPr>
        <w:spacing w:after="0"/>
        <w:ind w:left="720" w:hanging="720"/>
        <w:rPr>
          <w:rFonts w:cstheme="minorHAnsi"/>
          <w:sz w:val="24"/>
          <w:szCs w:val="24"/>
        </w:rPr>
      </w:pPr>
      <w:r w:rsidRPr="00E92A45">
        <w:rPr>
          <w:rFonts w:cstheme="minorHAnsi"/>
          <w:sz w:val="24"/>
          <w:szCs w:val="24"/>
        </w:rPr>
        <w:t>G. Yu, A.S. Wahid</w:t>
      </w:r>
      <w:r w:rsidR="00531C24" w:rsidRPr="00E92A45">
        <w:rPr>
          <w:rFonts w:cstheme="minorHAnsi"/>
          <w:sz w:val="24"/>
          <w:szCs w:val="24"/>
        </w:rPr>
        <w:t xml:space="preserve">. </w:t>
      </w:r>
      <w:r w:rsidRPr="00E92A45">
        <w:rPr>
          <w:rFonts w:cstheme="minorHAnsi"/>
          <w:sz w:val="24"/>
          <w:szCs w:val="24"/>
        </w:rPr>
        <w:t>Accounting standards and international portfolio holdings</w:t>
      </w:r>
      <w:r w:rsidR="00531C24" w:rsidRPr="00E92A45">
        <w:rPr>
          <w:rFonts w:cstheme="minorHAnsi"/>
          <w:sz w:val="24"/>
          <w:szCs w:val="24"/>
        </w:rPr>
        <w:t xml:space="preserve">. </w:t>
      </w:r>
      <w:r w:rsidRPr="00E92A45">
        <w:rPr>
          <w:rFonts w:cstheme="minorHAnsi"/>
          <w:sz w:val="24"/>
          <w:szCs w:val="24"/>
        </w:rPr>
        <w:t>Account. Rev., 89 (5) (2014), pp. 1895-1930</w:t>
      </w:r>
      <w:bookmarkEnd w:id="17"/>
      <w:bookmarkEnd w:id="57"/>
      <w:bookmarkEnd w:id="62"/>
      <w:bookmarkEnd w:id="63"/>
      <w:bookmarkEnd w:id="64"/>
      <w:bookmarkEnd w:id="68"/>
      <w:bookmarkEnd w:id="83"/>
      <w:bookmarkEnd w:id="84"/>
    </w:p>
    <w:sectPr w:rsidR="009C778C" w:rsidRPr="00E92A45" w:rsidSect="001A7C2C">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AD01E" w14:textId="77777777" w:rsidR="000A2DC8" w:rsidRDefault="000A2DC8" w:rsidP="0004048C">
      <w:r>
        <w:separator/>
      </w:r>
    </w:p>
  </w:endnote>
  <w:endnote w:type="continuationSeparator" w:id="0">
    <w:p w14:paraId="015B1D98" w14:textId="77777777" w:rsidR="000A2DC8" w:rsidRDefault="000A2DC8" w:rsidP="00040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87D2C" w14:textId="77777777" w:rsidR="000A2DC8" w:rsidRDefault="000A2DC8" w:rsidP="0004048C">
      <w:r>
        <w:separator/>
      </w:r>
    </w:p>
  </w:footnote>
  <w:footnote w:type="continuationSeparator" w:id="0">
    <w:p w14:paraId="34D8CED1" w14:textId="77777777" w:rsidR="000A2DC8" w:rsidRDefault="000A2DC8" w:rsidP="00040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2E8015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A14C5F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5D29E3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A8C088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334C6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2B069C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A68EC6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4F22A3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2366E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B14431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D368E0"/>
    <w:multiLevelType w:val="multilevel"/>
    <w:tmpl w:val="50D21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EA7553"/>
    <w:multiLevelType w:val="multilevel"/>
    <w:tmpl w:val="6068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3E2E92"/>
    <w:multiLevelType w:val="multilevel"/>
    <w:tmpl w:val="86366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0"/>
  </w:num>
  <w:num w:numId="2" w16cid:durableId="42485251">
    <w:abstractNumId w:val="15"/>
  </w:num>
  <w:num w:numId="3" w16cid:durableId="962153638">
    <w:abstractNumId w:val="13"/>
  </w:num>
  <w:num w:numId="4" w16cid:durableId="215315732">
    <w:abstractNumId w:val="11"/>
  </w:num>
  <w:num w:numId="5" w16cid:durableId="1576235846">
    <w:abstractNumId w:val="14"/>
  </w:num>
  <w:num w:numId="6" w16cid:durableId="611134673">
    <w:abstractNumId w:val="12"/>
  </w:num>
  <w:num w:numId="7" w16cid:durableId="1986011969">
    <w:abstractNumId w:val="9"/>
  </w:num>
  <w:num w:numId="8" w16cid:durableId="2126194824">
    <w:abstractNumId w:val="7"/>
  </w:num>
  <w:num w:numId="9" w16cid:durableId="1602758678">
    <w:abstractNumId w:val="6"/>
  </w:num>
  <w:num w:numId="10" w16cid:durableId="2032798399">
    <w:abstractNumId w:val="5"/>
  </w:num>
  <w:num w:numId="11" w16cid:durableId="2023848638">
    <w:abstractNumId w:val="4"/>
  </w:num>
  <w:num w:numId="12" w16cid:durableId="495419134">
    <w:abstractNumId w:val="8"/>
  </w:num>
  <w:num w:numId="13" w16cid:durableId="955672747">
    <w:abstractNumId w:val="3"/>
  </w:num>
  <w:num w:numId="14" w16cid:durableId="1265729472">
    <w:abstractNumId w:val="2"/>
  </w:num>
  <w:num w:numId="15" w16cid:durableId="739208101">
    <w:abstractNumId w:val="1"/>
  </w:num>
  <w:num w:numId="16" w16cid:durableId="28530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wzpezkfLzubEQ2fgia6pmLo7glFjtlEohrPMrQPrqexQVghXzC8ILk4oFs46rFEghVNRF4Y9ajVBCnleI1SHsw==" w:salt="J+E5twFdUFcg/kc4WIOmyw=="/>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048C"/>
    <w:rsid w:val="00041C27"/>
    <w:rsid w:val="000437DE"/>
    <w:rsid w:val="00043BD5"/>
    <w:rsid w:val="00043C8E"/>
    <w:rsid w:val="00044EBA"/>
    <w:rsid w:val="0004637E"/>
    <w:rsid w:val="0004717F"/>
    <w:rsid w:val="00047A10"/>
    <w:rsid w:val="00051B33"/>
    <w:rsid w:val="000525F1"/>
    <w:rsid w:val="0005413F"/>
    <w:rsid w:val="00057D20"/>
    <w:rsid w:val="000606A8"/>
    <w:rsid w:val="00061102"/>
    <w:rsid w:val="00064ECB"/>
    <w:rsid w:val="000650D6"/>
    <w:rsid w:val="0007040E"/>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2DC8"/>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A7C2C"/>
    <w:rsid w:val="001B5C9F"/>
    <w:rsid w:val="001B6E76"/>
    <w:rsid w:val="001C3A3F"/>
    <w:rsid w:val="001D1087"/>
    <w:rsid w:val="001D2448"/>
    <w:rsid w:val="001D3ADE"/>
    <w:rsid w:val="001D58D3"/>
    <w:rsid w:val="001D776C"/>
    <w:rsid w:val="001D7BCC"/>
    <w:rsid w:val="001E18FE"/>
    <w:rsid w:val="001F01FF"/>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5B24"/>
    <w:rsid w:val="0024134B"/>
    <w:rsid w:val="00251132"/>
    <w:rsid w:val="002534F0"/>
    <w:rsid w:val="002535DF"/>
    <w:rsid w:val="00253DB5"/>
    <w:rsid w:val="002558EB"/>
    <w:rsid w:val="00255B43"/>
    <w:rsid w:val="00255BDC"/>
    <w:rsid w:val="00255BEA"/>
    <w:rsid w:val="00261403"/>
    <w:rsid w:val="00261F59"/>
    <w:rsid w:val="002620C8"/>
    <w:rsid w:val="00272AF4"/>
    <w:rsid w:val="00276C06"/>
    <w:rsid w:val="00280198"/>
    <w:rsid w:val="00282094"/>
    <w:rsid w:val="00282184"/>
    <w:rsid w:val="002843BC"/>
    <w:rsid w:val="00284A84"/>
    <w:rsid w:val="00284FCE"/>
    <w:rsid w:val="0029129F"/>
    <w:rsid w:val="00292F54"/>
    <w:rsid w:val="00293297"/>
    <w:rsid w:val="00296B90"/>
    <w:rsid w:val="00297296"/>
    <w:rsid w:val="002A0668"/>
    <w:rsid w:val="002A3472"/>
    <w:rsid w:val="002A6B8B"/>
    <w:rsid w:val="002A7FBB"/>
    <w:rsid w:val="002B1ED8"/>
    <w:rsid w:val="002B45EC"/>
    <w:rsid w:val="002B62C6"/>
    <w:rsid w:val="002C17A7"/>
    <w:rsid w:val="002C2DA5"/>
    <w:rsid w:val="002C4714"/>
    <w:rsid w:val="002C4FA2"/>
    <w:rsid w:val="002C6160"/>
    <w:rsid w:val="002D02F2"/>
    <w:rsid w:val="002D28EA"/>
    <w:rsid w:val="002D51BB"/>
    <w:rsid w:val="002D5BAE"/>
    <w:rsid w:val="002D5DDC"/>
    <w:rsid w:val="002D6AA3"/>
    <w:rsid w:val="002E530A"/>
    <w:rsid w:val="002E5C33"/>
    <w:rsid w:val="002E5D29"/>
    <w:rsid w:val="002E78C5"/>
    <w:rsid w:val="00300EE4"/>
    <w:rsid w:val="0030197F"/>
    <w:rsid w:val="0030223E"/>
    <w:rsid w:val="00303A1E"/>
    <w:rsid w:val="00303BBD"/>
    <w:rsid w:val="00313440"/>
    <w:rsid w:val="00314FCD"/>
    <w:rsid w:val="0032093F"/>
    <w:rsid w:val="00323EC8"/>
    <w:rsid w:val="00324290"/>
    <w:rsid w:val="00331737"/>
    <w:rsid w:val="0033243D"/>
    <w:rsid w:val="0033652E"/>
    <w:rsid w:val="00340617"/>
    <w:rsid w:val="00340B13"/>
    <w:rsid w:val="00340CDB"/>
    <w:rsid w:val="003427C6"/>
    <w:rsid w:val="00343472"/>
    <w:rsid w:val="003455AA"/>
    <w:rsid w:val="00347634"/>
    <w:rsid w:val="00351E90"/>
    <w:rsid w:val="00354C75"/>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3CAF"/>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257B"/>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C24"/>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1C24"/>
    <w:rsid w:val="00533270"/>
    <w:rsid w:val="00540146"/>
    <w:rsid w:val="00541D5F"/>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5079"/>
    <w:rsid w:val="005D767A"/>
    <w:rsid w:val="005E2628"/>
    <w:rsid w:val="005E3FF6"/>
    <w:rsid w:val="005E4828"/>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4B69"/>
    <w:rsid w:val="00666FD4"/>
    <w:rsid w:val="00667217"/>
    <w:rsid w:val="0066752D"/>
    <w:rsid w:val="006702C6"/>
    <w:rsid w:val="00674009"/>
    <w:rsid w:val="006769E6"/>
    <w:rsid w:val="00676C63"/>
    <w:rsid w:val="00682333"/>
    <w:rsid w:val="0068273E"/>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3473"/>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08BC"/>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1AA6"/>
    <w:rsid w:val="0090248F"/>
    <w:rsid w:val="00902F25"/>
    <w:rsid w:val="0090407E"/>
    <w:rsid w:val="00905334"/>
    <w:rsid w:val="00907ABB"/>
    <w:rsid w:val="00911307"/>
    <w:rsid w:val="00911EDD"/>
    <w:rsid w:val="00915110"/>
    <w:rsid w:val="009151B5"/>
    <w:rsid w:val="00916ADA"/>
    <w:rsid w:val="00916C64"/>
    <w:rsid w:val="00921CD7"/>
    <w:rsid w:val="00925107"/>
    <w:rsid w:val="00925421"/>
    <w:rsid w:val="009267EE"/>
    <w:rsid w:val="00926994"/>
    <w:rsid w:val="00927998"/>
    <w:rsid w:val="00930FF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5D05"/>
    <w:rsid w:val="00956C21"/>
    <w:rsid w:val="00956FEB"/>
    <w:rsid w:val="009633A7"/>
    <w:rsid w:val="009650D5"/>
    <w:rsid w:val="0096535F"/>
    <w:rsid w:val="00965F35"/>
    <w:rsid w:val="00966500"/>
    <w:rsid w:val="009729A3"/>
    <w:rsid w:val="009732A9"/>
    <w:rsid w:val="009761C9"/>
    <w:rsid w:val="00977C0E"/>
    <w:rsid w:val="00977F1D"/>
    <w:rsid w:val="00982217"/>
    <w:rsid w:val="00983189"/>
    <w:rsid w:val="00984B39"/>
    <w:rsid w:val="00986A83"/>
    <w:rsid w:val="00987FD3"/>
    <w:rsid w:val="00990645"/>
    <w:rsid w:val="009A130B"/>
    <w:rsid w:val="009A2639"/>
    <w:rsid w:val="009A29E5"/>
    <w:rsid w:val="009A397F"/>
    <w:rsid w:val="009B2C80"/>
    <w:rsid w:val="009B4F83"/>
    <w:rsid w:val="009B6983"/>
    <w:rsid w:val="009C15D5"/>
    <w:rsid w:val="009C5450"/>
    <w:rsid w:val="009C5716"/>
    <w:rsid w:val="009C728A"/>
    <w:rsid w:val="009C778C"/>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0CDD"/>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2A1"/>
    <w:rsid w:val="00A52369"/>
    <w:rsid w:val="00A52A88"/>
    <w:rsid w:val="00A55701"/>
    <w:rsid w:val="00A56445"/>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885"/>
    <w:rsid w:val="00B74E41"/>
    <w:rsid w:val="00B7740D"/>
    <w:rsid w:val="00B81F16"/>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7BD"/>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5B2B"/>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10EC"/>
    <w:rsid w:val="00CF53EE"/>
    <w:rsid w:val="00CF61B9"/>
    <w:rsid w:val="00D01E5B"/>
    <w:rsid w:val="00D02378"/>
    <w:rsid w:val="00D02952"/>
    <w:rsid w:val="00D02BE9"/>
    <w:rsid w:val="00D101DD"/>
    <w:rsid w:val="00D14423"/>
    <w:rsid w:val="00D15F27"/>
    <w:rsid w:val="00D162A6"/>
    <w:rsid w:val="00D17394"/>
    <w:rsid w:val="00D17B7F"/>
    <w:rsid w:val="00D21541"/>
    <w:rsid w:val="00D23818"/>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54ECD"/>
    <w:rsid w:val="00D657EC"/>
    <w:rsid w:val="00D65A57"/>
    <w:rsid w:val="00D66306"/>
    <w:rsid w:val="00D66B18"/>
    <w:rsid w:val="00D726DB"/>
    <w:rsid w:val="00D73164"/>
    <w:rsid w:val="00D7469C"/>
    <w:rsid w:val="00D77E53"/>
    <w:rsid w:val="00D80DE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2A45"/>
    <w:rsid w:val="00E94035"/>
    <w:rsid w:val="00E95F4D"/>
    <w:rsid w:val="00E97067"/>
    <w:rsid w:val="00EA3852"/>
    <w:rsid w:val="00EA6E8E"/>
    <w:rsid w:val="00EA7978"/>
    <w:rsid w:val="00EA7D19"/>
    <w:rsid w:val="00EB7F70"/>
    <w:rsid w:val="00EC4C2A"/>
    <w:rsid w:val="00EC6764"/>
    <w:rsid w:val="00EC726F"/>
    <w:rsid w:val="00EC7743"/>
    <w:rsid w:val="00EC7B8C"/>
    <w:rsid w:val="00ED1A37"/>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3A88"/>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5B2"/>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FA2"/>
  </w:style>
  <w:style w:type="paragraph" w:styleId="Heading1">
    <w:name w:val="heading 1"/>
    <w:basedOn w:val="Normal"/>
    <w:next w:val="Normal"/>
    <w:link w:val="Heading1Char"/>
    <w:uiPriority w:val="9"/>
    <w:qFormat/>
    <w:rsid w:val="002C4FA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C4FA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C4FA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C4FA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C4FA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C4FA2"/>
    <w:pPr>
      <w:keepNext/>
      <w:keepLines/>
      <w:spacing w:before="40" w:after="0"/>
      <w:outlineLvl w:val="5"/>
    </w:pPr>
  </w:style>
  <w:style w:type="paragraph" w:styleId="Heading7">
    <w:name w:val="heading 7"/>
    <w:basedOn w:val="Normal"/>
    <w:next w:val="Normal"/>
    <w:link w:val="Heading7Char"/>
    <w:uiPriority w:val="9"/>
    <w:semiHidden/>
    <w:unhideWhenUsed/>
    <w:qFormat/>
    <w:rsid w:val="002C4FA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C4FA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C4FA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FA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C4FA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C4FA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C4FA2"/>
    <w:rPr>
      <w:i/>
      <w:iCs/>
    </w:rPr>
  </w:style>
  <w:style w:type="character" w:customStyle="1" w:styleId="Heading5Char">
    <w:name w:val="Heading 5 Char"/>
    <w:basedOn w:val="DefaultParagraphFont"/>
    <w:link w:val="Heading5"/>
    <w:uiPriority w:val="9"/>
    <w:semiHidden/>
    <w:rsid w:val="002C4FA2"/>
    <w:rPr>
      <w:color w:val="404040" w:themeColor="text1" w:themeTint="BF"/>
    </w:rPr>
  </w:style>
  <w:style w:type="character" w:customStyle="1" w:styleId="Heading6Char">
    <w:name w:val="Heading 6 Char"/>
    <w:basedOn w:val="DefaultParagraphFont"/>
    <w:link w:val="Heading6"/>
    <w:uiPriority w:val="9"/>
    <w:semiHidden/>
    <w:rsid w:val="002C4FA2"/>
  </w:style>
  <w:style w:type="character" w:customStyle="1" w:styleId="Heading7Char">
    <w:name w:val="Heading 7 Char"/>
    <w:basedOn w:val="DefaultParagraphFont"/>
    <w:link w:val="Heading7"/>
    <w:uiPriority w:val="9"/>
    <w:semiHidden/>
    <w:rsid w:val="002C4FA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C4FA2"/>
    <w:rPr>
      <w:color w:val="262626" w:themeColor="text1" w:themeTint="D9"/>
      <w:sz w:val="21"/>
      <w:szCs w:val="21"/>
    </w:rPr>
  </w:style>
  <w:style w:type="character" w:customStyle="1" w:styleId="Heading9Char">
    <w:name w:val="Heading 9 Char"/>
    <w:basedOn w:val="DefaultParagraphFont"/>
    <w:link w:val="Heading9"/>
    <w:uiPriority w:val="9"/>
    <w:semiHidden/>
    <w:rsid w:val="002C4FA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C4FA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C4FA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C4FA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C4FA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C4FA2"/>
    <w:rPr>
      <w:color w:val="5A5A5A" w:themeColor="text1" w:themeTint="A5"/>
      <w:spacing w:val="15"/>
    </w:rPr>
  </w:style>
  <w:style w:type="character" w:styleId="Strong">
    <w:name w:val="Strong"/>
    <w:basedOn w:val="DefaultParagraphFont"/>
    <w:uiPriority w:val="22"/>
    <w:qFormat/>
    <w:rsid w:val="002C4FA2"/>
    <w:rPr>
      <w:b/>
      <w:bCs/>
      <w:color w:val="auto"/>
    </w:rPr>
  </w:style>
  <w:style w:type="character" w:styleId="Emphasis">
    <w:name w:val="Emphasis"/>
    <w:basedOn w:val="DefaultParagraphFont"/>
    <w:uiPriority w:val="20"/>
    <w:qFormat/>
    <w:rsid w:val="002C4FA2"/>
    <w:rPr>
      <w:i/>
      <w:iCs/>
      <w:color w:val="auto"/>
    </w:rPr>
  </w:style>
  <w:style w:type="paragraph" w:styleId="NoSpacing">
    <w:name w:val="No Spacing"/>
    <w:uiPriority w:val="1"/>
    <w:qFormat/>
    <w:rsid w:val="002C4FA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C4FA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C4FA2"/>
    <w:rPr>
      <w:i/>
      <w:iCs/>
      <w:color w:val="404040" w:themeColor="text1" w:themeTint="BF"/>
    </w:rPr>
  </w:style>
  <w:style w:type="paragraph" w:styleId="IntenseQuote">
    <w:name w:val="Intense Quote"/>
    <w:basedOn w:val="Normal"/>
    <w:next w:val="Normal"/>
    <w:link w:val="IntenseQuoteChar"/>
    <w:uiPriority w:val="30"/>
    <w:qFormat/>
    <w:rsid w:val="002C4FA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C4FA2"/>
    <w:rPr>
      <w:i/>
      <w:iCs/>
      <w:color w:val="404040" w:themeColor="text1" w:themeTint="BF"/>
    </w:rPr>
  </w:style>
  <w:style w:type="character" w:styleId="SubtleEmphasis">
    <w:name w:val="Subtle Emphasis"/>
    <w:basedOn w:val="DefaultParagraphFont"/>
    <w:uiPriority w:val="19"/>
    <w:qFormat/>
    <w:rsid w:val="002C4FA2"/>
    <w:rPr>
      <w:i/>
      <w:iCs/>
      <w:color w:val="404040" w:themeColor="text1" w:themeTint="BF"/>
    </w:rPr>
  </w:style>
  <w:style w:type="character" w:styleId="IntenseEmphasis">
    <w:name w:val="Intense Emphasis"/>
    <w:basedOn w:val="DefaultParagraphFont"/>
    <w:uiPriority w:val="21"/>
    <w:qFormat/>
    <w:rsid w:val="002C4FA2"/>
    <w:rPr>
      <w:b/>
      <w:bCs/>
      <w:i/>
      <w:iCs/>
      <w:color w:val="auto"/>
    </w:rPr>
  </w:style>
  <w:style w:type="character" w:styleId="SubtleReference">
    <w:name w:val="Subtle Reference"/>
    <w:basedOn w:val="DefaultParagraphFont"/>
    <w:uiPriority w:val="31"/>
    <w:qFormat/>
    <w:rsid w:val="002C4FA2"/>
    <w:rPr>
      <w:smallCaps/>
      <w:color w:val="404040" w:themeColor="text1" w:themeTint="BF"/>
    </w:rPr>
  </w:style>
  <w:style w:type="character" w:styleId="IntenseReference">
    <w:name w:val="Intense Reference"/>
    <w:basedOn w:val="DefaultParagraphFont"/>
    <w:uiPriority w:val="32"/>
    <w:qFormat/>
    <w:rsid w:val="002C4FA2"/>
    <w:rPr>
      <w:b/>
      <w:bCs/>
      <w:smallCaps/>
      <w:color w:val="404040" w:themeColor="text1" w:themeTint="BF"/>
      <w:spacing w:val="5"/>
    </w:rPr>
  </w:style>
  <w:style w:type="character" w:styleId="BookTitle">
    <w:name w:val="Book Title"/>
    <w:basedOn w:val="DefaultParagraphFont"/>
    <w:uiPriority w:val="33"/>
    <w:qFormat/>
    <w:rsid w:val="002C4FA2"/>
    <w:rPr>
      <w:b/>
      <w:bCs/>
      <w:i/>
      <w:iCs/>
      <w:spacing w:val="5"/>
    </w:rPr>
  </w:style>
  <w:style w:type="paragraph" w:styleId="TOCHeading">
    <w:name w:val="TOC Heading"/>
    <w:basedOn w:val="Heading1"/>
    <w:next w:val="Normal"/>
    <w:uiPriority w:val="39"/>
    <w:semiHidden/>
    <w:unhideWhenUsed/>
    <w:qFormat/>
    <w:rsid w:val="002C4FA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e-component">
    <w:name w:val="e-component"/>
    <w:basedOn w:val="DefaultParagraphFont"/>
    <w:rsid w:val="009C778C"/>
  </w:style>
  <w:style w:type="character" w:customStyle="1" w:styleId="reference">
    <w:name w:val="reference"/>
    <w:basedOn w:val="DefaultParagraphFont"/>
    <w:rsid w:val="009C778C"/>
  </w:style>
  <w:style w:type="character" w:customStyle="1" w:styleId="text">
    <w:name w:val="text"/>
    <w:basedOn w:val="DefaultParagraphFont"/>
    <w:rsid w:val="009C778C"/>
  </w:style>
  <w:style w:type="paragraph" w:customStyle="1" w:styleId="message">
    <w:name w:val="message"/>
    <w:basedOn w:val="Normal"/>
    <w:rsid w:val="009C77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articleitem">
    <w:name w:val="listarticleitem"/>
    <w:basedOn w:val="Normal"/>
    <w:rsid w:val="009C77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link-text">
    <w:name w:val="button-link-text"/>
    <w:basedOn w:val="DefaultParagraphFont"/>
    <w:rsid w:val="009C778C"/>
  </w:style>
  <w:style w:type="paragraph" w:styleId="BalloonText">
    <w:name w:val="Balloon Text"/>
    <w:basedOn w:val="Normal"/>
    <w:link w:val="BalloonTextChar"/>
    <w:uiPriority w:val="99"/>
    <w:semiHidden/>
    <w:unhideWhenUsed/>
    <w:rsid w:val="000404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48C"/>
    <w:rPr>
      <w:rFonts w:ascii="Segoe UI" w:hAnsi="Segoe UI" w:cs="Segoe UI"/>
      <w:sz w:val="18"/>
      <w:szCs w:val="18"/>
    </w:rPr>
  </w:style>
  <w:style w:type="paragraph" w:styleId="Bibliography">
    <w:name w:val="Bibliography"/>
    <w:basedOn w:val="Normal"/>
    <w:next w:val="Normal"/>
    <w:uiPriority w:val="37"/>
    <w:semiHidden/>
    <w:unhideWhenUsed/>
    <w:rsid w:val="0004048C"/>
  </w:style>
  <w:style w:type="paragraph" w:styleId="BlockText">
    <w:name w:val="Block Text"/>
    <w:basedOn w:val="Normal"/>
    <w:uiPriority w:val="99"/>
    <w:semiHidden/>
    <w:unhideWhenUsed/>
    <w:rsid w:val="0004048C"/>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i/>
      <w:iCs/>
      <w:color w:val="4472C4" w:themeColor="accent1"/>
    </w:rPr>
  </w:style>
  <w:style w:type="paragraph" w:styleId="BodyText">
    <w:name w:val="Body Text"/>
    <w:basedOn w:val="Normal"/>
    <w:link w:val="BodyTextChar"/>
    <w:uiPriority w:val="99"/>
    <w:semiHidden/>
    <w:unhideWhenUsed/>
    <w:rsid w:val="0004048C"/>
    <w:pPr>
      <w:spacing w:after="120"/>
    </w:pPr>
  </w:style>
  <w:style w:type="character" w:customStyle="1" w:styleId="BodyTextChar">
    <w:name w:val="Body Text Char"/>
    <w:basedOn w:val="DefaultParagraphFont"/>
    <w:link w:val="BodyText"/>
    <w:uiPriority w:val="99"/>
    <w:semiHidden/>
    <w:rsid w:val="0004048C"/>
  </w:style>
  <w:style w:type="paragraph" w:styleId="BodyText2">
    <w:name w:val="Body Text 2"/>
    <w:basedOn w:val="Normal"/>
    <w:link w:val="BodyText2Char"/>
    <w:uiPriority w:val="99"/>
    <w:semiHidden/>
    <w:unhideWhenUsed/>
    <w:rsid w:val="0004048C"/>
    <w:pPr>
      <w:spacing w:after="120" w:line="480" w:lineRule="auto"/>
    </w:pPr>
  </w:style>
  <w:style w:type="character" w:customStyle="1" w:styleId="BodyText2Char">
    <w:name w:val="Body Text 2 Char"/>
    <w:basedOn w:val="DefaultParagraphFont"/>
    <w:link w:val="BodyText2"/>
    <w:uiPriority w:val="99"/>
    <w:semiHidden/>
    <w:rsid w:val="0004048C"/>
  </w:style>
  <w:style w:type="paragraph" w:styleId="BodyText3">
    <w:name w:val="Body Text 3"/>
    <w:basedOn w:val="Normal"/>
    <w:link w:val="BodyText3Char"/>
    <w:uiPriority w:val="99"/>
    <w:semiHidden/>
    <w:unhideWhenUsed/>
    <w:rsid w:val="0004048C"/>
    <w:pPr>
      <w:spacing w:after="120"/>
    </w:pPr>
    <w:rPr>
      <w:sz w:val="16"/>
      <w:szCs w:val="16"/>
    </w:rPr>
  </w:style>
  <w:style w:type="character" w:customStyle="1" w:styleId="BodyText3Char">
    <w:name w:val="Body Text 3 Char"/>
    <w:basedOn w:val="DefaultParagraphFont"/>
    <w:link w:val="BodyText3"/>
    <w:uiPriority w:val="99"/>
    <w:semiHidden/>
    <w:rsid w:val="0004048C"/>
    <w:rPr>
      <w:sz w:val="16"/>
      <w:szCs w:val="16"/>
    </w:rPr>
  </w:style>
  <w:style w:type="paragraph" w:styleId="BodyTextFirstIndent">
    <w:name w:val="Body Text First Indent"/>
    <w:basedOn w:val="BodyText"/>
    <w:link w:val="BodyTextFirstIndentChar"/>
    <w:uiPriority w:val="99"/>
    <w:semiHidden/>
    <w:unhideWhenUsed/>
    <w:rsid w:val="0004048C"/>
    <w:pPr>
      <w:spacing w:after="160"/>
      <w:ind w:firstLine="360"/>
    </w:pPr>
  </w:style>
  <w:style w:type="character" w:customStyle="1" w:styleId="BodyTextFirstIndentChar">
    <w:name w:val="Body Text First Indent Char"/>
    <w:basedOn w:val="BodyTextChar"/>
    <w:link w:val="BodyTextFirstIndent"/>
    <w:uiPriority w:val="99"/>
    <w:semiHidden/>
    <w:rsid w:val="0004048C"/>
  </w:style>
  <w:style w:type="paragraph" w:styleId="BodyTextIndent">
    <w:name w:val="Body Text Indent"/>
    <w:basedOn w:val="Normal"/>
    <w:link w:val="BodyTextIndentChar"/>
    <w:uiPriority w:val="99"/>
    <w:semiHidden/>
    <w:unhideWhenUsed/>
    <w:rsid w:val="0004048C"/>
    <w:pPr>
      <w:spacing w:after="120"/>
      <w:ind w:left="360"/>
    </w:pPr>
  </w:style>
  <w:style w:type="character" w:customStyle="1" w:styleId="BodyTextIndentChar">
    <w:name w:val="Body Text Indent Char"/>
    <w:basedOn w:val="DefaultParagraphFont"/>
    <w:link w:val="BodyTextIndent"/>
    <w:uiPriority w:val="99"/>
    <w:semiHidden/>
    <w:rsid w:val="0004048C"/>
  </w:style>
  <w:style w:type="paragraph" w:styleId="BodyTextFirstIndent2">
    <w:name w:val="Body Text First Indent 2"/>
    <w:basedOn w:val="BodyTextIndent"/>
    <w:link w:val="BodyTextFirstIndent2Char"/>
    <w:uiPriority w:val="99"/>
    <w:semiHidden/>
    <w:unhideWhenUsed/>
    <w:rsid w:val="0004048C"/>
    <w:pPr>
      <w:spacing w:after="160"/>
      <w:ind w:firstLine="360"/>
    </w:pPr>
  </w:style>
  <w:style w:type="character" w:customStyle="1" w:styleId="BodyTextFirstIndent2Char">
    <w:name w:val="Body Text First Indent 2 Char"/>
    <w:basedOn w:val="BodyTextIndentChar"/>
    <w:link w:val="BodyTextFirstIndent2"/>
    <w:uiPriority w:val="99"/>
    <w:semiHidden/>
    <w:rsid w:val="0004048C"/>
  </w:style>
  <w:style w:type="paragraph" w:styleId="BodyTextIndent2">
    <w:name w:val="Body Text Indent 2"/>
    <w:basedOn w:val="Normal"/>
    <w:link w:val="BodyTextIndent2Char"/>
    <w:uiPriority w:val="99"/>
    <w:semiHidden/>
    <w:unhideWhenUsed/>
    <w:rsid w:val="0004048C"/>
    <w:pPr>
      <w:spacing w:after="120" w:line="480" w:lineRule="auto"/>
      <w:ind w:left="360"/>
    </w:pPr>
  </w:style>
  <w:style w:type="character" w:customStyle="1" w:styleId="BodyTextIndent2Char">
    <w:name w:val="Body Text Indent 2 Char"/>
    <w:basedOn w:val="DefaultParagraphFont"/>
    <w:link w:val="BodyTextIndent2"/>
    <w:uiPriority w:val="99"/>
    <w:semiHidden/>
    <w:rsid w:val="0004048C"/>
  </w:style>
  <w:style w:type="paragraph" w:styleId="BodyTextIndent3">
    <w:name w:val="Body Text Indent 3"/>
    <w:basedOn w:val="Normal"/>
    <w:link w:val="BodyTextIndent3Char"/>
    <w:uiPriority w:val="99"/>
    <w:semiHidden/>
    <w:unhideWhenUsed/>
    <w:rsid w:val="0004048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4048C"/>
    <w:rPr>
      <w:sz w:val="16"/>
      <w:szCs w:val="16"/>
    </w:rPr>
  </w:style>
  <w:style w:type="paragraph" w:styleId="Closing">
    <w:name w:val="Closing"/>
    <w:basedOn w:val="Normal"/>
    <w:link w:val="ClosingChar"/>
    <w:uiPriority w:val="99"/>
    <w:semiHidden/>
    <w:unhideWhenUsed/>
    <w:rsid w:val="0004048C"/>
    <w:pPr>
      <w:spacing w:after="0" w:line="240" w:lineRule="auto"/>
      <w:ind w:left="4320"/>
    </w:pPr>
  </w:style>
  <w:style w:type="character" w:customStyle="1" w:styleId="ClosingChar">
    <w:name w:val="Closing Char"/>
    <w:basedOn w:val="DefaultParagraphFont"/>
    <w:link w:val="Closing"/>
    <w:uiPriority w:val="99"/>
    <w:semiHidden/>
    <w:rsid w:val="0004048C"/>
  </w:style>
  <w:style w:type="paragraph" w:styleId="CommentText">
    <w:name w:val="annotation text"/>
    <w:basedOn w:val="Normal"/>
    <w:link w:val="CommentTextChar"/>
    <w:uiPriority w:val="99"/>
    <w:semiHidden/>
    <w:unhideWhenUsed/>
    <w:rsid w:val="0004048C"/>
    <w:pPr>
      <w:spacing w:line="240" w:lineRule="auto"/>
    </w:pPr>
    <w:rPr>
      <w:sz w:val="20"/>
      <w:szCs w:val="20"/>
    </w:rPr>
  </w:style>
  <w:style w:type="character" w:customStyle="1" w:styleId="CommentTextChar">
    <w:name w:val="Comment Text Char"/>
    <w:basedOn w:val="DefaultParagraphFont"/>
    <w:link w:val="CommentText"/>
    <w:uiPriority w:val="99"/>
    <w:semiHidden/>
    <w:rsid w:val="0004048C"/>
    <w:rPr>
      <w:sz w:val="20"/>
      <w:szCs w:val="20"/>
    </w:rPr>
  </w:style>
  <w:style w:type="paragraph" w:styleId="CommentSubject">
    <w:name w:val="annotation subject"/>
    <w:basedOn w:val="CommentText"/>
    <w:next w:val="CommentText"/>
    <w:link w:val="CommentSubjectChar"/>
    <w:uiPriority w:val="99"/>
    <w:semiHidden/>
    <w:unhideWhenUsed/>
    <w:rsid w:val="0004048C"/>
    <w:rPr>
      <w:b/>
      <w:bCs/>
    </w:rPr>
  </w:style>
  <w:style w:type="character" w:customStyle="1" w:styleId="CommentSubjectChar">
    <w:name w:val="Comment Subject Char"/>
    <w:basedOn w:val="CommentTextChar"/>
    <w:link w:val="CommentSubject"/>
    <w:uiPriority w:val="99"/>
    <w:semiHidden/>
    <w:rsid w:val="0004048C"/>
    <w:rPr>
      <w:b/>
      <w:bCs/>
      <w:sz w:val="20"/>
      <w:szCs w:val="20"/>
    </w:rPr>
  </w:style>
  <w:style w:type="paragraph" w:styleId="Date">
    <w:name w:val="Date"/>
    <w:basedOn w:val="Normal"/>
    <w:next w:val="Normal"/>
    <w:link w:val="DateChar"/>
    <w:uiPriority w:val="99"/>
    <w:semiHidden/>
    <w:unhideWhenUsed/>
    <w:rsid w:val="0004048C"/>
  </w:style>
  <w:style w:type="character" w:customStyle="1" w:styleId="DateChar">
    <w:name w:val="Date Char"/>
    <w:basedOn w:val="DefaultParagraphFont"/>
    <w:link w:val="Date"/>
    <w:uiPriority w:val="99"/>
    <w:semiHidden/>
    <w:rsid w:val="0004048C"/>
  </w:style>
  <w:style w:type="paragraph" w:styleId="DocumentMap">
    <w:name w:val="Document Map"/>
    <w:basedOn w:val="Normal"/>
    <w:link w:val="DocumentMapChar"/>
    <w:uiPriority w:val="99"/>
    <w:semiHidden/>
    <w:unhideWhenUsed/>
    <w:rsid w:val="0004048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4048C"/>
    <w:rPr>
      <w:rFonts w:ascii="Segoe UI" w:hAnsi="Segoe UI" w:cs="Segoe UI"/>
      <w:sz w:val="16"/>
      <w:szCs w:val="16"/>
    </w:rPr>
  </w:style>
  <w:style w:type="paragraph" w:styleId="E-mailSignature">
    <w:name w:val="E-mail Signature"/>
    <w:basedOn w:val="Normal"/>
    <w:link w:val="E-mailSignatureChar"/>
    <w:uiPriority w:val="99"/>
    <w:semiHidden/>
    <w:unhideWhenUsed/>
    <w:rsid w:val="0004048C"/>
    <w:pPr>
      <w:spacing w:after="0" w:line="240" w:lineRule="auto"/>
    </w:pPr>
  </w:style>
  <w:style w:type="character" w:customStyle="1" w:styleId="E-mailSignatureChar">
    <w:name w:val="E-mail Signature Char"/>
    <w:basedOn w:val="DefaultParagraphFont"/>
    <w:link w:val="E-mailSignature"/>
    <w:uiPriority w:val="99"/>
    <w:semiHidden/>
    <w:rsid w:val="0004048C"/>
  </w:style>
  <w:style w:type="paragraph" w:styleId="EndnoteText">
    <w:name w:val="endnote text"/>
    <w:basedOn w:val="Normal"/>
    <w:link w:val="EndnoteTextChar"/>
    <w:uiPriority w:val="99"/>
    <w:semiHidden/>
    <w:unhideWhenUsed/>
    <w:rsid w:val="0004048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4048C"/>
    <w:rPr>
      <w:sz w:val="20"/>
      <w:szCs w:val="20"/>
    </w:rPr>
  </w:style>
  <w:style w:type="paragraph" w:styleId="EnvelopeAddress">
    <w:name w:val="envelope address"/>
    <w:basedOn w:val="Normal"/>
    <w:uiPriority w:val="99"/>
    <w:semiHidden/>
    <w:unhideWhenUsed/>
    <w:rsid w:val="0004048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4048C"/>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040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48C"/>
  </w:style>
  <w:style w:type="paragraph" w:styleId="FootnoteText">
    <w:name w:val="footnote text"/>
    <w:basedOn w:val="Normal"/>
    <w:link w:val="FootnoteTextChar"/>
    <w:uiPriority w:val="99"/>
    <w:semiHidden/>
    <w:unhideWhenUsed/>
    <w:rsid w:val="000404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48C"/>
    <w:rPr>
      <w:sz w:val="20"/>
      <w:szCs w:val="20"/>
    </w:rPr>
  </w:style>
  <w:style w:type="paragraph" w:styleId="Header">
    <w:name w:val="header"/>
    <w:basedOn w:val="Normal"/>
    <w:link w:val="HeaderChar"/>
    <w:uiPriority w:val="99"/>
    <w:unhideWhenUsed/>
    <w:rsid w:val="000404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48C"/>
  </w:style>
  <w:style w:type="paragraph" w:styleId="HTMLAddress">
    <w:name w:val="HTML Address"/>
    <w:basedOn w:val="Normal"/>
    <w:link w:val="HTMLAddressChar"/>
    <w:uiPriority w:val="99"/>
    <w:semiHidden/>
    <w:unhideWhenUsed/>
    <w:rsid w:val="0004048C"/>
    <w:pPr>
      <w:spacing w:after="0" w:line="240" w:lineRule="auto"/>
    </w:pPr>
    <w:rPr>
      <w:i/>
      <w:iCs/>
    </w:rPr>
  </w:style>
  <w:style w:type="character" w:customStyle="1" w:styleId="HTMLAddressChar">
    <w:name w:val="HTML Address Char"/>
    <w:basedOn w:val="DefaultParagraphFont"/>
    <w:link w:val="HTMLAddress"/>
    <w:uiPriority w:val="99"/>
    <w:semiHidden/>
    <w:rsid w:val="0004048C"/>
    <w:rPr>
      <w:i/>
      <w:iCs/>
    </w:rPr>
  </w:style>
  <w:style w:type="paragraph" w:styleId="HTMLPreformatted">
    <w:name w:val="HTML Preformatted"/>
    <w:basedOn w:val="Normal"/>
    <w:link w:val="HTMLPreformattedChar"/>
    <w:uiPriority w:val="99"/>
    <w:semiHidden/>
    <w:unhideWhenUsed/>
    <w:rsid w:val="0004048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4048C"/>
    <w:rPr>
      <w:rFonts w:ascii="Consolas" w:hAnsi="Consolas"/>
      <w:sz w:val="20"/>
      <w:szCs w:val="20"/>
    </w:rPr>
  </w:style>
  <w:style w:type="paragraph" w:styleId="Index1">
    <w:name w:val="index 1"/>
    <w:basedOn w:val="Normal"/>
    <w:next w:val="Normal"/>
    <w:autoRedefine/>
    <w:uiPriority w:val="99"/>
    <w:semiHidden/>
    <w:unhideWhenUsed/>
    <w:rsid w:val="0004048C"/>
    <w:pPr>
      <w:spacing w:after="0" w:line="240" w:lineRule="auto"/>
      <w:ind w:left="220" w:hanging="220"/>
    </w:pPr>
  </w:style>
  <w:style w:type="paragraph" w:styleId="Index2">
    <w:name w:val="index 2"/>
    <w:basedOn w:val="Normal"/>
    <w:next w:val="Normal"/>
    <w:autoRedefine/>
    <w:uiPriority w:val="99"/>
    <w:semiHidden/>
    <w:unhideWhenUsed/>
    <w:rsid w:val="0004048C"/>
    <w:pPr>
      <w:spacing w:after="0" w:line="240" w:lineRule="auto"/>
      <w:ind w:left="440" w:hanging="220"/>
    </w:pPr>
  </w:style>
  <w:style w:type="paragraph" w:styleId="Index3">
    <w:name w:val="index 3"/>
    <w:basedOn w:val="Normal"/>
    <w:next w:val="Normal"/>
    <w:autoRedefine/>
    <w:uiPriority w:val="99"/>
    <w:semiHidden/>
    <w:unhideWhenUsed/>
    <w:rsid w:val="0004048C"/>
    <w:pPr>
      <w:spacing w:after="0" w:line="240" w:lineRule="auto"/>
      <w:ind w:left="660" w:hanging="220"/>
    </w:pPr>
  </w:style>
  <w:style w:type="paragraph" w:styleId="Index4">
    <w:name w:val="index 4"/>
    <w:basedOn w:val="Normal"/>
    <w:next w:val="Normal"/>
    <w:autoRedefine/>
    <w:uiPriority w:val="99"/>
    <w:semiHidden/>
    <w:unhideWhenUsed/>
    <w:rsid w:val="0004048C"/>
    <w:pPr>
      <w:spacing w:after="0" w:line="240" w:lineRule="auto"/>
      <w:ind w:left="880" w:hanging="220"/>
    </w:pPr>
  </w:style>
  <w:style w:type="paragraph" w:styleId="Index5">
    <w:name w:val="index 5"/>
    <w:basedOn w:val="Normal"/>
    <w:next w:val="Normal"/>
    <w:autoRedefine/>
    <w:uiPriority w:val="99"/>
    <w:semiHidden/>
    <w:unhideWhenUsed/>
    <w:rsid w:val="0004048C"/>
    <w:pPr>
      <w:spacing w:after="0" w:line="240" w:lineRule="auto"/>
      <w:ind w:left="1100" w:hanging="220"/>
    </w:pPr>
  </w:style>
  <w:style w:type="paragraph" w:styleId="Index6">
    <w:name w:val="index 6"/>
    <w:basedOn w:val="Normal"/>
    <w:next w:val="Normal"/>
    <w:autoRedefine/>
    <w:uiPriority w:val="99"/>
    <w:semiHidden/>
    <w:unhideWhenUsed/>
    <w:rsid w:val="0004048C"/>
    <w:pPr>
      <w:spacing w:after="0" w:line="240" w:lineRule="auto"/>
      <w:ind w:left="1320" w:hanging="220"/>
    </w:pPr>
  </w:style>
  <w:style w:type="paragraph" w:styleId="Index7">
    <w:name w:val="index 7"/>
    <w:basedOn w:val="Normal"/>
    <w:next w:val="Normal"/>
    <w:autoRedefine/>
    <w:uiPriority w:val="99"/>
    <w:semiHidden/>
    <w:unhideWhenUsed/>
    <w:rsid w:val="0004048C"/>
    <w:pPr>
      <w:spacing w:after="0" w:line="240" w:lineRule="auto"/>
      <w:ind w:left="1540" w:hanging="220"/>
    </w:pPr>
  </w:style>
  <w:style w:type="paragraph" w:styleId="Index8">
    <w:name w:val="index 8"/>
    <w:basedOn w:val="Normal"/>
    <w:next w:val="Normal"/>
    <w:autoRedefine/>
    <w:uiPriority w:val="99"/>
    <w:semiHidden/>
    <w:unhideWhenUsed/>
    <w:rsid w:val="0004048C"/>
    <w:pPr>
      <w:spacing w:after="0" w:line="240" w:lineRule="auto"/>
      <w:ind w:left="1760" w:hanging="220"/>
    </w:pPr>
  </w:style>
  <w:style w:type="paragraph" w:styleId="Index9">
    <w:name w:val="index 9"/>
    <w:basedOn w:val="Normal"/>
    <w:next w:val="Normal"/>
    <w:autoRedefine/>
    <w:uiPriority w:val="99"/>
    <w:semiHidden/>
    <w:unhideWhenUsed/>
    <w:rsid w:val="0004048C"/>
    <w:pPr>
      <w:spacing w:after="0" w:line="240" w:lineRule="auto"/>
      <w:ind w:left="1980" w:hanging="220"/>
    </w:pPr>
  </w:style>
  <w:style w:type="paragraph" w:styleId="IndexHeading">
    <w:name w:val="index heading"/>
    <w:basedOn w:val="Normal"/>
    <w:next w:val="Index1"/>
    <w:uiPriority w:val="99"/>
    <w:semiHidden/>
    <w:unhideWhenUsed/>
    <w:rsid w:val="0004048C"/>
    <w:rPr>
      <w:rFonts w:asciiTheme="majorHAnsi" w:eastAsiaTheme="majorEastAsia" w:hAnsiTheme="majorHAnsi" w:cstheme="majorBidi"/>
      <w:b/>
      <w:bCs/>
    </w:rPr>
  </w:style>
  <w:style w:type="paragraph" w:styleId="List">
    <w:name w:val="List"/>
    <w:basedOn w:val="Normal"/>
    <w:uiPriority w:val="99"/>
    <w:semiHidden/>
    <w:unhideWhenUsed/>
    <w:rsid w:val="0004048C"/>
    <w:pPr>
      <w:ind w:left="360" w:hanging="360"/>
      <w:contextualSpacing/>
    </w:pPr>
  </w:style>
  <w:style w:type="paragraph" w:styleId="List2">
    <w:name w:val="List 2"/>
    <w:basedOn w:val="Normal"/>
    <w:uiPriority w:val="99"/>
    <w:semiHidden/>
    <w:unhideWhenUsed/>
    <w:rsid w:val="0004048C"/>
    <w:pPr>
      <w:ind w:left="720" w:hanging="360"/>
      <w:contextualSpacing/>
    </w:pPr>
  </w:style>
  <w:style w:type="paragraph" w:styleId="List3">
    <w:name w:val="List 3"/>
    <w:basedOn w:val="Normal"/>
    <w:uiPriority w:val="99"/>
    <w:semiHidden/>
    <w:unhideWhenUsed/>
    <w:rsid w:val="0004048C"/>
    <w:pPr>
      <w:ind w:left="1080" w:hanging="360"/>
      <w:contextualSpacing/>
    </w:pPr>
  </w:style>
  <w:style w:type="paragraph" w:styleId="List4">
    <w:name w:val="List 4"/>
    <w:basedOn w:val="Normal"/>
    <w:uiPriority w:val="99"/>
    <w:semiHidden/>
    <w:unhideWhenUsed/>
    <w:rsid w:val="0004048C"/>
    <w:pPr>
      <w:ind w:left="1440" w:hanging="360"/>
      <w:contextualSpacing/>
    </w:pPr>
  </w:style>
  <w:style w:type="paragraph" w:styleId="List5">
    <w:name w:val="List 5"/>
    <w:basedOn w:val="Normal"/>
    <w:uiPriority w:val="99"/>
    <w:semiHidden/>
    <w:unhideWhenUsed/>
    <w:rsid w:val="0004048C"/>
    <w:pPr>
      <w:ind w:left="1800" w:hanging="360"/>
      <w:contextualSpacing/>
    </w:pPr>
  </w:style>
  <w:style w:type="paragraph" w:styleId="ListBullet">
    <w:name w:val="List Bullet"/>
    <w:basedOn w:val="Normal"/>
    <w:uiPriority w:val="99"/>
    <w:semiHidden/>
    <w:unhideWhenUsed/>
    <w:rsid w:val="0004048C"/>
    <w:pPr>
      <w:numPr>
        <w:numId w:val="7"/>
      </w:numPr>
      <w:contextualSpacing/>
    </w:pPr>
  </w:style>
  <w:style w:type="paragraph" w:styleId="ListBullet2">
    <w:name w:val="List Bullet 2"/>
    <w:basedOn w:val="Normal"/>
    <w:uiPriority w:val="99"/>
    <w:semiHidden/>
    <w:unhideWhenUsed/>
    <w:rsid w:val="0004048C"/>
    <w:pPr>
      <w:numPr>
        <w:numId w:val="8"/>
      </w:numPr>
      <w:contextualSpacing/>
    </w:pPr>
  </w:style>
  <w:style w:type="paragraph" w:styleId="ListBullet3">
    <w:name w:val="List Bullet 3"/>
    <w:basedOn w:val="Normal"/>
    <w:uiPriority w:val="99"/>
    <w:semiHidden/>
    <w:unhideWhenUsed/>
    <w:rsid w:val="0004048C"/>
    <w:pPr>
      <w:numPr>
        <w:numId w:val="9"/>
      </w:numPr>
      <w:contextualSpacing/>
    </w:pPr>
  </w:style>
  <w:style w:type="paragraph" w:styleId="ListBullet4">
    <w:name w:val="List Bullet 4"/>
    <w:basedOn w:val="Normal"/>
    <w:uiPriority w:val="99"/>
    <w:semiHidden/>
    <w:unhideWhenUsed/>
    <w:rsid w:val="0004048C"/>
    <w:pPr>
      <w:numPr>
        <w:numId w:val="10"/>
      </w:numPr>
      <w:contextualSpacing/>
    </w:pPr>
  </w:style>
  <w:style w:type="paragraph" w:styleId="ListBullet5">
    <w:name w:val="List Bullet 5"/>
    <w:basedOn w:val="Normal"/>
    <w:uiPriority w:val="99"/>
    <w:semiHidden/>
    <w:unhideWhenUsed/>
    <w:rsid w:val="0004048C"/>
    <w:pPr>
      <w:numPr>
        <w:numId w:val="11"/>
      </w:numPr>
      <w:contextualSpacing/>
    </w:pPr>
  </w:style>
  <w:style w:type="paragraph" w:styleId="ListContinue">
    <w:name w:val="List Continue"/>
    <w:basedOn w:val="Normal"/>
    <w:uiPriority w:val="99"/>
    <w:semiHidden/>
    <w:unhideWhenUsed/>
    <w:rsid w:val="0004048C"/>
    <w:pPr>
      <w:spacing w:after="120"/>
      <w:ind w:left="360"/>
      <w:contextualSpacing/>
    </w:pPr>
  </w:style>
  <w:style w:type="paragraph" w:styleId="ListContinue2">
    <w:name w:val="List Continue 2"/>
    <w:basedOn w:val="Normal"/>
    <w:uiPriority w:val="99"/>
    <w:semiHidden/>
    <w:unhideWhenUsed/>
    <w:rsid w:val="0004048C"/>
    <w:pPr>
      <w:spacing w:after="120"/>
      <w:ind w:left="720"/>
      <w:contextualSpacing/>
    </w:pPr>
  </w:style>
  <w:style w:type="paragraph" w:styleId="ListContinue3">
    <w:name w:val="List Continue 3"/>
    <w:basedOn w:val="Normal"/>
    <w:uiPriority w:val="99"/>
    <w:semiHidden/>
    <w:unhideWhenUsed/>
    <w:rsid w:val="0004048C"/>
    <w:pPr>
      <w:spacing w:after="120"/>
      <w:ind w:left="1080"/>
      <w:contextualSpacing/>
    </w:pPr>
  </w:style>
  <w:style w:type="paragraph" w:styleId="ListContinue4">
    <w:name w:val="List Continue 4"/>
    <w:basedOn w:val="Normal"/>
    <w:uiPriority w:val="99"/>
    <w:semiHidden/>
    <w:unhideWhenUsed/>
    <w:rsid w:val="0004048C"/>
    <w:pPr>
      <w:spacing w:after="120"/>
      <w:ind w:left="1440"/>
      <w:contextualSpacing/>
    </w:pPr>
  </w:style>
  <w:style w:type="paragraph" w:styleId="ListContinue5">
    <w:name w:val="List Continue 5"/>
    <w:basedOn w:val="Normal"/>
    <w:uiPriority w:val="99"/>
    <w:semiHidden/>
    <w:unhideWhenUsed/>
    <w:rsid w:val="0004048C"/>
    <w:pPr>
      <w:spacing w:after="120"/>
      <w:ind w:left="1800"/>
      <w:contextualSpacing/>
    </w:pPr>
  </w:style>
  <w:style w:type="paragraph" w:styleId="ListNumber">
    <w:name w:val="List Number"/>
    <w:basedOn w:val="Normal"/>
    <w:uiPriority w:val="99"/>
    <w:semiHidden/>
    <w:unhideWhenUsed/>
    <w:rsid w:val="0004048C"/>
    <w:pPr>
      <w:numPr>
        <w:numId w:val="12"/>
      </w:numPr>
      <w:contextualSpacing/>
    </w:pPr>
  </w:style>
  <w:style w:type="paragraph" w:styleId="ListNumber2">
    <w:name w:val="List Number 2"/>
    <w:basedOn w:val="Normal"/>
    <w:uiPriority w:val="99"/>
    <w:semiHidden/>
    <w:unhideWhenUsed/>
    <w:rsid w:val="0004048C"/>
    <w:pPr>
      <w:numPr>
        <w:numId w:val="13"/>
      </w:numPr>
      <w:contextualSpacing/>
    </w:pPr>
  </w:style>
  <w:style w:type="paragraph" w:styleId="ListNumber3">
    <w:name w:val="List Number 3"/>
    <w:basedOn w:val="Normal"/>
    <w:uiPriority w:val="99"/>
    <w:semiHidden/>
    <w:unhideWhenUsed/>
    <w:rsid w:val="0004048C"/>
    <w:pPr>
      <w:numPr>
        <w:numId w:val="14"/>
      </w:numPr>
      <w:contextualSpacing/>
    </w:pPr>
  </w:style>
  <w:style w:type="paragraph" w:styleId="ListNumber4">
    <w:name w:val="List Number 4"/>
    <w:basedOn w:val="Normal"/>
    <w:uiPriority w:val="99"/>
    <w:semiHidden/>
    <w:unhideWhenUsed/>
    <w:rsid w:val="0004048C"/>
    <w:pPr>
      <w:numPr>
        <w:numId w:val="15"/>
      </w:numPr>
      <w:contextualSpacing/>
    </w:pPr>
  </w:style>
  <w:style w:type="paragraph" w:styleId="ListNumber5">
    <w:name w:val="List Number 5"/>
    <w:basedOn w:val="Normal"/>
    <w:uiPriority w:val="99"/>
    <w:semiHidden/>
    <w:unhideWhenUsed/>
    <w:rsid w:val="0004048C"/>
    <w:pPr>
      <w:numPr>
        <w:numId w:val="16"/>
      </w:numPr>
      <w:contextualSpacing/>
    </w:pPr>
  </w:style>
  <w:style w:type="paragraph" w:styleId="MacroText">
    <w:name w:val="macro"/>
    <w:link w:val="MacroTextChar"/>
    <w:uiPriority w:val="99"/>
    <w:semiHidden/>
    <w:unhideWhenUsed/>
    <w:rsid w:val="0004048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04048C"/>
    <w:rPr>
      <w:rFonts w:ascii="Consolas" w:hAnsi="Consolas"/>
      <w:sz w:val="20"/>
      <w:szCs w:val="20"/>
    </w:rPr>
  </w:style>
  <w:style w:type="paragraph" w:styleId="MessageHeader">
    <w:name w:val="Message Header"/>
    <w:basedOn w:val="Normal"/>
    <w:link w:val="MessageHeaderChar"/>
    <w:uiPriority w:val="99"/>
    <w:semiHidden/>
    <w:unhideWhenUsed/>
    <w:rsid w:val="0004048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4048C"/>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04048C"/>
    <w:pPr>
      <w:ind w:left="720"/>
    </w:pPr>
  </w:style>
  <w:style w:type="paragraph" w:styleId="NoteHeading">
    <w:name w:val="Note Heading"/>
    <w:basedOn w:val="Normal"/>
    <w:next w:val="Normal"/>
    <w:link w:val="NoteHeadingChar"/>
    <w:uiPriority w:val="99"/>
    <w:semiHidden/>
    <w:unhideWhenUsed/>
    <w:rsid w:val="0004048C"/>
    <w:pPr>
      <w:spacing w:after="0" w:line="240" w:lineRule="auto"/>
    </w:pPr>
  </w:style>
  <w:style w:type="character" w:customStyle="1" w:styleId="NoteHeadingChar">
    <w:name w:val="Note Heading Char"/>
    <w:basedOn w:val="DefaultParagraphFont"/>
    <w:link w:val="NoteHeading"/>
    <w:uiPriority w:val="99"/>
    <w:semiHidden/>
    <w:rsid w:val="0004048C"/>
  </w:style>
  <w:style w:type="paragraph" w:styleId="PlainText">
    <w:name w:val="Plain Text"/>
    <w:basedOn w:val="Normal"/>
    <w:link w:val="PlainTextChar"/>
    <w:uiPriority w:val="99"/>
    <w:semiHidden/>
    <w:unhideWhenUsed/>
    <w:rsid w:val="000404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4048C"/>
    <w:rPr>
      <w:rFonts w:ascii="Consolas" w:hAnsi="Consolas"/>
      <w:sz w:val="21"/>
      <w:szCs w:val="21"/>
    </w:rPr>
  </w:style>
  <w:style w:type="paragraph" w:styleId="Salutation">
    <w:name w:val="Salutation"/>
    <w:basedOn w:val="Normal"/>
    <w:next w:val="Normal"/>
    <w:link w:val="SalutationChar"/>
    <w:uiPriority w:val="99"/>
    <w:semiHidden/>
    <w:unhideWhenUsed/>
    <w:rsid w:val="0004048C"/>
  </w:style>
  <w:style w:type="character" w:customStyle="1" w:styleId="SalutationChar">
    <w:name w:val="Salutation Char"/>
    <w:basedOn w:val="DefaultParagraphFont"/>
    <w:link w:val="Salutation"/>
    <w:uiPriority w:val="99"/>
    <w:semiHidden/>
    <w:rsid w:val="0004048C"/>
  </w:style>
  <w:style w:type="paragraph" w:styleId="Signature">
    <w:name w:val="Signature"/>
    <w:basedOn w:val="Normal"/>
    <w:link w:val="SignatureChar"/>
    <w:uiPriority w:val="99"/>
    <w:semiHidden/>
    <w:unhideWhenUsed/>
    <w:rsid w:val="0004048C"/>
    <w:pPr>
      <w:spacing w:after="0" w:line="240" w:lineRule="auto"/>
      <w:ind w:left="4320"/>
    </w:pPr>
  </w:style>
  <w:style w:type="character" w:customStyle="1" w:styleId="SignatureChar">
    <w:name w:val="Signature Char"/>
    <w:basedOn w:val="DefaultParagraphFont"/>
    <w:link w:val="Signature"/>
    <w:uiPriority w:val="99"/>
    <w:semiHidden/>
    <w:rsid w:val="0004048C"/>
  </w:style>
  <w:style w:type="paragraph" w:styleId="TableofAuthorities">
    <w:name w:val="table of authorities"/>
    <w:basedOn w:val="Normal"/>
    <w:next w:val="Normal"/>
    <w:uiPriority w:val="99"/>
    <w:semiHidden/>
    <w:unhideWhenUsed/>
    <w:rsid w:val="0004048C"/>
    <w:pPr>
      <w:spacing w:after="0"/>
      <w:ind w:left="220" w:hanging="220"/>
    </w:pPr>
  </w:style>
  <w:style w:type="paragraph" w:styleId="TableofFigures">
    <w:name w:val="table of figures"/>
    <w:basedOn w:val="Normal"/>
    <w:next w:val="Normal"/>
    <w:uiPriority w:val="99"/>
    <w:semiHidden/>
    <w:unhideWhenUsed/>
    <w:rsid w:val="0004048C"/>
    <w:pPr>
      <w:spacing w:after="0"/>
    </w:pPr>
  </w:style>
  <w:style w:type="paragraph" w:styleId="TOAHeading">
    <w:name w:val="toa heading"/>
    <w:basedOn w:val="Normal"/>
    <w:next w:val="Normal"/>
    <w:uiPriority w:val="99"/>
    <w:semiHidden/>
    <w:unhideWhenUsed/>
    <w:rsid w:val="0004048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04048C"/>
    <w:pPr>
      <w:spacing w:after="100"/>
    </w:pPr>
  </w:style>
  <w:style w:type="paragraph" w:styleId="TOC2">
    <w:name w:val="toc 2"/>
    <w:basedOn w:val="Normal"/>
    <w:next w:val="Normal"/>
    <w:autoRedefine/>
    <w:uiPriority w:val="39"/>
    <w:semiHidden/>
    <w:unhideWhenUsed/>
    <w:rsid w:val="0004048C"/>
    <w:pPr>
      <w:spacing w:after="100"/>
      <w:ind w:left="220"/>
    </w:pPr>
  </w:style>
  <w:style w:type="paragraph" w:styleId="TOC3">
    <w:name w:val="toc 3"/>
    <w:basedOn w:val="Normal"/>
    <w:next w:val="Normal"/>
    <w:autoRedefine/>
    <w:uiPriority w:val="39"/>
    <w:semiHidden/>
    <w:unhideWhenUsed/>
    <w:rsid w:val="0004048C"/>
    <w:pPr>
      <w:spacing w:after="100"/>
      <w:ind w:left="440"/>
    </w:pPr>
  </w:style>
  <w:style w:type="paragraph" w:styleId="TOC4">
    <w:name w:val="toc 4"/>
    <w:basedOn w:val="Normal"/>
    <w:next w:val="Normal"/>
    <w:autoRedefine/>
    <w:uiPriority w:val="39"/>
    <w:semiHidden/>
    <w:unhideWhenUsed/>
    <w:rsid w:val="0004048C"/>
    <w:pPr>
      <w:spacing w:after="100"/>
      <w:ind w:left="660"/>
    </w:pPr>
  </w:style>
  <w:style w:type="paragraph" w:styleId="TOC5">
    <w:name w:val="toc 5"/>
    <w:basedOn w:val="Normal"/>
    <w:next w:val="Normal"/>
    <w:autoRedefine/>
    <w:uiPriority w:val="39"/>
    <w:semiHidden/>
    <w:unhideWhenUsed/>
    <w:rsid w:val="0004048C"/>
    <w:pPr>
      <w:spacing w:after="100"/>
      <w:ind w:left="880"/>
    </w:pPr>
  </w:style>
  <w:style w:type="paragraph" w:styleId="TOC6">
    <w:name w:val="toc 6"/>
    <w:basedOn w:val="Normal"/>
    <w:next w:val="Normal"/>
    <w:autoRedefine/>
    <w:uiPriority w:val="39"/>
    <w:semiHidden/>
    <w:unhideWhenUsed/>
    <w:rsid w:val="0004048C"/>
    <w:pPr>
      <w:spacing w:after="100"/>
      <w:ind w:left="1100"/>
    </w:pPr>
  </w:style>
  <w:style w:type="paragraph" w:styleId="TOC7">
    <w:name w:val="toc 7"/>
    <w:basedOn w:val="Normal"/>
    <w:next w:val="Normal"/>
    <w:autoRedefine/>
    <w:uiPriority w:val="39"/>
    <w:semiHidden/>
    <w:unhideWhenUsed/>
    <w:rsid w:val="0004048C"/>
    <w:pPr>
      <w:spacing w:after="100"/>
      <w:ind w:left="1320"/>
    </w:pPr>
  </w:style>
  <w:style w:type="paragraph" w:styleId="TOC8">
    <w:name w:val="toc 8"/>
    <w:basedOn w:val="Normal"/>
    <w:next w:val="Normal"/>
    <w:autoRedefine/>
    <w:uiPriority w:val="39"/>
    <w:semiHidden/>
    <w:unhideWhenUsed/>
    <w:rsid w:val="0004048C"/>
    <w:pPr>
      <w:spacing w:after="100"/>
      <w:ind w:left="1540"/>
    </w:pPr>
  </w:style>
  <w:style w:type="paragraph" w:styleId="TOC9">
    <w:name w:val="toc 9"/>
    <w:basedOn w:val="Normal"/>
    <w:next w:val="Normal"/>
    <w:autoRedefine/>
    <w:uiPriority w:val="39"/>
    <w:semiHidden/>
    <w:unhideWhenUsed/>
    <w:rsid w:val="0004048C"/>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802726615">
      <w:bodyDiv w:val="1"/>
      <w:marLeft w:val="0"/>
      <w:marRight w:val="0"/>
      <w:marTop w:val="0"/>
      <w:marBottom w:val="0"/>
      <w:divBdr>
        <w:top w:val="none" w:sz="0" w:space="0" w:color="auto"/>
        <w:left w:val="none" w:sz="0" w:space="0" w:color="auto"/>
        <w:bottom w:val="none" w:sz="0" w:space="0" w:color="auto"/>
        <w:right w:val="none" w:sz="0" w:space="0" w:color="auto"/>
      </w:divBdr>
      <w:divsChild>
        <w:div w:id="307593085">
          <w:marLeft w:val="0"/>
          <w:marRight w:val="0"/>
          <w:marTop w:val="0"/>
          <w:marBottom w:val="0"/>
          <w:divBdr>
            <w:top w:val="none" w:sz="0" w:space="0" w:color="auto"/>
            <w:left w:val="none" w:sz="0" w:space="0" w:color="auto"/>
            <w:bottom w:val="none" w:sz="0" w:space="0" w:color="auto"/>
            <w:right w:val="none" w:sz="0" w:space="0" w:color="auto"/>
          </w:divBdr>
          <w:divsChild>
            <w:div w:id="2037192249">
              <w:marLeft w:val="0"/>
              <w:marRight w:val="0"/>
              <w:marTop w:val="0"/>
              <w:marBottom w:val="120"/>
              <w:divBdr>
                <w:top w:val="none" w:sz="0" w:space="0" w:color="auto"/>
                <w:left w:val="none" w:sz="0" w:space="0" w:color="auto"/>
                <w:bottom w:val="none" w:sz="0" w:space="0" w:color="auto"/>
                <w:right w:val="none" w:sz="0" w:space="0" w:color="auto"/>
              </w:divBdr>
              <w:divsChild>
                <w:div w:id="193161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82833">
          <w:marLeft w:val="0"/>
          <w:marRight w:val="0"/>
          <w:marTop w:val="0"/>
          <w:marBottom w:val="480"/>
          <w:divBdr>
            <w:top w:val="none" w:sz="0" w:space="0" w:color="auto"/>
            <w:left w:val="none" w:sz="0" w:space="0" w:color="auto"/>
            <w:bottom w:val="single" w:sz="12" w:space="24" w:color="EBEBEB"/>
            <w:right w:val="none" w:sz="0" w:space="0" w:color="auto"/>
          </w:divBdr>
          <w:divsChild>
            <w:div w:id="921647310">
              <w:marLeft w:val="0"/>
              <w:marRight w:val="0"/>
              <w:marTop w:val="0"/>
              <w:marBottom w:val="0"/>
              <w:divBdr>
                <w:top w:val="none" w:sz="0" w:space="0" w:color="auto"/>
                <w:left w:val="none" w:sz="0" w:space="0" w:color="auto"/>
                <w:bottom w:val="none" w:sz="0" w:space="0" w:color="auto"/>
                <w:right w:val="none" w:sz="0" w:space="0" w:color="auto"/>
              </w:divBdr>
              <w:divsChild>
                <w:div w:id="1666787511">
                  <w:marLeft w:val="0"/>
                  <w:marRight w:val="0"/>
                  <w:marTop w:val="0"/>
                  <w:marBottom w:val="0"/>
                  <w:divBdr>
                    <w:top w:val="none" w:sz="0" w:space="0" w:color="auto"/>
                    <w:left w:val="none" w:sz="0" w:space="0" w:color="auto"/>
                    <w:bottom w:val="none" w:sz="0" w:space="0" w:color="auto"/>
                    <w:right w:val="none" w:sz="0" w:space="0" w:color="auto"/>
                  </w:divBdr>
                </w:div>
                <w:div w:id="2141145079">
                  <w:marLeft w:val="0"/>
                  <w:marRight w:val="0"/>
                  <w:marTop w:val="0"/>
                  <w:marBottom w:val="0"/>
                  <w:divBdr>
                    <w:top w:val="none" w:sz="0" w:space="0" w:color="auto"/>
                    <w:left w:val="none" w:sz="0" w:space="0" w:color="auto"/>
                    <w:bottom w:val="none" w:sz="0" w:space="0" w:color="auto"/>
                    <w:right w:val="none" w:sz="0" w:space="0" w:color="auto"/>
                  </w:divBdr>
                </w:div>
                <w:div w:id="1955096981">
                  <w:marLeft w:val="0"/>
                  <w:marRight w:val="0"/>
                  <w:marTop w:val="0"/>
                  <w:marBottom w:val="0"/>
                  <w:divBdr>
                    <w:top w:val="none" w:sz="0" w:space="0" w:color="auto"/>
                    <w:left w:val="none" w:sz="0" w:space="0" w:color="auto"/>
                    <w:bottom w:val="none" w:sz="0" w:space="0" w:color="auto"/>
                    <w:right w:val="none" w:sz="0" w:space="0" w:color="auto"/>
                  </w:divBdr>
                </w:div>
                <w:div w:id="42462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599523">
          <w:marLeft w:val="0"/>
          <w:marRight w:val="0"/>
          <w:marTop w:val="0"/>
          <w:marBottom w:val="0"/>
          <w:divBdr>
            <w:top w:val="none" w:sz="0" w:space="0" w:color="auto"/>
            <w:left w:val="none" w:sz="0" w:space="0" w:color="auto"/>
            <w:bottom w:val="none" w:sz="0" w:space="0" w:color="auto"/>
            <w:right w:val="none" w:sz="0" w:space="0" w:color="auto"/>
          </w:divBdr>
          <w:divsChild>
            <w:div w:id="1567765362">
              <w:marLeft w:val="0"/>
              <w:marRight w:val="0"/>
              <w:marTop w:val="0"/>
              <w:marBottom w:val="0"/>
              <w:divBdr>
                <w:top w:val="none" w:sz="0" w:space="0" w:color="auto"/>
                <w:left w:val="none" w:sz="0" w:space="0" w:color="auto"/>
                <w:bottom w:val="none" w:sz="0" w:space="0" w:color="auto"/>
                <w:right w:val="none" w:sz="0" w:space="0" w:color="auto"/>
              </w:divBdr>
              <w:divsChild>
                <w:div w:id="124010665">
                  <w:marLeft w:val="0"/>
                  <w:marRight w:val="0"/>
                  <w:marTop w:val="0"/>
                  <w:marBottom w:val="0"/>
                  <w:divBdr>
                    <w:top w:val="none" w:sz="0" w:space="0" w:color="auto"/>
                    <w:left w:val="none" w:sz="0" w:space="0" w:color="auto"/>
                    <w:bottom w:val="none" w:sz="0" w:space="0" w:color="auto"/>
                    <w:right w:val="none" w:sz="0" w:space="0" w:color="auto"/>
                  </w:divBdr>
                  <w:divsChild>
                    <w:div w:id="1480806846">
                      <w:marLeft w:val="0"/>
                      <w:marRight w:val="0"/>
                      <w:marTop w:val="240"/>
                      <w:marBottom w:val="240"/>
                      <w:divBdr>
                        <w:top w:val="single" w:sz="12" w:space="0" w:color="EBEBEB"/>
                        <w:left w:val="none" w:sz="0" w:space="0" w:color="auto"/>
                        <w:bottom w:val="single" w:sz="12" w:space="0" w:color="EBEBEB"/>
                        <w:right w:val="none" w:sz="0" w:space="0" w:color="auto"/>
                      </w:divBdr>
                      <w:divsChild>
                        <w:div w:id="1497528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922229">
                  <w:marLeft w:val="0"/>
                  <w:marRight w:val="0"/>
                  <w:marTop w:val="0"/>
                  <w:marBottom w:val="0"/>
                  <w:divBdr>
                    <w:top w:val="none" w:sz="0" w:space="0" w:color="auto"/>
                    <w:left w:val="none" w:sz="0" w:space="0" w:color="auto"/>
                    <w:bottom w:val="none" w:sz="0" w:space="0" w:color="auto"/>
                    <w:right w:val="none" w:sz="0" w:space="0" w:color="auto"/>
                  </w:divBdr>
                  <w:divsChild>
                    <w:div w:id="686491351">
                      <w:marLeft w:val="0"/>
                      <w:marRight w:val="0"/>
                      <w:marTop w:val="240"/>
                      <w:marBottom w:val="240"/>
                      <w:divBdr>
                        <w:top w:val="single" w:sz="12" w:space="0" w:color="EBEBEB"/>
                        <w:left w:val="none" w:sz="0" w:space="0" w:color="auto"/>
                        <w:bottom w:val="single" w:sz="12" w:space="0" w:color="EBEBEB"/>
                        <w:right w:val="none" w:sz="0" w:space="0" w:color="auto"/>
                      </w:divBdr>
                      <w:divsChild>
                        <w:div w:id="15245137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4708007">
                  <w:marLeft w:val="0"/>
                  <w:marRight w:val="0"/>
                  <w:marTop w:val="0"/>
                  <w:marBottom w:val="0"/>
                  <w:divBdr>
                    <w:top w:val="none" w:sz="0" w:space="0" w:color="auto"/>
                    <w:left w:val="none" w:sz="0" w:space="0" w:color="auto"/>
                    <w:bottom w:val="none" w:sz="0" w:space="0" w:color="auto"/>
                    <w:right w:val="none" w:sz="0" w:space="0" w:color="auto"/>
                  </w:divBdr>
                  <w:divsChild>
                    <w:div w:id="1042942801">
                      <w:marLeft w:val="0"/>
                      <w:marRight w:val="0"/>
                      <w:marTop w:val="240"/>
                      <w:marBottom w:val="240"/>
                      <w:divBdr>
                        <w:top w:val="single" w:sz="12" w:space="0" w:color="EBEBEB"/>
                        <w:left w:val="none" w:sz="0" w:space="0" w:color="auto"/>
                        <w:bottom w:val="single" w:sz="12" w:space="0" w:color="EBEBEB"/>
                        <w:right w:val="none" w:sz="0" w:space="0" w:color="auto"/>
                      </w:divBdr>
                      <w:divsChild>
                        <w:div w:id="12377438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3481233">
                  <w:marLeft w:val="0"/>
                  <w:marRight w:val="0"/>
                  <w:marTop w:val="0"/>
                  <w:marBottom w:val="0"/>
                  <w:divBdr>
                    <w:top w:val="none" w:sz="0" w:space="0" w:color="auto"/>
                    <w:left w:val="none" w:sz="0" w:space="0" w:color="auto"/>
                    <w:bottom w:val="none" w:sz="0" w:space="0" w:color="auto"/>
                    <w:right w:val="none" w:sz="0" w:space="0" w:color="auto"/>
                  </w:divBdr>
                  <w:divsChild>
                    <w:div w:id="841310719">
                      <w:marLeft w:val="0"/>
                      <w:marRight w:val="0"/>
                      <w:marTop w:val="240"/>
                      <w:marBottom w:val="240"/>
                      <w:divBdr>
                        <w:top w:val="single" w:sz="12" w:space="0" w:color="EBEBEB"/>
                        <w:left w:val="none" w:sz="0" w:space="0" w:color="auto"/>
                        <w:bottom w:val="single" w:sz="12" w:space="0" w:color="EBEBEB"/>
                        <w:right w:val="none" w:sz="0" w:space="0" w:color="auto"/>
                      </w:divBdr>
                      <w:divsChild>
                        <w:div w:id="764033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67725487">
                  <w:marLeft w:val="0"/>
                  <w:marRight w:val="0"/>
                  <w:marTop w:val="0"/>
                  <w:marBottom w:val="0"/>
                  <w:divBdr>
                    <w:top w:val="none" w:sz="0" w:space="0" w:color="auto"/>
                    <w:left w:val="none" w:sz="0" w:space="0" w:color="auto"/>
                    <w:bottom w:val="none" w:sz="0" w:space="0" w:color="auto"/>
                    <w:right w:val="none" w:sz="0" w:space="0" w:color="auto"/>
                  </w:divBdr>
                  <w:divsChild>
                    <w:div w:id="1514224393">
                      <w:marLeft w:val="0"/>
                      <w:marRight w:val="0"/>
                      <w:marTop w:val="240"/>
                      <w:marBottom w:val="240"/>
                      <w:divBdr>
                        <w:top w:val="single" w:sz="12" w:space="0" w:color="EBEBEB"/>
                        <w:left w:val="none" w:sz="0" w:space="0" w:color="auto"/>
                        <w:bottom w:val="single" w:sz="12" w:space="0" w:color="EBEBEB"/>
                        <w:right w:val="none" w:sz="0" w:space="0" w:color="auto"/>
                      </w:divBdr>
                      <w:divsChild>
                        <w:div w:id="505829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7049350">
                  <w:marLeft w:val="0"/>
                  <w:marRight w:val="0"/>
                  <w:marTop w:val="0"/>
                  <w:marBottom w:val="0"/>
                  <w:divBdr>
                    <w:top w:val="none" w:sz="0" w:space="0" w:color="auto"/>
                    <w:left w:val="none" w:sz="0" w:space="0" w:color="auto"/>
                    <w:bottom w:val="none" w:sz="0" w:space="0" w:color="auto"/>
                    <w:right w:val="none" w:sz="0" w:space="0" w:color="auto"/>
                  </w:divBdr>
                  <w:divsChild>
                    <w:div w:id="325860258">
                      <w:marLeft w:val="0"/>
                      <w:marRight w:val="0"/>
                      <w:marTop w:val="240"/>
                      <w:marBottom w:val="240"/>
                      <w:divBdr>
                        <w:top w:val="single" w:sz="12" w:space="0" w:color="EBEBEB"/>
                        <w:left w:val="none" w:sz="0" w:space="0" w:color="auto"/>
                        <w:bottom w:val="single" w:sz="12" w:space="0" w:color="EBEBEB"/>
                        <w:right w:val="none" w:sz="0" w:space="0" w:color="auto"/>
                      </w:divBdr>
                      <w:divsChild>
                        <w:div w:id="17003981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12957">
                  <w:marLeft w:val="0"/>
                  <w:marRight w:val="0"/>
                  <w:marTop w:val="0"/>
                  <w:marBottom w:val="0"/>
                  <w:divBdr>
                    <w:top w:val="none" w:sz="0" w:space="0" w:color="auto"/>
                    <w:left w:val="none" w:sz="0" w:space="0" w:color="auto"/>
                    <w:bottom w:val="none" w:sz="0" w:space="0" w:color="auto"/>
                    <w:right w:val="none" w:sz="0" w:space="0" w:color="auto"/>
                  </w:divBdr>
                  <w:divsChild>
                    <w:div w:id="2006011539">
                      <w:marLeft w:val="0"/>
                      <w:marRight w:val="0"/>
                      <w:marTop w:val="240"/>
                      <w:marBottom w:val="240"/>
                      <w:divBdr>
                        <w:top w:val="single" w:sz="12" w:space="0" w:color="EBEBEB"/>
                        <w:left w:val="none" w:sz="0" w:space="0" w:color="auto"/>
                        <w:bottom w:val="single" w:sz="12" w:space="0" w:color="EBEBEB"/>
                        <w:right w:val="none" w:sz="0" w:space="0" w:color="auto"/>
                      </w:divBdr>
                      <w:divsChild>
                        <w:div w:id="9438099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87201440">
                  <w:marLeft w:val="0"/>
                  <w:marRight w:val="0"/>
                  <w:marTop w:val="0"/>
                  <w:marBottom w:val="0"/>
                  <w:divBdr>
                    <w:top w:val="none" w:sz="0" w:space="0" w:color="auto"/>
                    <w:left w:val="none" w:sz="0" w:space="0" w:color="auto"/>
                    <w:bottom w:val="none" w:sz="0" w:space="0" w:color="auto"/>
                    <w:right w:val="none" w:sz="0" w:space="0" w:color="auto"/>
                  </w:divBdr>
                  <w:divsChild>
                    <w:div w:id="1673920824">
                      <w:marLeft w:val="0"/>
                      <w:marRight w:val="0"/>
                      <w:marTop w:val="240"/>
                      <w:marBottom w:val="240"/>
                      <w:divBdr>
                        <w:top w:val="single" w:sz="12" w:space="0" w:color="EBEBEB"/>
                        <w:left w:val="none" w:sz="0" w:space="0" w:color="auto"/>
                        <w:bottom w:val="single" w:sz="12" w:space="0" w:color="EBEBEB"/>
                        <w:right w:val="none" w:sz="0" w:space="0" w:color="auto"/>
                      </w:divBdr>
                      <w:divsChild>
                        <w:div w:id="20651801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07539493">
              <w:marLeft w:val="0"/>
              <w:marRight w:val="0"/>
              <w:marTop w:val="0"/>
              <w:marBottom w:val="0"/>
              <w:divBdr>
                <w:top w:val="none" w:sz="0" w:space="0" w:color="auto"/>
                <w:left w:val="none" w:sz="0" w:space="0" w:color="auto"/>
                <w:bottom w:val="none" w:sz="0" w:space="0" w:color="auto"/>
                <w:right w:val="none" w:sz="0" w:space="0" w:color="auto"/>
              </w:divBdr>
              <w:divsChild>
                <w:div w:id="1083071068">
                  <w:marLeft w:val="0"/>
                  <w:marRight w:val="0"/>
                  <w:marTop w:val="240"/>
                  <w:marBottom w:val="240"/>
                  <w:divBdr>
                    <w:top w:val="single" w:sz="12" w:space="0" w:color="EBEBEB"/>
                    <w:left w:val="none" w:sz="0" w:space="0" w:color="auto"/>
                    <w:bottom w:val="single" w:sz="12" w:space="0" w:color="EBEBEB"/>
                    <w:right w:val="none" w:sz="0" w:space="0" w:color="auto"/>
                  </w:divBdr>
                  <w:divsChild>
                    <w:div w:id="1578174019">
                      <w:marLeft w:val="0"/>
                      <w:marRight w:val="0"/>
                      <w:marTop w:val="240"/>
                      <w:marBottom w:val="240"/>
                      <w:divBdr>
                        <w:top w:val="none" w:sz="0" w:space="0" w:color="auto"/>
                        <w:left w:val="none" w:sz="0" w:space="0" w:color="auto"/>
                        <w:bottom w:val="none" w:sz="0" w:space="0" w:color="auto"/>
                        <w:right w:val="none" w:sz="0" w:space="0" w:color="auto"/>
                      </w:divBdr>
                    </w:div>
                  </w:divsChild>
                </w:div>
                <w:div w:id="1640112873">
                  <w:marLeft w:val="0"/>
                  <w:marRight w:val="0"/>
                  <w:marTop w:val="240"/>
                  <w:marBottom w:val="240"/>
                  <w:divBdr>
                    <w:top w:val="single" w:sz="12" w:space="0" w:color="EBEBEB"/>
                    <w:left w:val="none" w:sz="0" w:space="0" w:color="auto"/>
                    <w:bottom w:val="single" w:sz="12" w:space="0" w:color="EBEBEB"/>
                    <w:right w:val="none" w:sz="0" w:space="0" w:color="auto"/>
                  </w:divBdr>
                  <w:divsChild>
                    <w:div w:id="1398816661">
                      <w:marLeft w:val="0"/>
                      <w:marRight w:val="0"/>
                      <w:marTop w:val="240"/>
                      <w:marBottom w:val="240"/>
                      <w:divBdr>
                        <w:top w:val="none" w:sz="0" w:space="0" w:color="auto"/>
                        <w:left w:val="none" w:sz="0" w:space="0" w:color="auto"/>
                        <w:bottom w:val="none" w:sz="0" w:space="0" w:color="auto"/>
                        <w:right w:val="none" w:sz="0" w:space="0" w:color="auto"/>
                      </w:divBdr>
                    </w:div>
                  </w:divsChild>
                </w:div>
                <w:div w:id="1045570457">
                  <w:marLeft w:val="0"/>
                  <w:marRight w:val="0"/>
                  <w:marTop w:val="240"/>
                  <w:marBottom w:val="240"/>
                  <w:divBdr>
                    <w:top w:val="single" w:sz="12" w:space="0" w:color="EBEBEB"/>
                    <w:left w:val="none" w:sz="0" w:space="0" w:color="auto"/>
                    <w:bottom w:val="single" w:sz="12" w:space="0" w:color="EBEBEB"/>
                    <w:right w:val="none" w:sz="0" w:space="0" w:color="auto"/>
                  </w:divBdr>
                  <w:divsChild>
                    <w:div w:id="1870333280">
                      <w:marLeft w:val="0"/>
                      <w:marRight w:val="0"/>
                      <w:marTop w:val="240"/>
                      <w:marBottom w:val="240"/>
                      <w:divBdr>
                        <w:top w:val="none" w:sz="0" w:space="0" w:color="auto"/>
                        <w:left w:val="none" w:sz="0" w:space="0" w:color="auto"/>
                        <w:bottom w:val="none" w:sz="0" w:space="0" w:color="auto"/>
                        <w:right w:val="none" w:sz="0" w:space="0" w:color="auto"/>
                      </w:divBdr>
                    </w:div>
                  </w:divsChild>
                </w:div>
                <w:div w:id="91659070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08838614">
          <w:marLeft w:val="0"/>
          <w:marRight w:val="0"/>
          <w:marTop w:val="0"/>
          <w:marBottom w:val="0"/>
          <w:divBdr>
            <w:top w:val="none" w:sz="0" w:space="0" w:color="auto"/>
            <w:left w:val="none" w:sz="0" w:space="0" w:color="auto"/>
            <w:bottom w:val="none" w:sz="0" w:space="0" w:color="auto"/>
            <w:right w:val="none" w:sz="0" w:space="0" w:color="auto"/>
          </w:divBdr>
          <w:divsChild>
            <w:div w:id="702169716">
              <w:marLeft w:val="0"/>
              <w:marRight w:val="0"/>
              <w:marTop w:val="0"/>
              <w:marBottom w:val="0"/>
              <w:divBdr>
                <w:top w:val="none" w:sz="0" w:space="0" w:color="auto"/>
                <w:left w:val="none" w:sz="0" w:space="0" w:color="auto"/>
                <w:bottom w:val="none" w:sz="0" w:space="0" w:color="auto"/>
                <w:right w:val="none" w:sz="0" w:space="0" w:color="auto"/>
              </w:divBdr>
            </w:div>
            <w:div w:id="1939681642">
              <w:marLeft w:val="0"/>
              <w:marRight w:val="0"/>
              <w:marTop w:val="0"/>
              <w:marBottom w:val="0"/>
              <w:divBdr>
                <w:top w:val="none" w:sz="0" w:space="0" w:color="auto"/>
                <w:left w:val="none" w:sz="0" w:space="0" w:color="auto"/>
                <w:bottom w:val="none" w:sz="0" w:space="0" w:color="auto"/>
                <w:right w:val="none" w:sz="0" w:space="0" w:color="auto"/>
              </w:divBdr>
            </w:div>
          </w:divsChild>
        </w:div>
        <w:div w:id="1480490287">
          <w:marLeft w:val="0"/>
          <w:marRight w:val="0"/>
          <w:marTop w:val="0"/>
          <w:marBottom w:val="0"/>
          <w:divBdr>
            <w:top w:val="none" w:sz="0" w:space="0" w:color="auto"/>
            <w:left w:val="none" w:sz="0" w:space="0" w:color="auto"/>
            <w:bottom w:val="none" w:sz="0" w:space="0" w:color="auto"/>
            <w:right w:val="none" w:sz="0" w:space="0" w:color="auto"/>
          </w:divBdr>
        </w:div>
        <w:div w:id="700127891">
          <w:marLeft w:val="0"/>
          <w:marRight w:val="0"/>
          <w:marTop w:val="60"/>
          <w:marBottom w:val="0"/>
          <w:divBdr>
            <w:top w:val="none" w:sz="0" w:space="0" w:color="auto"/>
            <w:left w:val="none" w:sz="0" w:space="0" w:color="auto"/>
            <w:bottom w:val="none" w:sz="0" w:space="0" w:color="auto"/>
            <w:right w:val="none" w:sz="0" w:space="0" w:color="auto"/>
          </w:divBdr>
        </w:div>
        <w:div w:id="554586628">
          <w:marLeft w:val="0"/>
          <w:marRight w:val="0"/>
          <w:marTop w:val="0"/>
          <w:marBottom w:val="0"/>
          <w:divBdr>
            <w:top w:val="none" w:sz="0" w:space="0" w:color="auto"/>
            <w:left w:val="none" w:sz="0" w:space="0" w:color="auto"/>
            <w:bottom w:val="none" w:sz="0" w:space="0" w:color="auto"/>
            <w:right w:val="none" w:sz="0" w:space="0" w:color="auto"/>
          </w:divBdr>
          <w:divsChild>
            <w:div w:id="299845258">
              <w:marLeft w:val="0"/>
              <w:marRight w:val="0"/>
              <w:marTop w:val="0"/>
              <w:marBottom w:val="0"/>
              <w:divBdr>
                <w:top w:val="none" w:sz="0" w:space="0" w:color="auto"/>
                <w:left w:val="none" w:sz="0" w:space="0" w:color="auto"/>
                <w:bottom w:val="none" w:sz="0" w:space="0" w:color="auto"/>
                <w:right w:val="none" w:sz="0" w:space="0" w:color="auto"/>
              </w:divBdr>
            </w:div>
            <w:div w:id="761411198">
              <w:marLeft w:val="0"/>
              <w:marRight w:val="0"/>
              <w:marTop w:val="0"/>
              <w:marBottom w:val="0"/>
              <w:divBdr>
                <w:top w:val="none" w:sz="0" w:space="0" w:color="auto"/>
                <w:left w:val="none" w:sz="0" w:space="0" w:color="auto"/>
                <w:bottom w:val="none" w:sz="0" w:space="0" w:color="auto"/>
                <w:right w:val="none" w:sz="0" w:space="0" w:color="auto"/>
              </w:divBdr>
            </w:div>
          </w:divsChild>
        </w:div>
        <w:div w:id="1991127832">
          <w:marLeft w:val="0"/>
          <w:marRight w:val="0"/>
          <w:marTop w:val="0"/>
          <w:marBottom w:val="0"/>
          <w:divBdr>
            <w:top w:val="none" w:sz="0" w:space="0" w:color="auto"/>
            <w:left w:val="none" w:sz="0" w:space="0" w:color="auto"/>
            <w:bottom w:val="none" w:sz="0" w:space="0" w:color="auto"/>
            <w:right w:val="none" w:sz="0" w:space="0" w:color="auto"/>
          </w:divBdr>
        </w:div>
        <w:div w:id="1485665290">
          <w:marLeft w:val="0"/>
          <w:marRight w:val="0"/>
          <w:marTop w:val="60"/>
          <w:marBottom w:val="0"/>
          <w:divBdr>
            <w:top w:val="none" w:sz="0" w:space="0" w:color="auto"/>
            <w:left w:val="none" w:sz="0" w:space="0" w:color="auto"/>
            <w:bottom w:val="none" w:sz="0" w:space="0" w:color="auto"/>
            <w:right w:val="none" w:sz="0" w:space="0" w:color="auto"/>
          </w:divBdr>
          <w:divsChild>
            <w:div w:id="605892210">
              <w:marLeft w:val="0"/>
              <w:marRight w:val="360"/>
              <w:marTop w:val="0"/>
              <w:marBottom w:val="0"/>
              <w:divBdr>
                <w:top w:val="none" w:sz="0" w:space="0" w:color="auto"/>
                <w:left w:val="none" w:sz="0" w:space="0" w:color="auto"/>
                <w:bottom w:val="none" w:sz="0" w:space="0" w:color="auto"/>
                <w:right w:val="none" w:sz="0" w:space="0" w:color="auto"/>
              </w:divBdr>
            </w:div>
          </w:divsChild>
        </w:div>
        <w:div w:id="1936791444">
          <w:marLeft w:val="0"/>
          <w:marRight w:val="0"/>
          <w:marTop w:val="0"/>
          <w:marBottom w:val="0"/>
          <w:divBdr>
            <w:top w:val="none" w:sz="0" w:space="0" w:color="auto"/>
            <w:left w:val="none" w:sz="0" w:space="0" w:color="auto"/>
            <w:bottom w:val="none" w:sz="0" w:space="0" w:color="auto"/>
            <w:right w:val="none" w:sz="0" w:space="0" w:color="auto"/>
          </w:divBdr>
          <w:divsChild>
            <w:div w:id="1366518280">
              <w:marLeft w:val="0"/>
              <w:marRight w:val="0"/>
              <w:marTop w:val="0"/>
              <w:marBottom w:val="0"/>
              <w:divBdr>
                <w:top w:val="none" w:sz="0" w:space="0" w:color="auto"/>
                <w:left w:val="none" w:sz="0" w:space="0" w:color="auto"/>
                <w:bottom w:val="none" w:sz="0" w:space="0" w:color="auto"/>
                <w:right w:val="none" w:sz="0" w:space="0" w:color="auto"/>
              </w:divBdr>
            </w:div>
            <w:div w:id="1800145336">
              <w:marLeft w:val="0"/>
              <w:marRight w:val="0"/>
              <w:marTop w:val="0"/>
              <w:marBottom w:val="0"/>
              <w:divBdr>
                <w:top w:val="none" w:sz="0" w:space="0" w:color="auto"/>
                <w:left w:val="none" w:sz="0" w:space="0" w:color="auto"/>
                <w:bottom w:val="none" w:sz="0" w:space="0" w:color="auto"/>
                <w:right w:val="none" w:sz="0" w:space="0" w:color="auto"/>
              </w:divBdr>
            </w:div>
          </w:divsChild>
        </w:div>
        <w:div w:id="634799040">
          <w:marLeft w:val="0"/>
          <w:marRight w:val="0"/>
          <w:marTop w:val="0"/>
          <w:marBottom w:val="0"/>
          <w:divBdr>
            <w:top w:val="none" w:sz="0" w:space="0" w:color="auto"/>
            <w:left w:val="none" w:sz="0" w:space="0" w:color="auto"/>
            <w:bottom w:val="none" w:sz="0" w:space="0" w:color="auto"/>
            <w:right w:val="none" w:sz="0" w:space="0" w:color="auto"/>
          </w:divBdr>
        </w:div>
        <w:div w:id="656611227">
          <w:marLeft w:val="0"/>
          <w:marRight w:val="0"/>
          <w:marTop w:val="60"/>
          <w:marBottom w:val="0"/>
          <w:divBdr>
            <w:top w:val="none" w:sz="0" w:space="0" w:color="auto"/>
            <w:left w:val="none" w:sz="0" w:space="0" w:color="auto"/>
            <w:bottom w:val="none" w:sz="0" w:space="0" w:color="auto"/>
            <w:right w:val="none" w:sz="0" w:space="0" w:color="auto"/>
          </w:divBdr>
        </w:div>
        <w:div w:id="1338534050">
          <w:marLeft w:val="0"/>
          <w:marRight w:val="0"/>
          <w:marTop w:val="0"/>
          <w:marBottom w:val="0"/>
          <w:divBdr>
            <w:top w:val="none" w:sz="0" w:space="0" w:color="auto"/>
            <w:left w:val="none" w:sz="0" w:space="0" w:color="auto"/>
            <w:bottom w:val="none" w:sz="0" w:space="0" w:color="auto"/>
            <w:right w:val="none" w:sz="0" w:space="0" w:color="auto"/>
          </w:divBdr>
          <w:divsChild>
            <w:div w:id="561142492">
              <w:marLeft w:val="0"/>
              <w:marRight w:val="0"/>
              <w:marTop w:val="0"/>
              <w:marBottom w:val="0"/>
              <w:divBdr>
                <w:top w:val="none" w:sz="0" w:space="0" w:color="auto"/>
                <w:left w:val="none" w:sz="0" w:space="0" w:color="auto"/>
                <w:bottom w:val="none" w:sz="0" w:space="0" w:color="auto"/>
                <w:right w:val="none" w:sz="0" w:space="0" w:color="auto"/>
              </w:divBdr>
            </w:div>
            <w:div w:id="1106077108">
              <w:marLeft w:val="0"/>
              <w:marRight w:val="0"/>
              <w:marTop w:val="0"/>
              <w:marBottom w:val="0"/>
              <w:divBdr>
                <w:top w:val="none" w:sz="0" w:space="0" w:color="auto"/>
                <w:left w:val="none" w:sz="0" w:space="0" w:color="auto"/>
                <w:bottom w:val="none" w:sz="0" w:space="0" w:color="auto"/>
                <w:right w:val="none" w:sz="0" w:space="0" w:color="auto"/>
              </w:divBdr>
            </w:div>
          </w:divsChild>
        </w:div>
        <w:div w:id="945506477">
          <w:marLeft w:val="0"/>
          <w:marRight w:val="0"/>
          <w:marTop w:val="0"/>
          <w:marBottom w:val="0"/>
          <w:divBdr>
            <w:top w:val="none" w:sz="0" w:space="0" w:color="auto"/>
            <w:left w:val="none" w:sz="0" w:space="0" w:color="auto"/>
            <w:bottom w:val="none" w:sz="0" w:space="0" w:color="auto"/>
            <w:right w:val="none" w:sz="0" w:space="0" w:color="auto"/>
          </w:divBdr>
        </w:div>
        <w:div w:id="1051341727">
          <w:marLeft w:val="0"/>
          <w:marRight w:val="0"/>
          <w:marTop w:val="60"/>
          <w:marBottom w:val="0"/>
          <w:divBdr>
            <w:top w:val="none" w:sz="0" w:space="0" w:color="auto"/>
            <w:left w:val="none" w:sz="0" w:space="0" w:color="auto"/>
            <w:bottom w:val="none" w:sz="0" w:space="0" w:color="auto"/>
            <w:right w:val="none" w:sz="0" w:space="0" w:color="auto"/>
          </w:divBdr>
          <w:divsChild>
            <w:div w:id="742532824">
              <w:marLeft w:val="0"/>
              <w:marRight w:val="360"/>
              <w:marTop w:val="0"/>
              <w:marBottom w:val="0"/>
              <w:divBdr>
                <w:top w:val="none" w:sz="0" w:space="0" w:color="auto"/>
                <w:left w:val="none" w:sz="0" w:space="0" w:color="auto"/>
                <w:bottom w:val="none" w:sz="0" w:space="0" w:color="auto"/>
                <w:right w:val="none" w:sz="0" w:space="0" w:color="auto"/>
              </w:divBdr>
            </w:div>
          </w:divsChild>
        </w:div>
        <w:div w:id="1778014978">
          <w:marLeft w:val="0"/>
          <w:marRight w:val="0"/>
          <w:marTop w:val="0"/>
          <w:marBottom w:val="0"/>
          <w:divBdr>
            <w:top w:val="none" w:sz="0" w:space="0" w:color="auto"/>
            <w:left w:val="none" w:sz="0" w:space="0" w:color="auto"/>
            <w:bottom w:val="none" w:sz="0" w:space="0" w:color="auto"/>
            <w:right w:val="none" w:sz="0" w:space="0" w:color="auto"/>
          </w:divBdr>
          <w:divsChild>
            <w:div w:id="1704868464">
              <w:marLeft w:val="0"/>
              <w:marRight w:val="0"/>
              <w:marTop w:val="0"/>
              <w:marBottom w:val="0"/>
              <w:divBdr>
                <w:top w:val="none" w:sz="0" w:space="0" w:color="auto"/>
                <w:left w:val="none" w:sz="0" w:space="0" w:color="auto"/>
                <w:bottom w:val="none" w:sz="0" w:space="0" w:color="auto"/>
                <w:right w:val="none" w:sz="0" w:space="0" w:color="auto"/>
              </w:divBdr>
            </w:div>
            <w:div w:id="1760058938">
              <w:marLeft w:val="0"/>
              <w:marRight w:val="0"/>
              <w:marTop w:val="0"/>
              <w:marBottom w:val="0"/>
              <w:divBdr>
                <w:top w:val="none" w:sz="0" w:space="0" w:color="auto"/>
                <w:left w:val="none" w:sz="0" w:space="0" w:color="auto"/>
                <w:bottom w:val="none" w:sz="0" w:space="0" w:color="auto"/>
                <w:right w:val="none" w:sz="0" w:space="0" w:color="auto"/>
              </w:divBdr>
            </w:div>
          </w:divsChild>
        </w:div>
        <w:div w:id="2113235537">
          <w:marLeft w:val="0"/>
          <w:marRight w:val="0"/>
          <w:marTop w:val="0"/>
          <w:marBottom w:val="0"/>
          <w:divBdr>
            <w:top w:val="none" w:sz="0" w:space="0" w:color="auto"/>
            <w:left w:val="none" w:sz="0" w:space="0" w:color="auto"/>
            <w:bottom w:val="none" w:sz="0" w:space="0" w:color="auto"/>
            <w:right w:val="none" w:sz="0" w:space="0" w:color="auto"/>
          </w:divBdr>
        </w:div>
        <w:div w:id="1311519099">
          <w:marLeft w:val="0"/>
          <w:marRight w:val="0"/>
          <w:marTop w:val="60"/>
          <w:marBottom w:val="0"/>
          <w:divBdr>
            <w:top w:val="none" w:sz="0" w:space="0" w:color="auto"/>
            <w:left w:val="none" w:sz="0" w:space="0" w:color="auto"/>
            <w:bottom w:val="none" w:sz="0" w:space="0" w:color="auto"/>
            <w:right w:val="none" w:sz="0" w:space="0" w:color="auto"/>
          </w:divBdr>
        </w:div>
        <w:div w:id="883057213">
          <w:marLeft w:val="0"/>
          <w:marRight w:val="0"/>
          <w:marTop w:val="0"/>
          <w:marBottom w:val="0"/>
          <w:divBdr>
            <w:top w:val="none" w:sz="0" w:space="0" w:color="auto"/>
            <w:left w:val="none" w:sz="0" w:space="0" w:color="auto"/>
            <w:bottom w:val="none" w:sz="0" w:space="0" w:color="auto"/>
            <w:right w:val="none" w:sz="0" w:space="0" w:color="auto"/>
          </w:divBdr>
          <w:divsChild>
            <w:div w:id="1103500028">
              <w:marLeft w:val="0"/>
              <w:marRight w:val="0"/>
              <w:marTop w:val="0"/>
              <w:marBottom w:val="0"/>
              <w:divBdr>
                <w:top w:val="none" w:sz="0" w:space="0" w:color="auto"/>
                <w:left w:val="none" w:sz="0" w:space="0" w:color="auto"/>
                <w:bottom w:val="none" w:sz="0" w:space="0" w:color="auto"/>
                <w:right w:val="none" w:sz="0" w:space="0" w:color="auto"/>
              </w:divBdr>
            </w:div>
            <w:div w:id="1715541088">
              <w:marLeft w:val="0"/>
              <w:marRight w:val="0"/>
              <w:marTop w:val="0"/>
              <w:marBottom w:val="0"/>
              <w:divBdr>
                <w:top w:val="none" w:sz="0" w:space="0" w:color="auto"/>
                <w:left w:val="none" w:sz="0" w:space="0" w:color="auto"/>
                <w:bottom w:val="none" w:sz="0" w:space="0" w:color="auto"/>
                <w:right w:val="none" w:sz="0" w:space="0" w:color="auto"/>
              </w:divBdr>
            </w:div>
          </w:divsChild>
        </w:div>
        <w:div w:id="1593271738">
          <w:marLeft w:val="0"/>
          <w:marRight w:val="0"/>
          <w:marTop w:val="0"/>
          <w:marBottom w:val="0"/>
          <w:divBdr>
            <w:top w:val="none" w:sz="0" w:space="0" w:color="auto"/>
            <w:left w:val="none" w:sz="0" w:space="0" w:color="auto"/>
            <w:bottom w:val="none" w:sz="0" w:space="0" w:color="auto"/>
            <w:right w:val="none" w:sz="0" w:space="0" w:color="auto"/>
          </w:divBdr>
        </w:div>
        <w:div w:id="1207717064">
          <w:marLeft w:val="0"/>
          <w:marRight w:val="0"/>
          <w:marTop w:val="60"/>
          <w:marBottom w:val="0"/>
          <w:divBdr>
            <w:top w:val="none" w:sz="0" w:space="0" w:color="auto"/>
            <w:left w:val="none" w:sz="0" w:space="0" w:color="auto"/>
            <w:bottom w:val="none" w:sz="0" w:space="0" w:color="auto"/>
            <w:right w:val="none" w:sz="0" w:space="0" w:color="auto"/>
          </w:divBdr>
        </w:div>
        <w:div w:id="1865708249">
          <w:marLeft w:val="0"/>
          <w:marRight w:val="0"/>
          <w:marTop w:val="0"/>
          <w:marBottom w:val="0"/>
          <w:divBdr>
            <w:top w:val="none" w:sz="0" w:space="0" w:color="auto"/>
            <w:left w:val="none" w:sz="0" w:space="0" w:color="auto"/>
            <w:bottom w:val="none" w:sz="0" w:space="0" w:color="auto"/>
            <w:right w:val="none" w:sz="0" w:space="0" w:color="auto"/>
          </w:divBdr>
          <w:divsChild>
            <w:div w:id="1011377722">
              <w:marLeft w:val="0"/>
              <w:marRight w:val="0"/>
              <w:marTop w:val="0"/>
              <w:marBottom w:val="0"/>
              <w:divBdr>
                <w:top w:val="none" w:sz="0" w:space="0" w:color="auto"/>
                <w:left w:val="none" w:sz="0" w:space="0" w:color="auto"/>
                <w:bottom w:val="none" w:sz="0" w:space="0" w:color="auto"/>
                <w:right w:val="none" w:sz="0" w:space="0" w:color="auto"/>
              </w:divBdr>
            </w:div>
            <w:div w:id="1993635854">
              <w:marLeft w:val="0"/>
              <w:marRight w:val="0"/>
              <w:marTop w:val="0"/>
              <w:marBottom w:val="0"/>
              <w:divBdr>
                <w:top w:val="none" w:sz="0" w:space="0" w:color="auto"/>
                <w:left w:val="none" w:sz="0" w:space="0" w:color="auto"/>
                <w:bottom w:val="none" w:sz="0" w:space="0" w:color="auto"/>
                <w:right w:val="none" w:sz="0" w:space="0" w:color="auto"/>
              </w:divBdr>
            </w:div>
          </w:divsChild>
        </w:div>
        <w:div w:id="647127989">
          <w:marLeft w:val="0"/>
          <w:marRight w:val="0"/>
          <w:marTop w:val="0"/>
          <w:marBottom w:val="0"/>
          <w:divBdr>
            <w:top w:val="none" w:sz="0" w:space="0" w:color="auto"/>
            <w:left w:val="none" w:sz="0" w:space="0" w:color="auto"/>
            <w:bottom w:val="none" w:sz="0" w:space="0" w:color="auto"/>
            <w:right w:val="none" w:sz="0" w:space="0" w:color="auto"/>
          </w:divBdr>
        </w:div>
        <w:div w:id="1318874648">
          <w:marLeft w:val="0"/>
          <w:marRight w:val="0"/>
          <w:marTop w:val="60"/>
          <w:marBottom w:val="0"/>
          <w:divBdr>
            <w:top w:val="none" w:sz="0" w:space="0" w:color="auto"/>
            <w:left w:val="none" w:sz="0" w:space="0" w:color="auto"/>
            <w:bottom w:val="none" w:sz="0" w:space="0" w:color="auto"/>
            <w:right w:val="none" w:sz="0" w:space="0" w:color="auto"/>
          </w:divBdr>
        </w:div>
        <w:div w:id="365299681">
          <w:marLeft w:val="0"/>
          <w:marRight w:val="0"/>
          <w:marTop w:val="0"/>
          <w:marBottom w:val="0"/>
          <w:divBdr>
            <w:top w:val="none" w:sz="0" w:space="0" w:color="auto"/>
            <w:left w:val="none" w:sz="0" w:space="0" w:color="auto"/>
            <w:bottom w:val="none" w:sz="0" w:space="0" w:color="auto"/>
            <w:right w:val="none" w:sz="0" w:space="0" w:color="auto"/>
          </w:divBdr>
          <w:divsChild>
            <w:div w:id="682708990">
              <w:marLeft w:val="0"/>
              <w:marRight w:val="0"/>
              <w:marTop w:val="0"/>
              <w:marBottom w:val="0"/>
              <w:divBdr>
                <w:top w:val="none" w:sz="0" w:space="0" w:color="auto"/>
                <w:left w:val="none" w:sz="0" w:space="0" w:color="auto"/>
                <w:bottom w:val="none" w:sz="0" w:space="0" w:color="auto"/>
                <w:right w:val="none" w:sz="0" w:space="0" w:color="auto"/>
              </w:divBdr>
            </w:div>
            <w:div w:id="1662343271">
              <w:marLeft w:val="0"/>
              <w:marRight w:val="0"/>
              <w:marTop w:val="0"/>
              <w:marBottom w:val="0"/>
              <w:divBdr>
                <w:top w:val="none" w:sz="0" w:space="0" w:color="auto"/>
                <w:left w:val="none" w:sz="0" w:space="0" w:color="auto"/>
                <w:bottom w:val="none" w:sz="0" w:space="0" w:color="auto"/>
                <w:right w:val="none" w:sz="0" w:space="0" w:color="auto"/>
              </w:divBdr>
            </w:div>
          </w:divsChild>
        </w:div>
        <w:div w:id="1370032317">
          <w:marLeft w:val="0"/>
          <w:marRight w:val="0"/>
          <w:marTop w:val="0"/>
          <w:marBottom w:val="0"/>
          <w:divBdr>
            <w:top w:val="none" w:sz="0" w:space="0" w:color="auto"/>
            <w:left w:val="none" w:sz="0" w:space="0" w:color="auto"/>
            <w:bottom w:val="none" w:sz="0" w:space="0" w:color="auto"/>
            <w:right w:val="none" w:sz="0" w:space="0" w:color="auto"/>
          </w:divBdr>
        </w:div>
        <w:div w:id="1383598739">
          <w:marLeft w:val="0"/>
          <w:marRight w:val="0"/>
          <w:marTop w:val="60"/>
          <w:marBottom w:val="0"/>
          <w:divBdr>
            <w:top w:val="none" w:sz="0" w:space="0" w:color="auto"/>
            <w:left w:val="none" w:sz="0" w:space="0" w:color="auto"/>
            <w:bottom w:val="none" w:sz="0" w:space="0" w:color="auto"/>
            <w:right w:val="none" w:sz="0" w:space="0" w:color="auto"/>
          </w:divBdr>
        </w:div>
        <w:div w:id="728453132">
          <w:marLeft w:val="0"/>
          <w:marRight w:val="0"/>
          <w:marTop w:val="0"/>
          <w:marBottom w:val="0"/>
          <w:divBdr>
            <w:top w:val="none" w:sz="0" w:space="0" w:color="auto"/>
            <w:left w:val="none" w:sz="0" w:space="0" w:color="auto"/>
            <w:bottom w:val="none" w:sz="0" w:space="0" w:color="auto"/>
            <w:right w:val="none" w:sz="0" w:space="0" w:color="auto"/>
          </w:divBdr>
          <w:divsChild>
            <w:div w:id="619150066">
              <w:marLeft w:val="0"/>
              <w:marRight w:val="0"/>
              <w:marTop w:val="0"/>
              <w:marBottom w:val="0"/>
              <w:divBdr>
                <w:top w:val="none" w:sz="0" w:space="0" w:color="auto"/>
                <w:left w:val="none" w:sz="0" w:space="0" w:color="auto"/>
                <w:bottom w:val="none" w:sz="0" w:space="0" w:color="auto"/>
                <w:right w:val="none" w:sz="0" w:space="0" w:color="auto"/>
              </w:divBdr>
            </w:div>
            <w:div w:id="843016537">
              <w:marLeft w:val="0"/>
              <w:marRight w:val="0"/>
              <w:marTop w:val="0"/>
              <w:marBottom w:val="0"/>
              <w:divBdr>
                <w:top w:val="none" w:sz="0" w:space="0" w:color="auto"/>
                <w:left w:val="none" w:sz="0" w:space="0" w:color="auto"/>
                <w:bottom w:val="none" w:sz="0" w:space="0" w:color="auto"/>
                <w:right w:val="none" w:sz="0" w:space="0" w:color="auto"/>
              </w:divBdr>
            </w:div>
          </w:divsChild>
        </w:div>
        <w:div w:id="1786190980">
          <w:marLeft w:val="0"/>
          <w:marRight w:val="0"/>
          <w:marTop w:val="0"/>
          <w:marBottom w:val="0"/>
          <w:divBdr>
            <w:top w:val="none" w:sz="0" w:space="0" w:color="auto"/>
            <w:left w:val="none" w:sz="0" w:space="0" w:color="auto"/>
            <w:bottom w:val="none" w:sz="0" w:space="0" w:color="auto"/>
            <w:right w:val="none" w:sz="0" w:space="0" w:color="auto"/>
          </w:divBdr>
        </w:div>
        <w:div w:id="2100641840">
          <w:marLeft w:val="0"/>
          <w:marRight w:val="0"/>
          <w:marTop w:val="60"/>
          <w:marBottom w:val="0"/>
          <w:divBdr>
            <w:top w:val="none" w:sz="0" w:space="0" w:color="auto"/>
            <w:left w:val="none" w:sz="0" w:space="0" w:color="auto"/>
            <w:bottom w:val="none" w:sz="0" w:space="0" w:color="auto"/>
            <w:right w:val="none" w:sz="0" w:space="0" w:color="auto"/>
          </w:divBdr>
        </w:div>
        <w:div w:id="1368867595">
          <w:marLeft w:val="0"/>
          <w:marRight w:val="0"/>
          <w:marTop w:val="0"/>
          <w:marBottom w:val="0"/>
          <w:divBdr>
            <w:top w:val="none" w:sz="0" w:space="0" w:color="auto"/>
            <w:left w:val="none" w:sz="0" w:space="0" w:color="auto"/>
            <w:bottom w:val="none" w:sz="0" w:space="0" w:color="auto"/>
            <w:right w:val="none" w:sz="0" w:space="0" w:color="auto"/>
          </w:divBdr>
          <w:divsChild>
            <w:div w:id="2037391677">
              <w:marLeft w:val="0"/>
              <w:marRight w:val="0"/>
              <w:marTop w:val="0"/>
              <w:marBottom w:val="0"/>
              <w:divBdr>
                <w:top w:val="none" w:sz="0" w:space="0" w:color="auto"/>
                <w:left w:val="none" w:sz="0" w:space="0" w:color="auto"/>
                <w:bottom w:val="none" w:sz="0" w:space="0" w:color="auto"/>
                <w:right w:val="none" w:sz="0" w:space="0" w:color="auto"/>
              </w:divBdr>
            </w:div>
            <w:div w:id="546986202">
              <w:marLeft w:val="0"/>
              <w:marRight w:val="0"/>
              <w:marTop w:val="0"/>
              <w:marBottom w:val="0"/>
              <w:divBdr>
                <w:top w:val="none" w:sz="0" w:space="0" w:color="auto"/>
                <w:left w:val="none" w:sz="0" w:space="0" w:color="auto"/>
                <w:bottom w:val="none" w:sz="0" w:space="0" w:color="auto"/>
                <w:right w:val="none" w:sz="0" w:space="0" w:color="auto"/>
              </w:divBdr>
            </w:div>
          </w:divsChild>
        </w:div>
        <w:div w:id="440875659">
          <w:marLeft w:val="0"/>
          <w:marRight w:val="0"/>
          <w:marTop w:val="0"/>
          <w:marBottom w:val="0"/>
          <w:divBdr>
            <w:top w:val="none" w:sz="0" w:space="0" w:color="auto"/>
            <w:left w:val="none" w:sz="0" w:space="0" w:color="auto"/>
            <w:bottom w:val="none" w:sz="0" w:space="0" w:color="auto"/>
            <w:right w:val="none" w:sz="0" w:space="0" w:color="auto"/>
          </w:divBdr>
        </w:div>
        <w:div w:id="111636678">
          <w:marLeft w:val="0"/>
          <w:marRight w:val="0"/>
          <w:marTop w:val="60"/>
          <w:marBottom w:val="0"/>
          <w:divBdr>
            <w:top w:val="none" w:sz="0" w:space="0" w:color="auto"/>
            <w:left w:val="none" w:sz="0" w:space="0" w:color="auto"/>
            <w:bottom w:val="none" w:sz="0" w:space="0" w:color="auto"/>
            <w:right w:val="none" w:sz="0" w:space="0" w:color="auto"/>
          </w:divBdr>
        </w:div>
        <w:div w:id="1230578192">
          <w:marLeft w:val="0"/>
          <w:marRight w:val="0"/>
          <w:marTop w:val="0"/>
          <w:marBottom w:val="0"/>
          <w:divBdr>
            <w:top w:val="none" w:sz="0" w:space="0" w:color="auto"/>
            <w:left w:val="none" w:sz="0" w:space="0" w:color="auto"/>
            <w:bottom w:val="none" w:sz="0" w:space="0" w:color="auto"/>
            <w:right w:val="none" w:sz="0" w:space="0" w:color="auto"/>
          </w:divBdr>
          <w:divsChild>
            <w:div w:id="170335980">
              <w:marLeft w:val="0"/>
              <w:marRight w:val="0"/>
              <w:marTop w:val="0"/>
              <w:marBottom w:val="0"/>
              <w:divBdr>
                <w:top w:val="none" w:sz="0" w:space="0" w:color="auto"/>
                <w:left w:val="none" w:sz="0" w:space="0" w:color="auto"/>
                <w:bottom w:val="none" w:sz="0" w:space="0" w:color="auto"/>
                <w:right w:val="none" w:sz="0" w:space="0" w:color="auto"/>
              </w:divBdr>
            </w:div>
            <w:div w:id="1584794850">
              <w:marLeft w:val="0"/>
              <w:marRight w:val="0"/>
              <w:marTop w:val="0"/>
              <w:marBottom w:val="0"/>
              <w:divBdr>
                <w:top w:val="none" w:sz="0" w:space="0" w:color="auto"/>
                <w:left w:val="none" w:sz="0" w:space="0" w:color="auto"/>
                <w:bottom w:val="none" w:sz="0" w:space="0" w:color="auto"/>
                <w:right w:val="none" w:sz="0" w:space="0" w:color="auto"/>
              </w:divBdr>
            </w:div>
          </w:divsChild>
        </w:div>
        <w:div w:id="1190072505">
          <w:marLeft w:val="0"/>
          <w:marRight w:val="0"/>
          <w:marTop w:val="0"/>
          <w:marBottom w:val="0"/>
          <w:divBdr>
            <w:top w:val="none" w:sz="0" w:space="0" w:color="auto"/>
            <w:left w:val="none" w:sz="0" w:space="0" w:color="auto"/>
            <w:bottom w:val="none" w:sz="0" w:space="0" w:color="auto"/>
            <w:right w:val="none" w:sz="0" w:space="0" w:color="auto"/>
          </w:divBdr>
        </w:div>
        <w:div w:id="478501923">
          <w:marLeft w:val="0"/>
          <w:marRight w:val="0"/>
          <w:marTop w:val="0"/>
          <w:marBottom w:val="0"/>
          <w:divBdr>
            <w:top w:val="none" w:sz="0" w:space="0" w:color="auto"/>
            <w:left w:val="none" w:sz="0" w:space="0" w:color="auto"/>
            <w:bottom w:val="none" w:sz="0" w:space="0" w:color="auto"/>
            <w:right w:val="none" w:sz="0" w:space="0" w:color="auto"/>
          </w:divBdr>
        </w:div>
        <w:div w:id="1453785167">
          <w:marLeft w:val="0"/>
          <w:marRight w:val="0"/>
          <w:marTop w:val="60"/>
          <w:marBottom w:val="0"/>
          <w:divBdr>
            <w:top w:val="none" w:sz="0" w:space="0" w:color="auto"/>
            <w:left w:val="none" w:sz="0" w:space="0" w:color="auto"/>
            <w:bottom w:val="none" w:sz="0" w:space="0" w:color="auto"/>
            <w:right w:val="none" w:sz="0" w:space="0" w:color="auto"/>
          </w:divBdr>
        </w:div>
        <w:div w:id="93400164">
          <w:marLeft w:val="0"/>
          <w:marRight w:val="0"/>
          <w:marTop w:val="0"/>
          <w:marBottom w:val="0"/>
          <w:divBdr>
            <w:top w:val="none" w:sz="0" w:space="0" w:color="auto"/>
            <w:left w:val="none" w:sz="0" w:space="0" w:color="auto"/>
            <w:bottom w:val="none" w:sz="0" w:space="0" w:color="auto"/>
            <w:right w:val="none" w:sz="0" w:space="0" w:color="auto"/>
          </w:divBdr>
          <w:divsChild>
            <w:div w:id="1775708087">
              <w:marLeft w:val="0"/>
              <w:marRight w:val="0"/>
              <w:marTop w:val="0"/>
              <w:marBottom w:val="0"/>
              <w:divBdr>
                <w:top w:val="none" w:sz="0" w:space="0" w:color="auto"/>
                <w:left w:val="none" w:sz="0" w:space="0" w:color="auto"/>
                <w:bottom w:val="none" w:sz="0" w:space="0" w:color="auto"/>
                <w:right w:val="none" w:sz="0" w:space="0" w:color="auto"/>
              </w:divBdr>
            </w:div>
            <w:div w:id="518737368">
              <w:marLeft w:val="0"/>
              <w:marRight w:val="0"/>
              <w:marTop w:val="0"/>
              <w:marBottom w:val="0"/>
              <w:divBdr>
                <w:top w:val="none" w:sz="0" w:space="0" w:color="auto"/>
                <w:left w:val="none" w:sz="0" w:space="0" w:color="auto"/>
                <w:bottom w:val="none" w:sz="0" w:space="0" w:color="auto"/>
                <w:right w:val="none" w:sz="0" w:space="0" w:color="auto"/>
              </w:divBdr>
            </w:div>
          </w:divsChild>
        </w:div>
        <w:div w:id="183446668">
          <w:marLeft w:val="0"/>
          <w:marRight w:val="0"/>
          <w:marTop w:val="0"/>
          <w:marBottom w:val="0"/>
          <w:divBdr>
            <w:top w:val="none" w:sz="0" w:space="0" w:color="auto"/>
            <w:left w:val="none" w:sz="0" w:space="0" w:color="auto"/>
            <w:bottom w:val="none" w:sz="0" w:space="0" w:color="auto"/>
            <w:right w:val="none" w:sz="0" w:space="0" w:color="auto"/>
          </w:divBdr>
        </w:div>
        <w:div w:id="1523124307">
          <w:marLeft w:val="0"/>
          <w:marRight w:val="0"/>
          <w:marTop w:val="60"/>
          <w:marBottom w:val="0"/>
          <w:divBdr>
            <w:top w:val="none" w:sz="0" w:space="0" w:color="auto"/>
            <w:left w:val="none" w:sz="0" w:space="0" w:color="auto"/>
            <w:bottom w:val="none" w:sz="0" w:space="0" w:color="auto"/>
            <w:right w:val="none" w:sz="0" w:space="0" w:color="auto"/>
          </w:divBdr>
          <w:divsChild>
            <w:div w:id="274600243">
              <w:marLeft w:val="0"/>
              <w:marRight w:val="360"/>
              <w:marTop w:val="0"/>
              <w:marBottom w:val="0"/>
              <w:divBdr>
                <w:top w:val="none" w:sz="0" w:space="0" w:color="auto"/>
                <w:left w:val="none" w:sz="0" w:space="0" w:color="auto"/>
                <w:bottom w:val="none" w:sz="0" w:space="0" w:color="auto"/>
                <w:right w:val="none" w:sz="0" w:space="0" w:color="auto"/>
              </w:divBdr>
            </w:div>
          </w:divsChild>
        </w:div>
        <w:div w:id="1894660847">
          <w:marLeft w:val="0"/>
          <w:marRight w:val="0"/>
          <w:marTop w:val="0"/>
          <w:marBottom w:val="0"/>
          <w:divBdr>
            <w:top w:val="none" w:sz="0" w:space="0" w:color="auto"/>
            <w:left w:val="none" w:sz="0" w:space="0" w:color="auto"/>
            <w:bottom w:val="none" w:sz="0" w:space="0" w:color="auto"/>
            <w:right w:val="none" w:sz="0" w:space="0" w:color="auto"/>
          </w:divBdr>
          <w:divsChild>
            <w:div w:id="1852527026">
              <w:marLeft w:val="0"/>
              <w:marRight w:val="0"/>
              <w:marTop w:val="0"/>
              <w:marBottom w:val="0"/>
              <w:divBdr>
                <w:top w:val="none" w:sz="0" w:space="0" w:color="auto"/>
                <w:left w:val="none" w:sz="0" w:space="0" w:color="auto"/>
                <w:bottom w:val="none" w:sz="0" w:space="0" w:color="auto"/>
                <w:right w:val="none" w:sz="0" w:space="0" w:color="auto"/>
              </w:divBdr>
            </w:div>
            <w:div w:id="770393256">
              <w:marLeft w:val="0"/>
              <w:marRight w:val="0"/>
              <w:marTop w:val="0"/>
              <w:marBottom w:val="0"/>
              <w:divBdr>
                <w:top w:val="none" w:sz="0" w:space="0" w:color="auto"/>
                <w:left w:val="none" w:sz="0" w:space="0" w:color="auto"/>
                <w:bottom w:val="none" w:sz="0" w:space="0" w:color="auto"/>
                <w:right w:val="none" w:sz="0" w:space="0" w:color="auto"/>
              </w:divBdr>
            </w:div>
          </w:divsChild>
        </w:div>
        <w:div w:id="2083526845">
          <w:marLeft w:val="0"/>
          <w:marRight w:val="0"/>
          <w:marTop w:val="0"/>
          <w:marBottom w:val="0"/>
          <w:divBdr>
            <w:top w:val="none" w:sz="0" w:space="0" w:color="auto"/>
            <w:left w:val="none" w:sz="0" w:space="0" w:color="auto"/>
            <w:bottom w:val="none" w:sz="0" w:space="0" w:color="auto"/>
            <w:right w:val="none" w:sz="0" w:space="0" w:color="auto"/>
          </w:divBdr>
        </w:div>
        <w:div w:id="2117090124">
          <w:marLeft w:val="0"/>
          <w:marRight w:val="0"/>
          <w:marTop w:val="60"/>
          <w:marBottom w:val="0"/>
          <w:divBdr>
            <w:top w:val="none" w:sz="0" w:space="0" w:color="auto"/>
            <w:left w:val="none" w:sz="0" w:space="0" w:color="auto"/>
            <w:bottom w:val="none" w:sz="0" w:space="0" w:color="auto"/>
            <w:right w:val="none" w:sz="0" w:space="0" w:color="auto"/>
          </w:divBdr>
          <w:divsChild>
            <w:div w:id="537549373">
              <w:marLeft w:val="0"/>
              <w:marRight w:val="360"/>
              <w:marTop w:val="0"/>
              <w:marBottom w:val="0"/>
              <w:divBdr>
                <w:top w:val="none" w:sz="0" w:space="0" w:color="auto"/>
                <w:left w:val="none" w:sz="0" w:space="0" w:color="auto"/>
                <w:bottom w:val="none" w:sz="0" w:space="0" w:color="auto"/>
                <w:right w:val="none" w:sz="0" w:space="0" w:color="auto"/>
              </w:divBdr>
            </w:div>
          </w:divsChild>
        </w:div>
        <w:div w:id="1925214121">
          <w:marLeft w:val="0"/>
          <w:marRight w:val="0"/>
          <w:marTop w:val="0"/>
          <w:marBottom w:val="0"/>
          <w:divBdr>
            <w:top w:val="none" w:sz="0" w:space="0" w:color="auto"/>
            <w:left w:val="none" w:sz="0" w:space="0" w:color="auto"/>
            <w:bottom w:val="none" w:sz="0" w:space="0" w:color="auto"/>
            <w:right w:val="none" w:sz="0" w:space="0" w:color="auto"/>
          </w:divBdr>
          <w:divsChild>
            <w:div w:id="1692024114">
              <w:marLeft w:val="0"/>
              <w:marRight w:val="0"/>
              <w:marTop w:val="0"/>
              <w:marBottom w:val="0"/>
              <w:divBdr>
                <w:top w:val="none" w:sz="0" w:space="0" w:color="auto"/>
                <w:left w:val="none" w:sz="0" w:space="0" w:color="auto"/>
                <w:bottom w:val="none" w:sz="0" w:space="0" w:color="auto"/>
                <w:right w:val="none" w:sz="0" w:space="0" w:color="auto"/>
              </w:divBdr>
            </w:div>
            <w:div w:id="892038675">
              <w:marLeft w:val="0"/>
              <w:marRight w:val="0"/>
              <w:marTop w:val="0"/>
              <w:marBottom w:val="0"/>
              <w:divBdr>
                <w:top w:val="none" w:sz="0" w:space="0" w:color="auto"/>
                <w:left w:val="none" w:sz="0" w:space="0" w:color="auto"/>
                <w:bottom w:val="none" w:sz="0" w:space="0" w:color="auto"/>
                <w:right w:val="none" w:sz="0" w:space="0" w:color="auto"/>
              </w:divBdr>
            </w:div>
          </w:divsChild>
        </w:div>
        <w:div w:id="1106576898">
          <w:marLeft w:val="0"/>
          <w:marRight w:val="0"/>
          <w:marTop w:val="0"/>
          <w:marBottom w:val="0"/>
          <w:divBdr>
            <w:top w:val="none" w:sz="0" w:space="0" w:color="auto"/>
            <w:left w:val="none" w:sz="0" w:space="0" w:color="auto"/>
            <w:bottom w:val="none" w:sz="0" w:space="0" w:color="auto"/>
            <w:right w:val="none" w:sz="0" w:space="0" w:color="auto"/>
          </w:divBdr>
        </w:div>
        <w:div w:id="1372416436">
          <w:marLeft w:val="0"/>
          <w:marRight w:val="0"/>
          <w:marTop w:val="60"/>
          <w:marBottom w:val="0"/>
          <w:divBdr>
            <w:top w:val="none" w:sz="0" w:space="0" w:color="auto"/>
            <w:left w:val="none" w:sz="0" w:space="0" w:color="auto"/>
            <w:bottom w:val="none" w:sz="0" w:space="0" w:color="auto"/>
            <w:right w:val="none" w:sz="0" w:space="0" w:color="auto"/>
          </w:divBdr>
          <w:divsChild>
            <w:div w:id="1205214442">
              <w:marLeft w:val="0"/>
              <w:marRight w:val="360"/>
              <w:marTop w:val="0"/>
              <w:marBottom w:val="0"/>
              <w:divBdr>
                <w:top w:val="none" w:sz="0" w:space="0" w:color="auto"/>
                <w:left w:val="none" w:sz="0" w:space="0" w:color="auto"/>
                <w:bottom w:val="none" w:sz="0" w:space="0" w:color="auto"/>
                <w:right w:val="none" w:sz="0" w:space="0" w:color="auto"/>
              </w:divBdr>
              <w:divsChild>
                <w:div w:id="2760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23555">
          <w:marLeft w:val="0"/>
          <w:marRight w:val="0"/>
          <w:marTop w:val="0"/>
          <w:marBottom w:val="0"/>
          <w:divBdr>
            <w:top w:val="none" w:sz="0" w:space="0" w:color="auto"/>
            <w:left w:val="none" w:sz="0" w:space="0" w:color="auto"/>
            <w:bottom w:val="none" w:sz="0" w:space="0" w:color="auto"/>
            <w:right w:val="none" w:sz="0" w:space="0" w:color="auto"/>
          </w:divBdr>
          <w:divsChild>
            <w:div w:id="918439642">
              <w:marLeft w:val="0"/>
              <w:marRight w:val="0"/>
              <w:marTop w:val="0"/>
              <w:marBottom w:val="0"/>
              <w:divBdr>
                <w:top w:val="none" w:sz="0" w:space="0" w:color="auto"/>
                <w:left w:val="none" w:sz="0" w:space="0" w:color="auto"/>
                <w:bottom w:val="none" w:sz="0" w:space="0" w:color="auto"/>
                <w:right w:val="none" w:sz="0" w:space="0" w:color="auto"/>
              </w:divBdr>
            </w:div>
            <w:div w:id="1015420284">
              <w:marLeft w:val="0"/>
              <w:marRight w:val="0"/>
              <w:marTop w:val="0"/>
              <w:marBottom w:val="0"/>
              <w:divBdr>
                <w:top w:val="none" w:sz="0" w:space="0" w:color="auto"/>
                <w:left w:val="none" w:sz="0" w:space="0" w:color="auto"/>
                <w:bottom w:val="none" w:sz="0" w:space="0" w:color="auto"/>
                <w:right w:val="none" w:sz="0" w:space="0" w:color="auto"/>
              </w:divBdr>
            </w:div>
          </w:divsChild>
        </w:div>
        <w:div w:id="1587222466">
          <w:marLeft w:val="0"/>
          <w:marRight w:val="0"/>
          <w:marTop w:val="0"/>
          <w:marBottom w:val="0"/>
          <w:divBdr>
            <w:top w:val="none" w:sz="0" w:space="0" w:color="auto"/>
            <w:left w:val="none" w:sz="0" w:space="0" w:color="auto"/>
            <w:bottom w:val="none" w:sz="0" w:space="0" w:color="auto"/>
            <w:right w:val="none" w:sz="0" w:space="0" w:color="auto"/>
          </w:divBdr>
        </w:div>
        <w:div w:id="1857227758">
          <w:marLeft w:val="0"/>
          <w:marRight w:val="0"/>
          <w:marTop w:val="60"/>
          <w:marBottom w:val="0"/>
          <w:divBdr>
            <w:top w:val="none" w:sz="0" w:space="0" w:color="auto"/>
            <w:left w:val="none" w:sz="0" w:space="0" w:color="auto"/>
            <w:bottom w:val="none" w:sz="0" w:space="0" w:color="auto"/>
            <w:right w:val="none" w:sz="0" w:space="0" w:color="auto"/>
          </w:divBdr>
        </w:div>
        <w:div w:id="824397704">
          <w:marLeft w:val="0"/>
          <w:marRight w:val="0"/>
          <w:marTop w:val="0"/>
          <w:marBottom w:val="0"/>
          <w:divBdr>
            <w:top w:val="none" w:sz="0" w:space="0" w:color="auto"/>
            <w:left w:val="none" w:sz="0" w:space="0" w:color="auto"/>
            <w:bottom w:val="none" w:sz="0" w:space="0" w:color="auto"/>
            <w:right w:val="none" w:sz="0" w:space="0" w:color="auto"/>
          </w:divBdr>
          <w:divsChild>
            <w:div w:id="1133909208">
              <w:marLeft w:val="0"/>
              <w:marRight w:val="0"/>
              <w:marTop w:val="0"/>
              <w:marBottom w:val="0"/>
              <w:divBdr>
                <w:top w:val="none" w:sz="0" w:space="0" w:color="auto"/>
                <w:left w:val="none" w:sz="0" w:space="0" w:color="auto"/>
                <w:bottom w:val="none" w:sz="0" w:space="0" w:color="auto"/>
                <w:right w:val="none" w:sz="0" w:space="0" w:color="auto"/>
              </w:divBdr>
            </w:div>
            <w:div w:id="620649473">
              <w:marLeft w:val="0"/>
              <w:marRight w:val="0"/>
              <w:marTop w:val="0"/>
              <w:marBottom w:val="0"/>
              <w:divBdr>
                <w:top w:val="none" w:sz="0" w:space="0" w:color="auto"/>
                <w:left w:val="none" w:sz="0" w:space="0" w:color="auto"/>
                <w:bottom w:val="none" w:sz="0" w:space="0" w:color="auto"/>
                <w:right w:val="none" w:sz="0" w:space="0" w:color="auto"/>
              </w:divBdr>
            </w:div>
          </w:divsChild>
        </w:div>
        <w:div w:id="735204714">
          <w:marLeft w:val="0"/>
          <w:marRight w:val="0"/>
          <w:marTop w:val="0"/>
          <w:marBottom w:val="0"/>
          <w:divBdr>
            <w:top w:val="none" w:sz="0" w:space="0" w:color="auto"/>
            <w:left w:val="none" w:sz="0" w:space="0" w:color="auto"/>
            <w:bottom w:val="none" w:sz="0" w:space="0" w:color="auto"/>
            <w:right w:val="none" w:sz="0" w:space="0" w:color="auto"/>
          </w:divBdr>
        </w:div>
        <w:div w:id="1384670668">
          <w:marLeft w:val="0"/>
          <w:marRight w:val="0"/>
          <w:marTop w:val="60"/>
          <w:marBottom w:val="0"/>
          <w:divBdr>
            <w:top w:val="none" w:sz="0" w:space="0" w:color="auto"/>
            <w:left w:val="none" w:sz="0" w:space="0" w:color="auto"/>
            <w:bottom w:val="none" w:sz="0" w:space="0" w:color="auto"/>
            <w:right w:val="none" w:sz="0" w:space="0" w:color="auto"/>
          </w:divBdr>
        </w:div>
        <w:div w:id="1479610059">
          <w:marLeft w:val="0"/>
          <w:marRight w:val="0"/>
          <w:marTop w:val="0"/>
          <w:marBottom w:val="0"/>
          <w:divBdr>
            <w:top w:val="none" w:sz="0" w:space="0" w:color="auto"/>
            <w:left w:val="none" w:sz="0" w:space="0" w:color="auto"/>
            <w:bottom w:val="none" w:sz="0" w:space="0" w:color="auto"/>
            <w:right w:val="none" w:sz="0" w:space="0" w:color="auto"/>
          </w:divBdr>
          <w:divsChild>
            <w:div w:id="1607033752">
              <w:marLeft w:val="0"/>
              <w:marRight w:val="0"/>
              <w:marTop w:val="0"/>
              <w:marBottom w:val="0"/>
              <w:divBdr>
                <w:top w:val="none" w:sz="0" w:space="0" w:color="auto"/>
                <w:left w:val="none" w:sz="0" w:space="0" w:color="auto"/>
                <w:bottom w:val="none" w:sz="0" w:space="0" w:color="auto"/>
                <w:right w:val="none" w:sz="0" w:space="0" w:color="auto"/>
              </w:divBdr>
            </w:div>
            <w:div w:id="1572041084">
              <w:marLeft w:val="0"/>
              <w:marRight w:val="0"/>
              <w:marTop w:val="0"/>
              <w:marBottom w:val="0"/>
              <w:divBdr>
                <w:top w:val="none" w:sz="0" w:space="0" w:color="auto"/>
                <w:left w:val="none" w:sz="0" w:space="0" w:color="auto"/>
                <w:bottom w:val="none" w:sz="0" w:space="0" w:color="auto"/>
                <w:right w:val="none" w:sz="0" w:space="0" w:color="auto"/>
              </w:divBdr>
            </w:div>
          </w:divsChild>
        </w:div>
        <w:div w:id="2143185010">
          <w:marLeft w:val="0"/>
          <w:marRight w:val="0"/>
          <w:marTop w:val="0"/>
          <w:marBottom w:val="0"/>
          <w:divBdr>
            <w:top w:val="none" w:sz="0" w:space="0" w:color="auto"/>
            <w:left w:val="none" w:sz="0" w:space="0" w:color="auto"/>
            <w:bottom w:val="none" w:sz="0" w:space="0" w:color="auto"/>
            <w:right w:val="none" w:sz="0" w:space="0" w:color="auto"/>
          </w:divBdr>
        </w:div>
        <w:div w:id="48499264">
          <w:marLeft w:val="0"/>
          <w:marRight w:val="0"/>
          <w:marTop w:val="60"/>
          <w:marBottom w:val="0"/>
          <w:divBdr>
            <w:top w:val="none" w:sz="0" w:space="0" w:color="auto"/>
            <w:left w:val="none" w:sz="0" w:space="0" w:color="auto"/>
            <w:bottom w:val="none" w:sz="0" w:space="0" w:color="auto"/>
            <w:right w:val="none" w:sz="0" w:space="0" w:color="auto"/>
          </w:divBdr>
          <w:divsChild>
            <w:div w:id="15039176">
              <w:marLeft w:val="0"/>
              <w:marRight w:val="360"/>
              <w:marTop w:val="0"/>
              <w:marBottom w:val="0"/>
              <w:divBdr>
                <w:top w:val="none" w:sz="0" w:space="0" w:color="auto"/>
                <w:left w:val="none" w:sz="0" w:space="0" w:color="auto"/>
                <w:bottom w:val="none" w:sz="0" w:space="0" w:color="auto"/>
                <w:right w:val="none" w:sz="0" w:space="0" w:color="auto"/>
              </w:divBdr>
            </w:div>
          </w:divsChild>
        </w:div>
        <w:div w:id="170803479">
          <w:marLeft w:val="0"/>
          <w:marRight w:val="0"/>
          <w:marTop w:val="0"/>
          <w:marBottom w:val="0"/>
          <w:divBdr>
            <w:top w:val="none" w:sz="0" w:space="0" w:color="auto"/>
            <w:left w:val="none" w:sz="0" w:space="0" w:color="auto"/>
            <w:bottom w:val="none" w:sz="0" w:space="0" w:color="auto"/>
            <w:right w:val="none" w:sz="0" w:space="0" w:color="auto"/>
          </w:divBdr>
          <w:divsChild>
            <w:div w:id="1112213558">
              <w:marLeft w:val="0"/>
              <w:marRight w:val="0"/>
              <w:marTop w:val="0"/>
              <w:marBottom w:val="0"/>
              <w:divBdr>
                <w:top w:val="none" w:sz="0" w:space="0" w:color="auto"/>
                <w:left w:val="none" w:sz="0" w:space="0" w:color="auto"/>
                <w:bottom w:val="none" w:sz="0" w:space="0" w:color="auto"/>
                <w:right w:val="none" w:sz="0" w:space="0" w:color="auto"/>
              </w:divBdr>
            </w:div>
            <w:div w:id="2106070394">
              <w:marLeft w:val="0"/>
              <w:marRight w:val="0"/>
              <w:marTop w:val="0"/>
              <w:marBottom w:val="0"/>
              <w:divBdr>
                <w:top w:val="none" w:sz="0" w:space="0" w:color="auto"/>
                <w:left w:val="none" w:sz="0" w:space="0" w:color="auto"/>
                <w:bottom w:val="none" w:sz="0" w:space="0" w:color="auto"/>
                <w:right w:val="none" w:sz="0" w:space="0" w:color="auto"/>
              </w:divBdr>
            </w:div>
          </w:divsChild>
        </w:div>
        <w:div w:id="485166162">
          <w:marLeft w:val="0"/>
          <w:marRight w:val="0"/>
          <w:marTop w:val="0"/>
          <w:marBottom w:val="0"/>
          <w:divBdr>
            <w:top w:val="none" w:sz="0" w:space="0" w:color="auto"/>
            <w:left w:val="none" w:sz="0" w:space="0" w:color="auto"/>
            <w:bottom w:val="none" w:sz="0" w:space="0" w:color="auto"/>
            <w:right w:val="none" w:sz="0" w:space="0" w:color="auto"/>
          </w:divBdr>
        </w:div>
        <w:div w:id="793258360">
          <w:marLeft w:val="0"/>
          <w:marRight w:val="0"/>
          <w:marTop w:val="60"/>
          <w:marBottom w:val="0"/>
          <w:divBdr>
            <w:top w:val="none" w:sz="0" w:space="0" w:color="auto"/>
            <w:left w:val="none" w:sz="0" w:space="0" w:color="auto"/>
            <w:bottom w:val="none" w:sz="0" w:space="0" w:color="auto"/>
            <w:right w:val="none" w:sz="0" w:space="0" w:color="auto"/>
          </w:divBdr>
          <w:divsChild>
            <w:div w:id="830021775">
              <w:marLeft w:val="0"/>
              <w:marRight w:val="360"/>
              <w:marTop w:val="0"/>
              <w:marBottom w:val="0"/>
              <w:divBdr>
                <w:top w:val="none" w:sz="0" w:space="0" w:color="auto"/>
                <w:left w:val="none" w:sz="0" w:space="0" w:color="auto"/>
                <w:bottom w:val="none" w:sz="0" w:space="0" w:color="auto"/>
                <w:right w:val="none" w:sz="0" w:space="0" w:color="auto"/>
              </w:divBdr>
            </w:div>
          </w:divsChild>
        </w:div>
        <w:div w:id="1680500600">
          <w:marLeft w:val="0"/>
          <w:marRight w:val="0"/>
          <w:marTop w:val="0"/>
          <w:marBottom w:val="0"/>
          <w:divBdr>
            <w:top w:val="none" w:sz="0" w:space="0" w:color="auto"/>
            <w:left w:val="none" w:sz="0" w:space="0" w:color="auto"/>
            <w:bottom w:val="none" w:sz="0" w:space="0" w:color="auto"/>
            <w:right w:val="none" w:sz="0" w:space="0" w:color="auto"/>
          </w:divBdr>
          <w:divsChild>
            <w:div w:id="85272129">
              <w:marLeft w:val="0"/>
              <w:marRight w:val="0"/>
              <w:marTop w:val="0"/>
              <w:marBottom w:val="0"/>
              <w:divBdr>
                <w:top w:val="none" w:sz="0" w:space="0" w:color="auto"/>
                <w:left w:val="none" w:sz="0" w:space="0" w:color="auto"/>
                <w:bottom w:val="none" w:sz="0" w:space="0" w:color="auto"/>
                <w:right w:val="none" w:sz="0" w:space="0" w:color="auto"/>
              </w:divBdr>
            </w:div>
            <w:div w:id="444352319">
              <w:marLeft w:val="0"/>
              <w:marRight w:val="0"/>
              <w:marTop w:val="0"/>
              <w:marBottom w:val="0"/>
              <w:divBdr>
                <w:top w:val="none" w:sz="0" w:space="0" w:color="auto"/>
                <w:left w:val="none" w:sz="0" w:space="0" w:color="auto"/>
                <w:bottom w:val="none" w:sz="0" w:space="0" w:color="auto"/>
                <w:right w:val="none" w:sz="0" w:space="0" w:color="auto"/>
              </w:divBdr>
            </w:div>
          </w:divsChild>
        </w:div>
        <w:div w:id="2085493343">
          <w:marLeft w:val="0"/>
          <w:marRight w:val="0"/>
          <w:marTop w:val="0"/>
          <w:marBottom w:val="0"/>
          <w:divBdr>
            <w:top w:val="none" w:sz="0" w:space="0" w:color="auto"/>
            <w:left w:val="none" w:sz="0" w:space="0" w:color="auto"/>
            <w:bottom w:val="none" w:sz="0" w:space="0" w:color="auto"/>
            <w:right w:val="none" w:sz="0" w:space="0" w:color="auto"/>
          </w:divBdr>
        </w:div>
        <w:div w:id="773869731">
          <w:marLeft w:val="0"/>
          <w:marRight w:val="0"/>
          <w:marTop w:val="60"/>
          <w:marBottom w:val="0"/>
          <w:divBdr>
            <w:top w:val="none" w:sz="0" w:space="0" w:color="auto"/>
            <w:left w:val="none" w:sz="0" w:space="0" w:color="auto"/>
            <w:bottom w:val="none" w:sz="0" w:space="0" w:color="auto"/>
            <w:right w:val="none" w:sz="0" w:space="0" w:color="auto"/>
          </w:divBdr>
        </w:div>
        <w:div w:id="1572227543">
          <w:marLeft w:val="0"/>
          <w:marRight w:val="0"/>
          <w:marTop w:val="0"/>
          <w:marBottom w:val="0"/>
          <w:divBdr>
            <w:top w:val="none" w:sz="0" w:space="0" w:color="auto"/>
            <w:left w:val="none" w:sz="0" w:space="0" w:color="auto"/>
            <w:bottom w:val="none" w:sz="0" w:space="0" w:color="auto"/>
            <w:right w:val="none" w:sz="0" w:space="0" w:color="auto"/>
          </w:divBdr>
          <w:divsChild>
            <w:div w:id="192307421">
              <w:marLeft w:val="0"/>
              <w:marRight w:val="0"/>
              <w:marTop w:val="0"/>
              <w:marBottom w:val="0"/>
              <w:divBdr>
                <w:top w:val="none" w:sz="0" w:space="0" w:color="auto"/>
                <w:left w:val="none" w:sz="0" w:space="0" w:color="auto"/>
                <w:bottom w:val="none" w:sz="0" w:space="0" w:color="auto"/>
                <w:right w:val="none" w:sz="0" w:space="0" w:color="auto"/>
              </w:divBdr>
            </w:div>
            <w:div w:id="488250219">
              <w:marLeft w:val="0"/>
              <w:marRight w:val="0"/>
              <w:marTop w:val="0"/>
              <w:marBottom w:val="0"/>
              <w:divBdr>
                <w:top w:val="none" w:sz="0" w:space="0" w:color="auto"/>
                <w:left w:val="none" w:sz="0" w:space="0" w:color="auto"/>
                <w:bottom w:val="none" w:sz="0" w:space="0" w:color="auto"/>
                <w:right w:val="none" w:sz="0" w:space="0" w:color="auto"/>
              </w:divBdr>
            </w:div>
          </w:divsChild>
        </w:div>
        <w:div w:id="1216771898">
          <w:marLeft w:val="0"/>
          <w:marRight w:val="0"/>
          <w:marTop w:val="0"/>
          <w:marBottom w:val="0"/>
          <w:divBdr>
            <w:top w:val="none" w:sz="0" w:space="0" w:color="auto"/>
            <w:left w:val="none" w:sz="0" w:space="0" w:color="auto"/>
            <w:bottom w:val="none" w:sz="0" w:space="0" w:color="auto"/>
            <w:right w:val="none" w:sz="0" w:space="0" w:color="auto"/>
          </w:divBdr>
        </w:div>
        <w:div w:id="524289701">
          <w:marLeft w:val="0"/>
          <w:marRight w:val="0"/>
          <w:marTop w:val="60"/>
          <w:marBottom w:val="0"/>
          <w:divBdr>
            <w:top w:val="none" w:sz="0" w:space="0" w:color="auto"/>
            <w:left w:val="none" w:sz="0" w:space="0" w:color="auto"/>
            <w:bottom w:val="none" w:sz="0" w:space="0" w:color="auto"/>
            <w:right w:val="none" w:sz="0" w:space="0" w:color="auto"/>
          </w:divBdr>
        </w:div>
        <w:div w:id="1541238494">
          <w:marLeft w:val="0"/>
          <w:marRight w:val="0"/>
          <w:marTop w:val="0"/>
          <w:marBottom w:val="0"/>
          <w:divBdr>
            <w:top w:val="none" w:sz="0" w:space="0" w:color="auto"/>
            <w:left w:val="none" w:sz="0" w:space="0" w:color="auto"/>
            <w:bottom w:val="none" w:sz="0" w:space="0" w:color="auto"/>
            <w:right w:val="none" w:sz="0" w:space="0" w:color="auto"/>
          </w:divBdr>
          <w:divsChild>
            <w:div w:id="1624801052">
              <w:marLeft w:val="0"/>
              <w:marRight w:val="0"/>
              <w:marTop w:val="0"/>
              <w:marBottom w:val="0"/>
              <w:divBdr>
                <w:top w:val="none" w:sz="0" w:space="0" w:color="auto"/>
                <w:left w:val="none" w:sz="0" w:space="0" w:color="auto"/>
                <w:bottom w:val="none" w:sz="0" w:space="0" w:color="auto"/>
                <w:right w:val="none" w:sz="0" w:space="0" w:color="auto"/>
              </w:divBdr>
            </w:div>
            <w:div w:id="23408966">
              <w:marLeft w:val="0"/>
              <w:marRight w:val="0"/>
              <w:marTop w:val="0"/>
              <w:marBottom w:val="0"/>
              <w:divBdr>
                <w:top w:val="none" w:sz="0" w:space="0" w:color="auto"/>
                <w:left w:val="none" w:sz="0" w:space="0" w:color="auto"/>
                <w:bottom w:val="none" w:sz="0" w:space="0" w:color="auto"/>
                <w:right w:val="none" w:sz="0" w:space="0" w:color="auto"/>
              </w:divBdr>
            </w:div>
          </w:divsChild>
        </w:div>
        <w:div w:id="1727142476">
          <w:marLeft w:val="0"/>
          <w:marRight w:val="0"/>
          <w:marTop w:val="0"/>
          <w:marBottom w:val="0"/>
          <w:divBdr>
            <w:top w:val="none" w:sz="0" w:space="0" w:color="auto"/>
            <w:left w:val="none" w:sz="0" w:space="0" w:color="auto"/>
            <w:bottom w:val="none" w:sz="0" w:space="0" w:color="auto"/>
            <w:right w:val="none" w:sz="0" w:space="0" w:color="auto"/>
          </w:divBdr>
        </w:div>
        <w:div w:id="1683511353">
          <w:marLeft w:val="0"/>
          <w:marRight w:val="0"/>
          <w:marTop w:val="60"/>
          <w:marBottom w:val="0"/>
          <w:divBdr>
            <w:top w:val="none" w:sz="0" w:space="0" w:color="auto"/>
            <w:left w:val="none" w:sz="0" w:space="0" w:color="auto"/>
            <w:bottom w:val="none" w:sz="0" w:space="0" w:color="auto"/>
            <w:right w:val="none" w:sz="0" w:space="0" w:color="auto"/>
          </w:divBdr>
        </w:div>
        <w:div w:id="2062484030">
          <w:marLeft w:val="0"/>
          <w:marRight w:val="0"/>
          <w:marTop w:val="0"/>
          <w:marBottom w:val="0"/>
          <w:divBdr>
            <w:top w:val="none" w:sz="0" w:space="0" w:color="auto"/>
            <w:left w:val="none" w:sz="0" w:space="0" w:color="auto"/>
            <w:bottom w:val="none" w:sz="0" w:space="0" w:color="auto"/>
            <w:right w:val="none" w:sz="0" w:space="0" w:color="auto"/>
          </w:divBdr>
          <w:divsChild>
            <w:div w:id="645627366">
              <w:marLeft w:val="0"/>
              <w:marRight w:val="0"/>
              <w:marTop w:val="0"/>
              <w:marBottom w:val="0"/>
              <w:divBdr>
                <w:top w:val="none" w:sz="0" w:space="0" w:color="auto"/>
                <w:left w:val="none" w:sz="0" w:space="0" w:color="auto"/>
                <w:bottom w:val="none" w:sz="0" w:space="0" w:color="auto"/>
                <w:right w:val="none" w:sz="0" w:space="0" w:color="auto"/>
              </w:divBdr>
            </w:div>
            <w:div w:id="327366973">
              <w:marLeft w:val="0"/>
              <w:marRight w:val="0"/>
              <w:marTop w:val="0"/>
              <w:marBottom w:val="0"/>
              <w:divBdr>
                <w:top w:val="none" w:sz="0" w:space="0" w:color="auto"/>
                <w:left w:val="none" w:sz="0" w:space="0" w:color="auto"/>
                <w:bottom w:val="none" w:sz="0" w:space="0" w:color="auto"/>
                <w:right w:val="none" w:sz="0" w:space="0" w:color="auto"/>
              </w:divBdr>
            </w:div>
          </w:divsChild>
        </w:div>
        <w:div w:id="30350637">
          <w:marLeft w:val="0"/>
          <w:marRight w:val="0"/>
          <w:marTop w:val="0"/>
          <w:marBottom w:val="0"/>
          <w:divBdr>
            <w:top w:val="none" w:sz="0" w:space="0" w:color="auto"/>
            <w:left w:val="none" w:sz="0" w:space="0" w:color="auto"/>
            <w:bottom w:val="none" w:sz="0" w:space="0" w:color="auto"/>
            <w:right w:val="none" w:sz="0" w:space="0" w:color="auto"/>
          </w:divBdr>
        </w:div>
        <w:div w:id="1657762756">
          <w:marLeft w:val="0"/>
          <w:marRight w:val="0"/>
          <w:marTop w:val="60"/>
          <w:marBottom w:val="0"/>
          <w:divBdr>
            <w:top w:val="none" w:sz="0" w:space="0" w:color="auto"/>
            <w:left w:val="none" w:sz="0" w:space="0" w:color="auto"/>
            <w:bottom w:val="none" w:sz="0" w:space="0" w:color="auto"/>
            <w:right w:val="none" w:sz="0" w:space="0" w:color="auto"/>
          </w:divBdr>
        </w:div>
        <w:div w:id="385102603">
          <w:marLeft w:val="0"/>
          <w:marRight w:val="0"/>
          <w:marTop w:val="0"/>
          <w:marBottom w:val="0"/>
          <w:divBdr>
            <w:top w:val="none" w:sz="0" w:space="0" w:color="auto"/>
            <w:left w:val="none" w:sz="0" w:space="0" w:color="auto"/>
            <w:bottom w:val="none" w:sz="0" w:space="0" w:color="auto"/>
            <w:right w:val="none" w:sz="0" w:space="0" w:color="auto"/>
          </w:divBdr>
          <w:divsChild>
            <w:div w:id="1571571821">
              <w:marLeft w:val="0"/>
              <w:marRight w:val="0"/>
              <w:marTop w:val="0"/>
              <w:marBottom w:val="0"/>
              <w:divBdr>
                <w:top w:val="none" w:sz="0" w:space="0" w:color="auto"/>
                <w:left w:val="none" w:sz="0" w:space="0" w:color="auto"/>
                <w:bottom w:val="none" w:sz="0" w:space="0" w:color="auto"/>
                <w:right w:val="none" w:sz="0" w:space="0" w:color="auto"/>
              </w:divBdr>
            </w:div>
            <w:div w:id="592275507">
              <w:marLeft w:val="0"/>
              <w:marRight w:val="0"/>
              <w:marTop w:val="0"/>
              <w:marBottom w:val="0"/>
              <w:divBdr>
                <w:top w:val="none" w:sz="0" w:space="0" w:color="auto"/>
                <w:left w:val="none" w:sz="0" w:space="0" w:color="auto"/>
                <w:bottom w:val="none" w:sz="0" w:space="0" w:color="auto"/>
                <w:right w:val="none" w:sz="0" w:space="0" w:color="auto"/>
              </w:divBdr>
            </w:div>
          </w:divsChild>
        </w:div>
        <w:div w:id="918834260">
          <w:marLeft w:val="0"/>
          <w:marRight w:val="0"/>
          <w:marTop w:val="0"/>
          <w:marBottom w:val="0"/>
          <w:divBdr>
            <w:top w:val="none" w:sz="0" w:space="0" w:color="auto"/>
            <w:left w:val="none" w:sz="0" w:space="0" w:color="auto"/>
            <w:bottom w:val="none" w:sz="0" w:space="0" w:color="auto"/>
            <w:right w:val="none" w:sz="0" w:space="0" w:color="auto"/>
          </w:divBdr>
        </w:div>
        <w:div w:id="1107189984">
          <w:marLeft w:val="0"/>
          <w:marRight w:val="0"/>
          <w:marTop w:val="60"/>
          <w:marBottom w:val="0"/>
          <w:divBdr>
            <w:top w:val="none" w:sz="0" w:space="0" w:color="auto"/>
            <w:left w:val="none" w:sz="0" w:space="0" w:color="auto"/>
            <w:bottom w:val="none" w:sz="0" w:space="0" w:color="auto"/>
            <w:right w:val="none" w:sz="0" w:space="0" w:color="auto"/>
          </w:divBdr>
        </w:div>
        <w:div w:id="777867745">
          <w:marLeft w:val="0"/>
          <w:marRight w:val="0"/>
          <w:marTop w:val="0"/>
          <w:marBottom w:val="0"/>
          <w:divBdr>
            <w:top w:val="none" w:sz="0" w:space="0" w:color="auto"/>
            <w:left w:val="none" w:sz="0" w:space="0" w:color="auto"/>
            <w:bottom w:val="none" w:sz="0" w:space="0" w:color="auto"/>
            <w:right w:val="none" w:sz="0" w:space="0" w:color="auto"/>
          </w:divBdr>
          <w:divsChild>
            <w:div w:id="213271958">
              <w:marLeft w:val="0"/>
              <w:marRight w:val="0"/>
              <w:marTop w:val="0"/>
              <w:marBottom w:val="0"/>
              <w:divBdr>
                <w:top w:val="none" w:sz="0" w:space="0" w:color="auto"/>
                <w:left w:val="none" w:sz="0" w:space="0" w:color="auto"/>
                <w:bottom w:val="none" w:sz="0" w:space="0" w:color="auto"/>
                <w:right w:val="none" w:sz="0" w:space="0" w:color="auto"/>
              </w:divBdr>
            </w:div>
            <w:div w:id="879243372">
              <w:marLeft w:val="0"/>
              <w:marRight w:val="0"/>
              <w:marTop w:val="0"/>
              <w:marBottom w:val="0"/>
              <w:divBdr>
                <w:top w:val="none" w:sz="0" w:space="0" w:color="auto"/>
                <w:left w:val="none" w:sz="0" w:space="0" w:color="auto"/>
                <w:bottom w:val="none" w:sz="0" w:space="0" w:color="auto"/>
                <w:right w:val="none" w:sz="0" w:space="0" w:color="auto"/>
              </w:divBdr>
            </w:div>
          </w:divsChild>
        </w:div>
        <w:div w:id="1204488900">
          <w:marLeft w:val="0"/>
          <w:marRight w:val="0"/>
          <w:marTop w:val="0"/>
          <w:marBottom w:val="0"/>
          <w:divBdr>
            <w:top w:val="none" w:sz="0" w:space="0" w:color="auto"/>
            <w:left w:val="none" w:sz="0" w:space="0" w:color="auto"/>
            <w:bottom w:val="none" w:sz="0" w:space="0" w:color="auto"/>
            <w:right w:val="none" w:sz="0" w:space="0" w:color="auto"/>
          </w:divBdr>
        </w:div>
        <w:div w:id="384180586">
          <w:marLeft w:val="0"/>
          <w:marRight w:val="0"/>
          <w:marTop w:val="60"/>
          <w:marBottom w:val="0"/>
          <w:divBdr>
            <w:top w:val="none" w:sz="0" w:space="0" w:color="auto"/>
            <w:left w:val="none" w:sz="0" w:space="0" w:color="auto"/>
            <w:bottom w:val="none" w:sz="0" w:space="0" w:color="auto"/>
            <w:right w:val="none" w:sz="0" w:space="0" w:color="auto"/>
          </w:divBdr>
        </w:div>
        <w:div w:id="1801263815">
          <w:marLeft w:val="0"/>
          <w:marRight w:val="0"/>
          <w:marTop w:val="0"/>
          <w:marBottom w:val="0"/>
          <w:divBdr>
            <w:top w:val="none" w:sz="0" w:space="0" w:color="auto"/>
            <w:left w:val="none" w:sz="0" w:space="0" w:color="auto"/>
            <w:bottom w:val="none" w:sz="0" w:space="0" w:color="auto"/>
            <w:right w:val="none" w:sz="0" w:space="0" w:color="auto"/>
          </w:divBdr>
          <w:divsChild>
            <w:div w:id="1619333801">
              <w:marLeft w:val="0"/>
              <w:marRight w:val="0"/>
              <w:marTop w:val="0"/>
              <w:marBottom w:val="0"/>
              <w:divBdr>
                <w:top w:val="none" w:sz="0" w:space="0" w:color="auto"/>
                <w:left w:val="none" w:sz="0" w:space="0" w:color="auto"/>
                <w:bottom w:val="none" w:sz="0" w:space="0" w:color="auto"/>
                <w:right w:val="none" w:sz="0" w:space="0" w:color="auto"/>
              </w:divBdr>
            </w:div>
            <w:div w:id="2094550811">
              <w:marLeft w:val="0"/>
              <w:marRight w:val="0"/>
              <w:marTop w:val="0"/>
              <w:marBottom w:val="0"/>
              <w:divBdr>
                <w:top w:val="none" w:sz="0" w:space="0" w:color="auto"/>
                <w:left w:val="none" w:sz="0" w:space="0" w:color="auto"/>
                <w:bottom w:val="none" w:sz="0" w:space="0" w:color="auto"/>
                <w:right w:val="none" w:sz="0" w:space="0" w:color="auto"/>
              </w:divBdr>
            </w:div>
          </w:divsChild>
        </w:div>
        <w:div w:id="1262302157">
          <w:marLeft w:val="0"/>
          <w:marRight w:val="0"/>
          <w:marTop w:val="0"/>
          <w:marBottom w:val="0"/>
          <w:divBdr>
            <w:top w:val="none" w:sz="0" w:space="0" w:color="auto"/>
            <w:left w:val="none" w:sz="0" w:space="0" w:color="auto"/>
            <w:bottom w:val="none" w:sz="0" w:space="0" w:color="auto"/>
            <w:right w:val="none" w:sz="0" w:space="0" w:color="auto"/>
          </w:divBdr>
        </w:div>
        <w:div w:id="1318194665">
          <w:marLeft w:val="0"/>
          <w:marRight w:val="0"/>
          <w:marTop w:val="60"/>
          <w:marBottom w:val="0"/>
          <w:divBdr>
            <w:top w:val="none" w:sz="0" w:space="0" w:color="auto"/>
            <w:left w:val="none" w:sz="0" w:space="0" w:color="auto"/>
            <w:bottom w:val="none" w:sz="0" w:space="0" w:color="auto"/>
            <w:right w:val="none" w:sz="0" w:space="0" w:color="auto"/>
          </w:divBdr>
          <w:divsChild>
            <w:div w:id="1454135387">
              <w:marLeft w:val="0"/>
              <w:marRight w:val="360"/>
              <w:marTop w:val="0"/>
              <w:marBottom w:val="0"/>
              <w:divBdr>
                <w:top w:val="none" w:sz="0" w:space="0" w:color="auto"/>
                <w:left w:val="none" w:sz="0" w:space="0" w:color="auto"/>
                <w:bottom w:val="none" w:sz="0" w:space="0" w:color="auto"/>
                <w:right w:val="none" w:sz="0" w:space="0" w:color="auto"/>
              </w:divBdr>
            </w:div>
          </w:divsChild>
        </w:div>
        <w:div w:id="1722091823">
          <w:marLeft w:val="0"/>
          <w:marRight w:val="0"/>
          <w:marTop w:val="0"/>
          <w:marBottom w:val="0"/>
          <w:divBdr>
            <w:top w:val="none" w:sz="0" w:space="0" w:color="auto"/>
            <w:left w:val="none" w:sz="0" w:space="0" w:color="auto"/>
            <w:bottom w:val="none" w:sz="0" w:space="0" w:color="auto"/>
            <w:right w:val="none" w:sz="0" w:space="0" w:color="auto"/>
          </w:divBdr>
          <w:divsChild>
            <w:div w:id="561990824">
              <w:marLeft w:val="0"/>
              <w:marRight w:val="0"/>
              <w:marTop w:val="0"/>
              <w:marBottom w:val="0"/>
              <w:divBdr>
                <w:top w:val="none" w:sz="0" w:space="0" w:color="auto"/>
                <w:left w:val="none" w:sz="0" w:space="0" w:color="auto"/>
                <w:bottom w:val="none" w:sz="0" w:space="0" w:color="auto"/>
                <w:right w:val="none" w:sz="0" w:space="0" w:color="auto"/>
              </w:divBdr>
            </w:div>
            <w:div w:id="1471288611">
              <w:marLeft w:val="0"/>
              <w:marRight w:val="0"/>
              <w:marTop w:val="0"/>
              <w:marBottom w:val="0"/>
              <w:divBdr>
                <w:top w:val="none" w:sz="0" w:space="0" w:color="auto"/>
                <w:left w:val="none" w:sz="0" w:space="0" w:color="auto"/>
                <w:bottom w:val="none" w:sz="0" w:space="0" w:color="auto"/>
                <w:right w:val="none" w:sz="0" w:space="0" w:color="auto"/>
              </w:divBdr>
            </w:div>
          </w:divsChild>
        </w:div>
        <w:div w:id="1312294057">
          <w:marLeft w:val="0"/>
          <w:marRight w:val="0"/>
          <w:marTop w:val="0"/>
          <w:marBottom w:val="0"/>
          <w:divBdr>
            <w:top w:val="none" w:sz="0" w:space="0" w:color="auto"/>
            <w:left w:val="none" w:sz="0" w:space="0" w:color="auto"/>
            <w:bottom w:val="none" w:sz="0" w:space="0" w:color="auto"/>
            <w:right w:val="none" w:sz="0" w:space="0" w:color="auto"/>
          </w:divBdr>
        </w:div>
        <w:div w:id="1234393558">
          <w:marLeft w:val="0"/>
          <w:marRight w:val="0"/>
          <w:marTop w:val="60"/>
          <w:marBottom w:val="0"/>
          <w:divBdr>
            <w:top w:val="none" w:sz="0" w:space="0" w:color="auto"/>
            <w:left w:val="none" w:sz="0" w:space="0" w:color="auto"/>
            <w:bottom w:val="none" w:sz="0" w:space="0" w:color="auto"/>
            <w:right w:val="none" w:sz="0" w:space="0" w:color="auto"/>
          </w:divBdr>
        </w:div>
        <w:div w:id="1931305693">
          <w:marLeft w:val="0"/>
          <w:marRight w:val="0"/>
          <w:marTop w:val="0"/>
          <w:marBottom w:val="0"/>
          <w:divBdr>
            <w:top w:val="none" w:sz="0" w:space="0" w:color="auto"/>
            <w:left w:val="none" w:sz="0" w:space="0" w:color="auto"/>
            <w:bottom w:val="none" w:sz="0" w:space="0" w:color="auto"/>
            <w:right w:val="none" w:sz="0" w:space="0" w:color="auto"/>
          </w:divBdr>
          <w:divsChild>
            <w:div w:id="35397044">
              <w:marLeft w:val="0"/>
              <w:marRight w:val="0"/>
              <w:marTop w:val="0"/>
              <w:marBottom w:val="0"/>
              <w:divBdr>
                <w:top w:val="none" w:sz="0" w:space="0" w:color="auto"/>
                <w:left w:val="none" w:sz="0" w:space="0" w:color="auto"/>
                <w:bottom w:val="none" w:sz="0" w:space="0" w:color="auto"/>
                <w:right w:val="none" w:sz="0" w:space="0" w:color="auto"/>
              </w:divBdr>
            </w:div>
            <w:div w:id="362557289">
              <w:marLeft w:val="0"/>
              <w:marRight w:val="0"/>
              <w:marTop w:val="0"/>
              <w:marBottom w:val="0"/>
              <w:divBdr>
                <w:top w:val="none" w:sz="0" w:space="0" w:color="auto"/>
                <w:left w:val="none" w:sz="0" w:space="0" w:color="auto"/>
                <w:bottom w:val="none" w:sz="0" w:space="0" w:color="auto"/>
                <w:right w:val="none" w:sz="0" w:space="0" w:color="auto"/>
              </w:divBdr>
            </w:div>
          </w:divsChild>
        </w:div>
        <w:div w:id="1384282546">
          <w:marLeft w:val="0"/>
          <w:marRight w:val="0"/>
          <w:marTop w:val="0"/>
          <w:marBottom w:val="0"/>
          <w:divBdr>
            <w:top w:val="none" w:sz="0" w:space="0" w:color="auto"/>
            <w:left w:val="none" w:sz="0" w:space="0" w:color="auto"/>
            <w:bottom w:val="none" w:sz="0" w:space="0" w:color="auto"/>
            <w:right w:val="none" w:sz="0" w:space="0" w:color="auto"/>
          </w:divBdr>
        </w:div>
        <w:div w:id="1424185153">
          <w:marLeft w:val="0"/>
          <w:marRight w:val="0"/>
          <w:marTop w:val="60"/>
          <w:marBottom w:val="0"/>
          <w:divBdr>
            <w:top w:val="none" w:sz="0" w:space="0" w:color="auto"/>
            <w:left w:val="none" w:sz="0" w:space="0" w:color="auto"/>
            <w:bottom w:val="none" w:sz="0" w:space="0" w:color="auto"/>
            <w:right w:val="none" w:sz="0" w:space="0" w:color="auto"/>
          </w:divBdr>
        </w:div>
        <w:div w:id="111021110">
          <w:marLeft w:val="0"/>
          <w:marRight w:val="0"/>
          <w:marTop w:val="0"/>
          <w:marBottom w:val="0"/>
          <w:divBdr>
            <w:top w:val="none" w:sz="0" w:space="0" w:color="auto"/>
            <w:left w:val="none" w:sz="0" w:space="0" w:color="auto"/>
            <w:bottom w:val="none" w:sz="0" w:space="0" w:color="auto"/>
            <w:right w:val="none" w:sz="0" w:space="0" w:color="auto"/>
          </w:divBdr>
          <w:divsChild>
            <w:div w:id="1828745626">
              <w:marLeft w:val="0"/>
              <w:marRight w:val="0"/>
              <w:marTop w:val="0"/>
              <w:marBottom w:val="0"/>
              <w:divBdr>
                <w:top w:val="none" w:sz="0" w:space="0" w:color="auto"/>
                <w:left w:val="none" w:sz="0" w:space="0" w:color="auto"/>
                <w:bottom w:val="none" w:sz="0" w:space="0" w:color="auto"/>
                <w:right w:val="none" w:sz="0" w:space="0" w:color="auto"/>
              </w:divBdr>
            </w:div>
            <w:div w:id="1338968932">
              <w:marLeft w:val="0"/>
              <w:marRight w:val="0"/>
              <w:marTop w:val="0"/>
              <w:marBottom w:val="0"/>
              <w:divBdr>
                <w:top w:val="none" w:sz="0" w:space="0" w:color="auto"/>
                <w:left w:val="none" w:sz="0" w:space="0" w:color="auto"/>
                <w:bottom w:val="none" w:sz="0" w:space="0" w:color="auto"/>
                <w:right w:val="none" w:sz="0" w:space="0" w:color="auto"/>
              </w:divBdr>
            </w:div>
          </w:divsChild>
        </w:div>
        <w:div w:id="181668931">
          <w:marLeft w:val="0"/>
          <w:marRight w:val="0"/>
          <w:marTop w:val="0"/>
          <w:marBottom w:val="0"/>
          <w:divBdr>
            <w:top w:val="none" w:sz="0" w:space="0" w:color="auto"/>
            <w:left w:val="none" w:sz="0" w:space="0" w:color="auto"/>
            <w:bottom w:val="none" w:sz="0" w:space="0" w:color="auto"/>
            <w:right w:val="none" w:sz="0" w:space="0" w:color="auto"/>
          </w:divBdr>
        </w:div>
        <w:div w:id="1935477355">
          <w:marLeft w:val="0"/>
          <w:marRight w:val="0"/>
          <w:marTop w:val="60"/>
          <w:marBottom w:val="0"/>
          <w:divBdr>
            <w:top w:val="none" w:sz="0" w:space="0" w:color="auto"/>
            <w:left w:val="none" w:sz="0" w:space="0" w:color="auto"/>
            <w:bottom w:val="none" w:sz="0" w:space="0" w:color="auto"/>
            <w:right w:val="none" w:sz="0" w:space="0" w:color="auto"/>
          </w:divBdr>
          <w:divsChild>
            <w:div w:id="1805584164">
              <w:marLeft w:val="0"/>
              <w:marRight w:val="360"/>
              <w:marTop w:val="0"/>
              <w:marBottom w:val="0"/>
              <w:divBdr>
                <w:top w:val="none" w:sz="0" w:space="0" w:color="auto"/>
                <w:left w:val="none" w:sz="0" w:space="0" w:color="auto"/>
                <w:bottom w:val="none" w:sz="0" w:space="0" w:color="auto"/>
                <w:right w:val="none" w:sz="0" w:space="0" w:color="auto"/>
              </w:divBdr>
            </w:div>
          </w:divsChild>
        </w:div>
        <w:div w:id="1990787094">
          <w:marLeft w:val="0"/>
          <w:marRight w:val="0"/>
          <w:marTop w:val="0"/>
          <w:marBottom w:val="0"/>
          <w:divBdr>
            <w:top w:val="none" w:sz="0" w:space="0" w:color="auto"/>
            <w:left w:val="none" w:sz="0" w:space="0" w:color="auto"/>
            <w:bottom w:val="none" w:sz="0" w:space="0" w:color="auto"/>
            <w:right w:val="none" w:sz="0" w:space="0" w:color="auto"/>
          </w:divBdr>
          <w:divsChild>
            <w:div w:id="1187674834">
              <w:marLeft w:val="0"/>
              <w:marRight w:val="0"/>
              <w:marTop w:val="0"/>
              <w:marBottom w:val="0"/>
              <w:divBdr>
                <w:top w:val="none" w:sz="0" w:space="0" w:color="auto"/>
                <w:left w:val="none" w:sz="0" w:space="0" w:color="auto"/>
                <w:bottom w:val="none" w:sz="0" w:space="0" w:color="auto"/>
                <w:right w:val="none" w:sz="0" w:space="0" w:color="auto"/>
              </w:divBdr>
            </w:div>
            <w:div w:id="160779279">
              <w:marLeft w:val="0"/>
              <w:marRight w:val="0"/>
              <w:marTop w:val="0"/>
              <w:marBottom w:val="0"/>
              <w:divBdr>
                <w:top w:val="none" w:sz="0" w:space="0" w:color="auto"/>
                <w:left w:val="none" w:sz="0" w:space="0" w:color="auto"/>
                <w:bottom w:val="none" w:sz="0" w:space="0" w:color="auto"/>
                <w:right w:val="none" w:sz="0" w:space="0" w:color="auto"/>
              </w:divBdr>
            </w:div>
          </w:divsChild>
        </w:div>
        <w:div w:id="1663510719">
          <w:marLeft w:val="0"/>
          <w:marRight w:val="0"/>
          <w:marTop w:val="0"/>
          <w:marBottom w:val="0"/>
          <w:divBdr>
            <w:top w:val="none" w:sz="0" w:space="0" w:color="auto"/>
            <w:left w:val="none" w:sz="0" w:space="0" w:color="auto"/>
            <w:bottom w:val="none" w:sz="0" w:space="0" w:color="auto"/>
            <w:right w:val="none" w:sz="0" w:space="0" w:color="auto"/>
          </w:divBdr>
        </w:div>
        <w:div w:id="1044453156">
          <w:marLeft w:val="0"/>
          <w:marRight w:val="0"/>
          <w:marTop w:val="60"/>
          <w:marBottom w:val="0"/>
          <w:divBdr>
            <w:top w:val="none" w:sz="0" w:space="0" w:color="auto"/>
            <w:left w:val="none" w:sz="0" w:space="0" w:color="auto"/>
            <w:bottom w:val="none" w:sz="0" w:space="0" w:color="auto"/>
            <w:right w:val="none" w:sz="0" w:space="0" w:color="auto"/>
          </w:divBdr>
        </w:div>
        <w:div w:id="1496148706">
          <w:marLeft w:val="0"/>
          <w:marRight w:val="0"/>
          <w:marTop w:val="0"/>
          <w:marBottom w:val="0"/>
          <w:divBdr>
            <w:top w:val="none" w:sz="0" w:space="0" w:color="auto"/>
            <w:left w:val="none" w:sz="0" w:space="0" w:color="auto"/>
            <w:bottom w:val="none" w:sz="0" w:space="0" w:color="auto"/>
            <w:right w:val="none" w:sz="0" w:space="0" w:color="auto"/>
          </w:divBdr>
          <w:divsChild>
            <w:div w:id="1279726353">
              <w:marLeft w:val="0"/>
              <w:marRight w:val="0"/>
              <w:marTop w:val="0"/>
              <w:marBottom w:val="0"/>
              <w:divBdr>
                <w:top w:val="none" w:sz="0" w:space="0" w:color="auto"/>
                <w:left w:val="none" w:sz="0" w:space="0" w:color="auto"/>
                <w:bottom w:val="none" w:sz="0" w:space="0" w:color="auto"/>
                <w:right w:val="none" w:sz="0" w:space="0" w:color="auto"/>
              </w:divBdr>
            </w:div>
            <w:div w:id="282154186">
              <w:marLeft w:val="0"/>
              <w:marRight w:val="0"/>
              <w:marTop w:val="0"/>
              <w:marBottom w:val="0"/>
              <w:divBdr>
                <w:top w:val="none" w:sz="0" w:space="0" w:color="auto"/>
                <w:left w:val="none" w:sz="0" w:space="0" w:color="auto"/>
                <w:bottom w:val="none" w:sz="0" w:space="0" w:color="auto"/>
                <w:right w:val="none" w:sz="0" w:space="0" w:color="auto"/>
              </w:divBdr>
            </w:div>
          </w:divsChild>
        </w:div>
        <w:div w:id="214777393">
          <w:marLeft w:val="0"/>
          <w:marRight w:val="0"/>
          <w:marTop w:val="0"/>
          <w:marBottom w:val="0"/>
          <w:divBdr>
            <w:top w:val="none" w:sz="0" w:space="0" w:color="auto"/>
            <w:left w:val="none" w:sz="0" w:space="0" w:color="auto"/>
            <w:bottom w:val="none" w:sz="0" w:space="0" w:color="auto"/>
            <w:right w:val="none" w:sz="0" w:space="0" w:color="auto"/>
          </w:divBdr>
        </w:div>
        <w:div w:id="1967271067">
          <w:marLeft w:val="0"/>
          <w:marRight w:val="0"/>
          <w:marTop w:val="60"/>
          <w:marBottom w:val="0"/>
          <w:divBdr>
            <w:top w:val="none" w:sz="0" w:space="0" w:color="auto"/>
            <w:left w:val="none" w:sz="0" w:space="0" w:color="auto"/>
            <w:bottom w:val="none" w:sz="0" w:space="0" w:color="auto"/>
            <w:right w:val="none" w:sz="0" w:space="0" w:color="auto"/>
          </w:divBdr>
        </w:div>
        <w:div w:id="958536261">
          <w:marLeft w:val="0"/>
          <w:marRight w:val="0"/>
          <w:marTop w:val="0"/>
          <w:marBottom w:val="0"/>
          <w:divBdr>
            <w:top w:val="none" w:sz="0" w:space="0" w:color="auto"/>
            <w:left w:val="none" w:sz="0" w:space="0" w:color="auto"/>
            <w:bottom w:val="none" w:sz="0" w:space="0" w:color="auto"/>
            <w:right w:val="none" w:sz="0" w:space="0" w:color="auto"/>
          </w:divBdr>
          <w:divsChild>
            <w:div w:id="1138381675">
              <w:marLeft w:val="0"/>
              <w:marRight w:val="0"/>
              <w:marTop w:val="0"/>
              <w:marBottom w:val="0"/>
              <w:divBdr>
                <w:top w:val="none" w:sz="0" w:space="0" w:color="auto"/>
                <w:left w:val="none" w:sz="0" w:space="0" w:color="auto"/>
                <w:bottom w:val="none" w:sz="0" w:space="0" w:color="auto"/>
                <w:right w:val="none" w:sz="0" w:space="0" w:color="auto"/>
              </w:divBdr>
            </w:div>
            <w:div w:id="1525556271">
              <w:marLeft w:val="0"/>
              <w:marRight w:val="0"/>
              <w:marTop w:val="0"/>
              <w:marBottom w:val="0"/>
              <w:divBdr>
                <w:top w:val="none" w:sz="0" w:space="0" w:color="auto"/>
                <w:left w:val="none" w:sz="0" w:space="0" w:color="auto"/>
                <w:bottom w:val="none" w:sz="0" w:space="0" w:color="auto"/>
                <w:right w:val="none" w:sz="0" w:space="0" w:color="auto"/>
              </w:divBdr>
            </w:div>
          </w:divsChild>
        </w:div>
        <w:div w:id="1693843937">
          <w:marLeft w:val="0"/>
          <w:marRight w:val="0"/>
          <w:marTop w:val="0"/>
          <w:marBottom w:val="0"/>
          <w:divBdr>
            <w:top w:val="none" w:sz="0" w:space="0" w:color="auto"/>
            <w:left w:val="none" w:sz="0" w:space="0" w:color="auto"/>
            <w:bottom w:val="none" w:sz="0" w:space="0" w:color="auto"/>
            <w:right w:val="none" w:sz="0" w:space="0" w:color="auto"/>
          </w:divBdr>
        </w:div>
        <w:div w:id="1598170986">
          <w:marLeft w:val="0"/>
          <w:marRight w:val="0"/>
          <w:marTop w:val="60"/>
          <w:marBottom w:val="0"/>
          <w:divBdr>
            <w:top w:val="none" w:sz="0" w:space="0" w:color="auto"/>
            <w:left w:val="none" w:sz="0" w:space="0" w:color="auto"/>
            <w:bottom w:val="none" w:sz="0" w:space="0" w:color="auto"/>
            <w:right w:val="none" w:sz="0" w:space="0" w:color="auto"/>
          </w:divBdr>
          <w:divsChild>
            <w:div w:id="410927328">
              <w:marLeft w:val="0"/>
              <w:marRight w:val="360"/>
              <w:marTop w:val="0"/>
              <w:marBottom w:val="0"/>
              <w:divBdr>
                <w:top w:val="none" w:sz="0" w:space="0" w:color="auto"/>
                <w:left w:val="none" w:sz="0" w:space="0" w:color="auto"/>
                <w:bottom w:val="none" w:sz="0" w:space="0" w:color="auto"/>
                <w:right w:val="none" w:sz="0" w:space="0" w:color="auto"/>
              </w:divBdr>
            </w:div>
          </w:divsChild>
        </w:div>
        <w:div w:id="623537581">
          <w:marLeft w:val="0"/>
          <w:marRight w:val="0"/>
          <w:marTop w:val="0"/>
          <w:marBottom w:val="0"/>
          <w:divBdr>
            <w:top w:val="none" w:sz="0" w:space="0" w:color="auto"/>
            <w:left w:val="none" w:sz="0" w:space="0" w:color="auto"/>
            <w:bottom w:val="none" w:sz="0" w:space="0" w:color="auto"/>
            <w:right w:val="none" w:sz="0" w:space="0" w:color="auto"/>
          </w:divBdr>
          <w:divsChild>
            <w:div w:id="285353200">
              <w:marLeft w:val="0"/>
              <w:marRight w:val="0"/>
              <w:marTop w:val="0"/>
              <w:marBottom w:val="0"/>
              <w:divBdr>
                <w:top w:val="none" w:sz="0" w:space="0" w:color="auto"/>
                <w:left w:val="none" w:sz="0" w:space="0" w:color="auto"/>
                <w:bottom w:val="none" w:sz="0" w:space="0" w:color="auto"/>
                <w:right w:val="none" w:sz="0" w:space="0" w:color="auto"/>
              </w:divBdr>
            </w:div>
            <w:div w:id="504170607">
              <w:marLeft w:val="0"/>
              <w:marRight w:val="0"/>
              <w:marTop w:val="0"/>
              <w:marBottom w:val="0"/>
              <w:divBdr>
                <w:top w:val="none" w:sz="0" w:space="0" w:color="auto"/>
                <w:left w:val="none" w:sz="0" w:space="0" w:color="auto"/>
                <w:bottom w:val="none" w:sz="0" w:space="0" w:color="auto"/>
                <w:right w:val="none" w:sz="0" w:space="0" w:color="auto"/>
              </w:divBdr>
            </w:div>
          </w:divsChild>
        </w:div>
        <w:div w:id="671180276">
          <w:marLeft w:val="0"/>
          <w:marRight w:val="0"/>
          <w:marTop w:val="0"/>
          <w:marBottom w:val="0"/>
          <w:divBdr>
            <w:top w:val="none" w:sz="0" w:space="0" w:color="auto"/>
            <w:left w:val="none" w:sz="0" w:space="0" w:color="auto"/>
            <w:bottom w:val="none" w:sz="0" w:space="0" w:color="auto"/>
            <w:right w:val="none" w:sz="0" w:space="0" w:color="auto"/>
          </w:divBdr>
        </w:div>
        <w:div w:id="571500043">
          <w:marLeft w:val="0"/>
          <w:marRight w:val="0"/>
          <w:marTop w:val="60"/>
          <w:marBottom w:val="0"/>
          <w:divBdr>
            <w:top w:val="none" w:sz="0" w:space="0" w:color="auto"/>
            <w:left w:val="none" w:sz="0" w:space="0" w:color="auto"/>
            <w:bottom w:val="none" w:sz="0" w:space="0" w:color="auto"/>
            <w:right w:val="none" w:sz="0" w:space="0" w:color="auto"/>
          </w:divBdr>
          <w:divsChild>
            <w:div w:id="830408141">
              <w:marLeft w:val="0"/>
              <w:marRight w:val="360"/>
              <w:marTop w:val="0"/>
              <w:marBottom w:val="0"/>
              <w:divBdr>
                <w:top w:val="none" w:sz="0" w:space="0" w:color="auto"/>
                <w:left w:val="none" w:sz="0" w:space="0" w:color="auto"/>
                <w:bottom w:val="none" w:sz="0" w:space="0" w:color="auto"/>
                <w:right w:val="none" w:sz="0" w:space="0" w:color="auto"/>
              </w:divBdr>
              <w:divsChild>
                <w:div w:id="147077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10750">
          <w:marLeft w:val="0"/>
          <w:marRight w:val="0"/>
          <w:marTop w:val="0"/>
          <w:marBottom w:val="0"/>
          <w:divBdr>
            <w:top w:val="none" w:sz="0" w:space="0" w:color="auto"/>
            <w:left w:val="none" w:sz="0" w:space="0" w:color="auto"/>
            <w:bottom w:val="none" w:sz="0" w:space="0" w:color="auto"/>
            <w:right w:val="none" w:sz="0" w:space="0" w:color="auto"/>
          </w:divBdr>
          <w:divsChild>
            <w:div w:id="1719932847">
              <w:marLeft w:val="0"/>
              <w:marRight w:val="0"/>
              <w:marTop w:val="0"/>
              <w:marBottom w:val="0"/>
              <w:divBdr>
                <w:top w:val="none" w:sz="0" w:space="0" w:color="auto"/>
                <w:left w:val="none" w:sz="0" w:space="0" w:color="auto"/>
                <w:bottom w:val="none" w:sz="0" w:space="0" w:color="auto"/>
                <w:right w:val="none" w:sz="0" w:space="0" w:color="auto"/>
              </w:divBdr>
            </w:div>
            <w:div w:id="778258462">
              <w:marLeft w:val="0"/>
              <w:marRight w:val="0"/>
              <w:marTop w:val="0"/>
              <w:marBottom w:val="0"/>
              <w:divBdr>
                <w:top w:val="none" w:sz="0" w:space="0" w:color="auto"/>
                <w:left w:val="none" w:sz="0" w:space="0" w:color="auto"/>
                <w:bottom w:val="none" w:sz="0" w:space="0" w:color="auto"/>
                <w:right w:val="none" w:sz="0" w:space="0" w:color="auto"/>
              </w:divBdr>
            </w:div>
          </w:divsChild>
        </w:div>
        <w:div w:id="1171947048">
          <w:marLeft w:val="0"/>
          <w:marRight w:val="0"/>
          <w:marTop w:val="0"/>
          <w:marBottom w:val="0"/>
          <w:divBdr>
            <w:top w:val="none" w:sz="0" w:space="0" w:color="auto"/>
            <w:left w:val="none" w:sz="0" w:space="0" w:color="auto"/>
            <w:bottom w:val="none" w:sz="0" w:space="0" w:color="auto"/>
            <w:right w:val="none" w:sz="0" w:space="0" w:color="auto"/>
          </w:divBdr>
        </w:div>
        <w:div w:id="1737044601">
          <w:marLeft w:val="0"/>
          <w:marRight w:val="0"/>
          <w:marTop w:val="0"/>
          <w:marBottom w:val="0"/>
          <w:divBdr>
            <w:top w:val="none" w:sz="0" w:space="0" w:color="auto"/>
            <w:left w:val="none" w:sz="0" w:space="0" w:color="auto"/>
            <w:bottom w:val="none" w:sz="0" w:space="0" w:color="auto"/>
            <w:right w:val="none" w:sz="0" w:space="0" w:color="auto"/>
          </w:divBdr>
        </w:div>
        <w:div w:id="1945452553">
          <w:marLeft w:val="0"/>
          <w:marRight w:val="0"/>
          <w:marTop w:val="60"/>
          <w:marBottom w:val="0"/>
          <w:divBdr>
            <w:top w:val="none" w:sz="0" w:space="0" w:color="auto"/>
            <w:left w:val="none" w:sz="0" w:space="0" w:color="auto"/>
            <w:bottom w:val="none" w:sz="0" w:space="0" w:color="auto"/>
            <w:right w:val="none" w:sz="0" w:space="0" w:color="auto"/>
          </w:divBdr>
        </w:div>
        <w:div w:id="1703358055">
          <w:marLeft w:val="0"/>
          <w:marRight w:val="0"/>
          <w:marTop w:val="0"/>
          <w:marBottom w:val="0"/>
          <w:divBdr>
            <w:top w:val="none" w:sz="0" w:space="0" w:color="auto"/>
            <w:left w:val="none" w:sz="0" w:space="0" w:color="auto"/>
            <w:bottom w:val="none" w:sz="0" w:space="0" w:color="auto"/>
            <w:right w:val="none" w:sz="0" w:space="0" w:color="auto"/>
          </w:divBdr>
          <w:divsChild>
            <w:div w:id="755249989">
              <w:marLeft w:val="0"/>
              <w:marRight w:val="0"/>
              <w:marTop w:val="0"/>
              <w:marBottom w:val="0"/>
              <w:divBdr>
                <w:top w:val="none" w:sz="0" w:space="0" w:color="auto"/>
                <w:left w:val="none" w:sz="0" w:space="0" w:color="auto"/>
                <w:bottom w:val="none" w:sz="0" w:space="0" w:color="auto"/>
                <w:right w:val="none" w:sz="0" w:space="0" w:color="auto"/>
              </w:divBdr>
            </w:div>
            <w:div w:id="1887175853">
              <w:marLeft w:val="0"/>
              <w:marRight w:val="0"/>
              <w:marTop w:val="0"/>
              <w:marBottom w:val="0"/>
              <w:divBdr>
                <w:top w:val="none" w:sz="0" w:space="0" w:color="auto"/>
                <w:left w:val="none" w:sz="0" w:space="0" w:color="auto"/>
                <w:bottom w:val="none" w:sz="0" w:space="0" w:color="auto"/>
                <w:right w:val="none" w:sz="0" w:space="0" w:color="auto"/>
              </w:divBdr>
            </w:div>
          </w:divsChild>
        </w:div>
        <w:div w:id="1158496007">
          <w:marLeft w:val="0"/>
          <w:marRight w:val="0"/>
          <w:marTop w:val="0"/>
          <w:marBottom w:val="0"/>
          <w:divBdr>
            <w:top w:val="none" w:sz="0" w:space="0" w:color="auto"/>
            <w:left w:val="none" w:sz="0" w:space="0" w:color="auto"/>
            <w:bottom w:val="none" w:sz="0" w:space="0" w:color="auto"/>
            <w:right w:val="none" w:sz="0" w:space="0" w:color="auto"/>
          </w:divBdr>
        </w:div>
        <w:div w:id="61411145">
          <w:marLeft w:val="0"/>
          <w:marRight w:val="0"/>
          <w:marTop w:val="60"/>
          <w:marBottom w:val="0"/>
          <w:divBdr>
            <w:top w:val="none" w:sz="0" w:space="0" w:color="auto"/>
            <w:left w:val="none" w:sz="0" w:space="0" w:color="auto"/>
            <w:bottom w:val="none" w:sz="0" w:space="0" w:color="auto"/>
            <w:right w:val="none" w:sz="0" w:space="0" w:color="auto"/>
          </w:divBdr>
        </w:div>
        <w:div w:id="1593978057">
          <w:marLeft w:val="0"/>
          <w:marRight w:val="0"/>
          <w:marTop w:val="0"/>
          <w:marBottom w:val="0"/>
          <w:divBdr>
            <w:top w:val="none" w:sz="0" w:space="0" w:color="auto"/>
            <w:left w:val="none" w:sz="0" w:space="0" w:color="auto"/>
            <w:bottom w:val="none" w:sz="0" w:space="0" w:color="auto"/>
            <w:right w:val="none" w:sz="0" w:space="0" w:color="auto"/>
          </w:divBdr>
          <w:divsChild>
            <w:div w:id="2002350254">
              <w:marLeft w:val="0"/>
              <w:marRight w:val="0"/>
              <w:marTop w:val="0"/>
              <w:marBottom w:val="0"/>
              <w:divBdr>
                <w:top w:val="none" w:sz="0" w:space="0" w:color="auto"/>
                <w:left w:val="none" w:sz="0" w:space="0" w:color="auto"/>
                <w:bottom w:val="none" w:sz="0" w:space="0" w:color="auto"/>
                <w:right w:val="none" w:sz="0" w:space="0" w:color="auto"/>
              </w:divBdr>
            </w:div>
            <w:div w:id="2003196606">
              <w:marLeft w:val="0"/>
              <w:marRight w:val="0"/>
              <w:marTop w:val="0"/>
              <w:marBottom w:val="0"/>
              <w:divBdr>
                <w:top w:val="none" w:sz="0" w:space="0" w:color="auto"/>
                <w:left w:val="none" w:sz="0" w:space="0" w:color="auto"/>
                <w:bottom w:val="none" w:sz="0" w:space="0" w:color="auto"/>
                <w:right w:val="none" w:sz="0" w:space="0" w:color="auto"/>
              </w:divBdr>
            </w:div>
          </w:divsChild>
        </w:div>
        <w:div w:id="981153141">
          <w:marLeft w:val="0"/>
          <w:marRight w:val="0"/>
          <w:marTop w:val="0"/>
          <w:marBottom w:val="0"/>
          <w:divBdr>
            <w:top w:val="none" w:sz="0" w:space="0" w:color="auto"/>
            <w:left w:val="none" w:sz="0" w:space="0" w:color="auto"/>
            <w:bottom w:val="none" w:sz="0" w:space="0" w:color="auto"/>
            <w:right w:val="none" w:sz="0" w:space="0" w:color="auto"/>
          </w:divBdr>
        </w:div>
        <w:div w:id="1723560091">
          <w:marLeft w:val="0"/>
          <w:marRight w:val="0"/>
          <w:marTop w:val="60"/>
          <w:marBottom w:val="0"/>
          <w:divBdr>
            <w:top w:val="none" w:sz="0" w:space="0" w:color="auto"/>
            <w:left w:val="none" w:sz="0" w:space="0" w:color="auto"/>
            <w:bottom w:val="none" w:sz="0" w:space="0" w:color="auto"/>
            <w:right w:val="none" w:sz="0" w:space="0" w:color="auto"/>
          </w:divBdr>
        </w:div>
        <w:div w:id="1560051192">
          <w:marLeft w:val="0"/>
          <w:marRight w:val="0"/>
          <w:marTop w:val="0"/>
          <w:marBottom w:val="0"/>
          <w:divBdr>
            <w:top w:val="none" w:sz="0" w:space="0" w:color="auto"/>
            <w:left w:val="none" w:sz="0" w:space="0" w:color="auto"/>
            <w:bottom w:val="none" w:sz="0" w:space="0" w:color="auto"/>
            <w:right w:val="none" w:sz="0" w:space="0" w:color="auto"/>
          </w:divBdr>
          <w:divsChild>
            <w:div w:id="270822703">
              <w:marLeft w:val="0"/>
              <w:marRight w:val="0"/>
              <w:marTop w:val="0"/>
              <w:marBottom w:val="0"/>
              <w:divBdr>
                <w:top w:val="none" w:sz="0" w:space="0" w:color="auto"/>
                <w:left w:val="none" w:sz="0" w:space="0" w:color="auto"/>
                <w:bottom w:val="none" w:sz="0" w:space="0" w:color="auto"/>
                <w:right w:val="none" w:sz="0" w:space="0" w:color="auto"/>
              </w:divBdr>
            </w:div>
            <w:div w:id="1257790453">
              <w:marLeft w:val="0"/>
              <w:marRight w:val="0"/>
              <w:marTop w:val="0"/>
              <w:marBottom w:val="0"/>
              <w:divBdr>
                <w:top w:val="none" w:sz="0" w:space="0" w:color="auto"/>
                <w:left w:val="none" w:sz="0" w:space="0" w:color="auto"/>
                <w:bottom w:val="none" w:sz="0" w:space="0" w:color="auto"/>
                <w:right w:val="none" w:sz="0" w:space="0" w:color="auto"/>
              </w:divBdr>
            </w:div>
          </w:divsChild>
        </w:div>
        <w:div w:id="1040399806">
          <w:marLeft w:val="0"/>
          <w:marRight w:val="0"/>
          <w:marTop w:val="0"/>
          <w:marBottom w:val="0"/>
          <w:divBdr>
            <w:top w:val="none" w:sz="0" w:space="0" w:color="auto"/>
            <w:left w:val="none" w:sz="0" w:space="0" w:color="auto"/>
            <w:bottom w:val="none" w:sz="0" w:space="0" w:color="auto"/>
            <w:right w:val="none" w:sz="0" w:space="0" w:color="auto"/>
          </w:divBdr>
        </w:div>
        <w:div w:id="1103917682">
          <w:marLeft w:val="0"/>
          <w:marRight w:val="0"/>
          <w:marTop w:val="60"/>
          <w:marBottom w:val="0"/>
          <w:divBdr>
            <w:top w:val="none" w:sz="0" w:space="0" w:color="auto"/>
            <w:left w:val="none" w:sz="0" w:space="0" w:color="auto"/>
            <w:bottom w:val="none" w:sz="0" w:space="0" w:color="auto"/>
            <w:right w:val="none" w:sz="0" w:space="0" w:color="auto"/>
          </w:divBdr>
        </w:div>
        <w:div w:id="2035813043">
          <w:marLeft w:val="0"/>
          <w:marRight w:val="0"/>
          <w:marTop w:val="0"/>
          <w:marBottom w:val="0"/>
          <w:divBdr>
            <w:top w:val="none" w:sz="0" w:space="0" w:color="auto"/>
            <w:left w:val="none" w:sz="0" w:space="0" w:color="auto"/>
            <w:bottom w:val="none" w:sz="0" w:space="0" w:color="auto"/>
            <w:right w:val="none" w:sz="0" w:space="0" w:color="auto"/>
          </w:divBdr>
          <w:divsChild>
            <w:div w:id="570845186">
              <w:marLeft w:val="0"/>
              <w:marRight w:val="0"/>
              <w:marTop w:val="0"/>
              <w:marBottom w:val="0"/>
              <w:divBdr>
                <w:top w:val="none" w:sz="0" w:space="0" w:color="auto"/>
                <w:left w:val="none" w:sz="0" w:space="0" w:color="auto"/>
                <w:bottom w:val="none" w:sz="0" w:space="0" w:color="auto"/>
                <w:right w:val="none" w:sz="0" w:space="0" w:color="auto"/>
              </w:divBdr>
            </w:div>
            <w:div w:id="873689696">
              <w:marLeft w:val="0"/>
              <w:marRight w:val="0"/>
              <w:marTop w:val="0"/>
              <w:marBottom w:val="0"/>
              <w:divBdr>
                <w:top w:val="none" w:sz="0" w:space="0" w:color="auto"/>
                <w:left w:val="none" w:sz="0" w:space="0" w:color="auto"/>
                <w:bottom w:val="none" w:sz="0" w:space="0" w:color="auto"/>
                <w:right w:val="none" w:sz="0" w:space="0" w:color="auto"/>
              </w:divBdr>
            </w:div>
          </w:divsChild>
        </w:div>
        <w:div w:id="2040622026">
          <w:marLeft w:val="0"/>
          <w:marRight w:val="0"/>
          <w:marTop w:val="0"/>
          <w:marBottom w:val="0"/>
          <w:divBdr>
            <w:top w:val="none" w:sz="0" w:space="0" w:color="auto"/>
            <w:left w:val="none" w:sz="0" w:space="0" w:color="auto"/>
            <w:bottom w:val="none" w:sz="0" w:space="0" w:color="auto"/>
            <w:right w:val="none" w:sz="0" w:space="0" w:color="auto"/>
          </w:divBdr>
        </w:div>
        <w:div w:id="1220091823">
          <w:marLeft w:val="0"/>
          <w:marRight w:val="0"/>
          <w:marTop w:val="60"/>
          <w:marBottom w:val="0"/>
          <w:divBdr>
            <w:top w:val="none" w:sz="0" w:space="0" w:color="auto"/>
            <w:left w:val="none" w:sz="0" w:space="0" w:color="auto"/>
            <w:bottom w:val="none" w:sz="0" w:space="0" w:color="auto"/>
            <w:right w:val="none" w:sz="0" w:space="0" w:color="auto"/>
          </w:divBdr>
        </w:div>
        <w:div w:id="1056205356">
          <w:marLeft w:val="0"/>
          <w:marRight w:val="0"/>
          <w:marTop w:val="0"/>
          <w:marBottom w:val="0"/>
          <w:divBdr>
            <w:top w:val="none" w:sz="0" w:space="0" w:color="auto"/>
            <w:left w:val="none" w:sz="0" w:space="0" w:color="auto"/>
            <w:bottom w:val="none" w:sz="0" w:space="0" w:color="auto"/>
            <w:right w:val="none" w:sz="0" w:space="0" w:color="auto"/>
          </w:divBdr>
          <w:divsChild>
            <w:div w:id="462307427">
              <w:marLeft w:val="0"/>
              <w:marRight w:val="0"/>
              <w:marTop w:val="0"/>
              <w:marBottom w:val="0"/>
              <w:divBdr>
                <w:top w:val="none" w:sz="0" w:space="0" w:color="auto"/>
                <w:left w:val="none" w:sz="0" w:space="0" w:color="auto"/>
                <w:bottom w:val="none" w:sz="0" w:space="0" w:color="auto"/>
                <w:right w:val="none" w:sz="0" w:space="0" w:color="auto"/>
              </w:divBdr>
            </w:div>
            <w:div w:id="965812865">
              <w:marLeft w:val="0"/>
              <w:marRight w:val="0"/>
              <w:marTop w:val="0"/>
              <w:marBottom w:val="0"/>
              <w:divBdr>
                <w:top w:val="none" w:sz="0" w:space="0" w:color="auto"/>
                <w:left w:val="none" w:sz="0" w:space="0" w:color="auto"/>
                <w:bottom w:val="none" w:sz="0" w:space="0" w:color="auto"/>
                <w:right w:val="none" w:sz="0" w:space="0" w:color="auto"/>
              </w:divBdr>
            </w:div>
          </w:divsChild>
        </w:div>
        <w:div w:id="1108311834">
          <w:marLeft w:val="0"/>
          <w:marRight w:val="0"/>
          <w:marTop w:val="0"/>
          <w:marBottom w:val="0"/>
          <w:divBdr>
            <w:top w:val="none" w:sz="0" w:space="0" w:color="auto"/>
            <w:left w:val="none" w:sz="0" w:space="0" w:color="auto"/>
            <w:bottom w:val="none" w:sz="0" w:space="0" w:color="auto"/>
            <w:right w:val="none" w:sz="0" w:space="0" w:color="auto"/>
          </w:divBdr>
        </w:div>
        <w:div w:id="661662404">
          <w:marLeft w:val="0"/>
          <w:marRight w:val="0"/>
          <w:marTop w:val="60"/>
          <w:marBottom w:val="0"/>
          <w:divBdr>
            <w:top w:val="none" w:sz="0" w:space="0" w:color="auto"/>
            <w:left w:val="none" w:sz="0" w:space="0" w:color="auto"/>
            <w:bottom w:val="none" w:sz="0" w:space="0" w:color="auto"/>
            <w:right w:val="none" w:sz="0" w:space="0" w:color="auto"/>
          </w:divBdr>
        </w:div>
        <w:div w:id="38286225">
          <w:marLeft w:val="0"/>
          <w:marRight w:val="0"/>
          <w:marTop w:val="0"/>
          <w:marBottom w:val="0"/>
          <w:divBdr>
            <w:top w:val="none" w:sz="0" w:space="0" w:color="auto"/>
            <w:left w:val="none" w:sz="0" w:space="0" w:color="auto"/>
            <w:bottom w:val="none" w:sz="0" w:space="0" w:color="auto"/>
            <w:right w:val="none" w:sz="0" w:space="0" w:color="auto"/>
          </w:divBdr>
          <w:divsChild>
            <w:div w:id="655768134">
              <w:marLeft w:val="0"/>
              <w:marRight w:val="0"/>
              <w:marTop w:val="0"/>
              <w:marBottom w:val="0"/>
              <w:divBdr>
                <w:top w:val="none" w:sz="0" w:space="0" w:color="auto"/>
                <w:left w:val="none" w:sz="0" w:space="0" w:color="auto"/>
                <w:bottom w:val="none" w:sz="0" w:space="0" w:color="auto"/>
                <w:right w:val="none" w:sz="0" w:space="0" w:color="auto"/>
              </w:divBdr>
            </w:div>
            <w:div w:id="774786941">
              <w:marLeft w:val="0"/>
              <w:marRight w:val="0"/>
              <w:marTop w:val="0"/>
              <w:marBottom w:val="0"/>
              <w:divBdr>
                <w:top w:val="none" w:sz="0" w:space="0" w:color="auto"/>
                <w:left w:val="none" w:sz="0" w:space="0" w:color="auto"/>
                <w:bottom w:val="none" w:sz="0" w:space="0" w:color="auto"/>
                <w:right w:val="none" w:sz="0" w:space="0" w:color="auto"/>
              </w:divBdr>
            </w:div>
          </w:divsChild>
        </w:div>
        <w:div w:id="1363435203">
          <w:marLeft w:val="0"/>
          <w:marRight w:val="0"/>
          <w:marTop w:val="0"/>
          <w:marBottom w:val="0"/>
          <w:divBdr>
            <w:top w:val="none" w:sz="0" w:space="0" w:color="auto"/>
            <w:left w:val="none" w:sz="0" w:space="0" w:color="auto"/>
            <w:bottom w:val="none" w:sz="0" w:space="0" w:color="auto"/>
            <w:right w:val="none" w:sz="0" w:space="0" w:color="auto"/>
          </w:divBdr>
        </w:div>
        <w:div w:id="179324205">
          <w:marLeft w:val="0"/>
          <w:marRight w:val="0"/>
          <w:marTop w:val="60"/>
          <w:marBottom w:val="0"/>
          <w:divBdr>
            <w:top w:val="none" w:sz="0" w:space="0" w:color="auto"/>
            <w:left w:val="none" w:sz="0" w:space="0" w:color="auto"/>
            <w:bottom w:val="none" w:sz="0" w:space="0" w:color="auto"/>
            <w:right w:val="none" w:sz="0" w:space="0" w:color="auto"/>
          </w:divBdr>
        </w:div>
        <w:div w:id="783156872">
          <w:marLeft w:val="0"/>
          <w:marRight w:val="0"/>
          <w:marTop w:val="0"/>
          <w:marBottom w:val="0"/>
          <w:divBdr>
            <w:top w:val="none" w:sz="0" w:space="0" w:color="auto"/>
            <w:left w:val="none" w:sz="0" w:space="0" w:color="auto"/>
            <w:bottom w:val="none" w:sz="0" w:space="0" w:color="auto"/>
            <w:right w:val="none" w:sz="0" w:space="0" w:color="auto"/>
          </w:divBdr>
          <w:divsChild>
            <w:div w:id="1961951732">
              <w:marLeft w:val="0"/>
              <w:marRight w:val="0"/>
              <w:marTop w:val="0"/>
              <w:marBottom w:val="0"/>
              <w:divBdr>
                <w:top w:val="none" w:sz="0" w:space="0" w:color="auto"/>
                <w:left w:val="none" w:sz="0" w:space="0" w:color="auto"/>
                <w:bottom w:val="none" w:sz="0" w:space="0" w:color="auto"/>
                <w:right w:val="none" w:sz="0" w:space="0" w:color="auto"/>
              </w:divBdr>
            </w:div>
            <w:div w:id="1952855432">
              <w:marLeft w:val="0"/>
              <w:marRight w:val="0"/>
              <w:marTop w:val="0"/>
              <w:marBottom w:val="0"/>
              <w:divBdr>
                <w:top w:val="none" w:sz="0" w:space="0" w:color="auto"/>
                <w:left w:val="none" w:sz="0" w:space="0" w:color="auto"/>
                <w:bottom w:val="none" w:sz="0" w:space="0" w:color="auto"/>
                <w:right w:val="none" w:sz="0" w:space="0" w:color="auto"/>
              </w:divBdr>
            </w:div>
          </w:divsChild>
        </w:div>
        <w:div w:id="236912827">
          <w:marLeft w:val="0"/>
          <w:marRight w:val="0"/>
          <w:marTop w:val="0"/>
          <w:marBottom w:val="0"/>
          <w:divBdr>
            <w:top w:val="none" w:sz="0" w:space="0" w:color="auto"/>
            <w:left w:val="none" w:sz="0" w:space="0" w:color="auto"/>
            <w:bottom w:val="none" w:sz="0" w:space="0" w:color="auto"/>
            <w:right w:val="none" w:sz="0" w:space="0" w:color="auto"/>
          </w:divBdr>
        </w:div>
        <w:div w:id="279535757">
          <w:marLeft w:val="0"/>
          <w:marRight w:val="0"/>
          <w:marTop w:val="60"/>
          <w:marBottom w:val="0"/>
          <w:divBdr>
            <w:top w:val="none" w:sz="0" w:space="0" w:color="auto"/>
            <w:left w:val="none" w:sz="0" w:space="0" w:color="auto"/>
            <w:bottom w:val="none" w:sz="0" w:space="0" w:color="auto"/>
            <w:right w:val="none" w:sz="0" w:space="0" w:color="auto"/>
          </w:divBdr>
        </w:div>
        <w:div w:id="1886062425">
          <w:marLeft w:val="0"/>
          <w:marRight w:val="0"/>
          <w:marTop w:val="0"/>
          <w:marBottom w:val="0"/>
          <w:divBdr>
            <w:top w:val="none" w:sz="0" w:space="0" w:color="auto"/>
            <w:left w:val="none" w:sz="0" w:space="0" w:color="auto"/>
            <w:bottom w:val="none" w:sz="0" w:space="0" w:color="auto"/>
            <w:right w:val="none" w:sz="0" w:space="0" w:color="auto"/>
          </w:divBdr>
          <w:divsChild>
            <w:div w:id="643505151">
              <w:marLeft w:val="0"/>
              <w:marRight w:val="0"/>
              <w:marTop w:val="0"/>
              <w:marBottom w:val="0"/>
              <w:divBdr>
                <w:top w:val="none" w:sz="0" w:space="0" w:color="auto"/>
                <w:left w:val="none" w:sz="0" w:space="0" w:color="auto"/>
                <w:bottom w:val="none" w:sz="0" w:space="0" w:color="auto"/>
                <w:right w:val="none" w:sz="0" w:space="0" w:color="auto"/>
              </w:divBdr>
            </w:div>
            <w:div w:id="173149054">
              <w:marLeft w:val="0"/>
              <w:marRight w:val="0"/>
              <w:marTop w:val="0"/>
              <w:marBottom w:val="0"/>
              <w:divBdr>
                <w:top w:val="none" w:sz="0" w:space="0" w:color="auto"/>
                <w:left w:val="none" w:sz="0" w:space="0" w:color="auto"/>
                <w:bottom w:val="none" w:sz="0" w:space="0" w:color="auto"/>
                <w:right w:val="none" w:sz="0" w:space="0" w:color="auto"/>
              </w:divBdr>
            </w:div>
          </w:divsChild>
        </w:div>
        <w:div w:id="1575504419">
          <w:marLeft w:val="0"/>
          <w:marRight w:val="0"/>
          <w:marTop w:val="0"/>
          <w:marBottom w:val="0"/>
          <w:divBdr>
            <w:top w:val="none" w:sz="0" w:space="0" w:color="auto"/>
            <w:left w:val="none" w:sz="0" w:space="0" w:color="auto"/>
            <w:bottom w:val="none" w:sz="0" w:space="0" w:color="auto"/>
            <w:right w:val="none" w:sz="0" w:space="0" w:color="auto"/>
          </w:divBdr>
        </w:div>
        <w:div w:id="2138180483">
          <w:marLeft w:val="0"/>
          <w:marRight w:val="0"/>
          <w:marTop w:val="60"/>
          <w:marBottom w:val="0"/>
          <w:divBdr>
            <w:top w:val="none" w:sz="0" w:space="0" w:color="auto"/>
            <w:left w:val="none" w:sz="0" w:space="0" w:color="auto"/>
            <w:bottom w:val="none" w:sz="0" w:space="0" w:color="auto"/>
            <w:right w:val="none" w:sz="0" w:space="0" w:color="auto"/>
          </w:divBdr>
          <w:divsChild>
            <w:div w:id="878711823">
              <w:marLeft w:val="0"/>
              <w:marRight w:val="360"/>
              <w:marTop w:val="0"/>
              <w:marBottom w:val="0"/>
              <w:divBdr>
                <w:top w:val="none" w:sz="0" w:space="0" w:color="auto"/>
                <w:left w:val="none" w:sz="0" w:space="0" w:color="auto"/>
                <w:bottom w:val="none" w:sz="0" w:space="0" w:color="auto"/>
                <w:right w:val="none" w:sz="0" w:space="0" w:color="auto"/>
              </w:divBdr>
            </w:div>
          </w:divsChild>
        </w:div>
        <w:div w:id="1709640558">
          <w:marLeft w:val="0"/>
          <w:marRight w:val="0"/>
          <w:marTop w:val="0"/>
          <w:marBottom w:val="0"/>
          <w:divBdr>
            <w:top w:val="none" w:sz="0" w:space="0" w:color="auto"/>
            <w:left w:val="none" w:sz="0" w:space="0" w:color="auto"/>
            <w:bottom w:val="none" w:sz="0" w:space="0" w:color="auto"/>
            <w:right w:val="none" w:sz="0" w:space="0" w:color="auto"/>
          </w:divBdr>
          <w:divsChild>
            <w:div w:id="842283380">
              <w:marLeft w:val="0"/>
              <w:marRight w:val="0"/>
              <w:marTop w:val="0"/>
              <w:marBottom w:val="0"/>
              <w:divBdr>
                <w:top w:val="none" w:sz="0" w:space="0" w:color="auto"/>
                <w:left w:val="none" w:sz="0" w:space="0" w:color="auto"/>
                <w:bottom w:val="none" w:sz="0" w:space="0" w:color="auto"/>
                <w:right w:val="none" w:sz="0" w:space="0" w:color="auto"/>
              </w:divBdr>
            </w:div>
            <w:div w:id="1002857028">
              <w:marLeft w:val="0"/>
              <w:marRight w:val="0"/>
              <w:marTop w:val="0"/>
              <w:marBottom w:val="0"/>
              <w:divBdr>
                <w:top w:val="none" w:sz="0" w:space="0" w:color="auto"/>
                <w:left w:val="none" w:sz="0" w:space="0" w:color="auto"/>
                <w:bottom w:val="none" w:sz="0" w:space="0" w:color="auto"/>
                <w:right w:val="none" w:sz="0" w:space="0" w:color="auto"/>
              </w:divBdr>
            </w:div>
          </w:divsChild>
        </w:div>
        <w:div w:id="60175327">
          <w:marLeft w:val="0"/>
          <w:marRight w:val="0"/>
          <w:marTop w:val="0"/>
          <w:marBottom w:val="0"/>
          <w:divBdr>
            <w:top w:val="none" w:sz="0" w:space="0" w:color="auto"/>
            <w:left w:val="none" w:sz="0" w:space="0" w:color="auto"/>
            <w:bottom w:val="none" w:sz="0" w:space="0" w:color="auto"/>
            <w:right w:val="none" w:sz="0" w:space="0" w:color="auto"/>
          </w:divBdr>
        </w:div>
        <w:div w:id="2078941133">
          <w:marLeft w:val="0"/>
          <w:marRight w:val="0"/>
          <w:marTop w:val="60"/>
          <w:marBottom w:val="0"/>
          <w:divBdr>
            <w:top w:val="none" w:sz="0" w:space="0" w:color="auto"/>
            <w:left w:val="none" w:sz="0" w:space="0" w:color="auto"/>
            <w:bottom w:val="none" w:sz="0" w:space="0" w:color="auto"/>
            <w:right w:val="none" w:sz="0" w:space="0" w:color="auto"/>
          </w:divBdr>
        </w:div>
        <w:div w:id="710231417">
          <w:marLeft w:val="0"/>
          <w:marRight w:val="0"/>
          <w:marTop w:val="0"/>
          <w:marBottom w:val="0"/>
          <w:divBdr>
            <w:top w:val="none" w:sz="0" w:space="0" w:color="auto"/>
            <w:left w:val="none" w:sz="0" w:space="0" w:color="auto"/>
            <w:bottom w:val="none" w:sz="0" w:space="0" w:color="auto"/>
            <w:right w:val="none" w:sz="0" w:space="0" w:color="auto"/>
          </w:divBdr>
          <w:divsChild>
            <w:div w:id="467667969">
              <w:marLeft w:val="0"/>
              <w:marRight w:val="0"/>
              <w:marTop w:val="0"/>
              <w:marBottom w:val="0"/>
              <w:divBdr>
                <w:top w:val="none" w:sz="0" w:space="0" w:color="auto"/>
                <w:left w:val="none" w:sz="0" w:space="0" w:color="auto"/>
                <w:bottom w:val="none" w:sz="0" w:space="0" w:color="auto"/>
                <w:right w:val="none" w:sz="0" w:space="0" w:color="auto"/>
              </w:divBdr>
            </w:div>
            <w:div w:id="13073604">
              <w:marLeft w:val="0"/>
              <w:marRight w:val="0"/>
              <w:marTop w:val="0"/>
              <w:marBottom w:val="0"/>
              <w:divBdr>
                <w:top w:val="none" w:sz="0" w:space="0" w:color="auto"/>
                <w:left w:val="none" w:sz="0" w:space="0" w:color="auto"/>
                <w:bottom w:val="none" w:sz="0" w:space="0" w:color="auto"/>
                <w:right w:val="none" w:sz="0" w:space="0" w:color="auto"/>
              </w:divBdr>
            </w:div>
          </w:divsChild>
        </w:div>
        <w:div w:id="1248536244">
          <w:marLeft w:val="0"/>
          <w:marRight w:val="0"/>
          <w:marTop w:val="0"/>
          <w:marBottom w:val="0"/>
          <w:divBdr>
            <w:top w:val="none" w:sz="0" w:space="0" w:color="auto"/>
            <w:left w:val="none" w:sz="0" w:space="0" w:color="auto"/>
            <w:bottom w:val="none" w:sz="0" w:space="0" w:color="auto"/>
            <w:right w:val="none" w:sz="0" w:space="0" w:color="auto"/>
          </w:divBdr>
        </w:div>
        <w:div w:id="1460222078">
          <w:marLeft w:val="0"/>
          <w:marRight w:val="0"/>
          <w:marTop w:val="60"/>
          <w:marBottom w:val="0"/>
          <w:divBdr>
            <w:top w:val="none" w:sz="0" w:space="0" w:color="auto"/>
            <w:left w:val="none" w:sz="0" w:space="0" w:color="auto"/>
            <w:bottom w:val="none" w:sz="0" w:space="0" w:color="auto"/>
            <w:right w:val="none" w:sz="0" w:space="0" w:color="auto"/>
          </w:divBdr>
        </w:div>
        <w:div w:id="1654870353">
          <w:marLeft w:val="0"/>
          <w:marRight w:val="0"/>
          <w:marTop w:val="0"/>
          <w:marBottom w:val="0"/>
          <w:divBdr>
            <w:top w:val="none" w:sz="0" w:space="0" w:color="auto"/>
            <w:left w:val="none" w:sz="0" w:space="0" w:color="auto"/>
            <w:bottom w:val="none" w:sz="0" w:space="0" w:color="auto"/>
            <w:right w:val="none" w:sz="0" w:space="0" w:color="auto"/>
          </w:divBdr>
          <w:divsChild>
            <w:div w:id="1289123849">
              <w:marLeft w:val="0"/>
              <w:marRight w:val="0"/>
              <w:marTop w:val="0"/>
              <w:marBottom w:val="0"/>
              <w:divBdr>
                <w:top w:val="none" w:sz="0" w:space="0" w:color="auto"/>
                <w:left w:val="none" w:sz="0" w:space="0" w:color="auto"/>
                <w:bottom w:val="none" w:sz="0" w:space="0" w:color="auto"/>
                <w:right w:val="none" w:sz="0" w:space="0" w:color="auto"/>
              </w:divBdr>
            </w:div>
            <w:div w:id="221405447">
              <w:marLeft w:val="0"/>
              <w:marRight w:val="0"/>
              <w:marTop w:val="0"/>
              <w:marBottom w:val="0"/>
              <w:divBdr>
                <w:top w:val="none" w:sz="0" w:space="0" w:color="auto"/>
                <w:left w:val="none" w:sz="0" w:space="0" w:color="auto"/>
                <w:bottom w:val="none" w:sz="0" w:space="0" w:color="auto"/>
                <w:right w:val="none" w:sz="0" w:space="0" w:color="auto"/>
              </w:divBdr>
            </w:div>
          </w:divsChild>
        </w:div>
        <w:div w:id="951204051">
          <w:marLeft w:val="0"/>
          <w:marRight w:val="0"/>
          <w:marTop w:val="0"/>
          <w:marBottom w:val="0"/>
          <w:divBdr>
            <w:top w:val="none" w:sz="0" w:space="0" w:color="auto"/>
            <w:left w:val="none" w:sz="0" w:space="0" w:color="auto"/>
            <w:bottom w:val="none" w:sz="0" w:space="0" w:color="auto"/>
            <w:right w:val="none" w:sz="0" w:space="0" w:color="auto"/>
          </w:divBdr>
        </w:div>
        <w:div w:id="261644662">
          <w:marLeft w:val="0"/>
          <w:marRight w:val="0"/>
          <w:marTop w:val="60"/>
          <w:marBottom w:val="0"/>
          <w:divBdr>
            <w:top w:val="none" w:sz="0" w:space="0" w:color="auto"/>
            <w:left w:val="none" w:sz="0" w:space="0" w:color="auto"/>
            <w:bottom w:val="none" w:sz="0" w:space="0" w:color="auto"/>
            <w:right w:val="none" w:sz="0" w:space="0" w:color="auto"/>
          </w:divBdr>
          <w:divsChild>
            <w:div w:id="33162944">
              <w:marLeft w:val="0"/>
              <w:marRight w:val="360"/>
              <w:marTop w:val="0"/>
              <w:marBottom w:val="0"/>
              <w:divBdr>
                <w:top w:val="none" w:sz="0" w:space="0" w:color="auto"/>
                <w:left w:val="none" w:sz="0" w:space="0" w:color="auto"/>
                <w:bottom w:val="none" w:sz="0" w:space="0" w:color="auto"/>
                <w:right w:val="none" w:sz="0" w:space="0" w:color="auto"/>
              </w:divBdr>
            </w:div>
          </w:divsChild>
        </w:div>
        <w:div w:id="55666319">
          <w:marLeft w:val="0"/>
          <w:marRight w:val="0"/>
          <w:marTop w:val="0"/>
          <w:marBottom w:val="0"/>
          <w:divBdr>
            <w:top w:val="none" w:sz="0" w:space="0" w:color="auto"/>
            <w:left w:val="none" w:sz="0" w:space="0" w:color="auto"/>
            <w:bottom w:val="none" w:sz="0" w:space="0" w:color="auto"/>
            <w:right w:val="none" w:sz="0" w:space="0" w:color="auto"/>
          </w:divBdr>
          <w:divsChild>
            <w:div w:id="214003220">
              <w:marLeft w:val="0"/>
              <w:marRight w:val="0"/>
              <w:marTop w:val="0"/>
              <w:marBottom w:val="0"/>
              <w:divBdr>
                <w:top w:val="none" w:sz="0" w:space="0" w:color="auto"/>
                <w:left w:val="none" w:sz="0" w:space="0" w:color="auto"/>
                <w:bottom w:val="none" w:sz="0" w:space="0" w:color="auto"/>
                <w:right w:val="none" w:sz="0" w:space="0" w:color="auto"/>
              </w:divBdr>
            </w:div>
            <w:div w:id="706295028">
              <w:marLeft w:val="0"/>
              <w:marRight w:val="0"/>
              <w:marTop w:val="0"/>
              <w:marBottom w:val="0"/>
              <w:divBdr>
                <w:top w:val="none" w:sz="0" w:space="0" w:color="auto"/>
                <w:left w:val="none" w:sz="0" w:space="0" w:color="auto"/>
                <w:bottom w:val="none" w:sz="0" w:space="0" w:color="auto"/>
                <w:right w:val="none" w:sz="0" w:space="0" w:color="auto"/>
              </w:divBdr>
            </w:div>
          </w:divsChild>
        </w:div>
        <w:div w:id="818614448">
          <w:marLeft w:val="0"/>
          <w:marRight w:val="0"/>
          <w:marTop w:val="0"/>
          <w:marBottom w:val="0"/>
          <w:divBdr>
            <w:top w:val="none" w:sz="0" w:space="0" w:color="auto"/>
            <w:left w:val="none" w:sz="0" w:space="0" w:color="auto"/>
            <w:bottom w:val="none" w:sz="0" w:space="0" w:color="auto"/>
            <w:right w:val="none" w:sz="0" w:space="0" w:color="auto"/>
          </w:divBdr>
        </w:div>
        <w:div w:id="1501584729">
          <w:marLeft w:val="0"/>
          <w:marRight w:val="0"/>
          <w:marTop w:val="60"/>
          <w:marBottom w:val="0"/>
          <w:divBdr>
            <w:top w:val="none" w:sz="0" w:space="0" w:color="auto"/>
            <w:left w:val="none" w:sz="0" w:space="0" w:color="auto"/>
            <w:bottom w:val="none" w:sz="0" w:space="0" w:color="auto"/>
            <w:right w:val="none" w:sz="0" w:space="0" w:color="auto"/>
          </w:divBdr>
          <w:divsChild>
            <w:div w:id="882136826">
              <w:marLeft w:val="0"/>
              <w:marRight w:val="360"/>
              <w:marTop w:val="0"/>
              <w:marBottom w:val="0"/>
              <w:divBdr>
                <w:top w:val="none" w:sz="0" w:space="0" w:color="auto"/>
                <w:left w:val="none" w:sz="0" w:space="0" w:color="auto"/>
                <w:bottom w:val="none" w:sz="0" w:space="0" w:color="auto"/>
                <w:right w:val="none" w:sz="0" w:space="0" w:color="auto"/>
              </w:divBdr>
            </w:div>
          </w:divsChild>
        </w:div>
        <w:div w:id="1255439933">
          <w:marLeft w:val="0"/>
          <w:marRight w:val="0"/>
          <w:marTop w:val="0"/>
          <w:marBottom w:val="0"/>
          <w:divBdr>
            <w:top w:val="none" w:sz="0" w:space="0" w:color="auto"/>
            <w:left w:val="none" w:sz="0" w:space="0" w:color="auto"/>
            <w:bottom w:val="none" w:sz="0" w:space="0" w:color="auto"/>
            <w:right w:val="none" w:sz="0" w:space="0" w:color="auto"/>
          </w:divBdr>
          <w:divsChild>
            <w:div w:id="1274937637">
              <w:marLeft w:val="0"/>
              <w:marRight w:val="0"/>
              <w:marTop w:val="0"/>
              <w:marBottom w:val="0"/>
              <w:divBdr>
                <w:top w:val="none" w:sz="0" w:space="0" w:color="auto"/>
                <w:left w:val="none" w:sz="0" w:space="0" w:color="auto"/>
                <w:bottom w:val="none" w:sz="0" w:space="0" w:color="auto"/>
                <w:right w:val="none" w:sz="0" w:space="0" w:color="auto"/>
              </w:divBdr>
            </w:div>
            <w:div w:id="2076852751">
              <w:marLeft w:val="0"/>
              <w:marRight w:val="0"/>
              <w:marTop w:val="0"/>
              <w:marBottom w:val="0"/>
              <w:divBdr>
                <w:top w:val="none" w:sz="0" w:space="0" w:color="auto"/>
                <w:left w:val="none" w:sz="0" w:space="0" w:color="auto"/>
                <w:bottom w:val="none" w:sz="0" w:space="0" w:color="auto"/>
                <w:right w:val="none" w:sz="0" w:space="0" w:color="auto"/>
              </w:divBdr>
            </w:div>
          </w:divsChild>
        </w:div>
        <w:div w:id="550774513">
          <w:marLeft w:val="0"/>
          <w:marRight w:val="0"/>
          <w:marTop w:val="0"/>
          <w:marBottom w:val="0"/>
          <w:divBdr>
            <w:top w:val="none" w:sz="0" w:space="0" w:color="auto"/>
            <w:left w:val="none" w:sz="0" w:space="0" w:color="auto"/>
            <w:bottom w:val="none" w:sz="0" w:space="0" w:color="auto"/>
            <w:right w:val="none" w:sz="0" w:space="0" w:color="auto"/>
          </w:divBdr>
        </w:div>
        <w:div w:id="160437734">
          <w:marLeft w:val="0"/>
          <w:marRight w:val="0"/>
          <w:marTop w:val="60"/>
          <w:marBottom w:val="0"/>
          <w:divBdr>
            <w:top w:val="none" w:sz="0" w:space="0" w:color="auto"/>
            <w:left w:val="none" w:sz="0" w:space="0" w:color="auto"/>
            <w:bottom w:val="none" w:sz="0" w:space="0" w:color="auto"/>
            <w:right w:val="none" w:sz="0" w:space="0" w:color="auto"/>
          </w:divBdr>
        </w:div>
        <w:div w:id="1930507992">
          <w:marLeft w:val="0"/>
          <w:marRight w:val="0"/>
          <w:marTop w:val="0"/>
          <w:marBottom w:val="0"/>
          <w:divBdr>
            <w:top w:val="none" w:sz="0" w:space="0" w:color="auto"/>
            <w:left w:val="none" w:sz="0" w:space="0" w:color="auto"/>
            <w:bottom w:val="none" w:sz="0" w:space="0" w:color="auto"/>
            <w:right w:val="none" w:sz="0" w:space="0" w:color="auto"/>
          </w:divBdr>
          <w:divsChild>
            <w:div w:id="817234926">
              <w:marLeft w:val="0"/>
              <w:marRight w:val="0"/>
              <w:marTop w:val="0"/>
              <w:marBottom w:val="0"/>
              <w:divBdr>
                <w:top w:val="none" w:sz="0" w:space="0" w:color="auto"/>
                <w:left w:val="none" w:sz="0" w:space="0" w:color="auto"/>
                <w:bottom w:val="none" w:sz="0" w:space="0" w:color="auto"/>
                <w:right w:val="none" w:sz="0" w:space="0" w:color="auto"/>
              </w:divBdr>
            </w:div>
            <w:div w:id="1015764994">
              <w:marLeft w:val="0"/>
              <w:marRight w:val="0"/>
              <w:marTop w:val="0"/>
              <w:marBottom w:val="0"/>
              <w:divBdr>
                <w:top w:val="none" w:sz="0" w:space="0" w:color="auto"/>
                <w:left w:val="none" w:sz="0" w:space="0" w:color="auto"/>
                <w:bottom w:val="none" w:sz="0" w:space="0" w:color="auto"/>
                <w:right w:val="none" w:sz="0" w:space="0" w:color="auto"/>
              </w:divBdr>
            </w:div>
          </w:divsChild>
        </w:div>
        <w:div w:id="237517409">
          <w:marLeft w:val="0"/>
          <w:marRight w:val="0"/>
          <w:marTop w:val="0"/>
          <w:marBottom w:val="0"/>
          <w:divBdr>
            <w:top w:val="none" w:sz="0" w:space="0" w:color="auto"/>
            <w:left w:val="none" w:sz="0" w:space="0" w:color="auto"/>
            <w:bottom w:val="none" w:sz="0" w:space="0" w:color="auto"/>
            <w:right w:val="none" w:sz="0" w:space="0" w:color="auto"/>
          </w:divBdr>
        </w:div>
        <w:div w:id="1128204658">
          <w:marLeft w:val="0"/>
          <w:marRight w:val="0"/>
          <w:marTop w:val="60"/>
          <w:marBottom w:val="0"/>
          <w:divBdr>
            <w:top w:val="none" w:sz="0" w:space="0" w:color="auto"/>
            <w:left w:val="none" w:sz="0" w:space="0" w:color="auto"/>
            <w:bottom w:val="none" w:sz="0" w:space="0" w:color="auto"/>
            <w:right w:val="none" w:sz="0" w:space="0" w:color="auto"/>
          </w:divBdr>
        </w:div>
        <w:div w:id="543635966">
          <w:marLeft w:val="0"/>
          <w:marRight w:val="0"/>
          <w:marTop w:val="0"/>
          <w:marBottom w:val="0"/>
          <w:divBdr>
            <w:top w:val="none" w:sz="0" w:space="0" w:color="auto"/>
            <w:left w:val="none" w:sz="0" w:space="0" w:color="auto"/>
            <w:bottom w:val="none" w:sz="0" w:space="0" w:color="auto"/>
            <w:right w:val="none" w:sz="0" w:space="0" w:color="auto"/>
          </w:divBdr>
          <w:divsChild>
            <w:div w:id="1651473677">
              <w:marLeft w:val="0"/>
              <w:marRight w:val="0"/>
              <w:marTop w:val="0"/>
              <w:marBottom w:val="0"/>
              <w:divBdr>
                <w:top w:val="none" w:sz="0" w:space="0" w:color="auto"/>
                <w:left w:val="none" w:sz="0" w:space="0" w:color="auto"/>
                <w:bottom w:val="none" w:sz="0" w:space="0" w:color="auto"/>
                <w:right w:val="none" w:sz="0" w:space="0" w:color="auto"/>
              </w:divBdr>
            </w:div>
            <w:div w:id="145708993">
              <w:marLeft w:val="0"/>
              <w:marRight w:val="0"/>
              <w:marTop w:val="0"/>
              <w:marBottom w:val="0"/>
              <w:divBdr>
                <w:top w:val="none" w:sz="0" w:space="0" w:color="auto"/>
                <w:left w:val="none" w:sz="0" w:space="0" w:color="auto"/>
                <w:bottom w:val="none" w:sz="0" w:space="0" w:color="auto"/>
                <w:right w:val="none" w:sz="0" w:space="0" w:color="auto"/>
              </w:divBdr>
            </w:div>
          </w:divsChild>
        </w:div>
        <w:div w:id="1431512533">
          <w:marLeft w:val="0"/>
          <w:marRight w:val="0"/>
          <w:marTop w:val="0"/>
          <w:marBottom w:val="0"/>
          <w:divBdr>
            <w:top w:val="none" w:sz="0" w:space="0" w:color="auto"/>
            <w:left w:val="none" w:sz="0" w:space="0" w:color="auto"/>
            <w:bottom w:val="none" w:sz="0" w:space="0" w:color="auto"/>
            <w:right w:val="none" w:sz="0" w:space="0" w:color="auto"/>
          </w:divBdr>
        </w:div>
        <w:div w:id="1712725175">
          <w:marLeft w:val="0"/>
          <w:marRight w:val="0"/>
          <w:marTop w:val="60"/>
          <w:marBottom w:val="0"/>
          <w:divBdr>
            <w:top w:val="none" w:sz="0" w:space="0" w:color="auto"/>
            <w:left w:val="none" w:sz="0" w:space="0" w:color="auto"/>
            <w:bottom w:val="none" w:sz="0" w:space="0" w:color="auto"/>
            <w:right w:val="none" w:sz="0" w:space="0" w:color="auto"/>
          </w:divBdr>
        </w:div>
        <w:div w:id="242031752">
          <w:marLeft w:val="0"/>
          <w:marRight w:val="0"/>
          <w:marTop w:val="0"/>
          <w:marBottom w:val="0"/>
          <w:divBdr>
            <w:top w:val="none" w:sz="0" w:space="0" w:color="auto"/>
            <w:left w:val="none" w:sz="0" w:space="0" w:color="auto"/>
            <w:bottom w:val="none" w:sz="0" w:space="0" w:color="auto"/>
            <w:right w:val="none" w:sz="0" w:space="0" w:color="auto"/>
          </w:divBdr>
          <w:divsChild>
            <w:div w:id="943152849">
              <w:marLeft w:val="0"/>
              <w:marRight w:val="0"/>
              <w:marTop w:val="0"/>
              <w:marBottom w:val="0"/>
              <w:divBdr>
                <w:top w:val="none" w:sz="0" w:space="0" w:color="auto"/>
                <w:left w:val="none" w:sz="0" w:space="0" w:color="auto"/>
                <w:bottom w:val="none" w:sz="0" w:space="0" w:color="auto"/>
                <w:right w:val="none" w:sz="0" w:space="0" w:color="auto"/>
              </w:divBdr>
            </w:div>
            <w:div w:id="774980997">
              <w:marLeft w:val="0"/>
              <w:marRight w:val="0"/>
              <w:marTop w:val="0"/>
              <w:marBottom w:val="0"/>
              <w:divBdr>
                <w:top w:val="none" w:sz="0" w:space="0" w:color="auto"/>
                <w:left w:val="none" w:sz="0" w:space="0" w:color="auto"/>
                <w:bottom w:val="none" w:sz="0" w:space="0" w:color="auto"/>
                <w:right w:val="none" w:sz="0" w:space="0" w:color="auto"/>
              </w:divBdr>
            </w:div>
          </w:divsChild>
        </w:div>
        <w:div w:id="756632380">
          <w:marLeft w:val="0"/>
          <w:marRight w:val="0"/>
          <w:marTop w:val="0"/>
          <w:marBottom w:val="0"/>
          <w:divBdr>
            <w:top w:val="none" w:sz="0" w:space="0" w:color="auto"/>
            <w:left w:val="none" w:sz="0" w:space="0" w:color="auto"/>
            <w:bottom w:val="none" w:sz="0" w:space="0" w:color="auto"/>
            <w:right w:val="none" w:sz="0" w:space="0" w:color="auto"/>
          </w:divBdr>
        </w:div>
        <w:div w:id="1422992658">
          <w:marLeft w:val="0"/>
          <w:marRight w:val="0"/>
          <w:marTop w:val="60"/>
          <w:marBottom w:val="0"/>
          <w:divBdr>
            <w:top w:val="none" w:sz="0" w:space="0" w:color="auto"/>
            <w:left w:val="none" w:sz="0" w:space="0" w:color="auto"/>
            <w:bottom w:val="none" w:sz="0" w:space="0" w:color="auto"/>
            <w:right w:val="none" w:sz="0" w:space="0" w:color="auto"/>
          </w:divBdr>
        </w:div>
        <w:div w:id="1660845329">
          <w:marLeft w:val="0"/>
          <w:marRight w:val="0"/>
          <w:marTop w:val="0"/>
          <w:marBottom w:val="0"/>
          <w:divBdr>
            <w:top w:val="none" w:sz="0" w:space="0" w:color="auto"/>
            <w:left w:val="none" w:sz="0" w:space="0" w:color="auto"/>
            <w:bottom w:val="none" w:sz="0" w:space="0" w:color="auto"/>
            <w:right w:val="none" w:sz="0" w:space="0" w:color="auto"/>
          </w:divBdr>
          <w:divsChild>
            <w:div w:id="1221554110">
              <w:marLeft w:val="0"/>
              <w:marRight w:val="0"/>
              <w:marTop w:val="0"/>
              <w:marBottom w:val="0"/>
              <w:divBdr>
                <w:top w:val="none" w:sz="0" w:space="0" w:color="auto"/>
                <w:left w:val="none" w:sz="0" w:space="0" w:color="auto"/>
                <w:bottom w:val="none" w:sz="0" w:space="0" w:color="auto"/>
                <w:right w:val="none" w:sz="0" w:space="0" w:color="auto"/>
              </w:divBdr>
            </w:div>
            <w:div w:id="1733964836">
              <w:marLeft w:val="0"/>
              <w:marRight w:val="0"/>
              <w:marTop w:val="0"/>
              <w:marBottom w:val="0"/>
              <w:divBdr>
                <w:top w:val="none" w:sz="0" w:space="0" w:color="auto"/>
                <w:left w:val="none" w:sz="0" w:space="0" w:color="auto"/>
                <w:bottom w:val="none" w:sz="0" w:space="0" w:color="auto"/>
                <w:right w:val="none" w:sz="0" w:space="0" w:color="auto"/>
              </w:divBdr>
            </w:div>
          </w:divsChild>
        </w:div>
        <w:div w:id="268778225">
          <w:marLeft w:val="0"/>
          <w:marRight w:val="0"/>
          <w:marTop w:val="0"/>
          <w:marBottom w:val="0"/>
          <w:divBdr>
            <w:top w:val="none" w:sz="0" w:space="0" w:color="auto"/>
            <w:left w:val="none" w:sz="0" w:space="0" w:color="auto"/>
            <w:bottom w:val="none" w:sz="0" w:space="0" w:color="auto"/>
            <w:right w:val="none" w:sz="0" w:space="0" w:color="auto"/>
          </w:divBdr>
        </w:div>
        <w:div w:id="1504667982">
          <w:marLeft w:val="0"/>
          <w:marRight w:val="0"/>
          <w:marTop w:val="60"/>
          <w:marBottom w:val="0"/>
          <w:divBdr>
            <w:top w:val="none" w:sz="0" w:space="0" w:color="auto"/>
            <w:left w:val="none" w:sz="0" w:space="0" w:color="auto"/>
            <w:bottom w:val="none" w:sz="0" w:space="0" w:color="auto"/>
            <w:right w:val="none" w:sz="0" w:space="0" w:color="auto"/>
          </w:divBdr>
          <w:divsChild>
            <w:div w:id="1006708594">
              <w:marLeft w:val="0"/>
              <w:marRight w:val="360"/>
              <w:marTop w:val="0"/>
              <w:marBottom w:val="0"/>
              <w:divBdr>
                <w:top w:val="none" w:sz="0" w:space="0" w:color="auto"/>
                <w:left w:val="none" w:sz="0" w:space="0" w:color="auto"/>
                <w:bottom w:val="none" w:sz="0" w:space="0" w:color="auto"/>
                <w:right w:val="none" w:sz="0" w:space="0" w:color="auto"/>
              </w:divBdr>
              <w:divsChild>
                <w:div w:id="108580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703669">
          <w:marLeft w:val="0"/>
          <w:marRight w:val="0"/>
          <w:marTop w:val="0"/>
          <w:marBottom w:val="0"/>
          <w:divBdr>
            <w:top w:val="none" w:sz="0" w:space="0" w:color="auto"/>
            <w:left w:val="none" w:sz="0" w:space="0" w:color="auto"/>
            <w:bottom w:val="none" w:sz="0" w:space="0" w:color="auto"/>
            <w:right w:val="none" w:sz="0" w:space="0" w:color="auto"/>
          </w:divBdr>
          <w:divsChild>
            <w:div w:id="12654710">
              <w:marLeft w:val="0"/>
              <w:marRight w:val="0"/>
              <w:marTop w:val="0"/>
              <w:marBottom w:val="0"/>
              <w:divBdr>
                <w:top w:val="none" w:sz="0" w:space="0" w:color="auto"/>
                <w:left w:val="none" w:sz="0" w:space="0" w:color="auto"/>
                <w:bottom w:val="none" w:sz="0" w:space="0" w:color="auto"/>
                <w:right w:val="none" w:sz="0" w:space="0" w:color="auto"/>
              </w:divBdr>
            </w:div>
            <w:div w:id="1722248788">
              <w:marLeft w:val="0"/>
              <w:marRight w:val="0"/>
              <w:marTop w:val="0"/>
              <w:marBottom w:val="0"/>
              <w:divBdr>
                <w:top w:val="none" w:sz="0" w:space="0" w:color="auto"/>
                <w:left w:val="none" w:sz="0" w:space="0" w:color="auto"/>
                <w:bottom w:val="none" w:sz="0" w:space="0" w:color="auto"/>
                <w:right w:val="none" w:sz="0" w:space="0" w:color="auto"/>
              </w:divBdr>
            </w:div>
          </w:divsChild>
        </w:div>
        <w:div w:id="240065644">
          <w:marLeft w:val="0"/>
          <w:marRight w:val="0"/>
          <w:marTop w:val="0"/>
          <w:marBottom w:val="0"/>
          <w:divBdr>
            <w:top w:val="none" w:sz="0" w:space="0" w:color="auto"/>
            <w:left w:val="none" w:sz="0" w:space="0" w:color="auto"/>
            <w:bottom w:val="none" w:sz="0" w:space="0" w:color="auto"/>
            <w:right w:val="none" w:sz="0" w:space="0" w:color="auto"/>
          </w:divBdr>
        </w:div>
        <w:div w:id="1987322781">
          <w:marLeft w:val="0"/>
          <w:marRight w:val="0"/>
          <w:marTop w:val="60"/>
          <w:marBottom w:val="0"/>
          <w:divBdr>
            <w:top w:val="none" w:sz="0" w:space="0" w:color="auto"/>
            <w:left w:val="none" w:sz="0" w:space="0" w:color="auto"/>
            <w:bottom w:val="none" w:sz="0" w:space="0" w:color="auto"/>
            <w:right w:val="none" w:sz="0" w:space="0" w:color="auto"/>
          </w:divBdr>
        </w:div>
        <w:div w:id="1421833483">
          <w:marLeft w:val="0"/>
          <w:marRight w:val="0"/>
          <w:marTop w:val="0"/>
          <w:marBottom w:val="0"/>
          <w:divBdr>
            <w:top w:val="none" w:sz="0" w:space="0" w:color="auto"/>
            <w:left w:val="none" w:sz="0" w:space="0" w:color="auto"/>
            <w:bottom w:val="none" w:sz="0" w:space="0" w:color="auto"/>
            <w:right w:val="none" w:sz="0" w:space="0" w:color="auto"/>
          </w:divBdr>
          <w:divsChild>
            <w:div w:id="1502089309">
              <w:marLeft w:val="0"/>
              <w:marRight w:val="0"/>
              <w:marTop w:val="0"/>
              <w:marBottom w:val="0"/>
              <w:divBdr>
                <w:top w:val="none" w:sz="0" w:space="0" w:color="auto"/>
                <w:left w:val="none" w:sz="0" w:space="0" w:color="auto"/>
                <w:bottom w:val="none" w:sz="0" w:space="0" w:color="auto"/>
                <w:right w:val="none" w:sz="0" w:space="0" w:color="auto"/>
              </w:divBdr>
            </w:div>
            <w:div w:id="1214540563">
              <w:marLeft w:val="0"/>
              <w:marRight w:val="0"/>
              <w:marTop w:val="0"/>
              <w:marBottom w:val="0"/>
              <w:divBdr>
                <w:top w:val="none" w:sz="0" w:space="0" w:color="auto"/>
                <w:left w:val="none" w:sz="0" w:space="0" w:color="auto"/>
                <w:bottom w:val="none" w:sz="0" w:space="0" w:color="auto"/>
                <w:right w:val="none" w:sz="0" w:space="0" w:color="auto"/>
              </w:divBdr>
            </w:div>
          </w:divsChild>
        </w:div>
        <w:div w:id="1059548029">
          <w:marLeft w:val="0"/>
          <w:marRight w:val="0"/>
          <w:marTop w:val="0"/>
          <w:marBottom w:val="0"/>
          <w:divBdr>
            <w:top w:val="none" w:sz="0" w:space="0" w:color="auto"/>
            <w:left w:val="none" w:sz="0" w:space="0" w:color="auto"/>
            <w:bottom w:val="none" w:sz="0" w:space="0" w:color="auto"/>
            <w:right w:val="none" w:sz="0" w:space="0" w:color="auto"/>
          </w:divBdr>
        </w:div>
        <w:div w:id="1375694837">
          <w:marLeft w:val="0"/>
          <w:marRight w:val="0"/>
          <w:marTop w:val="60"/>
          <w:marBottom w:val="0"/>
          <w:divBdr>
            <w:top w:val="none" w:sz="0" w:space="0" w:color="auto"/>
            <w:left w:val="none" w:sz="0" w:space="0" w:color="auto"/>
            <w:bottom w:val="none" w:sz="0" w:space="0" w:color="auto"/>
            <w:right w:val="none" w:sz="0" w:space="0" w:color="auto"/>
          </w:divBdr>
        </w:div>
        <w:div w:id="111217360">
          <w:marLeft w:val="0"/>
          <w:marRight w:val="0"/>
          <w:marTop w:val="0"/>
          <w:marBottom w:val="0"/>
          <w:divBdr>
            <w:top w:val="none" w:sz="0" w:space="0" w:color="auto"/>
            <w:left w:val="none" w:sz="0" w:space="0" w:color="auto"/>
            <w:bottom w:val="none" w:sz="0" w:space="0" w:color="auto"/>
            <w:right w:val="none" w:sz="0" w:space="0" w:color="auto"/>
          </w:divBdr>
          <w:divsChild>
            <w:div w:id="1024479817">
              <w:marLeft w:val="0"/>
              <w:marRight w:val="0"/>
              <w:marTop w:val="0"/>
              <w:marBottom w:val="0"/>
              <w:divBdr>
                <w:top w:val="none" w:sz="0" w:space="0" w:color="auto"/>
                <w:left w:val="none" w:sz="0" w:space="0" w:color="auto"/>
                <w:bottom w:val="none" w:sz="0" w:space="0" w:color="auto"/>
                <w:right w:val="none" w:sz="0" w:space="0" w:color="auto"/>
              </w:divBdr>
            </w:div>
            <w:div w:id="1405104592">
              <w:marLeft w:val="0"/>
              <w:marRight w:val="0"/>
              <w:marTop w:val="0"/>
              <w:marBottom w:val="0"/>
              <w:divBdr>
                <w:top w:val="none" w:sz="0" w:space="0" w:color="auto"/>
                <w:left w:val="none" w:sz="0" w:space="0" w:color="auto"/>
                <w:bottom w:val="none" w:sz="0" w:space="0" w:color="auto"/>
                <w:right w:val="none" w:sz="0" w:space="0" w:color="auto"/>
              </w:divBdr>
            </w:div>
          </w:divsChild>
        </w:div>
        <w:div w:id="1561557625">
          <w:marLeft w:val="0"/>
          <w:marRight w:val="0"/>
          <w:marTop w:val="0"/>
          <w:marBottom w:val="0"/>
          <w:divBdr>
            <w:top w:val="none" w:sz="0" w:space="0" w:color="auto"/>
            <w:left w:val="none" w:sz="0" w:space="0" w:color="auto"/>
            <w:bottom w:val="none" w:sz="0" w:space="0" w:color="auto"/>
            <w:right w:val="none" w:sz="0" w:space="0" w:color="auto"/>
          </w:divBdr>
        </w:div>
        <w:div w:id="612253363">
          <w:marLeft w:val="0"/>
          <w:marRight w:val="0"/>
          <w:marTop w:val="60"/>
          <w:marBottom w:val="0"/>
          <w:divBdr>
            <w:top w:val="none" w:sz="0" w:space="0" w:color="auto"/>
            <w:left w:val="none" w:sz="0" w:space="0" w:color="auto"/>
            <w:bottom w:val="none" w:sz="0" w:space="0" w:color="auto"/>
            <w:right w:val="none" w:sz="0" w:space="0" w:color="auto"/>
          </w:divBdr>
        </w:div>
        <w:div w:id="462240183">
          <w:marLeft w:val="0"/>
          <w:marRight w:val="0"/>
          <w:marTop w:val="0"/>
          <w:marBottom w:val="0"/>
          <w:divBdr>
            <w:top w:val="none" w:sz="0" w:space="0" w:color="auto"/>
            <w:left w:val="none" w:sz="0" w:space="0" w:color="auto"/>
            <w:bottom w:val="none" w:sz="0" w:space="0" w:color="auto"/>
            <w:right w:val="none" w:sz="0" w:space="0" w:color="auto"/>
          </w:divBdr>
          <w:divsChild>
            <w:div w:id="89356516">
              <w:marLeft w:val="0"/>
              <w:marRight w:val="0"/>
              <w:marTop w:val="0"/>
              <w:marBottom w:val="0"/>
              <w:divBdr>
                <w:top w:val="none" w:sz="0" w:space="0" w:color="auto"/>
                <w:left w:val="none" w:sz="0" w:space="0" w:color="auto"/>
                <w:bottom w:val="none" w:sz="0" w:space="0" w:color="auto"/>
                <w:right w:val="none" w:sz="0" w:space="0" w:color="auto"/>
              </w:divBdr>
            </w:div>
            <w:div w:id="2011177046">
              <w:marLeft w:val="0"/>
              <w:marRight w:val="0"/>
              <w:marTop w:val="0"/>
              <w:marBottom w:val="0"/>
              <w:divBdr>
                <w:top w:val="none" w:sz="0" w:space="0" w:color="auto"/>
                <w:left w:val="none" w:sz="0" w:space="0" w:color="auto"/>
                <w:bottom w:val="none" w:sz="0" w:space="0" w:color="auto"/>
                <w:right w:val="none" w:sz="0" w:space="0" w:color="auto"/>
              </w:divBdr>
            </w:div>
          </w:divsChild>
        </w:div>
        <w:div w:id="1126310080">
          <w:marLeft w:val="0"/>
          <w:marRight w:val="0"/>
          <w:marTop w:val="0"/>
          <w:marBottom w:val="0"/>
          <w:divBdr>
            <w:top w:val="none" w:sz="0" w:space="0" w:color="auto"/>
            <w:left w:val="none" w:sz="0" w:space="0" w:color="auto"/>
            <w:bottom w:val="none" w:sz="0" w:space="0" w:color="auto"/>
            <w:right w:val="none" w:sz="0" w:space="0" w:color="auto"/>
          </w:divBdr>
        </w:div>
        <w:div w:id="1791051014">
          <w:marLeft w:val="0"/>
          <w:marRight w:val="0"/>
          <w:marTop w:val="60"/>
          <w:marBottom w:val="0"/>
          <w:divBdr>
            <w:top w:val="none" w:sz="0" w:space="0" w:color="auto"/>
            <w:left w:val="none" w:sz="0" w:space="0" w:color="auto"/>
            <w:bottom w:val="none" w:sz="0" w:space="0" w:color="auto"/>
            <w:right w:val="none" w:sz="0" w:space="0" w:color="auto"/>
          </w:divBdr>
        </w:div>
        <w:div w:id="540869846">
          <w:marLeft w:val="0"/>
          <w:marRight w:val="0"/>
          <w:marTop w:val="0"/>
          <w:marBottom w:val="0"/>
          <w:divBdr>
            <w:top w:val="none" w:sz="0" w:space="0" w:color="auto"/>
            <w:left w:val="none" w:sz="0" w:space="0" w:color="auto"/>
            <w:bottom w:val="none" w:sz="0" w:space="0" w:color="auto"/>
            <w:right w:val="none" w:sz="0" w:space="0" w:color="auto"/>
          </w:divBdr>
          <w:divsChild>
            <w:div w:id="265504594">
              <w:marLeft w:val="0"/>
              <w:marRight w:val="0"/>
              <w:marTop w:val="0"/>
              <w:marBottom w:val="0"/>
              <w:divBdr>
                <w:top w:val="none" w:sz="0" w:space="0" w:color="auto"/>
                <w:left w:val="none" w:sz="0" w:space="0" w:color="auto"/>
                <w:bottom w:val="none" w:sz="0" w:space="0" w:color="auto"/>
                <w:right w:val="none" w:sz="0" w:space="0" w:color="auto"/>
              </w:divBdr>
            </w:div>
            <w:div w:id="724374980">
              <w:marLeft w:val="0"/>
              <w:marRight w:val="0"/>
              <w:marTop w:val="0"/>
              <w:marBottom w:val="0"/>
              <w:divBdr>
                <w:top w:val="none" w:sz="0" w:space="0" w:color="auto"/>
                <w:left w:val="none" w:sz="0" w:space="0" w:color="auto"/>
                <w:bottom w:val="none" w:sz="0" w:space="0" w:color="auto"/>
                <w:right w:val="none" w:sz="0" w:space="0" w:color="auto"/>
              </w:divBdr>
            </w:div>
          </w:divsChild>
        </w:div>
        <w:div w:id="99762086">
          <w:marLeft w:val="0"/>
          <w:marRight w:val="0"/>
          <w:marTop w:val="0"/>
          <w:marBottom w:val="0"/>
          <w:divBdr>
            <w:top w:val="none" w:sz="0" w:space="0" w:color="auto"/>
            <w:left w:val="none" w:sz="0" w:space="0" w:color="auto"/>
            <w:bottom w:val="none" w:sz="0" w:space="0" w:color="auto"/>
            <w:right w:val="none" w:sz="0" w:space="0" w:color="auto"/>
          </w:divBdr>
        </w:div>
        <w:div w:id="1694307614">
          <w:marLeft w:val="0"/>
          <w:marRight w:val="0"/>
          <w:marTop w:val="60"/>
          <w:marBottom w:val="0"/>
          <w:divBdr>
            <w:top w:val="none" w:sz="0" w:space="0" w:color="auto"/>
            <w:left w:val="none" w:sz="0" w:space="0" w:color="auto"/>
            <w:bottom w:val="none" w:sz="0" w:space="0" w:color="auto"/>
            <w:right w:val="none" w:sz="0" w:space="0" w:color="auto"/>
          </w:divBdr>
        </w:div>
        <w:div w:id="87848168">
          <w:marLeft w:val="0"/>
          <w:marRight w:val="0"/>
          <w:marTop w:val="0"/>
          <w:marBottom w:val="0"/>
          <w:divBdr>
            <w:top w:val="none" w:sz="0" w:space="0" w:color="auto"/>
            <w:left w:val="none" w:sz="0" w:space="0" w:color="auto"/>
            <w:bottom w:val="none" w:sz="0" w:space="0" w:color="auto"/>
            <w:right w:val="none" w:sz="0" w:space="0" w:color="auto"/>
          </w:divBdr>
          <w:divsChild>
            <w:div w:id="613370311">
              <w:marLeft w:val="0"/>
              <w:marRight w:val="0"/>
              <w:marTop w:val="0"/>
              <w:marBottom w:val="0"/>
              <w:divBdr>
                <w:top w:val="none" w:sz="0" w:space="0" w:color="auto"/>
                <w:left w:val="none" w:sz="0" w:space="0" w:color="auto"/>
                <w:bottom w:val="none" w:sz="0" w:space="0" w:color="auto"/>
                <w:right w:val="none" w:sz="0" w:space="0" w:color="auto"/>
              </w:divBdr>
            </w:div>
            <w:div w:id="1920553736">
              <w:marLeft w:val="0"/>
              <w:marRight w:val="0"/>
              <w:marTop w:val="0"/>
              <w:marBottom w:val="0"/>
              <w:divBdr>
                <w:top w:val="none" w:sz="0" w:space="0" w:color="auto"/>
                <w:left w:val="none" w:sz="0" w:space="0" w:color="auto"/>
                <w:bottom w:val="none" w:sz="0" w:space="0" w:color="auto"/>
                <w:right w:val="none" w:sz="0" w:space="0" w:color="auto"/>
              </w:divBdr>
            </w:div>
          </w:divsChild>
        </w:div>
        <w:div w:id="308677514">
          <w:marLeft w:val="0"/>
          <w:marRight w:val="0"/>
          <w:marTop w:val="0"/>
          <w:marBottom w:val="0"/>
          <w:divBdr>
            <w:top w:val="none" w:sz="0" w:space="0" w:color="auto"/>
            <w:left w:val="none" w:sz="0" w:space="0" w:color="auto"/>
            <w:bottom w:val="none" w:sz="0" w:space="0" w:color="auto"/>
            <w:right w:val="none" w:sz="0" w:space="0" w:color="auto"/>
          </w:divBdr>
        </w:div>
        <w:div w:id="1222327601">
          <w:marLeft w:val="0"/>
          <w:marRight w:val="0"/>
          <w:marTop w:val="60"/>
          <w:marBottom w:val="0"/>
          <w:divBdr>
            <w:top w:val="none" w:sz="0" w:space="0" w:color="auto"/>
            <w:left w:val="none" w:sz="0" w:space="0" w:color="auto"/>
            <w:bottom w:val="none" w:sz="0" w:space="0" w:color="auto"/>
            <w:right w:val="none" w:sz="0" w:space="0" w:color="auto"/>
          </w:divBdr>
          <w:divsChild>
            <w:div w:id="808789307">
              <w:marLeft w:val="0"/>
              <w:marRight w:val="360"/>
              <w:marTop w:val="0"/>
              <w:marBottom w:val="0"/>
              <w:divBdr>
                <w:top w:val="none" w:sz="0" w:space="0" w:color="auto"/>
                <w:left w:val="none" w:sz="0" w:space="0" w:color="auto"/>
                <w:bottom w:val="none" w:sz="0" w:space="0" w:color="auto"/>
                <w:right w:val="none" w:sz="0" w:space="0" w:color="auto"/>
              </w:divBdr>
            </w:div>
          </w:divsChild>
        </w:div>
        <w:div w:id="1461415651">
          <w:marLeft w:val="0"/>
          <w:marRight w:val="0"/>
          <w:marTop w:val="0"/>
          <w:marBottom w:val="0"/>
          <w:divBdr>
            <w:top w:val="none" w:sz="0" w:space="0" w:color="auto"/>
            <w:left w:val="none" w:sz="0" w:space="0" w:color="auto"/>
            <w:bottom w:val="none" w:sz="0" w:space="0" w:color="auto"/>
            <w:right w:val="none" w:sz="0" w:space="0" w:color="auto"/>
          </w:divBdr>
          <w:divsChild>
            <w:div w:id="481504179">
              <w:marLeft w:val="0"/>
              <w:marRight w:val="0"/>
              <w:marTop w:val="0"/>
              <w:marBottom w:val="0"/>
              <w:divBdr>
                <w:top w:val="none" w:sz="0" w:space="0" w:color="auto"/>
                <w:left w:val="none" w:sz="0" w:space="0" w:color="auto"/>
                <w:bottom w:val="none" w:sz="0" w:space="0" w:color="auto"/>
                <w:right w:val="none" w:sz="0" w:space="0" w:color="auto"/>
              </w:divBdr>
            </w:div>
            <w:div w:id="318578078">
              <w:marLeft w:val="0"/>
              <w:marRight w:val="0"/>
              <w:marTop w:val="0"/>
              <w:marBottom w:val="0"/>
              <w:divBdr>
                <w:top w:val="none" w:sz="0" w:space="0" w:color="auto"/>
                <w:left w:val="none" w:sz="0" w:space="0" w:color="auto"/>
                <w:bottom w:val="none" w:sz="0" w:space="0" w:color="auto"/>
                <w:right w:val="none" w:sz="0" w:space="0" w:color="auto"/>
              </w:divBdr>
            </w:div>
          </w:divsChild>
        </w:div>
        <w:div w:id="824786847">
          <w:marLeft w:val="0"/>
          <w:marRight w:val="0"/>
          <w:marTop w:val="0"/>
          <w:marBottom w:val="0"/>
          <w:divBdr>
            <w:top w:val="none" w:sz="0" w:space="0" w:color="auto"/>
            <w:left w:val="none" w:sz="0" w:space="0" w:color="auto"/>
            <w:bottom w:val="none" w:sz="0" w:space="0" w:color="auto"/>
            <w:right w:val="none" w:sz="0" w:space="0" w:color="auto"/>
          </w:divBdr>
        </w:div>
        <w:div w:id="1108503892">
          <w:marLeft w:val="0"/>
          <w:marRight w:val="0"/>
          <w:marTop w:val="0"/>
          <w:marBottom w:val="0"/>
          <w:divBdr>
            <w:top w:val="none" w:sz="0" w:space="0" w:color="auto"/>
            <w:left w:val="none" w:sz="0" w:space="0" w:color="auto"/>
            <w:bottom w:val="none" w:sz="0" w:space="0" w:color="auto"/>
            <w:right w:val="none" w:sz="0" w:space="0" w:color="auto"/>
          </w:divBdr>
        </w:div>
        <w:div w:id="1444763659">
          <w:marLeft w:val="0"/>
          <w:marRight w:val="0"/>
          <w:marTop w:val="60"/>
          <w:marBottom w:val="0"/>
          <w:divBdr>
            <w:top w:val="none" w:sz="0" w:space="0" w:color="auto"/>
            <w:left w:val="none" w:sz="0" w:space="0" w:color="auto"/>
            <w:bottom w:val="none" w:sz="0" w:space="0" w:color="auto"/>
            <w:right w:val="none" w:sz="0" w:space="0" w:color="auto"/>
          </w:divBdr>
        </w:div>
        <w:div w:id="214897600">
          <w:marLeft w:val="0"/>
          <w:marRight w:val="0"/>
          <w:marTop w:val="0"/>
          <w:marBottom w:val="0"/>
          <w:divBdr>
            <w:top w:val="none" w:sz="0" w:space="0" w:color="auto"/>
            <w:left w:val="none" w:sz="0" w:space="0" w:color="auto"/>
            <w:bottom w:val="none" w:sz="0" w:space="0" w:color="auto"/>
            <w:right w:val="none" w:sz="0" w:space="0" w:color="auto"/>
          </w:divBdr>
          <w:divsChild>
            <w:div w:id="1095713095">
              <w:marLeft w:val="0"/>
              <w:marRight w:val="0"/>
              <w:marTop w:val="0"/>
              <w:marBottom w:val="0"/>
              <w:divBdr>
                <w:top w:val="none" w:sz="0" w:space="0" w:color="auto"/>
                <w:left w:val="none" w:sz="0" w:space="0" w:color="auto"/>
                <w:bottom w:val="none" w:sz="0" w:space="0" w:color="auto"/>
                <w:right w:val="none" w:sz="0" w:space="0" w:color="auto"/>
              </w:divBdr>
            </w:div>
            <w:div w:id="1530873518">
              <w:marLeft w:val="0"/>
              <w:marRight w:val="0"/>
              <w:marTop w:val="0"/>
              <w:marBottom w:val="0"/>
              <w:divBdr>
                <w:top w:val="none" w:sz="0" w:space="0" w:color="auto"/>
                <w:left w:val="none" w:sz="0" w:space="0" w:color="auto"/>
                <w:bottom w:val="none" w:sz="0" w:space="0" w:color="auto"/>
                <w:right w:val="none" w:sz="0" w:space="0" w:color="auto"/>
              </w:divBdr>
            </w:div>
          </w:divsChild>
        </w:div>
        <w:div w:id="701368838">
          <w:marLeft w:val="0"/>
          <w:marRight w:val="0"/>
          <w:marTop w:val="0"/>
          <w:marBottom w:val="0"/>
          <w:divBdr>
            <w:top w:val="none" w:sz="0" w:space="0" w:color="auto"/>
            <w:left w:val="none" w:sz="0" w:space="0" w:color="auto"/>
            <w:bottom w:val="none" w:sz="0" w:space="0" w:color="auto"/>
            <w:right w:val="none" w:sz="0" w:space="0" w:color="auto"/>
          </w:divBdr>
        </w:div>
        <w:div w:id="568617344">
          <w:marLeft w:val="0"/>
          <w:marRight w:val="0"/>
          <w:marTop w:val="60"/>
          <w:marBottom w:val="0"/>
          <w:divBdr>
            <w:top w:val="none" w:sz="0" w:space="0" w:color="auto"/>
            <w:left w:val="none" w:sz="0" w:space="0" w:color="auto"/>
            <w:bottom w:val="none" w:sz="0" w:space="0" w:color="auto"/>
            <w:right w:val="none" w:sz="0" w:space="0" w:color="auto"/>
          </w:divBdr>
        </w:div>
        <w:div w:id="2069759431">
          <w:marLeft w:val="0"/>
          <w:marRight w:val="0"/>
          <w:marTop w:val="0"/>
          <w:marBottom w:val="0"/>
          <w:divBdr>
            <w:top w:val="none" w:sz="0" w:space="0" w:color="auto"/>
            <w:left w:val="none" w:sz="0" w:space="0" w:color="auto"/>
            <w:bottom w:val="none" w:sz="0" w:space="0" w:color="auto"/>
            <w:right w:val="none" w:sz="0" w:space="0" w:color="auto"/>
          </w:divBdr>
          <w:divsChild>
            <w:div w:id="1865433785">
              <w:marLeft w:val="0"/>
              <w:marRight w:val="0"/>
              <w:marTop w:val="0"/>
              <w:marBottom w:val="0"/>
              <w:divBdr>
                <w:top w:val="none" w:sz="0" w:space="0" w:color="auto"/>
                <w:left w:val="none" w:sz="0" w:space="0" w:color="auto"/>
                <w:bottom w:val="none" w:sz="0" w:space="0" w:color="auto"/>
                <w:right w:val="none" w:sz="0" w:space="0" w:color="auto"/>
              </w:divBdr>
            </w:div>
            <w:div w:id="1033265282">
              <w:marLeft w:val="0"/>
              <w:marRight w:val="0"/>
              <w:marTop w:val="0"/>
              <w:marBottom w:val="0"/>
              <w:divBdr>
                <w:top w:val="none" w:sz="0" w:space="0" w:color="auto"/>
                <w:left w:val="none" w:sz="0" w:space="0" w:color="auto"/>
                <w:bottom w:val="none" w:sz="0" w:space="0" w:color="auto"/>
                <w:right w:val="none" w:sz="0" w:space="0" w:color="auto"/>
              </w:divBdr>
            </w:div>
          </w:divsChild>
        </w:div>
        <w:div w:id="531307672">
          <w:marLeft w:val="0"/>
          <w:marRight w:val="0"/>
          <w:marTop w:val="0"/>
          <w:marBottom w:val="0"/>
          <w:divBdr>
            <w:top w:val="none" w:sz="0" w:space="0" w:color="auto"/>
            <w:left w:val="none" w:sz="0" w:space="0" w:color="auto"/>
            <w:bottom w:val="none" w:sz="0" w:space="0" w:color="auto"/>
            <w:right w:val="none" w:sz="0" w:space="0" w:color="auto"/>
          </w:divBdr>
        </w:div>
        <w:div w:id="1658925223">
          <w:marLeft w:val="0"/>
          <w:marRight w:val="0"/>
          <w:marTop w:val="60"/>
          <w:marBottom w:val="0"/>
          <w:divBdr>
            <w:top w:val="none" w:sz="0" w:space="0" w:color="auto"/>
            <w:left w:val="none" w:sz="0" w:space="0" w:color="auto"/>
            <w:bottom w:val="none" w:sz="0" w:space="0" w:color="auto"/>
            <w:right w:val="none" w:sz="0" w:space="0" w:color="auto"/>
          </w:divBdr>
          <w:divsChild>
            <w:div w:id="2032879510">
              <w:marLeft w:val="0"/>
              <w:marRight w:val="360"/>
              <w:marTop w:val="0"/>
              <w:marBottom w:val="0"/>
              <w:divBdr>
                <w:top w:val="none" w:sz="0" w:space="0" w:color="auto"/>
                <w:left w:val="none" w:sz="0" w:space="0" w:color="auto"/>
                <w:bottom w:val="none" w:sz="0" w:space="0" w:color="auto"/>
                <w:right w:val="none" w:sz="0" w:space="0" w:color="auto"/>
              </w:divBdr>
              <w:divsChild>
                <w:div w:id="20556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91493">
          <w:marLeft w:val="0"/>
          <w:marRight w:val="0"/>
          <w:marTop w:val="0"/>
          <w:marBottom w:val="0"/>
          <w:divBdr>
            <w:top w:val="none" w:sz="0" w:space="0" w:color="auto"/>
            <w:left w:val="none" w:sz="0" w:space="0" w:color="auto"/>
            <w:bottom w:val="none" w:sz="0" w:space="0" w:color="auto"/>
            <w:right w:val="none" w:sz="0" w:space="0" w:color="auto"/>
          </w:divBdr>
          <w:divsChild>
            <w:div w:id="2067874413">
              <w:marLeft w:val="0"/>
              <w:marRight w:val="0"/>
              <w:marTop w:val="0"/>
              <w:marBottom w:val="0"/>
              <w:divBdr>
                <w:top w:val="none" w:sz="0" w:space="0" w:color="auto"/>
                <w:left w:val="none" w:sz="0" w:space="0" w:color="auto"/>
                <w:bottom w:val="none" w:sz="0" w:space="0" w:color="auto"/>
                <w:right w:val="none" w:sz="0" w:space="0" w:color="auto"/>
              </w:divBdr>
            </w:div>
            <w:div w:id="1736582894">
              <w:marLeft w:val="0"/>
              <w:marRight w:val="0"/>
              <w:marTop w:val="0"/>
              <w:marBottom w:val="0"/>
              <w:divBdr>
                <w:top w:val="none" w:sz="0" w:space="0" w:color="auto"/>
                <w:left w:val="none" w:sz="0" w:space="0" w:color="auto"/>
                <w:bottom w:val="none" w:sz="0" w:space="0" w:color="auto"/>
                <w:right w:val="none" w:sz="0" w:space="0" w:color="auto"/>
              </w:divBdr>
            </w:div>
          </w:divsChild>
        </w:div>
        <w:div w:id="12347400">
          <w:marLeft w:val="0"/>
          <w:marRight w:val="0"/>
          <w:marTop w:val="0"/>
          <w:marBottom w:val="0"/>
          <w:divBdr>
            <w:top w:val="none" w:sz="0" w:space="0" w:color="auto"/>
            <w:left w:val="none" w:sz="0" w:space="0" w:color="auto"/>
            <w:bottom w:val="none" w:sz="0" w:space="0" w:color="auto"/>
            <w:right w:val="none" w:sz="0" w:space="0" w:color="auto"/>
          </w:divBdr>
        </w:div>
        <w:div w:id="695275282">
          <w:marLeft w:val="0"/>
          <w:marRight w:val="0"/>
          <w:marTop w:val="60"/>
          <w:marBottom w:val="0"/>
          <w:divBdr>
            <w:top w:val="none" w:sz="0" w:space="0" w:color="auto"/>
            <w:left w:val="none" w:sz="0" w:space="0" w:color="auto"/>
            <w:bottom w:val="none" w:sz="0" w:space="0" w:color="auto"/>
            <w:right w:val="none" w:sz="0" w:space="0" w:color="auto"/>
          </w:divBdr>
        </w:div>
        <w:div w:id="1794520189">
          <w:marLeft w:val="0"/>
          <w:marRight w:val="0"/>
          <w:marTop w:val="0"/>
          <w:marBottom w:val="0"/>
          <w:divBdr>
            <w:top w:val="none" w:sz="0" w:space="0" w:color="auto"/>
            <w:left w:val="none" w:sz="0" w:space="0" w:color="auto"/>
            <w:bottom w:val="none" w:sz="0" w:space="0" w:color="auto"/>
            <w:right w:val="none" w:sz="0" w:space="0" w:color="auto"/>
          </w:divBdr>
          <w:divsChild>
            <w:div w:id="1134908531">
              <w:marLeft w:val="0"/>
              <w:marRight w:val="0"/>
              <w:marTop w:val="0"/>
              <w:marBottom w:val="0"/>
              <w:divBdr>
                <w:top w:val="none" w:sz="0" w:space="0" w:color="auto"/>
                <w:left w:val="none" w:sz="0" w:space="0" w:color="auto"/>
                <w:bottom w:val="none" w:sz="0" w:space="0" w:color="auto"/>
                <w:right w:val="none" w:sz="0" w:space="0" w:color="auto"/>
              </w:divBdr>
            </w:div>
            <w:div w:id="1726096973">
              <w:marLeft w:val="0"/>
              <w:marRight w:val="0"/>
              <w:marTop w:val="0"/>
              <w:marBottom w:val="0"/>
              <w:divBdr>
                <w:top w:val="none" w:sz="0" w:space="0" w:color="auto"/>
                <w:left w:val="none" w:sz="0" w:space="0" w:color="auto"/>
                <w:bottom w:val="none" w:sz="0" w:space="0" w:color="auto"/>
                <w:right w:val="none" w:sz="0" w:space="0" w:color="auto"/>
              </w:divBdr>
            </w:div>
          </w:divsChild>
        </w:div>
        <w:div w:id="1112435534">
          <w:marLeft w:val="0"/>
          <w:marRight w:val="0"/>
          <w:marTop w:val="0"/>
          <w:marBottom w:val="0"/>
          <w:divBdr>
            <w:top w:val="none" w:sz="0" w:space="0" w:color="auto"/>
            <w:left w:val="none" w:sz="0" w:space="0" w:color="auto"/>
            <w:bottom w:val="none" w:sz="0" w:space="0" w:color="auto"/>
            <w:right w:val="none" w:sz="0" w:space="0" w:color="auto"/>
          </w:divBdr>
        </w:div>
        <w:div w:id="1102535735">
          <w:marLeft w:val="0"/>
          <w:marRight w:val="0"/>
          <w:marTop w:val="60"/>
          <w:marBottom w:val="0"/>
          <w:divBdr>
            <w:top w:val="none" w:sz="0" w:space="0" w:color="auto"/>
            <w:left w:val="none" w:sz="0" w:space="0" w:color="auto"/>
            <w:bottom w:val="none" w:sz="0" w:space="0" w:color="auto"/>
            <w:right w:val="none" w:sz="0" w:space="0" w:color="auto"/>
          </w:divBdr>
        </w:div>
        <w:div w:id="1773209779">
          <w:marLeft w:val="0"/>
          <w:marRight w:val="0"/>
          <w:marTop w:val="0"/>
          <w:marBottom w:val="0"/>
          <w:divBdr>
            <w:top w:val="none" w:sz="0" w:space="0" w:color="auto"/>
            <w:left w:val="none" w:sz="0" w:space="0" w:color="auto"/>
            <w:bottom w:val="none" w:sz="0" w:space="0" w:color="auto"/>
            <w:right w:val="none" w:sz="0" w:space="0" w:color="auto"/>
          </w:divBdr>
          <w:divsChild>
            <w:div w:id="1617518631">
              <w:marLeft w:val="0"/>
              <w:marRight w:val="0"/>
              <w:marTop w:val="0"/>
              <w:marBottom w:val="0"/>
              <w:divBdr>
                <w:top w:val="none" w:sz="0" w:space="0" w:color="auto"/>
                <w:left w:val="none" w:sz="0" w:space="0" w:color="auto"/>
                <w:bottom w:val="none" w:sz="0" w:space="0" w:color="auto"/>
                <w:right w:val="none" w:sz="0" w:space="0" w:color="auto"/>
              </w:divBdr>
            </w:div>
            <w:div w:id="1810584961">
              <w:marLeft w:val="0"/>
              <w:marRight w:val="0"/>
              <w:marTop w:val="0"/>
              <w:marBottom w:val="0"/>
              <w:divBdr>
                <w:top w:val="none" w:sz="0" w:space="0" w:color="auto"/>
                <w:left w:val="none" w:sz="0" w:space="0" w:color="auto"/>
                <w:bottom w:val="none" w:sz="0" w:space="0" w:color="auto"/>
                <w:right w:val="none" w:sz="0" w:space="0" w:color="auto"/>
              </w:divBdr>
            </w:div>
          </w:divsChild>
        </w:div>
        <w:div w:id="1051269946">
          <w:marLeft w:val="0"/>
          <w:marRight w:val="0"/>
          <w:marTop w:val="0"/>
          <w:marBottom w:val="0"/>
          <w:divBdr>
            <w:top w:val="none" w:sz="0" w:space="0" w:color="auto"/>
            <w:left w:val="none" w:sz="0" w:space="0" w:color="auto"/>
            <w:bottom w:val="none" w:sz="0" w:space="0" w:color="auto"/>
            <w:right w:val="none" w:sz="0" w:space="0" w:color="auto"/>
          </w:divBdr>
        </w:div>
        <w:div w:id="268392972">
          <w:marLeft w:val="0"/>
          <w:marRight w:val="0"/>
          <w:marTop w:val="60"/>
          <w:marBottom w:val="0"/>
          <w:divBdr>
            <w:top w:val="none" w:sz="0" w:space="0" w:color="auto"/>
            <w:left w:val="none" w:sz="0" w:space="0" w:color="auto"/>
            <w:bottom w:val="none" w:sz="0" w:space="0" w:color="auto"/>
            <w:right w:val="none" w:sz="0" w:space="0" w:color="auto"/>
          </w:divBdr>
        </w:div>
        <w:div w:id="2101490471">
          <w:marLeft w:val="0"/>
          <w:marRight w:val="0"/>
          <w:marTop w:val="0"/>
          <w:marBottom w:val="0"/>
          <w:divBdr>
            <w:top w:val="none" w:sz="0" w:space="0" w:color="auto"/>
            <w:left w:val="none" w:sz="0" w:space="0" w:color="auto"/>
            <w:bottom w:val="none" w:sz="0" w:space="0" w:color="auto"/>
            <w:right w:val="none" w:sz="0" w:space="0" w:color="auto"/>
          </w:divBdr>
          <w:divsChild>
            <w:div w:id="771587430">
              <w:marLeft w:val="0"/>
              <w:marRight w:val="0"/>
              <w:marTop w:val="0"/>
              <w:marBottom w:val="0"/>
              <w:divBdr>
                <w:top w:val="none" w:sz="0" w:space="0" w:color="auto"/>
                <w:left w:val="none" w:sz="0" w:space="0" w:color="auto"/>
                <w:bottom w:val="none" w:sz="0" w:space="0" w:color="auto"/>
                <w:right w:val="none" w:sz="0" w:space="0" w:color="auto"/>
              </w:divBdr>
            </w:div>
            <w:div w:id="1715155518">
              <w:marLeft w:val="0"/>
              <w:marRight w:val="0"/>
              <w:marTop w:val="0"/>
              <w:marBottom w:val="0"/>
              <w:divBdr>
                <w:top w:val="none" w:sz="0" w:space="0" w:color="auto"/>
                <w:left w:val="none" w:sz="0" w:space="0" w:color="auto"/>
                <w:bottom w:val="none" w:sz="0" w:space="0" w:color="auto"/>
                <w:right w:val="none" w:sz="0" w:space="0" w:color="auto"/>
              </w:divBdr>
            </w:div>
          </w:divsChild>
        </w:div>
        <w:div w:id="96027179">
          <w:marLeft w:val="0"/>
          <w:marRight w:val="0"/>
          <w:marTop w:val="0"/>
          <w:marBottom w:val="0"/>
          <w:divBdr>
            <w:top w:val="none" w:sz="0" w:space="0" w:color="auto"/>
            <w:left w:val="none" w:sz="0" w:space="0" w:color="auto"/>
            <w:bottom w:val="none" w:sz="0" w:space="0" w:color="auto"/>
            <w:right w:val="none" w:sz="0" w:space="0" w:color="auto"/>
          </w:divBdr>
        </w:div>
        <w:div w:id="2102330294">
          <w:marLeft w:val="0"/>
          <w:marRight w:val="0"/>
          <w:marTop w:val="0"/>
          <w:marBottom w:val="0"/>
          <w:divBdr>
            <w:top w:val="none" w:sz="0" w:space="0" w:color="auto"/>
            <w:left w:val="none" w:sz="0" w:space="0" w:color="auto"/>
            <w:bottom w:val="none" w:sz="0" w:space="0" w:color="auto"/>
            <w:right w:val="none" w:sz="0" w:space="0" w:color="auto"/>
          </w:divBdr>
        </w:div>
        <w:div w:id="1521043430">
          <w:marLeft w:val="0"/>
          <w:marRight w:val="0"/>
          <w:marTop w:val="60"/>
          <w:marBottom w:val="0"/>
          <w:divBdr>
            <w:top w:val="none" w:sz="0" w:space="0" w:color="auto"/>
            <w:left w:val="none" w:sz="0" w:space="0" w:color="auto"/>
            <w:bottom w:val="none" w:sz="0" w:space="0" w:color="auto"/>
            <w:right w:val="none" w:sz="0" w:space="0" w:color="auto"/>
          </w:divBdr>
        </w:div>
        <w:div w:id="245265907">
          <w:marLeft w:val="0"/>
          <w:marRight w:val="0"/>
          <w:marTop w:val="0"/>
          <w:marBottom w:val="0"/>
          <w:divBdr>
            <w:top w:val="none" w:sz="0" w:space="0" w:color="auto"/>
            <w:left w:val="none" w:sz="0" w:space="0" w:color="auto"/>
            <w:bottom w:val="none" w:sz="0" w:space="0" w:color="auto"/>
            <w:right w:val="none" w:sz="0" w:space="0" w:color="auto"/>
          </w:divBdr>
          <w:divsChild>
            <w:div w:id="1574512923">
              <w:marLeft w:val="0"/>
              <w:marRight w:val="0"/>
              <w:marTop w:val="0"/>
              <w:marBottom w:val="0"/>
              <w:divBdr>
                <w:top w:val="none" w:sz="0" w:space="0" w:color="auto"/>
                <w:left w:val="none" w:sz="0" w:space="0" w:color="auto"/>
                <w:bottom w:val="none" w:sz="0" w:space="0" w:color="auto"/>
                <w:right w:val="none" w:sz="0" w:space="0" w:color="auto"/>
              </w:divBdr>
            </w:div>
            <w:div w:id="1999965549">
              <w:marLeft w:val="0"/>
              <w:marRight w:val="0"/>
              <w:marTop w:val="0"/>
              <w:marBottom w:val="0"/>
              <w:divBdr>
                <w:top w:val="none" w:sz="0" w:space="0" w:color="auto"/>
                <w:left w:val="none" w:sz="0" w:space="0" w:color="auto"/>
                <w:bottom w:val="none" w:sz="0" w:space="0" w:color="auto"/>
                <w:right w:val="none" w:sz="0" w:space="0" w:color="auto"/>
              </w:divBdr>
            </w:div>
          </w:divsChild>
        </w:div>
        <w:div w:id="391317546">
          <w:marLeft w:val="0"/>
          <w:marRight w:val="0"/>
          <w:marTop w:val="0"/>
          <w:marBottom w:val="0"/>
          <w:divBdr>
            <w:top w:val="none" w:sz="0" w:space="0" w:color="auto"/>
            <w:left w:val="none" w:sz="0" w:space="0" w:color="auto"/>
            <w:bottom w:val="none" w:sz="0" w:space="0" w:color="auto"/>
            <w:right w:val="none" w:sz="0" w:space="0" w:color="auto"/>
          </w:divBdr>
        </w:div>
        <w:div w:id="1332831178">
          <w:marLeft w:val="0"/>
          <w:marRight w:val="0"/>
          <w:marTop w:val="60"/>
          <w:marBottom w:val="0"/>
          <w:divBdr>
            <w:top w:val="none" w:sz="0" w:space="0" w:color="auto"/>
            <w:left w:val="none" w:sz="0" w:space="0" w:color="auto"/>
            <w:bottom w:val="none" w:sz="0" w:space="0" w:color="auto"/>
            <w:right w:val="none" w:sz="0" w:space="0" w:color="auto"/>
          </w:divBdr>
        </w:div>
        <w:div w:id="1195385132">
          <w:marLeft w:val="0"/>
          <w:marRight w:val="0"/>
          <w:marTop w:val="0"/>
          <w:marBottom w:val="0"/>
          <w:divBdr>
            <w:top w:val="none" w:sz="0" w:space="0" w:color="auto"/>
            <w:left w:val="none" w:sz="0" w:space="0" w:color="auto"/>
            <w:bottom w:val="none" w:sz="0" w:space="0" w:color="auto"/>
            <w:right w:val="none" w:sz="0" w:space="0" w:color="auto"/>
          </w:divBdr>
          <w:divsChild>
            <w:div w:id="1601136269">
              <w:marLeft w:val="0"/>
              <w:marRight w:val="0"/>
              <w:marTop w:val="0"/>
              <w:marBottom w:val="0"/>
              <w:divBdr>
                <w:top w:val="none" w:sz="0" w:space="0" w:color="auto"/>
                <w:left w:val="none" w:sz="0" w:space="0" w:color="auto"/>
                <w:bottom w:val="none" w:sz="0" w:space="0" w:color="auto"/>
                <w:right w:val="none" w:sz="0" w:space="0" w:color="auto"/>
              </w:divBdr>
            </w:div>
            <w:div w:id="1684892751">
              <w:marLeft w:val="0"/>
              <w:marRight w:val="0"/>
              <w:marTop w:val="0"/>
              <w:marBottom w:val="0"/>
              <w:divBdr>
                <w:top w:val="none" w:sz="0" w:space="0" w:color="auto"/>
                <w:left w:val="none" w:sz="0" w:space="0" w:color="auto"/>
                <w:bottom w:val="none" w:sz="0" w:space="0" w:color="auto"/>
                <w:right w:val="none" w:sz="0" w:space="0" w:color="auto"/>
              </w:divBdr>
            </w:div>
          </w:divsChild>
        </w:div>
        <w:div w:id="694622597">
          <w:marLeft w:val="0"/>
          <w:marRight w:val="0"/>
          <w:marTop w:val="0"/>
          <w:marBottom w:val="0"/>
          <w:divBdr>
            <w:top w:val="none" w:sz="0" w:space="0" w:color="auto"/>
            <w:left w:val="none" w:sz="0" w:space="0" w:color="auto"/>
            <w:bottom w:val="none" w:sz="0" w:space="0" w:color="auto"/>
            <w:right w:val="none" w:sz="0" w:space="0" w:color="auto"/>
          </w:divBdr>
        </w:div>
        <w:div w:id="1417745184">
          <w:marLeft w:val="0"/>
          <w:marRight w:val="0"/>
          <w:marTop w:val="60"/>
          <w:marBottom w:val="0"/>
          <w:divBdr>
            <w:top w:val="none" w:sz="0" w:space="0" w:color="auto"/>
            <w:left w:val="none" w:sz="0" w:space="0" w:color="auto"/>
            <w:bottom w:val="none" w:sz="0" w:space="0" w:color="auto"/>
            <w:right w:val="none" w:sz="0" w:space="0" w:color="auto"/>
          </w:divBdr>
          <w:divsChild>
            <w:div w:id="564802399">
              <w:marLeft w:val="0"/>
              <w:marRight w:val="360"/>
              <w:marTop w:val="0"/>
              <w:marBottom w:val="0"/>
              <w:divBdr>
                <w:top w:val="none" w:sz="0" w:space="0" w:color="auto"/>
                <w:left w:val="none" w:sz="0" w:space="0" w:color="auto"/>
                <w:bottom w:val="none" w:sz="0" w:space="0" w:color="auto"/>
                <w:right w:val="none" w:sz="0" w:space="0" w:color="auto"/>
              </w:divBdr>
            </w:div>
          </w:divsChild>
        </w:div>
        <w:div w:id="1867138960">
          <w:marLeft w:val="0"/>
          <w:marRight w:val="0"/>
          <w:marTop w:val="0"/>
          <w:marBottom w:val="0"/>
          <w:divBdr>
            <w:top w:val="none" w:sz="0" w:space="0" w:color="auto"/>
            <w:left w:val="none" w:sz="0" w:space="0" w:color="auto"/>
            <w:bottom w:val="none" w:sz="0" w:space="0" w:color="auto"/>
            <w:right w:val="none" w:sz="0" w:space="0" w:color="auto"/>
          </w:divBdr>
          <w:divsChild>
            <w:div w:id="953175705">
              <w:marLeft w:val="0"/>
              <w:marRight w:val="0"/>
              <w:marTop w:val="0"/>
              <w:marBottom w:val="0"/>
              <w:divBdr>
                <w:top w:val="none" w:sz="0" w:space="0" w:color="auto"/>
                <w:left w:val="none" w:sz="0" w:space="0" w:color="auto"/>
                <w:bottom w:val="none" w:sz="0" w:space="0" w:color="auto"/>
                <w:right w:val="none" w:sz="0" w:space="0" w:color="auto"/>
              </w:divBdr>
              <w:divsChild>
                <w:div w:id="339048368">
                  <w:marLeft w:val="0"/>
                  <w:marRight w:val="0"/>
                  <w:marTop w:val="0"/>
                  <w:marBottom w:val="480"/>
                  <w:divBdr>
                    <w:top w:val="none" w:sz="0" w:space="0" w:color="auto"/>
                    <w:left w:val="none" w:sz="0" w:space="0" w:color="auto"/>
                    <w:bottom w:val="none" w:sz="0" w:space="0" w:color="auto"/>
                    <w:right w:val="none" w:sz="0" w:space="0" w:color="auto"/>
                  </w:divBdr>
                  <w:divsChild>
                    <w:div w:id="872890285">
                      <w:marLeft w:val="0"/>
                      <w:marRight w:val="0"/>
                      <w:marTop w:val="0"/>
                      <w:marBottom w:val="120"/>
                      <w:divBdr>
                        <w:top w:val="none" w:sz="0" w:space="0" w:color="auto"/>
                        <w:left w:val="none" w:sz="0" w:space="0" w:color="auto"/>
                        <w:bottom w:val="none" w:sz="0" w:space="0" w:color="auto"/>
                        <w:right w:val="none" w:sz="0" w:space="0" w:color="auto"/>
                      </w:divBdr>
                      <w:divsChild>
                        <w:div w:id="142358720">
                          <w:marLeft w:val="0"/>
                          <w:marRight w:val="0"/>
                          <w:marTop w:val="0"/>
                          <w:marBottom w:val="0"/>
                          <w:divBdr>
                            <w:top w:val="none" w:sz="0" w:space="0" w:color="auto"/>
                            <w:left w:val="none" w:sz="0" w:space="0" w:color="auto"/>
                            <w:bottom w:val="none" w:sz="0" w:space="0" w:color="auto"/>
                            <w:right w:val="none" w:sz="0" w:space="0" w:color="auto"/>
                          </w:divBdr>
                        </w:div>
                      </w:divsChild>
                    </w:div>
                    <w:div w:id="1591310610">
                      <w:marLeft w:val="0"/>
                      <w:marRight w:val="0"/>
                      <w:marTop w:val="0"/>
                      <w:marBottom w:val="0"/>
                      <w:divBdr>
                        <w:top w:val="none" w:sz="0" w:space="0" w:color="auto"/>
                        <w:left w:val="none" w:sz="0" w:space="0" w:color="auto"/>
                        <w:bottom w:val="none" w:sz="0" w:space="0" w:color="auto"/>
                        <w:right w:val="none" w:sz="0" w:space="0" w:color="auto"/>
                      </w:divBdr>
                    </w:div>
                    <w:div w:id="1890456999">
                      <w:marLeft w:val="0"/>
                      <w:marRight w:val="0"/>
                      <w:marTop w:val="0"/>
                      <w:marBottom w:val="120"/>
                      <w:divBdr>
                        <w:top w:val="none" w:sz="0" w:space="0" w:color="auto"/>
                        <w:left w:val="none" w:sz="0" w:space="0" w:color="auto"/>
                        <w:bottom w:val="none" w:sz="0" w:space="0" w:color="auto"/>
                        <w:right w:val="none" w:sz="0" w:space="0" w:color="auto"/>
                      </w:divBdr>
                      <w:divsChild>
                        <w:div w:id="1120683342">
                          <w:marLeft w:val="0"/>
                          <w:marRight w:val="0"/>
                          <w:marTop w:val="0"/>
                          <w:marBottom w:val="0"/>
                          <w:divBdr>
                            <w:top w:val="none" w:sz="0" w:space="0" w:color="auto"/>
                            <w:left w:val="none" w:sz="0" w:space="0" w:color="auto"/>
                            <w:bottom w:val="none" w:sz="0" w:space="0" w:color="auto"/>
                            <w:right w:val="none" w:sz="0" w:space="0" w:color="auto"/>
                          </w:divBdr>
                        </w:div>
                      </w:divsChild>
                    </w:div>
                    <w:div w:id="765465232">
                      <w:marLeft w:val="0"/>
                      <w:marRight w:val="0"/>
                      <w:marTop w:val="0"/>
                      <w:marBottom w:val="0"/>
                      <w:divBdr>
                        <w:top w:val="none" w:sz="0" w:space="0" w:color="auto"/>
                        <w:left w:val="none" w:sz="0" w:space="0" w:color="auto"/>
                        <w:bottom w:val="none" w:sz="0" w:space="0" w:color="auto"/>
                        <w:right w:val="none" w:sz="0" w:space="0" w:color="auto"/>
                      </w:divBdr>
                    </w:div>
                    <w:div w:id="314801654">
                      <w:marLeft w:val="0"/>
                      <w:marRight w:val="0"/>
                      <w:marTop w:val="0"/>
                      <w:marBottom w:val="120"/>
                      <w:divBdr>
                        <w:top w:val="none" w:sz="0" w:space="0" w:color="auto"/>
                        <w:left w:val="none" w:sz="0" w:space="0" w:color="auto"/>
                        <w:bottom w:val="none" w:sz="0" w:space="0" w:color="auto"/>
                        <w:right w:val="none" w:sz="0" w:space="0" w:color="auto"/>
                      </w:divBdr>
                      <w:divsChild>
                        <w:div w:id="866144242">
                          <w:marLeft w:val="0"/>
                          <w:marRight w:val="0"/>
                          <w:marTop w:val="0"/>
                          <w:marBottom w:val="0"/>
                          <w:divBdr>
                            <w:top w:val="none" w:sz="0" w:space="0" w:color="auto"/>
                            <w:left w:val="none" w:sz="0" w:space="0" w:color="auto"/>
                            <w:bottom w:val="none" w:sz="0" w:space="0" w:color="auto"/>
                            <w:right w:val="none" w:sz="0" w:space="0" w:color="auto"/>
                          </w:divBdr>
                        </w:div>
                      </w:divsChild>
                    </w:div>
                    <w:div w:id="1677422715">
                      <w:marLeft w:val="0"/>
                      <w:marRight w:val="0"/>
                      <w:marTop w:val="0"/>
                      <w:marBottom w:val="0"/>
                      <w:divBdr>
                        <w:top w:val="none" w:sz="0" w:space="0" w:color="auto"/>
                        <w:left w:val="none" w:sz="0" w:space="0" w:color="auto"/>
                        <w:bottom w:val="none" w:sz="0" w:space="0" w:color="auto"/>
                        <w:right w:val="none" w:sz="0" w:space="0" w:color="auto"/>
                      </w:divBdr>
                    </w:div>
                    <w:div w:id="39986621">
                      <w:marLeft w:val="0"/>
                      <w:marRight w:val="0"/>
                      <w:marTop w:val="0"/>
                      <w:marBottom w:val="120"/>
                      <w:divBdr>
                        <w:top w:val="none" w:sz="0" w:space="0" w:color="auto"/>
                        <w:left w:val="none" w:sz="0" w:space="0" w:color="auto"/>
                        <w:bottom w:val="none" w:sz="0" w:space="0" w:color="auto"/>
                        <w:right w:val="none" w:sz="0" w:space="0" w:color="auto"/>
                      </w:divBdr>
                      <w:divsChild>
                        <w:div w:id="1081028037">
                          <w:marLeft w:val="0"/>
                          <w:marRight w:val="0"/>
                          <w:marTop w:val="0"/>
                          <w:marBottom w:val="0"/>
                          <w:divBdr>
                            <w:top w:val="none" w:sz="0" w:space="0" w:color="auto"/>
                            <w:left w:val="none" w:sz="0" w:space="0" w:color="auto"/>
                            <w:bottom w:val="none" w:sz="0" w:space="0" w:color="auto"/>
                            <w:right w:val="none" w:sz="0" w:space="0" w:color="auto"/>
                          </w:divBdr>
                        </w:div>
                      </w:divsChild>
                    </w:div>
                    <w:div w:id="1341734642">
                      <w:marLeft w:val="0"/>
                      <w:marRight w:val="0"/>
                      <w:marTop w:val="0"/>
                      <w:marBottom w:val="0"/>
                      <w:divBdr>
                        <w:top w:val="none" w:sz="0" w:space="0" w:color="auto"/>
                        <w:left w:val="none" w:sz="0" w:space="0" w:color="auto"/>
                        <w:bottom w:val="none" w:sz="0" w:space="0" w:color="auto"/>
                        <w:right w:val="none" w:sz="0" w:space="0" w:color="auto"/>
                      </w:divBdr>
                    </w:div>
                    <w:div w:id="937181029">
                      <w:marLeft w:val="0"/>
                      <w:marRight w:val="0"/>
                      <w:marTop w:val="0"/>
                      <w:marBottom w:val="120"/>
                      <w:divBdr>
                        <w:top w:val="none" w:sz="0" w:space="0" w:color="auto"/>
                        <w:left w:val="none" w:sz="0" w:space="0" w:color="auto"/>
                        <w:bottom w:val="none" w:sz="0" w:space="0" w:color="auto"/>
                        <w:right w:val="none" w:sz="0" w:space="0" w:color="auto"/>
                      </w:divBdr>
                      <w:divsChild>
                        <w:div w:id="1564294833">
                          <w:marLeft w:val="0"/>
                          <w:marRight w:val="0"/>
                          <w:marTop w:val="0"/>
                          <w:marBottom w:val="0"/>
                          <w:divBdr>
                            <w:top w:val="none" w:sz="0" w:space="0" w:color="auto"/>
                            <w:left w:val="none" w:sz="0" w:space="0" w:color="auto"/>
                            <w:bottom w:val="none" w:sz="0" w:space="0" w:color="auto"/>
                            <w:right w:val="none" w:sz="0" w:space="0" w:color="auto"/>
                          </w:divBdr>
                        </w:div>
                      </w:divsChild>
                    </w:div>
                    <w:div w:id="763719826">
                      <w:marLeft w:val="0"/>
                      <w:marRight w:val="0"/>
                      <w:marTop w:val="0"/>
                      <w:marBottom w:val="0"/>
                      <w:divBdr>
                        <w:top w:val="none" w:sz="0" w:space="0" w:color="auto"/>
                        <w:left w:val="none" w:sz="0" w:space="0" w:color="auto"/>
                        <w:bottom w:val="none" w:sz="0" w:space="0" w:color="auto"/>
                        <w:right w:val="none" w:sz="0" w:space="0" w:color="auto"/>
                      </w:divBdr>
                    </w:div>
                    <w:div w:id="1439524482">
                      <w:marLeft w:val="0"/>
                      <w:marRight w:val="0"/>
                      <w:marTop w:val="0"/>
                      <w:marBottom w:val="120"/>
                      <w:divBdr>
                        <w:top w:val="none" w:sz="0" w:space="0" w:color="auto"/>
                        <w:left w:val="none" w:sz="0" w:space="0" w:color="auto"/>
                        <w:bottom w:val="none" w:sz="0" w:space="0" w:color="auto"/>
                        <w:right w:val="none" w:sz="0" w:space="0" w:color="auto"/>
                      </w:divBdr>
                      <w:divsChild>
                        <w:div w:id="735250902">
                          <w:marLeft w:val="0"/>
                          <w:marRight w:val="0"/>
                          <w:marTop w:val="0"/>
                          <w:marBottom w:val="0"/>
                          <w:divBdr>
                            <w:top w:val="none" w:sz="0" w:space="0" w:color="auto"/>
                            <w:left w:val="none" w:sz="0" w:space="0" w:color="auto"/>
                            <w:bottom w:val="none" w:sz="0" w:space="0" w:color="auto"/>
                            <w:right w:val="none" w:sz="0" w:space="0" w:color="auto"/>
                          </w:divBdr>
                        </w:div>
                      </w:divsChild>
                    </w:div>
                    <w:div w:id="91200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943396">
          <w:marLeft w:val="0"/>
          <w:marRight w:val="0"/>
          <w:marTop w:val="0"/>
          <w:marBottom w:val="0"/>
          <w:divBdr>
            <w:top w:val="none" w:sz="0" w:space="0" w:color="auto"/>
            <w:left w:val="none" w:sz="0" w:space="0" w:color="auto"/>
            <w:bottom w:val="none" w:sz="0" w:space="0" w:color="auto"/>
            <w:right w:val="none" w:sz="0" w:space="0" w:color="auto"/>
          </w:divBdr>
        </w:div>
      </w:divsChild>
    </w:div>
    <w:div w:id="1852179240">
      <w:bodyDiv w:val="1"/>
      <w:marLeft w:val="0"/>
      <w:marRight w:val="0"/>
      <w:marTop w:val="0"/>
      <w:marBottom w:val="0"/>
      <w:divBdr>
        <w:top w:val="none" w:sz="0" w:space="0" w:color="auto"/>
        <w:left w:val="none" w:sz="0" w:space="0" w:color="auto"/>
        <w:bottom w:val="none" w:sz="0" w:space="0" w:color="auto"/>
        <w:right w:val="none" w:sz="0" w:space="0" w:color="auto"/>
      </w:divBdr>
      <w:divsChild>
        <w:div w:id="1633635132">
          <w:marLeft w:val="0"/>
          <w:marRight w:val="0"/>
          <w:marTop w:val="0"/>
          <w:marBottom w:val="0"/>
          <w:divBdr>
            <w:top w:val="none" w:sz="0" w:space="0" w:color="auto"/>
            <w:left w:val="none" w:sz="0" w:space="0" w:color="auto"/>
            <w:bottom w:val="none" w:sz="0" w:space="0" w:color="auto"/>
            <w:right w:val="none" w:sz="0" w:space="0" w:color="auto"/>
          </w:divBdr>
          <w:divsChild>
            <w:div w:id="1289431339">
              <w:marLeft w:val="0"/>
              <w:marRight w:val="0"/>
              <w:marTop w:val="0"/>
              <w:marBottom w:val="120"/>
              <w:divBdr>
                <w:top w:val="none" w:sz="0" w:space="0" w:color="auto"/>
                <w:left w:val="none" w:sz="0" w:space="0" w:color="auto"/>
                <w:bottom w:val="none" w:sz="0" w:space="0" w:color="auto"/>
                <w:right w:val="none" w:sz="0" w:space="0" w:color="auto"/>
              </w:divBdr>
              <w:divsChild>
                <w:div w:id="113117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64657">
          <w:marLeft w:val="0"/>
          <w:marRight w:val="0"/>
          <w:marTop w:val="0"/>
          <w:marBottom w:val="480"/>
          <w:divBdr>
            <w:top w:val="none" w:sz="0" w:space="0" w:color="auto"/>
            <w:left w:val="none" w:sz="0" w:space="0" w:color="auto"/>
            <w:bottom w:val="single" w:sz="12" w:space="24" w:color="EBEBEB"/>
            <w:right w:val="none" w:sz="0" w:space="0" w:color="auto"/>
          </w:divBdr>
          <w:divsChild>
            <w:div w:id="43136934">
              <w:marLeft w:val="0"/>
              <w:marRight w:val="0"/>
              <w:marTop w:val="0"/>
              <w:marBottom w:val="0"/>
              <w:divBdr>
                <w:top w:val="none" w:sz="0" w:space="0" w:color="auto"/>
                <w:left w:val="none" w:sz="0" w:space="0" w:color="auto"/>
                <w:bottom w:val="none" w:sz="0" w:space="0" w:color="auto"/>
                <w:right w:val="none" w:sz="0" w:space="0" w:color="auto"/>
              </w:divBdr>
              <w:divsChild>
                <w:div w:id="1526334287">
                  <w:marLeft w:val="0"/>
                  <w:marRight w:val="0"/>
                  <w:marTop w:val="0"/>
                  <w:marBottom w:val="0"/>
                  <w:divBdr>
                    <w:top w:val="none" w:sz="0" w:space="0" w:color="auto"/>
                    <w:left w:val="none" w:sz="0" w:space="0" w:color="auto"/>
                    <w:bottom w:val="none" w:sz="0" w:space="0" w:color="auto"/>
                    <w:right w:val="none" w:sz="0" w:space="0" w:color="auto"/>
                  </w:divBdr>
                </w:div>
                <w:div w:id="53434971">
                  <w:marLeft w:val="0"/>
                  <w:marRight w:val="0"/>
                  <w:marTop w:val="0"/>
                  <w:marBottom w:val="0"/>
                  <w:divBdr>
                    <w:top w:val="none" w:sz="0" w:space="0" w:color="auto"/>
                    <w:left w:val="none" w:sz="0" w:space="0" w:color="auto"/>
                    <w:bottom w:val="none" w:sz="0" w:space="0" w:color="auto"/>
                    <w:right w:val="none" w:sz="0" w:space="0" w:color="auto"/>
                  </w:divBdr>
                </w:div>
                <w:div w:id="1698121280">
                  <w:marLeft w:val="0"/>
                  <w:marRight w:val="0"/>
                  <w:marTop w:val="0"/>
                  <w:marBottom w:val="0"/>
                  <w:divBdr>
                    <w:top w:val="none" w:sz="0" w:space="0" w:color="auto"/>
                    <w:left w:val="none" w:sz="0" w:space="0" w:color="auto"/>
                    <w:bottom w:val="none" w:sz="0" w:space="0" w:color="auto"/>
                    <w:right w:val="none" w:sz="0" w:space="0" w:color="auto"/>
                  </w:divBdr>
                </w:div>
                <w:div w:id="3969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677981">
          <w:marLeft w:val="0"/>
          <w:marRight w:val="0"/>
          <w:marTop w:val="0"/>
          <w:marBottom w:val="0"/>
          <w:divBdr>
            <w:top w:val="none" w:sz="0" w:space="0" w:color="auto"/>
            <w:left w:val="none" w:sz="0" w:space="0" w:color="auto"/>
            <w:bottom w:val="none" w:sz="0" w:space="0" w:color="auto"/>
            <w:right w:val="none" w:sz="0" w:space="0" w:color="auto"/>
          </w:divBdr>
          <w:divsChild>
            <w:div w:id="50664702">
              <w:marLeft w:val="0"/>
              <w:marRight w:val="0"/>
              <w:marTop w:val="0"/>
              <w:marBottom w:val="0"/>
              <w:divBdr>
                <w:top w:val="none" w:sz="0" w:space="0" w:color="auto"/>
                <w:left w:val="none" w:sz="0" w:space="0" w:color="auto"/>
                <w:bottom w:val="none" w:sz="0" w:space="0" w:color="auto"/>
                <w:right w:val="none" w:sz="0" w:space="0" w:color="auto"/>
              </w:divBdr>
              <w:divsChild>
                <w:div w:id="1813868920">
                  <w:marLeft w:val="0"/>
                  <w:marRight w:val="0"/>
                  <w:marTop w:val="0"/>
                  <w:marBottom w:val="0"/>
                  <w:divBdr>
                    <w:top w:val="none" w:sz="0" w:space="0" w:color="auto"/>
                    <w:left w:val="none" w:sz="0" w:space="0" w:color="auto"/>
                    <w:bottom w:val="none" w:sz="0" w:space="0" w:color="auto"/>
                    <w:right w:val="none" w:sz="0" w:space="0" w:color="auto"/>
                  </w:divBdr>
                  <w:divsChild>
                    <w:div w:id="390274907">
                      <w:marLeft w:val="0"/>
                      <w:marRight w:val="0"/>
                      <w:marTop w:val="240"/>
                      <w:marBottom w:val="240"/>
                      <w:divBdr>
                        <w:top w:val="single" w:sz="12" w:space="0" w:color="EBEBEB"/>
                        <w:left w:val="none" w:sz="0" w:space="0" w:color="auto"/>
                        <w:bottom w:val="single" w:sz="12" w:space="0" w:color="EBEBEB"/>
                        <w:right w:val="none" w:sz="0" w:space="0" w:color="auto"/>
                      </w:divBdr>
                      <w:divsChild>
                        <w:div w:id="21406067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5309232">
                  <w:marLeft w:val="0"/>
                  <w:marRight w:val="0"/>
                  <w:marTop w:val="0"/>
                  <w:marBottom w:val="0"/>
                  <w:divBdr>
                    <w:top w:val="none" w:sz="0" w:space="0" w:color="auto"/>
                    <w:left w:val="none" w:sz="0" w:space="0" w:color="auto"/>
                    <w:bottom w:val="none" w:sz="0" w:space="0" w:color="auto"/>
                    <w:right w:val="none" w:sz="0" w:space="0" w:color="auto"/>
                  </w:divBdr>
                  <w:divsChild>
                    <w:div w:id="1823695348">
                      <w:marLeft w:val="0"/>
                      <w:marRight w:val="0"/>
                      <w:marTop w:val="240"/>
                      <w:marBottom w:val="240"/>
                      <w:divBdr>
                        <w:top w:val="single" w:sz="12" w:space="0" w:color="EBEBEB"/>
                        <w:left w:val="none" w:sz="0" w:space="0" w:color="auto"/>
                        <w:bottom w:val="single" w:sz="12" w:space="0" w:color="EBEBEB"/>
                        <w:right w:val="none" w:sz="0" w:space="0" w:color="auto"/>
                      </w:divBdr>
                      <w:divsChild>
                        <w:div w:id="1062363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2118703">
                  <w:marLeft w:val="0"/>
                  <w:marRight w:val="0"/>
                  <w:marTop w:val="0"/>
                  <w:marBottom w:val="0"/>
                  <w:divBdr>
                    <w:top w:val="none" w:sz="0" w:space="0" w:color="auto"/>
                    <w:left w:val="none" w:sz="0" w:space="0" w:color="auto"/>
                    <w:bottom w:val="none" w:sz="0" w:space="0" w:color="auto"/>
                    <w:right w:val="none" w:sz="0" w:space="0" w:color="auto"/>
                  </w:divBdr>
                  <w:divsChild>
                    <w:div w:id="685324800">
                      <w:marLeft w:val="0"/>
                      <w:marRight w:val="0"/>
                      <w:marTop w:val="240"/>
                      <w:marBottom w:val="240"/>
                      <w:divBdr>
                        <w:top w:val="single" w:sz="12" w:space="0" w:color="EBEBEB"/>
                        <w:left w:val="none" w:sz="0" w:space="0" w:color="auto"/>
                        <w:bottom w:val="single" w:sz="12" w:space="0" w:color="EBEBEB"/>
                        <w:right w:val="none" w:sz="0" w:space="0" w:color="auto"/>
                      </w:divBdr>
                      <w:divsChild>
                        <w:div w:id="10842579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62207843">
                  <w:marLeft w:val="0"/>
                  <w:marRight w:val="0"/>
                  <w:marTop w:val="0"/>
                  <w:marBottom w:val="0"/>
                  <w:divBdr>
                    <w:top w:val="none" w:sz="0" w:space="0" w:color="auto"/>
                    <w:left w:val="none" w:sz="0" w:space="0" w:color="auto"/>
                    <w:bottom w:val="none" w:sz="0" w:space="0" w:color="auto"/>
                    <w:right w:val="none" w:sz="0" w:space="0" w:color="auto"/>
                  </w:divBdr>
                  <w:divsChild>
                    <w:div w:id="1213275257">
                      <w:marLeft w:val="0"/>
                      <w:marRight w:val="0"/>
                      <w:marTop w:val="240"/>
                      <w:marBottom w:val="240"/>
                      <w:divBdr>
                        <w:top w:val="single" w:sz="12" w:space="0" w:color="EBEBEB"/>
                        <w:left w:val="none" w:sz="0" w:space="0" w:color="auto"/>
                        <w:bottom w:val="single" w:sz="12" w:space="0" w:color="EBEBEB"/>
                        <w:right w:val="none" w:sz="0" w:space="0" w:color="auto"/>
                      </w:divBdr>
                      <w:divsChild>
                        <w:div w:id="14359822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7716559">
                  <w:marLeft w:val="0"/>
                  <w:marRight w:val="0"/>
                  <w:marTop w:val="0"/>
                  <w:marBottom w:val="0"/>
                  <w:divBdr>
                    <w:top w:val="none" w:sz="0" w:space="0" w:color="auto"/>
                    <w:left w:val="none" w:sz="0" w:space="0" w:color="auto"/>
                    <w:bottom w:val="none" w:sz="0" w:space="0" w:color="auto"/>
                    <w:right w:val="none" w:sz="0" w:space="0" w:color="auto"/>
                  </w:divBdr>
                  <w:divsChild>
                    <w:div w:id="1609849765">
                      <w:marLeft w:val="0"/>
                      <w:marRight w:val="0"/>
                      <w:marTop w:val="240"/>
                      <w:marBottom w:val="240"/>
                      <w:divBdr>
                        <w:top w:val="single" w:sz="12" w:space="0" w:color="EBEBEB"/>
                        <w:left w:val="none" w:sz="0" w:space="0" w:color="auto"/>
                        <w:bottom w:val="single" w:sz="12" w:space="0" w:color="EBEBEB"/>
                        <w:right w:val="none" w:sz="0" w:space="0" w:color="auto"/>
                      </w:divBdr>
                      <w:divsChild>
                        <w:div w:id="5342703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7758071">
                  <w:marLeft w:val="0"/>
                  <w:marRight w:val="0"/>
                  <w:marTop w:val="0"/>
                  <w:marBottom w:val="0"/>
                  <w:divBdr>
                    <w:top w:val="none" w:sz="0" w:space="0" w:color="auto"/>
                    <w:left w:val="none" w:sz="0" w:space="0" w:color="auto"/>
                    <w:bottom w:val="none" w:sz="0" w:space="0" w:color="auto"/>
                    <w:right w:val="none" w:sz="0" w:space="0" w:color="auto"/>
                  </w:divBdr>
                  <w:divsChild>
                    <w:div w:id="319969125">
                      <w:marLeft w:val="0"/>
                      <w:marRight w:val="0"/>
                      <w:marTop w:val="240"/>
                      <w:marBottom w:val="240"/>
                      <w:divBdr>
                        <w:top w:val="single" w:sz="12" w:space="0" w:color="EBEBEB"/>
                        <w:left w:val="none" w:sz="0" w:space="0" w:color="auto"/>
                        <w:bottom w:val="single" w:sz="12" w:space="0" w:color="EBEBEB"/>
                        <w:right w:val="none" w:sz="0" w:space="0" w:color="auto"/>
                      </w:divBdr>
                      <w:divsChild>
                        <w:div w:id="20959739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35481093">
                  <w:marLeft w:val="0"/>
                  <w:marRight w:val="0"/>
                  <w:marTop w:val="0"/>
                  <w:marBottom w:val="0"/>
                  <w:divBdr>
                    <w:top w:val="none" w:sz="0" w:space="0" w:color="auto"/>
                    <w:left w:val="none" w:sz="0" w:space="0" w:color="auto"/>
                    <w:bottom w:val="none" w:sz="0" w:space="0" w:color="auto"/>
                    <w:right w:val="none" w:sz="0" w:space="0" w:color="auto"/>
                  </w:divBdr>
                  <w:divsChild>
                    <w:div w:id="836270291">
                      <w:marLeft w:val="0"/>
                      <w:marRight w:val="0"/>
                      <w:marTop w:val="240"/>
                      <w:marBottom w:val="240"/>
                      <w:divBdr>
                        <w:top w:val="single" w:sz="12" w:space="0" w:color="EBEBEB"/>
                        <w:left w:val="none" w:sz="0" w:space="0" w:color="auto"/>
                        <w:bottom w:val="single" w:sz="12" w:space="0" w:color="EBEBEB"/>
                        <w:right w:val="none" w:sz="0" w:space="0" w:color="auto"/>
                      </w:divBdr>
                      <w:divsChild>
                        <w:div w:id="1924486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0608433">
                  <w:marLeft w:val="0"/>
                  <w:marRight w:val="0"/>
                  <w:marTop w:val="0"/>
                  <w:marBottom w:val="0"/>
                  <w:divBdr>
                    <w:top w:val="none" w:sz="0" w:space="0" w:color="auto"/>
                    <w:left w:val="none" w:sz="0" w:space="0" w:color="auto"/>
                    <w:bottom w:val="none" w:sz="0" w:space="0" w:color="auto"/>
                    <w:right w:val="none" w:sz="0" w:space="0" w:color="auto"/>
                  </w:divBdr>
                  <w:divsChild>
                    <w:div w:id="1221211965">
                      <w:marLeft w:val="0"/>
                      <w:marRight w:val="0"/>
                      <w:marTop w:val="240"/>
                      <w:marBottom w:val="240"/>
                      <w:divBdr>
                        <w:top w:val="single" w:sz="12" w:space="0" w:color="EBEBEB"/>
                        <w:left w:val="none" w:sz="0" w:space="0" w:color="auto"/>
                        <w:bottom w:val="single" w:sz="12" w:space="0" w:color="EBEBEB"/>
                        <w:right w:val="none" w:sz="0" w:space="0" w:color="auto"/>
                      </w:divBdr>
                      <w:divsChild>
                        <w:div w:id="426197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37642419">
              <w:marLeft w:val="0"/>
              <w:marRight w:val="0"/>
              <w:marTop w:val="0"/>
              <w:marBottom w:val="0"/>
              <w:divBdr>
                <w:top w:val="none" w:sz="0" w:space="0" w:color="auto"/>
                <w:left w:val="none" w:sz="0" w:space="0" w:color="auto"/>
                <w:bottom w:val="none" w:sz="0" w:space="0" w:color="auto"/>
                <w:right w:val="none" w:sz="0" w:space="0" w:color="auto"/>
              </w:divBdr>
              <w:divsChild>
                <w:div w:id="367879205">
                  <w:marLeft w:val="0"/>
                  <w:marRight w:val="0"/>
                  <w:marTop w:val="240"/>
                  <w:marBottom w:val="240"/>
                  <w:divBdr>
                    <w:top w:val="single" w:sz="12" w:space="0" w:color="EBEBEB"/>
                    <w:left w:val="none" w:sz="0" w:space="0" w:color="auto"/>
                    <w:bottom w:val="single" w:sz="12" w:space="0" w:color="EBEBEB"/>
                    <w:right w:val="none" w:sz="0" w:space="0" w:color="auto"/>
                  </w:divBdr>
                  <w:divsChild>
                    <w:div w:id="891118893">
                      <w:marLeft w:val="0"/>
                      <w:marRight w:val="0"/>
                      <w:marTop w:val="240"/>
                      <w:marBottom w:val="240"/>
                      <w:divBdr>
                        <w:top w:val="none" w:sz="0" w:space="0" w:color="auto"/>
                        <w:left w:val="none" w:sz="0" w:space="0" w:color="auto"/>
                        <w:bottom w:val="none" w:sz="0" w:space="0" w:color="auto"/>
                        <w:right w:val="none" w:sz="0" w:space="0" w:color="auto"/>
                      </w:divBdr>
                    </w:div>
                  </w:divsChild>
                </w:div>
                <w:div w:id="1919514572">
                  <w:marLeft w:val="0"/>
                  <w:marRight w:val="0"/>
                  <w:marTop w:val="240"/>
                  <w:marBottom w:val="240"/>
                  <w:divBdr>
                    <w:top w:val="single" w:sz="12" w:space="0" w:color="EBEBEB"/>
                    <w:left w:val="none" w:sz="0" w:space="0" w:color="auto"/>
                    <w:bottom w:val="single" w:sz="12" w:space="0" w:color="EBEBEB"/>
                    <w:right w:val="none" w:sz="0" w:space="0" w:color="auto"/>
                  </w:divBdr>
                  <w:divsChild>
                    <w:div w:id="1898316786">
                      <w:marLeft w:val="0"/>
                      <w:marRight w:val="0"/>
                      <w:marTop w:val="240"/>
                      <w:marBottom w:val="240"/>
                      <w:divBdr>
                        <w:top w:val="none" w:sz="0" w:space="0" w:color="auto"/>
                        <w:left w:val="none" w:sz="0" w:space="0" w:color="auto"/>
                        <w:bottom w:val="none" w:sz="0" w:space="0" w:color="auto"/>
                        <w:right w:val="none" w:sz="0" w:space="0" w:color="auto"/>
                      </w:divBdr>
                    </w:div>
                  </w:divsChild>
                </w:div>
                <w:div w:id="192420840">
                  <w:marLeft w:val="0"/>
                  <w:marRight w:val="0"/>
                  <w:marTop w:val="240"/>
                  <w:marBottom w:val="240"/>
                  <w:divBdr>
                    <w:top w:val="single" w:sz="12" w:space="0" w:color="EBEBEB"/>
                    <w:left w:val="none" w:sz="0" w:space="0" w:color="auto"/>
                    <w:bottom w:val="single" w:sz="12" w:space="0" w:color="EBEBEB"/>
                    <w:right w:val="none" w:sz="0" w:space="0" w:color="auto"/>
                  </w:divBdr>
                  <w:divsChild>
                    <w:div w:id="1833134111">
                      <w:marLeft w:val="0"/>
                      <w:marRight w:val="0"/>
                      <w:marTop w:val="240"/>
                      <w:marBottom w:val="240"/>
                      <w:divBdr>
                        <w:top w:val="none" w:sz="0" w:space="0" w:color="auto"/>
                        <w:left w:val="none" w:sz="0" w:space="0" w:color="auto"/>
                        <w:bottom w:val="none" w:sz="0" w:space="0" w:color="auto"/>
                        <w:right w:val="none" w:sz="0" w:space="0" w:color="auto"/>
                      </w:divBdr>
                    </w:div>
                  </w:divsChild>
                </w:div>
                <w:div w:id="60157327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8221179">
          <w:marLeft w:val="0"/>
          <w:marRight w:val="0"/>
          <w:marTop w:val="0"/>
          <w:marBottom w:val="0"/>
          <w:divBdr>
            <w:top w:val="none" w:sz="0" w:space="0" w:color="auto"/>
            <w:left w:val="none" w:sz="0" w:space="0" w:color="auto"/>
            <w:bottom w:val="none" w:sz="0" w:space="0" w:color="auto"/>
            <w:right w:val="none" w:sz="0" w:space="0" w:color="auto"/>
          </w:divBdr>
          <w:divsChild>
            <w:div w:id="904220265">
              <w:marLeft w:val="0"/>
              <w:marRight w:val="0"/>
              <w:marTop w:val="0"/>
              <w:marBottom w:val="0"/>
              <w:divBdr>
                <w:top w:val="none" w:sz="0" w:space="0" w:color="auto"/>
                <w:left w:val="none" w:sz="0" w:space="0" w:color="auto"/>
                <w:bottom w:val="none" w:sz="0" w:space="0" w:color="auto"/>
                <w:right w:val="none" w:sz="0" w:space="0" w:color="auto"/>
              </w:divBdr>
            </w:div>
            <w:div w:id="928924510">
              <w:marLeft w:val="0"/>
              <w:marRight w:val="0"/>
              <w:marTop w:val="0"/>
              <w:marBottom w:val="0"/>
              <w:divBdr>
                <w:top w:val="none" w:sz="0" w:space="0" w:color="auto"/>
                <w:left w:val="none" w:sz="0" w:space="0" w:color="auto"/>
                <w:bottom w:val="none" w:sz="0" w:space="0" w:color="auto"/>
                <w:right w:val="none" w:sz="0" w:space="0" w:color="auto"/>
              </w:divBdr>
            </w:div>
          </w:divsChild>
        </w:div>
        <w:div w:id="1574974414">
          <w:marLeft w:val="0"/>
          <w:marRight w:val="0"/>
          <w:marTop w:val="0"/>
          <w:marBottom w:val="0"/>
          <w:divBdr>
            <w:top w:val="none" w:sz="0" w:space="0" w:color="auto"/>
            <w:left w:val="none" w:sz="0" w:space="0" w:color="auto"/>
            <w:bottom w:val="none" w:sz="0" w:space="0" w:color="auto"/>
            <w:right w:val="none" w:sz="0" w:space="0" w:color="auto"/>
          </w:divBdr>
        </w:div>
        <w:div w:id="2121336551">
          <w:marLeft w:val="0"/>
          <w:marRight w:val="0"/>
          <w:marTop w:val="60"/>
          <w:marBottom w:val="0"/>
          <w:divBdr>
            <w:top w:val="none" w:sz="0" w:space="0" w:color="auto"/>
            <w:left w:val="none" w:sz="0" w:space="0" w:color="auto"/>
            <w:bottom w:val="none" w:sz="0" w:space="0" w:color="auto"/>
            <w:right w:val="none" w:sz="0" w:space="0" w:color="auto"/>
          </w:divBdr>
        </w:div>
        <w:div w:id="376004879">
          <w:marLeft w:val="0"/>
          <w:marRight w:val="0"/>
          <w:marTop w:val="0"/>
          <w:marBottom w:val="0"/>
          <w:divBdr>
            <w:top w:val="none" w:sz="0" w:space="0" w:color="auto"/>
            <w:left w:val="none" w:sz="0" w:space="0" w:color="auto"/>
            <w:bottom w:val="none" w:sz="0" w:space="0" w:color="auto"/>
            <w:right w:val="none" w:sz="0" w:space="0" w:color="auto"/>
          </w:divBdr>
          <w:divsChild>
            <w:div w:id="1644046959">
              <w:marLeft w:val="0"/>
              <w:marRight w:val="0"/>
              <w:marTop w:val="0"/>
              <w:marBottom w:val="0"/>
              <w:divBdr>
                <w:top w:val="none" w:sz="0" w:space="0" w:color="auto"/>
                <w:left w:val="none" w:sz="0" w:space="0" w:color="auto"/>
                <w:bottom w:val="none" w:sz="0" w:space="0" w:color="auto"/>
                <w:right w:val="none" w:sz="0" w:space="0" w:color="auto"/>
              </w:divBdr>
            </w:div>
            <w:div w:id="1851601180">
              <w:marLeft w:val="0"/>
              <w:marRight w:val="0"/>
              <w:marTop w:val="0"/>
              <w:marBottom w:val="0"/>
              <w:divBdr>
                <w:top w:val="none" w:sz="0" w:space="0" w:color="auto"/>
                <w:left w:val="none" w:sz="0" w:space="0" w:color="auto"/>
                <w:bottom w:val="none" w:sz="0" w:space="0" w:color="auto"/>
                <w:right w:val="none" w:sz="0" w:space="0" w:color="auto"/>
              </w:divBdr>
            </w:div>
          </w:divsChild>
        </w:div>
        <w:div w:id="491141545">
          <w:marLeft w:val="0"/>
          <w:marRight w:val="0"/>
          <w:marTop w:val="0"/>
          <w:marBottom w:val="0"/>
          <w:divBdr>
            <w:top w:val="none" w:sz="0" w:space="0" w:color="auto"/>
            <w:left w:val="none" w:sz="0" w:space="0" w:color="auto"/>
            <w:bottom w:val="none" w:sz="0" w:space="0" w:color="auto"/>
            <w:right w:val="none" w:sz="0" w:space="0" w:color="auto"/>
          </w:divBdr>
        </w:div>
        <w:div w:id="1929726133">
          <w:marLeft w:val="0"/>
          <w:marRight w:val="0"/>
          <w:marTop w:val="60"/>
          <w:marBottom w:val="0"/>
          <w:divBdr>
            <w:top w:val="none" w:sz="0" w:space="0" w:color="auto"/>
            <w:left w:val="none" w:sz="0" w:space="0" w:color="auto"/>
            <w:bottom w:val="none" w:sz="0" w:space="0" w:color="auto"/>
            <w:right w:val="none" w:sz="0" w:space="0" w:color="auto"/>
          </w:divBdr>
          <w:divsChild>
            <w:div w:id="436296149">
              <w:marLeft w:val="0"/>
              <w:marRight w:val="360"/>
              <w:marTop w:val="0"/>
              <w:marBottom w:val="0"/>
              <w:divBdr>
                <w:top w:val="none" w:sz="0" w:space="0" w:color="auto"/>
                <w:left w:val="none" w:sz="0" w:space="0" w:color="auto"/>
                <w:bottom w:val="none" w:sz="0" w:space="0" w:color="auto"/>
                <w:right w:val="none" w:sz="0" w:space="0" w:color="auto"/>
              </w:divBdr>
            </w:div>
          </w:divsChild>
        </w:div>
        <w:div w:id="356778009">
          <w:marLeft w:val="0"/>
          <w:marRight w:val="0"/>
          <w:marTop w:val="0"/>
          <w:marBottom w:val="0"/>
          <w:divBdr>
            <w:top w:val="none" w:sz="0" w:space="0" w:color="auto"/>
            <w:left w:val="none" w:sz="0" w:space="0" w:color="auto"/>
            <w:bottom w:val="none" w:sz="0" w:space="0" w:color="auto"/>
            <w:right w:val="none" w:sz="0" w:space="0" w:color="auto"/>
          </w:divBdr>
          <w:divsChild>
            <w:div w:id="1869761111">
              <w:marLeft w:val="0"/>
              <w:marRight w:val="0"/>
              <w:marTop w:val="0"/>
              <w:marBottom w:val="0"/>
              <w:divBdr>
                <w:top w:val="none" w:sz="0" w:space="0" w:color="auto"/>
                <w:left w:val="none" w:sz="0" w:space="0" w:color="auto"/>
                <w:bottom w:val="none" w:sz="0" w:space="0" w:color="auto"/>
                <w:right w:val="none" w:sz="0" w:space="0" w:color="auto"/>
              </w:divBdr>
            </w:div>
            <w:div w:id="2003846072">
              <w:marLeft w:val="0"/>
              <w:marRight w:val="0"/>
              <w:marTop w:val="0"/>
              <w:marBottom w:val="0"/>
              <w:divBdr>
                <w:top w:val="none" w:sz="0" w:space="0" w:color="auto"/>
                <w:left w:val="none" w:sz="0" w:space="0" w:color="auto"/>
                <w:bottom w:val="none" w:sz="0" w:space="0" w:color="auto"/>
                <w:right w:val="none" w:sz="0" w:space="0" w:color="auto"/>
              </w:divBdr>
            </w:div>
          </w:divsChild>
        </w:div>
        <w:div w:id="1252278970">
          <w:marLeft w:val="0"/>
          <w:marRight w:val="0"/>
          <w:marTop w:val="0"/>
          <w:marBottom w:val="0"/>
          <w:divBdr>
            <w:top w:val="none" w:sz="0" w:space="0" w:color="auto"/>
            <w:left w:val="none" w:sz="0" w:space="0" w:color="auto"/>
            <w:bottom w:val="none" w:sz="0" w:space="0" w:color="auto"/>
            <w:right w:val="none" w:sz="0" w:space="0" w:color="auto"/>
          </w:divBdr>
        </w:div>
        <w:div w:id="1896240070">
          <w:marLeft w:val="0"/>
          <w:marRight w:val="0"/>
          <w:marTop w:val="60"/>
          <w:marBottom w:val="0"/>
          <w:divBdr>
            <w:top w:val="none" w:sz="0" w:space="0" w:color="auto"/>
            <w:left w:val="none" w:sz="0" w:space="0" w:color="auto"/>
            <w:bottom w:val="none" w:sz="0" w:space="0" w:color="auto"/>
            <w:right w:val="none" w:sz="0" w:space="0" w:color="auto"/>
          </w:divBdr>
        </w:div>
        <w:div w:id="563642003">
          <w:marLeft w:val="0"/>
          <w:marRight w:val="0"/>
          <w:marTop w:val="0"/>
          <w:marBottom w:val="0"/>
          <w:divBdr>
            <w:top w:val="none" w:sz="0" w:space="0" w:color="auto"/>
            <w:left w:val="none" w:sz="0" w:space="0" w:color="auto"/>
            <w:bottom w:val="none" w:sz="0" w:space="0" w:color="auto"/>
            <w:right w:val="none" w:sz="0" w:space="0" w:color="auto"/>
          </w:divBdr>
          <w:divsChild>
            <w:div w:id="2086881184">
              <w:marLeft w:val="0"/>
              <w:marRight w:val="0"/>
              <w:marTop w:val="0"/>
              <w:marBottom w:val="0"/>
              <w:divBdr>
                <w:top w:val="none" w:sz="0" w:space="0" w:color="auto"/>
                <w:left w:val="none" w:sz="0" w:space="0" w:color="auto"/>
                <w:bottom w:val="none" w:sz="0" w:space="0" w:color="auto"/>
                <w:right w:val="none" w:sz="0" w:space="0" w:color="auto"/>
              </w:divBdr>
            </w:div>
            <w:div w:id="1475444155">
              <w:marLeft w:val="0"/>
              <w:marRight w:val="0"/>
              <w:marTop w:val="0"/>
              <w:marBottom w:val="0"/>
              <w:divBdr>
                <w:top w:val="none" w:sz="0" w:space="0" w:color="auto"/>
                <w:left w:val="none" w:sz="0" w:space="0" w:color="auto"/>
                <w:bottom w:val="none" w:sz="0" w:space="0" w:color="auto"/>
                <w:right w:val="none" w:sz="0" w:space="0" w:color="auto"/>
              </w:divBdr>
            </w:div>
          </w:divsChild>
        </w:div>
        <w:div w:id="2099249609">
          <w:marLeft w:val="0"/>
          <w:marRight w:val="0"/>
          <w:marTop w:val="0"/>
          <w:marBottom w:val="0"/>
          <w:divBdr>
            <w:top w:val="none" w:sz="0" w:space="0" w:color="auto"/>
            <w:left w:val="none" w:sz="0" w:space="0" w:color="auto"/>
            <w:bottom w:val="none" w:sz="0" w:space="0" w:color="auto"/>
            <w:right w:val="none" w:sz="0" w:space="0" w:color="auto"/>
          </w:divBdr>
        </w:div>
        <w:div w:id="26296294">
          <w:marLeft w:val="0"/>
          <w:marRight w:val="0"/>
          <w:marTop w:val="60"/>
          <w:marBottom w:val="0"/>
          <w:divBdr>
            <w:top w:val="none" w:sz="0" w:space="0" w:color="auto"/>
            <w:left w:val="none" w:sz="0" w:space="0" w:color="auto"/>
            <w:bottom w:val="none" w:sz="0" w:space="0" w:color="auto"/>
            <w:right w:val="none" w:sz="0" w:space="0" w:color="auto"/>
          </w:divBdr>
          <w:divsChild>
            <w:div w:id="236595126">
              <w:marLeft w:val="0"/>
              <w:marRight w:val="360"/>
              <w:marTop w:val="0"/>
              <w:marBottom w:val="0"/>
              <w:divBdr>
                <w:top w:val="none" w:sz="0" w:space="0" w:color="auto"/>
                <w:left w:val="none" w:sz="0" w:space="0" w:color="auto"/>
                <w:bottom w:val="none" w:sz="0" w:space="0" w:color="auto"/>
                <w:right w:val="none" w:sz="0" w:space="0" w:color="auto"/>
              </w:divBdr>
            </w:div>
          </w:divsChild>
        </w:div>
        <w:div w:id="878513117">
          <w:marLeft w:val="0"/>
          <w:marRight w:val="0"/>
          <w:marTop w:val="0"/>
          <w:marBottom w:val="0"/>
          <w:divBdr>
            <w:top w:val="none" w:sz="0" w:space="0" w:color="auto"/>
            <w:left w:val="none" w:sz="0" w:space="0" w:color="auto"/>
            <w:bottom w:val="none" w:sz="0" w:space="0" w:color="auto"/>
            <w:right w:val="none" w:sz="0" w:space="0" w:color="auto"/>
          </w:divBdr>
          <w:divsChild>
            <w:div w:id="1809935131">
              <w:marLeft w:val="0"/>
              <w:marRight w:val="0"/>
              <w:marTop w:val="0"/>
              <w:marBottom w:val="0"/>
              <w:divBdr>
                <w:top w:val="none" w:sz="0" w:space="0" w:color="auto"/>
                <w:left w:val="none" w:sz="0" w:space="0" w:color="auto"/>
                <w:bottom w:val="none" w:sz="0" w:space="0" w:color="auto"/>
                <w:right w:val="none" w:sz="0" w:space="0" w:color="auto"/>
              </w:divBdr>
            </w:div>
            <w:div w:id="54741222">
              <w:marLeft w:val="0"/>
              <w:marRight w:val="0"/>
              <w:marTop w:val="0"/>
              <w:marBottom w:val="0"/>
              <w:divBdr>
                <w:top w:val="none" w:sz="0" w:space="0" w:color="auto"/>
                <w:left w:val="none" w:sz="0" w:space="0" w:color="auto"/>
                <w:bottom w:val="none" w:sz="0" w:space="0" w:color="auto"/>
                <w:right w:val="none" w:sz="0" w:space="0" w:color="auto"/>
              </w:divBdr>
            </w:div>
          </w:divsChild>
        </w:div>
        <w:div w:id="727806285">
          <w:marLeft w:val="0"/>
          <w:marRight w:val="0"/>
          <w:marTop w:val="0"/>
          <w:marBottom w:val="0"/>
          <w:divBdr>
            <w:top w:val="none" w:sz="0" w:space="0" w:color="auto"/>
            <w:left w:val="none" w:sz="0" w:space="0" w:color="auto"/>
            <w:bottom w:val="none" w:sz="0" w:space="0" w:color="auto"/>
            <w:right w:val="none" w:sz="0" w:space="0" w:color="auto"/>
          </w:divBdr>
        </w:div>
        <w:div w:id="1269855938">
          <w:marLeft w:val="0"/>
          <w:marRight w:val="0"/>
          <w:marTop w:val="60"/>
          <w:marBottom w:val="0"/>
          <w:divBdr>
            <w:top w:val="none" w:sz="0" w:space="0" w:color="auto"/>
            <w:left w:val="none" w:sz="0" w:space="0" w:color="auto"/>
            <w:bottom w:val="none" w:sz="0" w:space="0" w:color="auto"/>
            <w:right w:val="none" w:sz="0" w:space="0" w:color="auto"/>
          </w:divBdr>
        </w:div>
        <w:div w:id="2066372418">
          <w:marLeft w:val="0"/>
          <w:marRight w:val="0"/>
          <w:marTop w:val="0"/>
          <w:marBottom w:val="0"/>
          <w:divBdr>
            <w:top w:val="none" w:sz="0" w:space="0" w:color="auto"/>
            <w:left w:val="none" w:sz="0" w:space="0" w:color="auto"/>
            <w:bottom w:val="none" w:sz="0" w:space="0" w:color="auto"/>
            <w:right w:val="none" w:sz="0" w:space="0" w:color="auto"/>
          </w:divBdr>
          <w:divsChild>
            <w:div w:id="733820692">
              <w:marLeft w:val="0"/>
              <w:marRight w:val="0"/>
              <w:marTop w:val="0"/>
              <w:marBottom w:val="0"/>
              <w:divBdr>
                <w:top w:val="none" w:sz="0" w:space="0" w:color="auto"/>
                <w:left w:val="none" w:sz="0" w:space="0" w:color="auto"/>
                <w:bottom w:val="none" w:sz="0" w:space="0" w:color="auto"/>
                <w:right w:val="none" w:sz="0" w:space="0" w:color="auto"/>
              </w:divBdr>
            </w:div>
            <w:div w:id="373309601">
              <w:marLeft w:val="0"/>
              <w:marRight w:val="0"/>
              <w:marTop w:val="0"/>
              <w:marBottom w:val="0"/>
              <w:divBdr>
                <w:top w:val="none" w:sz="0" w:space="0" w:color="auto"/>
                <w:left w:val="none" w:sz="0" w:space="0" w:color="auto"/>
                <w:bottom w:val="none" w:sz="0" w:space="0" w:color="auto"/>
                <w:right w:val="none" w:sz="0" w:space="0" w:color="auto"/>
              </w:divBdr>
            </w:div>
          </w:divsChild>
        </w:div>
        <w:div w:id="254095724">
          <w:marLeft w:val="0"/>
          <w:marRight w:val="0"/>
          <w:marTop w:val="0"/>
          <w:marBottom w:val="0"/>
          <w:divBdr>
            <w:top w:val="none" w:sz="0" w:space="0" w:color="auto"/>
            <w:left w:val="none" w:sz="0" w:space="0" w:color="auto"/>
            <w:bottom w:val="none" w:sz="0" w:space="0" w:color="auto"/>
            <w:right w:val="none" w:sz="0" w:space="0" w:color="auto"/>
          </w:divBdr>
        </w:div>
        <w:div w:id="493106219">
          <w:marLeft w:val="0"/>
          <w:marRight w:val="0"/>
          <w:marTop w:val="60"/>
          <w:marBottom w:val="0"/>
          <w:divBdr>
            <w:top w:val="none" w:sz="0" w:space="0" w:color="auto"/>
            <w:left w:val="none" w:sz="0" w:space="0" w:color="auto"/>
            <w:bottom w:val="none" w:sz="0" w:space="0" w:color="auto"/>
            <w:right w:val="none" w:sz="0" w:space="0" w:color="auto"/>
          </w:divBdr>
        </w:div>
        <w:div w:id="440301422">
          <w:marLeft w:val="0"/>
          <w:marRight w:val="0"/>
          <w:marTop w:val="0"/>
          <w:marBottom w:val="0"/>
          <w:divBdr>
            <w:top w:val="none" w:sz="0" w:space="0" w:color="auto"/>
            <w:left w:val="none" w:sz="0" w:space="0" w:color="auto"/>
            <w:bottom w:val="none" w:sz="0" w:space="0" w:color="auto"/>
            <w:right w:val="none" w:sz="0" w:space="0" w:color="auto"/>
          </w:divBdr>
          <w:divsChild>
            <w:div w:id="1724138336">
              <w:marLeft w:val="0"/>
              <w:marRight w:val="0"/>
              <w:marTop w:val="0"/>
              <w:marBottom w:val="0"/>
              <w:divBdr>
                <w:top w:val="none" w:sz="0" w:space="0" w:color="auto"/>
                <w:left w:val="none" w:sz="0" w:space="0" w:color="auto"/>
                <w:bottom w:val="none" w:sz="0" w:space="0" w:color="auto"/>
                <w:right w:val="none" w:sz="0" w:space="0" w:color="auto"/>
              </w:divBdr>
            </w:div>
            <w:div w:id="1152605368">
              <w:marLeft w:val="0"/>
              <w:marRight w:val="0"/>
              <w:marTop w:val="0"/>
              <w:marBottom w:val="0"/>
              <w:divBdr>
                <w:top w:val="none" w:sz="0" w:space="0" w:color="auto"/>
                <w:left w:val="none" w:sz="0" w:space="0" w:color="auto"/>
                <w:bottom w:val="none" w:sz="0" w:space="0" w:color="auto"/>
                <w:right w:val="none" w:sz="0" w:space="0" w:color="auto"/>
              </w:divBdr>
            </w:div>
          </w:divsChild>
        </w:div>
        <w:div w:id="1740135620">
          <w:marLeft w:val="0"/>
          <w:marRight w:val="0"/>
          <w:marTop w:val="0"/>
          <w:marBottom w:val="0"/>
          <w:divBdr>
            <w:top w:val="none" w:sz="0" w:space="0" w:color="auto"/>
            <w:left w:val="none" w:sz="0" w:space="0" w:color="auto"/>
            <w:bottom w:val="none" w:sz="0" w:space="0" w:color="auto"/>
            <w:right w:val="none" w:sz="0" w:space="0" w:color="auto"/>
          </w:divBdr>
        </w:div>
        <w:div w:id="1685597878">
          <w:marLeft w:val="0"/>
          <w:marRight w:val="0"/>
          <w:marTop w:val="60"/>
          <w:marBottom w:val="0"/>
          <w:divBdr>
            <w:top w:val="none" w:sz="0" w:space="0" w:color="auto"/>
            <w:left w:val="none" w:sz="0" w:space="0" w:color="auto"/>
            <w:bottom w:val="none" w:sz="0" w:space="0" w:color="auto"/>
            <w:right w:val="none" w:sz="0" w:space="0" w:color="auto"/>
          </w:divBdr>
        </w:div>
        <w:div w:id="136577283">
          <w:marLeft w:val="0"/>
          <w:marRight w:val="0"/>
          <w:marTop w:val="0"/>
          <w:marBottom w:val="0"/>
          <w:divBdr>
            <w:top w:val="none" w:sz="0" w:space="0" w:color="auto"/>
            <w:left w:val="none" w:sz="0" w:space="0" w:color="auto"/>
            <w:bottom w:val="none" w:sz="0" w:space="0" w:color="auto"/>
            <w:right w:val="none" w:sz="0" w:space="0" w:color="auto"/>
          </w:divBdr>
          <w:divsChild>
            <w:div w:id="520823387">
              <w:marLeft w:val="0"/>
              <w:marRight w:val="0"/>
              <w:marTop w:val="0"/>
              <w:marBottom w:val="0"/>
              <w:divBdr>
                <w:top w:val="none" w:sz="0" w:space="0" w:color="auto"/>
                <w:left w:val="none" w:sz="0" w:space="0" w:color="auto"/>
                <w:bottom w:val="none" w:sz="0" w:space="0" w:color="auto"/>
                <w:right w:val="none" w:sz="0" w:space="0" w:color="auto"/>
              </w:divBdr>
            </w:div>
            <w:div w:id="576748179">
              <w:marLeft w:val="0"/>
              <w:marRight w:val="0"/>
              <w:marTop w:val="0"/>
              <w:marBottom w:val="0"/>
              <w:divBdr>
                <w:top w:val="none" w:sz="0" w:space="0" w:color="auto"/>
                <w:left w:val="none" w:sz="0" w:space="0" w:color="auto"/>
                <w:bottom w:val="none" w:sz="0" w:space="0" w:color="auto"/>
                <w:right w:val="none" w:sz="0" w:space="0" w:color="auto"/>
              </w:divBdr>
            </w:div>
          </w:divsChild>
        </w:div>
        <w:div w:id="1541674605">
          <w:marLeft w:val="0"/>
          <w:marRight w:val="0"/>
          <w:marTop w:val="0"/>
          <w:marBottom w:val="0"/>
          <w:divBdr>
            <w:top w:val="none" w:sz="0" w:space="0" w:color="auto"/>
            <w:left w:val="none" w:sz="0" w:space="0" w:color="auto"/>
            <w:bottom w:val="none" w:sz="0" w:space="0" w:color="auto"/>
            <w:right w:val="none" w:sz="0" w:space="0" w:color="auto"/>
          </w:divBdr>
        </w:div>
        <w:div w:id="1582594980">
          <w:marLeft w:val="0"/>
          <w:marRight w:val="0"/>
          <w:marTop w:val="60"/>
          <w:marBottom w:val="0"/>
          <w:divBdr>
            <w:top w:val="none" w:sz="0" w:space="0" w:color="auto"/>
            <w:left w:val="none" w:sz="0" w:space="0" w:color="auto"/>
            <w:bottom w:val="none" w:sz="0" w:space="0" w:color="auto"/>
            <w:right w:val="none" w:sz="0" w:space="0" w:color="auto"/>
          </w:divBdr>
        </w:div>
        <w:div w:id="1470705032">
          <w:marLeft w:val="0"/>
          <w:marRight w:val="0"/>
          <w:marTop w:val="0"/>
          <w:marBottom w:val="0"/>
          <w:divBdr>
            <w:top w:val="none" w:sz="0" w:space="0" w:color="auto"/>
            <w:left w:val="none" w:sz="0" w:space="0" w:color="auto"/>
            <w:bottom w:val="none" w:sz="0" w:space="0" w:color="auto"/>
            <w:right w:val="none" w:sz="0" w:space="0" w:color="auto"/>
          </w:divBdr>
          <w:divsChild>
            <w:div w:id="1859269981">
              <w:marLeft w:val="0"/>
              <w:marRight w:val="0"/>
              <w:marTop w:val="0"/>
              <w:marBottom w:val="0"/>
              <w:divBdr>
                <w:top w:val="none" w:sz="0" w:space="0" w:color="auto"/>
                <w:left w:val="none" w:sz="0" w:space="0" w:color="auto"/>
                <w:bottom w:val="none" w:sz="0" w:space="0" w:color="auto"/>
                <w:right w:val="none" w:sz="0" w:space="0" w:color="auto"/>
              </w:divBdr>
            </w:div>
            <w:div w:id="967975327">
              <w:marLeft w:val="0"/>
              <w:marRight w:val="0"/>
              <w:marTop w:val="0"/>
              <w:marBottom w:val="0"/>
              <w:divBdr>
                <w:top w:val="none" w:sz="0" w:space="0" w:color="auto"/>
                <w:left w:val="none" w:sz="0" w:space="0" w:color="auto"/>
                <w:bottom w:val="none" w:sz="0" w:space="0" w:color="auto"/>
                <w:right w:val="none" w:sz="0" w:space="0" w:color="auto"/>
              </w:divBdr>
            </w:div>
          </w:divsChild>
        </w:div>
        <w:div w:id="1529679415">
          <w:marLeft w:val="0"/>
          <w:marRight w:val="0"/>
          <w:marTop w:val="0"/>
          <w:marBottom w:val="0"/>
          <w:divBdr>
            <w:top w:val="none" w:sz="0" w:space="0" w:color="auto"/>
            <w:left w:val="none" w:sz="0" w:space="0" w:color="auto"/>
            <w:bottom w:val="none" w:sz="0" w:space="0" w:color="auto"/>
            <w:right w:val="none" w:sz="0" w:space="0" w:color="auto"/>
          </w:divBdr>
        </w:div>
        <w:div w:id="1575968985">
          <w:marLeft w:val="0"/>
          <w:marRight w:val="0"/>
          <w:marTop w:val="60"/>
          <w:marBottom w:val="0"/>
          <w:divBdr>
            <w:top w:val="none" w:sz="0" w:space="0" w:color="auto"/>
            <w:left w:val="none" w:sz="0" w:space="0" w:color="auto"/>
            <w:bottom w:val="none" w:sz="0" w:space="0" w:color="auto"/>
            <w:right w:val="none" w:sz="0" w:space="0" w:color="auto"/>
          </w:divBdr>
        </w:div>
        <w:div w:id="565647381">
          <w:marLeft w:val="0"/>
          <w:marRight w:val="0"/>
          <w:marTop w:val="0"/>
          <w:marBottom w:val="0"/>
          <w:divBdr>
            <w:top w:val="none" w:sz="0" w:space="0" w:color="auto"/>
            <w:left w:val="none" w:sz="0" w:space="0" w:color="auto"/>
            <w:bottom w:val="none" w:sz="0" w:space="0" w:color="auto"/>
            <w:right w:val="none" w:sz="0" w:space="0" w:color="auto"/>
          </w:divBdr>
          <w:divsChild>
            <w:div w:id="362218131">
              <w:marLeft w:val="0"/>
              <w:marRight w:val="0"/>
              <w:marTop w:val="0"/>
              <w:marBottom w:val="0"/>
              <w:divBdr>
                <w:top w:val="none" w:sz="0" w:space="0" w:color="auto"/>
                <w:left w:val="none" w:sz="0" w:space="0" w:color="auto"/>
                <w:bottom w:val="none" w:sz="0" w:space="0" w:color="auto"/>
                <w:right w:val="none" w:sz="0" w:space="0" w:color="auto"/>
              </w:divBdr>
            </w:div>
            <w:div w:id="1269315048">
              <w:marLeft w:val="0"/>
              <w:marRight w:val="0"/>
              <w:marTop w:val="0"/>
              <w:marBottom w:val="0"/>
              <w:divBdr>
                <w:top w:val="none" w:sz="0" w:space="0" w:color="auto"/>
                <w:left w:val="none" w:sz="0" w:space="0" w:color="auto"/>
                <w:bottom w:val="none" w:sz="0" w:space="0" w:color="auto"/>
                <w:right w:val="none" w:sz="0" w:space="0" w:color="auto"/>
              </w:divBdr>
            </w:div>
          </w:divsChild>
        </w:div>
        <w:div w:id="1931890071">
          <w:marLeft w:val="0"/>
          <w:marRight w:val="0"/>
          <w:marTop w:val="0"/>
          <w:marBottom w:val="0"/>
          <w:divBdr>
            <w:top w:val="none" w:sz="0" w:space="0" w:color="auto"/>
            <w:left w:val="none" w:sz="0" w:space="0" w:color="auto"/>
            <w:bottom w:val="none" w:sz="0" w:space="0" w:color="auto"/>
            <w:right w:val="none" w:sz="0" w:space="0" w:color="auto"/>
          </w:divBdr>
        </w:div>
        <w:div w:id="823082387">
          <w:marLeft w:val="0"/>
          <w:marRight w:val="0"/>
          <w:marTop w:val="60"/>
          <w:marBottom w:val="0"/>
          <w:divBdr>
            <w:top w:val="none" w:sz="0" w:space="0" w:color="auto"/>
            <w:left w:val="none" w:sz="0" w:space="0" w:color="auto"/>
            <w:bottom w:val="none" w:sz="0" w:space="0" w:color="auto"/>
            <w:right w:val="none" w:sz="0" w:space="0" w:color="auto"/>
          </w:divBdr>
        </w:div>
        <w:div w:id="459155172">
          <w:marLeft w:val="0"/>
          <w:marRight w:val="0"/>
          <w:marTop w:val="0"/>
          <w:marBottom w:val="0"/>
          <w:divBdr>
            <w:top w:val="none" w:sz="0" w:space="0" w:color="auto"/>
            <w:left w:val="none" w:sz="0" w:space="0" w:color="auto"/>
            <w:bottom w:val="none" w:sz="0" w:space="0" w:color="auto"/>
            <w:right w:val="none" w:sz="0" w:space="0" w:color="auto"/>
          </w:divBdr>
          <w:divsChild>
            <w:div w:id="1410729936">
              <w:marLeft w:val="0"/>
              <w:marRight w:val="0"/>
              <w:marTop w:val="0"/>
              <w:marBottom w:val="0"/>
              <w:divBdr>
                <w:top w:val="none" w:sz="0" w:space="0" w:color="auto"/>
                <w:left w:val="none" w:sz="0" w:space="0" w:color="auto"/>
                <w:bottom w:val="none" w:sz="0" w:space="0" w:color="auto"/>
                <w:right w:val="none" w:sz="0" w:space="0" w:color="auto"/>
              </w:divBdr>
            </w:div>
            <w:div w:id="802161154">
              <w:marLeft w:val="0"/>
              <w:marRight w:val="0"/>
              <w:marTop w:val="0"/>
              <w:marBottom w:val="0"/>
              <w:divBdr>
                <w:top w:val="none" w:sz="0" w:space="0" w:color="auto"/>
                <w:left w:val="none" w:sz="0" w:space="0" w:color="auto"/>
                <w:bottom w:val="none" w:sz="0" w:space="0" w:color="auto"/>
                <w:right w:val="none" w:sz="0" w:space="0" w:color="auto"/>
              </w:divBdr>
            </w:div>
          </w:divsChild>
        </w:div>
        <w:div w:id="320895217">
          <w:marLeft w:val="0"/>
          <w:marRight w:val="0"/>
          <w:marTop w:val="0"/>
          <w:marBottom w:val="0"/>
          <w:divBdr>
            <w:top w:val="none" w:sz="0" w:space="0" w:color="auto"/>
            <w:left w:val="none" w:sz="0" w:space="0" w:color="auto"/>
            <w:bottom w:val="none" w:sz="0" w:space="0" w:color="auto"/>
            <w:right w:val="none" w:sz="0" w:space="0" w:color="auto"/>
          </w:divBdr>
        </w:div>
        <w:div w:id="1936817671">
          <w:marLeft w:val="0"/>
          <w:marRight w:val="0"/>
          <w:marTop w:val="0"/>
          <w:marBottom w:val="0"/>
          <w:divBdr>
            <w:top w:val="none" w:sz="0" w:space="0" w:color="auto"/>
            <w:left w:val="none" w:sz="0" w:space="0" w:color="auto"/>
            <w:bottom w:val="none" w:sz="0" w:space="0" w:color="auto"/>
            <w:right w:val="none" w:sz="0" w:space="0" w:color="auto"/>
          </w:divBdr>
        </w:div>
        <w:div w:id="2040931841">
          <w:marLeft w:val="0"/>
          <w:marRight w:val="0"/>
          <w:marTop w:val="60"/>
          <w:marBottom w:val="0"/>
          <w:divBdr>
            <w:top w:val="none" w:sz="0" w:space="0" w:color="auto"/>
            <w:left w:val="none" w:sz="0" w:space="0" w:color="auto"/>
            <w:bottom w:val="none" w:sz="0" w:space="0" w:color="auto"/>
            <w:right w:val="none" w:sz="0" w:space="0" w:color="auto"/>
          </w:divBdr>
        </w:div>
        <w:div w:id="609626819">
          <w:marLeft w:val="0"/>
          <w:marRight w:val="0"/>
          <w:marTop w:val="0"/>
          <w:marBottom w:val="0"/>
          <w:divBdr>
            <w:top w:val="none" w:sz="0" w:space="0" w:color="auto"/>
            <w:left w:val="none" w:sz="0" w:space="0" w:color="auto"/>
            <w:bottom w:val="none" w:sz="0" w:space="0" w:color="auto"/>
            <w:right w:val="none" w:sz="0" w:space="0" w:color="auto"/>
          </w:divBdr>
          <w:divsChild>
            <w:div w:id="437481982">
              <w:marLeft w:val="0"/>
              <w:marRight w:val="0"/>
              <w:marTop w:val="0"/>
              <w:marBottom w:val="0"/>
              <w:divBdr>
                <w:top w:val="none" w:sz="0" w:space="0" w:color="auto"/>
                <w:left w:val="none" w:sz="0" w:space="0" w:color="auto"/>
                <w:bottom w:val="none" w:sz="0" w:space="0" w:color="auto"/>
                <w:right w:val="none" w:sz="0" w:space="0" w:color="auto"/>
              </w:divBdr>
            </w:div>
            <w:div w:id="1157301556">
              <w:marLeft w:val="0"/>
              <w:marRight w:val="0"/>
              <w:marTop w:val="0"/>
              <w:marBottom w:val="0"/>
              <w:divBdr>
                <w:top w:val="none" w:sz="0" w:space="0" w:color="auto"/>
                <w:left w:val="none" w:sz="0" w:space="0" w:color="auto"/>
                <w:bottom w:val="none" w:sz="0" w:space="0" w:color="auto"/>
                <w:right w:val="none" w:sz="0" w:space="0" w:color="auto"/>
              </w:divBdr>
            </w:div>
          </w:divsChild>
        </w:div>
        <w:div w:id="240261696">
          <w:marLeft w:val="0"/>
          <w:marRight w:val="0"/>
          <w:marTop w:val="0"/>
          <w:marBottom w:val="0"/>
          <w:divBdr>
            <w:top w:val="none" w:sz="0" w:space="0" w:color="auto"/>
            <w:left w:val="none" w:sz="0" w:space="0" w:color="auto"/>
            <w:bottom w:val="none" w:sz="0" w:space="0" w:color="auto"/>
            <w:right w:val="none" w:sz="0" w:space="0" w:color="auto"/>
          </w:divBdr>
        </w:div>
        <w:div w:id="1023285934">
          <w:marLeft w:val="0"/>
          <w:marRight w:val="0"/>
          <w:marTop w:val="60"/>
          <w:marBottom w:val="0"/>
          <w:divBdr>
            <w:top w:val="none" w:sz="0" w:space="0" w:color="auto"/>
            <w:left w:val="none" w:sz="0" w:space="0" w:color="auto"/>
            <w:bottom w:val="none" w:sz="0" w:space="0" w:color="auto"/>
            <w:right w:val="none" w:sz="0" w:space="0" w:color="auto"/>
          </w:divBdr>
          <w:divsChild>
            <w:div w:id="160894415">
              <w:marLeft w:val="0"/>
              <w:marRight w:val="360"/>
              <w:marTop w:val="0"/>
              <w:marBottom w:val="0"/>
              <w:divBdr>
                <w:top w:val="none" w:sz="0" w:space="0" w:color="auto"/>
                <w:left w:val="none" w:sz="0" w:space="0" w:color="auto"/>
                <w:bottom w:val="none" w:sz="0" w:space="0" w:color="auto"/>
                <w:right w:val="none" w:sz="0" w:space="0" w:color="auto"/>
              </w:divBdr>
            </w:div>
          </w:divsChild>
        </w:div>
        <w:div w:id="163128416">
          <w:marLeft w:val="0"/>
          <w:marRight w:val="0"/>
          <w:marTop w:val="0"/>
          <w:marBottom w:val="0"/>
          <w:divBdr>
            <w:top w:val="none" w:sz="0" w:space="0" w:color="auto"/>
            <w:left w:val="none" w:sz="0" w:space="0" w:color="auto"/>
            <w:bottom w:val="none" w:sz="0" w:space="0" w:color="auto"/>
            <w:right w:val="none" w:sz="0" w:space="0" w:color="auto"/>
          </w:divBdr>
          <w:divsChild>
            <w:div w:id="217783731">
              <w:marLeft w:val="0"/>
              <w:marRight w:val="0"/>
              <w:marTop w:val="0"/>
              <w:marBottom w:val="0"/>
              <w:divBdr>
                <w:top w:val="none" w:sz="0" w:space="0" w:color="auto"/>
                <w:left w:val="none" w:sz="0" w:space="0" w:color="auto"/>
                <w:bottom w:val="none" w:sz="0" w:space="0" w:color="auto"/>
                <w:right w:val="none" w:sz="0" w:space="0" w:color="auto"/>
              </w:divBdr>
            </w:div>
            <w:div w:id="2045910205">
              <w:marLeft w:val="0"/>
              <w:marRight w:val="0"/>
              <w:marTop w:val="0"/>
              <w:marBottom w:val="0"/>
              <w:divBdr>
                <w:top w:val="none" w:sz="0" w:space="0" w:color="auto"/>
                <w:left w:val="none" w:sz="0" w:space="0" w:color="auto"/>
                <w:bottom w:val="none" w:sz="0" w:space="0" w:color="auto"/>
                <w:right w:val="none" w:sz="0" w:space="0" w:color="auto"/>
              </w:divBdr>
            </w:div>
          </w:divsChild>
        </w:div>
        <w:div w:id="2037273899">
          <w:marLeft w:val="0"/>
          <w:marRight w:val="0"/>
          <w:marTop w:val="0"/>
          <w:marBottom w:val="0"/>
          <w:divBdr>
            <w:top w:val="none" w:sz="0" w:space="0" w:color="auto"/>
            <w:left w:val="none" w:sz="0" w:space="0" w:color="auto"/>
            <w:bottom w:val="none" w:sz="0" w:space="0" w:color="auto"/>
            <w:right w:val="none" w:sz="0" w:space="0" w:color="auto"/>
          </w:divBdr>
        </w:div>
        <w:div w:id="182330609">
          <w:marLeft w:val="0"/>
          <w:marRight w:val="0"/>
          <w:marTop w:val="60"/>
          <w:marBottom w:val="0"/>
          <w:divBdr>
            <w:top w:val="none" w:sz="0" w:space="0" w:color="auto"/>
            <w:left w:val="none" w:sz="0" w:space="0" w:color="auto"/>
            <w:bottom w:val="none" w:sz="0" w:space="0" w:color="auto"/>
            <w:right w:val="none" w:sz="0" w:space="0" w:color="auto"/>
          </w:divBdr>
          <w:divsChild>
            <w:div w:id="38821962">
              <w:marLeft w:val="0"/>
              <w:marRight w:val="360"/>
              <w:marTop w:val="0"/>
              <w:marBottom w:val="0"/>
              <w:divBdr>
                <w:top w:val="none" w:sz="0" w:space="0" w:color="auto"/>
                <w:left w:val="none" w:sz="0" w:space="0" w:color="auto"/>
                <w:bottom w:val="none" w:sz="0" w:space="0" w:color="auto"/>
                <w:right w:val="none" w:sz="0" w:space="0" w:color="auto"/>
              </w:divBdr>
            </w:div>
          </w:divsChild>
        </w:div>
        <w:div w:id="781341448">
          <w:marLeft w:val="0"/>
          <w:marRight w:val="0"/>
          <w:marTop w:val="0"/>
          <w:marBottom w:val="0"/>
          <w:divBdr>
            <w:top w:val="none" w:sz="0" w:space="0" w:color="auto"/>
            <w:left w:val="none" w:sz="0" w:space="0" w:color="auto"/>
            <w:bottom w:val="none" w:sz="0" w:space="0" w:color="auto"/>
            <w:right w:val="none" w:sz="0" w:space="0" w:color="auto"/>
          </w:divBdr>
          <w:divsChild>
            <w:div w:id="1409114054">
              <w:marLeft w:val="0"/>
              <w:marRight w:val="0"/>
              <w:marTop w:val="0"/>
              <w:marBottom w:val="0"/>
              <w:divBdr>
                <w:top w:val="none" w:sz="0" w:space="0" w:color="auto"/>
                <w:left w:val="none" w:sz="0" w:space="0" w:color="auto"/>
                <w:bottom w:val="none" w:sz="0" w:space="0" w:color="auto"/>
                <w:right w:val="none" w:sz="0" w:space="0" w:color="auto"/>
              </w:divBdr>
            </w:div>
            <w:div w:id="1273123343">
              <w:marLeft w:val="0"/>
              <w:marRight w:val="0"/>
              <w:marTop w:val="0"/>
              <w:marBottom w:val="0"/>
              <w:divBdr>
                <w:top w:val="none" w:sz="0" w:space="0" w:color="auto"/>
                <w:left w:val="none" w:sz="0" w:space="0" w:color="auto"/>
                <w:bottom w:val="none" w:sz="0" w:space="0" w:color="auto"/>
                <w:right w:val="none" w:sz="0" w:space="0" w:color="auto"/>
              </w:divBdr>
            </w:div>
          </w:divsChild>
        </w:div>
        <w:div w:id="226497392">
          <w:marLeft w:val="0"/>
          <w:marRight w:val="0"/>
          <w:marTop w:val="0"/>
          <w:marBottom w:val="0"/>
          <w:divBdr>
            <w:top w:val="none" w:sz="0" w:space="0" w:color="auto"/>
            <w:left w:val="none" w:sz="0" w:space="0" w:color="auto"/>
            <w:bottom w:val="none" w:sz="0" w:space="0" w:color="auto"/>
            <w:right w:val="none" w:sz="0" w:space="0" w:color="auto"/>
          </w:divBdr>
        </w:div>
        <w:div w:id="849563184">
          <w:marLeft w:val="0"/>
          <w:marRight w:val="0"/>
          <w:marTop w:val="60"/>
          <w:marBottom w:val="0"/>
          <w:divBdr>
            <w:top w:val="none" w:sz="0" w:space="0" w:color="auto"/>
            <w:left w:val="none" w:sz="0" w:space="0" w:color="auto"/>
            <w:bottom w:val="none" w:sz="0" w:space="0" w:color="auto"/>
            <w:right w:val="none" w:sz="0" w:space="0" w:color="auto"/>
          </w:divBdr>
          <w:divsChild>
            <w:div w:id="674497854">
              <w:marLeft w:val="0"/>
              <w:marRight w:val="360"/>
              <w:marTop w:val="0"/>
              <w:marBottom w:val="0"/>
              <w:divBdr>
                <w:top w:val="none" w:sz="0" w:space="0" w:color="auto"/>
                <w:left w:val="none" w:sz="0" w:space="0" w:color="auto"/>
                <w:bottom w:val="none" w:sz="0" w:space="0" w:color="auto"/>
                <w:right w:val="none" w:sz="0" w:space="0" w:color="auto"/>
              </w:divBdr>
              <w:divsChild>
                <w:div w:id="80308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02524">
          <w:marLeft w:val="0"/>
          <w:marRight w:val="0"/>
          <w:marTop w:val="0"/>
          <w:marBottom w:val="0"/>
          <w:divBdr>
            <w:top w:val="none" w:sz="0" w:space="0" w:color="auto"/>
            <w:left w:val="none" w:sz="0" w:space="0" w:color="auto"/>
            <w:bottom w:val="none" w:sz="0" w:space="0" w:color="auto"/>
            <w:right w:val="none" w:sz="0" w:space="0" w:color="auto"/>
          </w:divBdr>
          <w:divsChild>
            <w:div w:id="761953090">
              <w:marLeft w:val="0"/>
              <w:marRight w:val="0"/>
              <w:marTop w:val="0"/>
              <w:marBottom w:val="0"/>
              <w:divBdr>
                <w:top w:val="none" w:sz="0" w:space="0" w:color="auto"/>
                <w:left w:val="none" w:sz="0" w:space="0" w:color="auto"/>
                <w:bottom w:val="none" w:sz="0" w:space="0" w:color="auto"/>
                <w:right w:val="none" w:sz="0" w:space="0" w:color="auto"/>
              </w:divBdr>
            </w:div>
            <w:div w:id="918825777">
              <w:marLeft w:val="0"/>
              <w:marRight w:val="0"/>
              <w:marTop w:val="0"/>
              <w:marBottom w:val="0"/>
              <w:divBdr>
                <w:top w:val="none" w:sz="0" w:space="0" w:color="auto"/>
                <w:left w:val="none" w:sz="0" w:space="0" w:color="auto"/>
                <w:bottom w:val="none" w:sz="0" w:space="0" w:color="auto"/>
                <w:right w:val="none" w:sz="0" w:space="0" w:color="auto"/>
              </w:divBdr>
            </w:div>
          </w:divsChild>
        </w:div>
        <w:div w:id="258024948">
          <w:marLeft w:val="0"/>
          <w:marRight w:val="0"/>
          <w:marTop w:val="0"/>
          <w:marBottom w:val="0"/>
          <w:divBdr>
            <w:top w:val="none" w:sz="0" w:space="0" w:color="auto"/>
            <w:left w:val="none" w:sz="0" w:space="0" w:color="auto"/>
            <w:bottom w:val="none" w:sz="0" w:space="0" w:color="auto"/>
            <w:right w:val="none" w:sz="0" w:space="0" w:color="auto"/>
          </w:divBdr>
        </w:div>
        <w:div w:id="28649652">
          <w:marLeft w:val="0"/>
          <w:marRight w:val="0"/>
          <w:marTop w:val="60"/>
          <w:marBottom w:val="0"/>
          <w:divBdr>
            <w:top w:val="none" w:sz="0" w:space="0" w:color="auto"/>
            <w:left w:val="none" w:sz="0" w:space="0" w:color="auto"/>
            <w:bottom w:val="none" w:sz="0" w:space="0" w:color="auto"/>
            <w:right w:val="none" w:sz="0" w:space="0" w:color="auto"/>
          </w:divBdr>
        </w:div>
        <w:div w:id="22440309">
          <w:marLeft w:val="0"/>
          <w:marRight w:val="0"/>
          <w:marTop w:val="0"/>
          <w:marBottom w:val="0"/>
          <w:divBdr>
            <w:top w:val="none" w:sz="0" w:space="0" w:color="auto"/>
            <w:left w:val="none" w:sz="0" w:space="0" w:color="auto"/>
            <w:bottom w:val="none" w:sz="0" w:space="0" w:color="auto"/>
            <w:right w:val="none" w:sz="0" w:space="0" w:color="auto"/>
          </w:divBdr>
          <w:divsChild>
            <w:div w:id="254050009">
              <w:marLeft w:val="0"/>
              <w:marRight w:val="0"/>
              <w:marTop w:val="0"/>
              <w:marBottom w:val="0"/>
              <w:divBdr>
                <w:top w:val="none" w:sz="0" w:space="0" w:color="auto"/>
                <w:left w:val="none" w:sz="0" w:space="0" w:color="auto"/>
                <w:bottom w:val="none" w:sz="0" w:space="0" w:color="auto"/>
                <w:right w:val="none" w:sz="0" w:space="0" w:color="auto"/>
              </w:divBdr>
            </w:div>
            <w:div w:id="2072539047">
              <w:marLeft w:val="0"/>
              <w:marRight w:val="0"/>
              <w:marTop w:val="0"/>
              <w:marBottom w:val="0"/>
              <w:divBdr>
                <w:top w:val="none" w:sz="0" w:space="0" w:color="auto"/>
                <w:left w:val="none" w:sz="0" w:space="0" w:color="auto"/>
                <w:bottom w:val="none" w:sz="0" w:space="0" w:color="auto"/>
                <w:right w:val="none" w:sz="0" w:space="0" w:color="auto"/>
              </w:divBdr>
            </w:div>
          </w:divsChild>
        </w:div>
        <w:div w:id="1385181471">
          <w:marLeft w:val="0"/>
          <w:marRight w:val="0"/>
          <w:marTop w:val="0"/>
          <w:marBottom w:val="0"/>
          <w:divBdr>
            <w:top w:val="none" w:sz="0" w:space="0" w:color="auto"/>
            <w:left w:val="none" w:sz="0" w:space="0" w:color="auto"/>
            <w:bottom w:val="none" w:sz="0" w:space="0" w:color="auto"/>
            <w:right w:val="none" w:sz="0" w:space="0" w:color="auto"/>
          </w:divBdr>
        </w:div>
        <w:div w:id="2064451497">
          <w:marLeft w:val="0"/>
          <w:marRight w:val="0"/>
          <w:marTop w:val="60"/>
          <w:marBottom w:val="0"/>
          <w:divBdr>
            <w:top w:val="none" w:sz="0" w:space="0" w:color="auto"/>
            <w:left w:val="none" w:sz="0" w:space="0" w:color="auto"/>
            <w:bottom w:val="none" w:sz="0" w:space="0" w:color="auto"/>
            <w:right w:val="none" w:sz="0" w:space="0" w:color="auto"/>
          </w:divBdr>
        </w:div>
        <w:div w:id="1773554426">
          <w:marLeft w:val="0"/>
          <w:marRight w:val="0"/>
          <w:marTop w:val="0"/>
          <w:marBottom w:val="0"/>
          <w:divBdr>
            <w:top w:val="none" w:sz="0" w:space="0" w:color="auto"/>
            <w:left w:val="none" w:sz="0" w:space="0" w:color="auto"/>
            <w:bottom w:val="none" w:sz="0" w:space="0" w:color="auto"/>
            <w:right w:val="none" w:sz="0" w:space="0" w:color="auto"/>
          </w:divBdr>
          <w:divsChild>
            <w:div w:id="1890604101">
              <w:marLeft w:val="0"/>
              <w:marRight w:val="0"/>
              <w:marTop w:val="0"/>
              <w:marBottom w:val="0"/>
              <w:divBdr>
                <w:top w:val="none" w:sz="0" w:space="0" w:color="auto"/>
                <w:left w:val="none" w:sz="0" w:space="0" w:color="auto"/>
                <w:bottom w:val="none" w:sz="0" w:space="0" w:color="auto"/>
                <w:right w:val="none" w:sz="0" w:space="0" w:color="auto"/>
              </w:divBdr>
            </w:div>
            <w:div w:id="115486082">
              <w:marLeft w:val="0"/>
              <w:marRight w:val="0"/>
              <w:marTop w:val="0"/>
              <w:marBottom w:val="0"/>
              <w:divBdr>
                <w:top w:val="none" w:sz="0" w:space="0" w:color="auto"/>
                <w:left w:val="none" w:sz="0" w:space="0" w:color="auto"/>
                <w:bottom w:val="none" w:sz="0" w:space="0" w:color="auto"/>
                <w:right w:val="none" w:sz="0" w:space="0" w:color="auto"/>
              </w:divBdr>
            </w:div>
          </w:divsChild>
        </w:div>
        <w:div w:id="2143692093">
          <w:marLeft w:val="0"/>
          <w:marRight w:val="0"/>
          <w:marTop w:val="0"/>
          <w:marBottom w:val="0"/>
          <w:divBdr>
            <w:top w:val="none" w:sz="0" w:space="0" w:color="auto"/>
            <w:left w:val="none" w:sz="0" w:space="0" w:color="auto"/>
            <w:bottom w:val="none" w:sz="0" w:space="0" w:color="auto"/>
            <w:right w:val="none" w:sz="0" w:space="0" w:color="auto"/>
          </w:divBdr>
        </w:div>
        <w:div w:id="1294824011">
          <w:marLeft w:val="0"/>
          <w:marRight w:val="0"/>
          <w:marTop w:val="60"/>
          <w:marBottom w:val="0"/>
          <w:divBdr>
            <w:top w:val="none" w:sz="0" w:space="0" w:color="auto"/>
            <w:left w:val="none" w:sz="0" w:space="0" w:color="auto"/>
            <w:bottom w:val="none" w:sz="0" w:space="0" w:color="auto"/>
            <w:right w:val="none" w:sz="0" w:space="0" w:color="auto"/>
          </w:divBdr>
          <w:divsChild>
            <w:div w:id="705258265">
              <w:marLeft w:val="0"/>
              <w:marRight w:val="360"/>
              <w:marTop w:val="0"/>
              <w:marBottom w:val="0"/>
              <w:divBdr>
                <w:top w:val="none" w:sz="0" w:space="0" w:color="auto"/>
                <w:left w:val="none" w:sz="0" w:space="0" w:color="auto"/>
                <w:bottom w:val="none" w:sz="0" w:space="0" w:color="auto"/>
                <w:right w:val="none" w:sz="0" w:space="0" w:color="auto"/>
              </w:divBdr>
            </w:div>
          </w:divsChild>
        </w:div>
        <w:div w:id="1525560848">
          <w:marLeft w:val="0"/>
          <w:marRight w:val="0"/>
          <w:marTop w:val="0"/>
          <w:marBottom w:val="0"/>
          <w:divBdr>
            <w:top w:val="none" w:sz="0" w:space="0" w:color="auto"/>
            <w:left w:val="none" w:sz="0" w:space="0" w:color="auto"/>
            <w:bottom w:val="none" w:sz="0" w:space="0" w:color="auto"/>
            <w:right w:val="none" w:sz="0" w:space="0" w:color="auto"/>
          </w:divBdr>
          <w:divsChild>
            <w:div w:id="1666396712">
              <w:marLeft w:val="0"/>
              <w:marRight w:val="0"/>
              <w:marTop w:val="0"/>
              <w:marBottom w:val="0"/>
              <w:divBdr>
                <w:top w:val="none" w:sz="0" w:space="0" w:color="auto"/>
                <w:left w:val="none" w:sz="0" w:space="0" w:color="auto"/>
                <w:bottom w:val="none" w:sz="0" w:space="0" w:color="auto"/>
                <w:right w:val="none" w:sz="0" w:space="0" w:color="auto"/>
              </w:divBdr>
            </w:div>
            <w:div w:id="1240142161">
              <w:marLeft w:val="0"/>
              <w:marRight w:val="0"/>
              <w:marTop w:val="0"/>
              <w:marBottom w:val="0"/>
              <w:divBdr>
                <w:top w:val="none" w:sz="0" w:space="0" w:color="auto"/>
                <w:left w:val="none" w:sz="0" w:space="0" w:color="auto"/>
                <w:bottom w:val="none" w:sz="0" w:space="0" w:color="auto"/>
                <w:right w:val="none" w:sz="0" w:space="0" w:color="auto"/>
              </w:divBdr>
            </w:div>
          </w:divsChild>
        </w:div>
        <w:div w:id="511257925">
          <w:marLeft w:val="0"/>
          <w:marRight w:val="0"/>
          <w:marTop w:val="0"/>
          <w:marBottom w:val="0"/>
          <w:divBdr>
            <w:top w:val="none" w:sz="0" w:space="0" w:color="auto"/>
            <w:left w:val="none" w:sz="0" w:space="0" w:color="auto"/>
            <w:bottom w:val="none" w:sz="0" w:space="0" w:color="auto"/>
            <w:right w:val="none" w:sz="0" w:space="0" w:color="auto"/>
          </w:divBdr>
        </w:div>
        <w:div w:id="678115430">
          <w:marLeft w:val="0"/>
          <w:marRight w:val="0"/>
          <w:marTop w:val="60"/>
          <w:marBottom w:val="0"/>
          <w:divBdr>
            <w:top w:val="none" w:sz="0" w:space="0" w:color="auto"/>
            <w:left w:val="none" w:sz="0" w:space="0" w:color="auto"/>
            <w:bottom w:val="none" w:sz="0" w:space="0" w:color="auto"/>
            <w:right w:val="none" w:sz="0" w:space="0" w:color="auto"/>
          </w:divBdr>
          <w:divsChild>
            <w:div w:id="858473381">
              <w:marLeft w:val="0"/>
              <w:marRight w:val="360"/>
              <w:marTop w:val="0"/>
              <w:marBottom w:val="0"/>
              <w:divBdr>
                <w:top w:val="none" w:sz="0" w:space="0" w:color="auto"/>
                <w:left w:val="none" w:sz="0" w:space="0" w:color="auto"/>
                <w:bottom w:val="none" w:sz="0" w:space="0" w:color="auto"/>
                <w:right w:val="none" w:sz="0" w:space="0" w:color="auto"/>
              </w:divBdr>
            </w:div>
          </w:divsChild>
        </w:div>
        <w:div w:id="570046158">
          <w:marLeft w:val="0"/>
          <w:marRight w:val="0"/>
          <w:marTop w:val="0"/>
          <w:marBottom w:val="0"/>
          <w:divBdr>
            <w:top w:val="none" w:sz="0" w:space="0" w:color="auto"/>
            <w:left w:val="none" w:sz="0" w:space="0" w:color="auto"/>
            <w:bottom w:val="none" w:sz="0" w:space="0" w:color="auto"/>
            <w:right w:val="none" w:sz="0" w:space="0" w:color="auto"/>
          </w:divBdr>
          <w:divsChild>
            <w:div w:id="662319941">
              <w:marLeft w:val="0"/>
              <w:marRight w:val="0"/>
              <w:marTop w:val="0"/>
              <w:marBottom w:val="0"/>
              <w:divBdr>
                <w:top w:val="none" w:sz="0" w:space="0" w:color="auto"/>
                <w:left w:val="none" w:sz="0" w:space="0" w:color="auto"/>
                <w:bottom w:val="none" w:sz="0" w:space="0" w:color="auto"/>
                <w:right w:val="none" w:sz="0" w:space="0" w:color="auto"/>
              </w:divBdr>
            </w:div>
            <w:div w:id="1909070620">
              <w:marLeft w:val="0"/>
              <w:marRight w:val="0"/>
              <w:marTop w:val="0"/>
              <w:marBottom w:val="0"/>
              <w:divBdr>
                <w:top w:val="none" w:sz="0" w:space="0" w:color="auto"/>
                <w:left w:val="none" w:sz="0" w:space="0" w:color="auto"/>
                <w:bottom w:val="none" w:sz="0" w:space="0" w:color="auto"/>
                <w:right w:val="none" w:sz="0" w:space="0" w:color="auto"/>
              </w:divBdr>
            </w:div>
          </w:divsChild>
        </w:div>
        <w:div w:id="191723330">
          <w:marLeft w:val="0"/>
          <w:marRight w:val="0"/>
          <w:marTop w:val="0"/>
          <w:marBottom w:val="0"/>
          <w:divBdr>
            <w:top w:val="none" w:sz="0" w:space="0" w:color="auto"/>
            <w:left w:val="none" w:sz="0" w:space="0" w:color="auto"/>
            <w:bottom w:val="none" w:sz="0" w:space="0" w:color="auto"/>
            <w:right w:val="none" w:sz="0" w:space="0" w:color="auto"/>
          </w:divBdr>
        </w:div>
        <w:div w:id="1099369593">
          <w:marLeft w:val="0"/>
          <w:marRight w:val="0"/>
          <w:marTop w:val="60"/>
          <w:marBottom w:val="0"/>
          <w:divBdr>
            <w:top w:val="none" w:sz="0" w:space="0" w:color="auto"/>
            <w:left w:val="none" w:sz="0" w:space="0" w:color="auto"/>
            <w:bottom w:val="none" w:sz="0" w:space="0" w:color="auto"/>
            <w:right w:val="none" w:sz="0" w:space="0" w:color="auto"/>
          </w:divBdr>
        </w:div>
        <w:div w:id="1899515539">
          <w:marLeft w:val="0"/>
          <w:marRight w:val="0"/>
          <w:marTop w:val="0"/>
          <w:marBottom w:val="0"/>
          <w:divBdr>
            <w:top w:val="none" w:sz="0" w:space="0" w:color="auto"/>
            <w:left w:val="none" w:sz="0" w:space="0" w:color="auto"/>
            <w:bottom w:val="none" w:sz="0" w:space="0" w:color="auto"/>
            <w:right w:val="none" w:sz="0" w:space="0" w:color="auto"/>
          </w:divBdr>
          <w:divsChild>
            <w:div w:id="2123182763">
              <w:marLeft w:val="0"/>
              <w:marRight w:val="0"/>
              <w:marTop w:val="0"/>
              <w:marBottom w:val="0"/>
              <w:divBdr>
                <w:top w:val="none" w:sz="0" w:space="0" w:color="auto"/>
                <w:left w:val="none" w:sz="0" w:space="0" w:color="auto"/>
                <w:bottom w:val="none" w:sz="0" w:space="0" w:color="auto"/>
                <w:right w:val="none" w:sz="0" w:space="0" w:color="auto"/>
              </w:divBdr>
            </w:div>
            <w:div w:id="1360665088">
              <w:marLeft w:val="0"/>
              <w:marRight w:val="0"/>
              <w:marTop w:val="0"/>
              <w:marBottom w:val="0"/>
              <w:divBdr>
                <w:top w:val="none" w:sz="0" w:space="0" w:color="auto"/>
                <w:left w:val="none" w:sz="0" w:space="0" w:color="auto"/>
                <w:bottom w:val="none" w:sz="0" w:space="0" w:color="auto"/>
                <w:right w:val="none" w:sz="0" w:space="0" w:color="auto"/>
              </w:divBdr>
            </w:div>
          </w:divsChild>
        </w:div>
        <w:div w:id="260799221">
          <w:marLeft w:val="0"/>
          <w:marRight w:val="0"/>
          <w:marTop w:val="0"/>
          <w:marBottom w:val="0"/>
          <w:divBdr>
            <w:top w:val="none" w:sz="0" w:space="0" w:color="auto"/>
            <w:left w:val="none" w:sz="0" w:space="0" w:color="auto"/>
            <w:bottom w:val="none" w:sz="0" w:space="0" w:color="auto"/>
            <w:right w:val="none" w:sz="0" w:space="0" w:color="auto"/>
          </w:divBdr>
        </w:div>
        <w:div w:id="705452119">
          <w:marLeft w:val="0"/>
          <w:marRight w:val="0"/>
          <w:marTop w:val="60"/>
          <w:marBottom w:val="0"/>
          <w:divBdr>
            <w:top w:val="none" w:sz="0" w:space="0" w:color="auto"/>
            <w:left w:val="none" w:sz="0" w:space="0" w:color="auto"/>
            <w:bottom w:val="none" w:sz="0" w:space="0" w:color="auto"/>
            <w:right w:val="none" w:sz="0" w:space="0" w:color="auto"/>
          </w:divBdr>
        </w:div>
        <w:div w:id="244655656">
          <w:marLeft w:val="0"/>
          <w:marRight w:val="0"/>
          <w:marTop w:val="0"/>
          <w:marBottom w:val="0"/>
          <w:divBdr>
            <w:top w:val="none" w:sz="0" w:space="0" w:color="auto"/>
            <w:left w:val="none" w:sz="0" w:space="0" w:color="auto"/>
            <w:bottom w:val="none" w:sz="0" w:space="0" w:color="auto"/>
            <w:right w:val="none" w:sz="0" w:space="0" w:color="auto"/>
          </w:divBdr>
          <w:divsChild>
            <w:div w:id="850723347">
              <w:marLeft w:val="0"/>
              <w:marRight w:val="0"/>
              <w:marTop w:val="0"/>
              <w:marBottom w:val="0"/>
              <w:divBdr>
                <w:top w:val="none" w:sz="0" w:space="0" w:color="auto"/>
                <w:left w:val="none" w:sz="0" w:space="0" w:color="auto"/>
                <w:bottom w:val="none" w:sz="0" w:space="0" w:color="auto"/>
                <w:right w:val="none" w:sz="0" w:space="0" w:color="auto"/>
              </w:divBdr>
            </w:div>
            <w:div w:id="724257914">
              <w:marLeft w:val="0"/>
              <w:marRight w:val="0"/>
              <w:marTop w:val="0"/>
              <w:marBottom w:val="0"/>
              <w:divBdr>
                <w:top w:val="none" w:sz="0" w:space="0" w:color="auto"/>
                <w:left w:val="none" w:sz="0" w:space="0" w:color="auto"/>
                <w:bottom w:val="none" w:sz="0" w:space="0" w:color="auto"/>
                <w:right w:val="none" w:sz="0" w:space="0" w:color="auto"/>
              </w:divBdr>
            </w:div>
          </w:divsChild>
        </w:div>
        <w:div w:id="1804346166">
          <w:marLeft w:val="0"/>
          <w:marRight w:val="0"/>
          <w:marTop w:val="0"/>
          <w:marBottom w:val="0"/>
          <w:divBdr>
            <w:top w:val="none" w:sz="0" w:space="0" w:color="auto"/>
            <w:left w:val="none" w:sz="0" w:space="0" w:color="auto"/>
            <w:bottom w:val="none" w:sz="0" w:space="0" w:color="auto"/>
            <w:right w:val="none" w:sz="0" w:space="0" w:color="auto"/>
          </w:divBdr>
        </w:div>
        <w:div w:id="1383166767">
          <w:marLeft w:val="0"/>
          <w:marRight w:val="0"/>
          <w:marTop w:val="60"/>
          <w:marBottom w:val="0"/>
          <w:divBdr>
            <w:top w:val="none" w:sz="0" w:space="0" w:color="auto"/>
            <w:left w:val="none" w:sz="0" w:space="0" w:color="auto"/>
            <w:bottom w:val="none" w:sz="0" w:space="0" w:color="auto"/>
            <w:right w:val="none" w:sz="0" w:space="0" w:color="auto"/>
          </w:divBdr>
        </w:div>
        <w:div w:id="1409771955">
          <w:marLeft w:val="0"/>
          <w:marRight w:val="0"/>
          <w:marTop w:val="0"/>
          <w:marBottom w:val="0"/>
          <w:divBdr>
            <w:top w:val="none" w:sz="0" w:space="0" w:color="auto"/>
            <w:left w:val="none" w:sz="0" w:space="0" w:color="auto"/>
            <w:bottom w:val="none" w:sz="0" w:space="0" w:color="auto"/>
            <w:right w:val="none" w:sz="0" w:space="0" w:color="auto"/>
          </w:divBdr>
          <w:divsChild>
            <w:div w:id="2141335914">
              <w:marLeft w:val="0"/>
              <w:marRight w:val="0"/>
              <w:marTop w:val="0"/>
              <w:marBottom w:val="0"/>
              <w:divBdr>
                <w:top w:val="none" w:sz="0" w:space="0" w:color="auto"/>
                <w:left w:val="none" w:sz="0" w:space="0" w:color="auto"/>
                <w:bottom w:val="none" w:sz="0" w:space="0" w:color="auto"/>
                <w:right w:val="none" w:sz="0" w:space="0" w:color="auto"/>
              </w:divBdr>
            </w:div>
            <w:div w:id="1311791970">
              <w:marLeft w:val="0"/>
              <w:marRight w:val="0"/>
              <w:marTop w:val="0"/>
              <w:marBottom w:val="0"/>
              <w:divBdr>
                <w:top w:val="none" w:sz="0" w:space="0" w:color="auto"/>
                <w:left w:val="none" w:sz="0" w:space="0" w:color="auto"/>
                <w:bottom w:val="none" w:sz="0" w:space="0" w:color="auto"/>
                <w:right w:val="none" w:sz="0" w:space="0" w:color="auto"/>
              </w:divBdr>
            </w:div>
          </w:divsChild>
        </w:div>
        <w:div w:id="482166754">
          <w:marLeft w:val="0"/>
          <w:marRight w:val="0"/>
          <w:marTop w:val="0"/>
          <w:marBottom w:val="0"/>
          <w:divBdr>
            <w:top w:val="none" w:sz="0" w:space="0" w:color="auto"/>
            <w:left w:val="none" w:sz="0" w:space="0" w:color="auto"/>
            <w:bottom w:val="none" w:sz="0" w:space="0" w:color="auto"/>
            <w:right w:val="none" w:sz="0" w:space="0" w:color="auto"/>
          </w:divBdr>
        </w:div>
        <w:div w:id="1078478753">
          <w:marLeft w:val="0"/>
          <w:marRight w:val="0"/>
          <w:marTop w:val="60"/>
          <w:marBottom w:val="0"/>
          <w:divBdr>
            <w:top w:val="none" w:sz="0" w:space="0" w:color="auto"/>
            <w:left w:val="none" w:sz="0" w:space="0" w:color="auto"/>
            <w:bottom w:val="none" w:sz="0" w:space="0" w:color="auto"/>
            <w:right w:val="none" w:sz="0" w:space="0" w:color="auto"/>
          </w:divBdr>
        </w:div>
        <w:div w:id="201595943">
          <w:marLeft w:val="0"/>
          <w:marRight w:val="0"/>
          <w:marTop w:val="0"/>
          <w:marBottom w:val="0"/>
          <w:divBdr>
            <w:top w:val="none" w:sz="0" w:space="0" w:color="auto"/>
            <w:left w:val="none" w:sz="0" w:space="0" w:color="auto"/>
            <w:bottom w:val="none" w:sz="0" w:space="0" w:color="auto"/>
            <w:right w:val="none" w:sz="0" w:space="0" w:color="auto"/>
          </w:divBdr>
          <w:divsChild>
            <w:div w:id="126164205">
              <w:marLeft w:val="0"/>
              <w:marRight w:val="0"/>
              <w:marTop w:val="0"/>
              <w:marBottom w:val="0"/>
              <w:divBdr>
                <w:top w:val="none" w:sz="0" w:space="0" w:color="auto"/>
                <w:left w:val="none" w:sz="0" w:space="0" w:color="auto"/>
                <w:bottom w:val="none" w:sz="0" w:space="0" w:color="auto"/>
                <w:right w:val="none" w:sz="0" w:space="0" w:color="auto"/>
              </w:divBdr>
            </w:div>
            <w:div w:id="780033494">
              <w:marLeft w:val="0"/>
              <w:marRight w:val="0"/>
              <w:marTop w:val="0"/>
              <w:marBottom w:val="0"/>
              <w:divBdr>
                <w:top w:val="none" w:sz="0" w:space="0" w:color="auto"/>
                <w:left w:val="none" w:sz="0" w:space="0" w:color="auto"/>
                <w:bottom w:val="none" w:sz="0" w:space="0" w:color="auto"/>
                <w:right w:val="none" w:sz="0" w:space="0" w:color="auto"/>
              </w:divBdr>
            </w:div>
          </w:divsChild>
        </w:div>
        <w:div w:id="299460259">
          <w:marLeft w:val="0"/>
          <w:marRight w:val="0"/>
          <w:marTop w:val="0"/>
          <w:marBottom w:val="0"/>
          <w:divBdr>
            <w:top w:val="none" w:sz="0" w:space="0" w:color="auto"/>
            <w:left w:val="none" w:sz="0" w:space="0" w:color="auto"/>
            <w:bottom w:val="none" w:sz="0" w:space="0" w:color="auto"/>
            <w:right w:val="none" w:sz="0" w:space="0" w:color="auto"/>
          </w:divBdr>
        </w:div>
        <w:div w:id="396821490">
          <w:marLeft w:val="0"/>
          <w:marRight w:val="0"/>
          <w:marTop w:val="60"/>
          <w:marBottom w:val="0"/>
          <w:divBdr>
            <w:top w:val="none" w:sz="0" w:space="0" w:color="auto"/>
            <w:left w:val="none" w:sz="0" w:space="0" w:color="auto"/>
            <w:bottom w:val="none" w:sz="0" w:space="0" w:color="auto"/>
            <w:right w:val="none" w:sz="0" w:space="0" w:color="auto"/>
          </w:divBdr>
        </w:div>
        <w:div w:id="1739353014">
          <w:marLeft w:val="0"/>
          <w:marRight w:val="0"/>
          <w:marTop w:val="0"/>
          <w:marBottom w:val="0"/>
          <w:divBdr>
            <w:top w:val="none" w:sz="0" w:space="0" w:color="auto"/>
            <w:left w:val="none" w:sz="0" w:space="0" w:color="auto"/>
            <w:bottom w:val="none" w:sz="0" w:space="0" w:color="auto"/>
            <w:right w:val="none" w:sz="0" w:space="0" w:color="auto"/>
          </w:divBdr>
          <w:divsChild>
            <w:div w:id="1856385933">
              <w:marLeft w:val="0"/>
              <w:marRight w:val="0"/>
              <w:marTop w:val="0"/>
              <w:marBottom w:val="0"/>
              <w:divBdr>
                <w:top w:val="none" w:sz="0" w:space="0" w:color="auto"/>
                <w:left w:val="none" w:sz="0" w:space="0" w:color="auto"/>
                <w:bottom w:val="none" w:sz="0" w:space="0" w:color="auto"/>
                <w:right w:val="none" w:sz="0" w:space="0" w:color="auto"/>
              </w:divBdr>
            </w:div>
            <w:div w:id="757941809">
              <w:marLeft w:val="0"/>
              <w:marRight w:val="0"/>
              <w:marTop w:val="0"/>
              <w:marBottom w:val="0"/>
              <w:divBdr>
                <w:top w:val="none" w:sz="0" w:space="0" w:color="auto"/>
                <w:left w:val="none" w:sz="0" w:space="0" w:color="auto"/>
                <w:bottom w:val="none" w:sz="0" w:space="0" w:color="auto"/>
                <w:right w:val="none" w:sz="0" w:space="0" w:color="auto"/>
              </w:divBdr>
            </w:div>
          </w:divsChild>
        </w:div>
        <w:div w:id="994450477">
          <w:marLeft w:val="0"/>
          <w:marRight w:val="0"/>
          <w:marTop w:val="0"/>
          <w:marBottom w:val="0"/>
          <w:divBdr>
            <w:top w:val="none" w:sz="0" w:space="0" w:color="auto"/>
            <w:left w:val="none" w:sz="0" w:space="0" w:color="auto"/>
            <w:bottom w:val="none" w:sz="0" w:space="0" w:color="auto"/>
            <w:right w:val="none" w:sz="0" w:space="0" w:color="auto"/>
          </w:divBdr>
        </w:div>
        <w:div w:id="1822454748">
          <w:marLeft w:val="0"/>
          <w:marRight w:val="0"/>
          <w:marTop w:val="60"/>
          <w:marBottom w:val="0"/>
          <w:divBdr>
            <w:top w:val="none" w:sz="0" w:space="0" w:color="auto"/>
            <w:left w:val="none" w:sz="0" w:space="0" w:color="auto"/>
            <w:bottom w:val="none" w:sz="0" w:space="0" w:color="auto"/>
            <w:right w:val="none" w:sz="0" w:space="0" w:color="auto"/>
          </w:divBdr>
        </w:div>
        <w:div w:id="920523859">
          <w:marLeft w:val="0"/>
          <w:marRight w:val="0"/>
          <w:marTop w:val="0"/>
          <w:marBottom w:val="0"/>
          <w:divBdr>
            <w:top w:val="none" w:sz="0" w:space="0" w:color="auto"/>
            <w:left w:val="none" w:sz="0" w:space="0" w:color="auto"/>
            <w:bottom w:val="none" w:sz="0" w:space="0" w:color="auto"/>
            <w:right w:val="none" w:sz="0" w:space="0" w:color="auto"/>
          </w:divBdr>
          <w:divsChild>
            <w:div w:id="1792431320">
              <w:marLeft w:val="0"/>
              <w:marRight w:val="0"/>
              <w:marTop w:val="0"/>
              <w:marBottom w:val="0"/>
              <w:divBdr>
                <w:top w:val="none" w:sz="0" w:space="0" w:color="auto"/>
                <w:left w:val="none" w:sz="0" w:space="0" w:color="auto"/>
                <w:bottom w:val="none" w:sz="0" w:space="0" w:color="auto"/>
                <w:right w:val="none" w:sz="0" w:space="0" w:color="auto"/>
              </w:divBdr>
            </w:div>
            <w:div w:id="299044399">
              <w:marLeft w:val="0"/>
              <w:marRight w:val="0"/>
              <w:marTop w:val="0"/>
              <w:marBottom w:val="0"/>
              <w:divBdr>
                <w:top w:val="none" w:sz="0" w:space="0" w:color="auto"/>
                <w:left w:val="none" w:sz="0" w:space="0" w:color="auto"/>
                <w:bottom w:val="none" w:sz="0" w:space="0" w:color="auto"/>
                <w:right w:val="none" w:sz="0" w:space="0" w:color="auto"/>
              </w:divBdr>
            </w:div>
          </w:divsChild>
        </w:div>
        <w:div w:id="868417931">
          <w:marLeft w:val="0"/>
          <w:marRight w:val="0"/>
          <w:marTop w:val="0"/>
          <w:marBottom w:val="0"/>
          <w:divBdr>
            <w:top w:val="none" w:sz="0" w:space="0" w:color="auto"/>
            <w:left w:val="none" w:sz="0" w:space="0" w:color="auto"/>
            <w:bottom w:val="none" w:sz="0" w:space="0" w:color="auto"/>
            <w:right w:val="none" w:sz="0" w:space="0" w:color="auto"/>
          </w:divBdr>
        </w:div>
        <w:div w:id="211699625">
          <w:marLeft w:val="0"/>
          <w:marRight w:val="0"/>
          <w:marTop w:val="60"/>
          <w:marBottom w:val="0"/>
          <w:divBdr>
            <w:top w:val="none" w:sz="0" w:space="0" w:color="auto"/>
            <w:left w:val="none" w:sz="0" w:space="0" w:color="auto"/>
            <w:bottom w:val="none" w:sz="0" w:space="0" w:color="auto"/>
            <w:right w:val="none" w:sz="0" w:space="0" w:color="auto"/>
          </w:divBdr>
          <w:divsChild>
            <w:div w:id="795759415">
              <w:marLeft w:val="0"/>
              <w:marRight w:val="360"/>
              <w:marTop w:val="0"/>
              <w:marBottom w:val="0"/>
              <w:divBdr>
                <w:top w:val="none" w:sz="0" w:space="0" w:color="auto"/>
                <w:left w:val="none" w:sz="0" w:space="0" w:color="auto"/>
                <w:bottom w:val="none" w:sz="0" w:space="0" w:color="auto"/>
                <w:right w:val="none" w:sz="0" w:space="0" w:color="auto"/>
              </w:divBdr>
            </w:div>
          </w:divsChild>
        </w:div>
        <w:div w:id="1536969228">
          <w:marLeft w:val="0"/>
          <w:marRight w:val="0"/>
          <w:marTop w:val="0"/>
          <w:marBottom w:val="0"/>
          <w:divBdr>
            <w:top w:val="none" w:sz="0" w:space="0" w:color="auto"/>
            <w:left w:val="none" w:sz="0" w:space="0" w:color="auto"/>
            <w:bottom w:val="none" w:sz="0" w:space="0" w:color="auto"/>
            <w:right w:val="none" w:sz="0" w:space="0" w:color="auto"/>
          </w:divBdr>
          <w:divsChild>
            <w:div w:id="921597413">
              <w:marLeft w:val="0"/>
              <w:marRight w:val="0"/>
              <w:marTop w:val="0"/>
              <w:marBottom w:val="0"/>
              <w:divBdr>
                <w:top w:val="none" w:sz="0" w:space="0" w:color="auto"/>
                <w:left w:val="none" w:sz="0" w:space="0" w:color="auto"/>
                <w:bottom w:val="none" w:sz="0" w:space="0" w:color="auto"/>
                <w:right w:val="none" w:sz="0" w:space="0" w:color="auto"/>
              </w:divBdr>
            </w:div>
            <w:div w:id="2043045814">
              <w:marLeft w:val="0"/>
              <w:marRight w:val="0"/>
              <w:marTop w:val="0"/>
              <w:marBottom w:val="0"/>
              <w:divBdr>
                <w:top w:val="none" w:sz="0" w:space="0" w:color="auto"/>
                <w:left w:val="none" w:sz="0" w:space="0" w:color="auto"/>
                <w:bottom w:val="none" w:sz="0" w:space="0" w:color="auto"/>
                <w:right w:val="none" w:sz="0" w:space="0" w:color="auto"/>
              </w:divBdr>
            </w:div>
          </w:divsChild>
        </w:div>
        <w:div w:id="1009209705">
          <w:marLeft w:val="0"/>
          <w:marRight w:val="0"/>
          <w:marTop w:val="0"/>
          <w:marBottom w:val="0"/>
          <w:divBdr>
            <w:top w:val="none" w:sz="0" w:space="0" w:color="auto"/>
            <w:left w:val="none" w:sz="0" w:space="0" w:color="auto"/>
            <w:bottom w:val="none" w:sz="0" w:space="0" w:color="auto"/>
            <w:right w:val="none" w:sz="0" w:space="0" w:color="auto"/>
          </w:divBdr>
        </w:div>
        <w:div w:id="1351642677">
          <w:marLeft w:val="0"/>
          <w:marRight w:val="0"/>
          <w:marTop w:val="60"/>
          <w:marBottom w:val="0"/>
          <w:divBdr>
            <w:top w:val="none" w:sz="0" w:space="0" w:color="auto"/>
            <w:left w:val="none" w:sz="0" w:space="0" w:color="auto"/>
            <w:bottom w:val="none" w:sz="0" w:space="0" w:color="auto"/>
            <w:right w:val="none" w:sz="0" w:space="0" w:color="auto"/>
          </w:divBdr>
        </w:div>
        <w:div w:id="766271916">
          <w:marLeft w:val="0"/>
          <w:marRight w:val="0"/>
          <w:marTop w:val="0"/>
          <w:marBottom w:val="0"/>
          <w:divBdr>
            <w:top w:val="none" w:sz="0" w:space="0" w:color="auto"/>
            <w:left w:val="none" w:sz="0" w:space="0" w:color="auto"/>
            <w:bottom w:val="none" w:sz="0" w:space="0" w:color="auto"/>
            <w:right w:val="none" w:sz="0" w:space="0" w:color="auto"/>
          </w:divBdr>
          <w:divsChild>
            <w:div w:id="202181841">
              <w:marLeft w:val="0"/>
              <w:marRight w:val="0"/>
              <w:marTop w:val="0"/>
              <w:marBottom w:val="0"/>
              <w:divBdr>
                <w:top w:val="none" w:sz="0" w:space="0" w:color="auto"/>
                <w:left w:val="none" w:sz="0" w:space="0" w:color="auto"/>
                <w:bottom w:val="none" w:sz="0" w:space="0" w:color="auto"/>
                <w:right w:val="none" w:sz="0" w:space="0" w:color="auto"/>
              </w:divBdr>
            </w:div>
            <w:div w:id="1017269047">
              <w:marLeft w:val="0"/>
              <w:marRight w:val="0"/>
              <w:marTop w:val="0"/>
              <w:marBottom w:val="0"/>
              <w:divBdr>
                <w:top w:val="none" w:sz="0" w:space="0" w:color="auto"/>
                <w:left w:val="none" w:sz="0" w:space="0" w:color="auto"/>
                <w:bottom w:val="none" w:sz="0" w:space="0" w:color="auto"/>
                <w:right w:val="none" w:sz="0" w:space="0" w:color="auto"/>
              </w:divBdr>
            </w:div>
          </w:divsChild>
        </w:div>
        <w:div w:id="971130502">
          <w:marLeft w:val="0"/>
          <w:marRight w:val="0"/>
          <w:marTop w:val="0"/>
          <w:marBottom w:val="0"/>
          <w:divBdr>
            <w:top w:val="none" w:sz="0" w:space="0" w:color="auto"/>
            <w:left w:val="none" w:sz="0" w:space="0" w:color="auto"/>
            <w:bottom w:val="none" w:sz="0" w:space="0" w:color="auto"/>
            <w:right w:val="none" w:sz="0" w:space="0" w:color="auto"/>
          </w:divBdr>
        </w:div>
        <w:div w:id="787165901">
          <w:marLeft w:val="0"/>
          <w:marRight w:val="0"/>
          <w:marTop w:val="60"/>
          <w:marBottom w:val="0"/>
          <w:divBdr>
            <w:top w:val="none" w:sz="0" w:space="0" w:color="auto"/>
            <w:left w:val="none" w:sz="0" w:space="0" w:color="auto"/>
            <w:bottom w:val="none" w:sz="0" w:space="0" w:color="auto"/>
            <w:right w:val="none" w:sz="0" w:space="0" w:color="auto"/>
          </w:divBdr>
        </w:div>
        <w:div w:id="1395155710">
          <w:marLeft w:val="0"/>
          <w:marRight w:val="0"/>
          <w:marTop w:val="0"/>
          <w:marBottom w:val="0"/>
          <w:divBdr>
            <w:top w:val="none" w:sz="0" w:space="0" w:color="auto"/>
            <w:left w:val="none" w:sz="0" w:space="0" w:color="auto"/>
            <w:bottom w:val="none" w:sz="0" w:space="0" w:color="auto"/>
            <w:right w:val="none" w:sz="0" w:space="0" w:color="auto"/>
          </w:divBdr>
          <w:divsChild>
            <w:div w:id="1914002615">
              <w:marLeft w:val="0"/>
              <w:marRight w:val="0"/>
              <w:marTop w:val="0"/>
              <w:marBottom w:val="0"/>
              <w:divBdr>
                <w:top w:val="none" w:sz="0" w:space="0" w:color="auto"/>
                <w:left w:val="none" w:sz="0" w:space="0" w:color="auto"/>
                <w:bottom w:val="none" w:sz="0" w:space="0" w:color="auto"/>
                <w:right w:val="none" w:sz="0" w:space="0" w:color="auto"/>
              </w:divBdr>
            </w:div>
            <w:div w:id="1891265642">
              <w:marLeft w:val="0"/>
              <w:marRight w:val="0"/>
              <w:marTop w:val="0"/>
              <w:marBottom w:val="0"/>
              <w:divBdr>
                <w:top w:val="none" w:sz="0" w:space="0" w:color="auto"/>
                <w:left w:val="none" w:sz="0" w:space="0" w:color="auto"/>
                <w:bottom w:val="none" w:sz="0" w:space="0" w:color="auto"/>
                <w:right w:val="none" w:sz="0" w:space="0" w:color="auto"/>
              </w:divBdr>
            </w:div>
          </w:divsChild>
        </w:div>
        <w:div w:id="1238785189">
          <w:marLeft w:val="0"/>
          <w:marRight w:val="0"/>
          <w:marTop w:val="0"/>
          <w:marBottom w:val="0"/>
          <w:divBdr>
            <w:top w:val="none" w:sz="0" w:space="0" w:color="auto"/>
            <w:left w:val="none" w:sz="0" w:space="0" w:color="auto"/>
            <w:bottom w:val="none" w:sz="0" w:space="0" w:color="auto"/>
            <w:right w:val="none" w:sz="0" w:space="0" w:color="auto"/>
          </w:divBdr>
        </w:div>
        <w:div w:id="725954106">
          <w:marLeft w:val="0"/>
          <w:marRight w:val="0"/>
          <w:marTop w:val="60"/>
          <w:marBottom w:val="0"/>
          <w:divBdr>
            <w:top w:val="none" w:sz="0" w:space="0" w:color="auto"/>
            <w:left w:val="none" w:sz="0" w:space="0" w:color="auto"/>
            <w:bottom w:val="none" w:sz="0" w:space="0" w:color="auto"/>
            <w:right w:val="none" w:sz="0" w:space="0" w:color="auto"/>
          </w:divBdr>
          <w:divsChild>
            <w:div w:id="952245041">
              <w:marLeft w:val="0"/>
              <w:marRight w:val="360"/>
              <w:marTop w:val="0"/>
              <w:marBottom w:val="0"/>
              <w:divBdr>
                <w:top w:val="none" w:sz="0" w:space="0" w:color="auto"/>
                <w:left w:val="none" w:sz="0" w:space="0" w:color="auto"/>
                <w:bottom w:val="none" w:sz="0" w:space="0" w:color="auto"/>
                <w:right w:val="none" w:sz="0" w:space="0" w:color="auto"/>
              </w:divBdr>
            </w:div>
          </w:divsChild>
        </w:div>
        <w:div w:id="1997686070">
          <w:marLeft w:val="0"/>
          <w:marRight w:val="0"/>
          <w:marTop w:val="0"/>
          <w:marBottom w:val="0"/>
          <w:divBdr>
            <w:top w:val="none" w:sz="0" w:space="0" w:color="auto"/>
            <w:left w:val="none" w:sz="0" w:space="0" w:color="auto"/>
            <w:bottom w:val="none" w:sz="0" w:space="0" w:color="auto"/>
            <w:right w:val="none" w:sz="0" w:space="0" w:color="auto"/>
          </w:divBdr>
          <w:divsChild>
            <w:div w:id="1801461961">
              <w:marLeft w:val="0"/>
              <w:marRight w:val="0"/>
              <w:marTop w:val="0"/>
              <w:marBottom w:val="0"/>
              <w:divBdr>
                <w:top w:val="none" w:sz="0" w:space="0" w:color="auto"/>
                <w:left w:val="none" w:sz="0" w:space="0" w:color="auto"/>
                <w:bottom w:val="none" w:sz="0" w:space="0" w:color="auto"/>
                <w:right w:val="none" w:sz="0" w:space="0" w:color="auto"/>
              </w:divBdr>
            </w:div>
            <w:div w:id="1450314906">
              <w:marLeft w:val="0"/>
              <w:marRight w:val="0"/>
              <w:marTop w:val="0"/>
              <w:marBottom w:val="0"/>
              <w:divBdr>
                <w:top w:val="none" w:sz="0" w:space="0" w:color="auto"/>
                <w:left w:val="none" w:sz="0" w:space="0" w:color="auto"/>
                <w:bottom w:val="none" w:sz="0" w:space="0" w:color="auto"/>
                <w:right w:val="none" w:sz="0" w:space="0" w:color="auto"/>
              </w:divBdr>
            </w:div>
          </w:divsChild>
        </w:div>
        <w:div w:id="1416823201">
          <w:marLeft w:val="0"/>
          <w:marRight w:val="0"/>
          <w:marTop w:val="0"/>
          <w:marBottom w:val="0"/>
          <w:divBdr>
            <w:top w:val="none" w:sz="0" w:space="0" w:color="auto"/>
            <w:left w:val="none" w:sz="0" w:space="0" w:color="auto"/>
            <w:bottom w:val="none" w:sz="0" w:space="0" w:color="auto"/>
            <w:right w:val="none" w:sz="0" w:space="0" w:color="auto"/>
          </w:divBdr>
        </w:div>
        <w:div w:id="406077966">
          <w:marLeft w:val="0"/>
          <w:marRight w:val="0"/>
          <w:marTop w:val="60"/>
          <w:marBottom w:val="0"/>
          <w:divBdr>
            <w:top w:val="none" w:sz="0" w:space="0" w:color="auto"/>
            <w:left w:val="none" w:sz="0" w:space="0" w:color="auto"/>
            <w:bottom w:val="none" w:sz="0" w:space="0" w:color="auto"/>
            <w:right w:val="none" w:sz="0" w:space="0" w:color="auto"/>
          </w:divBdr>
        </w:div>
        <w:div w:id="21133561">
          <w:marLeft w:val="0"/>
          <w:marRight w:val="0"/>
          <w:marTop w:val="0"/>
          <w:marBottom w:val="0"/>
          <w:divBdr>
            <w:top w:val="none" w:sz="0" w:space="0" w:color="auto"/>
            <w:left w:val="none" w:sz="0" w:space="0" w:color="auto"/>
            <w:bottom w:val="none" w:sz="0" w:space="0" w:color="auto"/>
            <w:right w:val="none" w:sz="0" w:space="0" w:color="auto"/>
          </w:divBdr>
          <w:divsChild>
            <w:div w:id="885797870">
              <w:marLeft w:val="0"/>
              <w:marRight w:val="0"/>
              <w:marTop w:val="0"/>
              <w:marBottom w:val="0"/>
              <w:divBdr>
                <w:top w:val="none" w:sz="0" w:space="0" w:color="auto"/>
                <w:left w:val="none" w:sz="0" w:space="0" w:color="auto"/>
                <w:bottom w:val="none" w:sz="0" w:space="0" w:color="auto"/>
                <w:right w:val="none" w:sz="0" w:space="0" w:color="auto"/>
              </w:divBdr>
            </w:div>
            <w:div w:id="1308822989">
              <w:marLeft w:val="0"/>
              <w:marRight w:val="0"/>
              <w:marTop w:val="0"/>
              <w:marBottom w:val="0"/>
              <w:divBdr>
                <w:top w:val="none" w:sz="0" w:space="0" w:color="auto"/>
                <w:left w:val="none" w:sz="0" w:space="0" w:color="auto"/>
                <w:bottom w:val="none" w:sz="0" w:space="0" w:color="auto"/>
                <w:right w:val="none" w:sz="0" w:space="0" w:color="auto"/>
              </w:divBdr>
            </w:div>
          </w:divsChild>
        </w:div>
        <w:div w:id="432752223">
          <w:marLeft w:val="0"/>
          <w:marRight w:val="0"/>
          <w:marTop w:val="0"/>
          <w:marBottom w:val="0"/>
          <w:divBdr>
            <w:top w:val="none" w:sz="0" w:space="0" w:color="auto"/>
            <w:left w:val="none" w:sz="0" w:space="0" w:color="auto"/>
            <w:bottom w:val="none" w:sz="0" w:space="0" w:color="auto"/>
            <w:right w:val="none" w:sz="0" w:space="0" w:color="auto"/>
          </w:divBdr>
        </w:div>
        <w:div w:id="1288972462">
          <w:marLeft w:val="0"/>
          <w:marRight w:val="0"/>
          <w:marTop w:val="60"/>
          <w:marBottom w:val="0"/>
          <w:divBdr>
            <w:top w:val="none" w:sz="0" w:space="0" w:color="auto"/>
            <w:left w:val="none" w:sz="0" w:space="0" w:color="auto"/>
            <w:bottom w:val="none" w:sz="0" w:space="0" w:color="auto"/>
            <w:right w:val="none" w:sz="0" w:space="0" w:color="auto"/>
          </w:divBdr>
        </w:div>
        <w:div w:id="745036019">
          <w:marLeft w:val="0"/>
          <w:marRight w:val="0"/>
          <w:marTop w:val="0"/>
          <w:marBottom w:val="0"/>
          <w:divBdr>
            <w:top w:val="none" w:sz="0" w:space="0" w:color="auto"/>
            <w:left w:val="none" w:sz="0" w:space="0" w:color="auto"/>
            <w:bottom w:val="none" w:sz="0" w:space="0" w:color="auto"/>
            <w:right w:val="none" w:sz="0" w:space="0" w:color="auto"/>
          </w:divBdr>
          <w:divsChild>
            <w:div w:id="510989990">
              <w:marLeft w:val="0"/>
              <w:marRight w:val="0"/>
              <w:marTop w:val="0"/>
              <w:marBottom w:val="0"/>
              <w:divBdr>
                <w:top w:val="none" w:sz="0" w:space="0" w:color="auto"/>
                <w:left w:val="none" w:sz="0" w:space="0" w:color="auto"/>
                <w:bottom w:val="none" w:sz="0" w:space="0" w:color="auto"/>
                <w:right w:val="none" w:sz="0" w:space="0" w:color="auto"/>
              </w:divBdr>
            </w:div>
            <w:div w:id="2109428246">
              <w:marLeft w:val="0"/>
              <w:marRight w:val="0"/>
              <w:marTop w:val="0"/>
              <w:marBottom w:val="0"/>
              <w:divBdr>
                <w:top w:val="none" w:sz="0" w:space="0" w:color="auto"/>
                <w:left w:val="none" w:sz="0" w:space="0" w:color="auto"/>
                <w:bottom w:val="none" w:sz="0" w:space="0" w:color="auto"/>
                <w:right w:val="none" w:sz="0" w:space="0" w:color="auto"/>
              </w:divBdr>
            </w:div>
          </w:divsChild>
        </w:div>
        <w:div w:id="363410914">
          <w:marLeft w:val="0"/>
          <w:marRight w:val="0"/>
          <w:marTop w:val="0"/>
          <w:marBottom w:val="0"/>
          <w:divBdr>
            <w:top w:val="none" w:sz="0" w:space="0" w:color="auto"/>
            <w:left w:val="none" w:sz="0" w:space="0" w:color="auto"/>
            <w:bottom w:val="none" w:sz="0" w:space="0" w:color="auto"/>
            <w:right w:val="none" w:sz="0" w:space="0" w:color="auto"/>
          </w:divBdr>
        </w:div>
        <w:div w:id="2049137990">
          <w:marLeft w:val="0"/>
          <w:marRight w:val="0"/>
          <w:marTop w:val="60"/>
          <w:marBottom w:val="0"/>
          <w:divBdr>
            <w:top w:val="none" w:sz="0" w:space="0" w:color="auto"/>
            <w:left w:val="none" w:sz="0" w:space="0" w:color="auto"/>
            <w:bottom w:val="none" w:sz="0" w:space="0" w:color="auto"/>
            <w:right w:val="none" w:sz="0" w:space="0" w:color="auto"/>
          </w:divBdr>
          <w:divsChild>
            <w:div w:id="755981088">
              <w:marLeft w:val="0"/>
              <w:marRight w:val="360"/>
              <w:marTop w:val="0"/>
              <w:marBottom w:val="0"/>
              <w:divBdr>
                <w:top w:val="none" w:sz="0" w:space="0" w:color="auto"/>
                <w:left w:val="none" w:sz="0" w:space="0" w:color="auto"/>
                <w:bottom w:val="none" w:sz="0" w:space="0" w:color="auto"/>
                <w:right w:val="none" w:sz="0" w:space="0" w:color="auto"/>
              </w:divBdr>
            </w:div>
          </w:divsChild>
        </w:div>
        <w:div w:id="1547906709">
          <w:marLeft w:val="0"/>
          <w:marRight w:val="0"/>
          <w:marTop w:val="0"/>
          <w:marBottom w:val="0"/>
          <w:divBdr>
            <w:top w:val="none" w:sz="0" w:space="0" w:color="auto"/>
            <w:left w:val="none" w:sz="0" w:space="0" w:color="auto"/>
            <w:bottom w:val="none" w:sz="0" w:space="0" w:color="auto"/>
            <w:right w:val="none" w:sz="0" w:space="0" w:color="auto"/>
          </w:divBdr>
          <w:divsChild>
            <w:div w:id="1505970275">
              <w:marLeft w:val="0"/>
              <w:marRight w:val="0"/>
              <w:marTop w:val="0"/>
              <w:marBottom w:val="0"/>
              <w:divBdr>
                <w:top w:val="none" w:sz="0" w:space="0" w:color="auto"/>
                <w:left w:val="none" w:sz="0" w:space="0" w:color="auto"/>
                <w:bottom w:val="none" w:sz="0" w:space="0" w:color="auto"/>
                <w:right w:val="none" w:sz="0" w:space="0" w:color="auto"/>
              </w:divBdr>
            </w:div>
            <w:div w:id="266892972">
              <w:marLeft w:val="0"/>
              <w:marRight w:val="0"/>
              <w:marTop w:val="0"/>
              <w:marBottom w:val="0"/>
              <w:divBdr>
                <w:top w:val="none" w:sz="0" w:space="0" w:color="auto"/>
                <w:left w:val="none" w:sz="0" w:space="0" w:color="auto"/>
                <w:bottom w:val="none" w:sz="0" w:space="0" w:color="auto"/>
                <w:right w:val="none" w:sz="0" w:space="0" w:color="auto"/>
              </w:divBdr>
            </w:div>
          </w:divsChild>
        </w:div>
        <w:div w:id="514536959">
          <w:marLeft w:val="0"/>
          <w:marRight w:val="0"/>
          <w:marTop w:val="0"/>
          <w:marBottom w:val="0"/>
          <w:divBdr>
            <w:top w:val="none" w:sz="0" w:space="0" w:color="auto"/>
            <w:left w:val="none" w:sz="0" w:space="0" w:color="auto"/>
            <w:bottom w:val="none" w:sz="0" w:space="0" w:color="auto"/>
            <w:right w:val="none" w:sz="0" w:space="0" w:color="auto"/>
          </w:divBdr>
        </w:div>
        <w:div w:id="2132821305">
          <w:marLeft w:val="0"/>
          <w:marRight w:val="0"/>
          <w:marTop w:val="60"/>
          <w:marBottom w:val="0"/>
          <w:divBdr>
            <w:top w:val="none" w:sz="0" w:space="0" w:color="auto"/>
            <w:left w:val="none" w:sz="0" w:space="0" w:color="auto"/>
            <w:bottom w:val="none" w:sz="0" w:space="0" w:color="auto"/>
            <w:right w:val="none" w:sz="0" w:space="0" w:color="auto"/>
          </w:divBdr>
          <w:divsChild>
            <w:div w:id="932201380">
              <w:marLeft w:val="0"/>
              <w:marRight w:val="360"/>
              <w:marTop w:val="0"/>
              <w:marBottom w:val="0"/>
              <w:divBdr>
                <w:top w:val="none" w:sz="0" w:space="0" w:color="auto"/>
                <w:left w:val="none" w:sz="0" w:space="0" w:color="auto"/>
                <w:bottom w:val="none" w:sz="0" w:space="0" w:color="auto"/>
                <w:right w:val="none" w:sz="0" w:space="0" w:color="auto"/>
              </w:divBdr>
              <w:divsChild>
                <w:div w:id="1435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228972">
          <w:marLeft w:val="0"/>
          <w:marRight w:val="0"/>
          <w:marTop w:val="0"/>
          <w:marBottom w:val="0"/>
          <w:divBdr>
            <w:top w:val="none" w:sz="0" w:space="0" w:color="auto"/>
            <w:left w:val="none" w:sz="0" w:space="0" w:color="auto"/>
            <w:bottom w:val="none" w:sz="0" w:space="0" w:color="auto"/>
            <w:right w:val="none" w:sz="0" w:space="0" w:color="auto"/>
          </w:divBdr>
          <w:divsChild>
            <w:div w:id="977223637">
              <w:marLeft w:val="0"/>
              <w:marRight w:val="0"/>
              <w:marTop w:val="0"/>
              <w:marBottom w:val="0"/>
              <w:divBdr>
                <w:top w:val="none" w:sz="0" w:space="0" w:color="auto"/>
                <w:left w:val="none" w:sz="0" w:space="0" w:color="auto"/>
                <w:bottom w:val="none" w:sz="0" w:space="0" w:color="auto"/>
                <w:right w:val="none" w:sz="0" w:space="0" w:color="auto"/>
              </w:divBdr>
            </w:div>
            <w:div w:id="1623416994">
              <w:marLeft w:val="0"/>
              <w:marRight w:val="0"/>
              <w:marTop w:val="0"/>
              <w:marBottom w:val="0"/>
              <w:divBdr>
                <w:top w:val="none" w:sz="0" w:space="0" w:color="auto"/>
                <w:left w:val="none" w:sz="0" w:space="0" w:color="auto"/>
                <w:bottom w:val="none" w:sz="0" w:space="0" w:color="auto"/>
                <w:right w:val="none" w:sz="0" w:space="0" w:color="auto"/>
              </w:divBdr>
            </w:div>
          </w:divsChild>
        </w:div>
        <w:div w:id="2003266036">
          <w:marLeft w:val="0"/>
          <w:marRight w:val="0"/>
          <w:marTop w:val="0"/>
          <w:marBottom w:val="0"/>
          <w:divBdr>
            <w:top w:val="none" w:sz="0" w:space="0" w:color="auto"/>
            <w:left w:val="none" w:sz="0" w:space="0" w:color="auto"/>
            <w:bottom w:val="none" w:sz="0" w:space="0" w:color="auto"/>
            <w:right w:val="none" w:sz="0" w:space="0" w:color="auto"/>
          </w:divBdr>
        </w:div>
        <w:div w:id="1253586107">
          <w:marLeft w:val="0"/>
          <w:marRight w:val="0"/>
          <w:marTop w:val="0"/>
          <w:marBottom w:val="0"/>
          <w:divBdr>
            <w:top w:val="none" w:sz="0" w:space="0" w:color="auto"/>
            <w:left w:val="none" w:sz="0" w:space="0" w:color="auto"/>
            <w:bottom w:val="none" w:sz="0" w:space="0" w:color="auto"/>
            <w:right w:val="none" w:sz="0" w:space="0" w:color="auto"/>
          </w:divBdr>
        </w:div>
        <w:div w:id="85225233">
          <w:marLeft w:val="0"/>
          <w:marRight w:val="0"/>
          <w:marTop w:val="60"/>
          <w:marBottom w:val="0"/>
          <w:divBdr>
            <w:top w:val="none" w:sz="0" w:space="0" w:color="auto"/>
            <w:left w:val="none" w:sz="0" w:space="0" w:color="auto"/>
            <w:bottom w:val="none" w:sz="0" w:space="0" w:color="auto"/>
            <w:right w:val="none" w:sz="0" w:space="0" w:color="auto"/>
          </w:divBdr>
        </w:div>
        <w:div w:id="106318479">
          <w:marLeft w:val="0"/>
          <w:marRight w:val="0"/>
          <w:marTop w:val="0"/>
          <w:marBottom w:val="0"/>
          <w:divBdr>
            <w:top w:val="none" w:sz="0" w:space="0" w:color="auto"/>
            <w:left w:val="none" w:sz="0" w:space="0" w:color="auto"/>
            <w:bottom w:val="none" w:sz="0" w:space="0" w:color="auto"/>
            <w:right w:val="none" w:sz="0" w:space="0" w:color="auto"/>
          </w:divBdr>
          <w:divsChild>
            <w:div w:id="398792344">
              <w:marLeft w:val="0"/>
              <w:marRight w:val="0"/>
              <w:marTop w:val="0"/>
              <w:marBottom w:val="0"/>
              <w:divBdr>
                <w:top w:val="none" w:sz="0" w:space="0" w:color="auto"/>
                <w:left w:val="none" w:sz="0" w:space="0" w:color="auto"/>
                <w:bottom w:val="none" w:sz="0" w:space="0" w:color="auto"/>
                <w:right w:val="none" w:sz="0" w:space="0" w:color="auto"/>
              </w:divBdr>
            </w:div>
            <w:div w:id="1098258390">
              <w:marLeft w:val="0"/>
              <w:marRight w:val="0"/>
              <w:marTop w:val="0"/>
              <w:marBottom w:val="0"/>
              <w:divBdr>
                <w:top w:val="none" w:sz="0" w:space="0" w:color="auto"/>
                <w:left w:val="none" w:sz="0" w:space="0" w:color="auto"/>
                <w:bottom w:val="none" w:sz="0" w:space="0" w:color="auto"/>
                <w:right w:val="none" w:sz="0" w:space="0" w:color="auto"/>
              </w:divBdr>
            </w:div>
          </w:divsChild>
        </w:div>
        <w:div w:id="2066948920">
          <w:marLeft w:val="0"/>
          <w:marRight w:val="0"/>
          <w:marTop w:val="0"/>
          <w:marBottom w:val="0"/>
          <w:divBdr>
            <w:top w:val="none" w:sz="0" w:space="0" w:color="auto"/>
            <w:left w:val="none" w:sz="0" w:space="0" w:color="auto"/>
            <w:bottom w:val="none" w:sz="0" w:space="0" w:color="auto"/>
            <w:right w:val="none" w:sz="0" w:space="0" w:color="auto"/>
          </w:divBdr>
        </w:div>
        <w:div w:id="698241263">
          <w:marLeft w:val="0"/>
          <w:marRight w:val="0"/>
          <w:marTop w:val="60"/>
          <w:marBottom w:val="0"/>
          <w:divBdr>
            <w:top w:val="none" w:sz="0" w:space="0" w:color="auto"/>
            <w:left w:val="none" w:sz="0" w:space="0" w:color="auto"/>
            <w:bottom w:val="none" w:sz="0" w:space="0" w:color="auto"/>
            <w:right w:val="none" w:sz="0" w:space="0" w:color="auto"/>
          </w:divBdr>
        </w:div>
        <w:div w:id="1067607633">
          <w:marLeft w:val="0"/>
          <w:marRight w:val="0"/>
          <w:marTop w:val="0"/>
          <w:marBottom w:val="0"/>
          <w:divBdr>
            <w:top w:val="none" w:sz="0" w:space="0" w:color="auto"/>
            <w:left w:val="none" w:sz="0" w:space="0" w:color="auto"/>
            <w:bottom w:val="none" w:sz="0" w:space="0" w:color="auto"/>
            <w:right w:val="none" w:sz="0" w:space="0" w:color="auto"/>
          </w:divBdr>
          <w:divsChild>
            <w:div w:id="250697174">
              <w:marLeft w:val="0"/>
              <w:marRight w:val="0"/>
              <w:marTop w:val="0"/>
              <w:marBottom w:val="0"/>
              <w:divBdr>
                <w:top w:val="none" w:sz="0" w:space="0" w:color="auto"/>
                <w:left w:val="none" w:sz="0" w:space="0" w:color="auto"/>
                <w:bottom w:val="none" w:sz="0" w:space="0" w:color="auto"/>
                <w:right w:val="none" w:sz="0" w:space="0" w:color="auto"/>
              </w:divBdr>
            </w:div>
            <w:div w:id="362829435">
              <w:marLeft w:val="0"/>
              <w:marRight w:val="0"/>
              <w:marTop w:val="0"/>
              <w:marBottom w:val="0"/>
              <w:divBdr>
                <w:top w:val="none" w:sz="0" w:space="0" w:color="auto"/>
                <w:left w:val="none" w:sz="0" w:space="0" w:color="auto"/>
                <w:bottom w:val="none" w:sz="0" w:space="0" w:color="auto"/>
                <w:right w:val="none" w:sz="0" w:space="0" w:color="auto"/>
              </w:divBdr>
            </w:div>
          </w:divsChild>
        </w:div>
        <w:div w:id="1169640805">
          <w:marLeft w:val="0"/>
          <w:marRight w:val="0"/>
          <w:marTop w:val="0"/>
          <w:marBottom w:val="0"/>
          <w:divBdr>
            <w:top w:val="none" w:sz="0" w:space="0" w:color="auto"/>
            <w:left w:val="none" w:sz="0" w:space="0" w:color="auto"/>
            <w:bottom w:val="none" w:sz="0" w:space="0" w:color="auto"/>
            <w:right w:val="none" w:sz="0" w:space="0" w:color="auto"/>
          </w:divBdr>
        </w:div>
        <w:div w:id="714040218">
          <w:marLeft w:val="0"/>
          <w:marRight w:val="0"/>
          <w:marTop w:val="60"/>
          <w:marBottom w:val="0"/>
          <w:divBdr>
            <w:top w:val="none" w:sz="0" w:space="0" w:color="auto"/>
            <w:left w:val="none" w:sz="0" w:space="0" w:color="auto"/>
            <w:bottom w:val="none" w:sz="0" w:space="0" w:color="auto"/>
            <w:right w:val="none" w:sz="0" w:space="0" w:color="auto"/>
          </w:divBdr>
        </w:div>
        <w:div w:id="513037548">
          <w:marLeft w:val="0"/>
          <w:marRight w:val="0"/>
          <w:marTop w:val="0"/>
          <w:marBottom w:val="0"/>
          <w:divBdr>
            <w:top w:val="none" w:sz="0" w:space="0" w:color="auto"/>
            <w:left w:val="none" w:sz="0" w:space="0" w:color="auto"/>
            <w:bottom w:val="none" w:sz="0" w:space="0" w:color="auto"/>
            <w:right w:val="none" w:sz="0" w:space="0" w:color="auto"/>
          </w:divBdr>
          <w:divsChild>
            <w:div w:id="885485127">
              <w:marLeft w:val="0"/>
              <w:marRight w:val="0"/>
              <w:marTop w:val="0"/>
              <w:marBottom w:val="0"/>
              <w:divBdr>
                <w:top w:val="none" w:sz="0" w:space="0" w:color="auto"/>
                <w:left w:val="none" w:sz="0" w:space="0" w:color="auto"/>
                <w:bottom w:val="none" w:sz="0" w:space="0" w:color="auto"/>
                <w:right w:val="none" w:sz="0" w:space="0" w:color="auto"/>
              </w:divBdr>
            </w:div>
            <w:div w:id="1140615613">
              <w:marLeft w:val="0"/>
              <w:marRight w:val="0"/>
              <w:marTop w:val="0"/>
              <w:marBottom w:val="0"/>
              <w:divBdr>
                <w:top w:val="none" w:sz="0" w:space="0" w:color="auto"/>
                <w:left w:val="none" w:sz="0" w:space="0" w:color="auto"/>
                <w:bottom w:val="none" w:sz="0" w:space="0" w:color="auto"/>
                <w:right w:val="none" w:sz="0" w:space="0" w:color="auto"/>
              </w:divBdr>
            </w:div>
          </w:divsChild>
        </w:div>
        <w:div w:id="235407979">
          <w:marLeft w:val="0"/>
          <w:marRight w:val="0"/>
          <w:marTop w:val="0"/>
          <w:marBottom w:val="0"/>
          <w:divBdr>
            <w:top w:val="none" w:sz="0" w:space="0" w:color="auto"/>
            <w:left w:val="none" w:sz="0" w:space="0" w:color="auto"/>
            <w:bottom w:val="none" w:sz="0" w:space="0" w:color="auto"/>
            <w:right w:val="none" w:sz="0" w:space="0" w:color="auto"/>
          </w:divBdr>
        </w:div>
        <w:div w:id="843671863">
          <w:marLeft w:val="0"/>
          <w:marRight w:val="0"/>
          <w:marTop w:val="60"/>
          <w:marBottom w:val="0"/>
          <w:divBdr>
            <w:top w:val="none" w:sz="0" w:space="0" w:color="auto"/>
            <w:left w:val="none" w:sz="0" w:space="0" w:color="auto"/>
            <w:bottom w:val="none" w:sz="0" w:space="0" w:color="auto"/>
            <w:right w:val="none" w:sz="0" w:space="0" w:color="auto"/>
          </w:divBdr>
        </w:div>
        <w:div w:id="1638535674">
          <w:marLeft w:val="0"/>
          <w:marRight w:val="0"/>
          <w:marTop w:val="0"/>
          <w:marBottom w:val="0"/>
          <w:divBdr>
            <w:top w:val="none" w:sz="0" w:space="0" w:color="auto"/>
            <w:left w:val="none" w:sz="0" w:space="0" w:color="auto"/>
            <w:bottom w:val="none" w:sz="0" w:space="0" w:color="auto"/>
            <w:right w:val="none" w:sz="0" w:space="0" w:color="auto"/>
          </w:divBdr>
          <w:divsChild>
            <w:div w:id="284049613">
              <w:marLeft w:val="0"/>
              <w:marRight w:val="0"/>
              <w:marTop w:val="0"/>
              <w:marBottom w:val="0"/>
              <w:divBdr>
                <w:top w:val="none" w:sz="0" w:space="0" w:color="auto"/>
                <w:left w:val="none" w:sz="0" w:space="0" w:color="auto"/>
                <w:bottom w:val="none" w:sz="0" w:space="0" w:color="auto"/>
                <w:right w:val="none" w:sz="0" w:space="0" w:color="auto"/>
              </w:divBdr>
            </w:div>
            <w:div w:id="118376082">
              <w:marLeft w:val="0"/>
              <w:marRight w:val="0"/>
              <w:marTop w:val="0"/>
              <w:marBottom w:val="0"/>
              <w:divBdr>
                <w:top w:val="none" w:sz="0" w:space="0" w:color="auto"/>
                <w:left w:val="none" w:sz="0" w:space="0" w:color="auto"/>
                <w:bottom w:val="none" w:sz="0" w:space="0" w:color="auto"/>
                <w:right w:val="none" w:sz="0" w:space="0" w:color="auto"/>
              </w:divBdr>
            </w:div>
          </w:divsChild>
        </w:div>
        <w:div w:id="779908711">
          <w:marLeft w:val="0"/>
          <w:marRight w:val="0"/>
          <w:marTop w:val="0"/>
          <w:marBottom w:val="0"/>
          <w:divBdr>
            <w:top w:val="none" w:sz="0" w:space="0" w:color="auto"/>
            <w:left w:val="none" w:sz="0" w:space="0" w:color="auto"/>
            <w:bottom w:val="none" w:sz="0" w:space="0" w:color="auto"/>
            <w:right w:val="none" w:sz="0" w:space="0" w:color="auto"/>
          </w:divBdr>
        </w:div>
        <w:div w:id="1787844185">
          <w:marLeft w:val="0"/>
          <w:marRight w:val="0"/>
          <w:marTop w:val="60"/>
          <w:marBottom w:val="0"/>
          <w:divBdr>
            <w:top w:val="none" w:sz="0" w:space="0" w:color="auto"/>
            <w:left w:val="none" w:sz="0" w:space="0" w:color="auto"/>
            <w:bottom w:val="none" w:sz="0" w:space="0" w:color="auto"/>
            <w:right w:val="none" w:sz="0" w:space="0" w:color="auto"/>
          </w:divBdr>
        </w:div>
        <w:div w:id="2081714441">
          <w:marLeft w:val="0"/>
          <w:marRight w:val="0"/>
          <w:marTop w:val="0"/>
          <w:marBottom w:val="0"/>
          <w:divBdr>
            <w:top w:val="none" w:sz="0" w:space="0" w:color="auto"/>
            <w:left w:val="none" w:sz="0" w:space="0" w:color="auto"/>
            <w:bottom w:val="none" w:sz="0" w:space="0" w:color="auto"/>
            <w:right w:val="none" w:sz="0" w:space="0" w:color="auto"/>
          </w:divBdr>
          <w:divsChild>
            <w:div w:id="917445456">
              <w:marLeft w:val="0"/>
              <w:marRight w:val="0"/>
              <w:marTop w:val="0"/>
              <w:marBottom w:val="0"/>
              <w:divBdr>
                <w:top w:val="none" w:sz="0" w:space="0" w:color="auto"/>
                <w:left w:val="none" w:sz="0" w:space="0" w:color="auto"/>
                <w:bottom w:val="none" w:sz="0" w:space="0" w:color="auto"/>
                <w:right w:val="none" w:sz="0" w:space="0" w:color="auto"/>
              </w:divBdr>
            </w:div>
            <w:div w:id="1744133620">
              <w:marLeft w:val="0"/>
              <w:marRight w:val="0"/>
              <w:marTop w:val="0"/>
              <w:marBottom w:val="0"/>
              <w:divBdr>
                <w:top w:val="none" w:sz="0" w:space="0" w:color="auto"/>
                <w:left w:val="none" w:sz="0" w:space="0" w:color="auto"/>
                <w:bottom w:val="none" w:sz="0" w:space="0" w:color="auto"/>
                <w:right w:val="none" w:sz="0" w:space="0" w:color="auto"/>
              </w:divBdr>
            </w:div>
          </w:divsChild>
        </w:div>
        <w:div w:id="34429604">
          <w:marLeft w:val="0"/>
          <w:marRight w:val="0"/>
          <w:marTop w:val="0"/>
          <w:marBottom w:val="0"/>
          <w:divBdr>
            <w:top w:val="none" w:sz="0" w:space="0" w:color="auto"/>
            <w:left w:val="none" w:sz="0" w:space="0" w:color="auto"/>
            <w:bottom w:val="none" w:sz="0" w:space="0" w:color="auto"/>
            <w:right w:val="none" w:sz="0" w:space="0" w:color="auto"/>
          </w:divBdr>
        </w:div>
        <w:div w:id="1784034508">
          <w:marLeft w:val="0"/>
          <w:marRight w:val="0"/>
          <w:marTop w:val="60"/>
          <w:marBottom w:val="0"/>
          <w:divBdr>
            <w:top w:val="none" w:sz="0" w:space="0" w:color="auto"/>
            <w:left w:val="none" w:sz="0" w:space="0" w:color="auto"/>
            <w:bottom w:val="none" w:sz="0" w:space="0" w:color="auto"/>
            <w:right w:val="none" w:sz="0" w:space="0" w:color="auto"/>
          </w:divBdr>
        </w:div>
        <w:div w:id="156381115">
          <w:marLeft w:val="0"/>
          <w:marRight w:val="0"/>
          <w:marTop w:val="0"/>
          <w:marBottom w:val="0"/>
          <w:divBdr>
            <w:top w:val="none" w:sz="0" w:space="0" w:color="auto"/>
            <w:left w:val="none" w:sz="0" w:space="0" w:color="auto"/>
            <w:bottom w:val="none" w:sz="0" w:space="0" w:color="auto"/>
            <w:right w:val="none" w:sz="0" w:space="0" w:color="auto"/>
          </w:divBdr>
          <w:divsChild>
            <w:div w:id="41560245">
              <w:marLeft w:val="0"/>
              <w:marRight w:val="0"/>
              <w:marTop w:val="0"/>
              <w:marBottom w:val="0"/>
              <w:divBdr>
                <w:top w:val="none" w:sz="0" w:space="0" w:color="auto"/>
                <w:left w:val="none" w:sz="0" w:space="0" w:color="auto"/>
                <w:bottom w:val="none" w:sz="0" w:space="0" w:color="auto"/>
                <w:right w:val="none" w:sz="0" w:space="0" w:color="auto"/>
              </w:divBdr>
            </w:div>
            <w:div w:id="714889736">
              <w:marLeft w:val="0"/>
              <w:marRight w:val="0"/>
              <w:marTop w:val="0"/>
              <w:marBottom w:val="0"/>
              <w:divBdr>
                <w:top w:val="none" w:sz="0" w:space="0" w:color="auto"/>
                <w:left w:val="none" w:sz="0" w:space="0" w:color="auto"/>
                <w:bottom w:val="none" w:sz="0" w:space="0" w:color="auto"/>
                <w:right w:val="none" w:sz="0" w:space="0" w:color="auto"/>
              </w:divBdr>
            </w:div>
          </w:divsChild>
        </w:div>
        <w:div w:id="879899344">
          <w:marLeft w:val="0"/>
          <w:marRight w:val="0"/>
          <w:marTop w:val="0"/>
          <w:marBottom w:val="0"/>
          <w:divBdr>
            <w:top w:val="none" w:sz="0" w:space="0" w:color="auto"/>
            <w:left w:val="none" w:sz="0" w:space="0" w:color="auto"/>
            <w:bottom w:val="none" w:sz="0" w:space="0" w:color="auto"/>
            <w:right w:val="none" w:sz="0" w:space="0" w:color="auto"/>
          </w:divBdr>
        </w:div>
        <w:div w:id="2021201971">
          <w:marLeft w:val="0"/>
          <w:marRight w:val="0"/>
          <w:marTop w:val="60"/>
          <w:marBottom w:val="0"/>
          <w:divBdr>
            <w:top w:val="none" w:sz="0" w:space="0" w:color="auto"/>
            <w:left w:val="none" w:sz="0" w:space="0" w:color="auto"/>
            <w:bottom w:val="none" w:sz="0" w:space="0" w:color="auto"/>
            <w:right w:val="none" w:sz="0" w:space="0" w:color="auto"/>
          </w:divBdr>
        </w:div>
        <w:div w:id="991523049">
          <w:marLeft w:val="0"/>
          <w:marRight w:val="0"/>
          <w:marTop w:val="0"/>
          <w:marBottom w:val="0"/>
          <w:divBdr>
            <w:top w:val="none" w:sz="0" w:space="0" w:color="auto"/>
            <w:left w:val="none" w:sz="0" w:space="0" w:color="auto"/>
            <w:bottom w:val="none" w:sz="0" w:space="0" w:color="auto"/>
            <w:right w:val="none" w:sz="0" w:space="0" w:color="auto"/>
          </w:divBdr>
          <w:divsChild>
            <w:div w:id="1531382004">
              <w:marLeft w:val="0"/>
              <w:marRight w:val="0"/>
              <w:marTop w:val="0"/>
              <w:marBottom w:val="0"/>
              <w:divBdr>
                <w:top w:val="none" w:sz="0" w:space="0" w:color="auto"/>
                <w:left w:val="none" w:sz="0" w:space="0" w:color="auto"/>
                <w:bottom w:val="none" w:sz="0" w:space="0" w:color="auto"/>
                <w:right w:val="none" w:sz="0" w:space="0" w:color="auto"/>
              </w:divBdr>
            </w:div>
            <w:div w:id="194930603">
              <w:marLeft w:val="0"/>
              <w:marRight w:val="0"/>
              <w:marTop w:val="0"/>
              <w:marBottom w:val="0"/>
              <w:divBdr>
                <w:top w:val="none" w:sz="0" w:space="0" w:color="auto"/>
                <w:left w:val="none" w:sz="0" w:space="0" w:color="auto"/>
                <w:bottom w:val="none" w:sz="0" w:space="0" w:color="auto"/>
                <w:right w:val="none" w:sz="0" w:space="0" w:color="auto"/>
              </w:divBdr>
            </w:div>
          </w:divsChild>
        </w:div>
        <w:div w:id="1007900806">
          <w:marLeft w:val="0"/>
          <w:marRight w:val="0"/>
          <w:marTop w:val="0"/>
          <w:marBottom w:val="0"/>
          <w:divBdr>
            <w:top w:val="none" w:sz="0" w:space="0" w:color="auto"/>
            <w:left w:val="none" w:sz="0" w:space="0" w:color="auto"/>
            <w:bottom w:val="none" w:sz="0" w:space="0" w:color="auto"/>
            <w:right w:val="none" w:sz="0" w:space="0" w:color="auto"/>
          </w:divBdr>
        </w:div>
        <w:div w:id="800029336">
          <w:marLeft w:val="0"/>
          <w:marRight w:val="0"/>
          <w:marTop w:val="60"/>
          <w:marBottom w:val="0"/>
          <w:divBdr>
            <w:top w:val="none" w:sz="0" w:space="0" w:color="auto"/>
            <w:left w:val="none" w:sz="0" w:space="0" w:color="auto"/>
            <w:bottom w:val="none" w:sz="0" w:space="0" w:color="auto"/>
            <w:right w:val="none" w:sz="0" w:space="0" w:color="auto"/>
          </w:divBdr>
        </w:div>
        <w:div w:id="1869835066">
          <w:marLeft w:val="0"/>
          <w:marRight w:val="0"/>
          <w:marTop w:val="0"/>
          <w:marBottom w:val="0"/>
          <w:divBdr>
            <w:top w:val="none" w:sz="0" w:space="0" w:color="auto"/>
            <w:left w:val="none" w:sz="0" w:space="0" w:color="auto"/>
            <w:bottom w:val="none" w:sz="0" w:space="0" w:color="auto"/>
            <w:right w:val="none" w:sz="0" w:space="0" w:color="auto"/>
          </w:divBdr>
          <w:divsChild>
            <w:div w:id="882057215">
              <w:marLeft w:val="0"/>
              <w:marRight w:val="0"/>
              <w:marTop w:val="0"/>
              <w:marBottom w:val="0"/>
              <w:divBdr>
                <w:top w:val="none" w:sz="0" w:space="0" w:color="auto"/>
                <w:left w:val="none" w:sz="0" w:space="0" w:color="auto"/>
                <w:bottom w:val="none" w:sz="0" w:space="0" w:color="auto"/>
                <w:right w:val="none" w:sz="0" w:space="0" w:color="auto"/>
              </w:divBdr>
            </w:div>
            <w:div w:id="322391862">
              <w:marLeft w:val="0"/>
              <w:marRight w:val="0"/>
              <w:marTop w:val="0"/>
              <w:marBottom w:val="0"/>
              <w:divBdr>
                <w:top w:val="none" w:sz="0" w:space="0" w:color="auto"/>
                <w:left w:val="none" w:sz="0" w:space="0" w:color="auto"/>
                <w:bottom w:val="none" w:sz="0" w:space="0" w:color="auto"/>
                <w:right w:val="none" w:sz="0" w:space="0" w:color="auto"/>
              </w:divBdr>
            </w:div>
          </w:divsChild>
        </w:div>
        <w:div w:id="822046993">
          <w:marLeft w:val="0"/>
          <w:marRight w:val="0"/>
          <w:marTop w:val="0"/>
          <w:marBottom w:val="0"/>
          <w:divBdr>
            <w:top w:val="none" w:sz="0" w:space="0" w:color="auto"/>
            <w:left w:val="none" w:sz="0" w:space="0" w:color="auto"/>
            <w:bottom w:val="none" w:sz="0" w:space="0" w:color="auto"/>
            <w:right w:val="none" w:sz="0" w:space="0" w:color="auto"/>
          </w:divBdr>
        </w:div>
        <w:div w:id="1981612047">
          <w:marLeft w:val="0"/>
          <w:marRight w:val="0"/>
          <w:marTop w:val="60"/>
          <w:marBottom w:val="0"/>
          <w:divBdr>
            <w:top w:val="none" w:sz="0" w:space="0" w:color="auto"/>
            <w:left w:val="none" w:sz="0" w:space="0" w:color="auto"/>
            <w:bottom w:val="none" w:sz="0" w:space="0" w:color="auto"/>
            <w:right w:val="none" w:sz="0" w:space="0" w:color="auto"/>
          </w:divBdr>
          <w:divsChild>
            <w:div w:id="1252356300">
              <w:marLeft w:val="0"/>
              <w:marRight w:val="360"/>
              <w:marTop w:val="0"/>
              <w:marBottom w:val="0"/>
              <w:divBdr>
                <w:top w:val="none" w:sz="0" w:space="0" w:color="auto"/>
                <w:left w:val="none" w:sz="0" w:space="0" w:color="auto"/>
                <w:bottom w:val="none" w:sz="0" w:space="0" w:color="auto"/>
                <w:right w:val="none" w:sz="0" w:space="0" w:color="auto"/>
              </w:divBdr>
            </w:div>
          </w:divsChild>
        </w:div>
        <w:div w:id="1601135435">
          <w:marLeft w:val="0"/>
          <w:marRight w:val="0"/>
          <w:marTop w:val="0"/>
          <w:marBottom w:val="0"/>
          <w:divBdr>
            <w:top w:val="none" w:sz="0" w:space="0" w:color="auto"/>
            <w:left w:val="none" w:sz="0" w:space="0" w:color="auto"/>
            <w:bottom w:val="none" w:sz="0" w:space="0" w:color="auto"/>
            <w:right w:val="none" w:sz="0" w:space="0" w:color="auto"/>
          </w:divBdr>
          <w:divsChild>
            <w:div w:id="1189830701">
              <w:marLeft w:val="0"/>
              <w:marRight w:val="0"/>
              <w:marTop w:val="0"/>
              <w:marBottom w:val="0"/>
              <w:divBdr>
                <w:top w:val="none" w:sz="0" w:space="0" w:color="auto"/>
                <w:left w:val="none" w:sz="0" w:space="0" w:color="auto"/>
                <w:bottom w:val="none" w:sz="0" w:space="0" w:color="auto"/>
                <w:right w:val="none" w:sz="0" w:space="0" w:color="auto"/>
              </w:divBdr>
            </w:div>
            <w:div w:id="1348285302">
              <w:marLeft w:val="0"/>
              <w:marRight w:val="0"/>
              <w:marTop w:val="0"/>
              <w:marBottom w:val="0"/>
              <w:divBdr>
                <w:top w:val="none" w:sz="0" w:space="0" w:color="auto"/>
                <w:left w:val="none" w:sz="0" w:space="0" w:color="auto"/>
                <w:bottom w:val="none" w:sz="0" w:space="0" w:color="auto"/>
                <w:right w:val="none" w:sz="0" w:space="0" w:color="auto"/>
              </w:divBdr>
            </w:div>
          </w:divsChild>
        </w:div>
        <w:div w:id="1326012989">
          <w:marLeft w:val="0"/>
          <w:marRight w:val="0"/>
          <w:marTop w:val="0"/>
          <w:marBottom w:val="0"/>
          <w:divBdr>
            <w:top w:val="none" w:sz="0" w:space="0" w:color="auto"/>
            <w:left w:val="none" w:sz="0" w:space="0" w:color="auto"/>
            <w:bottom w:val="none" w:sz="0" w:space="0" w:color="auto"/>
            <w:right w:val="none" w:sz="0" w:space="0" w:color="auto"/>
          </w:divBdr>
        </w:div>
        <w:div w:id="50274886">
          <w:marLeft w:val="0"/>
          <w:marRight w:val="0"/>
          <w:marTop w:val="60"/>
          <w:marBottom w:val="0"/>
          <w:divBdr>
            <w:top w:val="none" w:sz="0" w:space="0" w:color="auto"/>
            <w:left w:val="none" w:sz="0" w:space="0" w:color="auto"/>
            <w:bottom w:val="none" w:sz="0" w:space="0" w:color="auto"/>
            <w:right w:val="none" w:sz="0" w:space="0" w:color="auto"/>
          </w:divBdr>
        </w:div>
        <w:div w:id="272906320">
          <w:marLeft w:val="0"/>
          <w:marRight w:val="0"/>
          <w:marTop w:val="0"/>
          <w:marBottom w:val="0"/>
          <w:divBdr>
            <w:top w:val="none" w:sz="0" w:space="0" w:color="auto"/>
            <w:left w:val="none" w:sz="0" w:space="0" w:color="auto"/>
            <w:bottom w:val="none" w:sz="0" w:space="0" w:color="auto"/>
            <w:right w:val="none" w:sz="0" w:space="0" w:color="auto"/>
          </w:divBdr>
          <w:divsChild>
            <w:div w:id="1528131516">
              <w:marLeft w:val="0"/>
              <w:marRight w:val="0"/>
              <w:marTop w:val="0"/>
              <w:marBottom w:val="0"/>
              <w:divBdr>
                <w:top w:val="none" w:sz="0" w:space="0" w:color="auto"/>
                <w:left w:val="none" w:sz="0" w:space="0" w:color="auto"/>
                <w:bottom w:val="none" w:sz="0" w:space="0" w:color="auto"/>
                <w:right w:val="none" w:sz="0" w:space="0" w:color="auto"/>
              </w:divBdr>
            </w:div>
            <w:div w:id="424377436">
              <w:marLeft w:val="0"/>
              <w:marRight w:val="0"/>
              <w:marTop w:val="0"/>
              <w:marBottom w:val="0"/>
              <w:divBdr>
                <w:top w:val="none" w:sz="0" w:space="0" w:color="auto"/>
                <w:left w:val="none" w:sz="0" w:space="0" w:color="auto"/>
                <w:bottom w:val="none" w:sz="0" w:space="0" w:color="auto"/>
                <w:right w:val="none" w:sz="0" w:space="0" w:color="auto"/>
              </w:divBdr>
            </w:div>
          </w:divsChild>
        </w:div>
        <w:div w:id="1930888059">
          <w:marLeft w:val="0"/>
          <w:marRight w:val="0"/>
          <w:marTop w:val="0"/>
          <w:marBottom w:val="0"/>
          <w:divBdr>
            <w:top w:val="none" w:sz="0" w:space="0" w:color="auto"/>
            <w:left w:val="none" w:sz="0" w:space="0" w:color="auto"/>
            <w:bottom w:val="none" w:sz="0" w:space="0" w:color="auto"/>
            <w:right w:val="none" w:sz="0" w:space="0" w:color="auto"/>
          </w:divBdr>
        </w:div>
        <w:div w:id="170460371">
          <w:marLeft w:val="0"/>
          <w:marRight w:val="0"/>
          <w:marTop w:val="60"/>
          <w:marBottom w:val="0"/>
          <w:divBdr>
            <w:top w:val="none" w:sz="0" w:space="0" w:color="auto"/>
            <w:left w:val="none" w:sz="0" w:space="0" w:color="auto"/>
            <w:bottom w:val="none" w:sz="0" w:space="0" w:color="auto"/>
            <w:right w:val="none" w:sz="0" w:space="0" w:color="auto"/>
          </w:divBdr>
        </w:div>
        <w:div w:id="1097169747">
          <w:marLeft w:val="0"/>
          <w:marRight w:val="0"/>
          <w:marTop w:val="0"/>
          <w:marBottom w:val="0"/>
          <w:divBdr>
            <w:top w:val="none" w:sz="0" w:space="0" w:color="auto"/>
            <w:left w:val="none" w:sz="0" w:space="0" w:color="auto"/>
            <w:bottom w:val="none" w:sz="0" w:space="0" w:color="auto"/>
            <w:right w:val="none" w:sz="0" w:space="0" w:color="auto"/>
          </w:divBdr>
          <w:divsChild>
            <w:div w:id="329527893">
              <w:marLeft w:val="0"/>
              <w:marRight w:val="0"/>
              <w:marTop w:val="0"/>
              <w:marBottom w:val="0"/>
              <w:divBdr>
                <w:top w:val="none" w:sz="0" w:space="0" w:color="auto"/>
                <w:left w:val="none" w:sz="0" w:space="0" w:color="auto"/>
                <w:bottom w:val="none" w:sz="0" w:space="0" w:color="auto"/>
                <w:right w:val="none" w:sz="0" w:space="0" w:color="auto"/>
              </w:divBdr>
            </w:div>
            <w:div w:id="1962420899">
              <w:marLeft w:val="0"/>
              <w:marRight w:val="0"/>
              <w:marTop w:val="0"/>
              <w:marBottom w:val="0"/>
              <w:divBdr>
                <w:top w:val="none" w:sz="0" w:space="0" w:color="auto"/>
                <w:left w:val="none" w:sz="0" w:space="0" w:color="auto"/>
                <w:bottom w:val="none" w:sz="0" w:space="0" w:color="auto"/>
                <w:right w:val="none" w:sz="0" w:space="0" w:color="auto"/>
              </w:divBdr>
            </w:div>
          </w:divsChild>
        </w:div>
        <w:div w:id="1544247970">
          <w:marLeft w:val="0"/>
          <w:marRight w:val="0"/>
          <w:marTop w:val="0"/>
          <w:marBottom w:val="0"/>
          <w:divBdr>
            <w:top w:val="none" w:sz="0" w:space="0" w:color="auto"/>
            <w:left w:val="none" w:sz="0" w:space="0" w:color="auto"/>
            <w:bottom w:val="none" w:sz="0" w:space="0" w:color="auto"/>
            <w:right w:val="none" w:sz="0" w:space="0" w:color="auto"/>
          </w:divBdr>
        </w:div>
        <w:div w:id="743143392">
          <w:marLeft w:val="0"/>
          <w:marRight w:val="0"/>
          <w:marTop w:val="60"/>
          <w:marBottom w:val="0"/>
          <w:divBdr>
            <w:top w:val="none" w:sz="0" w:space="0" w:color="auto"/>
            <w:left w:val="none" w:sz="0" w:space="0" w:color="auto"/>
            <w:bottom w:val="none" w:sz="0" w:space="0" w:color="auto"/>
            <w:right w:val="none" w:sz="0" w:space="0" w:color="auto"/>
          </w:divBdr>
          <w:divsChild>
            <w:div w:id="343436480">
              <w:marLeft w:val="0"/>
              <w:marRight w:val="360"/>
              <w:marTop w:val="0"/>
              <w:marBottom w:val="0"/>
              <w:divBdr>
                <w:top w:val="none" w:sz="0" w:space="0" w:color="auto"/>
                <w:left w:val="none" w:sz="0" w:space="0" w:color="auto"/>
                <w:bottom w:val="none" w:sz="0" w:space="0" w:color="auto"/>
                <w:right w:val="none" w:sz="0" w:space="0" w:color="auto"/>
              </w:divBdr>
            </w:div>
          </w:divsChild>
        </w:div>
        <w:div w:id="477841974">
          <w:marLeft w:val="0"/>
          <w:marRight w:val="0"/>
          <w:marTop w:val="0"/>
          <w:marBottom w:val="0"/>
          <w:divBdr>
            <w:top w:val="none" w:sz="0" w:space="0" w:color="auto"/>
            <w:left w:val="none" w:sz="0" w:space="0" w:color="auto"/>
            <w:bottom w:val="none" w:sz="0" w:space="0" w:color="auto"/>
            <w:right w:val="none" w:sz="0" w:space="0" w:color="auto"/>
          </w:divBdr>
          <w:divsChild>
            <w:div w:id="1954165729">
              <w:marLeft w:val="0"/>
              <w:marRight w:val="0"/>
              <w:marTop w:val="0"/>
              <w:marBottom w:val="0"/>
              <w:divBdr>
                <w:top w:val="none" w:sz="0" w:space="0" w:color="auto"/>
                <w:left w:val="none" w:sz="0" w:space="0" w:color="auto"/>
                <w:bottom w:val="none" w:sz="0" w:space="0" w:color="auto"/>
                <w:right w:val="none" w:sz="0" w:space="0" w:color="auto"/>
              </w:divBdr>
            </w:div>
            <w:div w:id="1625846089">
              <w:marLeft w:val="0"/>
              <w:marRight w:val="0"/>
              <w:marTop w:val="0"/>
              <w:marBottom w:val="0"/>
              <w:divBdr>
                <w:top w:val="none" w:sz="0" w:space="0" w:color="auto"/>
                <w:left w:val="none" w:sz="0" w:space="0" w:color="auto"/>
                <w:bottom w:val="none" w:sz="0" w:space="0" w:color="auto"/>
                <w:right w:val="none" w:sz="0" w:space="0" w:color="auto"/>
              </w:divBdr>
            </w:div>
          </w:divsChild>
        </w:div>
        <w:div w:id="488710685">
          <w:marLeft w:val="0"/>
          <w:marRight w:val="0"/>
          <w:marTop w:val="0"/>
          <w:marBottom w:val="0"/>
          <w:divBdr>
            <w:top w:val="none" w:sz="0" w:space="0" w:color="auto"/>
            <w:left w:val="none" w:sz="0" w:space="0" w:color="auto"/>
            <w:bottom w:val="none" w:sz="0" w:space="0" w:color="auto"/>
            <w:right w:val="none" w:sz="0" w:space="0" w:color="auto"/>
          </w:divBdr>
        </w:div>
        <w:div w:id="867984955">
          <w:marLeft w:val="0"/>
          <w:marRight w:val="0"/>
          <w:marTop w:val="60"/>
          <w:marBottom w:val="0"/>
          <w:divBdr>
            <w:top w:val="none" w:sz="0" w:space="0" w:color="auto"/>
            <w:left w:val="none" w:sz="0" w:space="0" w:color="auto"/>
            <w:bottom w:val="none" w:sz="0" w:space="0" w:color="auto"/>
            <w:right w:val="none" w:sz="0" w:space="0" w:color="auto"/>
          </w:divBdr>
          <w:divsChild>
            <w:div w:id="1262224542">
              <w:marLeft w:val="0"/>
              <w:marRight w:val="360"/>
              <w:marTop w:val="0"/>
              <w:marBottom w:val="0"/>
              <w:divBdr>
                <w:top w:val="none" w:sz="0" w:space="0" w:color="auto"/>
                <w:left w:val="none" w:sz="0" w:space="0" w:color="auto"/>
                <w:bottom w:val="none" w:sz="0" w:space="0" w:color="auto"/>
                <w:right w:val="none" w:sz="0" w:space="0" w:color="auto"/>
              </w:divBdr>
            </w:div>
          </w:divsChild>
        </w:div>
        <w:div w:id="1901595624">
          <w:marLeft w:val="0"/>
          <w:marRight w:val="0"/>
          <w:marTop w:val="0"/>
          <w:marBottom w:val="0"/>
          <w:divBdr>
            <w:top w:val="none" w:sz="0" w:space="0" w:color="auto"/>
            <w:left w:val="none" w:sz="0" w:space="0" w:color="auto"/>
            <w:bottom w:val="none" w:sz="0" w:space="0" w:color="auto"/>
            <w:right w:val="none" w:sz="0" w:space="0" w:color="auto"/>
          </w:divBdr>
          <w:divsChild>
            <w:div w:id="78216421">
              <w:marLeft w:val="0"/>
              <w:marRight w:val="0"/>
              <w:marTop w:val="0"/>
              <w:marBottom w:val="0"/>
              <w:divBdr>
                <w:top w:val="none" w:sz="0" w:space="0" w:color="auto"/>
                <w:left w:val="none" w:sz="0" w:space="0" w:color="auto"/>
                <w:bottom w:val="none" w:sz="0" w:space="0" w:color="auto"/>
                <w:right w:val="none" w:sz="0" w:space="0" w:color="auto"/>
              </w:divBdr>
            </w:div>
            <w:div w:id="486869502">
              <w:marLeft w:val="0"/>
              <w:marRight w:val="0"/>
              <w:marTop w:val="0"/>
              <w:marBottom w:val="0"/>
              <w:divBdr>
                <w:top w:val="none" w:sz="0" w:space="0" w:color="auto"/>
                <w:left w:val="none" w:sz="0" w:space="0" w:color="auto"/>
                <w:bottom w:val="none" w:sz="0" w:space="0" w:color="auto"/>
                <w:right w:val="none" w:sz="0" w:space="0" w:color="auto"/>
              </w:divBdr>
            </w:div>
          </w:divsChild>
        </w:div>
        <w:div w:id="1530222843">
          <w:marLeft w:val="0"/>
          <w:marRight w:val="0"/>
          <w:marTop w:val="0"/>
          <w:marBottom w:val="0"/>
          <w:divBdr>
            <w:top w:val="none" w:sz="0" w:space="0" w:color="auto"/>
            <w:left w:val="none" w:sz="0" w:space="0" w:color="auto"/>
            <w:bottom w:val="none" w:sz="0" w:space="0" w:color="auto"/>
            <w:right w:val="none" w:sz="0" w:space="0" w:color="auto"/>
          </w:divBdr>
        </w:div>
        <w:div w:id="1056507888">
          <w:marLeft w:val="0"/>
          <w:marRight w:val="0"/>
          <w:marTop w:val="60"/>
          <w:marBottom w:val="0"/>
          <w:divBdr>
            <w:top w:val="none" w:sz="0" w:space="0" w:color="auto"/>
            <w:left w:val="none" w:sz="0" w:space="0" w:color="auto"/>
            <w:bottom w:val="none" w:sz="0" w:space="0" w:color="auto"/>
            <w:right w:val="none" w:sz="0" w:space="0" w:color="auto"/>
          </w:divBdr>
        </w:div>
        <w:div w:id="1600407313">
          <w:marLeft w:val="0"/>
          <w:marRight w:val="0"/>
          <w:marTop w:val="0"/>
          <w:marBottom w:val="0"/>
          <w:divBdr>
            <w:top w:val="none" w:sz="0" w:space="0" w:color="auto"/>
            <w:left w:val="none" w:sz="0" w:space="0" w:color="auto"/>
            <w:bottom w:val="none" w:sz="0" w:space="0" w:color="auto"/>
            <w:right w:val="none" w:sz="0" w:space="0" w:color="auto"/>
          </w:divBdr>
          <w:divsChild>
            <w:div w:id="441196259">
              <w:marLeft w:val="0"/>
              <w:marRight w:val="0"/>
              <w:marTop w:val="0"/>
              <w:marBottom w:val="0"/>
              <w:divBdr>
                <w:top w:val="none" w:sz="0" w:space="0" w:color="auto"/>
                <w:left w:val="none" w:sz="0" w:space="0" w:color="auto"/>
                <w:bottom w:val="none" w:sz="0" w:space="0" w:color="auto"/>
                <w:right w:val="none" w:sz="0" w:space="0" w:color="auto"/>
              </w:divBdr>
            </w:div>
            <w:div w:id="1890914558">
              <w:marLeft w:val="0"/>
              <w:marRight w:val="0"/>
              <w:marTop w:val="0"/>
              <w:marBottom w:val="0"/>
              <w:divBdr>
                <w:top w:val="none" w:sz="0" w:space="0" w:color="auto"/>
                <w:left w:val="none" w:sz="0" w:space="0" w:color="auto"/>
                <w:bottom w:val="none" w:sz="0" w:space="0" w:color="auto"/>
                <w:right w:val="none" w:sz="0" w:space="0" w:color="auto"/>
              </w:divBdr>
            </w:div>
          </w:divsChild>
        </w:div>
        <w:div w:id="1720006925">
          <w:marLeft w:val="0"/>
          <w:marRight w:val="0"/>
          <w:marTop w:val="0"/>
          <w:marBottom w:val="0"/>
          <w:divBdr>
            <w:top w:val="none" w:sz="0" w:space="0" w:color="auto"/>
            <w:left w:val="none" w:sz="0" w:space="0" w:color="auto"/>
            <w:bottom w:val="none" w:sz="0" w:space="0" w:color="auto"/>
            <w:right w:val="none" w:sz="0" w:space="0" w:color="auto"/>
          </w:divBdr>
        </w:div>
        <w:div w:id="1220242916">
          <w:marLeft w:val="0"/>
          <w:marRight w:val="0"/>
          <w:marTop w:val="60"/>
          <w:marBottom w:val="0"/>
          <w:divBdr>
            <w:top w:val="none" w:sz="0" w:space="0" w:color="auto"/>
            <w:left w:val="none" w:sz="0" w:space="0" w:color="auto"/>
            <w:bottom w:val="none" w:sz="0" w:space="0" w:color="auto"/>
            <w:right w:val="none" w:sz="0" w:space="0" w:color="auto"/>
          </w:divBdr>
        </w:div>
        <w:div w:id="887836450">
          <w:marLeft w:val="0"/>
          <w:marRight w:val="0"/>
          <w:marTop w:val="0"/>
          <w:marBottom w:val="0"/>
          <w:divBdr>
            <w:top w:val="none" w:sz="0" w:space="0" w:color="auto"/>
            <w:left w:val="none" w:sz="0" w:space="0" w:color="auto"/>
            <w:bottom w:val="none" w:sz="0" w:space="0" w:color="auto"/>
            <w:right w:val="none" w:sz="0" w:space="0" w:color="auto"/>
          </w:divBdr>
          <w:divsChild>
            <w:div w:id="2112702195">
              <w:marLeft w:val="0"/>
              <w:marRight w:val="0"/>
              <w:marTop w:val="0"/>
              <w:marBottom w:val="0"/>
              <w:divBdr>
                <w:top w:val="none" w:sz="0" w:space="0" w:color="auto"/>
                <w:left w:val="none" w:sz="0" w:space="0" w:color="auto"/>
                <w:bottom w:val="none" w:sz="0" w:space="0" w:color="auto"/>
                <w:right w:val="none" w:sz="0" w:space="0" w:color="auto"/>
              </w:divBdr>
            </w:div>
            <w:div w:id="2145195217">
              <w:marLeft w:val="0"/>
              <w:marRight w:val="0"/>
              <w:marTop w:val="0"/>
              <w:marBottom w:val="0"/>
              <w:divBdr>
                <w:top w:val="none" w:sz="0" w:space="0" w:color="auto"/>
                <w:left w:val="none" w:sz="0" w:space="0" w:color="auto"/>
                <w:bottom w:val="none" w:sz="0" w:space="0" w:color="auto"/>
                <w:right w:val="none" w:sz="0" w:space="0" w:color="auto"/>
              </w:divBdr>
            </w:div>
          </w:divsChild>
        </w:div>
        <w:div w:id="2021616688">
          <w:marLeft w:val="0"/>
          <w:marRight w:val="0"/>
          <w:marTop w:val="0"/>
          <w:marBottom w:val="0"/>
          <w:divBdr>
            <w:top w:val="none" w:sz="0" w:space="0" w:color="auto"/>
            <w:left w:val="none" w:sz="0" w:space="0" w:color="auto"/>
            <w:bottom w:val="none" w:sz="0" w:space="0" w:color="auto"/>
            <w:right w:val="none" w:sz="0" w:space="0" w:color="auto"/>
          </w:divBdr>
        </w:div>
        <w:div w:id="44573507">
          <w:marLeft w:val="0"/>
          <w:marRight w:val="0"/>
          <w:marTop w:val="60"/>
          <w:marBottom w:val="0"/>
          <w:divBdr>
            <w:top w:val="none" w:sz="0" w:space="0" w:color="auto"/>
            <w:left w:val="none" w:sz="0" w:space="0" w:color="auto"/>
            <w:bottom w:val="none" w:sz="0" w:space="0" w:color="auto"/>
            <w:right w:val="none" w:sz="0" w:space="0" w:color="auto"/>
          </w:divBdr>
        </w:div>
        <w:div w:id="414713543">
          <w:marLeft w:val="0"/>
          <w:marRight w:val="0"/>
          <w:marTop w:val="0"/>
          <w:marBottom w:val="0"/>
          <w:divBdr>
            <w:top w:val="none" w:sz="0" w:space="0" w:color="auto"/>
            <w:left w:val="none" w:sz="0" w:space="0" w:color="auto"/>
            <w:bottom w:val="none" w:sz="0" w:space="0" w:color="auto"/>
            <w:right w:val="none" w:sz="0" w:space="0" w:color="auto"/>
          </w:divBdr>
          <w:divsChild>
            <w:div w:id="1570192564">
              <w:marLeft w:val="0"/>
              <w:marRight w:val="0"/>
              <w:marTop w:val="0"/>
              <w:marBottom w:val="0"/>
              <w:divBdr>
                <w:top w:val="none" w:sz="0" w:space="0" w:color="auto"/>
                <w:left w:val="none" w:sz="0" w:space="0" w:color="auto"/>
                <w:bottom w:val="none" w:sz="0" w:space="0" w:color="auto"/>
                <w:right w:val="none" w:sz="0" w:space="0" w:color="auto"/>
              </w:divBdr>
            </w:div>
            <w:div w:id="1899052514">
              <w:marLeft w:val="0"/>
              <w:marRight w:val="0"/>
              <w:marTop w:val="0"/>
              <w:marBottom w:val="0"/>
              <w:divBdr>
                <w:top w:val="none" w:sz="0" w:space="0" w:color="auto"/>
                <w:left w:val="none" w:sz="0" w:space="0" w:color="auto"/>
                <w:bottom w:val="none" w:sz="0" w:space="0" w:color="auto"/>
                <w:right w:val="none" w:sz="0" w:space="0" w:color="auto"/>
              </w:divBdr>
            </w:div>
          </w:divsChild>
        </w:div>
        <w:div w:id="402217008">
          <w:marLeft w:val="0"/>
          <w:marRight w:val="0"/>
          <w:marTop w:val="0"/>
          <w:marBottom w:val="0"/>
          <w:divBdr>
            <w:top w:val="none" w:sz="0" w:space="0" w:color="auto"/>
            <w:left w:val="none" w:sz="0" w:space="0" w:color="auto"/>
            <w:bottom w:val="none" w:sz="0" w:space="0" w:color="auto"/>
            <w:right w:val="none" w:sz="0" w:space="0" w:color="auto"/>
          </w:divBdr>
        </w:div>
        <w:div w:id="1535969401">
          <w:marLeft w:val="0"/>
          <w:marRight w:val="0"/>
          <w:marTop w:val="60"/>
          <w:marBottom w:val="0"/>
          <w:divBdr>
            <w:top w:val="none" w:sz="0" w:space="0" w:color="auto"/>
            <w:left w:val="none" w:sz="0" w:space="0" w:color="auto"/>
            <w:bottom w:val="none" w:sz="0" w:space="0" w:color="auto"/>
            <w:right w:val="none" w:sz="0" w:space="0" w:color="auto"/>
          </w:divBdr>
        </w:div>
        <w:div w:id="2076010506">
          <w:marLeft w:val="0"/>
          <w:marRight w:val="0"/>
          <w:marTop w:val="0"/>
          <w:marBottom w:val="0"/>
          <w:divBdr>
            <w:top w:val="none" w:sz="0" w:space="0" w:color="auto"/>
            <w:left w:val="none" w:sz="0" w:space="0" w:color="auto"/>
            <w:bottom w:val="none" w:sz="0" w:space="0" w:color="auto"/>
            <w:right w:val="none" w:sz="0" w:space="0" w:color="auto"/>
          </w:divBdr>
          <w:divsChild>
            <w:div w:id="352613314">
              <w:marLeft w:val="0"/>
              <w:marRight w:val="0"/>
              <w:marTop w:val="0"/>
              <w:marBottom w:val="0"/>
              <w:divBdr>
                <w:top w:val="none" w:sz="0" w:space="0" w:color="auto"/>
                <w:left w:val="none" w:sz="0" w:space="0" w:color="auto"/>
                <w:bottom w:val="none" w:sz="0" w:space="0" w:color="auto"/>
                <w:right w:val="none" w:sz="0" w:space="0" w:color="auto"/>
              </w:divBdr>
            </w:div>
            <w:div w:id="2100715343">
              <w:marLeft w:val="0"/>
              <w:marRight w:val="0"/>
              <w:marTop w:val="0"/>
              <w:marBottom w:val="0"/>
              <w:divBdr>
                <w:top w:val="none" w:sz="0" w:space="0" w:color="auto"/>
                <w:left w:val="none" w:sz="0" w:space="0" w:color="auto"/>
                <w:bottom w:val="none" w:sz="0" w:space="0" w:color="auto"/>
                <w:right w:val="none" w:sz="0" w:space="0" w:color="auto"/>
              </w:divBdr>
            </w:div>
          </w:divsChild>
        </w:div>
        <w:div w:id="1602949299">
          <w:marLeft w:val="0"/>
          <w:marRight w:val="0"/>
          <w:marTop w:val="0"/>
          <w:marBottom w:val="0"/>
          <w:divBdr>
            <w:top w:val="none" w:sz="0" w:space="0" w:color="auto"/>
            <w:left w:val="none" w:sz="0" w:space="0" w:color="auto"/>
            <w:bottom w:val="none" w:sz="0" w:space="0" w:color="auto"/>
            <w:right w:val="none" w:sz="0" w:space="0" w:color="auto"/>
          </w:divBdr>
        </w:div>
        <w:div w:id="136995745">
          <w:marLeft w:val="0"/>
          <w:marRight w:val="0"/>
          <w:marTop w:val="60"/>
          <w:marBottom w:val="0"/>
          <w:divBdr>
            <w:top w:val="none" w:sz="0" w:space="0" w:color="auto"/>
            <w:left w:val="none" w:sz="0" w:space="0" w:color="auto"/>
            <w:bottom w:val="none" w:sz="0" w:space="0" w:color="auto"/>
            <w:right w:val="none" w:sz="0" w:space="0" w:color="auto"/>
          </w:divBdr>
          <w:divsChild>
            <w:div w:id="1399011719">
              <w:marLeft w:val="0"/>
              <w:marRight w:val="360"/>
              <w:marTop w:val="0"/>
              <w:marBottom w:val="0"/>
              <w:divBdr>
                <w:top w:val="none" w:sz="0" w:space="0" w:color="auto"/>
                <w:left w:val="none" w:sz="0" w:space="0" w:color="auto"/>
                <w:bottom w:val="none" w:sz="0" w:space="0" w:color="auto"/>
                <w:right w:val="none" w:sz="0" w:space="0" w:color="auto"/>
              </w:divBdr>
              <w:divsChild>
                <w:div w:id="101346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73341">
          <w:marLeft w:val="0"/>
          <w:marRight w:val="0"/>
          <w:marTop w:val="0"/>
          <w:marBottom w:val="0"/>
          <w:divBdr>
            <w:top w:val="none" w:sz="0" w:space="0" w:color="auto"/>
            <w:left w:val="none" w:sz="0" w:space="0" w:color="auto"/>
            <w:bottom w:val="none" w:sz="0" w:space="0" w:color="auto"/>
            <w:right w:val="none" w:sz="0" w:space="0" w:color="auto"/>
          </w:divBdr>
          <w:divsChild>
            <w:div w:id="1105348761">
              <w:marLeft w:val="0"/>
              <w:marRight w:val="0"/>
              <w:marTop w:val="0"/>
              <w:marBottom w:val="0"/>
              <w:divBdr>
                <w:top w:val="none" w:sz="0" w:space="0" w:color="auto"/>
                <w:left w:val="none" w:sz="0" w:space="0" w:color="auto"/>
                <w:bottom w:val="none" w:sz="0" w:space="0" w:color="auto"/>
                <w:right w:val="none" w:sz="0" w:space="0" w:color="auto"/>
              </w:divBdr>
            </w:div>
            <w:div w:id="580212541">
              <w:marLeft w:val="0"/>
              <w:marRight w:val="0"/>
              <w:marTop w:val="0"/>
              <w:marBottom w:val="0"/>
              <w:divBdr>
                <w:top w:val="none" w:sz="0" w:space="0" w:color="auto"/>
                <w:left w:val="none" w:sz="0" w:space="0" w:color="auto"/>
                <w:bottom w:val="none" w:sz="0" w:space="0" w:color="auto"/>
                <w:right w:val="none" w:sz="0" w:space="0" w:color="auto"/>
              </w:divBdr>
            </w:div>
          </w:divsChild>
        </w:div>
        <w:div w:id="2094930231">
          <w:marLeft w:val="0"/>
          <w:marRight w:val="0"/>
          <w:marTop w:val="0"/>
          <w:marBottom w:val="0"/>
          <w:divBdr>
            <w:top w:val="none" w:sz="0" w:space="0" w:color="auto"/>
            <w:left w:val="none" w:sz="0" w:space="0" w:color="auto"/>
            <w:bottom w:val="none" w:sz="0" w:space="0" w:color="auto"/>
            <w:right w:val="none" w:sz="0" w:space="0" w:color="auto"/>
          </w:divBdr>
        </w:div>
        <w:div w:id="1654606378">
          <w:marLeft w:val="0"/>
          <w:marRight w:val="0"/>
          <w:marTop w:val="60"/>
          <w:marBottom w:val="0"/>
          <w:divBdr>
            <w:top w:val="none" w:sz="0" w:space="0" w:color="auto"/>
            <w:left w:val="none" w:sz="0" w:space="0" w:color="auto"/>
            <w:bottom w:val="none" w:sz="0" w:space="0" w:color="auto"/>
            <w:right w:val="none" w:sz="0" w:space="0" w:color="auto"/>
          </w:divBdr>
        </w:div>
        <w:div w:id="2029792978">
          <w:marLeft w:val="0"/>
          <w:marRight w:val="0"/>
          <w:marTop w:val="0"/>
          <w:marBottom w:val="0"/>
          <w:divBdr>
            <w:top w:val="none" w:sz="0" w:space="0" w:color="auto"/>
            <w:left w:val="none" w:sz="0" w:space="0" w:color="auto"/>
            <w:bottom w:val="none" w:sz="0" w:space="0" w:color="auto"/>
            <w:right w:val="none" w:sz="0" w:space="0" w:color="auto"/>
          </w:divBdr>
          <w:divsChild>
            <w:div w:id="1409377404">
              <w:marLeft w:val="0"/>
              <w:marRight w:val="0"/>
              <w:marTop w:val="0"/>
              <w:marBottom w:val="0"/>
              <w:divBdr>
                <w:top w:val="none" w:sz="0" w:space="0" w:color="auto"/>
                <w:left w:val="none" w:sz="0" w:space="0" w:color="auto"/>
                <w:bottom w:val="none" w:sz="0" w:space="0" w:color="auto"/>
                <w:right w:val="none" w:sz="0" w:space="0" w:color="auto"/>
              </w:divBdr>
            </w:div>
            <w:div w:id="284315470">
              <w:marLeft w:val="0"/>
              <w:marRight w:val="0"/>
              <w:marTop w:val="0"/>
              <w:marBottom w:val="0"/>
              <w:divBdr>
                <w:top w:val="none" w:sz="0" w:space="0" w:color="auto"/>
                <w:left w:val="none" w:sz="0" w:space="0" w:color="auto"/>
                <w:bottom w:val="none" w:sz="0" w:space="0" w:color="auto"/>
                <w:right w:val="none" w:sz="0" w:space="0" w:color="auto"/>
              </w:divBdr>
            </w:div>
          </w:divsChild>
        </w:div>
        <w:div w:id="834540262">
          <w:marLeft w:val="0"/>
          <w:marRight w:val="0"/>
          <w:marTop w:val="0"/>
          <w:marBottom w:val="0"/>
          <w:divBdr>
            <w:top w:val="none" w:sz="0" w:space="0" w:color="auto"/>
            <w:left w:val="none" w:sz="0" w:space="0" w:color="auto"/>
            <w:bottom w:val="none" w:sz="0" w:space="0" w:color="auto"/>
            <w:right w:val="none" w:sz="0" w:space="0" w:color="auto"/>
          </w:divBdr>
        </w:div>
        <w:div w:id="550000969">
          <w:marLeft w:val="0"/>
          <w:marRight w:val="0"/>
          <w:marTop w:val="60"/>
          <w:marBottom w:val="0"/>
          <w:divBdr>
            <w:top w:val="none" w:sz="0" w:space="0" w:color="auto"/>
            <w:left w:val="none" w:sz="0" w:space="0" w:color="auto"/>
            <w:bottom w:val="none" w:sz="0" w:space="0" w:color="auto"/>
            <w:right w:val="none" w:sz="0" w:space="0" w:color="auto"/>
          </w:divBdr>
        </w:div>
        <w:div w:id="471748810">
          <w:marLeft w:val="0"/>
          <w:marRight w:val="0"/>
          <w:marTop w:val="0"/>
          <w:marBottom w:val="0"/>
          <w:divBdr>
            <w:top w:val="none" w:sz="0" w:space="0" w:color="auto"/>
            <w:left w:val="none" w:sz="0" w:space="0" w:color="auto"/>
            <w:bottom w:val="none" w:sz="0" w:space="0" w:color="auto"/>
            <w:right w:val="none" w:sz="0" w:space="0" w:color="auto"/>
          </w:divBdr>
          <w:divsChild>
            <w:div w:id="1995379460">
              <w:marLeft w:val="0"/>
              <w:marRight w:val="0"/>
              <w:marTop w:val="0"/>
              <w:marBottom w:val="0"/>
              <w:divBdr>
                <w:top w:val="none" w:sz="0" w:space="0" w:color="auto"/>
                <w:left w:val="none" w:sz="0" w:space="0" w:color="auto"/>
                <w:bottom w:val="none" w:sz="0" w:space="0" w:color="auto"/>
                <w:right w:val="none" w:sz="0" w:space="0" w:color="auto"/>
              </w:divBdr>
            </w:div>
            <w:div w:id="139074686">
              <w:marLeft w:val="0"/>
              <w:marRight w:val="0"/>
              <w:marTop w:val="0"/>
              <w:marBottom w:val="0"/>
              <w:divBdr>
                <w:top w:val="none" w:sz="0" w:space="0" w:color="auto"/>
                <w:left w:val="none" w:sz="0" w:space="0" w:color="auto"/>
                <w:bottom w:val="none" w:sz="0" w:space="0" w:color="auto"/>
                <w:right w:val="none" w:sz="0" w:space="0" w:color="auto"/>
              </w:divBdr>
            </w:div>
          </w:divsChild>
        </w:div>
        <w:div w:id="85002352">
          <w:marLeft w:val="0"/>
          <w:marRight w:val="0"/>
          <w:marTop w:val="0"/>
          <w:marBottom w:val="0"/>
          <w:divBdr>
            <w:top w:val="none" w:sz="0" w:space="0" w:color="auto"/>
            <w:left w:val="none" w:sz="0" w:space="0" w:color="auto"/>
            <w:bottom w:val="none" w:sz="0" w:space="0" w:color="auto"/>
            <w:right w:val="none" w:sz="0" w:space="0" w:color="auto"/>
          </w:divBdr>
        </w:div>
        <w:div w:id="1062295500">
          <w:marLeft w:val="0"/>
          <w:marRight w:val="0"/>
          <w:marTop w:val="60"/>
          <w:marBottom w:val="0"/>
          <w:divBdr>
            <w:top w:val="none" w:sz="0" w:space="0" w:color="auto"/>
            <w:left w:val="none" w:sz="0" w:space="0" w:color="auto"/>
            <w:bottom w:val="none" w:sz="0" w:space="0" w:color="auto"/>
            <w:right w:val="none" w:sz="0" w:space="0" w:color="auto"/>
          </w:divBdr>
        </w:div>
        <w:div w:id="313530120">
          <w:marLeft w:val="0"/>
          <w:marRight w:val="0"/>
          <w:marTop w:val="0"/>
          <w:marBottom w:val="0"/>
          <w:divBdr>
            <w:top w:val="none" w:sz="0" w:space="0" w:color="auto"/>
            <w:left w:val="none" w:sz="0" w:space="0" w:color="auto"/>
            <w:bottom w:val="none" w:sz="0" w:space="0" w:color="auto"/>
            <w:right w:val="none" w:sz="0" w:space="0" w:color="auto"/>
          </w:divBdr>
          <w:divsChild>
            <w:div w:id="1264722602">
              <w:marLeft w:val="0"/>
              <w:marRight w:val="0"/>
              <w:marTop w:val="0"/>
              <w:marBottom w:val="0"/>
              <w:divBdr>
                <w:top w:val="none" w:sz="0" w:space="0" w:color="auto"/>
                <w:left w:val="none" w:sz="0" w:space="0" w:color="auto"/>
                <w:bottom w:val="none" w:sz="0" w:space="0" w:color="auto"/>
                <w:right w:val="none" w:sz="0" w:space="0" w:color="auto"/>
              </w:divBdr>
            </w:div>
            <w:div w:id="1563908826">
              <w:marLeft w:val="0"/>
              <w:marRight w:val="0"/>
              <w:marTop w:val="0"/>
              <w:marBottom w:val="0"/>
              <w:divBdr>
                <w:top w:val="none" w:sz="0" w:space="0" w:color="auto"/>
                <w:left w:val="none" w:sz="0" w:space="0" w:color="auto"/>
                <w:bottom w:val="none" w:sz="0" w:space="0" w:color="auto"/>
                <w:right w:val="none" w:sz="0" w:space="0" w:color="auto"/>
              </w:divBdr>
            </w:div>
          </w:divsChild>
        </w:div>
        <w:div w:id="712080874">
          <w:marLeft w:val="0"/>
          <w:marRight w:val="0"/>
          <w:marTop w:val="0"/>
          <w:marBottom w:val="0"/>
          <w:divBdr>
            <w:top w:val="none" w:sz="0" w:space="0" w:color="auto"/>
            <w:left w:val="none" w:sz="0" w:space="0" w:color="auto"/>
            <w:bottom w:val="none" w:sz="0" w:space="0" w:color="auto"/>
            <w:right w:val="none" w:sz="0" w:space="0" w:color="auto"/>
          </w:divBdr>
        </w:div>
        <w:div w:id="831726030">
          <w:marLeft w:val="0"/>
          <w:marRight w:val="0"/>
          <w:marTop w:val="60"/>
          <w:marBottom w:val="0"/>
          <w:divBdr>
            <w:top w:val="none" w:sz="0" w:space="0" w:color="auto"/>
            <w:left w:val="none" w:sz="0" w:space="0" w:color="auto"/>
            <w:bottom w:val="none" w:sz="0" w:space="0" w:color="auto"/>
            <w:right w:val="none" w:sz="0" w:space="0" w:color="auto"/>
          </w:divBdr>
        </w:div>
        <w:div w:id="1135106015">
          <w:marLeft w:val="0"/>
          <w:marRight w:val="0"/>
          <w:marTop w:val="0"/>
          <w:marBottom w:val="0"/>
          <w:divBdr>
            <w:top w:val="none" w:sz="0" w:space="0" w:color="auto"/>
            <w:left w:val="none" w:sz="0" w:space="0" w:color="auto"/>
            <w:bottom w:val="none" w:sz="0" w:space="0" w:color="auto"/>
            <w:right w:val="none" w:sz="0" w:space="0" w:color="auto"/>
          </w:divBdr>
          <w:divsChild>
            <w:div w:id="1725526321">
              <w:marLeft w:val="0"/>
              <w:marRight w:val="0"/>
              <w:marTop w:val="0"/>
              <w:marBottom w:val="0"/>
              <w:divBdr>
                <w:top w:val="none" w:sz="0" w:space="0" w:color="auto"/>
                <w:left w:val="none" w:sz="0" w:space="0" w:color="auto"/>
                <w:bottom w:val="none" w:sz="0" w:space="0" w:color="auto"/>
                <w:right w:val="none" w:sz="0" w:space="0" w:color="auto"/>
              </w:divBdr>
            </w:div>
            <w:div w:id="413405614">
              <w:marLeft w:val="0"/>
              <w:marRight w:val="0"/>
              <w:marTop w:val="0"/>
              <w:marBottom w:val="0"/>
              <w:divBdr>
                <w:top w:val="none" w:sz="0" w:space="0" w:color="auto"/>
                <w:left w:val="none" w:sz="0" w:space="0" w:color="auto"/>
                <w:bottom w:val="none" w:sz="0" w:space="0" w:color="auto"/>
                <w:right w:val="none" w:sz="0" w:space="0" w:color="auto"/>
              </w:divBdr>
            </w:div>
          </w:divsChild>
        </w:div>
        <w:div w:id="472647632">
          <w:marLeft w:val="0"/>
          <w:marRight w:val="0"/>
          <w:marTop w:val="0"/>
          <w:marBottom w:val="0"/>
          <w:divBdr>
            <w:top w:val="none" w:sz="0" w:space="0" w:color="auto"/>
            <w:left w:val="none" w:sz="0" w:space="0" w:color="auto"/>
            <w:bottom w:val="none" w:sz="0" w:space="0" w:color="auto"/>
            <w:right w:val="none" w:sz="0" w:space="0" w:color="auto"/>
          </w:divBdr>
        </w:div>
        <w:div w:id="789668009">
          <w:marLeft w:val="0"/>
          <w:marRight w:val="0"/>
          <w:marTop w:val="60"/>
          <w:marBottom w:val="0"/>
          <w:divBdr>
            <w:top w:val="none" w:sz="0" w:space="0" w:color="auto"/>
            <w:left w:val="none" w:sz="0" w:space="0" w:color="auto"/>
            <w:bottom w:val="none" w:sz="0" w:space="0" w:color="auto"/>
            <w:right w:val="none" w:sz="0" w:space="0" w:color="auto"/>
          </w:divBdr>
        </w:div>
        <w:div w:id="1953170792">
          <w:marLeft w:val="0"/>
          <w:marRight w:val="0"/>
          <w:marTop w:val="0"/>
          <w:marBottom w:val="0"/>
          <w:divBdr>
            <w:top w:val="none" w:sz="0" w:space="0" w:color="auto"/>
            <w:left w:val="none" w:sz="0" w:space="0" w:color="auto"/>
            <w:bottom w:val="none" w:sz="0" w:space="0" w:color="auto"/>
            <w:right w:val="none" w:sz="0" w:space="0" w:color="auto"/>
          </w:divBdr>
          <w:divsChild>
            <w:div w:id="1773745508">
              <w:marLeft w:val="0"/>
              <w:marRight w:val="0"/>
              <w:marTop w:val="0"/>
              <w:marBottom w:val="0"/>
              <w:divBdr>
                <w:top w:val="none" w:sz="0" w:space="0" w:color="auto"/>
                <w:left w:val="none" w:sz="0" w:space="0" w:color="auto"/>
                <w:bottom w:val="none" w:sz="0" w:space="0" w:color="auto"/>
                <w:right w:val="none" w:sz="0" w:space="0" w:color="auto"/>
              </w:divBdr>
            </w:div>
            <w:div w:id="1583834372">
              <w:marLeft w:val="0"/>
              <w:marRight w:val="0"/>
              <w:marTop w:val="0"/>
              <w:marBottom w:val="0"/>
              <w:divBdr>
                <w:top w:val="none" w:sz="0" w:space="0" w:color="auto"/>
                <w:left w:val="none" w:sz="0" w:space="0" w:color="auto"/>
                <w:bottom w:val="none" w:sz="0" w:space="0" w:color="auto"/>
                <w:right w:val="none" w:sz="0" w:space="0" w:color="auto"/>
              </w:divBdr>
            </w:div>
          </w:divsChild>
        </w:div>
        <w:div w:id="1773740244">
          <w:marLeft w:val="0"/>
          <w:marRight w:val="0"/>
          <w:marTop w:val="0"/>
          <w:marBottom w:val="0"/>
          <w:divBdr>
            <w:top w:val="none" w:sz="0" w:space="0" w:color="auto"/>
            <w:left w:val="none" w:sz="0" w:space="0" w:color="auto"/>
            <w:bottom w:val="none" w:sz="0" w:space="0" w:color="auto"/>
            <w:right w:val="none" w:sz="0" w:space="0" w:color="auto"/>
          </w:divBdr>
        </w:div>
        <w:div w:id="619992924">
          <w:marLeft w:val="0"/>
          <w:marRight w:val="0"/>
          <w:marTop w:val="60"/>
          <w:marBottom w:val="0"/>
          <w:divBdr>
            <w:top w:val="none" w:sz="0" w:space="0" w:color="auto"/>
            <w:left w:val="none" w:sz="0" w:space="0" w:color="auto"/>
            <w:bottom w:val="none" w:sz="0" w:space="0" w:color="auto"/>
            <w:right w:val="none" w:sz="0" w:space="0" w:color="auto"/>
          </w:divBdr>
          <w:divsChild>
            <w:div w:id="1939828227">
              <w:marLeft w:val="0"/>
              <w:marRight w:val="360"/>
              <w:marTop w:val="0"/>
              <w:marBottom w:val="0"/>
              <w:divBdr>
                <w:top w:val="none" w:sz="0" w:space="0" w:color="auto"/>
                <w:left w:val="none" w:sz="0" w:space="0" w:color="auto"/>
                <w:bottom w:val="none" w:sz="0" w:space="0" w:color="auto"/>
                <w:right w:val="none" w:sz="0" w:space="0" w:color="auto"/>
              </w:divBdr>
            </w:div>
          </w:divsChild>
        </w:div>
        <w:div w:id="936866940">
          <w:marLeft w:val="0"/>
          <w:marRight w:val="0"/>
          <w:marTop w:val="0"/>
          <w:marBottom w:val="0"/>
          <w:divBdr>
            <w:top w:val="none" w:sz="0" w:space="0" w:color="auto"/>
            <w:left w:val="none" w:sz="0" w:space="0" w:color="auto"/>
            <w:bottom w:val="none" w:sz="0" w:space="0" w:color="auto"/>
            <w:right w:val="none" w:sz="0" w:space="0" w:color="auto"/>
          </w:divBdr>
          <w:divsChild>
            <w:div w:id="1937592603">
              <w:marLeft w:val="0"/>
              <w:marRight w:val="0"/>
              <w:marTop w:val="0"/>
              <w:marBottom w:val="0"/>
              <w:divBdr>
                <w:top w:val="none" w:sz="0" w:space="0" w:color="auto"/>
                <w:left w:val="none" w:sz="0" w:space="0" w:color="auto"/>
                <w:bottom w:val="none" w:sz="0" w:space="0" w:color="auto"/>
                <w:right w:val="none" w:sz="0" w:space="0" w:color="auto"/>
              </w:divBdr>
            </w:div>
            <w:div w:id="505631638">
              <w:marLeft w:val="0"/>
              <w:marRight w:val="0"/>
              <w:marTop w:val="0"/>
              <w:marBottom w:val="0"/>
              <w:divBdr>
                <w:top w:val="none" w:sz="0" w:space="0" w:color="auto"/>
                <w:left w:val="none" w:sz="0" w:space="0" w:color="auto"/>
                <w:bottom w:val="none" w:sz="0" w:space="0" w:color="auto"/>
                <w:right w:val="none" w:sz="0" w:space="0" w:color="auto"/>
              </w:divBdr>
            </w:div>
          </w:divsChild>
        </w:div>
        <w:div w:id="1402405220">
          <w:marLeft w:val="0"/>
          <w:marRight w:val="0"/>
          <w:marTop w:val="0"/>
          <w:marBottom w:val="0"/>
          <w:divBdr>
            <w:top w:val="none" w:sz="0" w:space="0" w:color="auto"/>
            <w:left w:val="none" w:sz="0" w:space="0" w:color="auto"/>
            <w:bottom w:val="none" w:sz="0" w:space="0" w:color="auto"/>
            <w:right w:val="none" w:sz="0" w:space="0" w:color="auto"/>
          </w:divBdr>
        </w:div>
        <w:div w:id="1547718512">
          <w:marLeft w:val="0"/>
          <w:marRight w:val="0"/>
          <w:marTop w:val="0"/>
          <w:marBottom w:val="0"/>
          <w:divBdr>
            <w:top w:val="none" w:sz="0" w:space="0" w:color="auto"/>
            <w:left w:val="none" w:sz="0" w:space="0" w:color="auto"/>
            <w:bottom w:val="none" w:sz="0" w:space="0" w:color="auto"/>
            <w:right w:val="none" w:sz="0" w:space="0" w:color="auto"/>
          </w:divBdr>
        </w:div>
        <w:div w:id="220754182">
          <w:marLeft w:val="0"/>
          <w:marRight w:val="0"/>
          <w:marTop w:val="60"/>
          <w:marBottom w:val="0"/>
          <w:divBdr>
            <w:top w:val="none" w:sz="0" w:space="0" w:color="auto"/>
            <w:left w:val="none" w:sz="0" w:space="0" w:color="auto"/>
            <w:bottom w:val="none" w:sz="0" w:space="0" w:color="auto"/>
            <w:right w:val="none" w:sz="0" w:space="0" w:color="auto"/>
          </w:divBdr>
        </w:div>
        <w:div w:id="765999500">
          <w:marLeft w:val="0"/>
          <w:marRight w:val="0"/>
          <w:marTop w:val="0"/>
          <w:marBottom w:val="0"/>
          <w:divBdr>
            <w:top w:val="none" w:sz="0" w:space="0" w:color="auto"/>
            <w:left w:val="none" w:sz="0" w:space="0" w:color="auto"/>
            <w:bottom w:val="none" w:sz="0" w:space="0" w:color="auto"/>
            <w:right w:val="none" w:sz="0" w:space="0" w:color="auto"/>
          </w:divBdr>
          <w:divsChild>
            <w:div w:id="631136247">
              <w:marLeft w:val="0"/>
              <w:marRight w:val="0"/>
              <w:marTop w:val="0"/>
              <w:marBottom w:val="0"/>
              <w:divBdr>
                <w:top w:val="none" w:sz="0" w:space="0" w:color="auto"/>
                <w:left w:val="none" w:sz="0" w:space="0" w:color="auto"/>
                <w:bottom w:val="none" w:sz="0" w:space="0" w:color="auto"/>
                <w:right w:val="none" w:sz="0" w:space="0" w:color="auto"/>
              </w:divBdr>
            </w:div>
            <w:div w:id="950477017">
              <w:marLeft w:val="0"/>
              <w:marRight w:val="0"/>
              <w:marTop w:val="0"/>
              <w:marBottom w:val="0"/>
              <w:divBdr>
                <w:top w:val="none" w:sz="0" w:space="0" w:color="auto"/>
                <w:left w:val="none" w:sz="0" w:space="0" w:color="auto"/>
                <w:bottom w:val="none" w:sz="0" w:space="0" w:color="auto"/>
                <w:right w:val="none" w:sz="0" w:space="0" w:color="auto"/>
              </w:divBdr>
            </w:div>
          </w:divsChild>
        </w:div>
        <w:div w:id="1341271521">
          <w:marLeft w:val="0"/>
          <w:marRight w:val="0"/>
          <w:marTop w:val="0"/>
          <w:marBottom w:val="0"/>
          <w:divBdr>
            <w:top w:val="none" w:sz="0" w:space="0" w:color="auto"/>
            <w:left w:val="none" w:sz="0" w:space="0" w:color="auto"/>
            <w:bottom w:val="none" w:sz="0" w:space="0" w:color="auto"/>
            <w:right w:val="none" w:sz="0" w:space="0" w:color="auto"/>
          </w:divBdr>
        </w:div>
        <w:div w:id="363987311">
          <w:marLeft w:val="0"/>
          <w:marRight w:val="0"/>
          <w:marTop w:val="60"/>
          <w:marBottom w:val="0"/>
          <w:divBdr>
            <w:top w:val="none" w:sz="0" w:space="0" w:color="auto"/>
            <w:left w:val="none" w:sz="0" w:space="0" w:color="auto"/>
            <w:bottom w:val="none" w:sz="0" w:space="0" w:color="auto"/>
            <w:right w:val="none" w:sz="0" w:space="0" w:color="auto"/>
          </w:divBdr>
        </w:div>
        <w:div w:id="1791121521">
          <w:marLeft w:val="0"/>
          <w:marRight w:val="0"/>
          <w:marTop w:val="0"/>
          <w:marBottom w:val="0"/>
          <w:divBdr>
            <w:top w:val="none" w:sz="0" w:space="0" w:color="auto"/>
            <w:left w:val="none" w:sz="0" w:space="0" w:color="auto"/>
            <w:bottom w:val="none" w:sz="0" w:space="0" w:color="auto"/>
            <w:right w:val="none" w:sz="0" w:space="0" w:color="auto"/>
          </w:divBdr>
          <w:divsChild>
            <w:div w:id="27607158">
              <w:marLeft w:val="0"/>
              <w:marRight w:val="0"/>
              <w:marTop w:val="0"/>
              <w:marBottom w:val="0"/>
              <w:divBdr>
                <w:top w:val="none" w:sz="0" w:space="0" w:color="auto"/>
                <w:left w:val="none" w:sz="0" w:space="0" w:color="auto"/>
                <w:bottom w:val="none" w:sz="0" w:space="0" w:color="auto"/>
                <w:right w:val="none" w:sz="0" w:space="0" w:color="auto"/>
              </w:divBdr>
            </w:div>
            <w:div w:id="2064911363">
              <w:marLeft w:val="0"/>
              <w:marRight w:val="0"/>
              <w:marTop w:val="0"/>
              <w:marBottom w:val="0"/>
              <w:divBdr>
                <w:top w:val="none" w:sz="0" w:space="0" w:color="auto"/>
                <w:left w:val="none" w:sz="0" w:space="0" w:color="auto"/>
                <w:bottom w:val="none" w:sz="0" w:space="0" w:color="auto"/>
                <w:right w:val="none" w:sz="0" w:space="0" w:color="auto"/>
              </w:divBdr>
            </w:div>
          </w:divsChild>
        </w:div>
        <w:div w:id="77017565">
          <w:marLeft w:val="0"/>
          <w:marRight w:val="0"/>
          <w:marTop w:val="0"/>
          <w:marBottom w:val="0"/>
          <w:divBdr>
            <w:top w:val="none" w:sz="0" w:space="0" w:color="auto"/>
            <w:left w:val="none" w:sz="0" w:space="0" w:color="auto"/>
            <w:bottom w:val="none" w:sz="0" w:space="0" w:color="auto"/>
            <w:right w:val="none" w:sz="0" w:space="0" w:color="auto"/>
          </w:divBdr>
        </w:div>
        <w:div w:id="1719275968">
          <w:marLeft w:val="0"/>
          <w:marRight w:val="0"/>
          <w:marTop w:val="60"/>
          <w:marBottom w:val="0"/>
          <w:divBdr>
            <w:top w:val="none" w:sz="0" w:space="0" w:color="auto"/>
            <w:left w:val="none" w:sz="0" w:space="0" w:color="auto"/>
            <w:bottom w:val="none" w:sz="0" w:space="0" w:color="auto"/>
            <w:right w:val="none" w:sz="0" w:space="0" w:color="auto"/>
          </w:divBdr>
          <w:divsChild>
            <w:div w:id="1612320398">
              <w:marLeft w:val="0"/>
              <w:marRight w:val="360"/>
              <w:marTop w:val="0"/>
              <w:marBottom w:val="0"/>
              <w:divBdr>
                <w:top w:val="none" w:sz="0" w:space="0" w:color="auto"/>
                <w:left w:val="none" w:sz="0" w:space="0" w:color="auto"/>
                <w:bottom w:val="none" w:sz="0" w:space="0" w:color="auto"/>
                <w:right w:val="none" w:sz="0" w:space="0" w:color="auto"/>
              </w:divBdr>
              <w:divsChild>
                <w:div w:id="213517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20412">
          <w:marLeft w:val="0"/>
          <w:marRight w:val="0"/>
          <w:marTop w:val="0"/>
          <w:marBottom w:val="0"/>
          <w:divBdr>
            <w:top w:val="none" w:sz="0" w:space="0" w:color="auto"/>
            <w:left w:val="none" w:sz="0" w:space="0" w:color="auto"/>
            <w:bottom w:val="none" w:sz="0" w:space="0" w:color="auto"/>
            <w:right w:val="none" w:sz="0" w:space="0" w:color="auto"/>
          </w:divBdr>
          <w:divsChild>
            <w:div w:id="269053691">
              <w:marLeft w:val="0"/>
              <w:marRight w:val="0"/>
              <w:marTop w:val="0"/>
              <w:marBottom w:val="0"/>
              <w:divBdr>
                <w:top w:val="none" w:sz="0" w:space="0" w:color="auto"/>
                <w:left w:val="none" w:sz="0" w:space="0" w:color="auto"/>
                <w:bottom w:val="none" w:sz="0" w:space="0" w:color="auto"/>
                <w:right w:val="none" w:sz="0" w:space="0" w:color="auto"/>
              </w:divBdr>
            </w:div>
            <w:div w:id="726883089">
              <w:marLeft w:val="0"/>
              <w:marRight w:val="0"/>
              <w:marTop w:val="0"/>
              <w:marBottom w:val="0"/>
              <w:divBdr>
                <w:top w:val="none" w:sz="0" w:space="0" w:color="auto"/>
                <w:left w:val="none" w:sz="0" w:space="0" w:color="auto"/>
                <w:bottom w:val="none" w:sz="0" w:space="0" w:color="auto"/>
                <w:right w:val="none" w:sz="0" w:space="0" w:color="auto"/>
              </w:divBdr>
            </w:div>
          </w:divsChild>
        </w:div>
        <w:div w:id="611865092">
          <w:marLeft w:val="0"/>
          <w:marRight w:val="0"/>
          <w:marTop w:val="0"/>
          <w:marBottom w:val="0"/>
          <w:divBdr>
            <w:top w:val="none" w:sz="0" w:space="0" w:color="auto"/>
            <w:left w:val="none" w:sz="0" w:space="0" w:color="auto"/>
            <w:bottom w:val="none" w:sz="0" w:space="0" w:color="auto"/>
            <w:right w:val="none" w:sz="0" w:space="0" w:color="auto"/>
          </w:divBdr>
        </w:div>
        <w:div w:id="1977248642">
          <w:marLeft w:val="0"/>
          <w:marRight w:val="0"/>
          <w:marTop w:val="60"/>
          <w:marBottom w:val="0"/>
          <w:divBdr>
            <w:top w:val="none" w:sz="0" w:space="0" w:color="auto"/>
            <w:left w:val="none" w:sz="0" w:space="0" w:color="auto"/>
            <w:bottom w:val="none" w:sz="0" w:space="0" w:color="auto"/>
            <w:right w:val="none" w:sz="0" w:space="0" w:color="auto"/>
          </w:divBdr>
        </w:div>
        <w:div w:id="760101424">
          <w:marLeft w:val="0"/>
          <w:marRight w:val="0"/>
          <w:marTop w:val="0"/>
          <w:marBottom w:val="0"/>
          <w:divBdr>
            <w:top w:val="none" w:sz="0" w:space="0" w:color="auto"/>
            <w:left w:val="none" w:sz="0" w:space="0" w:color="auto"/>
            <w:bottom w:val="none" w:sz="0" w:space="0" w:color="auto"/>
            <w:right w:val="none" w:sz="0" w:space="0" w:color="auto"/>
          </w:divBdr>
          <w:divsChild>
            <w:div w:id="1926377359">
              <w:marLeft w:val="0"/>
              <w:marRight w:val="0"/>
              <w:marTop w:val="0"/>
              <w:marBottom w:val="0"/>
              <w:divBdr>
                <w:top w:val="none" w:sz="0" w:space="0" w:color="auto"/>
                <w:left w:val="none" w:sz="0" w:space="0" w:color="auto"/>
                <w:bottom w:val="none" w:sz="0" w:space="0" w:color="auto"/>
                <w:right w:val="none" w:sz="0" w:space="0" w:color="auto"/>
              </w:divBdr>
            </w:div>
            <w:div w:id="151138185">
              <w:marLeft w:val="0"/>
              <w:marRight w:val="0"/>
              <w:marTop w:val="0"/>
              <w:marBottom w:val="0"/>
              <w:divBdr>
                <w:top w:val="none" w:sz="0" w:space="0" w:color="auto"/>
                <w:left w:val="none" w:sz="0" w:space="0" w:color="auto"/>
                <w:bottom w:val="none" w:sz="0" w:space="0" w:color="auto"/>
                <w:right w:val="none" w:sz="0" w:space="0" w:color="auto"/>
              </w:divBdr>
            </w:div>
          </w:divsChild>
        </w:div>
        <w:div w:id="1296763425">
          <w:marLeft w:val="0"/>
          <w:marRight w:val="0"/>
          <w:marTop w:val="0"/>
          <w:marBottom w:val="0"/>
          <w:divBdr>
            <w:top w:val="none" w:sz="0" w:space="0" w:color="auto"/>
            <w:left w:val="none" w:sz="0" w:space="0" w:color="auto"/>
            <w:bottom w:val="none" w:sz="0" w:space="0" w:color="auto"/>
            <w:right w:val="none" w:sz="0" w:space="0" w:color="auto"/>
          </w:divBdr>
        </w:div>
        <w:div w:id="716664082">
          <w:marLeft w:val="0"/>
          <w:marRight w:val="0"/>
          <w:marTop w:val="60"/>
          <w:marBottom w:val="0"/>
          <w:divBdr>
            <w:top w:val="none" w:sz="0" w:space="0" w:color="auto"/>
            <w:left w:val="none" w:sz="0" w:space="0" w:color="auto"/>
            <w:bottom w:val="none" w:sz="0" w:space="0" w:color="auto"/>
            <w:right w:val="none" w:sz="0" w:space="0" w:color="auto"/>
          </w:divBdr>
        </w:div>
        <w:div w:id="853105626">
          <w:marLeft w:val="0"/>
          <w:marRight w:val="0"/>
          <w:marTop w:val="0"/>
          <w:marBottom w:val="0"/>
          <w:divBdr>
            <w:top w:val="none" w:sz="0" w:space="0" w:color="auto"/>
            <w:left w:val="none" w:sz="0" w:space="0" w:color="auto"/>
            <w:bottom w:val="none" w:sz="0" w:space="0" w:color="auto"/>
            <w:right w:val="none" w:sz="0" w:space="0" w:color="auto"/>
          </w:divBdr>
          <w:divsChild>
            <w:div w:id="2004771549">
              <w:marLeft w:val="0"/>
              <w:marRight w:val="0"/>
              <w:marTop w:val="0"/>
              <w:marBottom w:val="0"/>
              <w:divBdr>
                <w:top w:val="none" w:sz="0" w:space="0" w:color="auto"/>
                <w:left w:val="none" w:sz="0" w:space="0" w:color="auto"/>
                <w:bottom w:val="none" w:sz="0" w:space="0" w:color="auto"/>
                <w:right w:val="none" w:sz="0" w:space="0" w:color="auto"/>
              </w:divBdr>
            </w:div>
            <w:div w:id="1266229368">
              <w:marLeft w:val="0"/>
              <w:marRight w:val="0"/>
              <w:marTop w:val="0"/>
              <w:marBottom w:val="0"/>
              <w:divBdr>
                <w:top w:val="none" w:sz="0" w:space="0" w:color="auto"/>
                <w:left w:val="none" w:sz="0" w:space="0" w:color="auto"/>
                <w:bottom w:val="none" w:sz="0" w:space="0" w:color="auto"/>
                <w:right w:val="none" w:sz="0" w:space="0" w:color="auto"/>
              </w:divBdr>
            </w:div>
          </w:divsChild>
        </w:div>
        <w:div w:id="1251162561">
          <w:marLeft w:val="0"/>
          <w:marRight w:val="0"/>
          <w:marTop w:val="0"/>
          <w:marBottom w:val="0"/>
          <w:divBdr>
            <w:top w:val="none" w:sz="0" w:space="0" w:color="auto"/>
            <w:left w:val="none" w:sz="0" w:space="0" w:color="auto"/>
            <w:bottom w:val="none" w:sz="0" w:space="0" w:color="auto"/>
            <w:right w:val="none" w:sz="0" w:space="0" w:color="auto"/>
          </w:divBdr>
        </w:div>
        <w:div w:id="773862944">
          <w:marLeft w:val="0"/>
          <w:marRight w:val="0"/>
          <w:marTop w:val="60"/>
          <w:marBottom w:val="0"/>
          <w:divBdr>
            <w:top w:val="none" w:sz="0" w:space="0" w:color="auto"/>
            <w:left w:val="none" w:sz="0" w:space="0" w:color="auto"/>
            <w:bottom w:val="none" w:sz="0" w:space="0" w:color="auto"/>
            <w:right w:val="none" w:sz="0" w:space="0" w:color="auto"/>
          </w:divBdr>
        </w:div>
        <w:div w:id="1887329002">
          <w:marLeft w:val="0"/>
          <w:marRight w:val="0"/>
          <w:marTop w:val="0"/>
          <w:marBottom w:val="0"/>
          <w:divBdr>
            <w:top w:val="none" w:sz="0" w:space="0" w:color="auto"/>
            <w:left w:val="none" w:sz="0" w:space="0" w:color="auto"/>
            <w:bottom w:val="none" w:sz="0" w:space="0" w:color="auto"/>
            <w:right w:val="none" w:sz="0" w:space="0" w:color="auto"/>
          </w:divBdr>
          <w:divsChild>
            <w:div w:id="1868787118">
              <w:marLeft w:val="0"/>
              <w:marRight w:val="0"/>
              <w:marTop w:val="0"/>
              <w:marBottom w:val="0"/>
              <w:divBdr>
                <w:top w:val="none" w:sz="0" w:space="0" w:color="auto"/>
                <w:left w:val="none" w:sz="0" w:space="0" w:color="auto"/>
                <w:bottom w:val="none" w:sz="0" w:space="0" w:color="auto"/>
                <w:right w:val="none" w:sz="0" w:space="0" w:color="auto"/>
              </w:divBdr>
            </w:div>
            <w:div w:id="1139423652">
              <w:marLeft w:val="0"/>
              <w:marRight w:val="0"/>
              <w:marTop w:val="0"/>
              <w:marBottom w:val="0"/>
              <w:divBdr>
                <w:top w:val="none" w:sz="0" w:space="0" w:color="auto"/>
                <w:left w:val="none" w:sz="0" w:space="0" w:color="auto"/>
                <w:bottom w:val="none" w:sz="0" w:space="0" w:color="auto"/>
                <w:right w:val="none" w:sz="0" w:space="0" w:color="auto"/>
              </w:divBdr>
            </w:div>
          </w:divsChild>
        </w:div>
        <w:div w:id="1553343610">
          <w:marLeft w:val="0"/>
          <w:marRight w:val="0"/>
          <w:marTop w:val="0"/>
          <w:marBottom w:val="0"/>
          <w:divBdr>
            <w:top w:val="none" w:sz="0" w:space="0" w:color="auto"/>
            <w:left w:val="none" w:sz="0" w:space="0" w:color="auto"/>
            <w:bottom w:val="none" w:sz="0" w:space="0" w:color="auto"/>
            <w:right w:val="none" w:sz="0" w:space="0" w:color="auto"/>
          </w:divBdr>
        </w:div>
        <w:div w:id="1675377520">
          <w:marLeft w:val="0"/>
          <w:marRight w:val="0"/>
          <w:marTop w:val="0"/>
          <w:marBottom w:val="0"/>
          <w:divBdr>
            <w:top w:val="none" w:sz="0" w:space="0" w:color="auto"/>
            <w:left w:val="none" w:sz="0" w:space="0" w:color="auto"/>
            <w:bottom w:val="none" w:sz="0" w:space="0" w:color="auto"/>
            <w:right w:val="none" w:sz="0" w:space="0" w:color="auto"/>
          </w:divBdr>
        </w:div>
        <w:div w:id="1538660520">
          <w:marLeft w:val="0"/>
          <w:marRight w:val="0"/>
          <w:marTop w:val="60"/>
          <w:marBottom w:val="0"/>
          <w:divBdr>
            <w:top w:val="none" w:sz="0" w:space="0" w:color="auto"/>
            <w:left w:val="none" w:sz="0" w:space="0" w:color="auto"/>
            <w:bottom w:val="none" w:sz="0" w:space="0" w:color="auto"/>
            <w:right w:val="none" w:sz="0" w:space="0" w:color="auto"/>
          </w:divBdr>
        </w:div>
        <w:div w:id="463044188">
          <w:marLeft w:val="0"/>
          <w:marRight w:val="0"/>
          <w:marTop w:val="0"/>
          <w:marBottom w:val="0"/>
          <w:divBdr>
            <w:top w:val="none" w:sz="0" w:space="0" w:color="auto"/>
            <w:left w:val="none" w:sz="0" w:space="0" w:color="auto"/>
            <w:bottom w:val="none" w:sz="0" w:space="0" w:color="auto"/>
            <w:right w:val="none" w:sz="0" w:space="0" w:color="auto"/>
          </w:divBdr>
          <w:divsChild>
            <w:div w:id="1781994938">
              <w:marLeft w:val="0"/>
              <w:marRight w:val="0"/>
              <w:marTop w:val="0"/>
              <w:marBottom w:val="0"/>
              <w:divBdr>
                <w:top w:val="none" w:sz="0" w:space="0" w:color="auto"/>
                <w:left w:val="none" w:sz="0" w:space="0" w:color="auto"/>
                <w:bottom w:val="none" w:sz="0" w:space="0" w:color="auto"/>
                <w:right w:val="none" w:sz="0" w:space="0" w:color="auto"/>
              </w:divBdr>
            </w:div>
            <w:div w:id="523858719">
              <w:marLeft w:val="0"/>
              <w:marRight w:val="0"/>
              <w:marTop w:val="0"/>
              <w:marBottom w:val="0"/>
              <w:divBdr>
                <w:top w:val="none" w:sz="0" w:space="0" w:color="auto"/>
                <w:left w:val="none" w:sz="0" w:space="0" w:color="auto"/>
                <w:bottom w:val="none" w:sz="0" w:space="0" w:color="auto"/>
                <w:right w:val="none" w:sz="0" w:space="0" w:color="auto"/>
              </w:divBdr>
            </w:div>
          </w:divsChild>
        </w:div>
        <w:div w:id="890919211">
          <w:marLeft w:val="0"/>
          <w:marRight w:val="0"/>
          <w:marTop w:val="0"/>
          <w:marBottom w:val="0"/>
          <w:divBdr>
            <w:top w:val="none" w:sz="0" w:space="0" w:color="auto"/>
            <w:left w:val="none" w:sz="0" w:space="0" w:color="auto"/>
            <w:bottom w:val="none" w:sz="0" w:space="0" w:color="auto"/>
            <w:right w:val="none" w:sz="0" w:space="0" w:color="auto"/>
          </w:divBdr>
        </w:div>
        <w:div w:id="1471436529">
          <w:marLeft w:val="0"/>
          <w:marRight w:val="0"/>
          <w:marTop w:val="60"/>
          <w:marBottom w:val="0"/>
          <w:divBdr>
            <w:top w:val="none" w:sz="0" w:space="0" w:color="auto"/>
            <w:left w:val="none" w:sz="0" w:space="0" w:color="auto"/>
            <w:bottom w:val="none" w:sz="0" w:space="0" w:color="auto"/>
            <w:right w:val="none" w:sz="0" w:space="0" w:color="auto"/>
          </w:divBdr>
        </w:div>
        <w:div w:id="1397974979">
          <w:marLeft w:val="0"/>
          <w:marRight w:val="0"/>
          <w:marTop w:val="0"/>
          <w:marBottom w:val="0"/>
          <w:divBdr>
            <w:top w:val="none" w:sz="0" w:space="0" w:color="auto"/>
            <w:left w:val="none" w:sz="0" w:space="0" w:color="auto"/>
            <w:bottom w:val="none" w:sz="0" w:space="0" w:color="auto"/>
            <w:right w:val="none" w:sz="0" w:space="0" w:color="auto"/>
          </w:divBdr>
          <w:divsChild>
            <w:div w:id="1797212690">
              <w:marLeft w:val="0"/>
              <w:marRight w:val="0"/>
              <w:marTop w:val="0"/>
              <w:marBottom w:val="0"/>
              <w:divBdr>
                <w:top w:val="none" w:sz="0" w:space="0" w:color="auto"/>
                <w:left w:val="none" w:sz="0" w:space="0" w:color="auto"/>
                <w:bottom w:val="none" w:sz="0" w:space="0" w:color="auto"/>
                <w:right w:val="none" w:sz="0" w:space="0" w:color="auto"/>
              </w:divBdr>
            </w:div>
            <w:div w:id="968517067">
              <w:marLeft w:val="0"/>
              <w:marRight w:val="0"/>
              <w:marTop w:val="0"/>
              <w:marBottom w:val="0"/>
              <w:divBdr>
                <w:top w:val="none" w:sz="0" w:space="0" w:color="auto"/>
                <w:left w:val="none" w:sz="0" w:space="0" w:color="auto"/>
                <w:bottom w:val="none" w:sz="0" w:space="0" w:color="auto"/>
                <w:right w:val="none" w:sz="0" w:space="0" w:color="auto"/>
              </w:divBdr>
            </w:div>
          </w:divsChild>
        </w:div>
        <w:div w:id="1289505604">
          <w:marLeft w:val="0"/>
          <w:marRight w:val="0"/>
          <w:marTop w:val="0"/>
          <w:marBottom w:val="0"/>
          <w:divBdr>
            <w:top w:val="none" w:sz="0" w:space="0" w:color="auto"/>
            <w:left w:val="none" w:sz="0" w:space="0" w:color="auto"/>
            <w:bottom w:val="none" w:sz="0" w:space="0" w:color="auto"/>
            <w:right w:val="none" w:sz="0" w:space="0" w:color="auto"/>
          </w:divBdr>
        </w:div>
        <w:div w:id="254899088">
          <w:marLeft w:val="0"/>
          <w:marRight w:val="0"/>
          <w:marTop w:val="60"/>
          <w:marBottom w:val="0"/>
          <w:divBdr>
            <w:top w:val="none" w:sz="0" w:space="0" w:color="auto"/>
            <w:left w:val="none" w:sz="0" w:space="0" w:color="auto"/>
            <w:bottom w:val="none" w:sz="0" w:space="0" w:color="auto"/>
            <w:right w:val="none" w:sz="0" w:space="0" w:color="auto"/>
          </w:divBdr>
          <w:divsChild>
            <w:div w:id="296687211">
              <w:marLeft w:val="0"/>
              <w:marRight w:val="360"/>
              <w:marTop w:val="0"/>
              <w:marBottom w:val="0"/>
              <w:divBdr>
                <w:top w:val="none" w:sz="0" w:space="0" w:color="auto"/>
                <w:left w:val="none" w:sz="0" w:space="0" w:color="auto"/>
                <w:bottom w:val="none" w:sz="0" w:space="0" w:color="auto"/>
                <w:right w:val="none" w:sz="0" w:space="0" w:color="auto"/>
              </w:divBdr>
            </w:div>
          </w:divsChild>
        </w:div>
        <w:div w:id="674772099">
          <w:marLeft w:val="0"/>
          <w:marRight w:val="0"/>
          <w:marTop w:val="0"/>
          <w:marBottom w:val="0"/>
          <w:divBdr>
            <w:top w:val="none" w:sz="0" w:space="0" w:color="auto"/>
            <w:left w:val="none" w:sz="0" w:space="0" w:color="auto"/>
            <w:bottom w:val="none" w:sz="0" w:space="0" w:color="auto"/>
            <w:right w:val="none" w:sz="0" w:space="0" w:color="auto"/>
          </w:divBdr>
          <w:divsChild>
            <w:div w:id="471365801">
              <w:marLeft w:val="0"/>
              <w:marRight w:val="0"/>
              <w:marTop w:val="0"/>
              <w:marBottom w:val="0"/>
              <w:divBdr>
                <w:top w:val="none" w:sz="0" w:space="0" w:color="auto"/>
                <w:left w:val="none" w:sz="0" w:space="0" w:color="auto"/>
                <w:bottom w:val="none" w:sz="0" w:space="0" w:color="auto"/>
                <w:right w:val="none" w:sz="0" w:space="0" w:color="auto"/>
              </w:divBdr>
              <w:divsChild>
                <w:div w:id="2035959086">
                  <w:marLeft w:val="0"/>
                  <w:marRight w:val="0"/>
                  <w:marTop w:val="0"/>
                  <w:marBottom w:val="480"/>
                  <w:divBdr>
                    <w:top w:val="none" w:sz="0" w:space="0" w:color="auto"/>
                    <w:left w:val="none" w:sz="0" w:space="0" w:color="auto"/>
                    <w:bottom w:val="none" w:sz="0" w:space="0" w:color="auto"/>
                    <w:right w:val="none" w:sz="0" w:space="0" w:color="auto"/>
                  </w:divBdr>
                  <w:divsChild>
                    <w:div w:id="757214891">
                      <w:marLeft w:val="0"/>
                      <w:marRight w:val="0"/>
                      <w:marTop w:val="0"/>
                      <w:marBottom w:val="120"/>
                      <w:divBdr>
                        <w:top w:val="none" w:sz="0" w:space="0" w:color="auto"/>
                        <w:left w:val="none" w:sz="0" w:space="0" w:color="auto"/>
                        <w:bottom w:val="none" w:sz="0" w:space="0" w:color="auto"/>
                        <w:right w:val="none" w:sz="0" w:space="0" w:color="auto"/>
                      </w:divBdr>
                      <w:divsChild>
                        <w:div w:id="2003583485">
                          <w:marLeft w:val="0"/>
                          <w:marRight w:val="0"/>
                          <w:marTop w:val="0"/>
                          <w:marBottom w:val="0"/>
                          <w:divBdr>
                            <w:top w:val="none" w:sz="0" w:space="0" w:color="auto"/>
                            <w:left w:val="none" w:sz="0" w:space="0" w:color="auto"/>
                            <w:bottom w:val="none" w:sz="0" w:space="0" w:color="auto"/>
                            <w:right w:val="none" w:sz="0" w:space="0" w:color="auto"/>
                          </w:divBdr>
                        </w:div>
                      </w:divsChild>
                    </w:div>
                    <w:div w:id="1882354545">
                      <w:marLeft w:val="0"/>
                      <w:marRight w:val="0"/>
                      <w:marTop w:val="0"/>
                      <w:marBottom w:val="0"/>
                      <w:divBdr>
                        <w:top w:val="none" w:sz="0" w:space="0" w:color="auto"/>
                        <w:left w:val="none" w:sz="0" w:space="0" w:color="auto"/>
                        <w:bottom w:val="none" w:sz="0" w:space="0" w:color="auto"/>
                        <w:right w:val="none" w:sz="0" w:space="0" w:color="auto"/>
                      </w:divBdr>
                    </w:div>
                    <w:div w:id="1959137081">
                      <w:marLeft w:val="0"/>
                      <w:marRight w:val="0"/>
                      <w:marTop w:val="0"/>
                      <w:marBottom w:val="120"/>
                      <w:divBdr>
                        <w:top w:val="none" w:sz="0" w:space="0" w:color="auto"/>
                        <w:left w:val="none" w:sz="0" w:space="0" w:color="auto"/>
                        <w:bottom w:val="none" w:sz="0" w:space="0" w:color="auto"/>
                        <w:right w:val="none" w:sz="0" w:space="0" w:color="auto"/>
                      </w:divBdr>
                      <w:divsChild>
                        <w:div w:id="1496990271">
                          <w:marLeft w:val="0"/>
                          <w:marRight w:val="0"/>
                          <w:marTop w:val="0"/>
                          <w:marBottom w:val="0"/>
                          <w:divBdr>
                            <w:top w:val="none" w:sz="0" w:space="0" w:color="auto"/>
                            <w:left w:val="none" w:sz="0" w:space="0" w:color="auto"/>
                            <w:bottom w:val="none" w:sz="0" w:space="0" w:color="auto"/>
                            <w:right w:val="none" w:sz="0" w:space="0" w:color="auto"/>
                          </w:divBdr>
                        </w:div>
                      </w:divsChild>
                    </w:div>
                    <w:div w:id="177736845">
                      <w:marLeft w:val="0"/>
                      <w:marRight w:val="0"/>
                      <w:marTop w:val="0"/>
                      <w:marBottom w:val="0"/>
                      <w:divBdr>
                        <w:top w:val="none" w:sz="0" w:space="0" w:color="auto"/>
                        <w:left w:val="none" w:sz="0" w:space="0" w:color="auto"/>
                        <w:bottom w:val="none" w:sz="0" w:space="0" w:color="auto"/>
                        <w:right w:val="none" w:sz="0" w:space="0" w:color="auto"/>
                      </w:divBdr>
                    </w:div>
                    <w:div w:id="674379361">
                      <w:marLeft w:val="0"/>
                      <w:marRight w:val="0"/>
                      <w:marTop w:val="0"/>
                      <w:marBottom w:val="120"/>
                      <w:divBdr>
                        <w:top w:val="none" w:sz="0" w:space="0" w:color="auto"/>
                        <w:left w:val="none" w:sz="0" w:space="0" w:color="auto"/>
                        <w:bottom w:val="none" w:sz="0" w:space="0" w:color="auto"/>
                        <w:right w:val="none" w:sz="0" w:space="0" w:color="auto"/>
                      </w:divBdr>
                      <w:divsChild>
                        <w:div w:id="374620522">
                          <w:marLeft w:val="0"/>
                          <w:marRight w:val="0"/>
                          <w:marTop w:val="0"/>
                          <w:marBottom w:val="0"/>
                          <w:divBdr>
                            <w:top w:val="none" w:sz="0" w:space="0" w:color="auto"/>
                            <w:left w:val="none" w:sz="0" w:space="0" w:color="auto"/>
                            <w:bottom w:val="none" w:sz="0" w:space="0" w:color="auto"/>
                            <w:right w:val="none" w:sz="0" w:space="0" w:color="auto"/>
                          </w:divBdr>
                        </w:div>
                      </w:divsChild>
                    </w:div>
                    <w:div w:id="1087069771">
                      <w:marLeft w:val="0"/>
                      <w:marRight w:val="0"/>
                      <w:marTop w:val="0"/>
                      <w:marBottom w:val="0"/>
                      <w:divBdr>
                        <w:top w:val="none" w:sz="0" w:space="0" w:color="auto"/>
                        <w:left w:val="none" w:sz="0" w:space="0" w:color="auto"/>
                        <w:bottom w:val="none" w:sz="0" w:space="0" w:color="auto"/>
                        <w:right w:val="none" w:sz="0" w:space="0" w:color="auto"/>
                      </w:divBdr>
                    </w:div>
                    <w:div w:id="1231696827">
                      <w:marLeft w:val="0"/>
                      <w:marRight w:val="0"/>
                      <w:marTop w:val="0"/>
                      <w:marBottom w:val="120"/>
                      <w:divBdr>
                        <w:top w:val="none" w:sz="0" w:space="0" w:color="auto"/>
                        <w:left w:val="none" w:sz="0" w:space="0" w:color="auto"/>
                        <w:bottom w:val="none" w:sz="0" w:space="0" w:color="auto"/>
                        <w:right w:val="none" w:sz="0" w:space="0" w:color="auto"/>
                      </w:divBdr>
                      <w:divsChild>
                        <w:div w:id="43454490">
                          <w:marLeft w:val="0"/>
                          <w:marRight w:val="0"/>
                          <w:marTop w:val="0"/>
                          <w:marBottom w:val="0"/>
                          <w:divBdr>
                            <w:top w:val="none" w:sz="0" w:space="0" w:color="auto"/>
                            <w:left w:val="none" w:sz="0" w:space="0" w:color="auto"/>
                            <w:bottom w:val="none" w:sz="0" w:space="0" w:color="auto"/>
                            <w:right w:val="none" w:sz="0" w:space="0" w:color="auto"/>
                          </w:divBdr>
                        </w:div>
                      </w:divsChild>
                    </w:div>
                    <w:div w:id="490603114">
                      <w:marLeft w:val="0"/>
                      <w:marRight w:val="0"/>
                      <w:marTop w:val="0"/>
                      <w:marBottom w:val="0"/>
                      <w:divBdr>
                        <w:top w:val="none" w:sz="0" w:space="0" w:color="auto"/>
                        <w:left w:val="none" w:sz="0" w:space="0" w:color="auto"/>
                        <w:bottom w:val="none" w:sz="0" w:space="0" w:color="auto"/>
                        <w:right w:val="none" w:sz="0" w:space="0" w:color="auto"/>
                      </w:divBdr>
                    </w:div>
                    <w:div w:id="225116524">
                      <w:marLeft w:val="0"/>
                      <w:marRight w:val="0"/>
                      <w:marTop w:val="0"/>
                      <w:marBottom w:val="120"/>
                      <w:divBdr>
                        <w:top w:val="none" w:sz="0" w:space="0" w:color="auto"/>
                        <w:left w:val="none" w:sz="0" w:space="0" w:color="auto"/>
                        <w:bottom w:val="none" w:sz="0" w:space="0" w:color="auto"/>
                        <w:right w:val="none" w:sz="0" w:space="0" w:color="auto"/>
                      </w:divBdr>
                      <w:divsChild>
                        <w:div w:id="341592500">
                          <w:marLeft w:val="0"/>
                          <w:marRight w:val="0"/>
                          <w:marTop w:val="0"/>
                          <w:marBottom w:val="0"/>
                          <w:divBdr>
                            <w:top w:val="none" w:sz="0" w:space="0" w:color="auto"/>
                            <w:left w:val="none" w:sz="0" w:space="0" w:color="auto"/>
                            <w:bottom w:val="none" w:sz="0" w:space="0" w:color="auto"/>
                            <w:right w:val="none" w:sz="0" w:space="0" w:color="auto"/>
                          </w:divBdr>
                        </w:div>
                      </w:divsChild>
                    </w:div>
                    <w:div w:id="391580017">
                      <w:marLeft w:val="0"/>
                      <w:marRight w:val="0"/>
                      <w:marTop w:val="0"/>
                      <w:marBottom w:val="0"/>
                      <w:divBdr>
                        <w:top w:val="none" w:sz="0" w:space="0" w:color="auto"/>
                        <w:left w:val="none" w:sz="0" w:space="0" w:color="auto"/>
                        <w:bottom w:val="none" w:sz="0" w:space="0" w:color="auto"/>
                        <w:right w:val="none" w:sz="0" w:space="0" w:color="auto"/>
                      </w:divBdr>
                    </w:div>
                    <w:div w:id="1571378411">
                      <w:marLeft w:val="0"/>
                      <w:marRight w:val="0"/>
                      <w:marTop w:val="0"/>
                      <w:marBottom w:val="120"/>
                      <w:divBdr>
                        <w:top w:val="none" w:sz="0" w:space="0" w:color="auto"/>
                        <w:left w:val="none" w:sz="0" w:space="0" w:color="auto"/>
                        <w:bottom w:val="none" w:sz="0" w:space="0" w:color="auto"/>
                        <w:right w:val="none" w:sz="0" w:space="0" w:color="auto"/>
                      </w:divBdr>
                      <w:divsChild>
                        <w:div w:id="963779261">
                          <w:marLeft w:val="0"/>
                          <w:marRight w:val="0"/>
                          <w:marTop w:val="0"/>
                          <w:marBottom w:val="0"/>
                          <w:divBdr>
                            <w:top w:val="none" w:sz="0" w:space="0" w:color="auto"/>
                            <w:left w:val="none" w:sz="0" w:space="0" w:color="auto"/>
                            <w:bottom w:val="none" w:sz="0" w:space="0" w:color="auto"/>
                            <w:right w:val="none" w:sz="0" w:space="0" w:color="auto"/>
                          </w:divBdr>
                        </w:div>
                      </w:divsChild>
                    </w:div>
                    <w:div w:id="148809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977477">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929119916300724" TargetMode="External"/><Relationship Id="rId21" Type="http://schemas.openxmlformats.org/officeDocument/2006/relationships/hyperlink" Target="https://0-www-sciencedirect-com.libus.csd.mu.edu/science/article/pii/S0929119916300724" TargetMode="External"/><Relationship Id="rId42" Type="http://schemas.openxmlformats.org/officeDocument/2006/relationships/hyperlink" Target="https://0-www-sciencedirect-com.libus.csd.mu.edu/science/article/pii/S0929119916300724" TargetMode="External"/><Relationship Id="rId63" Type="http://schemas.openxmlformats.org/officeDocument/2006/relationships/hyperlink" Target="https://0-www-sciencedirect-com.libus.csd.mu.edu/science/article/pii/S0929119916300724" TargetMode="External"/><Relationship Id="rId84" Type="http://schemas.openxmlformats.org/officeDocument/2006/relationships/hyperlink" Target="https://0-www-sciencedirect-com.libus.csd.mu.edu/science/article/pii/S0929119916300724" TargetMode="External"/><Relationship Id="rId138" Type="http://schemas.openxmlformats.org/officeDocument/2006/relationships/hyperlink" Target="https://0-www-sciencedirect-com.libus.csd.mu.edu/science/article/pii/S0929119916300724" TargetMode="External"/><Relationship Id="rId159" Type="http://schemas.openxmlformats.org/officeDocument/2006/relationships/hyperlink" Target="https://0-www-sciencedirect-com.libus.csd.mu.edu/science/article/pii/S0929119916300724" TargetMode="External"/><Relationship Id="rId170" Type="http://schemas.openxmlformats.org/officeDocument/2006/relationships/hyperlink" Target="https://0-www-sciencedirect-com.libus.csd.mu.edu/science/article/pii/S0929119916300724" TargetMode="External"/><Relationship Id="rId107" Type="http://schemas.openxmlformats.org/officeDocument/2006/relationships/hyperlink" Target="https://0-www-sciencedirect-com.libus.csd.mu.edu/science/article/pii/S0929119916300724" TargetMode="External"/><Relationship Id="rId11" Type="http://schemas.openxmlformats.org/officeDocument/2006/relationships/hyperlink" Target="https://doi.org/10.1016/j.jcorpfin.2016.06.006" TargetMode="External"/><Relationship Id="rId32" Type="http://schemas.openxmlformats.org/officeDocument/2006/relationships/hyperlink" Target="https://0-www-sciencedirect-com.libus.csd.mu.edu/science/article/pii/S0929119916300724" TargetMode="External"/><Relationship Id="rId53" Type="http://schemas.openxmlformats.org/officeDocument/2006/relationships/hyperlink" Target="https://0-www-sciencedirect-com.libus.csd.mu.edu/science/article/pii/S0929119916300724" TargetMode="External"/><Relationship Id="rId74" Type="http://schemas.openxmlformats.org/officeDocument/2006/relationships/hyperlink" Target="https://0-www-sciencedirect-com.libus.csd.mu.edu/science/article/pii/S0929119916300724" TargetMode="External"/><Relationship Id="rId128" Type="http://schemas.openxmlformats.org/officeDocument/2006/relationships/hyperlink" Target="https://0-www-sciencedirect-com.libus.csd.mu.edu/science/article/pii/S0929119916300724" TargetMode="External"/><Relationship Id="rId149" Type="http://schemas.openxmlformats.org/officeDocument/2006/relationships/hyperlink" Target="https://0-www-sciencedirect-com.libus.csd.mu.edu/science/article/pii/S0929119916300724" TargetMode="External"/><Relationship Id="rId5" Type="http://schemas.openxmlformats.org/officeDocument/2006/relationships/numbering" Target="numbering.xml"/><Relationship Id="rId95" Type="http://schemas.openxmlformats.org/officeDocument/2006/relationships/hyperlink" Target="https://0-www-sciencedirect-com.libus.csd.mu.edu/science/article/pii/S0929119916300724" TargetMode="External"/><Relationship Id="rId160" Type="http://schemas.openxmlformats.org/officeDocument/2006/relationships/hyperlink" Target="https://0-www-sciencedirect-com.libus.csd.mu.edu/science/article/pii/S0929119916300724" TargetMode="External"/><Relationship Id="rId181" Type="http://schemas.openxmlformats.org/officeDocument/2006/relationships/hyperlink" Target="https://0-www-sciencedirect-com.libus.csd.mu.edu/science/article/pii/S0929119916300724" TargetMode="External"/><Relationship Id="rId22" Type="http://schemas.openxmlformats.org/officeDocument/2006/relationships/hyperlink" Target="https://0-www-sciencedirect-com.libus.csd.mu.edu/science/article/pii/S0929119916300724" TargetMode="External"/><Relationship Id="rId43" Type="http://schemas.openxmlformats.org/officeDocument/2006/relationships/hyperlink" Target="https://0-www-sciencedirect-com.libus.csd.mu.edu/topics/economics-econometrics-and-finance/annual-general-meeting" TargetMode="External"/><Relationship Id="rId64" Type="http://schemas.openxmlformats.org/officeDocument/2006/relationships/hyperlink" Target="https://0-www-sciencedirect-com.libus.csd.mu.edu/science/article/pii/S0929119916300724" TargetMode="External"/><Relationship Id="rId118" Type="http://schemas.openxmlformats.org/officeDocument/2006/relationships/hyperlink" Target="https://0-www-sciencedirect-com.libus.csd.mu.edu/science/article/pii/S0929119916300724" TargetMode="External"/><Relationship Id="rId139" Type="http://schemas.openxmlformats.org/officeDocument/2006/relationships/hyperlink" Target="https://0-www-sciencedirect-com.libus.csd.mu.edu/science/article/pii/S0929119916300724" TargetMode="External"/><Relationship Id="rId85" Type="http://schemas.openxmlformats.org/officeDocument/2006/relationships/hyperlink" Target="https://0-www-sciencedirect-com.libus.csd.mu.edu/science/article/pii/S0929119916300724" TargetMode="External"/><Relationship Id="rId150" Type="http://schemas.openxmlformats.org/officeDocument/2006/relationships/hyperlink" Target="https://0-www-sciencedirect-com.libus.csd.mu.edu/science/article/pii/S0929119916300724" TargetMode="External"/><Relationship Id="rId171" Type="http://schemas.openxmlformats.org/officeDocument/2006/relationships/hyperlink" Target="https://0-www-sciencedirect-com.libus.csd.mu.edu/science/article/pii/S0929119916300724" TargetMode="External"/><Relationship Id="rId12" Type="http://schemas.openxmlformats.org/officeDocument/2006/relationships/hyperlink" Target="http://epublications.marquette.edu/" TargetMode="External"/><Relationship Id="rId33" Type="http://schemas.openxmlformats.org/officeDocument/2006/relationships/hyperlink" Target="https://0-www-sciencedirect-com.libus.csd.mu.edu/science/article/pii/S0929119916300724" TargetMode="External"/><Relationship Id="rId108" Type="http://schemas.openxmlformats.org/officeDocument/2006/relationships/hyperlink" Target="https://0-www-sciencedirect-com.libus.csd.mu.edu/science/article/pii/S0929119916300724" TargetMode="External"/><Relationship Id="rId129" Type="http://schemas.openxmlformats.org/officeDocument/2006/relationships/hyperlink" Target="https://0-www-sciencedirect-com.libus.csd.mu.edu/science/article/pii/S0929119916300724" TargetMode="External"/><Relationship Id="rId54" Type="http://schemas.openxmlformats.org/officeDocument/2006/relationships/hyperlink" Target="https://0-www-sciencedirect-com.libus.csd.mu.edu/science/article/pii/S0929119916300724" TargetMode="External"/><Relationship Id="rId75" Type="http://schemas.openxmlformats.org/officeDocument/2006/relationships/hyperlink" Target="https://0-www-sciencedirect-com.libus.csd.mu.edu/science/article/pii/S0929119916300724" TargetMode="External"/><Relationship Id="rId96" Type="http://schemas.openxmlformats.org/officeDocument/2006/relationships/hyperlink" Target="https://0-www-sciencedirect-com.libus.csd.mu.edu/topics/economics-econometrics-and-finance/instrumental-variables" TargetMode="External"/><Relationship Id="rId140" Type="http://schemas.openxmlformats.org/officeDocument/2006/relationships/hyperlink" Target="https://0-www-sciencedirect-com.libus.csd.mu.edu/science/article/pii/S0929119916300724" TargetMode="External"/><Relationship Id="rId161" Type="http://schemas.openxmlformats.org/officeDocument/2006/relationships/hyperlink" Target="https://0-www-sciencedirect-com.libus.csd.mu.edu/science/article/pii/S0929119916300724" TargetMode="External"/><Relationship Id="rId182" Type="http://schemas.openxmlformats.org/officeDocument/2006/relationships/hyperlink" Target="https://0-www-sciencedirect-com.libus.csd.mu.edu/science/article/pii/S0929119916300724" TargetMode="External"/><Relationship Id="rId6" Type="http://schemas.openxmlformats.org/officeDocument/2006/relationships/styles" Target="styles.xml"/><Relationship Id="rId23" Type="http://schemas.openxmlformats.org/officeDocument/2006/relationships/hyperlink" Target="https://0-www-sciencedirect-com.libus.csd.mu.edu/science/article/pii/S0929119916300724" TargetMode="External"/><Relationship Id="rId119" Type="http://schemas.openxmlformats.org/officeDocument/2006/relationships/hyperlink" Target="https://0-www-sciencedirect-com.libus.csd.mu.edu/science/article/pii/S0929119916300724" TargetMode="External"/><Relationship Id="rId44" Type="http://schemas.openxmlformats.org/officeDocument/2006/relationships/hyperlink" Target="https://0-www-sciencedirect-com.libus.csd.mu.edu/science/article/pii/S0929119916300724" TargetMode="External"/><Relationship Id="rId65" Type="http://schemas.openxmlformats.org/officeDocument/2006/relationships/hyperlink" Target="https://0-www-sciencedirect-com.libus.csd.mu.edu/topics/economics-econometrics-and-finance/descriptive-statistics" TargetMode="External"/><Relationship Id="rId86" Type="http://schemas.openxmlformats.org/officeDocument/2006/relationships/hyperlink" Target="https://0-www-sciencedirect-com.libus.csd.mu.edu/science/article/pii/S0929119916300724" TargetMode="External"/><Relationship Id="rId130" Type="http://schemas.openxmlformats.org/officeDocument/2006/relationships/hyperlink" Target="https://0-www-sciencedirect-com.libus.csd.mu.edu/science/article/pii/S0929119916300724" TargetMode="External"/><Relationship Id="rId151" Type="http://schemas.openxmlformats.org/officeDocument/2006/relationships/hyperlink" Target="https://0-www-sciencedirect-com.libus.csd.mu.edu/science/article/pii/S0929119916300724" TargetMode="External"/><Relationship Id="rId172" Type="http://schemas.openxmlformats.org/officeDocument/2006/relationships/hyperlink" Target="https://0-www-sciencedirect-com.libus.csd.mu.edu/science/article/pii/S0929119916300724" TargetMode="External"/><Relationship Id="rId13" Type="http://schemas.openxmlformats.org/officeDocument/2006/relationships/hyperlink" Target="https://0-www-sciencedirect-com.libus.csd.mu.edu/science/article/pii/S0929119916300724" TargetMode="External"/><Relationship Id="rId18" Type="http://schemas.openxmlformats.org/officeDocument/2006/relationships/hyperlink" Target="https://0-www-sciencedirect-com.libus.csd.mu.edu/science/article/pii/S0929119916300724" TargetMode="External"/><Relationship Id="rId39" Type="http://schemas.openxmlformats.org/officeDocument/2006/relationships/hyperlink" Target="https://0-www-sciencedirect-com.libus.csd.mu.edu/science/article/pii/S0929119916300724" TargetMode="External"/><Relationship Id="rId109" Type="http://schemas.openxmlformats.org/officeDocument/2006/relationships/hyperlink" Target="https://0-www-sciencedirect-com.libus.csd.mu.edu/science/article/pii/S0929119916300724" TargetMode="External"/><Relationship Id="rId34" Type="http://schemas.openxmlformats.org/officeDocument/2006/relationships/hyperlink" Target="https://0-www-sciencedirect-com.libus.csd.mu.edu/science/article/pii/S0929119916300724" TargetMode="External"/><Relationship Id="rId50" Type="http://schemas.openxmlformats.org/officeDocument/2006/relationships/hyperlink" Target="https://0-www-sciencedirect-com.libus.csd.mu.edu/science/article/pii/S0929119916300724" TargetMode="External"/><Relationship Id="rId55" Type="http://schemas.openxmlformats.org/officeDocument/2006/relationships/hyperlink" Target="https://0-www-sciencedirect-com.libus.csd.mu.edu/science/article/pii/S0929119916300724" TargetMode="External"/><Relationship Id="rId76" Type="http://schemas.openxmlformats.org/officeDocument/2006/relationships/hyperlink" Target="https://0-www-sciencedirect-com.libus.csd.mu.edu/science/article/pii/S0929119916300724" TargetMode="External"/><Relationship Id="rId97" Type="http://schemas.openxmlformats.org/officeDocument/2006/relationships/hyperlink" Target="https://0-www-sciencedirect-com.libus.csd.mu.edu/science/article/pii/S0929119916300724" TargetMode="External"/><Relationship Id="rId104" Type="http://schemas.openxmlformats.org/officeDocument/2006/relationships/hyperlink" Target="https://0-www-sciencedirect-com.libus.csd.mu.edu/science/article/pii/S0929119916300724" TargetMode="External"/><Relationship Id="rId120" Type="http://schemas.openxmlformats.org/officeDocument/2006/relationships/hyperlink" Target="https://0-www-sciencedirect-com.libus.csd.mu.edu/science/article/pii/S0929119916300724" TargetMode="External"/><Relationship Id="rId125" Type="http://schemas.openxmlformats.org/officeDocument/2006/relationships/hyperlink" Target="https://0-www-sciencedirect-com.libus.csd.mu.edu/science/article/pii/S0929119916300724" TargetMode="External"/><Relationship Id="rId141" Type="http://schemas.openxmlformats.org/officeDocument/2006/relationships/hyperlink" Target="https://0-www-sciencedirect-com.libus.csd.mu.edu/science/article/pii/S0929119916300724" TargetMode="External"/><Relationship Id="rId146" Type="http://schemas.openxmlformats.org/officeDocument/2006/relationships/hyperlink" Target="https://0-www-sciencedirect-com.libus.csd.mu.edu/science/article/pii/S0929119916300724" TargetMode="External"/><Relationship Id="rId167" Type="http://schemas.openxmlformats.org/officeDocument/2006/relationships/hyperlink" Target="https://0-www-sciencedirect-com.libus.csd.mu.edu/science/article/pii/S0929119916300724" TargetMode="External"/><Relationship Id="rId7" Type="http://schemas.openxmlformats.org/officeDocument/2006/relationships/settings" Target="settings.xml"/><Relationship Id="rId71" Type="http://schemas.openxmlformats.org/officeDocument/2006/relationships/hyperlink" Target="https://0-www-sciencedirect-com.libus.csd.mu.edu/science/article/pii/S0929119916300724" TargetMode="External"/><Relationship Id="rId92" Type="http://schemas.openxmlformats.org/officeDocument/2006/relationships/hyperlink" Target="https://0-www-sciencedirect-com.libus.csd.mu.edu/science/article/pii/S0929119916300724" TargetMode="External"/><Relationship Id="rId162" Type="http://schemas.openxmlformats.org/officeDocument/2006/relationships/hyperlink" Target="https://0-www-sciencedirect-com.libus.csd.mu.edu/science/article/pii/S0929119916300724" TargetMode="External"/><Relationship Id="rId183" Type="http://schemas.openxmlformats.org/officeDocument/2006/relationships/hyperlink" Target="https://0-www-sciencedirect-com.libus.csd.mu.edu/science/article/pii/S0929119916300724" TargetMode="External"/><Relationship Id="rId2" Type="http://schemas.openxmlformats.org/officeDocument/2006/relationships/customXml" Target="../customXml/item2.xml"/><Relationship Id="rId29" Type="http://schemas.openxmlformats.org/officeDocument/2006/relationships/hyperlink" Target="https://0-www-sciencedirect-com.libus.csd.mu.edu/science/article/pii/S0929119916300724" TargetMode="External"/><Relationship Id="rId24" Type="http://schemas.openxmlformats.org/officeDocument/2006/relationships/hyperlink" Target="https://0-www-sciencedirect-com.libus.csd.mu.edu/science/article/pii/S0929119916300724" TargetMode="External"/><Relationship Id="rId40" Type="http://schemas.openxmlformats.org/officeDocument/2006/relationships/hyperlink" Target="https://0-www-sciencedirect-com.libus.csd.mu.edu/science/article/pii/S0929119916300724" TargetMode="External"/><Relationship Id="rId45" Type="http://schemas.openxmlformats.org/officeDocument/2006/relationships/hyperlink" Target="https://0-www-sciencedirect-com.libus.csd.mu.edu/science/article/pii/S0929119916300724" TargetMode="External"/><Relationship Id="rId66" Type="http://schemas.openxmlformats.org/officeDocument/2006/relationships/hyperlink" Target="https://0-www-sciencedirect-com.libus.csd.mu.edu/topics/economics-econometrics-and-finance/measure-of-dispersion" TargetMode="External"/><Relationship Id="rId87" Type="http://schemas.openxmlformats.org/officeDocument/2006/relationships/hyperlink" Target="https://0-www-sciencedirect-com.libus.csd.mu.edu/science/article/pii/S0929119916300724" TargetMode="External"/><Relationship Id="rId110" Type="http://schemas.openxmlformats.org/officeDocument/2006/relationships/hyperlink" Target="https://0-www-sciencedirect-com.libus.csd.mu.edu/science/article/pii/S0929119916300724" TargetMode="External"/><Relationship Id="rId115" Type="http://schemas.openxmlformats.org/officeDocument/2006/relationships/hyperlink" Target="https://0-www-sciencedirect-com.libus.csd.mu.edu/science/article/pii/S0929119916300724" TargetMode="External"/><Relationship Id="rId131" Type="http://schemas.openxmlformats.org/officeDocument/2006/relationships/hyperlink" Target="https://0-www-sciencedirect-com.libus.csd.mu.edu/science/article/pii/S0929119916300724" TargetMode="External"/><Relationship Id="rId136" Type="http://schemas.openxmlformats.org/officeDocument/2006/relationships/hyperlink" Target="https://0-www-sciencedirect-com.libus.csd.mu.edu/science/article/pii/S0929119916300724" TargetMode="External"/><Relationship Id="rId157" Type="http://schemas.openxmlformats.org/officeDocument/2006/relationships/hyperlink" Target="https://0-www-sciencedirect-com.libus.csd.mu.edu/science/article/pii/S0929119916300724" TargetMode="External"/><Relationship Id="rId178" Type="http://schemas.openxmlformats.org/officeDocument/2006/relationships/hyperlink" Target="https://0-www-sciencedirect-com.libus.csd.mu.edu/science/article/pii/S0929119916300724" TargetMode="External"/><Relationship Id="rId61" Type="http://schemas.openxmlformats.org/officeDocument/2006/relationships/hyperlink" Target="https://0-www-sciencedirect-com.libus.csd.mu.edu/topics/economics-econometrics-and-finance/development-of-economics" TargetMode="External"/><Relationship Id="rId82" Type="http://schemas.openxmlformats.org/officeDocument/2006/relationships/hyperlink" Target="https://0-www-sciencedirect-com.libus.csd.mu.edu/science/article/pii/S0929119916300724" TargetMode="External"/><Relationship Id="rId152" Type="http://schemas.openxmlformats.org/officeDocument/2006/relationships/hyperlink" Target="https://0-www-sciencedirect-com.libus.csd.mu.edu/topics/economics-econometrics-and-finance/development-of-economics" TargetMode="External"/><Relationship Id="rId173" Type="http://schemas.openxmlformats.org/officeDocument/2006/relationships/hyperlink" Target="https://0-www-sciencedirect-com.libus.csd.mu.edu/science/article/pii/S0929119916300724" TargetMode="External"/><Relationship Id="rId19" Type="http://schemas.openxmlformats.org/officeDocument/2006/relationships/hyperlink" Target="https://0-www-sciencedirect-com.libus.csd.mu.edu/science/article/pii/S0929119916300724" TargetMode="External"/><Relationship Id="rId14" Type="http://schemas.openxmlformats.org/officeDocument/2006/relationships/hyperlink" Target="https://0-www-sciencedirect-com.libus.csd.mu.edu/topics/economics-econometrics-and-finance/corporate-governance" TargetMode="External"/><Relationship Id="rId30" Type="http://schemas.openxmlformats.org/officeDocument/2006/relationships/hyperlink" Target="https://0-www-sciencedirect-com.libus.csd.mu.edu/science/article/pii/S0929119916300724" TargetMode="External"/><Relationship Id="rId35" Type="http://schemas.openxmlformats.org/officeDocument/2006/relationships/hyperlink" Target="https://0-www-sciencedirect-com.libus.csd.mu.edu/science/article/pii/S0929119916300724" TargetMode="External"/><Relationship Id="rId56" Type="http://schemas.openxmlformats.org/officeDocument/2006/relationships/hyperlink" Target="https://0-www-sciencedirect-com.libus.csd.mu.edu/science/article/pii/S0929119916300724" TargetMode="External"/><Relationship Id="rId77" Type="http://schemas.openxmlformats.org/officeDocument/2006/relationships/hyperlink" Target="https://0-www-sciencedirect-com.libus.csd.mu.edu/science/article/pii/S0929119916300724" TargetMode="External"/><Relationship Id="rId100" Type="http://schemas.openxmlformats.org/officeDocument/2006/relationships/hyperlink" Target="https://0-www-sciencedirect-com.libus.csd.mu.edu/science/article/pii/S0929119916300724" TargetMode="External"/><Relationship Id="rId105" Type="http://schemas.openxmlformats.org/officeDocument/2006/relationships/hyperlink" Target="https://0-www-sciencedirect-com.libus.csd.mu.edu/science/article/pii/S0929119916300724" TargetMode="External"/><Relationship Id="rId126" Type="http://schemas.openxmlformats.org/officeDocument/2006/relationships/hyperlink" Target="https://0-www-sciencedirect-com.libus.csd.mu.edu/science/article/pii/S0929119916300724" TargetMode="External"/><Relationship Id="rId147" Type="http://schemas.openxmlformats.org/officeDocument/2006/relationships/hyperlink" Target="https://0-www-sciencedirect-com.libus.csd.mu.edu/science/article/pii/S0929119916300724" TargetMode="External"/><Relationship Id="rId168" Type="http://schemas.openxmlformats.org/officeDocument/2006/relationships/hyperlink" Target="https://0-www-sciencedirect-com.libus.csd.mu.edu/science/article/pii/S0929119916300724" TargetMode="External"/><Relationship Id="rId8" Type="http://schemas.openxmlformats.org/officeDocument/2006/relationships/webSettings" Target="webSettings.xml"/><Relationship Id="rId51" Type="http://schemas.openxmlformats.org/officeDocument/2006/relationships/hyperlink" Target="https://0-www-sciencedirect-com.libus.csd.mu.edu/science/article/pii/S0929119916300724" TargetMode="External"/><Relationship Id="rId72" Type="http://schemas.openxmlformats.org/officeDocument/2006/relationships/hyperlink" Target="https://0-www-sciencedirect-com.libus.csd.mu.edu/topics/economics-econometrics-and-finance/specific-industry" TargetMode="External"/><Relationship Id="rId93" Type="http://schemas.openxmlformats.org/officeDocument/2006/relationships/hyperlink" Target="https://0-www-sciencedirect-com.libus.csd.mu.edu/science/article/pii/S0929119916300724" TargetMode="External"/><Relationship Id="rId98" Type="http://schemas.openxmlformats.org/officeDocument/2006/relationships/hyperlink" Target="https://0-www-sciencedirect-com.libus.csd.mu.edu/science/article/pii/S0929119916300724" TargetMode="External"/><Relationship Id="rId121" Type="http://schemas.openxmlformats.org/officeDocument/2006/relationships/hyperlink" Target="https://0-www-sciencedirect-com.libus.csd.mu.edu/science/article/pii/S0929119916300724" TargetMode="External"/><Relationship Id="rId142" Type="http://schemas.openxmlformats.org/officeDocument/2006/relationships/hyperlink" Target="https://0-www-sciencedirect-com.libus.csd.mu.edu/science/article/pii/S0929119916300724" TargetMode="External"/><Relationship Id="rId163" Type="http://schemas.openxmlformats.org/officeDocument/2006/relationships/hyperlink" Target="https://0-www-sciencedirect-com.libus.csd.mu.edu/science/article/pii/S0929119916300724" TargetMode="External"/><Relationship Id="rId184" Type="http://schemas.openxmlformats.org/officeDocument/2006/relationships/hyperlink" Target="https://0-www-sciencedirect-com.libus.csd.mu.edu/science/article/pii/S0929119916300724" TargetMode="External"/><Relationship Id="rId3" Type="http://schemas.openxmlformats.org/officeDocument/2006/relationships/customXml" Target="../customXml/item3.xml"/><Relationship Id="rId25" Type="http://schemas.openxmlformats.org/officeDocument/2006/relationships/hyperlink" Target="https://0-www-sciencedirect-com.libus.csd.mu.edu/science/article/pii/S0929119916300724" TargetMode="External"/><Relationship Id="rId46" Type="http://schemas.openxmlformats.org/officeDocument/2006/relationships/hyperlink" Target="https://0-www-sciencedirect-com.libus.csd.mu.edu/science/article/pii/S0929119916300724" TargetMode="External"/><Relationship Id="rId67" Type="http://schemas.openxmlformats.org/officeDocument/2006/relationships/hyperlink" Target="https://0-www-sciencedirect-com.libus.csd.mu.edu/science/article/pii/S0929119916300724" TargetMode="External"/><Relationship Id="rId116" Type="http://schemas.openxmlformats.org/officeDocument/2006/relationships/hyperlink" Target="https://0-www-sciencedirect-com.libus.csd.mu.edu/science/article/pii/S0929119916300724" TargetMode="External"/><Relationship Id="rId137" Type="http://schemas.openxmlformats.org/officeDocument/2006/relationships/hyperlink" Target="https://0-www-sciencedirect-com.libus.csd.mu.edu/science/article/pii/S0929119916300724" TargetMode="External"/><Relationship Id="rId158" Type="http://schemas.openxmlformats.org/officeDocument/2006/relationships/hyperlink" Target="https://0-www-sciencedirect-com.libus.csd.mu.edu/science/article/pii/S0929119916300724" TargetMode="External"/><Relationship Id="rId20" Type="http://schemas.openxmlformats.org/officeDocument/2006/relationships/hyperlink" Target="https://0-www-sciencedirect-com.libus.csd.mu.edu/science/article/pii/S0929119916300724" TargetMode="External"/><Relationship Id="rId41" Type="http://schemas.openxmlformats.org/officeDocument/2006/relationships/hyperlink" Target="https://0-www-sciencedirect-com.libus.csd.mu.edu/science/article/pii/S0929119916300724" TargetMode="External"/><Relationship Id="rId62" Type="http://schemas.openxmlformats.org/officeDocument/2006/relationships/hyperlink" Target="https://0-www-sciencedirect-com.libus.csd.mu.edu/science/article/pii/S0929119916300724" TargetMode="External"/><Relationship Id="rId83" Type="http://schemas.openxmlformats.org/officeDocument/2006/relationships/hyperlink" Target="https://0-www-sciencedirect-com.libus.csd.mu.edu/topics/economics-econometrics-and-finance/measure-of-dispersion" TargetMode="External"/><Relationship Id="rId88" Type="http://schemas.openxmlformats.org/officeDocument/2006/relationships/hyperlink" Target="https://0-www-sciencedirect-com.libus.csd.mu.edu/science/article/pii/S0929119916300724" TargetMode="External"/><Relationship Id="rId111" Type="http://schemas.openxmlformats.org/officeDocument/2006/relationships/hyperlink" Target="https://0-www-sciencedirect-com.libus.csd.mu.edu/science/article/pii/S0929119916300724" TargetMode="External"/><Relationship Id="rId132" Type="http://schemas.openxmlformats.org/officeDocument/2006/relationships/hyperlink" Target="https://0-www-sciencedirect-com.libus.csd.mu.edu/science/article/pii/S0929119916300724" TargetMode="External"/><Relationship Id="rId153" Type="http://schemas.openxmlformats.org/officeDocument/2006/relationships/hyperlink" Target="https://0-www-sciencedirect-com.libus.csd.mu.edu/science/article/pii/S0929119916300724" TargetMode="External"/><Relationship Id="rId174" Type="http://schemas.openxmlformats.org/officeDocument/2006/relationships/hyperlink" Target="https://0-www-sciencedirect-com.libus.csd.mu.edu/science/article/pii/S0929119916300724" TargetMode="External"/><Relationship Id="rId179" Type="http://schemas.openxmlformats.org/officeDocument/2006/relationships/hyperlink" Target="https://0-www-sciencedirect-com.libus.csd.mu.edu/science/article/pii/S0929119916300724" TargetMode="External"/><Relationship Id="rId15" Type="http://schemas.openxmlformats.org/officeDocument/2006/relationships/hyperlink" Target="https://0-www-sciencedirect-com.libus.csd.mu.edu/science/article/pii/S0929119916300724" TargetMode="External"/><Relationship Id="rId36" Type="http://schemas.openxmlformats.org/officeDocument/2006/relationships/hyperlink" Target="https://0-www-sciencedirect-com.libus.csd.mu.edu/science/article/pii/S0929119916300724" TargetMode="External"/><Relationship Id="rId57" Type="http://schemas.openxmlformats.org/officeDocument/2006/relationships/hyperlink" Target="https://0-www-sciencedirect-com.libus.csd.mu.edu/science/article/pii/S0929119916300724" TargetMode="External"/><Relationship Id="rId106" Type="http://schemas.openxmlformats.org/officeDocument/2006/relationships/hyperlink" Target="https://0-www-sciencedirect-com.libus.csd.mu.edu/science/article/pii/S0929119916300724" TargetMode="External"/><Relationship Id="rId127" Type="http://schemas.openxmlformats.org/officeDocument/2006/relationships/hyperlink" Target="https://0-www-sciencedirect-com.libus.csd.mu.edu/science/article/pii/S0929119916300724" TargetMode="External"/><Relationship Id="rId10" Type="http://schemas.openxmlformats.org/officeDocument/2006/relationships/endnotes" Target="endnotes.xml"/><Relationship Id="rId31" Type="http://schemas.openxmlformats.org/officeDocument/2006/relationships/hyperlink" Target="https://0-www-sciencedirect-com.libus.csd.mu.edu/science/article/pii/S0929119916300724" TargetMode="External"/><Relationship Id="rId52" Type="http://schemas.openxmlformats.org/officeDocument/2006/relationships/hyperlink" Target="http://www.factset.com/" TargetMode="External"/><Relationship Id="rId73" Type="http://schemas.openxmlformats.org/officeDocument/2006/relationships/hyperlink" Target="https://0-www-sciencedirect-com.libus.csd.mu.edu/science/article/pii/S0929119916300724" TargetMode="External"/><Relationship Id="rId78" Type="http://schemas.openxmlformats.org/officeDocument/2006/relationships/hyperlink" Target="https://0-www-sciencedirect-com.libus.csd.mu.edu/science/article/pii/S0929119916300724" TargetMode="External"/><Relationship Id="rId94" Type="http://schemas.openxmlformats.org/officeDocument/2006/relationships/hyperlink" Target="https://0-www-sciencedirect-com.libus.csd.mu.edu/science/article/pii/S0929119916300724" TargetMode="External"/><Relationship Id="rId99" Type="http://schemas.openxmlformats.org/officeDocument/2006/relationships/hyperlink" Target="https://0-www-sciencedirect-com.libus.csd.mu.edu/science/article/pii/S0929119916300724" TargetMode="External"/><Relationship Id="rId101" Type="http://schemas.openxmlformats.org/officeDocument/2006/relationships/hyperlink" Target="https://0-www-sciencedirect-com.libus.csd.mu.edu/science/article/pii/S0929119916300724" TargetMode="External"/><Relationship Id="rId122" Type="http://schemas.openxmlformats.org/officeDocument/2006/relationships/hyperlink" Target="https://0-www-sciencedirect-com.libus.csd.mu.edu/science/article/pii/S0929119916300724" TargetMode="External"/><Relationship Id="rId143" Type="http://schemas.openxmlformats.org/officeDocument/2006/relationships/hyperlink" Target="https://0-www-sciencedirect-com.libus.csd.mu.edu/science/article/pii/S0929119916300724" TargetMode="External"/><Relationship Id="rId148" Type="http://schemas.openxmlformats.org/officeDocument/2006/relationships/hyperlink" Target="https://0-www-sciencedirect-com.libus.csd.mu.edu/science/article/pii/S0929119916300724" TargetMode="External"/><Relationship Id="rId164" Type="http://schemas.openxmlformats.org/officeDocument/2006/relationships/hyperlink" Target="https://0-www-sciencedirect-com.libus.csd.mu.edu/science/article/pii/S0929119916300724" TargetMode="External"/><Relationship Id="rId169" Type="http://schemas.openxmlformats.org/officeDocument/2006/relationships/hyperlink" Target="https://0-www-sciencedirect-com.libus.csd.mu.edu/science/article/pii/S0929119916300724" TargetMode="External"/><Relationship Id="rId18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0-www-sciencedirect-com.libus.csd.mu.edu/science/article/pii/S0929119916300724" TargetMode="External"/><Relationship Id="rId26" Type="http://schemas.openxmlformats.org/officeDocument/2006/relationships/hyperlink" Target="https://0-www-sciencedirect-com.libus.csd.mu.edu/science/article/pii/S0929119916300724" TargetMode="External"/><Relationship Id="rId47" Type="http://schemas.openxmlformats.org/officeDocument/2006/relationships/hyperlink" Target="https://0-www-sciencedirect-com.libus.csd.mu.edu/science/article/pii/S0929119916300724" TargetMode="External"/><Relationship Id="rId68" Type="http://schemas.openxmlformats.org/officeDocument/2006/relationships/hyperlink" Target="https://0-www-sciencedirect-com.libus.csd.mu.edu/science/article/pii/S0929119916300724" TargetMode="External"/><Relationship Id="rId89" Type="http://schemas.openxmlformats.org/officeDocument/2006/relationships/hyperlink" Target="https://0-www-sciencedirect-com.libus.csd.mu.edu/science/article/pii/S0929119916300724" TargetMode="External"/><Relationship Id="rId112" Type="http://schemas.openxmlformats.org/officeDocument/2006/relationships/hyperlink" Target="https://0-www-sciencedirect-com.libus.csd.mu.edu/science/article/pii/S0929119916300724" TargetMode="External"/><Relationship Id="rId133" Type="http://schemas.openxmlformats.org/officeDocument/2006/relationships/hyperlink" Target="https://0-www-sciencedirect-com.libus.csd.mu.edu/science/article/pii/S0929119916300724" TargetMode="External"/><Relationship Id="rId154" Type="http://schemas.openxmlformats.org/officeDocument/2006/relationships/hyperlink" Target="https://0-www-sciencedirect-com.libus.csd.mu.edu/science/article/pii/S0929119916300724" TargetMode="External"/><Relationship Id="rId175" Type="http://schemas.openxmlformats.org/officeDocument/2006/relationships/hyperlink" Target="https://0-www-sciencedirect-com.libus.csd.mu.edu/science/article/pii/S0929119916300724" TargetMode="External"/><Relationship Id="rId16" Type="http://schemas.openxmlformats.org/officeDocument/2006/relationships/hyperlink" Target="https://0-www-sciencedirect-com.libus.csd.mu.edu/topics/economics-econometrics-and-finance/specific-industry" TargetMode="External"/><Relationship Id="rId37" Type="http://schemas.openxmlformats.org/officeDocument/2006/relationships/hyperlink" Target="https://0-www-sciencedirect-com.libus.csd.mu.edu/science/article/pii/S0929119916300724" TargetMode="External"/><Relationship Id="rId58" Type="http://schemas.openxmlformats.org/officeDocument/2006/relationships/hyperlink" Target="https://0-www-sciencedirect-com.libus.csd.mu.edu/science/article/pii/S0929119916300724" TargetMode="External"/><Relationship Id="rId79" Type="http://schemas.openxmlformats.org/officeDocument/2006/relationships/hyperlink" Target="https://0-www-sciencedirect-com.libus.csd.mu.edu/science/article/pii/S0929119916300724" TargetMode="External"/><Relationship Id="rId102" Type="http://schemas.openxmlformats.org/officeDocument/2006/relationships/hyperlink" Target="https://0-www-sciencedirect-com.libus.csd.mu.edu/science/article/pii/S0929119916300724" TargetMode="External"/><Relationship Id="rId123" Type="http://schemas.openxmlformats.org/officeDocument/2006/relationships/hyperlink" Target="https://0-www-sciencedirect-com.libus.csd.mu.edu/science/article/pii/S0929119916300724" TargetMode="External"/><Relationship Id="rId144" Type="http://schemas.openxmlformats.org/officeDocument/2006/relationships/hyperlink" Target="https://0-www-sciencedirect-com.libus.csd.mu.edu/science/article/pii/S0929119916300724" TargetMode="External"/><Relationship Id="rId90" Type="http://schemas.openxmlformats.org/officeDocument/2006/relationships/hyperlink" Target="https://0-www-sciencedirect-com.libus.csd.mu.edu/topics/economics-econometrics-and-finance/discretionary-accruals" TargetMode="External"/><Relationship Id="rId165" Type="http://schemas.openxmlformats.org/officeDocument/2006/relationships/hyperlink" Target="https://0-www-sciencedirect-com.libus.csd.mu.edu/science/article/pii/S0929119916300724" TargetMode="External"/><Relationship Id="rId186" Type="http://schemas.openxmlformats.org/officeDocument/2006/relationships/theme" Target="theme/theme1.xml"/><Relationship Id="rId27" Type="http://schemas.openxmlformats.org/officeDocument/2006/relationships/hyperlink" Target="https://0-www-sciencedirect-com.libus.csd.mu.edu/science/article/pii/S0929119916300724" TargetMode="External"/><Relationship Id="rId48" Type="http://schemas.openxmlformats.org/officeDocument/2006/relationships/hyperlink" Target="https://0-www-sciencedirect-com.libus.csd.mu.edu/science/article/pii/S0929119916300724" TargetMode="External"/><Relationship Id="rId69" Type="http://schemas.openxmlformats.org/officeDocument/2006/relationships/hyperlink" Target="https://0-www-sciencedirect-com.libus.csd.mu.edu/science/article/pii/S0929119916300724" TargetMode="External"/><Relationship Id="rId113" Type="http://schemas.openxmlformats.org/officeDocument/2006/relationships/hyperlink" Target="https://0-www-sciencedirect-com.libus.csd.mu.edu/science/article/pii/S0929119916300724" TargetMode="External"/><Relationship Id="rId134" Type="http://schemas.openxmlformats.org/officeDocument/2006/relationships/hyperlink" Target="https://0-www-sciencedirect-com.libus.csd.mu.edu/science/article/pii/S0929119916300724" TargetMode="External"/><Relationship Id="rId80" Type="http://schemas.openxmlformats.org/officeDocument/2006/relationships/hyperlink" Target="https://0-www-sciencedirect-com.libus.csd.mu.edu/science/article/pii/S0929119916300724" TargetMode="External"/><Relationship Id="rId155" Type="http://schemas.openxmlformats.org/officeDocument/2006/relationships/hyperlink" Target="https://0-www-sciencedirect-com.libus.csd.mu.edu/science/article/pii/S0929119916300724" TargetMode="External"/><Relationship Id="rId176" Type="http://schemas.openxmlformats.org/officeDocument/2006/relationships/hyperlink" Target="https://0-www-sciencedirect-com.libus.csd.mu.edu/science/article/pii/S0929119916300724" TargetMode="External"/><Relationship Id="rId17" Type="http://schemas.openxmlformats.org/officeDocument/2006/relationships/hyperlink" Target="https://0-www-sciencedirect-com.libus.csd.mu.edu/science/article/pii/S0929119916300724" TargetMode="External"/><Relationship Id="rId38" Type="http://schemas.openxmlformats.org/officeDocument/2006/relationships/hyperlink" Target="https://0-www-sciencedirect-com.libus.csd.mu.edu/science/article/pii/S0929119916300724" TargetMode="External"/><Relationship Id="rId59" Type="http://schemas.openxmlformats.org/officeDocument/2006/relationships/hyperlink" Target="https://0-www-sciencedirect-com.libus.csd.mu.edu/science/article/pii/S0929119916300724" TargetMode="External"/><Relationship Id="rId103" Type="http://schemas.openxmlformats.org/officeDocument/2006/relationships/hyperlink" Target="https://0-www-sciencedirect-com.libus.csd.mu.edu/science/article/pii/S0929119916300724" TargetMode="External"/><Relationship Id="rId124" Type="http://schemas.openxmlformats.org/officeDocument/2006/relationships/hyperlink" Target="https://0-www-sciencedirect-com.libus.csd.mu.edu/science/article/pii/S0929119916300724" TargetMode="External"/><Relationship Id="rId70" Type="http://schemas.openxmlformats.org/officeDocument/2006/relationships/hyperlink" Target="https://0-www-sciencedirect-com.libus.csd.mu.edu/science/article/pii/S0929119916300724" TargetMode="External"/><Relationship Id="rId91" Type="http://schemas.openxmlformats.org/officeDocument/2006/relationships/hyperlink" Target="https://0-www-sciencedirect-com.libus.csd.mu.edu/science/article/pii/S0929119916300724" TargetMode="External"/><Relationship Id="rId145" Type="http://schemas.openxmlformats.org/officeDocument/2006/relationships/hyperlink" Target="https://0-www-sciencedirect-com.libus.csd.mu.edu/science/article/pii/S0929119916300724" TargetMode="External"/><Relationship Id="rId166" Type="http://schemas.openxmlformats.org/officeDocument/2006/relationships/hyperlink" Target="https://0-www-sciencedirect-com.libus.csd.mu.edu/science/article/pii/S0929119916300724" TargetMode="External"/><Relationship Id="rId1" Type="http://schemas.openxmlformats.org/officeDocument/2006/relationships/customXml" Target="../customXml/item1.xml"/><Relationship Id="rId28" Type="http://schemas.openxmlformats.org/officeDocument/2006/relationships/hyperlink" Target="https://0-www-sciencedirect-com.libus.csd.mu.edu/science/article/pii/S0929119916300724" TargetMode="External"/><Relationship Id="rId49" Type="http://schemas.openxmlformats.org/officeDocument/2006/relationships/hyperlink" Target="https://0-www-sciencedirect-com.libus.csd.mu.edu/science/article/pii/S0929119916300724" TargetMode="External"/><Relationship Id="rId114" Type="http://schemas.openxmlformats.org/officeDocument/2006/relationships/hyperlink" Target="https://0-www-sciencedirect-com.libus.csd.mu.edu/science/article/pii/S0929119916300724" TargetMode="External"/><Relationship Id="rId60" Type="http://schemas.openxmlformats.org/officeDocument/2006/relationships/hyperlink" Target="https://0-www-sciencedirect-com.libus.csd.mu.edu/science/article/pii/S0929119916300724" TargetMode="External"/><Relationship Id="rId81" Type="http://schemas.openxmlformats.org/officeDocument/2006/relationships/hyperlink" Target="https://0-www-sciencedirect-com.libus.csd.mu.edu/science/article/pii/S0929119916300724" TargetMode="External"/><Relationship Id="rId135" Type="http://schemas.openxmlformats.org/officeDocument/2006/relationships/hyperlink" Target="https://0-www-sciencedirect-com.libus.csd.mu.edu/science/article/pii/S0929119916300724" TargetMode="External"/><Relationship Id="rId156" Type="http://schemas.openxmlformats.org/officeDocument/2006/relationships/hyperlink" Target="https://0-www-sciencedirect-com.libus.csd.mu.edu/science/article/pii/S0929119916300724" TargetMode="External"/><Relationship Id="rId177" Type="http://schemas.openxmlformats.org/officeDocument/2006/relationships/hyperlink" Target="https://0-www-sciencedirect-com.libus.csd.mu.edu/science/article/pii/S09291199163007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41</Pages>
  <Words>21872</Words>
  <Characters>124671</Characters>
  <Application>Microsoft Office Word</Application>
  <DocSecurity>8</DocSecurity>
  <Lines>1038</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57</cp:revision>
  <cp:lastPrinted>2023-05-10T19:02:00Z</cp:lastPrinted>
  <dcterms:created xsi:type="dcterms:W3CDTF">2023-05-04T17:39:00Z</dcterms:created>
  <dcterms:modified xsi:type="dcterms:W3CDTF">2023-06-20T17:18:00Z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