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67A9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67A9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67A9E">
        <w:rPr>
          <w:rFonts w:cstheme="minorHAnsi"/>
          <w:b/>
          <w:bCs/>
          <w:color w:val="316192"/>
          <w:sz w:val="28"/>
          <w:szCs w:val="26"/>
        </w:rPr>
        <w:t>Marquette University</w:t>
      </w:r>
    </w:p>
    <w:p w14:paraId="158D4B9F" w14:textId="77777777" w:rsidR="000A7622" w:rsidRPr="00467A9E" w:rsidRDefault="000A7622" w:rsidP="00D14423">
      <w:pPr>
        <w:autoSpaceDE w:val="0"/>
        <w:autoSpaceDN w:val="0"/>
        <w:adjustRightInd w:val="0"/>
        <w:rPr>
          <w:rFonts w:cstheme="minorHAnsi"/>
          <w:b/>
          <w:bCs/>
          <w:color w:val="316192"/>
          <w:sz w:val="40"/>
          <w:szCs w:val="36"/>
        </w:rPr>
      </w:pPr>
      <w:r w:rsidRPr="00467A9E">
        <w:rPr>
          <w:rFonts w:cstheme="minorHAnsi"/>
          <w:b/>
          <w:bCs/>
          <w:color w:val="316192"/>
          <w:sz w:val="40"/>
          <w:szCs w:val="36"/>
        </w:rPr>
        <w:t>e-Publications@Marquette</w:t>
      </w:r>
    </w:p>
    <w:p w14:paraId="689ACF87" w14:textId="77777777" w:rsidR="000A7622" w:rsidRPr="00467A9E" w:rsidRDefault="000A7622" w:rsidP="00D14423">
      <w:pPr>
        <w:autoSpaceDE w:val="0"/>
        <w:autoSpaceDN w:val="0"/>
        <w:adjustRightInd w:val="0"/>
        <w:rPr>
          <w:rFonts w:cstheme="minorHAnsi"/>
          <w:b/>
          <w:bCs/>
          <w:i/>
          <w:iCs/>
        </w:rPr>
      </w:pPr>
    </w:p>
    <w:p w14:paraId="161853CC" w14:textId="2EA16283" w:rsidR="000A7622" w:rsidRPr="00467A9E" w:rsidRDefault="00F62371" w:rsidP="00D14423">
      <w:pPr>
        <w:autoSpaceDE w:val="0"/>
        <w:autoSpaceDN w:val="0"/>
        <w:adjustRightInd w:val="0"/>
        <w:rPr>
          <w:rFonts w:cstheme="minorHAnsi"/>
          <w:b/>
          <w:bCs/>
          <w:i/>
          <w:iCs/>
          <w:sz w:val="32"/>
          <w:szCs w:val="32"/>
        </w:rPr>
      </w:pPr>
      <w:r w:rsidRPr="00467A9E">
        <w:rPr>
          <w:rFonts w:cstheme="minorHAnsi"/>
          <w:b/>
          <w:bCs/>
          <w:i/>
          <w:iCs/>
          <w:sz w:val="32"/>
          <w:szCs w:val="32"/>
        </w:rPr>
        <w:t xml:space="preserve">Physical Therapy </w:t>
      </w:r>
      <w:r w:rsidR="000A7622" w:rsidRPr="00467A9E">
        <w:rPr>
          <w:rFonts w:cstheme="minorHAnsi"/>
          <w:b/>
          <w:bCs/>
          <w:i/>
          <w:iCs/>
          <w:sz w:val="32"/>
          <w:szCs w:val="32"/>
        </w:rPr>
        <w:t>Faculty Research and Publications/</w:t>
      </w:r>
      <w:r w:rsidR="009732A9" w:rsidRPr="00467A9E">
        <w:rPr>
          <w:rFonts w:cstheme="minorHAnsi"/>
          <w:b/>
          <w:bCs/>
          <w:i/>
          <w:iCs/>
          <w:sz w:val="32"/>
          <w:szCs w:val="32"/>
        </w:rPr>
        <w:t>College of</w:t>
      </w:r>
      <w:r w:rsidRPr="00467A9E">
        <w:rPr>
          <w:rFonts w:cstheme="minorHAnsi"/>
          <w:b/>
          <w:bCs/>
          <w:i/>
          <w:iCs/>
          <w:sz w:val="32"/>
          <w:szCs w:val="32"/>
        </w:rPr>
        <w:t xml:space="preserve"> </w:t>
      </w:r>
      <w:r w:rsidR="007B13BF" w:rsidRPr="00467A9E">
        <w:rPr>
          <w:rFonts w:cstheme="minorHAnsi"/>
          <w:b/>
          <w:bCs/>
          <w:i/>
          <w:iCs/>
          <w:sz w:val="32"/>
          <w:szCs w:val="32"/>
        </w:rPr>
        <w:t>Health Sciences</w:t>
      </w:r>
    </w:p>
    <w:bookmarkEnd w:id="1"/>
    <w:p w14:paraId="3E538636" w14:textId="77777777" w:rsidR="000A7622" w:rsidRPr="00467A9E" w:rsidRDefault="000A7622" w:rsidP="00D14423">
      <w:pPr>
        <w:jc w:val="center"/>
        <w:rPr>
          <w:rFonts w:cstheme="minorHAnsi"/>
          <w:b/>
          <w:bCs/>
          <w:i/>
          <w:iCs/>
        </w:rPr>
      </w:pPr>
    </w:p>
    <w:p w14:paraId="25509BF0" w14:textId="70DB1D96" w:rsidR="000A7622" w:rsidRPr="00467A9E" w:rsidRDefault="000A7622" w:rsidP="00D14423">
      <w:pPr>
        <w:jc w:val="center"/>
        <w:rPr>
          <w:rFonts w:cstheme="minorHAnsi"/>
          <w:sz w:val="24"/>
          <w:szCs w:val="24"/>
        </w:rPr>
      </w:pPr>
      <w:r w:rsidRPr="00467A9E">
        <w:rPr>
          <w:rFonts w:cstheme="minorHAnsi"/>
          <w:b/>
          <w:bCs/>
          <w:i/>
          <w:iCs/>
          <w:sz w:val="24"/>
          <w:szCs w:val="24"/>
        </w:rPr>
        <w:t xml:space="preserve">This paper is NOT THE PUBLISHED VERSION; </w:t>
      </w:r>
      <w:r w:rsidRPr="00467A9E">
        <w:rPr>
          <w:rFonts w:cstheme="minorHAnsi"/>
          <w:b/>
          <w:bCs/>
          <w:sz w:val="24"/>
          <w:szCs w:val="24"/>
        </w:rPr>
        <w:t xml:space="preserve">but the author’s final, peer-reviewed manuscript. </w:t>
      </w:r>
      <w:r w:rsidRPr="00467A9E">
        <w:rPr>
          <w:rFonts w:cstheme="minorHAnsi"/>
          <w:sz w:val="24"/>
          <w:szCs w:val="24"/>
        </w:rPr>
        <w:t>The published version may be accessed by following the link in th</w:t>
      </w:r>
      <w:r w:rsidR="0051316A" w:rsidRPr="00467A9E">
        <w:rPr>
          <w:rFonts w:cstheme="minorHAnsi"/>
          <w:sz w:val="24"/>
          <w:szCs w:val="24"/>
        </w:rPr>
        <w:t>e</w:t>
      </w:r>
      <w:r w:rsidRPr="00467A9E">
        <w:rPr>
          <w:rFonts w:cstheme="minorHAnsi"/>
          <w:sz w:val="24"/>
          <w:szCs w:val="24"/>
        </w:rPr>
        <w:t xml:space="preserve"> citation below.</w:t>
      </w:r>
    </w:p>
    <w:p w14:paraId="207B0342" w14:textId="77777777" w:rsidR="000A7622" w:rsidRPr="00467A9E" w:rsidRDefault="000A7622" w:rsidP="00D14423">
      <w:pPr>
        <w:jc w:val="center"/>
        <w:rPr>
          <w:rFonts w:cstheme="minorHAnsi"/>
          <w:sz w:val="24"/>
          <w:szCs w:val="24"/>
        </w:rPr>
      </w:pPr>
    </w:p>
    <w:p w14:paraId="2A38AFE1" w14:textId="7D86BF33" w:rsidR="000A7622" w:rsidRPr="00467A9E" w:rsidRDefault="003B127F" w:rsidP="00D14423">
      <w:pPr>
        <w:rPr>
          <w:rFonts w:cstheme="minorHAnsi"/>
          <w:sz w:val="24"/>
          <w:szCs w:val="24"/>
        </w:rPr>
      </w:pPr>
      <w:r w:rsidRPr="00467A9E">
        <w:rPr>
          <w:rFonts w:cstheme="minorHAnsi"/>
          <w:i/>
          <w:sz w:val="24"/>
          <w:szCs w:val="24"/>
          <w:lang w:val="fr-FR"/>
        </w:rPr>
        <w:t>Neuro</w:t>
      </w:r>
      <w:r w:rsidR="003150CB" w:rsidRPr="00467A9E">
        <w:rPr>
          <w:rFonts w:cstheme="minorHAnsi"/>
          <w:i/>
          <w:sz w:val="24"/>
          <w:szCs w:val="24"/>
          <w:lang w:val="fr-FR"/>
        </w:rPr>
        <w:t>hospitalist</w:t>
      </w:r>
      <w:r w:rsidR="000A7622" w:rsidRPr="00467A9E">
        <w:rPr>
          <w:rFonts w:cstheme="minorHAnsi"/>
          <w:sz w:val="24"/>
          <w:szCs w:val="24"/>
          <w:lang w:val="fr-FR"/>
        </w:rPr>
        <w:t xml:space="preserve">, Vol. </w:t>
      </w:r>
      <w:r w:rsidR="00E54A05" w:rsidRPr="00467A9E">
        <w:rPr>
          <w:rFonts w:cstheme="minorHAnsi"/>
          <w:sz w:val="24"/>
          <w:szCs w:val="24"/>
          <w:lang w:val="fr-FR"/>
        </w:rPr>
        <w:t>9</w:t>
      </w:r>
      <w:r w:rsidR="000A7622" w:rsidRPr="00467A9E">
        <w:rPr>
          <w:rFonts w:cstheme="minorHAnsi"/>
          <w:sz w:val="24"/>
          <w:szCs w:val="24"/>
          <w:lang w:val="fr-FR"/>
        </w:rPr>
        <w:t xml:space="preserve">, No. </w:t>
      </w:r>
      <w:r w:rsidR="00E54A05" w:rsidRPr="00467A9E">
        <w:rPr>
          <w:rFonts w:cstheme="minorHAnsi"/>
          <w:sz w:val="24"/>
          <w:szCs w:val="24"/>
          <w:lang w:val="fr-FR"/>
        </w:rPr>
        <w:t>1</w:t>
      </w:r>
      <w:r w:rsidR="000A7622" w:rsidRPr="00467A9E">
        <w:rPr>
          <w:rFonts w:cstheme="minorHAnsi"/>
          <w:sz w:val="24"/>
          <w:szCs w:val="24"/>
          <w:lang w:val="fr-FR"/>
        </w:rPr>
        <w:t xml:space="preserve"> (</w:t>
      </w:r>
      <w:r w:rsidR="00E54A05" w:rsidRPr="00467A9E">
        <w:rPr>
          <w:rFonts w:cstheme="minorHAnsi"/>
          <w:sz w:val="24"/>
          <w:szCs w:val="24"/>
          <w:lang w:val="fr-FR"/>
        </w:rPr>
        <w:t>January 2019</w:t>
      </w:r>
      <w:r w:rsidR="000A7622" w:rsidRPr="00467A9E">
        <w:rPr>
          <w:rFonts w:cstheme="minorHAnsi"/>
          <w:sz w:val="24"/>
          <w:szCs w:val="24"/>
          <w:lang w:val="fr-FR"/>
        </w:rPr>
        <w:t>)</w:t>
      </w:r>
      <w:r w:rsidR="00F0787B" w:rsidRPr="00467A9E">
        <w:rPr>
          <w:rFonts w:cstheme="minorHAnsi"/>
          <w:sz w:val="24"/>
          <w:szCs w:val="24"/>
          <w:lang w:val="fr-FR"/>
        </w:rPr>
        <w:t xml:space="preserve"> </w:t>
      </w:r>
      <w:r w:rsidR="000A7622" w:rsidRPr="00467A9E">
        <w:rPr>
          <w:rFonts w:cstheme="minorHAnsi"/>
          <w:sz w:val="24"/>
          <w:szCs w:val="24"/>
          <w:lang w:val="fr-FR"/>
        </w:rPr>
        <w:t xml:space="preserve">: </w:t>
      </w:r>
      <w:r w:rsidR="00F0787B" w:rsidRPr="00467A9E">
        <w:rPr>
          <w:rFonts w:cstheme="minorHAnsi"/>
          <w:sz w:val="24"/>
          <w:szCs w:val="24"/>
          <w:lang w:val="fr-FR"/>
        </w:rPr>
        <w:t>9</w:t>
      </w:r>
      <w:r w:rsidR="000A7622" w:rsidRPr="00467A9E">
        <w:rPr>
          <w:rFonts w:cstheme="minorHAnsi"/>
          <w:sz w:val="24"/>
          <w:szCs w:val="24"/>
          <w:lang w:val="fr-FR"/>
        </w:rPr>
        <w:t>-</w:t>
      </w:r>
      <w:r w:rsidR="00F0787B" w:rsidRPr="00467A9E">
        <w:rPr>
          <w:rFonts w:cstheme="minorHAnsi"/>
          <w:sz w:val="24"/>
          <w:szCs w:val="24"/>
          <w:lang w:val="fr-FR"/>
        </w:rPr>
        <w:t>14</w:t>
      </w:r>
      <w:r w:rsidR="000A7622" w:rsidRPr="00467A9E">
        <w:rPr>
          <w:rFonts w:cstheme="minorHAnsi"/>
          <w:sz w:val="24"/>
          <w:szCs w:val="24"/>
          <w:lang w:val="fr-FR"/>
        </w:rPr>
        <w:t xml:space="preserve">. </w:t>
      </w:r>
      <w:hyperlink r:id="rId7" w:history="1">
        <w:r w:rsidR="000A7622" w:rsidRPr="00467A9E">
          <w:rPr>
            <w:rFonts w:cstheme="minorHAnsi"/>
            <w:color w:val="0563C1" w:themeColor="hyperlink"/>
            <w:sz w:val="24"/>
            <w:szCs w:val="24"/>
            <w:u w:val="single"/>
            <w:lang w:val="fr-FR"/>
          </w:rPr>
          <w:t>DOI</w:t>
        </w:r>
      </w:hyperlink>
      <w:r w:rsidR="000A7622" w:rsidRPr="00467A9E">
        <w:rPr>
          <w:rFonts w:cstheme="minorHAnsi"/>
          <w:sz w:val="24"/>
          <w:szCs w:val="24"/>
          <w:lang w:val="fr-FR"/>
        </w:rPr>
        <w:t xml:space="preserve">. </w:t>
      </w:r>
      <w:r w:rsidR="000A7622" w:rsidRPr="00467A9E">
        <w:rPr>
          <w:rFonts w:cstheme="minorHAnsi"/>
          <w:sz w:val="24"/>
          <w:szCs w:val="24"/>
        </w:rPr>
        <w:t xml:space="preserve">This article is © </w:t>
      </w:r>
      <w:r w:rsidR="00F0787B" w:rsidRPr="00467A9E">
        <w:rPr>
          <w:rFonts w:cstheme="minorHAnsi"/>
          <w:sz w:val="24"/>
          <w:szCs w:val="24"/>
        </w:rPr>
        <w:t>SAGE Publications</w:t>
      </w:r>
      <w:r w:rsidR="000A7622" w:rsidRPr="00467A9E">
        <w:rPr>
          <w:rFonts w:cstheme="minorHAnsi"/>
          <w:sz w:val="24"/>
          <w:szCs w:val="24"/>
        </w:rPr>
        <w:t xml:space="preserve"> and permission has been granted for this version to appear in </w:t>
      </w:r>
      <w:hyperlink r:id="rId8" w:history="1">
        <w:r w:rsidR="000A7622" w:rsidRPr="00467A9E">
          <w:rPr>
            <w:rFonts w:cstheme="minorHAnsi"/>
            <w:color w:val="0563C1" w:themeColor="hyperlink"/>
            <w:sz w:val="24"/>
            <w:szCs w:val="24"/>
            <w:u w:val="single"/>
          </w:rPr>
          <w:t>e-Publications@Marquette</w:t>
        </w:r>
      </w:hyperlink>
      <w:r w:rsidR="000A7622" w:rsidRPr="00467A9E">
        <w:rPr>
          <w:rFonts w:cstheme="minorHAnsi"/>
          <w:sz w:val="24"/>
          <w:szCs w:val="24"/>
        </w:rPr>
        <w:t xml:space="preserve">. </w:t>
      </w:r>
      <w:r w:rsidR="00F0787B" w:rsidRPr="00467A9E">
        <w:rPr>
          <w:rFonts w:cstheme="minorHAnsi"/>
          <w:sz w:val="24"/>
          <w:szCs w:val="24"/>
        </w:rPr>
        <w:t xml:space="preserve">SAGE Publications </w:t>
      </w:r>
      <w:r w:rsidR="000A7622" w:rsidRPr="00467A9E">
        <w:rPr>
          <w:rFonts w:cstheme="minorHAnsi"/>
          <w:sz w:val="24"/>
          <w:szCs w:val="24"/>
        </w:rPr>
        <w:t xml:space="preserve">does not grant permission for this article to be further copied/distributed or hosted elsewhere without the express permission from </w:t>
      </w:r>
      <w:r w:rsidR="00F0787B" w:rsidRPr="00467A9E">
        <w:rPr>
          <w:rFonts w:cstheme="minorHAnsi"/>
          <w:sz w:val="24"/>
          <w:szCs w:val="24"/>
        </w:rPr>
        <w:t>SAGE Publications.</w:t>
      </w:r>
    </w:p>
    <w:bookmarkEnd w:id="2"/>
    <w:p w14:paraId="5BC0075B" w14:textId="544BF109" w:rsidR="000A7622" w:rsidRPr="00467A9E" w:rsidRDefault="002A753F" w:rsidP="002A753F">
      <w:pPr>
        <w:pStyle w:val="Title"/>
        <w:rPr>
          <w:rFonts w:asciiTheme="minorHAnsi" w:hAnsiTheme="minorHAnsi" w:cstheme="minorHAnsi"/>
        </w:rPr>
      </w:pPr>
      <w:r w:rsidRPr="00467A9E">
        <w:rPr>
          <w:rFonts w:asciiTheme="minorHAnsi" w:hAnsiTheme="minorHAnsi" w:cstheme="minorHAnsi"/>
        </w:rPr>
        <w:t>Clinical Decision-Making for Thrombolysis of Acute Minor Stroke Using Adaptive Conjoint Analysis</w:t>
      </w:r>
    </w:p>
    <w:p w14:paraId="38226599" w14:textId="77777777" w:rsidR="00AA681A" w:rsidRPr="00467A9E" w:rsidRDefault="00AA681A" w:rsidP="00DE791E">
      <w:pPr>
        <w:rPr>
          <w:rFonts w:cstheme="minorHAnsi"/>
          <w:sz w:val="28"/>
          <w:szCs w:val="28"/>
        </w:rPr>
      </w:pPr>
    </w:p>
    <w:p w14:paraId="0E26BDE2" w14:textId="77777777" w:rsidR="00467A9E" w:rsidRDefault="00DE791E" w:rsidP="00467A9E">
      <w:pPr>
        <w:spacing w:after="0"/>
        <w:rPr>
          <w:rFonts w:cstheme="minorHAnsi"/>
          <w:sz w:val="28"/>
          <w:szCs w:val="28"/>
        </w:rPr>
      </w:pPr>
      <w:r w:rsidRPr="00467A9E">
        <w:rPr>
          <w:rFonts w:cstheme="minorHAnsi"/>
          <w:sz w:val="28"/>
          <w:szCs w:val="28"/>
        </w:rPr>
        <w:t>Ava L. Liberman</w:t>
      </w:r>
    </w:p>
    <w:p w14:paraId="1BFF67D7" w14:textId="1B9DC1F6" w:rsidR="002A753F" w:rsidRPr="00467A9E" w:rsidRDefault="00DE791E" w:rsidP="00467A9E">
      <w:pPr>
        <w:spacing w:after="0"/>
        <w:rPr>
          <w:rFonts w:cstheme="minorHAnsi"/>
        </w:rPr>
      </w:pPr>
      <w:r w:rsidRPr="00467A9E">
        <w:rPr>
          <w:rFonts w:cstheme="minorHAnsi"/>
        </w:rPr>
        <w:t>Department of Neurology, Montefiore Medical Center, Albert Einstein College of Medicine, Bronx, NY</w:t>
      </w:r>
    </w:p>
    <w:p w14:paraId="2F510CE1" w14:textId="77777777" w:rsidR="00467A9E" w:rsidRDefault="00767A4E" w:rsidP="00467A9E">
      <w:pPr>
        <w:spacing w:after="0"/>
        <w:rPr>
          <w:rFonts w:cstheme="minorHAnsi"/>
          <w:sz w:val="28"/>
          <w:szCs w:val="28"/>
        </w:rPr>
      </w:pPr>
      <w:r w:rsidRPr="00467A9E">
        <w:rPr>
          <w:rFonts w:cstheme="minorHAnsi"/>
          <w:sz w:val="28"/>
          <w:szCs w:val="28"/>
        </w:rPr>
        <w:t>Daniel Pinto</w:t>
      </w:r>
    </w:p>
    <w:p w14:paraId="7A062E2D" w14:textId="7F926C48" w:rsidR="00767A4E" w:rsidRPr="00467A9E" w:rsidRDefault="00767A4E" w:rsidP="00467A9E">
      <w:pPr>
        <w:spacing w:after="0"/>
        <w:rPr>
          <w:rFonts w:cstheme="minorHAnsi"/>
        </w:rPr>
      </w:pPr>
      <w:r w:rsidRPr="00467A9E">
        <w:rPr>
          <w:rFonts w:cstheme="minorHAnsi"/>
        </w:rPr>
        <w:t>Department of Physical Therapy, College of Health Sciences, Marquette University, Milwaukee, WI</w:t>
      </w:r>
    </w:p>
    <w:p w14:paraId="3BCB5551" w14:textId="77777777" w:rsidR="00467A9E" w:rsidRDefault="00662DF4" w:rsidP="00467A9E">
      <w:pPr>
        <w:spacing w:after="0"/>
        <w:rPr>
          <w:rFonts w:cstheme="minorHAnsi"/>
          <w:sz w:val="28"/>
          <w:szCs w:val="28"/>
        </w:rPr>
      </w:pPr>
      <w:r w:rsidRPr="00467A9E">
        <w:rPr>
          <w:rFonts w:cstheme="minorHAnsi"/>
          <w:sz w:val="28"/>
          <w:szCs w:val="28"/>
        </w:rPr>
        <w:t xml:space="preserve">Sara K. </w:t>
      </w:r>
      <w:proofErr w:type="spellStart"/>
      <w:r w:rsidRPr="00467A9E">
        <w:rPr>
          <w:rFonts w:cstheme="minorHAnsi"/>
          <w:sz w:val="28"/>
          <w:szCs w:val="28"/>
        </w:rPr>
        <w:t>Rostanski</w:t>
      </w:r>
      <w:proofErr w:type="spellEnd"/>
    </w:p>
    <w:p w14:paraId="2B35256B" w14:textId="190A50D2" w:rsidR="00662DF4" w:rsidRPr="00467A9E" w:rsidRDefault="00662DF4" w:rsidP="00467A9E">
      <w:pPr>
        <w:spacing w:after="0"/>
        <w:rPr>
          <w:rFonts w:cstheme="minorHAnsi"/>
        </w:rPr>
      </w:pPr>
      <w:r w:rsidRPr="00467A9E">
        <w:rPr>
          <w:rFonts w:cstheme="minorHAnsi"/>
        </w:rPr>
        <w:t>Department of Neurology, New York University School of Medicine, New York, NY</w:t>
      </w:r>
    </w:p>
    <w:p w14:paraId="450AED8B" w14:textId="77777777" w:rsidR="00467A9E" w:rsidRDefault="005B00EC" w:rsidP="00467A9E">
      <w:pPr>
        <w:spacing w:after="0"/>
        <w:rPr>
          <w:rFonts w:cstheme="minorHAnsi"/>
          <w:sz w:val="28"/>
          <w:szCs w:val="28"/>
        </w:rPr>
      </w:pPr>
      <w:r w:rsidRPr="00467A9E">
        <w:rPr>
          <w:rFonts w:cstheme="minorHAnsi"/>
          <w:sz w:val="28"/>
          <w:szCs w:val="28"/>
        </w:rPr>
        <w:t xml:space="preserve">Daniel L. </w:t>
      </w:r>
      <w:proofErr w:type="spellStart"/>
      <w:r w:rsidRPr="00467A9E">
        <w:rPr>
          <w:rFonts w:cstheme="minorHAnsi"/>
          <w:sz w:val="28"/>
          <w:szCs w:val="28"/>
        </w:rPr>
        <w:t>Labovitz</w:t>
      </w:r>
      <w:proofErr w:type="spellEnd"/>
    </w:p>
    <w:p w14:paraId="275CB31B" w14:textId="1F095B94" w:rsidR="005B00EC" w:rsidRPr="00467A9E" w:rsidRDefault="005B00EC" w:rsidP="00467A9E">
      <w:pPr>
        <w:spacing w:after="0"/>
        <w:rPr>
          <w:rFonts w:cstheme="minorHAnsi"/>
        </w:rPr>
      </w:pPr>
      <w:r w:rsidRPr="00467A9E">
        <w:rPr>
          <w:rFonts w:cstheme="minorHAnsi"/>
        </w:rPr>
        <w:t>Department of Neurology, Montefiore Medical Center, Albert Einstein College of Medicine, Bronx, NY</w:t>
      </w:r>
    </w:p>
    <w:p w14:paraId="6D0D1A07" w14:textId="77777777" w:rsidR="00467A9E" w:rsidRDefault="00E64994" w:rsidP="00467A9E">
      <w:pPr>
        <w:spacing w:after="0"/>
        <w:rPr>
          <w:rFonts w:cstheme="minorHAnsi"/>
          <w:sz w:val="28"/>
          <w:szCs w:val="28"/>
        </w:rPr>
      </w:pPr>
      <w:r w:rsidRPr="00467A9E">
        <w:rPr>
          <w:rFonts w:cstheme="minorHAnsi"/>
          <w:sz w:val="28"/>
          <w:szCs w:val="28"/>
        </w:rPr>
        <w:t xml:space="preserve">Andrew M. </w:t>
      </w:r>
      <w:proofErr w:type="spellStart"/>
      <w:r w:rsidRPr="00467A9E">
        <w:rPr>
          <w:rFonts w:cstheme="minorHAnsi"/>
          <w:sz w:val="28"/>
          <w:szCs w:val="28"/>
        </w:rPr>
        <w:t>Naidech</w:t>
      </w:r>
      <w:proofErr w:type="spellEnd"/>
    </w:p>
    <w:p w14:paraId="2535D75F" w14:textId="2F731583" w:rsidR="00A070C8" w:rsidRPr="00467A9E" w:rsidRDefault="00E64994" w:rsidP="00467A9E">
      <w:pPr>
        <w:spacing w:after="0"/>
        <w:rPr>
          <w:rFonts w:cstheme="minorHAnsi"/>
        </w:rPr>
      </w:pPr>
      <w:r w:rsidRPr="00467A9E">
        <w:rPr>
          <w:rFonts w:cstheme="minorHAnsi"/>
        </w:rPr>
        <w:t>Department of Neurology, Northwestern University Feinberg School of Medicine, Chicago, IL</w:t>
      </w:r>
    </w:p>
    <w:p w14:paraId="0BAAAE7B" w14:textId="77777777" w:rsidR="00467A9E" w:rsidRDefault="00AA681A" w:rsidP="00467A9E">
      <w:pPr>
        <w:spacing w:after="0"/>
        <w:rPr>
          <w:rFonts w:cstheme="minorHAnsi"/>
          <w:sz w:val="28"/>
          <w:szCs w:val="28"/>
        </w:rPr>
      </w:pPr>
      <w:proofErr w:type="spellStart"/>
      <w:r w:rsidRPr="00467A9E">
        <w:rPr>
          <w:rFonts w:cstheme="minorHAnsi"/>
          <w:sz w:val="28"/>
          <w:szCs w:val="28"/>
        </w:rPr>
        <w:t>Shyam</w:t>
      </w:r>
      <w:proofErr w:type="spellEnd"/>
      <w:r w:rsidRPr="00467A9E">
        <w:rPr>
          <w:rFonts w:cstheme="minorHAnsi"/>
          <w:sz w:val="28"/>
          <w:szCs w:val="28"/>
        </w:rPr>
        <w:t xml:space="preserve"> Prabhakaran</w:t>
      </w:r>
    </w:p>
    <w:p w14:paraId="38923AA0" w14:textId="62CA7300" w:rsidR="00AA681A" w:rsidRPr="00467A9E" w:rsidRDefault="00AA681A" w:rsidP="00467A9E">
      <w:pPr>
        <w:spacing w:after="0"/>
        <w:rPr>
          <w:rFonts w:cstheme="minorHAnsi"/>
        </w:rPr>
      </w:pPr>
      <w:r w:rsidRPr="00467A9E">
        <w:rPr>
          <w:rFonts w:cstheme="minorHAnsi"/>
        </w:rPr>
        <w:t>Department of Neurology, Northwestern University Feinberg School of Medicine, Chicago, IL</w:t>
      </w:r>
    </w:p>
    <w:p w14:paraId="3A4D9EA6" w14:textId="363AFE3C" w:rsidR="00FB7C33" w:rsidRPr="00467A9E" w:rsidRDefault="00FB7C33" w:rsidP="00AA681A">
      <w:pPr>
        <w:pStyle w:val="Heading1"/>
        <w:rPr>
          <w:rFonts w:asciiTheme="minorHAnsi" w:hAnsiTheme="minorHAnsi" w:cstheme="minorHAnsi"/>
        </w:rPr>
      </w:pPr>
      <w:r w:rsidRPr="00467A9E">
        <w:rPr>
          <w:rFonts w:asciiTheme="minorHAnsi" w:hAnsiTheme="minorHAnsi" w:cstheme="minorHAnsi"/>
        </w:rPr>
        <w:lastRenderedPageBreak/>
        <w:t>Abstract</w:t>
      </w:r>
    </w:p>
    <w:p w14:paraId="4ECC0CE3" w14:textId="202821DA" w:rsidR="00FB7C33" w:rsidRPr="00467A9E" w:rsidRDefault="00FB7C33" w:rsidP="00AA681A">
      <w:pPr>
        <w:pStyle w:val="Heading2"/>
        <w:rPr>
          <w:rFonts w:asciiTheme="minorHAnsi" w:hAnsiTheme="minorHAnsi" w:cstheme="minorHAnsi"/>
        </w:rPr>
      </w:pPr>
      <w:bookmarkStart w:id="3" w:name="_i1"/>
      <w:bookmarkEnd w:id="3"/>
      <w:r w:rsidRPr="00467A9E">
        <w:rPr>
          <w:rFonts w:asciiTheme="minorHAnsi" w:hAnsiTheme="minorHAnsi" w:cstheme="minorHAnsi"/>
        </w:rPr>
        <w:t>Introduction:</w:t>
      </w:r>
    </w:p>
    <w:p w14:paraId="05173E5B" w14:textId="77777777" w:rsidR="00FB7C33" w:rsidRPr="00467A9E" w:rsidRDefault="00FB7C33" w:rsidP="00AA681A">
      <w:pPr>
        <w:rPr>
          <w:rFonts w:cstheme="minorHAnsi"/>
        </w:rPr>
      </w:pPr>
      <w:r w:rsidRPr="00467A9E">
        <w:rPr>
          <w:rFonts w:cstheme="minorHAnsi"/>
        </w:rPr>
        <w:t>There is practice variability in the treatment of patients with minor ischemic stroke with thrombolysis. We sought to determine which clinical factors physicians prioritize in thrombolysis decision-making for minor stroke using adaptive conjoint analysis.</w:t>
      </w:r>
    </w:p>
    <w:p w14:paraId="67BFCD06" w14:textId="77777777" w:rsidR="00FB7C33" w:rsidRPr="00467A9E" w:rsidRDefault="00FB7C33" w:rsidP="00AA681A">
      <w:pPr>
        <w:pStyle w:val="Heading2"/>
        <w:rPr>
          <w:rFonts w:asciiTheme="minorHAnsi" w:hAnsiTheme="minorHAnsi" w:cstheme="minorHAnsi"/>
        </w:rPr>
      </w:pPr>
      <w:bookmarkStart w:id="4" w:name="_i2"/>
      <w:bookmarkEnd w:id="4"/>
      <w:r w:rsidRPr="00467A9E">
        <w:rPr>
          <w:rFonts w:asciiTheme="minorHAnsi" w:hAnsiTheme="minorHAnsi" w:cstheme="minorHAnsi"/>
        </w:rPr>
        <w:t>Methods:</w:t>
      </w:r>
    </w:p>
    <w:p w14:paraId="44294036" w14:textId="77777777" w:rsidR="00FB7C33" w:rsidRPr="00467A9E" w:rsidRDefault="00FB7C33" w:rsidP="00AA681A">
      <w:pPr>
        <w:rPr>
          <w:rFonts w:cstheme="minorHAnsi"/>
        </w:rPr>
      </w:pPr>
      <w:r w:rsidRPr="00467A9E">
        <w:rPr>
          <w:rFonts w:cstheme="minorHAnsi"/>
        </w:rPr>
        <w:t>We conducted our conjoint analysis using the Potentially All Pairwise RanKings of all possible Alternatives methodology via the 1000Minds platform to design an online preference survey and circulated it to US physicians involved in stroke care. We evaluated 6 clinical attributes: language/speech deficits, motor deficits, other neurological deficits, history suggestive of increased risk of complication from thrombolysis, age, and premorbid disability. Survey participants were asked to choose between pairs of treatment scenarios with various clinical attributes; scenarios automatically adapted based on participants’ prior responses. Preference weights representing the relative importance of each attribute were compared using unadjusted paired </w:t>
      </w:r>
      <w:r w:rsidRPr="00467A9E">
        <w:rPr>
          <w:rFonts w:cstheme="minorHAnsi"/>
          <w:i/>
          <w:iCs/>
        </w:rPr>
        <w:t>t</w:t>
      </w:r>
      <w:r w:rsidRPr="00467A9E">
        <w:rPr>
          <w:rFonts w:cstheme="minorHAnsi"/>
        </w:rPr>
        <w:t> tests. Statistical significance was set at α = .05.</w:t>
      </w:r>
    </w:p>
    <w:p w14:paraId="7D913A12" w14:textId="77777777" w:rsidR="00FB7C33" w:rsidRPr="00467A9E" w:rsidRDefault="00FB7C33" w:rsidP="00AA681A">
      <w:pPr>
        <w:pStyle w:val="Heading2"/>
        <w:rPr>
          <w:rFonts w:asciiTheme="minorHAnsi" w:hAnsiTheme="minorHAnsi" w:cstheme="minorHAnsi"/>
        </w:rPr>
      </w:pPr>
      <w:bookmarkStart w:id="5" w:name="_i3"/>
      <w:bookmarkEnd w:id="5"/>
      <w:r w:rsidRPr="00467A9E">
        <w:rPr>
          <w:rFonts w:asciiTheme="minorHAnsi" w:hAnsiTheme="minorHAnsi" w:cstheme="minorHAnsi"/>
        </w:rPr>
        <w:t>Results:</w:t>
      </w:r>
    </w:p>
    <w:p w14:paraId="476DB84E" w14:textId="77777777" w:rsidR="00FB7C33" w:rsidRPr="00467A9E" w:rsidRDefault="00FB7C33" w:rsidP="00AA681A">
      <w:pPr>
        <w:rPr>
          <w:rFonts w:cstheme="minorHAnsi"/>
        </w:rPr>
      </w:pPr>
      <w:r w:rsidRPr="00467A9E">
        <w:rPr>
          <w:rFonts w:cstheme="minorHAnsi"/>
        </w:rPr>
        <w:t>Fifty-four participants completed the survey; 61% were vascular neurologists and 93% worked in academic centers. All neurological deficits were ranked higher than age, premorbid status, or potential contraindications to thrombolysis. Differences between each successive mean preference weight were significant: motor (31.7%, standard deviation [SD]: 9.5), language/speech (24.1%, SD: 9.6), other neurological deficits (16.6%, SD: 6.4), premorbid status (12.9%, SD: 6.6), age (10.1%, SD: 6.3), and potential thrombolysis contraindication (4.7%, SD: 4.4).</w:t>
      </w:r>
    </w:p>
    <w:p w14:paraId="5744543D" w14:textId="77777777" w:rsidR="00FB7C33" w:rsidRPr="00467A9E" w:rsidRDefault="00FB7C33" w:rsidP="00AA681A">
      <w:pPr>
        <w:pStyle w:val="Heading2"/>
        <w:rPr>
          <w:rFonts w:asciiTheme="minorHAnsi" w:hAnsiTheme="minorHAnsi" w:cstheme="minorHAnsi"/>
        </w:rPr>
      </w:pPr>
      <w:bookmarkStart w:id="6" w:name="_i4"/>
      <w:bookmarkEnd w:id="6"/>
      <w:r w:rsidRPr="00467A9E">
        <w:rPr>
          <w:rFonts w:asciiTheme="minorHAnsi" w:hAnsiTheme="minorHAnsi" w:cstheme="minorHAnsi"/>
        </w:rPr>
        <w:t>Conclusion:</w:t>
      </w:r>
    </w:p>
    <w:p w14:paraId="73608212" w14:textId="77777777" w:rsidR="00FB7C33" w:rsidRPr="00467A9E" w:rsidRDefault="00FB7C33" w:rsidP="00AA681A">
      <w:pPr>
        <w:rPr>
          <w:rFonts w:cstheme="minorHAnsi"/>
        </w:rPr>
      </w:pPr>
      <w:r w:rsidRPr="00467A9E">
        <w:rPr>
          <w:rFonts w:cstheme="minorHAnsi"/>
        </w:rPr>
        <w:t>In a conjoint analysis, surveyed US physicians in academic practice assigned greater weight to motor and speech/language deficits than other neurological deficits, patient age, relative contraindications to thrombolysis, and premorbid disability when deciding to thrombolyse patients with minor stroke.</w:t>
      </w:r>
    </w:p>
    <w:p w14:paraId="586AEB8B" w14:textId="020F111D" w:rsidR="00FB7C33" w:rsidRPr="00467A9E" w:rsidRDefault="00FB7C33" w:rsidP="00AA681A">
      <w:pPr>
        <w:rPr>
          <w:rFonts w:cstheme="minorHAnsi"/>
          <w:color w:val="555555"/>
          <w:sz w:val="27"/>
          <w:szCs w:val="27"/>
        </w:rPr>
      </w:pPr>
      <w:r w:rsidRPr="00467A9E">
        <w:rPr>
          <w:rFonts w:cstheme="minorHAnsi"/>
        </w:rPr>
        <w:t>Keywords</w:t>
      </w:r>
      <w:r w:rsidRPr="00467A9E">
        <w:rPr>
          <w:rFonts w:cstheme="minorHAnsi"/>
          <w:b/>
          <w:bCs/>
          <w:color w:val="555555"/>
          <w:sz w:val="27"/>
          <w:szCs w:val="27"/>
        </w:rPr>
        <w:t> </w:t>
      </w:r>
      <w:r w:rsidRPr="00467A9E">
        <w:rPr>
          <w:rFonts w:cstheme="minorHAnsi"/>
        </w:rPr>
        <w:t>clinical decision-making</w:t>
      </w:r>
      <w:r w:rsidRPr="00467A9E">
        <w:rPr>
          <w:rFonts w:cstheme="minorHAnsi"/>
          <w:color w:val="555555"/>
          <w:sz w:val="27"/>
          <w:szCs w:val="27"/>
        </w:rPr>
        <w:t>, </w:t>
      </w:r>
      <w:r w:rsidRPr="00467A9E">
        <w:rPr>
          <w:rFonts w:cstheme="minorHAnsi"/>
        </w:rPr>
        <w:t>acute ischemic stroke</w:t>
      </w:r>
      <w:r w:rsidRPr="00467A9E">
        <w:rPr>
          <w:rFonts w:cstheme="minorHAnsi"/>
          <w:color w:val="555555"/>
          <w:sz w:val="27"/>
          <w:szCs w:val="27"/>
        </w:rPr>
        <w:t>, </w:t>
      </w:r>
      <w:r w:rsidRPr="00467A9E">
        <w:rPr>
          <w:rFonts w:cstheme="minorHAnsi"/>
        </w:rPr>
        <w:t>minor stroke</w:t>
      </w:r>
      <w:r w:rsidRPr="00467A9E">
        <w:rPr>
          <w:rFonts w:cstheme="minorHAnsi"/>
          <w:color w:val="555555"/>
          <w:sz w:val="27"/>
          <w:szCs w:val="27"/>
        </w:rPr>
        <w:t>, </w:t>
      </w:r>
      <w:r w:rsidRPr="00467A9E">
        <w:rPr>
          <w:rFonts w:cstheme="minorHAnsi"/>
        </w:rPr>
        <w:t>conjoint analysis</w:t>
      </w:r>
    </w:p>
    <w:p w14:paraId="18DB08D8" w14:textId="77777777" w:rsidR="00FB7C33" w:rsidRPr="00467A9E" w:rsidRDefault="00FB7C33" w:rsidP="00AA681A">
      <w:pPr>
        <w:pStyle w:val="Heading1"/>
        <w:rPr>
          <w:rFonts w:asciiTheme="minorHAnsi" w:hAnsiTheme="minorHAnsi" w:cstheme="minorHAnsi"/>
        </w:rPr>
      </w:pPr>
      <w:bookmarkStart w:id="7" w:name="_i5"/>
      <w:bookmarkEnd w:id="7"/>
      <w:r w:rsidRPr="00467A9E">
        <w:rPr>
          <w:rFonts w:asciiTheme="minorHAnsi" w:hAnsiTheme="minorHAnsi" w:cstheme="minorHAnsi"/>
        </w:rPr>
        <w:t>Introduction</w:t>
      </w:r>
    </w:p>
    <w:p w14:paraId="25EEF5AD" w14:textId="77777777" w:rsidR="00FB7C33" w:rsidRPr="00467A9E" w:rsidRDefault="00FB7C33" w:rsidP="00AA681A">
      <w:pPr>
        <w:rPr>
          <w:rFonts w:cstheme="minorHAnsi"/>
        </w:rPr>
      </w:pPr>
      <w:r w:rsidRPr="00467A9E">
        <w:rPr>
          <w:rFonts w:cstheme="minorHAnsi"/>
        </w:rPr>
        <w:t>Thrombolysis treatment rates for patients with acute ischemic stroke presenting with minor symptoms have increased over time</w:t>
      </w:r>
      <w:hyperlink r:id="rId9" w:history="1">
        <w:r w:rsidRPr="00467A9E">
          <w:rPr>
            <w:rStyle w:val="Hyperlink"/>
            <w:rFonts w:eastAsiaTheme="majorEastAsia" w:cstheme="minorHAnsi"/>
            <w:color w:val="006ACC"/>
            <w:vertAlign w:val="superscript"/>
          </w:rPr>
          <w:t>1</w:t>
        </w:r>
      </w:hyperlink>
      <w:r w:rsidRPr="00467A9E">
        <w:rPr>
          <w:rFonts w:cstheme="minorHAnsi"/>
        </w:rPr>
        <w:t> due to recognition of the disability associated with failure to treat and the relative safety of thrombolysis in minor stroke.</w:t>
      </w:r>
      <w:hyperlink r:id="rId10" w:history="1">
        <w:r w:rsidRPr="00467A9E">
          <w:rPr>
            <w:rStyle w:val="Hyperlink"/>
            <w:rFonts w:eastAsiaTheme="majorEastAsia" w:cstheme="minorHAnsi"/>
            <w:color w:val="006ACC"/>
            <w:vertAlign w:val="superscript"/>
          </w:rPr>
          <w:t>2</w:t>
        </w:r>
      </w:hyperlink>
      <w:r w:rsidRPr="00467A9E">
        <w:rPr>
          <w:rFonts w:cstheme="minorHAnsi"/>
        </w:rPr>
        <w:t> Labeling information for alteplase no longer lists minor symptoms as an exclusion criterion,</w:t>
      </w:r>
      <w:hyperlink r:id="rId11" w:history="1">
        <w:r w:rsidRPr="00467A9E">
          <w:rPr>
            <w:rStyle w:val="Hyperlink"/>
            <w:rFonts w:eastAsiaTheme="majorEastAsia" w:cstheme="minorHAnsi"/>
            <w:color w:val="006ACC"/>
            <w:vertAlign w:val="superscript"/>
          </w:rPr>
          <w:t>3</w:t>
        </w:r>
      </w:hyperlink>
      <w:r w:rsidRPr="00467A9E">
        <w:rPr>
          <w:rFonts w:cstheme="minorHAnsi"/>
        </w:rPr>
        <w:t> and the latest guidelines from the American Heart Association/American Stroke Association note that alteplase should not be withheld from otherwise eligible patients with mild but disabling strokes.</w:t>
      </w:r>
      <w:hyperlink r:id="rId12" w:history="1">
        <w:r w:rsidRPr="00467A9E">
          <w:rPr>
            <w:rStyle w:val="Hyperlink"/>
            <w:rFonts w:eastAsiaTheme="majorEastAsia" w:cstheme="minorHAnsi"/>
            <w:color w:val="006ACC"/>
            <w:vertAlign w:val="superscript"/>
          </w:rPr>
          <w:t>3</w:t>
        </w:r>
      </w:hyperlink>
      <w:r w:rsidRPr="00467A9E">
        <w:rPr>
          <w:rFonts w:cstheme="minorHAnsi"/>
        </w:rPr>
        <w:t> However, the most commonly documented reason for failure to treat with alteplase is having mild or rapidly improving stroke symptoms.</w:t>
      </w:r>
      <w:hyperlink r:id="rId13" w:history="1">
        <w:r w:rsidRPr="00467A9E">
          <w:rPr>
            <w:rStyle w:val="Hyperlink"/>
            <w:rFonts w:eastAsiaTheme="majorEastAsia" w:cstheme="minorHAnsi"/>
            <w:color w:val="006ACC"/>
            <w:vertAlign w:val="superscript"/>
          </w:rPr>
          <w:t>4</w:t>
        </w:r>
      </w:hyperlink>
    </w:p>
    <w:p w14:paraId="5B53B1F5" w14:textId="77777777" w:rsidR="00FB7C33" w:rsidRPr="00467A9E" w:rsidRDefault="00FB7C33" w:rsidP="00AA681A">
      <w:pPr>
        <w:rPr>
          <w:rFonts w:cstheme="minorHAnsi"/>
        </w:rPr>
      </w:pPr>
      <w:r w:rsidRPr="00467A9E">
        <w:rPr>
          <w:rFonts w:cstheme="minorHAnsi"/>
        </w:rPr>
        <w:t>A better understanding of clinical decision-making in minor stroke is needed to clarify current treatment patterns and facilitate targeted interventions to reduce variability.</w:t>
      </w:r>
      <w:hyperlink r:id="rId14" w:history="1">
        <w:r w:rsidRPr="00467A9E">
          <w:rPr>
            <w:rStyle w:val="Hyperlink"/>
            <w:rFonts w:eastAsiaTheme="majorEastAsia" w:cstheme="minorHAnsi"/>
            <w:color w:val="006ACC"/>
            <w:vertAlign w:val="superscript"/>
          </w:rPr>
          <w:t>5</w:t>
        </w:r>
      </w:hyperlink>
      <w:r w:rsidRPr="00467A9E">
        <w:rPr>
          <w:rFonts w:cstheme="minorHAnsi"/>
        </w:rPr>
        <w:t> Controversy exists among physicians regarding what constitutes a disabling minor deficit.</w:t>
      </w:r>
      <w:hyperlink r:id="rId15" w:history="1">
        <w:r w:rsidRPr="00467A9E">
          <w:rPr>
            <w:rStyle w:val="Hyperlink"/>
            <w:rFonts w:eastAsiaTheme="majorEastAsia" w:cstheme="minorHAnsi"/>
            <w:color w:val="006ACC"/>
            <w:vertAlign w:val="superscript"/>
          </w:rPr>
          <w:t>5</w:t>
        </w:r>
      </w:hyperlink>
      <w:r w:rsidRPr="00467A9E">
        <w:rPr>
          <w:rFonts w:cstheme="minorHAnsi"/>
          <w:vertAlign w:val="superscript"/>
        </w:rPr>
        <w:t>,</w:t>
      </w:r>
      <w:hyperlink r:id="rId16" w:history="1">
        <w:r w:rsidRPr="00467A9E">
          <w:rPr>
            <w:rStyle w:val="Hyperlink"/>
            <w:rFonts w:eastAsiaTheme="majorEastAsia" w:cstheme="minorHAnsi"/>
            <w:color w:val="006ACC"/>
            <w:vertAlign w:val="superscript"/>
          </w:rPr>
          <w:t>6</w:t>
        </w:r>
      </w:hyperlink>
      <w:r w:rsidRPr="00467A9E">
        <w:rPr>
          <w:rFonts w:cstheme="minorHAnsi"/>
        </w:rPr>
        <w:t> Additionally, empiric data regarding the risk-to-benefit ratio of thrombolysis in patients with nondisabling mild stroke symptoms are limited.</w:t>
      </w:r>
      <w:hyperlink r:id="rId17" w:history="1">
        <w:r w:rsidRPr="00467A9E">
          <w:rPr>
            <w:rStyle w:val="Hyperlink"/>
            <w:rFonts w:eastAsiaTheme="majorEastAsia" w:cstheme="minorHAnsi"/>
            <w:color w:val="006ACC"/>
            <w:vertAlign w:val="superscript"/>
          </w:rPr>
          <w:t>3</w:t>
        </w:r>
      </w:hyperlink>
      <w:r w:rsidRPr="00467A9E">
        <w:rPr>
          <w:rFonts w:cstheme="minorHAnsi"/>
          <w:vertAlign w:val="superscript"/>
        </w:rPr>
        <w:t>,</w:t>
      </w:r>
      <w:hyperlink r:id="rId18" w:history="1">
        <w:r w:rsidRPr="00467A9E">
          <w:rPr>
            <w:rStyle w:val="Hyperlink"/>
            <w:rFonts w:eastAsiaTheme="majorEastAsia" w:cstheme="minorHAnsi"/>
            <w:color w:val="006ACC"/>
            <w:vertAlign w:val="superscript"/>
          </w:rPr>
          <w:t>7</w:t>
        </w:r>
      </w:hyperlink>
      <w:r w:rsidRPr="00467A9E">
        <w:rPr>
          <w:rFonts w:cstheme="minorHAnsi"/>
        </w:rPr>
        <w:t> A recent randomized controlled trial of alteplase among patients with minor stroke without clearly disabling symptoms, The Potential of rtPA for Ischemic Strokes With Mild Symptoms (PRISMS) trial, was terminated early due to slow recruitment.</w:t>
      </w:r>
      <w:hyperlink r:id="rId19" w:history="1">
        <w:r w:rsidRPr="00467A9E">
          <w:rPr>
            <w:rStyle w:val="Hyperlink"/>
            <w:rFonts w:eastAsiaTheme="majorEastAsia" w:cstheme="minorHAnsi"/>
            <w:color w:val="006ACC"/>
            <w:vertAlign w:val="superscript"/>
          </w:rPr>
          <w:t>8</w:t>
        </w:r>
      </w:hyperlink>
      <w:r w:rsidRPr="00467A9E">
        <w:rPr>
          <w:rFonts w:cstheme="minorHAnsi"/>
        </w:rPr>
        <w:t> We, therefore, conducted a survey study using adaptive conjoint analysis (CA) to evaluate how physicians weigh various clinical features when deciding whether or not to thrombolyse patients with minor stroke.</w:t>
      </w:r>
    </w:p>
    <w:p w14:paraId="34DEE21D" w14:textId="77777777" w:rsidR="00FB7C33" w:rsidRPr="00467A9E" w:rsidRDefault="00FB7C33" w:rsidP="00AA681A">
      <w:pPr>
        <w:pStyle w:val="Heading1"/>
        <w:rPr>
          <w:rFonts w:asciiTheme="minorHAnsi" w:hAnsiTheme="minorHAnsi" w:cstheme="minorHAnsi"/>
        </w:rPr>
      </w:pPr>
      <w:bookmarkStart w:id="8" w:name="_i6"/>
      <w:bookmarkEnd w:id="8"/>
      <w:r w:rsidRPr="00467A9E">
        <w:rPr>
          <w:rFonts w:asciiTheme="minorHAnsi" w:hAnsiTheme="minorHAnsi" w:cstheme="minorHAnsi"/>
        </w:rPr>
        <w:t>Methods</w:t>
      </w:r>
    </w:p>
    <w:p w14:paraId="659551C4" w14:textId="77777777" w:rsidR="00FB7C33" w:rsidRPr="00467A9E" w:rsidRDefault="00FB7C33" w:rsidP="00AA681A">
      <w:pPr>
        <w:rPr>
          <w:rFonts w:cstheme="minorHAnsi"/>
        </w:rPr>
      </w:pPr>
      <w:r w:rsidRPr="00467A9E">
        <w:rPr>
          <w:rFonts w:cstheme="minorHAnsi"/>
        </w:rPr>
        <w:t>Conjoint analysis studies are implemented to quantitatively understand how decision makers consider and balance various aspects of a complex decision. Acute stroke thrombolysis decision-making is known to incorporate many factors,</w:t>
      </w:r>
      <w:hyperlink r:id="rId20" w:history="1">
        <w:r w:rsidRPr="00467A9E">
          <w:rPr>
            <w:rStyle w:val="Hyperlink"/>
            <w:rFonts w:eastAsiaTheme="majorEastAsia" w:cstheme="minorHAnsi"/>
            <w:color w:val="006ACC"/>
            <w:vertAlign w:val="superscript"/>
          </w:rPr>
          <w:t>9</w:t>
        </w:r>
      </w:hyperlink>
      <w:r w:rsidRPr="00467A9E">
        <w:rPr>
          <w:rFonts w:cstheme="minorHAnsi"/>
          <w:vertAlign w:val="superscript"/>
        </w:rPr>
        <w:t>,</w:t>
      </w:r>
      <w:hyperlink r:id="rId21" w:history="1">
        <w:r w:rsidRPr="00467A9E">
          <w:rPr>
            <w:rStyle w:val="Hyperlink"/>
            <w:rFonts w:eastAsiaTheme="majorEastAsia" w:cstheme="minorHAnsi"/>
            <w:color w:val="006ACC"/>
            <w:vertAlign w:val="superscript"/>
          </w:rPr>
          <w:t>10</w:t>
        </w:r>
      </w:hyperlink>
      <w:r w:rsidRPr="00467A9E">
        <w:rPr>
          <w:rFonts w:cstheme="minorHAnsi"/>
        </w:rPr>
        <w:t> making it a process well suited to CA. These analytical models are being increasingly used to understand decisions in the health-care environment via surveys directed toward patients, physicians, and other stakeholders to determine participants’ stated preferences over a range of attributes.</w:t>
      </w:r>
      <w:hyperlink r:id="rId22" w:history="1">
        <w:r w:rsidRPr="00467A9E">
          <w:rPr>
            <w:rStyle w:val="Hyperlink"/>
            <w:rFonts w:eastAsiaTheme="majorEastAsia" w:cstheme="minorHAnsi"/>
            <w:color w:val="006ACC"/>
            <w:vertAlign w:val="superscript"/>
          </w:rPr>
          <w:t>11</w:t>
        </w:r>
      </w:hyperlink>
      <w:r w:rsidRPr="00467A9E">
        <w:rPr>
          <w:rFonts w:cstheme="minorHAnsi"/>
        </w:rPr>
        <w:t> Unlike more traditional vignette studies where a finite number of vignettes are constructed via variation of selected attributes that are then presented to subgroups of participants,</w:t>
      </w:r>
      <w:hyperlink r:id="rId23" w:history="1">
        <w:r w:rsidRPr="00467A9E">
          <w:rPr>
            <w:rStyle w:val="Hyperlink"/>
            <w:rFonts w:eastAsiaTheme="majorEastAsia" w:cstheme="minorHAnsi"/>
            <w:color w:val="006ACC"/>
            <w:vertAlign w:val="superscript"/>
          </w:rPr>
          <w:t>9</w:t>
        </w:r>
      </w:hyperlink>
      <w:r w:rsidRPr="00467A9E">
        <w:rPr>
          <w:rFonts w:cstheme="minorHAnsi"/>
          <w:vertAlign w:val="superscript"/>
        </w:rPr>
        <w:t>,</w:t>
      </w:r>
      <w:hyperlink r:id="rId24" w:history="1">
        <w:r w:rsidRPr="00467A9E">
          <w:rPr>
            <w:rStyle w:val="Hyperlink"/>
            <w:rFonts w:eastAsiaTheme="majorEastAsia" w:cstheme="minorHAnsi"/>
            <w:color w:val="006ACC"/>
            <w:vertAlign w:val="superscript"/>
          </w:rPr>
          <w:t>10</w:t>
        </w:r>
      </w:hyperlink>
      <w:r w:rsidRPr="00467A9E">
        <w:rPr>
          <w:rFonts w:cstheme="minorHAnsi"/>
          <w:vertAlign w:val="superscript"/>
        </w:rPr>
        <w:t>,</w:t>
      </w:r>
      <w:hyperlink r:id="rId25" w:history="1">
        <w:r w:rsidRPr="00467A9E">
          <w:rPr>
            <w:rStyle w:val="Hyperlink"/>
            <w:rFonts w:eastAsiaTheme="majorEastAsia" w:cstheme="minorHAnsi"/>
            <w:color w:val="006ACC"/>
            <w:vertAlign w:val="superscript"/>
          </w:rPr>
          <w:t>12</w:t>
        </w:r>
      </w:hyperlink>
      <w:r w:rsidRPr="00467A9E">
        <w:rPr>
          <w:rFonts w:cstheme="minorHAnsi"/>
        </w:rPr>
        <w:t> CA studies evaluate trade-offs in an individual’s decision-making based on the interplay of all factors or attributes included in the survey.</w:t>
      </w:r>
      <w:hyperlink r:id="rId26" w:history="1">
        <w:r w:rsidRPr="00467A9E">
          <w:rPr>
            <w:rStyle w:val="Hyperlink"/>
            <w:rFonts w:eastAsiaTheme="majorEastAsia" w:cstheme="minorHAnsi"/>
            <w:color w:val="006ACC"/>
            <w:vertAlign w:val="superscript"/>
          </w:rPr>
          <w:t>13</w:t>
        </w:r>
      </w:hyperlink>
      <w:r w:rsidRPr="00467A9E">
        <w:rPr>
          <w:rFonts w:cstheme="minorHAnsi"/>
        </w:rPr>
        <w:t> A CA can thus be used to discover the relative importance of factors involved in a complex decision to a stakeholder.</w:t>
      </w:r>
      <w:hyperlink r:id="rId27" w:history="1">
        <w:r w:rsidRPr="00467A9E">
          <w:rPr>
            <w:rStyle w:val="Hyperlink"/>
            <w:rFonts w:eastAsiaTheme="majorEastAsia" w:cstheme="minorHAnsi"/>
            <w:color w:val="006ACC"/>
            <w:vertAlign w:val="superscript"/>
          </w:rPr>
          <w:t>11</w:t>
        </w:r>
      </w:hyperlink>
      <w:r w:rsidRPr="00467A9E">
        <w:rPr>
          <w:rFonts w:cstheme="minorHAnsi"/>
          <w:vertAlign w:val="superscript"/>
        </w:rPr>
        <w:t>,</w:t>
      </w:r>
      <w:hyperlink r:id="rId28" w:history="1">
        <w:r w:rsidRPr="00467A9E">
          <w:rPr>
            <w:rStyle w:val="Hyperlink"/>
            <w:rFonts w:eastAsiaTheme="majorEastAsia" w:cstheme="minorHAnsi"/>
            <w:color w:val="006ACC"/>
            <w:vertAlign w:val="superscript"/>
          </w:rPr>
          <w:t>13</w:t>
        </w:r>
      </w:hyperlink>
    </w:p>
    <w:p w14:paraId="2C6EC73D" w14:textId="77777777" w:rsidR="00FB7C33" w:rsidRPr="00467A9E" w:rsidRDefault="00FB7C33" w:rsidP="00AA681A">
      <w:pPr>
        <w:rPr>
          <w:rFonts w:cstheme="minorHAnsi"/>
        </w:rPr>
      </w:pPr>
      <w:r w:rsidRPr="00467A9E">
        <w:rPr>
          <w:rFonts w:cstheme="minorHAnsi"/>
        </w:rPr>
        <w:t>We used the Potentially All Pairwise RanKings of all possible Alternatives (PAPRIKA) method to construct our CA via the 1000Minds online software platform. This method determines participants’ preference values (weights) by asking simple questions involving trade-offs between attributes included in the survey. In economics and other social sciences, an individual’s preferences correspond to their underlying utility or desire for an option. There are, broadly speaking, 2 types of preferences: revealed and stated. Revealed preferences are derived from actual observed market activities, whereas stated preferences can be derived from surveys. The key principle behind the PAPRIKA method is that by repeatedly asking participants to choose 1 alternative from a set of 2 options, eventually enough information about their stated preferences will be generated to accurately rank all the attributes under consideration. Choosing between 2 alternatives is easier than choosing 1 alternative from among 3 or more options. The PAPRIKA method thus simplifies decision-making while still allowing the relative importance of each attribute included in the survey to each participant to be determined.</w:t>
      </w:r>
      <w:hyperlink r:id="rId29" w:history="1">
        <w:r w:rsidRPr="00467A9E">
          <w:rPr>
            <w:rStyle w:val="Hyperlink"/>
            <w:rFonts w:eastAsiaTheme="majorEastAsia" w:cstheme="minorHAnsi"/>
            <w:color w:val="006ACC"/>
            <w:vertAlign w:val="superscript"/>
          </w:rPr>
          <w:t>14</w:t>
        </w:r>
      </w:hyperlink>
    </w:p>
    <w:p w14:paraId="30DE2C61" w14:textId="77777777" w:rsidR="00FB7C33" w:rsidRPr="00467A9E" w:rsidRDefault="00FB7C33" w:rsidP="00AA681A">
      <w:pPr>
        <w:pStyle w:val="Heading2"/>
        <w:rPr>
          <w:rFonts w:asciiTheme="minorHAnsi" w:hAnsiTheme="minorHAnsi" w:cstheme="minorHAnsi"/>
        </w:rPr>
      </w:pPr>
      <w:r w:rsidRPr="00467A9E">
        <w:rPr>
          <w:rFonts w:asciiTheme="minorHAnsi" w:hAnsiTheme="minorHAnsi" w:cstheme="minorHAnsi"/>
        </w:rPr>
        <w:t>Survey Design</w:t>
      </w:r>
    </w:p>
    <w:p w14:paraId="56594813" w14:textId="77777777" w:rsidR="00FB7C33" w:rsidRPr="00467A9E" w:rsidRDefault="00FB7C33" w:rsidP="00AA681A">
      <w:pPr>
        <w:rPr>
          <w:rFonts w:cstheme="minorHAnsi"/>
        </w:rPr>
      </w:pPr>
      <w:r w:rsidRPr="00467A9E">
        <w:rPr>
          <w:rFonts w:cstheme="minorHAnsi"/>
        </w:rPr>
        <w:t>Our preference survey contained 6 patient-level attributes with 2 to 5 levels each (</w:t>
      </w:r>
      <w:hyperlink r:id="rId30" w:history="1">
        <w:r w:rsidRPr="00467A9E">
          <w:rPr>
            <w:rStyle w:val="Hyperlink"/>
            <w:rFonts w:eastAsiaTheme="majorEastAsia" w:cstheme="minorHAnsi"/>
            <w:color w:val="006ACC"/>
          </w:rPr>
          <w:t>Table 1</w:t>
        </w:r>
      </w:hyperlink>
      <w:r w:rsidRPr="00467A9E">
        <w:rPr>
          <w:rFonts w:cstheme="minorHAnsi"/>
        </w:rPr>
        <w:t>): language/speech (communication) deficits, motor deficits, and other neurological deficits (sensory loss, quadrantanopia, single limb ataxia, and neglect), history suggestive of potential increased risk of thrombolysis complication, age, and premorbid disability. Attributes were chosen based on prior research available at the time of study design. We selected neurological symptoms across different domains with low National Institutes of Health Stroke Scale (NIHSS) in keeping with the definition of minor stroke as NIHSS ≤3</w:t>
      </w:r>
      <w:hyperlink r:id="rId31" w:history="1">
        <w:r w:rsidRPr="00467A9E">
          <w:rPr>
            <w:rStyle w:val="Hyperlink"/>
            <w:rFonts w:eastAsiaTheme="majorEastAsia" w:cstheme="minorHAnsi"/>
            <w:color w:val="006ACC"/>
            <w:vertAlign w:val="superscript"/>
          </w:rPr>
          <w:t>15</w:t>
        </w:r>
      </w:hyperlink>
      <w:r w:rsidRPr="00467A9E">
        <w:rPr>
          <w:rFonts w:cstheme="minorHAnsi"/>
        </w:rPr>
        <w:t> and an earlier physician survey which found that cases where NIHSS ≤2 had poor physician consensus.</w:t>
      </w:r>
      <w:hyperlink r:id="rId32" w:history="1">
        <w:r w:rsidRPr="00467A9E">
          <w:rPr>
            <w:rStyle w:val="Hyperlink"/>
            <w:rFonts w:eastAsiaTheme="majorEastAsia" w:cstheme="minorHAnsi"/>
            <w:color w:val="006ACC"/>
            <w:vertAlign w:val="superscript"/>
          </w:rPr>
          <w:t>12</w:t>
        </w:r>
      </w:hyperlink>
      <w:r w:rsidRPr="00467A9E">
        <w:rPr>
          <w:rFonts w:cstheme="minorHAnsi"/>
        </w:rPr>
        <w:t> Another prior survey study found that premorbid status and age greater than 80 were factors that influenced alteplase use</w:t>
      </w:r>
      <w:hyperlink r:id="rId33" w:history="1">
        <w:r w:rsidRPr="00467A9E">
          <w:rPr>
            <w:rStyle w:val="Hyperlink"/>
            <w:rFonts w:eastAsiaTheme="majorEastAsia" w:cstheme="minorHAnsi"/>
            <w:color w:val="006ACC"/>
            <w:vertAlign w:val="superscript"/>
          </w:rPr>
          <w:t>16</w:t>
        </w:r>
      </w:hyperlink>
      <w:r w:rsidRPr="00467A9E">
        <w:rPr>
          <w:rFonts w:cstheme="minorHAnsi"/>
        </w:rPr>
        <w:t>; patient age and cognitive status also played a role in thrombolysis decision-making in a recent UK study.</w:t>
      </w:r>
      <w:hyperlink r:id="rId34" w:history="1">
        <w:r w:rsidRPr="00467A9E">
          <w:rPr>
            <w:rStyle w:val="Hyperlink"/>
            <w:rFonts w:eastAsiaTheme="majorEastAsia" w:cstheme="minorHAnsi"/>
            <w:color w:val="006ACC"/>
            <w:vertAlign w:val="superscript"/>
          </w:rPr>
          <w:t>13</w:t>
        </w:r>
      </w:hyperlink>
      <w:r w:rsidRPr="00467A9E">
        <w:rPr>
          <w:rFonts w:cstheme="minorHAnsi"/>
        </w:rPr>
        <w:t> We selected relative treatment contraindications (non-ST-segment elevation myocardial infarction in previous 3 months and genitourinary bleeding in the previous 21 days) that physicians reported being willing to disregard when surveyed.</w:t>
      </w:r>
      <w:hyperlink r:id="rId35" w:history="1">
        <w:r w:rsidRPr="00467A9E">
          <w:rPr>
            <w:rStyle w:val="Hyperlink"/>
            <w:rFonts w:eastAsiaTheme="majorEastAsia" w:cstheme="minorHAnsi"/>
            <w:color w:val="006ACC"/>
            <w:vertAlign w:val="superscript"/>
          </w:rPr>
          <w:t>17</w:t>
        </w:r>
      </w:hyperlink>
      <w:r w:rsidRPr="00467A9E">
        <w:rPr>
          <w:rFonts w:cstheme="minorHAnsi"/>
        </w:rPr>
        <w:t> Given our focus on trade-offs between attributes, we sought to avoid extreme values (eg, advanced dementia or active bleeding) when constructing our survey study to avoid biasing our results.</w:t>
      </w:r>
      <w:hyperlink r:id="rId36" w:history="1">
        <w:r w:rsidRPr="00467A9E">
          <w:rPr>
            <w:rStyle w:val="Hyperlink"/>
            <w:rFonts w:eastAsiaTheme="majorEastAsia" w:cstheme="minorHAnsi"/>
            <w:color w:val="006ACC"/>
            <w:vertAlign w:val="superscript"/>
          </w:rPr>
          <w:t>11</w:t>
        </w:r>
      </w:hyperlink>
    </w:p>
    <w:p w14:paraId="734F21DA" w14:textId="77777777" w:rsidR="00FB7C33" w:rsidRPr="00467A9E" w:rsidRDefault="00FB7C33" w:rsidP="00007401">
      <w:pPr>
        <w:pStyle w:val="NoSpacing"/>
        <w:rPr>
          <w:color w:val="333333"/>
        </w:rPr>
      </w:pPr>
      <w:r w:rsidRPr="00467A9E">
        <w:rPr>
          <w:rFonts w:eastAsiaTheme="majorEastAsia"/>
        </w:rPr>
        <w:t>Table 1.</w:t>
      </w:r>
      <w:r w:rsidRPr="00467A9E">
        <w:rPr>
          <w:color w:val="333333"/>
        </w:rPr>
        <w:t> </w:t>
      </w:r>
      <w:r w:rsidRPr="00467A9E">
        <w:t>Survey Attributes and Levels.</w:t>
      </w:r>
    </w:p>
    <w:tbl>
      <w:tblPr>
        <w:tblStyle w:val="TableGrid"/>
        <w:tblW w:w="0" w:type="auto"/>
        <w:tblLook w:val="04A0" w:firstRow="1" w:lastRow="0" w:firstColumn="1" w:lastColumn="0" w:noHBand="0" w:noVBand="1"/>
      </w:tblPr>
      <w:tblGrid>
        <w:gridCol w:w="1119"/>
        <w:gridCol w:w="1834"/>
        <w:gridCol w:w="1416"/>
        <w:gridCol w:w="1912"/>
        <w:gridCol w:w="1175"/>
        <w:gridCol w:w="1566"/>
        <w:gridCol w:w="1048"/>
      </w:tblGrid>
      <w:tr w:rsidR="00A02D3B" w:rsidRPr="00467A9E" w14:paraId="39676FD5" w14:textId="77777777" w:rsidTr="00613C2D">
        <w:tc>
          <w:tcPr>
            <w:tcW w:w="0" w:type="auto"/>
          </w:tcPr>
          <w:p w14:paraId="75A04731" w14:textId="77777777" w:rsidR="00A02D3B" w:rsidRPr="00467A9E" w:rsidRDefault="00A02D3B" w:rsidP="00007401">
            <w:pPr>
              <w:pStyle w:val="NoSpacing"/>
            </w:pPr>
          </w:p>
        </w:tc>
        <w:tc>
          <w:tcPr>
            <w:tcW w:w="0" w:type="auto"/>
          </w:tcPr>
          <w:p w14:paraId="20D822DB" w14:textId="77777777" w:rsidR="00A02D3B" w:rsidRPr="00467A9E" w:rsidRDefault="00A02D3B" w:rsidP="00007401">
            <w:pPr>
              <w:pStyle w:val="NoSpacing"/>
            </w:pPr>
          </w:p>
        </w:tc>
        <w:tc>
          <w:tcPr>
            <w:tcW w:w="0" w:type="auto"/>
          </w:tcPr>
          <w:p w14:paraId="1EBDEF5F" w14:textId="77777777" w:rsidR="00A02D3B" w:rsidRPr="00467A9E" w:rsidRDefault="00A02D3B" w:rsidP="00007401">
            <w:pPr>
              <w:pStyle w:val="NoSpacing"/>
            </w:pPr>
          </w:p>
        </w:tc>
        <w:tc>
          <w:tcPr>
            <w:tcW w:w="0" w:type="auto"/>
          </w:tcPr>
          <w:p w14:paraId="7794D1BF" w14:textId="15347FD1" w:rsidR="00A02D3B" w:rsidRPr="00467A9E" w:rsidRDefault="00BD2769" w:rsidP="00007401">
            <w:pPr>
              <w:pStyle w:val="NoSpacing"/>
            </w:pPr>
            <w:r w:rsidRPr="00467A9E">
              <w:t>Levels</w:t>
            </w:r>
          </w:p>
        </w:tc>
        <w:tc>
          <w:tcPr>
            <w:tcW w:w="0" w:type="auto"/>
          </w:tcPr>
          <w:p w14:paraId="233F7C1B" w14:textId="77777777" w:rsidR="00A02D3B" w:rsidRPr="00467A9E" w:rsidRDefault="00A02D3B" w:rsidP="00007401">
            <w:pPr>
              <w:pStyle w:val="NoSpacing"/>
            </w:pPr>
          </w:p>
        </w:tc>
        <w:tc>
          <w:tcPr>
            <w:tcW w:w="0" w:type="auto"/>
          </w:tcPr>
          <w:p w14:paraId="5588EB0E" w14:textId="77777777" w:rsidR="00A02D3B" w:rsidRPr="00467A9E" w:rsidRDefault="00A02D3B" w:rsidP="00007401">
            <w:pPr>
              <w:pStyle w:val="NoSpacing"/>
            </w:pPr>
          </w:p>
        </w:tc>
        <w:tc>
          <w:tcPr>
            <w:tcW w:w="0" w:type="auto"/>
          </w:tcPr>
          <w:p w14:paraId="00AE4A5D" w14:textId="77777777" w:rsidR="00A02D3B" w:rsidRPr="00467A9E" w:rsidRDefault="00A02D3B" w:rsidP="00007401">
            <w:pPr>
              <w:pStyle w:val="NoSpacing"/>
            </w:pPr>
          </w:p>
        </w:tc>
      </w:tr>
      <w:tr w:rsidR="00A02D3B" w:rsidRPr="00467A9E" w14:paraId="297F3917" w14:textId="77777777" w:rsidTr="00613C2D">
        <w:tc>
          <w:tcPr>
            <w:tcW w:w="0" w:type="auto"/>
          </w:tcPr>
          <w:p w14:paraId="503A1200" w14:textId="77777777" w:rsidR="00A02D3B" w:rsidRPr="00467A9E" w:rsidRDefault="00A02D3B" w:rsidP="00007401">
            <w:pPr>
              <w:pStyle w:val="NoSpacing"/>
            </w:pPr>
          </w:p>
        </w:tc>
        <w:tc>
          <w:tcPr>
            <w:tcW w:w="0" w:type="auto"/>
          </w:tcPr>
          <w:p w14:paraId="5ED16436" w14:textId="77777777" w:rsidR="00A02D3B" w:rsidRPr="00467A9E" w:rsidRDefault="00A02D3B" w:rsidP="00007401">
            <w:pPr>
              <w:pStyle w:val="NoSpacing"/>
            </w:pPr>
          </w:p>
        </w:tc>
        <w:tc>
          <w:tcPr>
            <w:tcW w:w="0" w:type="auto"/>
          </w:tcPr>
          <w:p w14:paraId="21FE6022" w14:textId="5A5A5F7C" w:rsidR="00A02D3B" w:rsidRPr="00467A9E" w:rsidRDefault="00A15DA7" w:rsidP="00007401">
            <w:pPr>
              <w:pStyle w:val="NoSpacing"/>
            </w:pPr>
            <w:r w:rsidRPr="00467A9E">
              <w:t>Low</w:t>
            </w:r>
          </w:p>
        </w:tc>
        <w:tc>
          <w:tcPr>
            <w:tcW w:w="0" w:type="auto"/>
          </w:tcPr>
          <w:p w14:paraId="36BABD23" w14:textId="37A6F544" w:rsidR="00A02D3B" w:rsidRPr="00467A9E" w:rsidRDefault="00315FAD" w:rsidP="00007401">
            <w:pPr>
              <w:pStyle w:val="NoSpacing"/>
            </w:pPr>
            <w:r w:rsidRPr="00467A9E">
              <w:t>Medium</w:t>
            </w:r>
          </w:p>
        </w:tc>
        <w:tc>
          <w:tcPr>
            <w:tcW w:w="0" w:type="auto"/>
          </w:tcPr>
          <w:p w14:paraId="34F6B7D0" w14:textId="77777777" w:rsidR="00A02D3B" w:rsidRPr="00467A9E" w:rsidRDefault="00A02D3B" w:rsidP="00007401">
            <w:pPr>
              <w:pStyle w:val="NoSpacing"/>
            </w:pPr>
          </w:p>
        </w:tc>
        <w:tc>
          <w:tcPr>
            <w:tcW w:w="0" w:type="auto"/>
          </w:tcPr>
          <w:p w14:paraId="77F68711" w14:textId="31013316" w:rsidR="00A02D3B" w:rsidRPr="00467A9E" w:rsidRDefault="00785A99" w:rsidP="00007401">
            <w:pPr>
              <w:pStyle w:val="NoSpacing"/>
            </w:pPr>
            <w:r w:rsidRPr="00467A9E">
              <w:t>High</w:t>
            </w:r>
          </w:p>
        </w:tc>
        <w:tc>
          <w:tcPr>
            <w:tcW w:w="0" w:type="auto"/>
          </w:tcPr>
          <w:p w14:paraId="47A89594" w14:textId="77777777" w:rsidR="00A02D3B" w:rsidRPr="00467A9E" w:rsidRDefault="00A02D3B" w:rsidP="00007401">
            <w:pPr>
              <w:pStyle w:val="NoSpacing"/>
            </w:pPr>
          </w:p>
        </w:tc>
      </w:tr>
      <w:tr w:rsidR="00A02D3B" w:rsidRPr="00467A9E" w14:paraId="23FE916E" w14:textId="77777777" w:rsidTr="00613C2D">
        <w:tc>
          <w:tcPr>
            <w:tcW w:w="0" w:type="auto"/>
          </w:tcPr>
          <w:p w14:paraId="10BDF788" w14:textId="77777777" w:rsidR="00A02D3B" w:rsidRPr="00467A9E" w:rsidRDefault="00A02D3B" w:rsidP="00007401">
            <w:pPr>
              <w:pStyle w:val="NoSpacing"/>
            </w:pPr>
          </w:p>
        </w:tc>
        <w:tc>
          <w:tcPr>
            <w:tcW w:w="0" w:type="auto"/>
          </w:tcPr>
          <w:p w14:paraId="62CDDD84" w14:textId="4B5ED354" w:rsidR="00A02D3B" w:rsidRPr="00467A9E" w:rsidRDefault="00A15DA7" w:rsidP="00007401">
            <w:pPr>
              <w:pStyle w:val="NoSpacing"/>
            </w:pPr>
            <w:r w:rsidRPr="00467A9E">
              <w:t>Communication deficit</w:t>
            </w:r>
          </w:p>
        </w:tc>
        <w:tc>
          <w:tcPr>
            <w:tcW w:w="0" w:type="auto"/>
          </w:tcPr>
          <w:p w14:paraId="0EB80B3D" w14:textId="33587C3A" w:rsidR="00A02D3B" w:rsidRPr="00467A9E" w:rsidRDefault="00D82696" w:rsidP="00007401">
            <w:pPr>
              <w:pStyle w:val="NoSpacing"/>
            </w:pPr>
            <w:r w:rsidRPr="00467A9E">
              <w:t>Trace dysarthria</w:t>
            </w:r>
          </w:p>
        </w:tc>
        <w:tc>
          <w:tcPr>
            <w:tcW w:w="0" w:type="auto"/>
          </w:tcPr>
          <w:p w14:paraId="4593E76B" w14:textId="7C322FE9" w:rsidR="00A02D3B" w:rsidRPr="00467A9E" w:rsidRDefault="00315FAD" w:rsidP="00007401">
            <w:pPr>
              <w:pStyle w:val="NoSpacing"/>
            </w:pPr>
            <w:r w:rsidRPr="00467A9E">
              <w:t>Mild dysarthria</w:t>
            </w:r>
          </w:p>
        </w:tc>
        <w:tc>
          <w:tcPr>
            <w:tcW w:w="0" w:type="auto"/>
          </w:tcPr>
          <w:p w14:paraId="5621DFEB" w14:textId="77777777" w:rsidR="00A02D3B" w:rsidRPr="00467A9E" w:rsidRDefault="00A02D3B" w:rsidP="00007401">
            <w:pPr>
              <w:pStyle w:val="NoSpacing"/>
            </w:pPr>
          </w:p>
        </w:tc>
        <w:tc>
          <w:tcPr>
            <w:tcW w:w="0" w:type="auto"/>
          </w:tcPr>
          <w:p w14:paraId="6C98115C" w14:textId="1066BD35" w:rsidR="00A02D3B" w:rsidRPr="00467A9E" w:rsidRDefault="002B5957" w:rsidP="00007401">
            <w:pPr>
              <w:pStyle w:val="NoSpacing"/>
            </w:pPr>
            <w:r w:rsidRPr="00467A9E">
              <w:t>Mild aphasia</w:t>
            </w:r>
          </w:p>
        </w:tc>
        <w:tc>
          <w:tcPr>
            <w:tcW w:w="0" w:type="auto"/>
          </w:tcPr>
          <w:p w14:paraId="20DEF235" w14:textId="77777777" w:rsidR="00A02D3B" w:rsidRPr="00467A9E" w:rsidRDefault="00A02D3B" w:rsidP="00007401">
            <w:pPr>
              <w:pStyle w:val="NoSpacing"/>
            </w:pPr>
          </w:p>
        </w:tc>
      </w:tr>
      <w:tr w:rsidR="00A02D3B" w:rsidRPr="00467A9E" w14:paraId="5309E3A9" w14:textId="77777777" w:rsidTr="00613C2D">
        <w:tc>
          <w:tcPr>
            <w:tcW w:w="0" w:type="auto"/>
          </w:tcPr>
          <w:p w14:paraId="781DE8F2" w14:textId="77777777" w:rsidR="00A02D3B" w:rsidRPr="00467A9E" w:rsidRDefault="00A02D3B" w:rsidP="00007401">
            <w:pPr>
              <w:pStyle w:val="NoSpacing"/>
            </w:pPr>
          </w:p>
        </w:tc>
        <w:tc>
          <w:tcPr>
            <w:tcW w:w="0" w:type="auto"/>
          </w:tcPr>
          <w:p w14:paraId="2E7E90C3" w14:textId="759E80E9" w:rsidR="00A02D3B" w:rsidRPr="00467A9E" w:rsidRDefault="00F51934" w:rsidP="00007401">
            <w:pPr>
              <w:pStyle w:val="NoSpacing"/>
            </w:pPr>
            <w:r w:rsidRPr="00467A9E">
              <w:t>Motor deficit</w:t>
            </w:r>
          </w:p>
        </w:tc>
        <w:tc>
          <w:tcPr>
            <w:tcW w:w="0" w:type="auto"/>
          </w:tcPr>
          <w:p w14:paraId="488464A0" w14:textId="2D441D46" w:rsidR="00A02D3B" w:rsidRPr="00467A9E" w:rsidRDefault="00D82696" w:rsidP="00007401">
            <w:pPr>
              <w:pStyle w:val="NoSpacing"/>
            </w:pPr>
            <w:r w:rsidRPr="00467A9E">
              <w:t>Isolated facial droop</w:t>
            </w:r>
          </w:p>
        </w:tc>
        <w:tc>
          <w:tcPr>
            <w:tcW w:w="0" w:type="auto"/>
          </w:tcPr>
          <w:p w14:paraId="1A153B86" w14:textId="70BB784C" w:rsidR="00A02D3B" w:rsidRPr="00467A9E" w:rsidRDefault="00B4305D" w:rsidP="00007401">
            <w:pPr>
              <w:pStyle w:val="NoSpacing"/>
            </w:pPr>
            <w:r w:rsidRPr="00467A9E">
              <w:t>Isolated nondominant hand weakness</w:t>
            </w:r>
          </w:p>
        </w:tc>
        <w:tc>
          <w:tcPr>
            <w:tcW w:w="0" w:type="auto"/>
          </w:tcPr>
          <w:p w14:paraId="3B993EA6" w14:textId="49DF6FC7" w:rsidR="00A02D3B" w:rsidRPr="00467A9E" w:rsidRDefault="00565218" w:rsidP="00007401">
            <w:pPr>
              <w:pStyle w:val="NoSpacing"/>
            </w:pPr>
            <w:r w:rsidRPr="00467A9E">
              <w:t>Isolated dominant hand weakness</w:t>
            </w:r>
          </w:p>
        </w:tc>
        <w:tc>
          <w:tcPr>
            <w:tcW w:w="0" w:type="auto"/>
          </w:tcPr>
          <w:p w14:paraId="01053E46" w14:textId="7A268431" w:rsidR="00A02D3B" w:rsidRPr="00467A9E" w:rsidRDefault="00D6549E" w:rsidP="00007401">
            <w:pPr>
              <w:pStyle w:val="NoSpacing"/>
            </w:pPr>
            <w:r w:rsidRPr="00467A9E">
              <w:t>Mild arm and mild leg weakness</w:t>
            </w:r>
          </w:p>
        </w:tc>
        <w:tc>
          <w:tcPr>
            <w:tcW w:w="0" w:type="auto"/>
          </w:tcPr>
          <w:p w14:paraId="4132C059" w14:textId="507343E6" w:rsidR="00A02D3B" w:rsidRPr="00467A9E" w:rsidRDefault="00D6549E" w:rsidP="00007401">
            <w:pPr>
              <w:pStyle w:val="NoSpacing"/>
            </w:pPr>
            <w:r w:rsidRPr="00467A9E">
              <w:t>Truncal ataxia leading to inability to walk</w:t>
            </w:r>
          </w:p>
        </w:tc>
      </w:tr>
      <w:tr w:rsidR="00A02D3B" w:rsidRPr="00467A9E" w14:paraId="658E6008" w14:textId="77777777" w:rsidTr="00613C2D">
        <w:tc>
          <w:tcPr>
            <w:tcW w:w="0" w:type="auto"/>
          </w:tcPr>
          <w:p w14:paraId="3D6F9AB8" w14:textId="1B6191CA" w:rsidR="00A02D3B" w:rsidRPr="00467A9E" w:rsidRDefault="00965404" w:rsidP="00007401">
            <w:pPr>
              <w:pStyle w:val="NoSpacing"/>
            </w:pPr>
            <w:r w:rsidRPr="00467A9E">
              <w:t>Attributes</w:t>
            </w:r>
          </w:p>
        </w:tc>
        <w:tc>
          <w:tcPr>
            <w:tcW w:w="0" w:type="auto"/>
          </w:tcPr>
          <w:p w14:paraId="7D8F53E4" w14:textId="18533977" w:rsidR="00A02D3B" w:rsidRPr="00467A9E" w:rsidRDefault="00F51934" w:rsidP="00007401">
            <w:pPr>
              <w:pStyle w:val="NoSpacing"/>
            </w:pPr>
            <w:proofErr w:type="gramStart"/>
            <w:r w:rsidRPr="00467A9E">
              <w:t>Other</w:t>
            </w:r>
            <w:proofErr w:type="gramEnd"/>
            <w:r w:rsidRPr="00467A9E">
              <w:t xml:space="preserve"> neurological deficit</w:t>
            </w:r>
          </w:p>
        </w:tc>
        <w:tc>
          <w:tcPr>
            <w:tcW w:w="0" w:type="auto"/>
          </w:tcPr>
          <w:p w14:paraId="7E9243DE" w14:textId="6267735F" w:rsidR="00A02D3B" w:rsidRPr="00467A9E" w:rsidRDefault="001F62B3" w:rsidP="00007401">
            <w:pPr>
              <w:pStyle w:val="NoSpacing"/>
            </w:pPr>
            <w:r w:rsidRPr="00467A9E">
              <w:t>Mild unilateral sensory loss</w:t>
            </w:r>
          </w:p>
        </w:tc>
        <w:tc>
          <w:tcPr>
            <w:tcW w:w="0" w:type="auto"/>
          </w:tcPr>
          <w:p w14:paraId="4C42872C" w14:textId="6277DD9F" w:rsidR="00A02D3B" w:rsidRPr="00467A9E" w:rsidRDefault="0035170F" w:rsidP="00007401">
            <w:pPr>
              <w:pStyle w:val="NoSpacing"/>
            </w:pPr>
            <w:r w:rsidRPr="00467A9E">
              <w:t>Quadrantanopia</w:t>
            </w:r>
          </w:p>
        </w:tc>
        <w:tc>
          <w:tcPr>
            <w:tcW w:w="0" w:type="auto"/>
          </w:tcPr>
          <w:p w14:paraId="2F486FA3" w14:textId="6094D0E0" w:rsidR="00A02D3B" w:rsidRPr="00467A9E" w:rsidRDefault="00565218" w:rsidP="00007401">
            <w:pPr>
              <w:pStyle w:val="NoSpacing"/>
            </w:pPr>
            <w:r w:rsidRPr="00467A9E">
              <w:t>Single limb ataxia</w:t>
            </w:r>
          </w:p>
        </w:tc>
        <w:tc>
          <w:tcPr>
            <w:tcW w:w="0" w:type="auto"/>
          </w:tcPr>
          <w:p w14:paraId="08EF9317" w14:textId="1D6E39C1" w:rsidR="00A02D3B" w:rsidRPr="00467A9E" w:rsidRDefault="0020192D" w:rsidP="00007401">
            <w:pPr>
              <w:pStyle w:val="NoSpacing"/>
            </w:pPr>
            <w:r w:rsidRPr="00467A9E">
              <w:t>Visual or sensory neglect</w:t>
            </w:r>
          </w:p>
        </w:tc>
        <w:tc>
          <w:tcPr>
            <w:tcW w:w="0" w:type="auto"/>
          </w:tcPr>
          <w:p w14:paraId="69EA88C8" w14:textId="77777777" w:rsidR="00A02D3B" w:rsidRPr="00467A9E" w:rsidRDefault="00A02D3B" w:rsidP="00007401">
            <w:pPr>
              <w:pStyle w:val="NoSpacing"/>
            </w:pPr>
          </w:p>
        </w:tc>
      </w:tr>
      <w:tr w:rsidR="00A02D3B" w:rsidRPr="00467A9E" w14:paraId="27519D42" w14:textId="77777777" w:rsidTr="00613C2D">
        <w:tc>
          <w:tcPr>
            <w:tcW w:w="0" w:type="auto"/>
          </w:tcPr>
          <w:p w14:paraId="22070B05" w14:textId="77777777" w:rsidR="00A02D3B" w:rsidRPr="00467A9E" w:rsidRDefault="00A02D3B" w:rsidP="00007401">
            <w:pPr>
              <w:pStyle w:val="NoSpacing"/>
            </w:pPr>
          </w:p>
        </w:tc>
        <w:tc>
          <w:tcPr>
            <w:tcW w:w="0" w:type="auto"/>
          </w:tcPr>
          <w:p w14:paraId="033E78D1" w14:textId="5D3B3717" w:rsidR="00A02D3B" w:rsidRPr="00467A9E" w:rsidRDefault="00D55474" w:rsidP="00007401">
            <w:pPr>
              <w:pStyle w:val="NoSpacing"/>
            </w:pPr>
            <w:r w:rsidRPr="00467A9E">
              <w:t>Relative intravenous alteplase treatment contraindication</w:t>
            </w:r>
          </w:p>
        </w:tc>
        <w:tc>
          <w:tcPr>
            <w:tcW w:w="0" w:type="auto"/>
          </w:tcPr>
          <w:p w14:paraId="0EAD8DAB" w14:textId="77777777" w:rsidR="00A02D3B" w:rsidRPr="00467A9E" w:rsidRDefault="00A02D3B" w:rsidP="00007401">
            <w:pPr>
              <w:pStyle w:val="NoSpacing"/>
            </w:pPr>
          </w:p>
        </w:tc>
        <w:tc>
          <w:tcPr>
            <w:tcW w:w="0" w:type="auto"/>
          </w:tcPr>
          <w:p w14:paraId="3320A540" w14:textId="04342435" w:rsidR="00A02D3B" w:rsidRPr="00467A9E" w:rsidRDefault="00363609" w:rsidP="00007401">
            <w:pPr>
              <w:pStyle w:val="NoSpacing"/>
            </w:pPr>
            <w:r w:rsidRPr="00467A9E">
              <w:t>Non-ST-segment elevation myocardial infarction (NSTEMI) in previous 3 months</w:t>
            </w:r>
          </w:p>
        </w:tc>
        <w:tc>
          <w:tcPr>
            <w:tcW w:w="0" w:type="auto"/>
          </w:tcPr>
          <w:p w14:paraId="067067B6" w14:textId="77777777" w:rsidR="00A02D3B" w:rsidRPr="00467A9E" w:rsidRDefault="00A02D3B" w:rsidP="00007401">
            <w:pPr>
              <w:pStyle w:val="NoSpacing"/>
            </w:pPr>
          </w:p>
        </w:tc>
        <w:tc>
          <w:tcPr>
            <w:tcW w:w="0" w:type="auto"/>
          </w:tcPr>
          <w:p w14:paraId="21477454" w14:textId="1558A2F4" w:rsidR="00A02D3B" w:rsidRPr="00467A9E" w:rsidRDefault="0020192D" w:rsidP="00007401">
            <w:pPr>
              <w:pStyle w:val="NoSpacing"/>
            </w:pPr>
            <w:r w:rsidRPr="00467A9E">
              <w:t>Genitourinary bleeding in previous 21 days</w:t>
            </w:r>
          </w:p>
        </w:tc>
        <w:tc>
          <w:tcPr>
            <w:tcW w:w="0" w:type="auto"/>
          </w:tcPr>
          <w:p w14:paraId="4D4691BB" w14:textId="77777777" w:rsidR="00A02D3B" w:rsidRPr="00467A9E" w:rsidRDefault="00A02D3B" w:rsidP="00007401">
            <w:pPr>
              <w:pStyle w:val="NoSpacing"/>
            </w:pPr>
          </w:p>
        </w:tc>
      </w:tr>
      <w:tr w:rsidR="00A02D3B" w:rsidRPr="00467A9E" w14:paraId="102A73EB" w14:textId="77777777" w:rsidTr="00613C2D">
        <w:tc>
          <w:tcPr>
            <w:tcW w:w="0" w:type="auto"/>
          </w:tcPr>
          <w:p w14:paraId="010ABD27" w14:textId="77777777" w:rsidR="00A02D3B" w:rsidRPr="00467A9E" w:rsidRDefault="00A02D3B" w:rsidP="00007401">
            <w:pPr>
              <w:pStyle w:val="NoSpacing"/>
            </w:pPr>
          </w:p>
        </w:tc>
        <w:tc>
          <w:tcPr>
            <w:tcW w:w="0" w:type="auto"/>
          </w:tcPr>
          <w:p w14:paraId="14074249" w14:textId="1AB26D6D" w:rsidR="00A02D3B" w:rsidRPr="00467A9E" w:rsidRDefault="00D55474" w:rsidP="00007401">
            <w:pPr>
              <w:pStyle w:val="NoSpacing"/>
            </w:pPr>
            <w:r w:rsidRPr="00467A9E">
              <w:t>Age (years)</w:t>
            </w:r>
          </w:p>
        </w:tc>
        <w:tc>
          <w:tcPr>
            <w:tcW w:w="0" w:type="auto"/>
          </w:tcPr>
          <w:p w14:paraId="75869813" w14:textId="5EDC4CEF" w:rsidR="00A02D3B" w:rsidRPr="00467A9E" w:rsidRDefault="001F62B3" w:rsidP="00007401">
            <w:pPr>
              <w:pStyle w:val="NoSpacing"/>
            </w:pPr>
            <w:r w:rsidRPr="00467A9E">
              <w:t>75</w:t>
            </w:r>
          </w:p>
        </w:tc>
        <w:tc>
          <w:tcPr>
            <w:tcW w:w="0" w:type="auto"/>
          </w:tcPr>
          <w:p w14:paraId="47850707" w14:textId="59FC3FCA" w:rsidR="00A02D3B" w:rsidRPr="00467A9E" w:rsidRDefault="008E4AD2" w:rsidP="00007401">
            <w:pPr>
              <w:pStyle w:val="NoSpacing"/>
            </w:pPr>
            <w:r w:rsidRPr="00467A9E">
              <w:t>81</w:t>
            </w:r>
          </w:p>
        </w:tc>
        <w:tc>
          <w:tcPr>
            <w:tcW w:w="0" w:type="auto"/>
          </w:tcPr>
          <w:p w14:paraId="556B6BFC" w14:textId="6FC10040" w:rsidR="00A02D3B" w:rsidRPr="00467A9E" w:rsidRDefault="00A02D3B" w:rsidP="00007401">
            <w:pPr>
              <w:pStyle w:val="NoSpacing"/>
            </w:pPr>
          </w:p>
        </w:tc>
        <w:tc>
          <w:tcPr>
            <w:tcW w:w="0" w:type="auto"/>
          </w:tcPr>
          <w:p w14:paraId="151A9796" w14:textId="0C8B76F2" w:rsidR="00A02D3B" w:rsidRPr="00467A9E" w:rsidRDefault="008677E0" w:rsidP="00007401">
            <w:pPr>
              <w:pStyle w:val="NoSpacing"/>
            </w:pPr>
            <w:r w:rsidRPr="00467A9E">
              <w:t>92</w:t>
            </w:r>
          </w:p>
        </w:tc>
        <w:tc>
          <w:tcPr>
            <w:tcW w:w="0" w:type="auto"/>
          </w:tcPr>
          <w:p w14:paraId="383624B1" w14:textId="77777777" w:rsidR="00A02D3B" w:rsidRPr="00467A9E" w:rsidRDefault="00A02D3B" w:rsidP="00007401">
            <w:pPr>
              <w:pStyle w:val="NoSpacing"/>
            </w:pPr>
          </w:p>
        </w:tc>
      </w:tr>
      <w:tr w:rsidR="00A02D3B" w:rsidRPr="00467A9E" w14:paraId="64CA550A" w14:textId="77777777" w:rsidTr="00613C2D">
        <w:tc>
          <w:tcPr>
            <w:tcW w:w="0" w:type="auto"/>
          </w:tcPr>
          <w:p w14:paraId="47ADBB23" w14:textId="77777777" w:rsidR="00A02D3B" w:rsidRPr="00467A9E" w:rsidRDefault="00A02D3B" w:rsidP="00007401">
            <w:pPr>
              <w:pStyle w:val="NoSpacing"/>
            </w:pPr>
          </w:p>
        </w:tc>
        <w:tc>
          <w:tcPr>
            <w:tcW w:w="0" w:type="auto"/>
          </w:tcPr>
          <w:p w14:paraId="4E656420" w14:textId="77777777" w:rsidR="00A02D3B" w:rsidRPr="00467A9E" w:rsidRDefault="00A02D3B" w:rsidP="00007401">
            <w:pPr>
              <w:pStyle w:val="NoSpacing"/>
            </w:pPr>
          </w:p>
          <w:p w14:paraId="6EF11377" w14:textId="0E12B9EF" w:rsidR="000D210E" w:rsidRPr="00467A9E" w:rsidRDefault="000D210E" w:rsidP="00007401">
            <w:pPr>
              <w:pStyle w:val="NoSpacing"/>
            </w:pPr>
            <w:r w:rsidRPr="00467A9E">
              <w:t>Premorbid functional status</w:t>
            </w:r>
          </w:p>
        </w:tc>
        <w:tc>
          <w:tcPr>
            <w:tcW w:w="0" w:type="auto"/>
          </w:tcPr>
          <w:p w14:paraId="3184AFB2" w14:textId="51AF3AE9" w:rsidR="00A02D3B" w:rsidRPr="00467A9E" w:rsidRDefault="00A640E1" w:rsidP="00007401">
            <w:pPr>
              <w:pStyle w:val="NoSpacing"/>
            </w:pPr>
            <w:r w:rsidRPr="00467A9E">
              <w:t>Fully independent</w:t>
            </w:r>
          </w:p>
        </w:tc>
        <w:tc>
          <w:tcPr>
            <w:tcW w:w="0" w:type="auto"/>
          </w:tcPr>
          <w:p w14:paraId="4A55160E" w14:textId="7D2F280F" w:rsidR="00A02D3B" w:rsidRPr="00467A9E" w:rsidRDefault="007A6AF8" w:rsidP="00007401">
            <w:pPr>
              <w:pStyle w:val="NoSpacing"/>
            </w:pPr>
            <w:r w:rsidRPr="00467A9E">
              <w:t>Needs help paying bills</w:t>
            </w:r>
          </w:p>
        </w:tc>
        <w:tc>
          <w:tcPr>
            <w:tcW w:w="0" w:type="auto"/>
          </w:tcPr>
          <w:p w14:paraId="3D3C017C" w14:textId="6B06D9A1" w:rsidR="00A02D3B" w:rsidRPr="00467A9E" w:rsidRDefault="002B5957" w:rsidP="00007401">
            <w:pPr>
              <w:pStyle w:val="NoSpacing"/>
            </w:pPr>
            <w:r w:rsidRPr="00467A9E">
              <w:t>Needs a cane to ambulate</w:t>
            </w:r>
          </w:p>
        </w:tc>
        <w:tc>
          <w:tcPr>
            <w:tcW w:w="0" w:type="auto"/>
          </w:tcPr>
          <w:p w14:paraId="4211C930" w14:textId="62894A96" w:rsidR="00A02D3B" w:rsidRPr="00467A9E" w:rsidRDefault="0078173C" w:rsidP="00007401">
            <w:pPr>
              <w:pStyle w:val="NoSpacing"/>
            </w:pPr>
            <w:r w:rsidRPr="00467A9E">
              <w:t>Needs a walker to ambulate</w:t>
            </w:r>
          </w:p>
        </w:tc>
        <w:tc>
          <w:tcPr>
            <w:tcW w:w="0" w:type="auto"/>
          </w:tcPr>
          <w:p w14:paraId="3F6019CB" w14:textId="77777777" w:rsidR="00A02D3B" w:rsidRPr="00467A9E" w:rsidRDefault="00A02D3B" w:rsidP="00007401">
            <w:pPr>
              <w:pStyle w:val="NoSpacing"/>
            </w:pPr>
          </w:p>
        </w:tc>
      </w:tr>
    </w:tbl>
    <w:p w14:paraId="3DD2A686" w14:textId="1C39AEB4" w:rsidR="00FB7C33" w:rsidRPr="00467A9E" w:rsidRDefault="00FB7C33" w:rsidP="00FB7C33">
      <w:pPr>
        <w:shd w:val="clear" w:color="auto" w:fill="FFFFFF"/>
        <w:spacing w:line="390" w:lineRule="atLeast"/>
        <w:rPr>
          <w:rFonts w:cstheme="minorHAnsi"/>
          <w:color w:val="333333"/>
        </w:rPr>
      </w:pPr>
    </w:p>
    <w:p w14:paraId="43CD7B6F" w14:textId="77777777" w:rsidR="00FB7C33" w:rsidRPr="00467A9E" w:rsidRDefault="00FB7C33" w:rsidP="00965404">
      <w:pPr>
        <w:rPr>
          <w:rFonts w:cstheme="minorHAnsi"/>
        </w:rPr>
      </w:pPr>
      <w:r w:rsidRPr="00467A9E">
        <w:rPr>
          <w:rFonts w:cstheme="minorHAnsi"/>
        </w:rPr>
        <w:t xml:space="preserve">Survey participants were informed prior to starting our survey that questions would involve trade-offs between clinical attributes, that their answers depend on </w:t>
      </w:r>
      <w:proofErr w:type="gramStart"/>
      <w:r w:rsidRPr="00467A9E">
        <w:rPr>
          <w:rFonts w:cstheme="minorHAnsi"/>
        </w:rPr>
        <w:t>personal opinion</w:t>
      </w:r>
      <w:proofErr w:type="gramEnd"/>
      <w:r w:rsidRPr="00467A9E">
        <w:rPr>
          <w:rFonts w:cstheme="minorHAnsi"/>
        </w:rPr>
        <w:t>, and that each question is unique. Participants were then presented with thrombolysis treatment scenarios (eg, 92-year-old with isolated nondominant hand weakness versus 75-year-old with mild aphasia) based on a combination of 2, and only 2, attribute levels. They were asked “which of these 2 (hypothetical) alternatives do you prefer to treat with intravenous-type plasminogen activator (tPA)? (all else being equal)” for each scenario set. Participants could select either scenario or “they are equal” (Supplemental Figure 1). We imposed some constraints on the survey design to prohibit treatment scenarios with deficits that did not fit a typical single vascular syndrome (eg, ataxia and aphasia) or where total NIHSS &gt;3. The attributes and levels presented in a treatment scenario automatically adapted based on a participant’s prior choices. Each time a participant selected 1 option from a pair of hypothetical alternatives, the PAPRIKA method was applied to immediately identify all other pairs of alternatives that could be ranked based on that selection and eliminated those scenarios from being presented; primarily, the logical property of transitivity was used. The number of questions presented to each survey participant therefore was variable based on their individual choices.</w:t>
      </w:r>
    </w:p>
    <w:p w14:paraId="3D05344E" w14:textId="77777777" w:rsidR="00FB7C33" w:rsidRPr="00467A9E" w:rsidRDefault="00FB7C33" w:rsidP="00E52970">
      <w:pPr>
        <w:pStyle w:val="Heading2"/>
        <w:rPr>
          <w:rFonts w:asciiTheme="minorHAnsi" w:hAnsiTheme="minorHAnsi" w:cstheme="minorHAnsi"/>
        </w:rPr>
      </w:pPr>
      <w:r w:rsidRPr="00467A9E">
        <w:rPr>
          <w:rFonts w:asciiTheme="minorHAnsi" w:hAnsiTheme="minorHAnsi" w:cstheme="minorHAnsi"/>
        </w:rPr>
        <w:t>Participant Recruitment</w:t>
      </w:r>
    </w:p>
    <w:p w14:paraId="0BB46C28" w14:textId="77777777" w:rsidR="00FB7C33" w:rsidRPr="00467A9E" w:rsidRDefault="00FB7C33" w:rsidP="00E52970">
      <w:pPr>
        <w:rPr>
          <w:rFonts w:cstheme="minorHAnsi"/>
        </w:rPr>
      </w:pPr>
      <w:r w:rsidRPr="00467A9E">
        <w:rPr>
          <w:rFonts w:cstheme="minorHAnsi"/>
        </w:rPr>
        <w:t>We recruited physicians treating patients with acute stroke in the US via StrokeNET (Regional Coordinating Center Principal Investigators and to their spoke investigators)</w:t>
      </w:r>
      <w:hyperlink r:id="rId37" w:history="1">
        <w:r w:rsidRPr="00467A9E">
          <w:rPr>
            <w:rStyle w:val="Hyperlink"/>
            <w:rFonts w:eastAsiaTheme="majorEastAsia" w:cstheme="minorHAnsi"/>
            <w:color w:val="006ACC"/>
            <w:vertAlign w:val="superscript"/>
          </w:rPr>
          <w:t>18</w:t>
        </w:r>
      </w:hyperlink>
      <w:r w:rsidRPr="00467A9E">
        <w:rPr>
          <w:rFonts w:cstheme="minorHAnsi"/>
        </w:rPr>
        <w:t> as well as via the official e-mail listings of vascular neurology fellowship directors, neurocritical care physicians, and emergency department physicians (total N = 853). The survey was opened for participation in January 2017 and closed in July 2017. Participants consented to our study by clicking on the hyperlink displayed in the survey invitation. Each participant was instructed to complete the survey only once. Participants completed a brief demographics questionnaire once they finished the preference survey. The Montefiore Medical Center institutional review board (no.: 2016-6921) approved this study.</w:t>
      </w:r>
    </w:p>
    <w:p w14:paraId="23A5E983" w14:textId="77777777" w:rsidR="00FB7C33" w:rsidRPr="00467A9E" w:rsidRDefault="00FB7C33" w:rsidP="00E52970">
      <w:pPr>
        <w:pStyle w:val="Heading2"/>
        <w:rPr>
          <w:rFonts w:asciiTheme="minorHAnsi" w:hAnsiTheme="minorHAnsi" w:cstheme="minorHAnsi"/>
        </w:rPr>
      </w:pPr>
      <w:r w:rsidRPr="00467A9E">
        <w:rPr>
          <w:rFonts w:asciiTheme="minorHAnsi" w:hAnsiTheme="minorHAnsi" w:cstheme="minorHAnsi"/>
        </w:rPr>
        <w:t>Statistical Analysis</w:t>
      </w:r>
    </w:p>
    <w:p w14:paraId="2EFC1C29" w14:textId="77777777" w:rsidR="00FB7C33" w:rsidRPr="00467A9E" w:rsidRDefault="00FB7C33" w:rsidP="00E52970">
      <w:pPr>
        <w:rPr>
          <w:rFonts w:cstheme="minorHAnsi"/>
        </w:rPr>
      </w:pPr>
      <w:r w:rsidRPr="00467A9E">
        <w:rPr>
          <w:rFonts w:cstheme="minorHAnsi"/>
        </w:rPr>
        <w:t>Stated participant preferences (weights) were generated using the PAPRIKA method to represent the relative importance of each attribute for each decision maker. Overall mean preference values with standard deviation (SD) and mean rank are reported for all included attributes. We used unadjusted paired </w:t>
      </w:r>
      <w:r w:rsidRPr="00467A9E">
        <w:rPr>
          <w:rFonts w:cstheme="minorHAnsi"/>
          <w:i/>
          <w:iCs/>
        </w:rPr>
        <w:t>t</w:t>
      </w:r>
      <w:r w:rsidRPr="00467A9E">
        <w:rPr>
          <w:rFonts w:cstheme="minorHAnsi"/>
        </w:rPr>
        <w:t> tests to compare mean preference values. Marginal rate of substitution, the rate at which a participant will substitute one attribute in exchange for another while maintaining the same level of utility, was determined. We used Kendall coefficient of concordance to assess agreement among all participants (1 = perfect agreement, 0 = perfect disagreement) across all possible alternatives. The threshold for statistical significance allowed for an α error of .05.</w:t>
      </w:r>
    </w:p>
    <w:p w14:paraId="18D11502" w14:textId="77777777" w:rsidR="00FB7C33" w:rsidRPr="00467A9E" w:rsidRDefault="00FB7C33" w:rsidP="00E52970">
      <w:pPr>
        <w:pStyle w:val="Heading1"/>
        <w:rPr>
          <w:rFonts w:asciiTheme="minorHAnsi" w:hAnsiTheme="minorHAnsi" w:cstheme="minorHAnsi"/>
        </w:rPr>
      </w:pPr>
      <w:bookmarkStart w:id="9" w:name="_i11"/>
      <w:bookmarkEnd w:id="9"/>
      <w:r w:rsidRPr="00467A9E">
        <w:rPr>
          <w:rFonts w:asciiTheme="minorHAnsi" w:hAnsiTheme="minorHAnsi" w:cstheme="minorHAnsi"/>
        </w:rPr>
        <w:t>Results</w:t>
      </w:r>
    </w:p>
    <w:p w14:paraId="281FA57A" w14:textId="77777777" w:rsidR="00FB7C33" w:rsidRPr="00467A9E" w:rsidRDefault="00FB7C33" w:rsidP="00E52970">
      <w:pPr>
        <w:rPr>
          <w:rFonts w:cstheme="minorHAnsi"/>
        </w:rPr>
      </w:pPr>
      <w:r w:rsidRPr="00467A9E">
        <w:rPr>
          <w:rFonts w:cstheme="minorHAnsi"/>
        </w:rPr>
        <w:t>Among 94 individuals who selected the survey link, 54 participants completed the survey in full. Among these 54 participants, 59% were male, 61% were vascular neurologists, 93% worked in academic centers, and 52% had been in practice for more than 10 years (</w:t>
      </w:r>
      <w:hyperlink r:id="rId38" w:history="1">
        <w:r w:rsidRPr="00467A9E">
          <w:rPr>
            <w:rStyle w:val="Hyperlink"/>
            <w:rFonts w:eastAsiaTheme="majorEastAsia" w:cstheme="minorHAnsi"/>
            <w:color w:val="006ACC"/>
          </w:rPr>
          <w:t>Table 2</w:t>
        </w:r>
      </w:hyperlink>
      <w:r w:rsidRPr="00467A9E">
        <w:rPr>
          <w:rFonts w:cstheme="minorHAnsi"/>
        </w:rPr>
        <w:t>). The median number of questions presented to each participant was 27 (interquartile range: 21-32); the number of questions did not exceed 49 for any participant. The survey took an average of 9 minutes to complete; the questionnaire following the survey took an average of 58 seconds to complete.</w:t>
      </w:r>
    </w:p>
    <w:p w14:paraId="6186CF20" w14:textId="77777777" w:rsidR="00FB7C33" w:rsidRPr="00467A9E" w:rsidRDefault="00FB7C33" w:rsidP="00613C2D">
      <w:pPr>
        <w:pStyle w:val="NoSpacing"/>
      </w:pPr>
      <w:r w:rsidRPr="00467A9E">
        <w:t>Table 2. Participant Questionnaire.</w:t>
      </w:r>
      <w:r w:rsidRPr="00467A9E">
        <w:rPr>
          <w:vertAlign w:val="superscript"/>
        </w:rPr>
        <w:t>a</w:t>
      </w:r>
    </w:p>
    <w:tbl>
      <w:tblPr>
        <w:tblStyle w:val="TableGrid"/>
        <w:tblW w:w="0" w:type="auto"/>
        <w:tblLook w:val="04A0" w:firstRow="1" w:lastRow="0" w:firstColumn="1" w:lastColumn="0" w:noHBand="0" w:noVBand="1"/>
      </w:tblPr>
      <w:tblGrid>
        <w:gridCol w:w="3347"/>
        <w:gridCol w:w="1013"/>
      </w:tblGrid>
      <w:tr w:rsidR="009373A0" w:rsidRPr="00467A9E" w14:paraId="5828BB1C" w14:textId="77777777" w:rsidTr="00613C2D">
        <w:tc>
          <w:tcPr>
            <w:tcW w:w="0" w:type="auto"/>
          </w:tcPr>
          <w:p w14:paraId="3F9BFB75" w14:textId="77777777" w:rsidR="009373A0" w:rsidRPr="00467A9E" w:rsidRDefault="009373A0" w:rsidP="00613C2D">
            <w:pPr>
              <w:pStyle w:val="NoSpacing"/>
            </w:pPr>
          </w:p>
        </w:tc>
        <w:tc>
          <w:tcPr>
            <w:tcW w:w="0" w:type="auto"/>
          </w:tcPr>
          <w:p w14:paraId="5E0A9CA8" w14:textId="7C01075E" w:rsidR="009373A0" w:rsidRPr="00467A9E" w:rsidRDefault="00050B96" w:rsidP="00613C2D">
            <w:pPr>
              <w:pStyle w:val="NoSpacing"/>
            </w:pPr>
            <w:r w:rsidRPr="00467A9E">
              <w:t>N (%)</w:t>
            </w:r>
          </w:p>
        </w:tc>
      </w:tr>
      <w:tr w:rsidR="009373A0" w:rsidRPr="00467A9E" w14:paraId="274E6843" w14:textId="77777777" w:rsidTr="00613C2D">
        <w:tc>
          <w:tcPr>
            <w:tcW w:w="0" w:type="auto"/>
          </w:tcPr>
          <w:p w14:paraId="2D9F1876" w14:textId="3F87386B" w:rsidR="009373A0" w:rsidRPr="00467A9E" w:rsidRDefault="00050B96" w:rsidP="00613C2D">
            <w:pPr>
              <w:pStyle w:val="NoSpacing"/>
            </w:pPr>
            <w:r w:rsidRPr="00467A9E">
              <w:t>Level of training</w:t>
            </w:r>
          </w:p>
        </w:tc>
        <w:tc>
          <w:tcPr>
            <w:tcW w:w="0" w:type="auto"/>
          </w:tcPr>
          <w:p w14:paraId="4B7A20F0" w14:textId="3399D58D" w:rsidR="009373A0" w:rsidRPr="00467A9E" w:rsidRDefault="009373A0" w:rsidP="00613C2D">
            <w:pPr>
              <w:pStyle w:val="NoSpacing"/>
            </w:pPr>
          </w:p>
        </w:tc>
      </w:tr>
      <w:tr w:rsidR="009373A0" w:rsidRPr="00467A9E" w14:paraId="5DE74103" w14:textId="77777777" w:rsidTr="00613C2D">
        <w:tc>
          <w:tcPr>
            <w:tcW w:w="0" w:type="auto"/>
          </w:tcPr>
          <w:p w14:paraId="06029A5A" w14:textId="41C25D2D" w:rsidR="009373A0" w:rsidRPr="00467A9E" w:rsidRDefault="007C6510" w:rsidP="00613C2D">
            <w:pPr>
              <w:pStyle w:val="NoSpacing"/>
            </w:pPr>
            <w:r w:rsidRPr="00467A9E">
              <w:t>Resident</w:t>
            </w:r>
          </w:p>
        </w:tc>
        <w:tc>
          <w:tcPr>
            <w:tcW w:w="0" w:type="auto"/>
          </w:tcPr>
          <w:p w14:paraId="2CE8112A" w14:textId="2FA24B5B" w:rsidR="009373A0" w:rsidRPr="00467A9E" w:rsidRDefault="003C14B4" w:rsidP="00613C2D">
            <w:pPr>
              <w:pStyle w:val="NoSpacing"/>
            </w:pPr>
            <w:r w:rsidRPr="00467A9E">
              <w:t>1 (1.9)</w:t>
            </w:r>
          </w:p>
        </w:tc>
      </w:tr>
      <w:tr w:rsidR="009373A0" w:rsidRPr="00467A9E" w14:paraId="4A78EFDB" w14:textId="77777777" w:rsidTr="00613C2D">
        <w:tc>
          <w:tcPr>
            <w:tcW w:w="0" w:type="auto"/>
          </w:tcPr>
          <w:p w14:paraId="0BB5F83E" w14:textId="7FD24EC0" w:rsidR="009373A0" w:rsidRPr="00467A9E" w:rsidRDefault="005A3995" w:rsidP="00613C2D">
            <w:pPr>
              <w:pStyle w:val="NoSpacing"/>
            </w:pPr>
            <w:r w:rsidRPr="00467A9E">
              <w:t>Vascular neurology fellow</w:t>
            </w:r>
          </w:p>
        </w:tc>
        <w:tc>
          <w:tcPr>
            <w:tcW w:w="0" w:type="auto"/>
          </w:tcPr>
          <w:p w14:paraId="5F01286E" w14:textId="7716E0EC" w:rsidR="009373A0" w:rsidRPr="00467A9E" w:rsidRDefault="003C14B4" w:rsidP="00613C2D">
            <w:pPr>
              <w:pStyle w:val="NoSpacing"/>
            </w:pPr>
            <w:r w:rsidRPr="00467A9E">
              <w:t>2 (3.7)</w:t>
            </w:r>
          </w:p>
        </w:tc>
      </w:tr>
      <w:tr w:rsidR="009373A0" w:rsidRPr="00467A9E" w14:paraId="3EA03979" w14:textId="77777777" w:rsidTr="00613C2D">
        <w:tc>
          <w:tcPr>
            <w:tcW w:w="0" w:type="auto"/>
          </w:tcPr>
          <w:p w14:paraId="1C9693FB" w14:textId="46D8738D" w:rsidR="009373A0" w:rsidRPr="00467A9E" w:rsidRDefault="005A3995" w:rsidP="00613C2D">
            <w:pPr>
              <w:pStyle w:val="NoSpacing"/>
            </w:pPr>
            <w:proofErr w:type="gramStart"/>
            <w:r w:rsidRPr="00467A9E">
              <w:t>Other</w:t>
            </w:r>
            <w:proofErr w:type="gramEnd"/>
            <w:r w:rsidRPr="00467A9E">
              <w:t xml:space="preserve"> fellow</w:t>
            </w:r>
          </w:p>
        </w:tc>
        <w:tc>
          <w:tcPr>
            <w:tcW w:w="0" w:type="auto"/>
          </w:tcPr>
          <w:p w14:paraId="57B7BB7B" w14:textId="447AAFD1" w:rsidR="009373A0" w:rsidRPr="00467A9E" w:rsidRDefault="003C14B4" w:rsidP="00613C2D">
            <w:pPr>
              <w:pStyle w:val="NoSpacing"/>
            </w:pPr>
            <w:r w:rsidRPr="00467A9E">
              <w:t>1 (1.9)</w:t>
            </w:r>
          </w:p>
        </w:tc>
      </w:tr>
      <w:tr w:rsidR="009373A0" w:rsidRPr="00467A9E" w14:paraId="1BE1267E" w14:textId="77777777" w:rsidTr="00613C2D">
        <w:tc>
          <w:tcPr>
            <w:tcW w:w="0" w:type="auto"/>
          </w:tcPr>
          <w:p w14:paraId="23C99DFE" w14:textId="6B8CBB1D" w:rsidR="009373A0" w:rsidRPr="00467A9E" w:rsidRDefault="00140B54" w:rsidP="00613C2D">
            <w:pPr>
              <w:pStyle w:val="NoSpacing"/>
            </w:pPr>
            <w:r w:rsidRPr="00467A9E">
              <w:t>&lt;5 years in practice</w:t>
            </w:r>
          </w:p>
        </w:tc>
        <w:tc>
          <w:tcPr>
            <w:tcW w:w="0" w:type="auto"/>
          </w:tcPr>
          <w:p w14:paraId="08BED43F" w14:textId="488B0A9C" w:rsidR="009373A0" w:rsidRPr="00467A9E" w:rsidRDefault="003C14B4" w:rsidP="00613C2D">
            <w:pPr>
              <w:pStyle w:val="NoSpacing"/>
            </w:pPr>
            <w:r w:rsidRPr="00467A9E">
              <w:t>13 (24)</w:t>
            </w:r>
          </w:p>
        </w:tc>
      </w:tr>
      <w:tr w:rsidR="009373A0" w:rsidRPr="00467A9E" w14:paraId="174ED85A" w14:textId="77777777" w:rsidTr="00613C2D">
        <w:tc>
          <w:tcPr>
            <w:tcW w:w="0" w:type="auto"/>
          </w:tcPr>
          <w:p w14:paraId="278E6CB1" w14:textId="5A3E6022" w:rsidR="009373A0" w:rsidRPr="00467A9E" w:rsidRDefault="00140B54" w:rsidP="00613C2D">
            <w:pPr>
              <w:pStyle w:val="NoSpacing"/>
            </w:pPr>
            <w:r w:rsidRPr="00467A9E">
              <w:t>5-15 years in practice</w:t>
            </w:r>
          </w:p>
        </w:tc>
        <w:tc>
          <w:tcPr>
            <w:tcW w:w="0" w:type="auto"/>
          </w:tcPr>
          <w:p w14:paraId="1DEC8FA1" w14:textId="20345374" w:rsidR="009373A0" w:rsidRPr="00467A9E" w:rsidRDefault="003C14B4" w:rsidP="00613C2D">
            <w:pPr>
              <w:pStyle w:val="NoSpacing"/>
            </w:pPr>
            <w:r w:rsidRPr="00467A9E">
              <w:t>19 (35.2)</w:t>
            </w:r>
          </w:p>
        </w:tc>
      </w:tr>
      <w:tr w:rsidR="009373A0" w:rsidRPr="00467A9E" w14:paraId="64E5C577" w14:textId="77777777" w:rsidTr="00613C2D">
        <w:tc>
          <w:tcPr>
            <w:tcW w:w="0" w:type="auto"/>
          </w:tcPr>
          <w:p w14:paraId="46CEA566" w14:textId="61F5CD81" w:rsidR="009373A0" w:rsidRPr="00467A9E" w:rsidRDefault="00140B54" w:rsidP="00613C2D">
            <w:pPr>
              <w:pStyle w:val="NoSpacing"/>
            </w:pPr>
            <w:r w:rsidRPr="00467A9E">
              <w:t>&gt;15 years in practice</w:t>
            </w:r>
          </w:p>
        </w:tc>
        <w:tc>
          <w:tcPr>
            <w:tcW w:w="0" w:type="auto"/>
          </w:tcPr>
          <w:p w14:paraId="00AC1672" w14:textId="5E72011B" w:rsidR="009373A0" w:rsidRPr="00467A9E" w:rsidRDefault="003C14B4" w:rsidP="00613C2D">
            <w:pPr>
              <w:pStyle w:val="NoSpacing"/>
            </w:pPr>
            <w:r w:rsidRPr="00467A9E">
              <w:t>18 (33.3)</w:t>
            </w:r>
          </w:p>
        </w:tc>
      </w:tr>
      <w:tr w:rsidR="003C14B4" w:rsidRPr="00467A9E" w14:paraId="463A32D7" w14:textId="77777777" w:rsidTr="00613C2D">
        <w:tc>
          <w:tcPr>
            <w:tcW w:w="0" w:type="auto"/>
          </w:tcPr>
          <w:p w14:paraId="5DFBAAB2" w14:textId="6FF59067" w:rsidR="003C14B4" w:rsidRPr="00467A9E" w:rsidRDefault="00944C9A" w:rsidP="00613C2D">
            <w:pPr>
              <w:pStyle w:val="NoSpacing"/>
            </w:pPr>
            <w:r w:rsidRPr="00467A9E">
              <w:t>Sex</w:t>
            </w:r>
          </w:p>
        </w:tc>
        <w:tc>
          <w:tcPr>
            <w:tcW w:w="0" w:type="auto"/>
          </w:tcPr>
          <w:p w14:paraId="1AD05ADB" w14:textId="77777777" w:rsidR="003C14B4" w:rsidRPr="00467A9E" w:rsidRDefault="003C14B4" w:rsidP="00613C2D">
            <w:pPr>
              <w:pStyle w:val="NoSpacing"/>
            </w:pPr>
          </w:p>
        </w:tc>
      </w:tr>
      <w:tr w:rsidR="003C14B4" w:rsidRPr="00467A9E" w14:paraId="4008CB6C" w14:textId="77777777" w:rsidTr="00613C2D">
        <w:tc>
          <w:tcPr>
            <w:tcW w:w="0" w:type="auto"/>
          </w:tcPr>
          <w:p w14:paraId="41BD2D2F" w14:textId="2764BD85" w:rsidR="003C14B4" w:rsidRPr="00467A9E" w:rsidRDefault="00944C9A" w:rsidP="00613C2D">
            <w:pPr>
              <w:pStyle w:val="NoSpacing"/>
            </w:pPr>
            <w:r w:rsidRPr="00467A9E">
              <w:t>Female</w:t>
            </w:r>
          </w:p>
        </w:tc>
        <w:tc>
          <w:tcPr>
            <w:tcW w:w="0" w:type="auto"/>
          </w:tcPr>
          <w:p w14:paraId="117B3E11" w14:textId="3CC273B9" w:rsidR="003C14B4" w:rsidRPr="00467A9E" w:rsidRDefault="00935DED" w:rsidP="00613C2D">
            <w:pPr>
              <w:pStyle w:val="NoSpacing"/>
            </w:pPr>
            <w:r w:rsidRPr="00467A9E">
              <w:t>22 (40.7)</w:t>
            </w:r>
          </w:p>
        </w:tc>
      </w:tr>
      <w:tr w:rsidR="003C14B4" w:rsidRPr="00467A9E" w14:paraId="2B5CAF7A" w14:textId="77777777" w:rsidTr="00613C2D">
        <w:tc>
          <w:tcPr>
            <w:tcW w:w="0" w:type="auto"/>
          </w:tcPr>
          <w:p w14:paraId="2C70BF62" w14:textId="5E93EC8A" w:rsidR="003C14B4" w:rsidRPr="00467A9E" w:rsidRDefault="00935DED" w:rsidP="00613C2D">
            <w:pPr>
              <w:pStyle w:val="NoSpacing"/>
            </w:pPr>
            <w:r w:rsidRPr="00467A9E">
              <w:t>Specialty</w:t>
            </w:r>
          </w:p>
        </w:tc>
        <w:tc>
          <w:tcPr>
            <w:tcW w:w="0" w:type="auto"/>
          </w:tcPr>
          <w:p w14:paraId="7C6AE193" w14:textId="77777777" w:rsidR="003C14B4" w:rsidRPr="00467A9E" w:rsidRDefault="003C14B4" w:rsidP="00613C2D">
            <w:pPr>
              <w:pStyle w:val="NoSpacing"/>
            </w:pPr>
          </w:p>
        </w:tc>
      </w:tr>
      <w:tr w:rsidR="003C14B4" w:rsidRPr="00467A9E" w14:paraId="448D3B57" w14:textId="77777777" w:rsidTr="00613C2D">
        <w:tc>
          <w:tcPr>
            <w:tcW w:w="0" w:type="auto"/>
          </w:tcPr>
          <w:p w14:paraId="1DC4A487" w14:textId="6EDE8E1B" w:rsidR="003C14B4" w:rsidRPr="00467A9E" w:rsidRDefault="007B7BD5" w:rsidP="00613C2D">
            <w:pPr>
              <w:pStyle w:val="NoSpacing"/>
            </w:pPr>
            <w:r w:rsidRPr="00467A9E">
              <w:t>Neurology resident</w:t>
            </w:r>
          </w:p>
        </w:tc>
        <w:tc>
          <w:tcPr>
            <w:tcW w:w="0" w:type="auto"/>
          </w:tcPr>
          <w:p w14:paraId="1BE89447" w14:textId="273D477D" w:rsidR="003C14B4" w:rsidRPr="00467A9E" w:rsidRDefault="007B7BD5" w:rsidP="00613C2D">
            <w:pPr>
              <w:pStyle w:val="NoSpacing"/>
            </w:pPr>
            <w:r w:rsidRPr="00467A9E">
              <w:t>1 (1.9)</w:t>
            </w:r>
          </w:p>
        </w:tc>
      </w:tr>
      <w:tr w:rsidR="003C14B4" w:rsidRPr="00467A9E" w14:paraId="23B1C2CF" w14:textId="77777777" w:rsidTr="00613C2D">
        <w:tc>
          <w:tcPr>
            <w:tcW w:w="0" w:type="auto"/>
          </w:tcPr>
          <w:p w14:paraId="792A4062" w14:textId="4545B855" w:rsidR="003C14B4" w:rsidRPr="00467A9E" w:rsidRDefault="00102D84" w:rsidP="00613C2D">
            <w:pPr>
              <w:pStyle w:val="NoSpacing"/>
            </w:pPr>
            <w:r w:rsidRPr="00467A9E">
              <w:t>Neurocritical care</w:t>
            </w:r>
          </w:p>
        </w:tc>
        <w:tc>
          <w:tcPr>
            <w:tcW w:w="0" w:type="auto"/>
          </w:tcPr>
          <w:p w14:paraId="64F4F040" w14:textId="2ED9C0A9" w:rsidR="003C14B4" w:rsidRPr="00467A9E" w:rsidRDefault="00102D84" w:rsidP="00613C2D">
            <w:pPr>
              <w:pStyle w:val="NoSpacing"/>
            </w:pPr>
            <w:r w:rsidRPr="00467A9E">
              <w:t>10 (18.5)</w:t>
            </w:r>
          </w:p>
        </w:tc>
      </w:tr>
      <w:tr w:rsidR="003C14B4" w:rsidRPr="00467A9E" w14:paraId="7499545E" w14:textId="77777777" w:rsidTr="00613C2D">
        <w:tc>
          <w:tcPr>
            <w:tcW w:w="0" w:type="auto"/>
          </w:tcPr>
          <w:p w14:paraId="758B46D4" w14:textId="0EB3E665" w:rsidR="003C14B4" w:rsidRPr="00467A9E" w:rsidRDefault="00361DE9" w:rsidP="00613C2D">
            <w:pPr>
              <w:pStyle w:val="NoSpacing"/>
            </w:pPr>
            <w:r w:rsidRPr="00467A9E">
              <w:t>Vascular neurology</w:t>
            </w:r>
          </w:p>
        </w:tc>
        <w:tc>
          <w:tcPr>
            <w:tcW w:w="0" w:type="auto"/>
          </w:tcPr>
          <w:p w14:paraId="7B2925BA" w14:textId="53D9A1EE" w:rsidR="003C14B4" w:rsidRPr="00467A9E" w:rsidRDefault="00361DE9" w:rsidP="00613C2D">
            <w:pPr>
              <w:pStyle w:val="NoSpacing"/>
            </w:pPr>
            <w:r w:rsidRPr="00467A9E">
              <w:t>33 (61.1)</w:t>
            </w:r>
          </w:p>
        </w:tc>
      </w:tr>
      <w:tr w:rsidR="003C14B4" w:rsidRPr="00467A9E" w14:paraId="4C10D2F6" w14:textId="77777777" w:rsidTr="00613C2D">
        <w:tc>
          <w:tcPr>
            <w:tcW w:w="0" w:type="auto"/>
          </w:tcPr>
          <w:p w14:paraId="39468778" w14:textId="4E9B293F" w:rsidR="003C14B4" w:rsidRPr="00467A9E" w:rsidRDefault="00603CE6" w:rsidP="00613C2D">
            <w:pPr>
              <w:pStyle w:val="NoSpacing"/>
            </w:pPr>
            <w:r w:rsidRPr="00467A9E">
              <w:t>Emergency medicine</w:t>
            </w:r>
          </w:p>
        </w:tc>
        <w:tc>
          <w:tcPr>
            <w:tcW w:w="0" w:type="auto"/>
          </w:tcPr>
          <w:p w14:paraId="61C7E108" w14:textId="2C1D5DB7" w:rsidR="003C14B4" w:rsidRPr="00467A9E" w:rsidRDefault="00603CE6" w:rsidP="00613C2D">
            <w:pPr>
              <w:pStyle w:val="NoSpacing"/>
            </w:pPr>
            <w:r w:rsidRPr="00467A9E">
              <w:t>7 (13.0)</w:t>
            </w:r>
          </w:p>
        </w:tc>
      </w:tr>
      <w:tr w:rsidR="003C14B4" w:rsidRPr="00467A9E" w14:paraId="4235ED45" w14:textId="77777777" w:rsidTr="00613C2D">
        <w:tc>
          <w:tcPr>
            <w:tcW w:w="0" w:type="auto"/>
          </w:tcPr>
          <w:p w14:paraId="3C7A0627" w14:textId="78CCE2CC" w:rsidR="003C14B4" w:rsidRPr="00467A9E" w:rsidRDefault="00217C36" w:rsidP="00613C2D">
            <w:pPr>
              <w:pStyle w:val="NoSpacing"/>
            </w:pPr>
            <w:r w:rsidRPr="00467A9E">
              <w:t>Other</w:t>
            </w:r>
            <w:r w:rsidRPr="00467A9E">
              <w:rPr>
                <w:vertAlign w:val="superscript"/>
              </w:rPr>
              <w:t>b</w:t>
            </w:r>
          </w:p>
        </w:tc>
        <w:tc>
          <w:tcPr>
            <w:tcW w:w="0" w:type="auto"/>
          </w:tcPr>
          <w:p w14:paraId="304AD764" w14:textId="2927EDF2" w:rsidR="003C14B4" w:rsidRPr="00467A9E" w:rsidRDefault="00E117DA" w:rsidP="00613C2D">
            <w:pPr>
              <w:pStyle w:val="NoSpacing"/>
            </w:pPr>
            <w:r w:rsidRPr="00467A9E">
              <w:t>3 (5.6)</w:t>
            </w:r>
          </w:p>
        </w:tc>
      </w:tr>
      <w:tr w:rsidR="00E117DA" w:rsidRPr="00467A9E" w14:paraId="2056FD3D" w14:textId="77777777" w:rsidTr="00613C2D">
        <w:tc>
          <w:tcPr>
            <w:tcW w:w="0" w:type="auto"/>
          </w:tcPr>
          <w:p w14:paraId="11CBDA35" w14:textId="3A15F611" w:rsidR="00E117DA" w:rsidRPr="00467A9E" w:rsidRDefault="00692D8C" w:rsidP="00613C2D">
            <w:pPr>
              <w:pStyle w:val="NoSpacing"/>
            </w:pPr>
            <w:r w:rsidRPr="00467A9E">
              <w:t>Hospital setting</w:t>
            </w:r>
          </w:p>
        </w:tc>
        <w:tc>
          <w:tcPr>
            <w:tcW w:w="0" w:type="auto"/>
          </w:tcPr>
          <w:p w14:paraId="547ED24F" w14:textId="77777777" w:rsidR="00E117DA" w:rsidRPr="00467A9E" w:rsidRDefault="00E117DA" w:rsidP="00613C2D">
            <w:pPr>
              <w:pStyle w:val="NoSpacing"/>
            </w:pPr>
          </w:p>
        </w:tc>
      </w:tr>
      <w:tr w:rsidR="00E117DA" w:rsidRPr="00467A9E" w14:paraId="5A153798" w14:textId="77777777" w:rsidTr="00613C2D">
        <w:tc>
          <w:tcPr>
            <w:tcW w:w="0" w:type="auto"/>
          </w:tcPr>
          <w:p w14:paraId="443DCD26" w14:textId="04EF01C2" w:rsidR="00E117DA" w:rsidRPr="00467A9E" w:rsidRDefault="003841C7" w:rsidP="00613C2D">
            <w:pPr>
              <w:pStyle w:val="NoSpacing"/>
            </w:pPr>
            <w:r w:rsidRPr="00467A9E">
              <w:t>Academic</w:t>
            </w:r>
          </w:p>
        </w:tc>
        <w:tc>
          <w:tcPr>
            <w:tcW w:w="0" w:type="auto"/>
          </w:tcPr>
          <w:p w14:paraId="11F4094B" w14:textId="3D7FD15A" w:rsidR="00E117DA" w:rsidRPr="00467A9E" w:rsidRDefault="003638F4" w:rsidP="00613C2D">
            <w:pPr>
              <w:pStyle w:val="NoSpacing"/>
            </w:pPr>
            <w:r w:rsidRPr="00467A9E">
              <w:t>50 (92.6)</w:t>
            </w:r>
          </w:p>
        </w:tc>
      </w:tr>
      <w:tr w:rsidR="00E117DA" w:rsidRPr="00467A9E" w14:paraId="707EA56E" w14:textId="77777777" w:rsidTr="00613C2D">
        <w:tc>
          <w:tcPr>
            <w:tcW w:w="0" w:type="auto"/>
          </w:tcPr>
          <w:p w14:paraId="7B02A8A4" w14:textId="7E099BFD" w:rsidR="00E117DA" w:rsidRPr="00467A9E" w:rsidRDefault="003638F4" w:rsidP="00613C2D">
            <w:pPr>
              <w:pStyle w:val="NoSpacing"/>
            </w:pPr>
            <w:r w:rsidRPr="00467A9E">
              <w:t>Community</w:t>
            </w:r>
          </w:p>
        </w:tc>
        <w:tc>
          <w:tcPr>
            <w:tcW w:w="0" w:type="auto"/>
          </w:tcPr>
          <w:p w14:paraId="300CA765" w14:textId="4814DA80" w:rsidR="00E117DA" w:rsidRPr="00467A9E" w:rsidRDefault="0004579F" w:rsidP="00613C2D">
            <w:pPr>
              <w:pStyle w:val="NoSpacing"/>
            </w:pPr>
            <w:r w:rsidRPr="00467A9E">
              <w:t>4 (7.4)</w:t>
            </w:r>
          </w:p>
        </w:tc>
      </w:tr>
      <w:tr w:rsidR="00E117DA" w:rsidRPr="00467A9E" w14:paraId="144DBB53" w14:textId="77777777" w:rsidTr="00613C2D">
        <w:tc>
          <w:tcPr>
            <w:tcW w:w="0" w:type="auto"/>
          </w:tcPr>
          <w:p w14:paraId="459D61B3" w14:textId="41233EB0" w:rsidR="00E117DA" w:rsidRPr="00467A9E" w:rsidRDefault="00DB5923" w:rsidP="00613C2D">
            <w:pPr>
              <w:pStyle w:val="NoSpacing"/>
            </w:pPr>
            <w:r w:rsidRPr="00467A9E">
              <w:t>US location</w:t>
            </w:r>
          </w:p>
        </w:tc>
        <w:tc>
          <w:tcPr>
            <w:tcW w:w="0" w:type="auto"/>
          </w:tcPr>
          <w:p w14:paraId="41B9E9DE" w14:textId="77777777" w:rsidR="00E117DA" w:rsidRPr="00467A9E" w:rsidRDefault="00E117DA" w:rsidP="00613C2D">
            <w:pPr>
              <w:pStyle w:val="NoSpacing"/>
            </w:pPr>
          </w:p>
        </w:tc>
      </w:tr>
      <w:tr w:rsidR="00E117DA" w:rsidRPr="00467A9E" w14:paraId="10F48EF1" w14:textId="77777777" w:rsidTr="00613C2D">
        <w:tc>
          <w:tcPr>
            <w:tcW w:w="0" w:type="auto"/>
          </w:tcPr>
          <w:p w14:paraId="0518122F" w14:textId="04C74447" w:rsidR="00E117DA" w:rsidRPr="00467A9E" w:rsidRDefault="00DB5923" w:rsidP="00613C2D">
            <w:pPr>
              <w:pStyle w:val="NoSpacing"/>
            </w:pPr>
            <w:r w:rsidRPr="00467A9E">
              <w:t>Northeastern</w:t>
            </w:r>
          </w:p>
        </w:tc>
        <w:tc>
          <w:tcPr>
            <w:tcW w:w="0" w:type="auto"/>
          </w:tcPr>
          <w:p w14:paraId="077E3CF1" w14:textId="588A465D" w:rsidR="00E117DA" w:rsidRPr="00467A9E" w:rsidRDefault="003617E6" w:rsidP="00613C2D">
            <w:pPr>
              <w:pStyle w:val="NoSpacing"/>
            </w:pPr>
            <w:r w:rsidRPr="00467A9E">
              <w:t>13 (24.1)</w:t>
            </w:r>
          </w:p>
        </w:tc>
      </w:tr>
      <w:tr w:rsidR="00E117DA" w:rsidRPr="00467A9E" w14:paraId="1A5BDE9F" w14:textId="77777777" w:rsidTr="00613C2D">
        <w:tc>
          <w:tcPr>
            <w:tcW w:w="0" w:type="auto"/>
          </w:tcPr>
          <w:p w14:paraId="111C7F88" w14:textId="7688560F" w:rsidR="00E117DA" w:rsidRPr="00467A9E" w:rsidRDefault="00416A67" w:rsidP="00613C2D">
            <w:pPr>
              <w:pStyle w:val="NoSpacing"/>
            </w:pPr>
            <w:r w:rsidRPr="00467A9E">
              <w:t>Midwestern</w:t>
            </w:r>
          </w:p>
        </w:tc>
        <w:tc>
          <w:tcPr>
            <w:tcW w:w="0" w:type="auto"/>
          </w:tcPr>
          <w:p w14:paraId="0D553EEE" w14:textId="2C08BA0D" w:rsidR="00E117DA" w:rsidRPr="00467A9E" w:rsidRDefault="00416A67" w:rsidP="00613C2D">
            <w:pPr>
              <w:pStyle w:val="NoSpacing"/>
            </w:pPr>
            <w:r w:rsidRPr="00467A9E">
              <w:t>17 (31.5)</w:t>
            </w:r>
          </w:p>
        </w:tc>
      </w:tr>
      <w:tr w:rsidR="00E117DA" w:rsidRPr="00467A9E" w14:paraId="58B1F0E4" w14:textId="77777777" w:rsidTr="00613C2D">
        <w:tc>
          <w:tcPr>
            <w:tcW w:w="0" w:type="auto"/>
          </w:tcPr>
          <w:p w14:paraId="5178290A" w14:textId="57913AC0" w:rsidR="00E117DA" w:rsidRPr="00467A9E" w:rsidRDefault="002F53D8" w:rsidP="00613C2D">
            <w:pPr>
              <w:pStyle w:val="NoSpacing"/>
            </w:pPr>
            <w:r w:rsidRPr="00467A9E">
              <w:t>Southern</w:t>
            </w:r>
          </w:p>
        </w:tc>
        <w:tc>
          <w:tcPr>
            <w:tcW w:w="0" w:type="auto"/>
          </w:tcPr>
          <w:p w14:paraId="09CB5614" w14:textId="5089DE08" w:rsidR="00E117DA" w:rsidRPr="00467A9E" w:rsidRDefault="002F53D8" w:rsidP="00613C2D">
            <w:pPr>
              <w:pStyle w:val="NoSpacing"/>
            </w:pPr>
            <w:r w:rsidRPr="00467A9E">
              <w:t>18 (33.3)</w:t>
            </w:r>
          </w:p>
        </w:tc>
      </w:tr>
      <w:tr w:rsidR="00E117DA" w:rsidRPr="00467A9E" w14:paraId="70EDFFB7" w14:textId="77777777" w:rsidTr="00613C2D">
        <w:tc>
          <w:tcPr>
            <w:tcW w:w="0" w:type="auto"/>
          </w:tcPr>
          <w:p w14:paraId="3D733A70" w14:textId="5589109E" w:rsidR="00E117DA" w:rsidRPr="00467A9E" w:rsidRDefault="00B32766" w:rsidP="00613C2D">
            <w:pPr>
              <w:pStyle w:val="NoSpacing"/>
            </w:pPr>
            <w:r w:rsidRPr="00467A9E">
              <w:t>Western</w:t>
            </w:r>
          </w:p>
        </w:tc>
        <w:tc>
          <w:tcPr>
            <w:tcW w:w="0" w:type="auto"/>
          </w:tcPr>
          <w:p w14:paraId="0895ABD7" w14:textId="206447EB" w:rsidR="00E117DA" w:rsidRPr="00467A9E" w:rsidRDefault="00B32766" w:rsidP="00613C2D">
            <w:pPr>
              <w:pStyle w:val="NoSpacing"/>
            </w:pPr>
            <w:r w:rsidRPr="00467A9E">
              <w:t>6 (11.1)</w:t>
            </w:r>
          </w:p>
        </w:tc>
      </w:tr>
      <w:tr w:rsidR="00E117DA" w:rsidRPr="00467A9E" w14:paraId="59B04B0E" w14:textId="77777777" w:rsidTr="00613C2D">
        <w:tc>
          <w:tcPr>
            <w:tcW w:w="0" w:type="auto"/>
          </w:tcPr>
          <w:p w14:paraId="7577FA8D" w14:textId="27446F74" w:rsidR="00E117DA" w:rsidRPr="00467A9E" w:rsidRDefault="00C40BE0" w:rsidP="00613C2D">
            <w:pPr>
              <w:pStyle w:val="NoSpacing"/>
            </w:pPr>
            <w:r w:rsidRPr="00467A9E">
              <w:t>Career alteplase treatment volume</w:t>
            </w:r>
          </w:p>
        </w:tc>
        <w:tc>
          <w:tcPr>
            <w:tcW w:w="0" w:type="auto"/>
          </w:tcPr>
          <w:p w14:paraId="16D3E2CB" w14:textId="77777777" w:rsidR="00E117DA" w:rsidRPr="00467A9E" w:rsidRDefault="00E117DA" w:rsidP="00613C2D">
            <w:pPr>
              <w:pStyle w:val="NoSpacing"/>
            </w:pPr>
          </w:p>
        </w:tc>
      </w:tr>
      <w:tr w:rsidR="00E117DA" w:rsidRPr="00467A9E" w14:paraId="2A4071F9" w14:textId="77777777" w:rsidTr="00613C2D">
        <w:tc>
          <w:tcPr>
            <w:tcW w:w="0" w:type="auto"/>
          </w:tcPr>
          <w:p w14:paraId="5B3C3299" w14:textId="4016E81C" w:rsidR="00E117DA" w:rsidRPr="00467A9E" w:rsidRDefault="00C40BE0" w:rsidP="00613C2D">
            <w:pPr>
              <w:pStyle w:val="NoSpacing"/>
            </w:pPr>
            <w:r w:rsidRPr="00467A9E">
              <w:t>None</w:t>
            </w:r>
          </w:p>
        </w:tc>
        <w:tc>
          <w:tcPr>
            <w:tcW w:w="0" w:type="auto"/>
          </w:tcPr>
          <w:p w14:paraId="2F6E019B" w14:textId="5664C040" w:rsidR="00E117DA" w:rsidRPr="00467A9E" w:rsidRDefault="002159E1" w:rsidP="00613C2D">
            <w:pPr>
              <w:pStyle w:val="NoSpacing"/>
            </w:pPr>
            <w:r w:rsidRPr="00467A9E">
              <w:t>2 (3.7)</w:t>
            </w:r>
          </w:p>
        </w:tc>
      </w:tr>
      <w:tr w:rsidR="00E117DA" w:rsidRPr="00467A9E" w14:paraId="306E9393" w14:textId="77777777" w:rsidTr="00613C2D">
        <w:tc>
          <w:tcPr>
            <w:tcW w:w="0" w:type="auto"/>
          </w:tcPr>
          <w:p w14:paraId="05612F0F" w14:textId="45C9CEEF" w:rsidR="00E117DA" w:rsidRPr="00467A9E" w:rsidRDefault="0072283A" w:rsidP="00613C2D">
            <w:pPr>
              <w:pStyle w:val="NoSpacing"/>
            </w:pPr>
            <w:r w:rsidRPr="00467A9E">
              <w:t>&lt;25 cases</w:t>
            </w:r>
          </w:p>
        </w:tc>
        <w:tc>
          <w:tcPr>
            <w:tcW w:w="0" w:type="auto"/>
          </w:tcPr>
          <w:p w14:paraId="7C56FE81" w14:textId="0E8CCE51" w:rsidR="00E117DA" w:rsidRPr="00467A9E" w:rsidRDefault="00D05A8E" w:rsidP="00613C2D">
            <w:pPr>
              <w:pStyle w:val="NoSpacing"/>
            </w:pPr>
            <w:r w:rsidRPr="00467A9E">
              <w:t>5 (9.3)</w:t>
            </w:r>
          </w:p>
        </w:tc>
      </w:tr>
      <w:tr w:rsidR="00E117DA" w:rsidRPr="00467A9E" w14:paraId="70F5A08B" w14:textId="77777777" w:rsidTr="00613C2D">
        <w:tc>
          <w:tcPr>
            <w:tcW w:w="0" w:type="auto"/>
          </w:tcPr>
          <w:p w14:paraId="1D2039DC" w14:textId="216292A8" w:rsidR="00E117DA" w:rsidRPr="00467A9E" w:rsidRDefault="0072283A" w:rsidP="00613C2D">
            <w:pPr>
              <w:pStyle w:val="NoSpacing"/>
            </w:pPr>
            <w:r w:rsidRPr="00467A9E">
              <w:t>25-100</w:t>
            </w:r>
          </w:p>
        </w:tc>
        <w:tc>
          <w:tcPr>
            <w:tcW w:w="0" w:type="auto"/>
          </w:tcPr>
          <w:p w14:paraId="78585D06" w14:textId="3F02DBDA" w:rsidR="00E117DA" w:rsidRPr="00467A9E" w:rsidRDefault="00D05A8E" w:rsidP="00613C2D">
            <w:pPr>
              <w:pStyle w:val="NoSpacing"/>
            </w:pPr>
            <w:r w:rsidRPr="00467A9E">
              <w:t>12 (22.2)</w:t>
            </w:r>
          </w:p>
        </w:tc>
      </w:tr>
      <w:tr w:rsidR="00E117DA" w:rsidRPr="00467A9E" w14:paraId="03077A22" w14:textId="77777777" w:rsidTr="00613C2D">
        <w:tc>
          <w:tcPr>
            <w:tcW w:w="0" w:type="auto"/>
          </w:tcPr>
          <w:p w14:paraId="1A1CEDF5" w14:textId="6482BADD" w:rsidR="00E117DA" w:rsidRPr="00467A9E" w:rsidRDefault="0020546A" w:rsidP="00613C2D">
            <w:pPr>
              <w:pStyle w:val="NoSpacing"/>
            </w:pPr>
            <w:r w:rsidRPr="00467A9E">
              <w:t>100-300</w:t>
            </w:r>
          </w:p>
        </w:tc>
        <w:tc>
          <w:tcPr>
            <w:tcW w:w="0" w:type="auto"/>
          </w:tcPr>
          <w:p w14:paraId="62E19469" w14:textId="77391536" w:rsidR="00E117DA" w:rsidRPr="00467A9E" w:rsidRDefault="00DB1E0A" w:rsidP="00613C2D">
            <w:pPr>
              <w:pStyle w:val="NoSpacing"/>
            </w:pPr>
            <w:r w:rsidRPr="00467A9E">
              <w:t>12 (22.2)</w:t>
            </w:r>
          </w:p>
        </w:tc>
      </w:tr>
      <w:tr w:rsidR="00E117DA" w:rsidRPr="00467A9E" w14:paraId="25355B84" w14:textId="77777777" w:rsidTr="00613C2D">
        <w:tc>
          <w:tcPr>
            <w:tcW w:w="0" w:type="auto"/>
          </w:tcPr>
          <w:p w14:paraId="50E512BD" w14:textId="71ECB769" w:rsidR="00E117DA" w:rsidRPr="00467A9E" w:rsidRDefault="0020546A" w:rsidP="00613C2D">
            <w:pPr>
              <w:pStyle w:val="NoSpacing"/>
            </w:pPr>
            <w:r w:rsidRPr="00467A9E">
              <w:t>&gt;300</w:t>
            </w:r>
          </w:p>
        </w:tc>
        <w:tc>
          <w:tcPr>
            <w:tcW w:w="0" w:type="auto"/>
          </w:tcPr>
          <w:p w14:paraId="7F0CB2D4" w14:textId="6182D4DE" w:rsidR="00E117DA" w:rsidRPr="00467A9E" w:rsidRDefault="00DB1E0A" w:rsidP="00613C2D">
            <w:pPr>
              <w:pStyle w:val="NoSpacing"/>
            </w:pPr>
            <w:r w:rsidRPr="00467A9E">
              <w:t>23 (42.6)</w:t>
            </w:r>
          </w:p>
        </w:tc>
      </w:tr>
    </w:tbl>
    <w:p w14:paraId="0BC4F34B" w14:textId="78902960" w:rsidR="00FB7C33" w:rsidRPr="00467A9E" w:rsidRDefault="00D85BF8" w:rsidP="00613C2D">
      <w:pPr>
        <w:pStyle w:val="NoSpacing"/>
      </w:pPr>
      <w:r w:rsidRPr="00467A9E">
        <w:rPr>
          <w:vertAlign w:val="superscript"/>
        </w:rPr>
        <w:t xml:space="preserve">a </w:t>
      </w:r>
      <w:r w:rsidRPr="00467A9E">
        <w:t xml:space="preserve">N </w:t>
      </w:r>
      <w:r w:rsidR="00786E17" w:rsidRPr="00467A9E">
        <w:t xml:space="preserve">= </w:t>
      </w:r>
      <w:r w:rsidRPr="00467A9E">
        <w:t>54.</w:t>
      </w:r>
      <w:r w:rsidRPr="00467A9E">
        <w:rPr>
          <w:vertAlign w:val="superscript"/>
        </w:rPr>
        <w:t xml:space="preserve"> b</w:t>
      </w:r>
      <w:r w:rsidRPr="00467A9E">
        <w:t xml:space="preserve"> One participant wrote in “neurointerventionalist/neurointensivist.”</w:t>
      </w:r>
    </w:p>
    <w:p w14:paraId="3BF8EF93" w14:textId="77777777" w:rsidR="00613C2D" w:rsidRDefault="00613C2D" w:rsidP="00D40AF4">
      <w:pPr>
        <w:rPr>
          <w:rFonts w:cstheme="minorHAnsi"/>
        </w:rPr>
      </w:pPr>
    </w:p>
    <w:p w14:paraId="7173722A" w14:textId="552D0A82" w:rsidR="00FB7C33" w:rsidRPr="00467A9E" w:rsidRDefault="00FB7C33" w:rsidP="00D40AF4">
      <w:pPr>
        <w:rPr>
          <w:rFonts w:cstheme="minorHAnsi"/>
        </w:rPr>
      </w:pPr>
      <w:r w:rsidRPr="00467A9E">
        <w:rPr>
          <w:rFonts w:cstheme="minorHAnsi"/>
        </w:rPr>
        <w:t>The preference weights of each participant and mean weight are depicted in </w:t>
      </w:r>
      <w:hyperlink r:id="rId39" w:tooltip="Open Figure Viewer" w:history="1">
        <w:r w:rsidRPr="00467A9E">
          <w:rPr>
            <w:rStyle w:val="Hyperlink"/>
            <w:rFonts w:eastAsiaTheme="majorEastAsia" w:cstheme="minorHAnsi"/>
            <w:color w:val="006ACC"/>
          </w:rPr>
          <w:t>Figure 1</w:t>
        </w:r>
      </w:hyperlink>
      <w:r w:rsidRPr="00467A9E">
        <w:rPr>
          <w:rFonts w:cstheme="minorHAnsi"/>
        </w:rPr>
        <w:t>. Motor deficits were weighted most heavily (31.7%, SD: 9.5) followed by communication deficits (24.1%, SD: 9.6), other deficits (16.6%, SD: 6.4), premorbid status (12.9%, SD: 6.6), age (10.1%, SD: 6.3), and history of a potential contraindication to thrombolysis (4.7%, SD: 4.4). The difference between successive mean preference values was significant: communication versus motor deficits (</w:t>
      </w:r>
      <w:r w:rsidRPr="00467A9E">
        <w:rPr>
          <w:rFonts w:cstheme="minorHAnsi"/>
          <w:i/>
          <w:iCs/>
        </w:rPr>
        <w:t>P</w:t>
      </w:r>
      <w:r w:rsidRPr="00467A9E">
        <w:rPr>
          <w:rFonts w:cstheme="minorHAnsi"/>
        </w:rPr>
        <w:t> &lt; .001), communication versus other neurological deficit (</w:t>
      </w:r>
      <w:r w:rsidRPr="00467A9E">
        <w:rPr>
          <w:rFonts w:cstheme="minorHAnsi"/>
          <w:i/>
          <w:iCs/>
        </w:rPr>
        <w:t>P</w:t>
      </w:r>
      <w:r w:rsidRPr="00467A9E">
        <w:rPr>
          <w:rFonts w:cstheme="minorHAnsi"/>
        </w:rPr>
        <w:t> &lt; .001), other neurological deficits versus premorbid status (</w:t>
      </w:r>
      <w:r w:rsidRPr="00467A9E">
        <w:rPr>
          <w:rFonts w:cstheme="minorHAnsi"/>
          <w:i/>
          <w:iCs/>
        </w:rPr>
        <w:t>P</w:t>
      </w:r>
      <w:r w:rsidRPr="00467A9E">
        <w:rPr>
          <w:rFonts w:cstheme="minorHAnsi"/>
        </w:rPr>
        <w:t> &lt; .01), premorbid status versus age (</w:t>
      </w:r>
      <w:r w:rsidRPr="00467A9E">
        <w:rPr>
          <w:rFonts w:cstheme="minorHAnsi"/>
          <w:i/>
          <w:iCs/>
        </w:rPr>
        <w:t>P</w:t>
      </w:r>
      <w:r w:rsidRPr="00467A9E">
        <w:rPr>
          <w:rFonts w:cstheme="minorHAnsi"/>
        </w:rPr>
        <w:t> = .02), and age versus history of potential contraindication (</w:t>
      </w:r>
      <w:r w:rsidRPr="00467A9E">
        <w:rPr>
          <w:rFonts w:cstheme="minorHAnsi"/>
          <w:i/>
          <w:iCs/>
        </w:rPr>
        <w:t>P</w:t>
      </w:r>
      <w:r w:rsidRPr="00467A9E">
        <w:rPr>
          <w:rFonts w:cstheme="minorHAnsi"/>
        </w:rPr>
        <w:t> &lt; .001).</w:t>
      </w:r>
    </w:p>
    <w:p w14:paraId="74EF9683" w14:textId="361016DA" w:rsidR="00FB7C33" w:rsidRPr="00467A9E" w:rsidRDefault="00FB7C33" w:rsidP="00613C2D">
      <w:pPr>
        <w:pStyle w:val="NoSpacing"/>
        <w:rPr>
          <w:color w:val="333333"/>
        </w:rPr>
      </w:pPr>
      <w:r w:rsidRPr="00467A9E">
        <w:rPr>
          <w:noProof/>
        </w:rPr>
        <w:drawing>
          <wp:inline distT="0" distB="0" distL="0" distR="0" wp14:anchorId="3DA75F17" wp14:editId="51E3B928">
            <wp:extent cx="2743200" cy="2011680"/>
            <wp:effectExtent l="0" t="0" r="0" b="7620"/>
            <wp:docPr id="3" name="Picture 3" descr="Figure 1&#10; &#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10; &#10;                    "/>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266E171A" w14:textId="77777777" w:rsidR="00FB7C33" w:rsidRPr="00467A9E" w:rsidRDefault="00FB7C33" w:rsidP="00B674D9">
      <w:pPr>
        <w:rPr>
          <w:rFonts w:cstheme="minorHAnsi"/>
        </w:rPr>
      </w:pPr>
      <w:r w:rsidRPr="00467A9E">
        <w:rPr>
          <w:rFonts w:cstheme="minorHAnsi"/>
        </w:rPr>
        <w:t>Figure 1. Radar chart depicting all attribute weights; thick black line and percentages represent mean values.</w:t>
      </w:r>
    </w:p>
    <w:p w14:paraId="68790F7E" w14:textId="77777777" w:rsidR="00FB7C33" w:rsidRPr="00467A9E" w:rsidRDefault="00FB7C33" w:rsidP="00B674D9">
      <w:pPr>
        <w:rPr>
          <w:rFonts w:cstheme="minorHAnsi"/>
        </w:rPr>
      </w:pPr>
      <w:r w:rsidRPr="00467A9E">
        <w:rPr>
          <w:rFonts w:cstheme="minorHAnsi"/>
        </w:rPr>
        <w:t>The mean rank of each of the 6 attributes was as follows: motor deficit = 1.6, communication deficit = 2.3, other deficit = 3.2, premorbid functional status = 3.9, age = 4.4, and relative alteplase contraindications = 5.5. The marginal rate of substitution of communication deficit for motor deficit was 1.3; the marginal rate of substitution of relative contraindication for thrombolysis treatment for motor deficit was 6.8 (</w:t>
      </w:r>
      <w:hyperlink r:id="rId41" w:history="1">
        <w:r w:rsidRPr="00467A9E">
          <w:rPr>
            <w:rStyle w:val="Hyperlink"/>
            <w:rFonts w:eastAsiaTheme="majorEastAsia" w:cstheme="minorHAnsi"/>
            <w:color w:val="006ACC"/>
          </w:rPr>
          <w:t>Table 3</w:t>
        </w:r>
      </w:hyperlink>
      <w:r w:rsidRPr="00467A9E">
        <w:rPr>
          <w:rFonts w:cstheme="minorHAnsi"/>
        </w:rPr>
        <w:t>). Kendall coefficient of concordance was .80 for all possible alternatives among all participants.</w:t>
      </w:r>
    </w:p>
    <w:p w14:paraId="5D42D322" w14:textId="77777777" w:rsidR="00FB7C33" w:rsidRPr="00467A9E" w:rsidRDefault="00FB7C33" w:rsidP="00613C2D">
      <w:pPr>
        <w:pStyle w:val="NoSpacing"/>
      </w:pPr>
      <w:r w:rsidRPr="00467A9E">
        <w:rPr>
          <w:rFonts w:eastAsiaTheme="majorEastAsia"/>
        </w:rPr>
        <w:t>Table 3.</w:t>
      </w:r>
      <w:r w:rsidRPr="00467A9E">
        <w:t> Marginal Rate of Substitution (Ratio) of the Column Attribute for the Row Attribute.</w:t>
      </w:r>
    </w:p>
    <w:tbl>
      <w:tblPr>
        <w:tblStyle w:val="TableGrid"/>
        <w:tblW w:w="0" w:type="auto"/>
        <w:tblLook w:val="04A0" w:firstRow="1" w:lastRow="0" w:firstColumn="1" w:lastColumn="0" w:noHBand="0" w:noVBand="1"/>
      </w:tblPr>
      <w:tblGrid>
        <w:gridCol w:w="2195"/>
        <w:gridCol w:w="882"/>
        <w:gridCol w:w="1724"/>
        <w:gridCol w:w="1512"/>
        <w:gridCol w:w="1386"/>
        <w:gridCol w:w="557"/>
        <w:gridCol w:w="1814"/>
      </w:tblGrid>
      <w:tr w:rsidR="00075D72" w:rsidRPr="00467A9E" w14:paraId="4BEE500C" w14:textId="77777777" w:rsidTr="00613C2D">
        <w:tc>
          <w:tcPr>
            <w:tcW w:w="0" w:type="auto"/>
          </w:tcPr>
          <w:p w14:paraId="460A8518" w14:textId="77777777" w:rsidR="00075D72" w:rsidRPr="00467A9E" w:rsidRDefault="00075D72" w:rsidP="00613C2D">
            <w:pPr>
              <w:pStyle w:val="NoSpacing"/>
            </w:pPr>
          </w:p>
        </w:tc>
        <w:tc>
          <w:tcPr>
            <w:tcW w:w="0" w:type="auto"/>
          </w:tcPr>
          <w:p w14:paraId="1CA0D28C" w14:textId="706A42BA" w:rsidR="00075D72" w:rsidRPr="00467A9E" w:rsidRDefault="00B17C43" w:rsidP="00613C2D">
            <w:pPr>
              <w:pStyle w:val="NoSpacing"/>
            </w:pPr>
            <w:r w:rsidRPr="00467A9E">
              <w:t>Motor Deficit</w:t>
            </w:r>
          </w:p>
        </w:tc>
        <w:tc>
          <w:tcPr>
            <w:tcW w:w="0" w:type="auto"/>
          </w:tcPr>
          <w:p w14:paraId="60B9FCC1" w14:textId="7EEAEDA7" w:rsidR="00075D72" w:rsidRPr="00467A9E" w:rsidRDefault="00B17C43" w:rsidP="00613C2D">
            <w:pPr>
              <w:pStyle w:val="NoSpacing"/>
            </w:pPr>
            <w:r w:rsidRPr="00467A9E">
              <w:t>Communication Deficit</w:t>
            </w:r>
          </w:p>
        </w:tc>
        <w:tc>
          <w:tcPr>
            <w:tcW w:w="0" w:type="auto"/>
          </w:tcPr>
          <w:p w14:paraId="5A226548" w14:textId="03E5A648" w:rsidR="00075D72" w:rsidRPr="00467A9E" w:rsidRDefault="00CF0C82" w:rsidP="00613C2D">
            <w:pPr>
              <w:pStyle w:val="NoSpacing"/>
            </w:pPr>
            <w:r w:rsidRPr="00467A9E">
              <w:t>Other Neurological Deficit</w:t>
            </w:r>
          </w:p>
        </w:tc>
        <w:tc>
          <w:tcPr>
            <w:tcW w:w="0" w:type="auto"/>
          </w:tcPr>
          <w:p w14:paraId="74946DF2" w14:textId="773B423E" w:rsidR="00075D72" w:rsidRPr="00467A9E" w:rsidRDefault="00CF0C82" w:rsidP="00613C2D">
            <w:pPr>
              <w:pStyle w:val="NoSpacing"/>
            </w:pPr>
            <w:r w:rsidRPr="00467A9E">
              <w:t>Premorbid Functional Status</w:t>
            </w:r>
          </w:p>
        </w:tc>
        <w:tc>
          <w:tcPr>
            <w:tcW w:w="0" w:type="auto"/>
          </w:tcPr>
          <w:p w14:paraId="7D4AC13D" w14:textId="10675B01" w:rsidR="00075D72" w:rsidRPr="00467A9E" w:rsidRDefault="00015420" w:rsidP="00613C2D">
            <w:pPr>
              <w:pStyle w:val="NoSpacing"/>
            </w:pPr>
            <w:r w:rsidRPr="00467A9E">
              <w:t>Age</w:t>
            </w:r>
          </w:p>
        </w:tc>
        <w:tc>
          <w:tcPr>
            <w:tcW w:w="0" w:type="auto"/>
          </w:tcPr>
          <w:p w14:paraId="37E449C1" w14:textId="7674D8BA" w:rsidR="00075D72" w:rsidRPr="00467A9E" w:rsidRDefault="00015420" w:rsidP="00613C2D">
            <w:pPr>
              <w:pStyle w:val="NoSpacing"/>
            </w:pPr>
            <w:r w:rsidRPr="00467A9E">
              <w:t>Relative Contraindication</w:t>
            </w:r>
          </w:p>
        </w:tc>
      </w:tr>
      <w:tr w:rsidR="00075D72" w:rsidRPr="00467A9E" w14:paraId="2E33A5EA" w14:textId="77777777" w:rsidTr="00613C2D">
        <w:tc>
          <w:tcPr>
            <w:tcW w:w="0" w:type="auto"/>
          </w:tcPr>
          <w:p w14:paraId="1081BB86" w14:textId="56D55A44" w:rsidR="00075D72" w:rsidRPr="00467A9E" w:rsidRDefault="005971BD" w:rsidP="00613C2D">
            <w:pPr>
              <w:pStyle w:val="NoSpacing"/>
            </w:pPr>
            <w:r w:rsidRPr="00467A9E">
              <w:t>Motor deficit</w:t>
            </w:r>
          </w:p>
        </w:tc>
        <w:tc>
          <w:tcPr>
            <w:tcW w:w="0" w:type="auto"/>
          </w:tcPr>
          <w:p w14:paraId="5C03AB04" w14:textId="77777777" w:rsidR="00075D72" w:rsidRPr="00467A9E" w:rsidRDefault="00075D72" w:rsidP="00613C2D">
            <w:pPr>
              <w:pStyle w:val="NoSpacing"/>
            </w:pPr>
          </w:p>
        </w:tc>
        <w:tc>
          <w:tcPr>
            <w:tcW w:w="0" w:type="auto"/>
          </w:tcPr>
          <w:p w14:paraId="13C4A028" w14:textId="4191C04A" w:rsidR="00075D72" w:rsidRPr="00467A9E" w:rsidRDefault="0063301D" w:rsidP="00613C2D">
            <w:pPr>
              <w:pStyle w:val="NoSpacing"/>
            </w:pPr>
            <w:r w:rsidRPr="00467A9E">
              <w:t>1.3</w:t>
            </w:r>
          </w:p>
        </w:tc>
        <w:tc>
          <w:tcPr>
            <w:tcW w:w="0" w:type="auto"/>
          </w:tcPr>
          <w:p w14:paraId="7940E0FD" w14:textId="06C52B49" w:rsidR="00075D72" w:rsidRPr="00467A9E" w:rsidRDefault="0063301D" w:rsidP="00613C2D">
            <w:pPr>
              <w:pStyle w:val="NoSpacing"/>
            </w:pPr>
            <w:r w:rsidRPr="00467A9E">
              <w:t>1.9</w:t>
            </w:r>
          </w:p>
        </w:tc>
        <w:tc>
          <w:tcPr>
            <w:tcW w:w="0" w:type="auto"/>
          </w:tcPr>
          <w:p w14:paraId="49044E88" w14:textId="72197DD4" w:rsidR="00075D72" w:rsidRPr="00467A9E" w:rsidRDefault="0063301D" w:rsidP="00613C2D">
            <w:pPr>
              <w:pStyle w:val="NoSpacing"/>
            </w:pPr>
            <w:r w:rsidRPr="00467A9E">
              <w:t>2.5</w:t>
            </w:r>
          </w:p>
        </w:tc>
        <w:tc>
          <w:tcPr>
            <w:tcW w:w="0" w:type="auto"/>
          </w:tcPr>
          <w:p w14:paraId="4545A4BA" w14:textId="55FC8361" w:rsidR="00075D72" w:rsidRPr="00467A9E" w:rsidRDefault="00E80D1D" w:rsidP="00613C2D">
            <w:pPr>
              <w:pStyle w:val="NoSpacing"/>
            </w:pPr>
            <w:r w:rsidRPr="00467A9E">
              <w:t>3.1</w:t>
            </w:r>
          </w:p>
        </w:tc>
        <w:tc>
          <w:tcPr>
            <w:tcW w:w="0" w:type="auto"/>
          </w:tcPr>
          <w:p w14:paraId="1BCD4DF0" w14:textId="4AFF8B2F" w:rsidR="00075D72" w:rsidRPr="00467A9E" w:rsidRDefault="00E80D1D" w:rsidP="00613C2D">
            <w:pPr>
              <w:pStyle w:val="NoSpacing"/>
            </w:pPr>
            <w:r w:rsidRPr="00467A9E">
              <w:t>6.8</w:t>
            </w:r>
          </w:p>
        </w:tc>
      </w:tr>
      <w:tr w:rsidR="00075D72" w:rsidRPr="00467A9E" w14:paraId="659BF024" w14:textId="77777777" w:rsidTr="00613C2D">
        <w:tc>
          <w:tcPr>
            <w:tcW w:w="0" w:type="auto"/>
          </w:tcPr>
          <w:p w14:paraId="0E70BE8E" w14:textId="0D6483B7" w:rsidR="00075D72" w:rsidRPr="00467A9E" w:rsidRDefault="005971BD" w:rsidP="00613C2D">
            <w:pPr>
              <w:pStyle w:val="NoSpacing"/>
            </w:pPr>
            <w:r w:rsidRPr="00467A9E">
              <w:t>Communication deficit</w:t>
            </w:r>
          </w:p>
        </w:tc>
        <w:tc>
          <w:tcPr>
            <w:tcW w:w="0" w:type="auto"/>
          </w:tcPr>
          <w:p w14:paraId="164AF813" w14:textId="2E6ACF99" w:rsidR="00075D72" w:rsidRPr="00467A9E" w:rsidRDefault="00E80D1D" w:rsidP="00613C2D">
            <w:pPr>
              <w:pStyle w:val="NoSpacing"/>
            </w:pPr>
            <w:r w:rsidRPr="00467A9E">
              <w:t>0.8</w:t>
            </w:r>
          </w:p>
        </w:tc>
        <w:tc>
          <w:tcPr>
            <w:tcW w:w="0" w:type="auto"/>
          </w:tcPr>
          <w:p w14:paraId="551BA401" w14:textId="77777777" w:rsidR="00075D72" w:rsidRPr="00467A9E" w:rsidRDefault="00075D72" w:rsidP="00613C2D">
            <w:pPr>
              <w:pStyle w:val="NoSpacing"/>
            </w:pPr>
          </w:p>
        </w:tc>
        <w:tc>
          <w:tcPr>
            <w:tcW w:w="0" w:type="auto"/>
          </w:tcPr>
          <w:p w14:paraId="206F8F8F" w14:textId="03B1D89E" w:rsidR="00075D72" w:rsidRPr="00467A9E" w:rsidRDefault="00E80D1D" w:rsidP="00613C2D">
            <w:pPr>
              <w:pStyle w:val="NoSpacing"/>
            </w:pPr>
            <w:r w:rsidRPr="00467A9E">
              <w:t>1.5</w:t>
            </w:r>
          </w:p>
        </w:tc>
        <w:tc>
          <w:tcPr>
            <w:tcW w:w="0" w:type="auto"/>
          </w:tcPr>
          <w:p w14:paraId="72E32894" w14:textId="0FA232A6" w:rsidR="00075D72" w:rsidRPr="00467A9E" w:rsidRDefault="00E80D1D" w:rsidP="00613C2D">
            <w:pPr>
              <w:pStyle w:val="NoSpacing"/>
            </w:pPr>
            <w:r w:rsidRPr="00467A9E">
              <w:t>1.9</w:t>
            </w:r>
          </w:p>
        </w:tc>
        <w:tc>
          <w:tcPr>
            <w:tcW w:w="0" w:type="auto"/>
          </w:tcPr>
          <w:p w14:paraId="0F98A87C" w14:textId="0471F389" w:rsidR="00075D72" w:rsidRPr="00467A9E" w:rsidRDefault="00C512D0" w:rsidP="00613C2D">
            <w:pPr>
              <w:pStyle w:val="NoSpacing"/>
            </w:pPr>
            <w:r w:rsidRPr="00467A9E">
              <w:t>2.4</w:t>
            </w:r>
          </w:p>
        </w:tc>
        <w:tc>
          <w:tcPr>
            <w:tcW w:w="0" w:type="auto"/>
          </w:tcPr>
          <w:p w14:paraId="6E84541E" w14:textId="09F9764E" w:rsidR="00075D72" w:rsidRPr="00467A9E" w:rsidRDefault="00C512D0" w:rsidP="00613C2D">
            <w:pPr>
              <w:pStyle w:val="NoSpacing"/>
            </w:pPr>
            <w:r w:rsidRPr="00467A9E">
              <w:t>5.2</w:t>
            </w:r>
          </w:p>
        </w:tc>
      </w:tr>
      <w:tr w:rsidR="00075D72" w:rsidRPr="00467A9E" w14:paraId="3420E6C6" w14:textId="77777777" w:rsidTr="00613C2D">
        <w:tc>
          <w:tcPr>
            <w:tcW w:w="0" w:type="auto"/>
          </w:tcPr>
          <w:p w14:paraId="2A588EFD" w14:textId="7CE54BB1" w:rsidR="00075D72" w:rsidRPr="00467A9E" w:rsidRDefault="004C4512" w:rsidP="00613C2D">
            <w:pPr>
              <w:pStyle w:val="NoSpacing"/>
            </w:pPr>
            <w:proofErr w:type="gramStart"/>
            <w:r w:rsidRPr="00467A9E">
              <w:t>Other</w:t>
            </w:r>
            <w:proofErr w:type="gramEnd"/>
            <w:r w:rsidRPr="00467A9E">
              <w:t xml:space="preserve"> neurological deficit</w:t>
            </w:r>
          </w:p>
        </w:tc>
        <w:tc>
          <w:tcPr>
            <w:tcW w:w="0" w:type="auto"/>
          </w:tcPr>
          <w:p w14:paraId="227247B2" w14:textId="0621EAFB" w:rsidR="00075D72" w:rsidRPr="00467A9E" w:rsidRDefault="00C512D0" w:rsidP="00613C2D">
            <w:pPr>
              <w:pStyle w:val="NoSpacing"/>
            </w:pPr>
            <w:r w:rsidRPr="00467A9E">
              <w:t>0.5</w:t>
            </w:r>
          </w:p>
        </w:tc>
        <w:tc>
          <w:tcPr>
            <w:tcW w:w="0" w:type="auto"/>
          </w:tcPr>
          <w:p w14:paraId="15352B98" w14:textId="72266530" w:rsidR="00075D72" w:rsidRPr="00467A9E" w:rsidRDefault="008B0492" w:rsidP="00613C2D">
            <w:pPr>
              <w:pStyle w:val="NoSpacing"/>
            </w:pPr>
            <w:r w:rsidRPr="00467A9E">
              <w:t>0.7</w:t>
            </w:r>
          </w:p>
        </w:tc>
        <w:tc>
          <w:tcPr>
            <w:tcW w:w="0" w:type="auto"/>
          </w:tcPr>
          <w:p w14:paraId="33D614FA" w14:textId="77777777" w:rsidR="00075D72" w:rsidRPr="00467A9E" w:rsidRDefault="00075D72" w:rsidP="00613C2D">
            <w:pPr>
              <w:pStyle w:val="NoSpacing"/>
            </w:pPr>
          </w:p>
        </w:tc>
        <w:tc>
          <w:tcPr>
            <w:tcW w:w="0" w:type="auto"/>
          </w:tcPr>
          <w:p w14:paraId="36EF7B7C" w14:textId="06B54816" w:rsidR="00075D72" w:rsidRPr="00467A9E" w:rsidRDefault="008B0492" w:rsidP="00613C2D">
            <w:pPr>
              <w:pStyle w:val="NoSpacing"/>
            </w:pPr>
            <w:r w:rsidRPr="00467A9E">
              <w:t>1.3</w:t>
            </w:r>
          </w:p>
        </w:tc>
        <w:tc>
          <w:tcPr>
            <w:tcW w:w="0" w:type="auto"/>
          </w:tcPr>
          <w:p w14:paraId="1C611486" w14:textId="5FF5E34D" w:rsidR="00075D72" w:rsidRPr="00467A9E" w:rsidRDefault="008B0492" w:rsidP="00613C2D">
            <w:pPr>
              <w:pStyle w:val="NoSpacing"/>
            </w:pPr>
            <w:r w:rsidRPr="00467A9E">
              <w:t>1.6</w:t>
            </w:r>
          </w:p>
        </w:tc>
        <w:tc>
          <w:tcPr>
            <w:tcW w:w="0" w:type="auto"/>
          </w:tcPr>
          <w:p w14:paraId="535D0F4D" w14:textId="430CEB53" w:rsidR="00075D72" w:rsidRPr="00467A9E" w:rsidRDefault="008B0492" w:rsidP="00613C2D">
            <w:pPr>
              <w:pStyle w:val="NoSpacing"/>
            </w:pPr>
            <w:r w:rsidRPr="00467A9E">
              <w:t>3.6</w:t>
            </w:r>
          </w:p>
        </w:tc>
      </w:tr>
      <w:tr w:rsidR="00075D72" w:rsidRPr="00467A9E" w14:paraId="205915FD" w14:textId="77777777" w:rsidTr="00613C2D">
        <w:tc>
          <w:tcPr>
            <w:tcW w:w="0" w:type="auto"/>
          </w:tcPr>
          <w:p w14:paraId="6D41FFAF" w14:textId="65AA03CD" w:rsidR="00075D72" w:rsidRPr="00467A9E" w:rsidRDefault="004C4512" w:rsidP="00613C2D">
            <w:pPr>
              <w:pStyle w:val="NoSpacing"/>
            </w:pPr>
            <w:r w:rsidRPr="00467A9E">
              <w:t>Premorbid functional status</w:t>
            </w:r>
          </w:p>
        </w:tc>
        <w:tc>
          <w:tcPr>
            <w:tcW w:w="0" w:type="auto"/>
          </w:tcPr>
          <w:p w14:paraId="17FAE0E6" w14:textId="417EA08E" w:rsidR="00075D72" w:rsidRPr="00467A9E" w:rsidRDefault="00891E87" w:rsidP="00613C2D">
            <w:pPr>
              <w:pStyle w:val="NoSpacing"/>
            </w:pPr>
            <w:r w:rsidRPr="00467A9E">
              <w:t>0.4</w:t>
            </w:r>
          </w:p>
        </w:tc>
        <w:tc>
          <w:tcPr>
            <w:tcW w:w="0" w:type="auto"/>
          </w:tcPr>
          <w:p w14:paraId="0E92A901" w14:textId="3EF4BA8D" w:rsidR="00075D72" w:rsidRPr="00467A9E" w:rsidRDefault="00891E87" w:rsidP="00613C2D">
            <w:pPr>
              <w:pStyle w:val="NoSpacing"/>
            </w:pPr>
            <w:r w:rsidRPr="00467A9E">
              <w:t>0.5</w:t>
            </w:r>
          </w:p>
        </w:tc>
        <w:tc>
          <w:tcPr>
            <w:tcW w:w="0" w:type="auto"/>
          </w:tcPr>
          <w:p w14:paraId="2B6A4FD9" w14:textId="1E86AFDD" w:rsidR="00075D72" w:rsidRPr="00467A9E" w:rsidRDefault="00891E87" w:rsidP="00613C2D">
            <w:pPr>
              <w:pStyle w:val="NoSpacing"/>
            </w:pPr>
            <w:r w:rsidRPr="00467A9E">
              <w:t>0.8</w:t>
            </w:r>
          </w:p>
        </w:tc>
        <w:tc>
          <w:tcPr>
            <w:tcW w:w="0" w:type="auto"/>
          </w:tcPr>
          <w:p w14:paraId="2886126C" w14:textId="77777777" w:rsidR="00075D72" w:rsidRPr="00467A9E" w:rsidRDefault="00075D72" w:rsidP="00613C2D">
            <w:pPr>
              <w:pStyle w:val="NoSpacing"/>
            </w:pPr>
          </w:p>
        </w:tc>
        <w:tc>
          <w:tcPr>
            <w:tcW w:w="0" w:type="auto"/>
          </w:tcPr>
          <w:p w14:paraId="3A7D83DD" w14:textId="4A075B0F" w:rsidR="00075D72" w:rsidRPr="00467A9E" w:rsidRDefault="00891E87" w:rsidP="00613C2D">
            <w:pPr>
              <w:pStyle w:val="NoSpacing"/>
            </w:pPr>
            <w:r w:rsidRPr="00467A9E">
              <w:t>1.3</w:t>
            </w:r>
          </w:p>
        </w:tc>
        <w:tc>
          <w:tcPr>
            <w:tcW w:w="0" w:type="auto"/>
          </w:tcPr>
          <w:p w14:paraId="7C388BD3" w14:textId="5E79363C" w:rsidR="00075D72" w:rsidRPr="00467A9E" w:rsidRDefault="00891E87" w:rsidP="00613C2D">
            <w:pPr>
              <w:pStyle w:val="NoSpacing"/>
            </w:pPr>
            <w:r w:rsidRPr="00467A9E">
              <w:t>2.8</w:t>
            </w:r>
          </w:p>
        </w:tc>
      </w:tr>
      <w:tr w:rsidR="00075D72" w:rsidRPr="00467A9E" w14:paraId="756F833B" w14:textId="77777777" w:rsidTr="00613C2D">
        <w:tc>
          <w:tcPr>
            <w:tcW w:w="0" w:type="auto"/>
          </w:tcPr>
          <w:p w14:paraId="14AD59F6" w14:textId="2100CF4E" w:rsidR="00075D72" w:rsidRPr="00467A9E" w:rsidRDefault="00A5598E" w:rsidP="00613C2D">
            <w:pPr>
              <w:pStyle w:val="NoSpacing"/>
            </w:pPr>
            <w:r w:rsidRPr="00467A9E">
              <w:t>Age</w:t>
            </w:r>
          </w:p>
        </w:tc>
        <w:tc>
          <w:tcPr>
            <w:tcW w:w="0" w:type="auto"/>
          </w:tcPr>
          <w:p w14:paraId="5960FE0B" w14:textId="55B7AE26" w:rsidR="00075D72" w:rsidRPr="00467A9E" w:rsidRDefault="00891E87" w:rsidP="00613C2D">
            <w:pPr>
              <w:pStyle w:val="NoSpacing"/>
            </w:pPr>
            <w:r w:rsidRPr="00467A9E">
              <w:t>0.3</w:t>
            </w:r>
          </w:p>
        </w:tc>
        <w:tc>
          <w:tcPr>
            <w:tcW w:w="0" w:type="auto"/>
          </w:tcPr>
          <w:p w14:paraId="78FED75D" w14:textId="4FD915CA" w:rsidR="00075D72" w:rsidRPr="00467A9E" w:rsidRDefault="00891E87" w:rsidP="00613C2D">
            <w:pPr>
              <w:pStyle w:val="NoSpacing"/>
            </w:pPr>
            <w:r w:rsidRPr="00467A9E">
              <w:t>0.4</w:t>
            </w:r>
          </w:p>
        </w:tc>
        <w:tc>
          <w:tcPr>
            <w:tcW w:w="0" w:type="auto"/>
          </w:tcPr>
          <w:p w14:paraId="63991626" w14:textId="61D072B1" w:rsidR="00075D72" w:rsidRPr="00467A9E" w:rsidRDefault="00891E87" w:rsidP="00613C2D">
            <w:pPr>
              <w:pStyle w:val="NoSpacing"/>
            </w:pPr>
            <w:r w:rsidRPr="00467A9E">
              <w:t>0.6</w:t>
            </w:r>
          </w:p>
        </w:tc>
        <w:tc>
          <w:tcPr>
            <w:tcW w:w="0" w:type="auto"/>
          </w:tcPr>
          <w:p w14:paraId="02F3AA51" w14:textId="246D05E7" w:rsidR="00075D72" w:rsidRPr="00467A9E" w:rsidRDefault="000A18A9" w:rsidP="00613C2D">
            <w:pPr>
              <w:pStyle w:val="NoSpacing"/>
            </w:pPr>
            <w:r w:rsidRPr="00467A9E">
              <w:t>0.8</w:t>
            </w:r>
          </w:p>
        </w:tc>
        <w:tc>
          <w:tcPr>
            <w:tcW w:w="0" w:type="auto"/>
          </w:tcPr>
          <w:p w14:paraId="58D9983A" w14:textId="77777777" w:rsidR="00075D72" w:rsidRPr="00467A9E" w:rsidRDefault="00075D72" w:rsidP="00613C2D">
            <w:pPr>
              <w:pStyle w:val="NoSpacing"/>
            </w:pPr>
          </w:p>
        </w:tc>
        <w:tc>
          <w:tcPr>
            <w:tcW w:w="0" w:type="auto"/>
          </w:tcPr>
          <w:p w14:paraId="2EB1C8C2" w14:textId="748CF412" w:rsidR="00075D72" w:rsidRPr="00467A9E" w:rsidRDefault="000A18A9" w:rsidP="00613C2D">
            <w:pPr>
              <w:pStyle w:val="NoSpacing"/>
            </w:pPr>
            <w:r w:rsidRPr="00467A9E">
              <w:t>2.2</w:t>
            </w:r>
          </w:p>
        </w:tc>
      </w:tr>
      <w:tr w:rsidR="00075D72" w:rsidRPr="00467A9E" w14:paraId="1E35C861" w14:textId="77777777" w:rsidTr="00613C2D">
        <w:tc>
          <w:tcPr>
            <w:tcW w:w="0" w:type="auto"/>
          </w:tcPr>
          <w:p w14:paraId="520A5695" w14:textId="28CBCEEB" w:rsidR="00075D72" w:rsidRPr="00467A9E" w:rsidRDefault="00A5598E" w:rsidP="00613C2D">
            <w:pPr>
              <w:pStyle w:val="NoSpacing"/>
            </w:pPr>
            <w:r w:rsidRPr="00467A9E">
              <w:t>Relative intravenous alteplase treatment contraindication</w:t>
            </w:r>
          </w:p>
        </w:tc>
        <w:tc>
          <w:tcPr>
            <w:tcW w:w="0" w:type="auto"/>
          </w:tcPr>
          <w:p w14:paraId="71A87E8C" w14:textId="10674953" w:rsidR="00075D72" w:rsidRPr="00467A9E" w:rsidRDefault="000A18A9" w:rsidP="00613C2D">
            <w:pPr>
              <w:pStyle w:val="NoSpacing"/>
            </w:pPr>
            <w:r w:rsidRPr="00467A9E">
              <w:t>0.1</w:t>
            </w:r>
          </w:p>
        </w:tc>
        <w:tc>
          <w:tcPr>
            <w:tcW w:w="0" w:type="auto"/>
          </w:tcPr>
          <w:p w14:paraId="680BBAB1" w14:textId="5A74B44B" w:rsidR="00075D72" w:rsidRPr="00467A9E" w:rsidRDefault="000A18A9" w:rsidP="00613C2D">
            <w:pPr>
              <w:pStyle w:val="NoSpacing"/>
            </w:pPr>
            <w:r w:rsidRPr="00467A9E">
              <w:t>0.2</w:t>
            </w:r>
          </w:p>
        </w:tc>
        <w:tc>
          <w:tcPr>
            <w:tcW w:w="0" w:type="auto"/>
          </w:tcPr>
          <w:p w14:paraId="2505FFA1" w14:textId="5AE3361A" w:rsidR="00075D72" w:rsidRPr="00467A9E" w:rsidRDefault="000A18A9" w:rsidP="00613C2D">
            <w:pPr>
              <w:pStyle w:val="NoSpacing"/>
            </w:pPr>
            <w:r w:rsidRPr="00467A9E">
              <w:t>0.3</w:t>
            </w:r>
          </w:p>
        </w:tc>
        <w:tc>
          <w:tcPr>
            <w:tcW w:w="0" w:type="auto"/>
          </w:tcPr>
          <w:p w14:paraId="722C8978" w14:textId="241C66B7" w:rsidR="00075D72" w:rsidRPr="00467A9E" w:rsidRDefault="000A18A9" w:rsidP="00613C2D">
            <w:pPr>
              <w:pStyle w:val="NoSpacing"/>
            </w:pPr>
            <w:r w:rsidRPr="00467A9E">
              <w:t>0.</w:t>
            </w:r>
            <w:r w:rsidR="00023DB6" w:rsidRPr="00467A9E">
              <w:t>4</w:t>
            </w:r>
          </w:p>
        </w:tc>
        <w:tc>
          <w:tcPr>
            <w:tcW w:w="0" w:type="auto"/>
          </w:tcPr>
          <w:p w14:paraId="31A2B376" w14:textId="081E5BA7" w:rsidR="00075D72" w:rsidRPr="00467A9E" w:rsidRDefault="00023DB6" w:rsidP="00613C2D">
            <w:pPr>
              <w:pStyle w:val="NoSpacing"/>
            </w:pPr>
            <w:r w:rsidRPr="00467A9E">
              <w:t>0.5</w:t>
            </w:r>
          </w:p>
        </w:tc>
        <w:tc>
          <w:tcPr>
            <w:tcW w:w="0" w:type="auto"/>
          </w:tcPr>
          <w:p w14:paraId="49CB7AE0" w14:textId="77777777" w:rsidR="00075D72" w:rsidRPr="00467A9E" w:rsidRDefault="00075D72" w:rsidP="00613C2D">
            <w:pPr>
              <w:pStyle w:val="NoSpacing"/>
            </w:pPr>
          </w:p>
        </w:tc>
      </w:tr>
    </w:tbl>
    <w:p w14:paraId="67AA9777" w14:textId="0F0AE9A5" w:rsidR="00FB7C33" w:rsidRPr="00467A9E" w:rsidRDefault="00FB7C33" w:rsidP="00FB7C33">
      <w:pPr>
        <w:shd w:val="clear" w:color="auto" w:fill="FFFFFF"/>
        <w:spacing w:line="390" w:lineRule="atLeast"/>
        <w:rPr>
          <w:rFonts w:cstheme="minorHAnsi"/>
          <w:color w:val="333333"/>
        </w:rPr>
      </w:pPr>
    </w:p>
    <w:p w14:paraId="061B7DDD" w14:textId="77777777" w:rsidR="00FB7C33" w:rsidRPr="00467A9E" w:rsidRDefault="00FB7C33" w:rsidP="00B95907">
      <w:pPr>
        <w:pStyle w:val="Heading1"/>
        <w:rPr>
          <w:rFonts w:asciiTheme="minorHAnsi" w:hAnsiTheme="minorHAnsi" w:cstheme="minorHAnsi"/>
        </w:rPr>
      </w:pPr>
      <w:bookmarkStart w:id="10" w:name="_i15"/>
      <w:bookmarkEnd w:id="10"/>
      <w:r w:rsidRPr="00467A9E">
        <w:rPr>
          <w:rFonts w:asciiTheme="minorHAnsi" w:hAnsiTheme="minorHAnsi" w:cstheme="minorHAnsi"/>
        </w:rPr>
        <w:t>Discussion</w:t>
      </w:r>
    </w:p>
    <w:p w14:paraId="67B84CE4" w14:textId="77777777" w:rsidR="00FB7C33" w:rsidRPr="00467A9E" w:rsidRDefault="00FB7C33" w:rsidP="00B95907">
      <w:pPr>
        <w:rPr>
          <w:rFonts w:cstheme="minorHAnsi"/>
        </w:rPr>
      </w:pPr>
      <w:r w:rsidRPr="00467A9E">
        <w:rPr>
          <w:rFonts w:cstheme="minorHAnsi"/>
        </w:rPr>
        <w:t>In an adaptive CA, we found that experienced, academic physicians practicing in the US consistently weigh motor and communication deficits more heavily than other neurological deficits, age, premorbid functional status, and potential contraindications for thrombolysis decision-making in patients with minor ischemic stroke.</w:t>
      </w:r>
    </w:p>
    <w:p w14:paraId="246ABD38" w14:textId="77777777" w:rsidR="00FB7C33" w:rsidRPr="00467A9E" w:rsidRDefault="00FB7C33" w:rsidP="00B95907">
      <w:pPr>
        <w:rPr>
          <w:rFonts w:cstheme="minorHAnsi"/>
        </w:rPr>
      </w:pPr>
      <w:r w:rsidRPr="00467A9E">
        <w:rPr>
          <w:rFonts w:cstheme="minorHAnsi"/>
        </w:rPr>
        <w:t>We are not aware of any prior studies focused exclusively on minor stroke thrombolytic decision-making that use CA or other discrete-choice experimentation. A recent large, systematic US physician vignette survey regarding minor stroke treatment decision-making which included 7 clinical patient attributes failed to account for more than a small portion of the variance related to alteplase treatment.</w:t>
      </w:r>
      <w:hyperlink r:id="rId42" w:history="1">
        <w:r w:rsidRPr="00467A9E">
          <w:rPr>
            <w:rStyle w:val="Hyperlink"/>
            <w:rFonts w:eastAsiaTheme="majorEastAsia" w:cstheme="minorHAnsi"/>
            <w:color w:val="006ACC"/>
            <w:vertAlign w:val="superscript"/>
          </w:rPr>
          <w:t>10</w:t>
        </w:r>
      </w:hyperlink>
      <w:r w:rsidRPr="00467A9E">
        <w:rPr>
          <w:rFonts w:cstheme="minorHAnsi"/>
        </w:rPr>
        <w:t> None of the 4 attributes of highest relative importance (previous intracerebral hemorrhage, recent anticoagulation, NIHSS score, and previous ischemic stroke) in this recent study were included in our CA making cross-study comparisons challenging.</w:t>
      </w:r>
      <w:hyperlink r:id="rId43" w:history="1">
        <w:r w:rsidRPr="00467A9E">
          <w:rPr>
            <w:rStyle w:val="Hyperlink"/>
            <w:rFonts w:eastAsiaTheme="majorEastAsia" w:cstheme="minorHAnsi"/>
            <w:color w:val="006ACC"/>
            <w:vertAlign w:val="superscript"/>
          </w:rPr>
          <w:t>10</w:t>
        </w:r>
      </w:hyperlink>
      <w:r w:rsidRPr="00467A9E">
        <w:rPr>
          <w:rFonts w:cstheme="minorHAnsi"/>
        </w:rPr>
        <w:t> A smaller pilot survey on which the aforementioned recent large physician survey was based upon found that physicians were more likely to thrombolyse patients with minor stroke with language/neglect symptoms than with motor and visual/spatial/ataxia symptoms.</w:t>
      </w:r>
      <w:hyperlink r:id="rId44" w:history="1">
        <w:r w:rsidRPr="00467A9E">
          <w:rPr>
            <w:rStyle w:val="Hyperlink"/>
            <w:rFonts w:eastAsiaTheme="majorEastAsia" w:cstheme="minorHAnsi"/>
            <w:color w:val="006ACC"/>
            <w:vertAlign w:val="superscript"/>
          </w:rPr>
          <w:t>12</w:t>
        </w:r>
      </w:hyperlink>
      <w:r w:rsidRPr="00467A9E">
        <w:rPr>
          <w:rFonts w:cstheme="minorHAnsi"/>
        </w:rPr>
        <w:t> The different prioritization of deficit types by participants in our study may stem from the fact that we intentionally included patients with very minor syndromes (eg, isolated nondominant hand weakness) in our scenarios. A CA evaluating thrombolysis decision-making in the United Kingdom found significant heterogeneity among physician respondents on the influence of NIHSS 2 with aphasia versus NIHSS 5 without aphasia on thrombolysis decision-making, but other neurological deficits among patients with minor stroke were not evaluated.</w:t>
      </w:r>
      <w:hyperlink r:id="rId45" w:history="1">
        <w:r w:rsidRPr="00467A9E">
          <w:rPr>
            <w:rStyle w:val="Hyperlink"/>
            <w:rFonts w:eastAsiaTheme="majorEastAsia" w:cstheme="minorHAnsi"/>
            <w:color w:val="006ACC"/>
            <w:vertAlign w:val="superscript"/>
          </w:rPr>
          <w:t>13</w:t>
        </w:r>
      </w:hyperlink>
    </w:p>
    <w:p w14:paraId="2DE9C085" w14:textId="77777777" w:rsidR="00FB7C33" w:rsidRPr="00467A9E" w:rsidRDefault="00FB7C33" w:rsidP="00B95907">
      <w:pPr>
        <w:rPr>
          <w:rFonts w:cstheme="minorHAnsi"/>
        </w:rPr>
      </w:pPr>
      <w:r w:rsidRPr="00467A9E">
        <w:rPr>
          <w:rFonts w:cstheme="minorHAnsi"/>
        </w:rPr>
        <w:t>Our work adds to the extant literature by suggesting that physician decision-making in minor stroke at academic centers is more heavily influenced by the type of neurological deficit a patient presents with rather than physician concerns regarding potential treatment complications, age, or premorbid status. It is important to note that we did not evaluate how strong alteplase treatment exclusions (eg, active internal bleeding) affects decision-making in minor stroke and cannot comment on how including such an attribute would change our results. Future CA studies evaluating stroke decision-making may benefit from including different patient features or focusing on physician attributes, so that variance in minor stroke treatment can be further explained.</w:t>
      </w:r>
      <w:hyperlink r:id="rId46" w:history="1">
        <w:r w:rsidRPr="00467A9E">
          <w:rPr>
            <w:rStyle w:val="Hyperlink"/>
            <w:rFonts w:eastAsiaTheme="majorEastAsia" w:cstheme="minorHAnsi"/>
            <w:color w:val="006ACC"/>
            <w:vertAlign w:val="superscript"/>
          </w:rPr>
          <w:t>10</w:t>
        </w:r>
      </w:hyperlink>
      <w:r w:rsidRPr="00467A9E">
        <w:rPr>
          <w:rFonts w:cstheme="minorHAnsi"/>
        </w:rPr>
        <w:t> Characterizing physicians’ motivation to withhold thrombolysis in minor stroke (eg expected recovery without treatment or meaningfulness of current deficit) is also an area for future research.</w:t>
      </w:r>
    </w:p>
    <w:p w14:paraId="7B8B8A7A" w14:textId="77777777" w:rsidR="00FB7C33" w:rsidRPr="00467A9E" w:rsidRDefault="00FB7C33" w:rsidP="00B95907">
      <w:pPr>
        <w:rPr>
          <w:rFonts w:cstheme="minorHAnsi"/>
        </w:rPr>
      </w:pPr>
      <w:r w:rsidRPr="00467A9E">
        <w:rPr>
          <w:rFonts w:cstheme="minorHAnsi"/>
        </w:rPr>
        <w:t xml:space="preserve">This study has some important limitations. First, we do not know the number of individuals who received our survey invite nor do we know the characteristics of physicians who started but did not complete it. This missing information prohibits us from reporting our survey response rate, thereby limiting our ability to generalize our findings without bias. Additionally, our final sample size is </w:t>
      </w:r>
      <w:proofErr w:type="gramStart"/>
      <w:r w:rsidRPr="00467A9E">
        <w:rPr>
          <w:rFonts w:cstheme="minorHAnsi"/>
        </w:rPr>
        <w:t>small</w:t>
      </w:r>
      <w:proofErr w:type="gramEnd"/>
      <w:r w:rsidRPr="00467A9E">
        <w:rPr>
          <w:rFonts w:cstheme="minorHAnsi"/>
        </w:rPr>
        <w:t xml:space="preserve"> and our results may not be applicable to nonacademic centers outside of the US given the makeup of our participants. Second, we did not include any patient neuroimaging or angiographic features in our </w:t>
      </w:r>
      <w:proofErr w:type="gramStart"/>
      <w:r w:rsidRPr="00467A9E">
        <w:rPr>
          <w:rFonts w:cstheme="minorHAnsi"/>
        </w:rPr>
        <w:t>survey</w:t>
      </w:r>
      <w:proofErr w:type="gramEnd"/>
      <w:r w:rsidRPr="00467A9E">
        <w:rPr>
          <w:rFonts w:cstheme="minorHAnsi"/>
        </w:rPr>
        <w:t xml:space="preserve"> nor did we include patient gender or race/ethnicity. Physician-level factors and patients’ preferences are also probably important in minor stroke decision-making given the potential for patient–practitioner discordance regarding deficit significance.</w:t>
      </w:r>
      <w:hyperlink r:id="rId47" w:history="1">
        <w:r w:rsidRPr="00467A9E">
          <w:rPr>
            <w:rStyle w:val="Hyperlink"/>
            <w:rFonts w:eastAsiaTheme="majorEastAsia" w:cstheme="minorHAnsi"/>
            <w:color w:val="006ACC"/>
            <w:vertAlign w:val="superscript"/>
          </w:rPr>
          <w:t>6</w:t>
        </w:r>
      </w:hyperlink>
      <w:r w:rsidRPr="00467A9E">
        <w:rPr>
          <w:rFonts w:cstheme="minorHAnsi"/>
        </w:rPr>
        <w:t> We only include clinical patient factors in our survey. Third, we did not include the option of treating with tenecteplase tissue-type plasminogen activator (TNK-tPA) despite its favorable safety profile compared to alteplase among patients with minor stroke and intracranial occlusion.</w:t>
      </w:r>
      <w:hyperlink r:id="rId48" w:history="1">
        <w:r w:rsidRPr="00467A9E">
          <w:rPr>
            <w:rStyle w:val="Hyperlink"/>
            <w:rFonts w:eastAsiaTheme="majorEastAsia" w:cstheme="minorHAnsi"/>
            <w:color w:val="006ACC"/>
            <w:vertAlign w:val="superscript"/>
          </w:rPr>
          <w:t>19</w:t>
        </w:r>
      </w:hyperlink>
      <w:r w:rsidRPr="00467A9E">
        <w:rPr>
          <w:rFonts w:cstheme="minorHAnsi"/>
        </w:rPr>
        <w:t> Future minor stroke treatment decisions will likely be informed by results from the ongoing TNK-tPA Versus Standard of Care for Minor Ischemic Stroke With Proven Occlusion 2 trial as well as the publication of PRISMS.</w:t>
      </w:r>
      <w:hyperlink r:id="rId49" w:history="1">
        <w:r w:rsidRPr="00467A9E">
          <w:rPr>
            <w:rStyle w:val="Hyperlink"/>
            <w:rFonts w:eastAsiaTheme="majorEastAsia" w:cstheme="minorHAnsi"/>
            <w:color w:val="006ACC"/>
            <w:vertAlign w:val="superscript"/>
          </w:rPr>
          <w:t>8</w:t>
        </w:r>
      </w:hyperlink>
    </w:p>
    <w:p w14:paraId="334C5432" w14:textId="77777777" w:rsidR="00FB7C33" w:rsidRPr="00467A9E" w:rsidRDefault="00FB7C33" w:rsidP="00B95907">
      <w:pPr>
        <w:pStyle w:val="Heading1"/>
        <w:rPr>
          <w:rFonts w:asciiTheme="minorHAnsi" w:hAnsiTheme="minorHAnsi" w:cstheme="minorHAnsi"/>
        </w:rPr>
      </w:pPr>
      <w:bookmarkStart w:id="11" w:name="_i16"/>
      <w:bookmarkEnd w:id="11"/>
      <w:r w:rsidRPr="00467A9E">
        <w:rPr>
          <w:rFonts w:asciiTheme="minorHAnsi" w:hAnsiTheme="minorHAnsi" w:cstheme="minorHAnsi"/>
        </w:rPr>
        <w:t>Conclusion</w:t>
      </w:r>
    </w:p>
    <w:p w14:paraId="1246CEF8" w14:textId="77777777" w:rsidR="00FB7C33" w:rsidRPr="00467A9E" w:rsidRDefault="00FB7C33" w:rsidP="00B95907">
      <w:pPr>
        <w:rPr>
          <w:rFonts w:cstheme="minorHAnsi"/>
        </w:rPr>
      </w:pPr>
      <w:r w:rsidRPr="00467A9E">
        <w:rPr>
          <w:rFonts w:cstheme="minorHAnsi"/>
        </w:rPr>
        <w:t>In a CA of thrombolysis decision-making in patients with minor stroke, surveyed academic US physicians consistently assigned greater weight to motor and communication deficits than other neurological deficits, patient age, premorbid functional status, and relative treatment contraindications. Additional sources of treatment variation among patients with minor stroke should be sought to identify opportunities for improvement in stroke decision-making.</w:t>
      </w:r>
    </w:p>
    <w:p w14:paraId="417EBA8A" w14:textId="77777777" w:rsidR="00FB7C33" w:rsidRPr="00467A9E" w:rsidRDefault="00FB7C33" w:rsidP="00613C2D">
      <w:pPr>
        <w:pStyle w:val="NormalWeb"/>
        <w:shd w:val="clear" w:color="auto" w:fill="FFFFFF"/>
        <w:spacing w:line="390" w:lineRule="atLeast"/>
        <w:rPr>
          <w:rFonts w:asciiTheme="minorHAnsi" w:hAnsiTheme="minorHAnsi" w:cstheme="minorHAnsi"/>
          <w:color w:val="333333"/>
        </w:rPr>
      </w:pPr>
      <w:r w:rsidRPr="00467A9E">
        <w:rPr>
          <w:rStyle w:val="Heading2Char"/>
          <w:rFonts w:asciiTheme="minorHAnsi" w:hAnsiTheme="minorHAnsi" w:cstheme="minorHAnsi"/>
        </w:rPr>
        <w:t>Declaration of Conflicting Interests</w:t>
      </w:r>
      <w:r w:rsidRPr="00467A9E">
        <w:rPr>
          <w:rFonts w:asciiTheme="minorHAnsi" w:hAnsiTheme="minorHAnsi" w:cstheme="minorHAnsi"/>
          <w:color w:val="333333"/>
        </w:rPr>
        <w:br/>
      </w:r>
      <w:r w:rsidRPr="00467A9E">
        <w:rPr>
          <w:rFonts w:asciiTheme="minorHAnsi" w:hAnsiTheme="minorHAnsi" w:cstheme="minorHAnsi"/>
          <w:sz w:val="22"/>
          <w:szCs w:val="22"/>
        </w:rPr>
        <w:t>The authors declared no potential conflicts of interest with respect to the research, authorship, and/or publication of this article.</w:t>
      </w:r>
    </w:p>
    <w:p w14:paraId="35C70DAF" w14:textId="77777777" w:rsidR="00FB7C33" w:rsidRPr="00467A9E" w:rsidRDefault="00FB7C33" w:rsidP="00613C2D">
      <w:pPr>
        <w:pStyle w:val="NormalWeb"/>
        <w:shd w:val="clear" w:color="auto" w:fill="FFFFFF"/>
        <w:spacing w:line="390" w:lineRule="atLeast"/>
        <w:rPr>
          <w:rFonts w:asciiTheme="minorHAnsi" w:hAnsiTheme="minorHAnsi" w:cstheme="minorHAnsi"/>
          <w:color w:val="333333"/>
        </w:rPr>
      </w:pPr>
      <w:r w:rsidRPr="00467A9E">
        <w:rPr>
          <w:rStyle w:val="Heading2Char"/>
          <w:rFonts w:asciiTheme="minorHAnsi" w:hAnsiTheme="minorHAnsi" w:cstheme="minorHAnsi"/>
        </w:rPr>
        <w:t>Funding</w:t>
      </w:r>
      <w:r w:rsidRPr="00467A9E">
        <w:rPr>
          <w:rFonts w:asciiTheme="minorHAnsi" w:hAnsiTheme="minorHAnsi" w:cstheme="minorHAnsi"/>
          <w:color w:val="333333"/>
        </w:rPr>
        <w:br/>
      </w:r>
      <w:r w:rsidRPr="00467A9E">
        <w:rPr>
          <w:rFonts w:asciiTheme="minorHAnsi" w:hAnsiTheme="minorHAnsi" w:cstheme="minorHAnsi"/>
          <w:sz w:val="22"/>
          <w:szCs w:val="22"/>
        </w:rPr>
        <w:t>The authors received no financial support for the research, authorship, and/or publication of this article.</w:t>
      </w:r>
    </w:p>
    <w:p w14:paraId="3064CC57" w14:textId="77777777" w:rsidR="00FB7C33" w:rsidRPr="00467A9E" w:rsidRDefault="00FB7C33" w:rsidP="00613C2D">
      <w:pPr>
        <w:pStyle w:val="NormalWeb"/>
        <w:shd w:val="clear" w:color="auto" w:fill="FFFFFF"/>
        <w:spacing w:line="390" w:lineRule="atLeast"/>
        <w:rPr>
          <w:rFonts w:asciiTheme="minorHAnsi" w:hAnsiTheme="minorHAnsi" w:cstheme="minorHAnsi"/>
          <w:color w:val="333333"/>
        </w:rPr>
      </w:pPr>
      <w:r w:rsidRPr="00467A9E">
        <w:rPr>
          <w:rStyle w:val="Heading2Char"/>
          <w:rFonts w:asciiTheme="minorHAnsi" w:hAnsiTheme="minorHAnsi" w:cstheme="minorHAnsi"/>
        </w:rPr>
        <w:t>Supplemental Material</w:t>
      </w:r>
      <w:r w:rsidRPr="00467A9E">
        <w:rPr>
          <w:rFonts w:asciiTheme="minorHAnsi" w:hAnsiTheme="minorHAnsi" w:cstheme="minorHAnsi"/>
          <w:color w:val="333333"/>
        </w:rPr>
        <w:br/>
      </w:r>
      <w:r w:rsidRPr="00467A9E">
        <w:rPr>
          <w:rFonts w:asciiTheme="minorHAnsi" w:hAnsiTheme="minorHAnsi" w:cstheme="minorHAnsi"/>
          <w:sz w:val="22"/>
          <w:szCs w:val="22"/>
        </w:rPr>
        <w:t>Supplemental material for this article is available online.</w:t>
      </w:r>
    </w:p>
    <w:p w14:paraId="25FFF050" w14:textId="77777777" w:rsidR="00FB7C33" w:rsidRPr="00467A9E" w:rsidRDefault="00FB7C33" w:rsidP="00D26984">
      <w:pPr>
        <w:pStyle w:val="Heading1"/>
        <w:rPr>
          <w:rFonts w:asciiTheme="minorHAnsi" w:hAnsiTheme="minorHAnsi" w:cstheme="minorHAnsi"/>
        </w:rPr>
      </w:pPr>
      <w:bookmarkStart w:id="12" w:name="_i17"/>
      <w:bookmarkEnd w:id="12"/>
      <w:r w:rsidRPr="00467A9E">
        <w:rPr>
          <w:rFonts w:asciiTheme="minorHAnsi" w:hAnsiTheme="minorHAnsi" w:cstheme="minorHAnsi"/>
        </w:rPr>
        <w:t>References</w:t>
      </w:r>
    </w:p>
    <w:tbl>
      <w:tblPr>
        <w:tblStyle w:val="TableGrid"/>
        <w:tblW w:w="0" w:type="auto"/>
        <w:tblLook w:val="04A0" w:firstRow="1" w:lastRow="0" w:firstColumn="1" w:lastColumn="0" w:noHBand="0" w:noVBand="1"/>
      </w:tblPr>
      <w:tblGrid>
        <w:gridCol w:w="495"/>
        <w:gridCol w:w="9575"/>
      </w:tblGrid>
      <w:tr w:rsidR="00FB7C33" w:rsidRPr="00467A9E" w14:paraId="4270C862" w14:textId="77777777" w:rsidTr="00D26984">
        <w:tc>
          <w:tcPr>
            <w:tcW w:w="0" w:type="auto"/>
            <w:hideMark/>
          </w:tcPr>
          <w:p w14:paraId="66B2E435" w14:textId="77777777" w:rsidR="00FB7C33" w:rsidRPr="00467A9E" w:rsidRDefault="00FB7C33" w:rsidP="00613C2D">
            <w:pPr>
              <w:pStyle w:val="NoSpacing"/>
            </w:pPr>
            <w:r w:rsidRPr="00467A9E">
              <w:t>1.</w:t>
            </w:r>
          </w:p>
        </w:tc>
        <w:tc>
          <w:tcPr>
            <w:tcW w:w="0" w:type="auto"/>
            <w:hideMark/>
          </w:tcPr>
          <w:p w14:paraId="77E9B977" w14:textId="2EE5091A" w:rsidR="00FB7C33" w:rsidRPr="00467A9E" w:rsidRDefault="00FB7C33" w:rsidP="00613C2D">
            <w:pPr>
              <w:pStyle w:val="NoSpacing"/>
            </w:pPr>
            <w:r w:rsidRPr="00467A9E">
              <w:t>Schwamm, LH, Ali, SF, Reeves, MJ. </w:t>
            </w:r>
            <w:r w:rsidRPr="00467A9E">
              <w:rPr>
                <w:rStyle w:val="nlmarticle-title"/>
                <w:rFonts w:cstheme="minorHAnsi"/>
                <w:color w:val="333333"/>
                <w:sz w:val="21"/>
                <w:szCs w:val="21"/>
              </w:rPr>
              <w:t xml:space="preserve">Temporal trends in patient characteristics and treatment with intravenous thrombolysis among acute ischemic stroke patients at Get </w:t>
            </w:r>
            <w:proofErr w:type="gramStart"/>
            <w:r w:rsidRPr="00467A9E">
              <w:rPr>
                <w:rStyle w:val="nlmarticle-title"/>
                <w:rFonts w:cstheme="minorHAnsi"/>
                <w:color w:val="333333"/>
                <w:sz w:val="21"/>
                <w:szCs w:val="21"/>
              </w:rPr>
              <w:t>With</w:t>
            </w:r>
            <w:proofErr w:type="gramEnd"/>
            <w:r w:rsidRPr="00467A9E">
              <w:rPr>
                <w:rStyle w:val="nlmarticle-title"/>
                <w:rFonts w:cstheme="minorHAnsi"/>
                <w:color w:val="333333"/>
                <w:sz w:val="21"/>
                <w:szCs w:val="21"/>
              </w:rPr>
              <w:t xml:space="preserve"> The Guidelines-Stroke hospitals</w:t>
            </w:r>
            <w:r w:rsidRPr="00467A9E">
              <w:t>. Circ Cardiovasc Qual Outcomes. </w:t>
            </w:r>
            <w:r w:rsidRPr="00467A9E">
              <w:rPr>
                <w:rStyle w:val="nlmyear"/>
                <w:rFonts w:cstheme="minorHAnsi"/>
                <w:color w:val="333333"/>
                <w:sz w:val="21"/>
                <w:szCs w:val="21"/>
              </w:rPr>
              <w:t>2013</w:t>
            </w:r>
            <w:r w:rsidRPr="00467A9E">
              <w:t>;6(5):</w:t>
            </w:r>
            <w:r w:rsidRPr="00467A9E">
              <w:rPr>
                <w:rStyle w:val="nlmfpage"/>
                <w:rFonts w:cstheme="minorHAnsi"/>
                <w:color w:val="333333"/>
                <w:sz w:val="21"/>
                <w:szCs w:val="21"/>
              </w:rPr>
              <w:t>543</w:t>
            </w:r>
            <w:r w:rsidRPr="00467A9E">
              <w:t>–</w:t>
            </w:r>
            <w:r w:rsidRPr="00467A9E">
              <w:rPr>
                <w:rStyle w:val="nlmlpage"/>
                <w:rFonts w:cstheme="minorHAnsi"/>
                <w:color w:val="333333"/>
                <w:sz w:val="21"/>
                <w:szCs w:val="21"/>
              </w:rPr>
              <w:t>549</w:t>
            </w:r>
            <w:r w:rsidRPr="00467A9E">
              <w:t>. </w:t>
            </w:r>
          </w:p>
          <w:p w14:paraId="5C7CFFDE" w14:textId="5593F89C" w:rsidR="00FB7C33" w:rsidRPr="00467A9E" w:rsidRDefault="00FB7C33" w:rsidP="00613C2D">
            <w:pPr>
              <w:pStyle w:val="NoSpacing"/>
            </w:pPr>
          </w:p>
        </w:tc>
      </w:tr>
      <w:tr w:rsidR="00FB7C33" w:rsidRPr="00467A9E" w14:paraId="442BD691" w14:textId="77777777" w:rsidTr="00D26984">
        <w:tc>
          <w:tcPr>
            <w:tcW w:w="0" w:type="auto"/>
            <w:hideMark/>
          </w:tcPr>
          <w:p w14:paraId="7BC41E2E" w14:textId="77777777" w:rsidR="00FB7C33" w:rsidRPr="00467A9E" w:rsidRDefault="00FB7C33" w:rsidP="00613C2D">
            <w:pPr>
              <w:pStyle w:val="NoSpacing"/>
            </w:pPr>
            <w:r w:rsidRPr="00467A9E">
              <w:t>2.</w:t>
            </w:r>
          </w:p>
        </w:tc>
        <w:tc>
          <w:tcPr>
            <w:tcW w:w="0" w:type="auto"/>
            <w:hideMark/>
          </w:tcPr>
          <w:p w14:paraId="2DC6CEF6" w14:textId="514EFF32" w:rsidR="00FB7C33" w:rsidRPr="00467A9E" w:rsidRDefault="00FB7C33" w:rsidP="00613C2D">
            <w:pPr>
              <w:pStyle w:val="NoSpacing"/>
            </w:pPr>
            <w:r w:rsidRPr="00467A9E">
              <w:t>Romano, JG, Smith, EE, Liang, L. </w:t>
            </w:r>
            <w:r w:rsidRPr="00467A9E">
              <w:rPr>
                <w:rStyle w:val="nlmarticle-title"/>
                <w:rFonts w:cstheme="minorHAnsi"/>
                <w:color w:val="333333"/>
                <w:sz w:val="21"/>
                <w:szCs w:val="21"/>
              </w:rPr>
              <w:t xml:space="preserve">Outcomes in mild acute ischemic stroke treated with intravenous thrombolysis: a retrospective analysis of the Get </w:t>
            </w:r>
            <w:proofErr w:type="gramStart"/>
            <w:r w:rsidRPr="00467A9E">
              <w:rPr>
                <w:rStyle w:val="nlmarticle-title"/>
                <w:rFonts w:cstheme="minorHAnsi"/>
                <w:color w:val="333333"/>
                <w:sz w:val="21"/>
                <w:szCs w:val="21"/>
              </w:rPr>
              <w:t>With</w:t>
            </w:r>
            <w:proofErr w:type="gramEnd"/>
            <w:r w:rsidRPr="00467A9E">
              <w:rPr>
                <w:rStyle w:val="nlmarticle-title"/>
                <w:rFonts w:cstheme="minorHAnsi"/>
                <w:color w:val="333333"/>
                <w:sz w:val="21"/>
                <w:szCs w:val="21"/>
              </w:rPr>
              <w:t xml:space="preserve"> the Guidelines-Stroke registry</w:t>
            </w:r>
            <w:r w:rsidRPr="00467A9E">
              <w:t>. JAMA Neurol. </w:t>
            </w:r>
            <w:r w:rsidRPr="00467A9E">
              <w:rPr>
                <w:rStyle w:val="nlmyear"/>
                <w:rFonts w:cstheme="minorHAnsi"/>
                <w:color w:val="333333"/>
                <w:sz w:val="21"/>
                <w:szCs w:val="21"/>
              </w:rPr>
              <w:t>2015</w:t>
            </w:r>
            <w:r w:rsidRPr="00467A9E">
              <w:t>;72(4):</w:t>
            </w:r>
            <w:r w:rsidRPr="00467A9E">
              <w:rPr>
                <w:rStyle w:val="nlmfpage"/>
                <w:rFonts w:cstheme="minorHAnsi"/>
                <w:color w:val="333333"/>
                <w:sz w:val="21"/>
                <w:szCs w:val="21"/>
              </w:rPr>
              <w:t>423</w:t>
            </w:r>
            <w:r w:rsidRPr="00467A9E">
              <w:t>–</w:t>
            </w:r>
            <w:r w:rsidRPr="00467A9E">
              <w:rPr>
                <w:rStyle w:val="nlmlpage"/>
                <w:rFonts w:cstheme="minorHAnsi"/>
                <w:color w:val="333333"/>
                <w:sz w:val="21"/>
                <w:szCs w:val="21"/>
              </w:rPr>
              <w:t>431</w:t>
            </w:r>
            <w:r w:rsidRPr="00467A9E">
              <w:t>. </w:t>
            </w:r>
          </w:p>
          <w:p w14:paraId="3EFE7DC5" w14:textId="59596567" w:rsidR="00FB7C33" w:rsidRPr="00467A9E" w:rsidRDefault="00FB7C33" w:rsidP="00613C2D">
            <w:pPr>
              <w:pStyle w:val="NoSpacing"/>
            </w:pPr>
          </w:p>
        </w:tc>
      </w:tr>
      <w:tr w:rsidR="00FB7C33" w:rsidRPr="00467A9E" w14:paraId="4B73C458" w14:textId="77777777" w:rsidTr="00D26984">
        <w:tc>
          <w:tcPr>
            <w:tcW w:w="0" w:type="auto"/>
            <w:hideMark/>
          </w:tcPr>
          <w:p w14:paraId="60D35702" w14:textId="77777777" w:rsidR="00FB7C33" w:rsidRPr="00467A9E" w:rsidRDefault="00FB7C33" w:rsidP="00613C2D">
            <w:pPr>
              <w:pStyle w:val="NoSpacing"/>
            </w:pPr>
            <w:r w:rsidRPr="00467A9E">
              <w:t>3.</w:t>
            </w:r>
          </w:p>
        </w:tc>
        <w:tc>
          <w:tcPr>
            <w:tcW w:w="0" w:type="auto"/>
            <w:hideMark/>
          </w:tcPr>
          <w:p w14:paraId="26BDDBDE" w14:textId="5EA0F827" w:rsidR="00FB7C33" w:rsidRPr="00467A9E" w:rsidRDefault="00FB7C33" w:rsidP="00613C2D">
            <w:pPr>
              <w:pStyle w:val="NoSpacing"/>
            </w:pPr>
            <w:r w:rsidRPr="00467A9E">
              <w:t>Demaerschalk, BM, Kleindorfer, DO, Adeoye, OM; </w:t>
            </w:r>
            <w:r w:rsidRPr="00467A9E">
              <w:rPr>
                <w:rStyle w:val="nlmarticle-title"/>
                <w:rFonts w:cstheme="minorHAnsi"/>
                <w:color w:val="333333"/>
                <w:sz w:val="21"/>
                <w:szCs w:val="21"/>
              </w:rPr>
              <w:t>American Heart Association Stroke Council and Council on Epidemiology and Prevention. Scientific rationale for the inclusion and exclusion criteria for intravenous alteplase in acute ischemic stroke: a statement for healthcare professionals from the American Heart Association/American Stroke Association</w:t>
            </w:r>
            <w:r w:rsidRPr="00467A9E">
              <w:t>. Stroke. </w:t>
            </w:r>
            <w:r w:rsidRPr="00467A9E">
              <w:rPr>
                <w:rStyle w:val="nlmyear"/>
                <w:rFonts w:cstheme="minorHAnsi"/>
                <w:color w:val="333333"/>
                <w:sz w:val="21"/>
                <w:szCs w:val="21"/>
              </w:rPr>
              <w:t>2016</w:t>
            </w:r>
            <w:r w:rsidRPr="00467A9E">
              <w:t>;47(2):</w:t>
            </w:r>
            <w:r w:rsidRPr="00467A9E">
              <w:rPr>
                <w:rStyle w:val="nlmfpage"/>
                <w:rFonts w:cstheme="minorHAnsi"/>
                <w:color w:val="333333"/>
                <w:sz w:val="21"/>
                <w:szCs w:val="21"/>
              </w:rPr>
              <w:t>581</w:t>
            </w:r>
            <w:r w:rsidRPr="00467A9E">
              <w:t>–</w:t>
            </w:r>
            <w:r w:rsidRPr="00467A9E">
              <w:rPr>
                <w:rStyle w:val="nlmlpage"/>
                <w:rFonts w:cstheme="minorHAnsi"/>
                <w:color w:val="333333"/>
                <w:sz w:val="21"/>
                <w:szCs w:val="21"/>
              </w:rPr>
              <w:t>641</w:t>
            </w:r>
            <w:r w:rsidRPr="00467A9E">
              <w:t>. </w:t>
            </w:r>
          </w:p>
          <w:p w14:paraId="5CA89BF4" w14:textId="008DC208" w:rsidR="00FB7C33" w:rsidRPr="00467A9E" w:rsidRDefault="00FB7C33" w:rsidP="00613C2D">
            <w:pPr>
              <w:pStyle w:val="NoSpacing"/>
            </w:pPr>
          </w:p>
        </w:tc>
      </w:tr>
      <w:tr w:rsidR="00FB7C33" w:rsidRPr="00467A9E" w14:paraId="7F69359E" w14:textId="77777777" w:rsidTr="00D26984">
        <w:tc>
          <w:tcPr>
            <w:tcW w:w="0" w:type="auto"/>
            <w:hideMark/>
          </w:tcPr>
          <w:p w14:paraId="3340429B" w14:textId="77777777" w:rsidR="00FB7C33" w:rsidRPr="00467A9E" w:rsidRDefault="00FB7C33" w:rsidP="00613C2D">
            <w:pPr>
              <w:pStyle w:val="NoSpacing"/>
            </w:pPr>
            <w:r w:rsidRPr="00467A9E">
              <w:t>4.</w:t>
            </w:r>
          </w:p>
        </w:tc>
        <w:tc>
          <w:tcPr>
            <w:tcW w:w="0" w:type="auto"/>
            <w:hideMark/>
          </w:tcPr>
          <w:p w14:paraId="4347F798" w14:textId="605CEBF3" w:rsidR="00FB7C33" w:rsidRPr="00467A9E" w:rsidRDefault="00FB7C33" w:rsidP="00613C2D">
            <w:pPr>
              <w:pStyle w:val="NoSpacing"/>
            </w:pPr>
            <w:r w:rsidRPr="00467A9E">
              <w:t>Messe, SR, Khatri, P, Reeves, MJ. </w:t>
            </w:r>
            <w:r w:rsidRPr="00467A9E">
              <w:rPr>
                <w:rStyle w:val="nlmarticle-title"/>
                <w:rFonts w:cstheme="minorHAnsi"/>
                <w:color w:val="333333"/>
                <w:sz w:val="21"/>
                <w:szCs w:val="21"/>
              </w:rPr>
              <w:t>Why are acute ischemic stroke patients not receiving IV tPA? Results from a national registry</w:t>
            </w:r>
            <w:r w:rsidRPr="00467A9E">
              <w:t>. Neurology. </w:t>
            </w:r>
            <w:r w:rsidRPr="00467A9E">
              <w:rPr>
                <w:rStyle w:val="nlmyear"/>
                <w:rFonts w:cstheme="minorHAnsi"/>
                <w:color w:val="333333"/>
                <w:sz w:val="21"/>
                <w:szCs w:val="21"/>
              </w:rPr>
              <w:t>2016</w:t>
            </w:r>
            <w:r w:rsidRPr="00467A9E">
              <w:t>;87(15):</w:t>
            </w:r>
            <w:r w:rsidRPr="00467A9E">
              <w:rPr>
                <w:rStyle w:val="nlmfpage"/>
                <w:rFonts w:cstheme="minorHAnsi"/>
                <w:color w:val="333333"/>
                <w:sz w:val="21"/>
                <w:szCs w:val="21"/>
              </w:rPr>
              <w:t>1565</w:t>
            </w:r>
            <w:r w:rsidRPr="00467A9E">
              <w:t>–</w:t>
            </w:r>
            <w:r w:rsidRPr="00467A9E">
              <w:rPr>
                <w:rStyle w:val="nlmlpage"/>
                <w:rFonts w:cstheme="minorHAnsi"/>
                <w:color w:val="333333"/>
                <w:sz w:val="21"/>
                <w:szCs w:val="21"/>
              </w:rPr>
              <w:t>1574</w:t>
            </w:r>
            <w:r w:rsidRPr="00467A9E">
              <w:t>. </w:t>
            </w:r>
          </w:p>
          <w:p w14:paraId="3AF26067" w14:textId="3BD54A3C" w:rsidR="00FB7C33" w:rsidRPr="00467A9E" w:rsidRDefault="00FB7C33" w:rsidP="00613C2D">
            <w:pPr>
              <w:pStyle w:val="NoSpacing"/>
            </w:pPr>
          </w:p>
        </w:tc>
      </w:tr>
      <w:tr w:rsidR="00FB7C33" w:rsidRPr="00467A9E" w14:paraId="21F9DC5C" w14:textId="77777777" w:rsidTr="00D26984">
        <w:tc>
          <w:tcPr>
            <w:tcW w:w="0" w:type="auto"/>
            <w:hideMark/>
          </w:tcPr>
          <w:p w14:paraId="023AE550" w14:textId="77777777" w:rsidR="00FB7C33" w:rsidRPr="00467A9E" w:rsidRDefault="00FB7C33" w:rsidP="00613C2D">
            <w:pPr>
              <w:pStyle w:val="NoSpacing"/>
            </w:pPr>
            <w:r w:rsidRPr="00467A9E">
              <w:t>5.</w:t>
            </w:r>
          </w:p>
        </w:tc>
        <w:tc>
          <w:tcPr>
            <w:tcW w:w="0" w:type="auto"/>
            <w:hideMark/>
          </w:tcPr>
          <w:p w14:paraId="287BEBBB" w14:textId="67D4A5D0" w:rsidR="00FB7C33" w:rsidRPr="00467A9E" w:rsidRDefault="00FB7C33" w:rsidP="00613C2D">
            <w:pPr>
              <w:pStyle w:val="NoSpacing"/>
            </w:pPr>
            <w:r w:rsidRPr="00467A9E">
              <w:t>Willey, JZ, Khatri, P, Khoury, JC. </w:t>
            </w:r>
            <w:r w:rsidRPr="00467A9E">
              <w:rPr>
                <w:rStyle w:val="nlmarticle-title"/>
                <w:rFonts w:cstheme="minorHAnsi"/>
                <w:color w:val="333333"/>
                <w:sz w:val="21"/>
                <w:szCs w:val="21"/>
              </w:rPr>
              <w:t>Variability in the use of intravenous thrombolysis for mild stroke: experience across the SPOTRIAS network</w:t>
            </w:r>
            <w:r w:rsidRPr="00467A9E">
              <w:t>. J Stroke Cerebrovasc Dis. </w:t>
            </w:r>
            <w:proofErr w:type="gramStart"/>
            <w:r w:rsidRPr="00467A9E">
              <w:rPr>
                <w:rStyle w:val="nlmyear"/>
                <w:rFonts w:cstheme="minorHAnsi"/>
                <w:color w:val="333333"/>
                <w:sz w:val="21"/>
                <w:szCs w:val="21"/>
              </w:rPr>
              <w:t>2013</w:t>
            </w:r>
            <w:r w:rsidRPr="00467A9E">
              <w:t>;22:</w:t>
            </w:r>
            <w:r w:rsidRPr="00467A9E">
              <w:rPr>
                <w:rStyle w:val="nlmfpage"/>
                <w:rFonts w:cstheme="minorHAnsi"/>
                <w:color w:val="333333"/>
                <w:sz w:val="21"/>
                <w:szCs w:val="21"/>
              </w:rPr>
              <w:t>318</w:t>
            </w:r>
            <w:proofErr w:type="gramEnd"/>
            <w:r w:rsidRPr="00467A9E">
              <w:t>–</w:t>
            </w:r>
            <w:r w:rsidRPr="00467A9E">
              <w:rPr>
                <w:rStyle w:val="nlmlpage"/>
                <w:rFonts w:cstheme="minorHAnsi"/>
                <w:color w:val="333333"/>
                <w:sz w:val="21"/>
                <w:szCs w:val="21"/>
              </w:rPr>
              <w:t>322</w:t>
            </w:r>
            <w:r w:rsidRPr="00467A9E">
              <w:t>. </w:t>
            </w:r>
          </w:p>
          <w:p w14:paraId="350F2B38" w14:textId="4BD4BFF7" w:rsidR="00FB7C33" w:rsidRPr="00467A9E" w:rsidRDefault="00FB7C33" w:rsidP="00613C2D">
            <w:pPr>
              <w:pStyle w:val="NoSpacing"/>
            </w:pPr>
          </w:p>
        </w:tc>
      </w:tr>
      <w:tr w:rsidR="00FB7C33" w:rsidRPr="00467A9E" w14:paraId="41C68A03" w14:textId="77777777" w:rsidTr="00D26984">
        <w:tc>
          <w:tcPr>
            <w:tcW w:w="0" w:type="auto"/>
            <w:hideMark/>
          </w:tcPr>
          <w:p w14:paraId="0987872C" w14:textId="77777777" w:rsidR="00FB7C33" w:rsidRPr="00467A9E" w:rsidRDefault="00FB7C33" w:rsidP="00613C2D">
            <w:pPr>
              <w:pStyle w:val="NoSpacing"/>
            </w:pPr>
            <w:r w:rsidRPr="00467A9E">
              <w:t>6.</w:t>
            </w:r>
          </w:p>
        </w:tc>
        <w:tc>
          <w:tcPr>
            <w:tcW w:w="0" w:type="auto"/>
            <w:hideMark/>
          </w:tcPr>
          <w:p w14:paraId="2F595CFB" w14:textId="63EA02EA" w:rsidR="00FB7C33" w:rsidRPr="00467A9E" w:rsidRDefault="00FB7C33" w:rsidP="00613C2D">
            <w:pPr>
              <w:pStyle w:val="NoSpacing"/>
            </w:pPr>
            <w:r w:rsidRPr="00467A9E">
              <w:t xml:space="preserve">Re-examining Acute Eligibility for Thrombolysis Task </w:t>
            </w:r>
            <w:proofErr w:type="gramStart"/>
            <w:r w:rsidRPr="00467A9E">
              <w:t>Force ,</w:t>
            </w:r>
            <w:proofErr w:type="gramEnd"/>
            <w:r w:rsidRPr="00467A9E">
              <w:t xml:space="preserve"> Levine, SR, Khatri, P; </w:t>
            </w:r>
            <w:r w:rsidRPr="00467A9E">
              <w:rPr>
                <w:rStyle w:val="nlmarticle-title"/>
                <w:rFonts w:cstheme="minorHAnsi"/>
                <w:color w:val="333333"/>
                <w:sz w:val="21"/>
                <w:szCs w:val="21"/>
              </w:rPr>
              <w:t>NINDS rt-PA Stroke Trial Investigators. Review, historical context, and clarifications of the NINDS rt-PA stroke trials exclusion criteria: part 1: rapidly improving stroke symptoms</w:t>
            </w:r>
            <w:r w:rsidRPr="00467A9E">
              <w:t>. Stroke. </w:t>
            </w:r>
            <w:r w:rsidRPr="00467A9E">
              <w:rPr>
                <w:rStyle w:val="nlmyear"/>
                <w:rFonts w:cstheme="minorHAnsi"/>
                <w:color w:val="333333"/>
                <w:sz w:val="21"/>
                <w:szCs w:val="21"/>
              </w:rPr>
              <w:t>2013</w:t>
            </w:r>
            <w:r w:rsidRPr="00467A9E">
              <w:t>;44(9):</w:t>
            </w:r>
            <w:r w:rsidRPr="00467A9E">
              <w:rPr>
                <w:rStyle w:val="nlmfpage"/>
                <w:rFonts w:cstheme="minorHAnsi"/>
                <w:color w:val="333333"/>
                <w:sz w:val="21"/>
                <w:szCs w:val="21"/>
              </w:rPr>
              <w:t>2500</w:t>
            </w:r>
            <w:r w:rsidRPr="00467A9E">
              <w:t>–</w:t>
            </w:r>
            <w:r w:rsidRPr="00467A9E">
              <w:rPr>
                <w:rStyle w:val="nlmlpage"/>
                <w:rFonts w:cstheme="minorHAnsi"/>
                <w:color w:val="333333"/>
                <w:sz w:val="21"/>
                <w:szCs w:val="21"/>
              </w:rPr>
              <w:t>2505</w:t>
            </w:r>
            <w:r w:rsidRPr="00467A9E">
              <w:t>. </w:t>
            </w:r>
          </w:p>
          <w:p w14:paraId="1250D34A" w14:textId="1416DACE" w:rsidR="00FB7C33" w:rsidRPr="00467A9E" w:rsidRDefault="00FB7C33" w:rsidP="00613C2D">
            <w:pPr>
              <w:pStyle w:val="NoSpacing"/>
            </w:pPr>
          </w:p>
        </w:tc>
      </w:tr>
      <w:tr w:rsidR="00FB7C33" w:rsidRPr="00467A9E" w14:paraId="292D66F3" w14:textId="77777777" w:rsidTr="00D26984">
        <w:tc>
          <w:tcPr>
            <w:tcW w:w="0" w:type="auto"/>
            <w:hideMark/>
          </w:tcPr>
          <w:p w14:paraId="78A95D8B" w14:textId="77777777" w:rsidR="00FB7C33" w:rsidRPr="00467A9E" w:rsidRDefault="00FB7C33" w:rsidP="00613C2D">
            <w:pPr>
              <w:pStyle w:val="NoSpacing"/>
            </w:pPr>
            <w:r w:rsidRPr="00467A9E">
              <w:t>7.</w:t>
            </w:r>
          </w:p>
        </w:tc>
        <w:tc>
          <w:tcPr>
            <w:tcW w:w="0" w:type="auto"/>
            <w:hideMark/>
          </w:tcPr>
          <w:p w14:paraId="14769024" w14:textId="237EA97F" w:rsidR="00FB7C33" w:rsidRPr="00467A9E" w:rsidRDefault="00FB7C33" w:rsidP="00613C2D">
            <w:pPr>
              <w:pStyle w:val="NoSpacing"/>
            </w:pPr>
            <w:r w:rsidRPr="00467A9E">
              <w:t>Khatri, P, Kleindorfer, DO, Yeatts, SD. </w:t>
            </w:r>
            <w:r w:rsidRPr="00467A9E">
              <w:rPr>
                <w:rStyle w:val="nlmarticle-title"/>
                <w:rFonts w:cstheme="minorHAnsi"/>
                <w:color w:val="333333"/>
                <w:sz w:val="21"/>
                <w:szCs w:val="21"/>
              </w:rPr>
              <w:t>Strokes with minor symptoms: an exploratory analysis of the National Institute of Neurological Disorders and Stroke recombinant tissue plasminogen activator trials</w:t>
            </w:r>
            <w:r w:rsidRPr="00467A9E">
              <w:t>. Stroke. </w:t>
            </w:r>
            <w:r w:rsidRPr="00467A9E">
              <w:rPr>
                <w:rStyle w:val="nlmyear"/>
                <w:rFonts w:cstheme="minorHAnsi"/>
                <w:color w:val="333333"/>
                <w:sz w:val="21"/>
                <w:szCs w:val="21"/>
              </w:rPr>
              <w:t>2010</w:t>
            </w:r>
            <w:r w:rsidRPr="00467A9E">
              <w:t>;41(11):</w:t>
            </w:r>
            <w:r w:rsidRPr="00467A9E">
              <w:rPr>
                <w:rStyle w:val="nlmfpage"/>
                <w:rFonts w:cstheme="minorHAnsi"/>
                <w:color w:val="333333"/>
                <w:sz w:val="21"/>
                <w:szCs w:val="21"/>
              </w:rPr>
              <w:t>2581</w:t>
            </w:r>
            <w:r w:rsidRPr="00467A9E">
              <w:t>–</w:t>
            </w:r>
            <w:r w:rsidRPr="00467A9E">
              <w:rPr>
                <w:rStyle w:val="nlmlpage"/>
                <w:rFonts w:cstheme="minorHAnsi"/>
                <w:color w:val="333333"/>
                <w:sz w:val="21"/>
                <w:szCs w:val="21"/>
              </w:rPr>
              <w:t>2586</w:t>
            </w:r>
            <w:r w:rsidRPr="00467A9E">
              <w:t>. </w:t>
            </w:r>
          </w:p>
          <w:p w14:paraId="23846542" w14:textId="71CE581A" w:rsidR="00FB7C33" w:rsidRPr="00467A9E" w:rsidRDefault="00FB7C33" w:rsidP="00613C2D">
            <w:pPr>
              <w:pStyle w:val="NoSpacing"/>
            </w:pPr>
          </w:p>
        </w:tc>
      </w:tr>
      <w:tr w:rsidR="00FB7C33" w:rsidRPr="00467A9E" w14:paraId="28A98895" w14:textId="77777777" w:rsidTr="00D26984">
        <w:tc>
          <w:tcPr>
            <w:tcW w:w="0" w:type="auto"/>
            <w:hideMark/>
          </w:tcPr>
          <w:p w14:paraId="4DD3472D" w14:textId="77777777" w:rsidR="00FB7C33" w:rsidRPr="00467A9E" w:rsidRDefault="00FB7C33" w:rsidP="00613C2D">
            <w:pPr>
              <w:pStyle w:val="NoSpacing"/>
            </w:pPr>
            <w:r w:rsidRPr="00467A9E">
              <w:t>8.</w:t>
            </w:r>
          </w:p>
        </w:tc>
        <w:tc>
          <w:tcPr>
            <w:tcW w:w="0" w:type="auto"/>
            <w:hideMark/>
          </w:tcPr>
          <w:p w14:paraId="3D5E6D74" w14:textId="4D39227C" w:rsidR="00FB7C33" w:rsidRPr="00467A9E" w:rsidRDefault="00FB7C33" w:rsidP="00613C2D">
            <w:pPr>
              <w:pStyle w:val="NoSpacing"/>
            </w:pPr>
            <w:r w:rsidRPr="00467A9E">
              <w:t xml:space="preserve">Khatri, P, Kleindorfer, DO, Devlin, T. Alteplase for the Treatment of Acute Ischemic Stroke in Patients with Low NIHSS and Not </w:t>
            </w:r>
            <w:proofErr w:type="gramStart"/>
            <w:r w:rsidRPr="00467A9E">
              <w:t>Clearly-Disabling</w:t>
            </w:r>
            <w:proofErr w:type="gramEnd"/>
            <w:r w:rsidRPr="00467A9E">
              <w:t xml:space="preserve"> Deficits: Primary Results of the PRISMS Trial. </w:t>
            </w:r>
            <w:r w:rsidRPr="00467A9E">
              <w:rPr>
                <w:rStyle w:val="nlmpublisher-loc"/>
                <w:rFonts w:cstheme="minorHAnsi"/>
                <w:color w:val="333333"/>
                <w:sz w:val="21"/>
                <w:szCs w:val="21"/>
              </w:rPr>
              <w:t>Los Angeles, California</w:t>
            </w:r>
            <w:r w:rsidRPr="00467A9E">
              <w:t>: </w:t>
            </w:r>
            <w:r w:rsidRPr="00467A9E">
              <w:rPr>
                <w:rStyle w:val="nlmpublisher-name"/>
                <w:rFonts w:cstheme="minorHAnsi"/>
                <w:color w:val="333333"/>
                <w:sz w:val="21"/>
                <w:szCs w:val="21"/>
              </w:rPr>
              <w:t>International Stroke Conference</w:t>
            </w:r>
            <w:r w:rsidRPr="00467A9E">
              <w:t>; </w:t>
            </w:r>
            <w:r w:rsidRPr="00467A9E">
              <w:rPr>
                <w:rStyle w:val="nlmyear"/>
                <w:rFonts w:cstheme="minorHAnsi"/>
                <w:color w:val="333333"/>
                <w:sz w:val="21"/>
                <w:szCs w:val="21"/>
              </w:rPr>
              <w:t>2018</w:t>
            </w:r>
            <w:r w:rsidRPr="00467A9E">
              <w:t>. </w:t>
            </w:r>
          </w:p>
          <w:p w14:paraId="6A99C864" w14:textId="16E5BD4C" w:rsidR="00FB7C33" w:rsidRPr="00467A9E" w:rsidRDefault="00FB7C33" w:rsidP="00613C2D">
            <w:pPr>
              <w:pStyle w:val="NoSpacing"/>
            </w:pPr>
          </w:p>
        </w:tc>
      </w:tr>
      <w:tr w:rsidR="00FB7C33" w:rsidRPr="00467A9E" w14:paraId="00AC8D19" w14:textId="77777777" w:rsidTr="00D26984">
        <w:tc>
          <w:tcPr>
            <w:tcW w:w="0" w:type="auto"/>
            <w:hideMark/>
          </w:tcPr>
          <w:p w14:paraId="0AE99752" w14:textId="77777777" w:rsidR="00FB7C33" w:rsidRPr="00467A9E" w:rsidRDefault="00FB7C33" w:rsidP="00613C2D">
            <w:pPr>
              <w:pStyle w:val="NoSpacing"/>
            </w:pPr>
            <w:r w:rsidRPr="00467A9E">
              <w:t>9.</w:t>
            </w:r>
          </w:p>
        </w:tc>
        <w:tc>
          <w:tcPr>
            <w:tcW w:w="0" w:type="auto"/>
            <w:hideMark/>
          </w:tcPr>
          <w:p w14:paraId="3E5EDA70" w14:textId="23ECD57A" w:rsidR="00FB7C33" w:rsidRPr="00467A9E" w:rsidRDefault="00FB7C33" w:rsidP="00613C2D">
            <w:pPr>
              <w:pStyle w:val="NoSpacing"/>
            </w:pPr>
            <w:r w:rsidRPr="00467A9E">
              <w:t>Shamy, MC, Pugliese, M, Meisel, K. </w:t>
            </w:r>
            <w:r w:rsidRPr="00467A9E">
              <w:rPr>
                <w:rStyle w:val="nlmarticle-title"/>
                <w:rFonts w:cstheme="minorHAnsi"/>
                <w:color w:val="333333"/>
                <w:sz w:val="21"/>
                <w:szCs w:val="21"/>
              </w:rPr>
              <w:t>How patient demographics, imaging, and beliefs influence tissue-type plasminogen activator use: a survey of North American neurologists</w:t>
            </w:r>
            <w:r w:rsidRPr="00467A9E">
              <w:t>. Stroke. </w:t>
            </w:r>
            <w:r w:rsidRPr="00467A9E">
              <w:rPr>
                <w:rStyle w:val="nlmyear"/>
                <w:rFonts w:cstheme="minorHAnsi"/>
                <w:color w:val="333333"/>
                <w:sz w:val="21"/>
                <w:szCs w:val="21"/>
              </w:rPr>
              <w:t>2016</w:t>
            </w:r>
            <w:r w:rsidRPr="00467A9E">
              <w:t>;47(8):</w:t>
            </w:r>
            <w:r w:rsidRPr="00467A9E">
              <w:rPr>
                <w:rStyle w:val="nlmfpage"/>
                <w:rFonts w:cstheme="minorHAnsi"/>
                <w:color w:val="333333"/>
                <w:sz w:val="21"/>
                <w:szCs w:val="21"/>
              </w:rPr>
              <w:t>2051</w:t>
            </w:r>
            <w:r w:rsidRPr="00467A9E">
              <w:t>–</w:t>
            </w:r>
            <w:r w:rsidRPr="00467A9E">
              <w:rPr>
                <w:rStyle w:val="nlmlpage"/>
                <w:rFonts w:cstheme="minorHAnsi"/>
                <w:color w:val="333333"/>
                <w:sz w:val="21"/>
                <w:szCs w:val="21"/>
              </w:rPr>
              <w:t>2057</w:t>
            </w:r>
            <w:r w:rsidRPr="00467A9E">
              <w:t>. </w:t>
            </w:r>
          </w:p>
          <w:p w14:paraId="57EED6A0" w14:textId="57945D5B" w:rsidR="00FB7C33" w:rsidRPr="00467A9E" w:rsidRDefault="00FB7C33" w:rsidP="00613C2D">
            <w:pPr>
              <w:pStyle w:val="NoSpacing"/>
            </w:pPr>
          </w:p>
        </w:tc>
      </w:tr>
      <w:tr w:rsidR="00FB7C33" w:rsidRPr="00467A9E" w14:paraId="5135D786" w14:textId="77777777" w:rsidTr="00D26984">
        <w:tc>
          <w:tcPr>
            <w:tcW w:w="0" w:type="auto"/>
            <w:hideMark/>
          </w:tcPr>
          <w:p w14:paraId="76ADAACE" w14:textId="77777777" w:rsidR="00FB7C33" w:rsidRPr="00467A9E" w:rsidRDefault="00FB7C33" w:rsidP="00613C2D">
            <w:pPr>
              <w:pStyle w:val="NoSpacing"/>
            </w:pPr>
            <w:r w:rsidRPr="00467A9E">
              <w:t>10.</w:t>
            </w:r>
          </w:p>
        </w:tc>
        <w:tc>
          <w:tcPr>
            <w:tcW w:w="0" w:type="auto"/>
            <w:hideMark/>
          </w:tcPr>
          <w:p w14:paraId="7F7E9FE9" w14:textId="4FC66869" w:rsidR="00FB7C33" w:rsidRPr="00467A9E" w:rsidRDefault="00FB7C33" w:rsidP="00613C2D">
            <w:pPr>
              <w:pStyle w:val="NoSpacing"/>
            </w:pPr>
            <w:r w:rsidRPr="00467A9E">
              <w:t>Levine, SR, Weingast, SZ, Weedon, J. </w:t>
            </w:r>
            <w:r w:rsidRPr="00467A9E">
              <w:rPr>
                <w:rStyle w:val="nlmarticle-title"/>
                <w:rFonts w:cstheme="minorHAnsi"/>
                <w:color w:val="333333"/>
                <w:sz w:val="21"/>
                <w:szCs w:val="21"/>
              </w:rPr>
              <w:t>To treat or not to treat? Exploring factors influencing intravenous thrombolysis treatment decisions for minor stroke</w:t>
            </w:r>
            <w:r w:rsidRPr="00467A9E">
              <w:t>. Stroke. </w:t>
            </w:r>
            <w:proofErr w:type="gramStart"/>
            <w:r w:rsidRPr="00467A9E">
              <w:rPr>
                <w:rStyle w:val="nlmyear"/>
                <w:rFonts w:cstheme="minorHAnsi"/>
                <w:color w:val="333333"/>
                <w:sz w:val="21"/>
                <w:szCs w:val="21"/>
              </w:rPr>
              <w:t>2018</w:t>
            </w:r>
            <w:r w:rsidRPr="00467A9E">
              <w:t>;49:</w:t>
            </w:r>
            <w:r w:rsidRPr="00467A9E">
              <w:rPr>
                <w:rStyle w:val="nlmfpage"/>
                <w:rFonts w:cstheme="minorHAnsi"/>
                <w:color w:val="333333"/>
                <w:sz w:val="21"/>
                <w:szCs w:val="21"/>
              </w:rPr>
              <w:t>1933</w:t>
            </w:r>
            <w:proofErr w:type="gramEnd"/>
            <w:r w:rsidRPr="00467A9E">
              <w:t>–</w:t>
            </w:r>
            <w:r w:rsidRPr="00467A9E">
              <w:rPr>
                <w:rStyle w:val="nlmlpage"/>
                <w:rFonts w:cstheme="minorHAnsi"/>
                <w:color w:val="333333"/>
                <w:sz w:val="21"/>
                <w:szCs w:val="21"/>
              </w:rPr>
              <w:t>1938</w:t>
            </w:r>
            <w:r w:rsidRPr="00467A9E">
              <w:t>. </w:t>
            </w:r>
          </w:p>
          <w:p w14:paraId="37C9BBC9" w14:textId="26E919ED" w:rsidR="00FB7C33" w:rsidRPr="00467A9E" w:rsidRDefault="00FB7C33" w:rsidP="00613C2D">
            <w:pPr>
              <w:pStyle w:val="NoSpacing"/>
            </w:pPr>
          </w:p>
        </w:tc>
      </w:tr>
      <w:tr w:rsidR="00FB7C33" w:rsidRPr="00467A9E" w14:paraId="0228B6DF" w14:textId="77777777" w:rsidTr="00D26984">
        <w:tc>
          <w:tcPr>
            <w:tcW w:w="0" w:type="auto"/>
            <w:hideMark/>
          </w:tcPr>
          <w:p w14:paraId="199A10CA" w14:textId="77777777" w:rsidR="00FB7C33" w:rsidRPr="00467A9E" w:rsidRDefault="00FB7C33" w:rsidP="00613C2D">
            <w:pPr>
              <w:pStyle w:val="NoSpacing"/>
            </w:pPr>
            <w:r w:rsidRPr="00467A9E">
              <w:t>11.</w:t>
            </w:r>
          </w:p>
        </w:tc>
        <w:tc>
          <w:tcPr>
            <w:tcW w:w="0" w:type="auto"/>
            <w:hideMark/>
          </w:tcPr>
          <w:p w14:paraId="4682D872" w14:textId="09A05BBD" w:rsidR="00FB7C33" w:rsidRPr="00467A9E" w:rsidRDefault="00FB7C33" w:rsidP="00613C2D">
            <w:pPr>
              <w:pStyle w:val="NoSpacing"/>
            </w:pPr>
            <w:r w:rsidRPr="00467A9E">
              <w:t>Bridges, JF, Hauber, AB, Marshall, D. </w:t>
            </w:r>
            <w:r w:rsidRPr="00467A9E">
              <w:rPr>
                <w:rStyle w:val="nlmarticle-title"/>
                <w:rFonts w:cstheme="minorHAnsi"/>
                <w:color w:val="333333"/>
                <w:sz w:val="21"/>
                <w:szCs w:val="21"/>
              </w:rPr>
              <w:t>Conjoint analysis applications in health – a checklist: a report of the ISPOR good research practices for conjoint analysis task force</w:t>
            </w:r>
            <w:r w:rsidRPr="00467A9E">
              <w:t>. Value Health. </w:t>
            </w:r>
            <w:r w:rsidRPr="00467A9E">
              <w:rPr>
                <w:rStyle w:val="nlmyear"/>
                <w:rFonts w:cstheme="minorHAnsi"/>
                <w:color w:val="333333"/>
                <w:sz w:val="21"/>
                <w:szCs w:val="21"/>
              </w:rPr>
              <w:t>2011</w:t>
            </w:r>
            <w:r w:rsidRPr="00467A9E">
              <w:t>;14(4):</w:t>
            </w:r>
            <w:r w:rsidRPr="00467A9E">
              <w:rPr>
                <w:rStyle w:val="nlmfpage"/>
                <w:rFonts w:cstheme="minorHAnsi"/>
                <w:color w:val="333333"/>
                <w:sz w:val="21"/>
                <w:szCs w:val="21"/>
              </w:rPr>
              <w:t>403</w:t>
            </w:r>
            <w:r w:rsidRPr="00467A9E">
              <w:t>–</w:t>
            </w:r>
            <w:r w:rsidRPr="00467A9E">
              <w:rPr>
                <w:rStyle w:val="nlmlpage"/>
                <w:rFonts w:cstheme="minorHAnsi"/>
                <w:color w:val="333333"/>
                <w:sz w:val="21"/>
                <w:szCs w:val="21"/>
              </w:rPr>
              <w:t>413</w:t>
            </w:r>
            <w:r w:rsidRPr="00467A9E">
              <w:t>. </w:t>
            </w:r>
          </w:p>
          <w:p w14:paraId="24B656B2" w14:textId="5C1EDBF4" w:rsidR="00FB7C33" w:rsidRPr="00467A9E" w:rsidRDefault="00FB7C33" w:rsidP="00613C2D">
            <w:pPr>
              <w:pStyle w:val="NoSpacing"/>
            </w:pPr>
          </w:p>
        </w:tc>
      </w:tr>
      <w:tr w:rsidR="00FB7C33" w:rsidRPr="00467A9E" w14:paraId="0065FE28" w14:textId="77777777" w:rsidTr="00D26984">
        <w:tc>
          <w:tcPr>
            <w:tcW w:w="0" w:type="auto"/>
            <w:hideMark/>
          </w:tcPr>
          <w:p w14:paraId="6EFC3212" w14:textId="77777777" w:rsidR="00FB7C33" w:rsidRPr="00467A9E" w:rsidRDefault="00FB7C33" w:rsidP="00613C2D">
            <w:pPr>
              <w:pStyle w:val="NoSpacing"/>
            </w:pPr>
            <w:r w:rsidRPr="00467A9E">
              <w:t>12.</w:t>
            </w:r>
          </w:p>
        </w:tc>
        <w:tc>
          <w:tcPr>
            <w:tcW w:w="0" w:type="auto"/>
            <w:hideMark/>
          </w:tcPr>
          <w:p w14:paraId="5C19CB0F" w14:textId="67EC2219" w:rsidR="00FB7C33" w:rsidRPr="00467A9E" w:rsidRDefault="00FB7C33" w:rsidP="00613C2D">
            <w:pPr>
              <w:pStyle w:val="NoSpacing"/>
            </w:pPr>
            <w:r w:rsidRPr="00467A9E">
              <w:t>Balucani, C, Bianchi, R, Feldmann, E, Weedon, J, Kolychev, D, Levine, SR. </w:t>
            </w:r>
            <w:r w:rsidRPr="00467A9E">
              <w:rPr>
                <w:rStyle w:val="nlmarticle-title"/>
                <w:rFonts w:cstheme="minorHAnsi"/>
                <w:color w:val="333333"/>
                <w:sz w:val="21"/>
                <w:szCs w:val="21"/>
              </w:rPr>
              <w:t>To treat or not to treat? Pilot survey for minor and rapidly improving stroke</w:t>
            </w:r>
            <w:r w:rsidRPr="00467A9E">
              <w:t>. Stroke. </w:t>
            </w:r>
            <w:r w:rsidRPr="00467A9E">
              <w:rPr>
                <w:rStyle w:val="nlmyear"/>
                <w:rFonts w:cstheme="minorHAnsi"/>
                <w:color w:val="333333"/>
                <w:sz w:val="21"/>
                <w:szCs w:val="21"/>
              </w:rPr>
              <w:t>2015</w:t>
            </w:r>
            <w:r w:rsidRPr="00467A9E">
              <w:t>;46(3):</w:t>
            </w:r>
            <w:r w:rsidRPr="00467A9E">
              <w:rPr>
                <w:rStyle w:val="nlmfpage"/>
                <w:rFonts w:cstheme="minorHAnsi"/>
                <w:color w:val="333333"/>
                <w:sz w:val="21"/>
                <w:szCs w:val="21"/>
              </w:rPr>
              <w:t>874</w:t>
            </w:r>
            <w:r w:rsidRPr="00467A9E">
              <w:t>–</w:t>
            </w:r>
            <w:r w:rsidRPr="00467A9E">
              <w:rPr>
                <w:rStyle w:val="nlmlpage"/>
                <w:rFonts w:cstheme="minorHAnsi"/>
                <w:color w:val="333333"/>
                <w:sz w:val="21"/>
                <w:szCs w:val="21"/>
              </w:rPr>
              <w:t>876</w:t>
            </w:r>
            <w:r w:rsidRPr="00467A9E">
              <w:t>. </w:t>
            </w:r>
          </w:p>
          <w:p w14:paraId="648FEC38" w14:textId="075828B8" w:rsidR="00FB7C33" w:rsidRPr="00467A9E" w:rsidRDefault="00FB7C33" w:rsidP="00613C2D">
            <w:pPr>
              <w:pStyle w:val="NoSpacing"/>
            </w:pPr>
          </w:p>
        </w:tc>
      </w:tr>
      <w:tr w:rsidR="00FB7C33" w:rsidRPr="00467A9E" w14:paraId="2212F5CC" w14:textId="77777777" w:rsidTr="00D26984">
        <w:tc>
          <w:tcPr>
            <w:tcW w:w="0" w:type="auto"/>
            <w:hideMark/>
          </w:tcPr>
          <w:p w14:paraId="63D407E4" w14:textId="77777777" w:rsidR="00FB7C33" w:rsidRPr="00467A9E" w:rsidRDefault="00FB7C33" w:rsidP="00613C2D">
            <w:pPr>
              <w:pStyle w:val="NoSpacing"/>
            </w:pPr>
            <w:r w:rsidRPr="00467A9E">
              <w:t>13.</w:t>
            </w:r>
          </w:p>
        </w:tc>
        <w:tc>
          <w:tcPr>
            <w:tcW w:w="0" w:type="auto"/>
            <w:hideMark/>
          </w:tcPr>
          <w:p w14:paraId="583F9AFB" w14:textId="68E4FB03" w:rsidR="00FB7C33" w:rsidRPr="00467A9E" w:rsidRDefault="00FB7C33" w:rsidP="00613C2D">
            <w:pPr>
              <w:pStyle w:val="NoSpacing"/>
            </w:pPr>
            <w:r w:rsidRPr="00467A9E">
              <w:t>Thomson, RG, De Brún, A, Flynn, D. </w:t>
            </w:r>
            <w:r w:rsidRPr="00467A9E">
              <w:rPr>
                <w:rStyle w:val="nlmarticle-title"/>
                <w:rFonts w:cstheme="minorHAnsi"/>
                <w:color w:val="333333"/>
                <w:sz w:val="21"/>
                <w:szCs w:val="21"/>
              </w:rPr>
              <w:t>Factors that influence variation in clinical decision-making about thrombolysis in the treatment of acute ischaemic stroke: results of a discrete choice experiment</w:t>
            </w:r>
            <w:r w:rsidRPr="00467A9E">
              <w:t>. Health Serv Deliv Res. </w:t>
            </w:r>
            <w:r w:rsidRPr="00467A9E">
              <w:rPr>
                <w:rStyle w:val="nlmyear"/>
                <w:rFonts w:cstheme="minorHAnsi"/>
                <w:color w:val="333333"/>
                <w:sz w:val="21"/>
                <w:szCs w:val="21"/>
              </w:rPr>
              <w:t>2017</w:t>
            </w:r>
            <w:r w:rsidRPr="00467A9E">
              <w:t>. </w:t>
            </w:r>
          </w:p>
          <w:p w14:paraId="1B297FA7" w14:textId="6F8CCB17" w:rsidR="00FB7C33" w:rsidRPr="00467A9E" w:rsidRDefault="00FB7C33" w:rsidP="00613C2D">
            <w:pPr>
              <w:pStyle w:val="NoSpacing"/>
            </w:pPr>
          </w:p>
        </w:tc>
      </w:tr>
      <w:tr w:rsidR="00FB7C33" w:rsidRPr="00467A9E" w14:paraId="3C898561" w14:textId="77777777" w:rsidTr="00D26984">
        <w:tc>
          <w:tcPr>
            <w:tcW w:w="0" w:type="auto"/>
            <w:hideMark/>
          </w:tcPr>
          <w:p w14:paraId="4C6C5B91" w14:textId="77777777" w:rsidR="00FB7C33" w:rsidRPr="00467A9E" w:rsidRDefault="00FB7C33" w:rsidP="00613C2D">
            <w:pPr>
              <w:pStyle w:val="NoSpacing"/>
            </w:pPr>
            <w:r w:rsidRPr="00467A9E">
              <w:t>14.</w:t>
            </w:r>
          </w:p>
        </w:tc>
        <w:tc>
          <w:tcPr>
            <w:tcW w:w="0" w:type="auto"/>
            <w:hideMark/>
          </w:tcPr>
          <w:p w14:paraId="740195F3" w14:textId="337E8B71" w:rsidR="00FB7C33" w:rsidRPr="00467A9E" w:rsidRDefault="00FB7C33" w:rsidP="00613C2D">
            <w:pPr>
              <w:pStyle w:val="NoSpacing"/>
            </w:pPr>
            <w:r w:rsidRPr="00467A9E">
              <w:t>Hansen, P, Ombler, F. </w:t>
            </w:r>
            <w:r w:rsidRPr="00467A9E">
              <w:rPr>
                <w:rStyle w:val="nlmarticle-title"/>
                <w:rFonts w:cstheme="minorHAnsi"/>
                <w:color w:val="333333"/>
                <w:sz w:val="21"/>
                <w:szCs w:val="21"/>
              </w:rPr>
              <w:t>A new method for scoring additive multi-attribute value models using pairwise rankings of alternatives</w:t>
            </w:r>
            <w:r w:rsidRPr="00467A9E">
              <w:t>. J Multi-Criteria Decision Analysis. </w:t>
            </w:r>
            <w:proofErr w:type="gramStart"/>
            <w:r w:rsidRPr="00467A9E">
              <w:rPr>
                <w:rStyle w:val="nlmyear"/>
                <w:rFonts w:cstheme="minorHAnsi"/>
                <w:color w:val="333333"/>
                <w:sz w:val="21"/>
                <w:szCs w:val="21"/>
              </w:rPr>
              <w:t>2008</w:t>
            </w:r>
            <w:r w:rsidRPr="00467A9E">
              <w:t>;15:</w:t>
            </w:r>
            <w:r w:rsidRPr="00467A9E">
              <w:rPr>
                <w:rStyle w:val="nlmfpage"/>
                <w:rFonts w:cstheme="minorHAnsi"/>
                <w:color w:val="333333"/>
                <w:sz w:val="21"/>
                <w:szCs w:val="21"/>
              </w:rPr>
              <w:t>87</w:t>
            </w:r>
            <w:proofErr w:type="gramEnd"/>
            <w:r w:rsidRPr="00467A9E">
              <w:t>–</w:t>
            </w:r>
            <w:r w:rsidRPr="00467A9E">
              <w:rPr>
                <w:rStyle w:val="nlmlpage"/>
                <w:rFonts w:cstheme="minorHAnsi"/>
                <w:color w:val="333333"/>
                <w:sz w:val="21"/>
                <w:szCs w:val="21"/>
              </w:rPr>
              <w:t>107</w:t>
            </w:r>
            <w:r w:rsidRPr="00467A9E">
              <w:t>. </w:t>
            </w:r>
          </w:p>
          <w:p w14:paraId="7BE28808" w14:textId="325E87CE" w:rsidR="00FB7C33" w:rsidRPr="00467A9E" w:rsidRDefault="00FB7C33" w:rsidP="00613C2D">
            <w:pPr>
              <w:pStyle w:val="NoSpacing"/>
            </w:pPr>
          </w:p>
        </w:tc>
      </w:tr>
      <w:tr w:rsidR="00FB7C33" w:rsidRPr="00467A9E" w14:paraId="7CACA2C0" w14:textId="77777777" w:rsidTr="00D26984">
        <w:tc>
          <w:tcPr>
            <w:tcW w:w="0" w:type="auto"/>
            <w:hideMark/>
          </w:tcPr>
          <w:p w14:paraId="02CEB86D" w14:textId="77777777" w:rsidR="00FB7C33" w:rsidRPr="00467A9E" w:rsidRDefault="00FB7C33" w:rsidP="00613C2D">
            <w:pPr>
              <w:pStyle w:val="NoSpacing"/>
            </w:pPr>
            <w:r w:rsidRPr="00467A9E">
              <w:t>15.</w:t>
            </w:r>
          </w:p>
        </w:tc>
        <w:tc>
          <w:tcPr>
            <w:tcW w:w="0" w:type="auto"/>
            <w:hideMark/>
          </w:tcPr>
          <w:p w14:paraId="4F85ED70" w14:textId="18B8305D" w:rsidR="00FB7C33" w:rsidRPr="00467A9E" w:rsidRDefault="00FB7C33" w:rsidP="00613C2D">
            <w:pPr>
              <w:pStyle w:val="NoSpacing"/>
            </w:pPr>
            <w:r w:rsidRPr="00467A9E">
              <w:t>Fischer, U, Baumgartner, A, Arnold, M. </w:t>
            </w:r>
            <w:r w:rsidRPr="00467A9E">
              <w:rPr>
                <w:rStyle w:val="nlmarticle-title"/>
                <w:rFonts w:cstheme="minorHAnsi"/>
                <w:color w:val="333333"/>
                <w:sz w:val="21"/>
                <w:szCs w:val="21"/>
              </w:rPr>
              <w:t>What is a minor stroke?</w:t>
            </w:r>
            <w:r w:rsidRPr="00467A9E">
              <w:t> Stroke. </w:t>
            </w:r>
            <w:r w:rsidRPr="00467A9E">
              <w:rPr>
                <w:rStyle w:val="nlmyear"/>
                <w:rFonts w:cstheme="minorHAnsi"/>
                <w:color w:val="333333"/>
                <w:sz w:val="21"/>
                <w:szCs w:val="21"/>
              </w:rPr>
              <w:t>2010</w:t>
            </w:r>
            <w:r w:rsidRPr="00467A9E">
              <w:t>;41(4):</w:t>
            </w:r>
            <w:r w:rsidRPr="00467A9E">
              <w:rPr>
                <w:rStyle w:val="nlmfpage"/>
                <w:rFonts w:cstheme="minorHAnsi"/>
                <w:color w:val="333333"/>
                <w:sz w:val="21"/>
                <w:szCs w:val="21"/>
              </w:rPr>
              <w:t>661</w:t>
            </w:r>
            <w:r w:rsidRPr="00467A9E">
              <w:t>–</w:t>
            </w:r>
            <w:r w:rsidRPr="00467A9E">
              <w:rPr>
                <w:rStyle w:val="nlmlpage"/>
                <w:rFonts w:cstheme="minorHAnsi"/>
                <w:color w:val="333333"/>
                <w:sz w:val="21"/>
                <w:szCs w:val="21"/>
              </w:rPr>
              <w:t>666</w:t>
            </w:r>
            <w:r w:rsidRPr="00467A9E">
              <w:t>. </w:t>
            </w:r>
          </w:p>
          <w:p w14:paraId="5FF2B23C" w14:textId="61847A8E" w:rsidR="00FB7C33" w:rsidRPr="00467A9E" w:rsidRDefault="00FB7C33" w:rsidP="00613C2D">
            <w:pPr>
              <w:pStyle w:val="NoSpacing"/>
            </w:pPr>
          </w:p>
        </w:tc>
      </w:tr>
      <w:tr w:rsidR="00FB7C33" w:rsidRPr="00467A9E" w14:paraId="10E692DF" w14:textId="77777777" w:rsidTr="00D26984">
        <w:tc>
          <w:tcPr>
            <w:tcW w:w="0" w:type="auto"/>
            <w:hideMark/>
          </w:tcPr>
          <w:p w14:paraId="05ECA2BB" w14:textId="77777777" w:rsidR="00FB7C33" w:rsidRPr="00467A9E" w:rsidRDefault="00FB7C33" w:rsidP="00613C2D">
            <w:pPr>
              <w:pStyle w:val="NoSpacing"/>
            </w:pPr>
            <w:r w:rsidRPr="00467A9E">
              <w:t>16.</w:t>
            </w:r>
          </w:p>
        </w:tc>
        <w:tc>
          <w:tcPr>
            <w:tcW w:w="0" w:type="auto"/>
            <w:hideMark/>
          </w:tcPr>
          <w:p w14:paraId="622B8087" w14:textId="6D24301B" w:rsidR="00FB7C33" w:rsidRPr="00467A9E" w:rsidRDefault="00FB7C33" w:rsidP="00613C2D">
            <w:pPr>
              <w:pStyle w:val="NoSpacing"/>
            </w:pPr>
            <w:r w:rsidRPr="00467A9E">
              <w:t>Shamy, MC, Jaigobin, CS. </w:t>
            </w:r>
            <w:r w:rsidRPr="00467A9E">
              <w:rPr>
                <w:rStyle w:val="nlmarticle-title"/>
                <w:rFonts w:cstheme="minorHAnsi"/>
                <w:color w:val="333333"/>
                <w:sz w:val="21"/>
                <w:szCs w:val="21"/>
              </w:rPr>
              <w:t>The complexities of acute stroke decision-making: a survey of neurologists</w:t>
            </w:r>
            <w:r w:rsidRPr="00467A9E">
              <w:t>. Neurology. </w:t>
            </w:r>
            <w:r w:rsidRPr="00467A9E">
              <w:rPr>
                <w:rStyle w:val="nlmyear"/>
                <w:rFonts w:cstheme="minorHAnsi"/>
                <w:color w:val="333333"/>
                <w:sz w:val="21"/>
                <w:szCs w:val="21"/>
              </w:rPr>
              <w:t>2013</w:t>
            </w:r>
            <w:r w:rsidRPr="00467A9E">
              <w:t>;81(13):</w:t>
            </w:r>
            <w:r w:rsidRPr="00467A9E">
              <w:rPr>
                <w:rStyle w:val="nlmfpage"/>
                <w:rFonts w:cstheme="minorHAnsi"/>
                <w:color w:val="333333"/>
                <w:sz w:val="21"/>
                <w:szCs w:val="21"/>
              </w:rPr>
              <w:t>1130</w:t>
            </w:r>
            <w:r w:rsidRPr="00467A9E">
              <w:t>–</w:t>
            </w:r>
            <w:r w:rsidRPr="00467A9E">
              <w:rPr>
                <w:rStyle w:val="nlmlpage"/>
                <w:rFonts w:cstheme="minorHAnsi"/>
                <w:color w:val="333333"/>
                <w:sz w:val="21"/>
                <w:szCs w:val="21"/>
              </w:rPr>
              <w:t>1133</w:t>
            </w:r>
            <w:r w:rsidRPr="00467A9E">
              <w:t>. </w:t>
            </w:r>
          </w:p>
          <w:p w14:paraId="39EE9568" w14:textId="7E536CDE" w:rsidR="00FB7C33" w:rsidRPr="00467A9E" w:rsidRDefault="00FB7C33" w:rsidP="00613C2D">
            <w:pPr>
              <w:pStyle w:val="NoSpacing"/>
            </w:pPr>
          </w:p>
        </w:tc>
      </w:tr>
      <w:tr w:rsidR="00FB7C33" w:rsidRPr="00467A9E" w14:paraId="42FC7672" w14:textId="77777777" w:rsidTr="00D26984">
        <w:tc>
          <w:tcPr>
            <w:tcW w:w="0" w:type="auto"/>
            <w:hideMark/>
          </w:tcPr>
          <w:p w14:paraId="789D318D" w14:textId="77777777" w:rsidR="00FB7C33" w:rsidRPr="00467A9E" w:rsidRDefault="00FB7C33" w:rsidP="00613C2D">
            <w:pPr>
              <w:pStyle w:val="NoSpacing"/>
            </w:pPr>
            <w:r w:rsidRPr="00467A9E">
              <w:t>17.</w:t>
            </w:r>
          </w:p>
        </w:tc>
        <w:tc>
          <w:tcPr>
            <w:tcW w:w="0" w:type="auto"/>
            <w:hideMark/>
          </w:tcPr>
          <w:p w14:paraId="4182E56F" w14:textId="20567139" w:rsidR="00FB7C33" w:rsidRPr="00467A9E" w:rsidRDefault="00FB7C33" w:rsidP="00613C2D">
            <w:pPr>
              <w:pStyle w:val="NoSpacing"/>
            </w:pPr>
            <w:r w:rsidRPr="00467A9E">
              <w:t>De Los Rios, F, Kleindorfer, DO, Guzik, A; </w:t>
            </w:r>
            <w:r w:rsidRPr="00467A9E">
              <w:rPr>
                <w:rStyle w:val="nlmarticle-title"/>
                <w:rFonts w:cstheme="minorHAnsi"/>
                <w:color w:val="333333"/>
                <w:sz w:val="21"/>
                <w:szCs w:val="21"/>
              </w:rPr>
              <w:t>SPOTRIAS Investigators. Intravenous fibrinolysis eligibility: a survey of stroke clinicians’ practice patterns and review of the literature</w:t>
            </w:r>
            <w:r w:rsidRPr="00467A9E">
              <w:t>. J Stroke Cerebrovasc Dis. </w:t>
            </w:r>
            <w:r w:rsidRPr="00467A9E">
              <w:rPr>
                <w:rStyle w:val="nlmyear"/>
                <w:rFonts w:cstheme="minorHAnsi"/>
                <w:color w:val="333333"/>
                <w:sz w:val="21"/>
                <w:szCs w:val="21"/>
              </w:rPr>
              <w:t>2014</w:t>
            </w:r>
            <w:r w:rsidRPr="00467A9E">
              <w:t>;23(8):</w:t>
            </w:r>
            <w:r w:rsidRPr="00467A9E">
              <w:rPr>
                <w:rStyle w:val="nlmfpage"/>
                <w:rFonts w:cstheme="minorHAnsi"/>
                <w:color w:val="333333"/>
                <w:sz w:val="21"/>
                <w:szCs w:val="21"/>
              </w:rPr>
              <w:t>2130</w:t>
            </w:r>
            <w:r w:rsidRPr="00467A9E">
              <w:t>–</w:t>
            </w:r>
            <w:r w:rsidRPr="00467A9E">
              <w:rPr>
                <w:rStyle w:val="nlmlpage"/>
                <w:rFonts w:cstheme="minorHAnsi"/>
                <w:color w:val="333333"/>
                <w:sz w:val="21"/>
                <w:szCs w:val="21"/>
              </w:rPr>
              <w:t>2138</w:t>
            </w:r>
            <w:r w:rsidRPr="00467A9E">
              <w:t>. </w:t>
            </w:r>
          </w:p>
          <w:p w14:paraId="55A8ACDD" w14:textId="309925FF" w:rsidR="00FB7C33" w:rsidRPr="00467A9E" w:rsidRDefault="00FB7C33" w:rsidP="00613C2D">
            <w:pPr>
              <w:pStyle w:val="NoSpacing"/>
            </w:pPr>
          </w:p>
        </w:tc>
      </w:tr>
      <w:tr w:rsidR="00FB7C33" w:rsidRPr="00467A9E" w14:paraId="44A21156" w14:textId="77777777" w:rsidTr="00D26984">
        <w:tc>
          <w:tcPr>
            <w:tcW w:w="0" w:type="auto"/>
            <w:hideMark/>
          </w:tcPr>
          <w:p w14:paraId="6A58DD49" w14:textId="77777777" w:rsidR="00FB7C33" w:rsidRPr="00467A9E" w:rsidRDefault="00FB7C33" w:rsidP="00613C2D">
            <w:pPr>
              <w:pStyle w:val="NoSpacing"/>
            </w:pPr>
            <w:r w:rsidRPr="00467A9E">
              <w:t>18.</w:t>
            </w:r>
          </w:p>
        </w:tc>
        <w:tc>
          <w:tcPr>
            <w:tcW w:w="0" w:type="auto"/>
            <w:hideMark/>
          </w:tcPr>
          <w:p w14:paraId="6E2E2C9B" w14:textId="2F426376" w:rsidR="00FB7C33" w:rsidRPr="00467A9E" w:rsidRDefault="00FB7C33" w:rsidP="00613C2D">
            <w:pPr>
              <w:pStyle w:val="NoSpacing"/>
            </w:pPr>
            <w:r w:rsidRPr="00467A9E">
              <w:t>Broderick, JP, Palesch, YY, Janis, LS; </w:t>
            </w:r>
            <w:r w:rsidRPr="00467A9E">
              <w:rPr>
                <w:rStyle w:val="nlmarticle-title"/>
                <w:rFonts w:cstheme="minorHAnsi"/>
                <w:color w:val="333333"/>
                <w:sz w:val="21"/>
                <w:szCs w:val="21"/>
              </w:rPr>
              <w:t>National Institutes of Health StrokeNet I. The National Institutes of Health Strokenet: a user’s guide</w:t>
            </w:r>
            <w:r w:rsidRPr="00467A9E">
              <w:t>. Stroke. </w:t>
            </w:r>
            <w:r w:rsidRPr="00467A9E">
              <w:rPr>
                <w:rStyle w:val="nlmyear"/>
                <w:rFonts w:cstheme="minorHAnsi"/>
                <w:color w:val="333333"/>
                <w:sz w:val="21"/>
                <w:szCs w:val="21"/>
              </w:rPr>
              <w:t>2016</w:t>
            </w:r>
            <w:r w:rsidRPr="00467A9E">
              <w:t>;47(2):</w:t>
            </w:r>
            <w:r w:rsidRPr="00467A9E">
              <w:rPr>
                <w:rStyle w:val="nlmfpage"/>
                <w:rFonts w:cstheme="minorHAnsi"/>
                <w:color w:val="333333"/>
                <w:sz w:val="21"/>
                <w:szCs w:val="21"/>
              </w:rPr>
              <w:t>301</w:t>
            </w:r>
            <w:r w:rsidRPr="00467A9E">
              <w:t>–</w:t>
            </w:r>
            <w:r w:rsidRPr="00467A9E">
              <w:rPr>
                <w:rStyle w:val="nlmlpage"/>
                <w:rFonts w:cstheme="minorHAnsi"/>
                <w:color w:val="333333"/>
                <w:sz w:val="21"/>
                <w:szCs w:val="21"/>
              </w:rPr>
              <w:t>303</w:t>
            </w:r>
            <w:r w:rsidRPr="00467A9E">
              <w:t>. </w:t>
            </w:r>
          </w:p>
          <w:p w14:paraId="7C723682" w14:textId="56F92F51" w:rsidR="00FB7C33" w:rsidRPr="00467A9E" w:rsidRDefault="00FB7C33" w:rsidP="00613C2D">
            <w:pPr>
              <w:pStyle w:val="NoSpacing"/>
            </w:pPr>
          </w:p>
        </w:tc>
      </w:tr>
      <w:tr w:rsidR="00FB7C33" w:rsidRPr="00467A9E" w14:paraId="78F43EBD" w14:textId="77777777" w:rsidTr="00D26984">
        <w:tc>
          <w:tcPr>
            <w:tcW w:w="0" w:type="auto"/>
            <w:hideMark/>
          </w:tcPr>
          <w:p w14:paraId="187FF0AD" w14:textId="77777777" w:rsidR="00FB7C33" w:rsidRPr="00467A9E" w:rsidRDefault="00FB7C33" w:rsidP="00613C2D">
            <w:pPr>
              <w:pStyle w:val="NoSpacing"/>
            </w:pPr>
            <w:r w:rsidRPr="00467A9E">
              <w:t>19.</w:t>
            </w:r>
          </w:p>
        </w:tc>
        <w:tc>
          <w:tcPr>
            <w:tcW w:w="0" w:type="auto"/>
            <w:hideMark/>
          </w:tcPr>
          <w:p w14:paraId="7F40EDEB" w14:textId="6ED8BB57" w:rsidR="00FB7C33" w:rsidRPr="00467A9E" w:rsidRDefault="00FB7C33" w:rsidP="00613C2D">
            <w:pPr>
              <w:pStyle w:val="NoSpacing"/>
            </w:pPr>
            <w:r w:rsidRPr="00467A9E">
              <w:t>Coutts, SB, Dubuc, V, Mandzia, J; </w:t>
            </w:r>
            <w:r w:rsidRPr="00467A9E">
              <w:rPr>
                <w:rStyle w:val="nlmarticle-title"/>
                <w:rFonts w:cstheme="minorHAnsi"/>
                <w:color w:val="333333"/>
                <w:sz w:val="21"/>
                <w:szCs w:val="21"/>
              </w:rPr>
              <w:t>TEMPO-1 Investigators. Tenecteplase-tissue-type plasminogen activator evaluation for minor ischemic stroke with proven occlusion</w:t>
            </w:r>
            <w:r w:rsidRPr="00467A9E">
              <w:t>. Stroke. </w:t>
            </w:r>
            <w:r w:rsidRPr="00467A9E">
              <w:rPr>
                <w:rStyle w:val="nlmyear"/>
                <w:rFonts w:cstheme="minorHAnsi"/>
                <w:color w:val="333333"/>
                <w:sz w:val="21"/>
                <w:szCs w:val="21"/>
              </w:rPr>
              <w:t>2015</w:t>
            </w:r>
            <w:r w:rsidRPr="00467A9E">
              <w:t>;46(3):</w:t>
            </w:r>
            <w:r w:rsidRPr="00467A9E">
              <w:rPr>
                <w:rStyle w:val="nlmfpage"/>
                <w:rFonts w:cstheme="minorHAnsi"/>
                <w:color w:val="333333"/>
                <w:sz w:val="21"/>
                <w:szCs w:val="21"/>
              </w:rPr>
              <w:t>769</w:t>
            </w:r>
            <w:r w:rsidRPr="00467A9E">
              <w:t>–</w:t>
            </w:r>
            <w:r w:rsidRPr="00467A9E">
              <w:rPr>
                <w:rStyle w:val="nlmlpage"/>
                <w:rFonts w:cstheme="minorHAnsi"/>
                <w:color w:val="333333"/>
                <w:sz w:val="21"/>
                <w:szCs w:val="21"/>
              </w:rPr>
              <w:t>774</w:t>
            </w:r>
            <w:r w:rsidRPr="00467A9E">
              <w:t>. </w:t>
            </w:r>
            <w:r w:rsidRPr="00467A9E">
              <w:br/>
            </w:r>
          </w:p>
        </w:tc>
      </w:tr>
    </w:tbl>
    <w:p w14:paraId="613F5009" w14:textId="77777777" w:rsidR="00FB7C33" w:rsidRPr="00467A9E" w:rsidRDefault="00FB7C33" w:rsidP="00613C2D">
      <w:pPr>
        <w:pStyle w:val="NoSpacing"/>
      </w:pPr>
    </w:p>
    <w:sectPr w:rsidR="00FB7C33" w:rsidRPr="00467A9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5GaiDfD0BpBX2AjIMLJHzkYHTzt2tv9ldY4WokHdwfiOR5KeZQn2Es/Om4ePYCBMDD8TjXS018QA+eyGAkm0cg==" w:salt="CUaDtLuo78k82JrO1RNV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401"/>
    <w:rsid w:val="0001072F"/>
    <w:rsid w:val="00014F38"/>
    <w:rsid w:val="00015420"/>
    <w:rsid w:val="000233C1"/>
    <w:rsid w:val="00023DB6"/>
    <w:rsid w:val="00024048"/>
    <w:rsid w:val="00026BC7"/>
    <w:rsid w:val="0003036D"/>
    <w:rsid w:val="00034205"/>
    <w:rsid w:val="00035704"/>
    <w:rsid w:val="00041C27"/>
    <w:rsid w:val="000437DE"/>
    <w:rsid w:val="00043C8E"/>
    <w:rsid w:val="00044EBA"/>
    <w:rsid w:val="0004579F"/>
    <w:rsid w:val="0004637E"/>
    <w:rsid w:val="0004717F"/>
    <w:rsid w:val="00050B96"/>
    <w:rsid w:val="000525F1"/>
    <w:rsid w:val="0005413F"/>
    <w:rsid w:val="00057D20"/>
    <w:rsid w:val="000606A8"/>
    <w:rsid w:val="00061102"/>
    <w:rsid w:val="00064ECB"/>
    <w:rsid w:val="00071537"/>
    <w:rsid w:val="00072612"/>
    <w:rsid w:val="000735D6"/>
    <w:rsid w:val="00074B64"/>
    <w:rsid w:val="00075D72"/>
    <w:rsid w:val="000769FD"/>
    <w:rsid w:val="00077000"/>
    <w:rsid w:val="00082637"/>
    <w:rsid w:val="00083102"/>
    <w:rsid w:val="000846CC"/>
    <w:rsid w:val="00085797"/>
    <w:rsid w:val="00087367"/>
    <w:rsid w:val="0009064A"/>
    <w:rsid w:val="00091815"/>
    <w:rsid w:val="00092DFF"/>
    <w:rsid w:val="00093C1A"/>
    <w:rsid w:val="00097FBC"/>
    <w:rsid w:val="000A0975"/>
    <w:rsid w:val="000A18A9"/>
    <w:rsid w:val="000A266C"/>
    <w:rsid w:val="000A7622"/>
    <w:rsid w:val="000A7F84"/>
    <w:rsid w:val="000B1EEB"/>
    <w:rsid w:val="000B22D3"/>
    <w:rsid w:val="000B2768"/>
    <w:rsid w:val="000B3464"/>
    <w:rsid w:val="000B389E"/>
    <w:rsid w:val="000B501D"/>
    <w:rsid w:val="000B5170"/>
    <w:rsid w:val="000C0E5B"/>
    <w:rsid w:val="000C6BA7"/>
    <w:rsid w:val="000D210E"/>
    <w:rsid w:val="000D3573"/>
    <w:rsid w:val="000D4F0B"/>
    <w:rsid w:val="000D6BF2"/>
    <w:rsid w:val="000E69EF"/>
    <w:rsid w:val="000E7C46"/>
    <w:rsid w:val="000F0449"/>
    <w:rsid w:val="000F08DA"/>
    <w:rsid w:val="000F14F0"/>
    <w:rsid w:val="000F1D5E"/>
    <w:rsid w:val="000F33D0"/>
    <w:rsid w:val="00101A98"/>
    <w:rsid w:val="00102D84"/>
    <w:rsid w:val="00104CE6"/>
    <w:rsid w:val="00107EA8"/>
    <w:rsid w:val="00114114"/>
    <w:rsid w:val="00117F89"/>
    <w:rsid w:val="00120313"/>
    <w:rsid w:val="001233A5"/>
    <w:rsid w:val="00123BC0"/>
    <w:rsid w:val="00123E80"/>
    <w:rsid w:val="00131A15"/>
    <w:rsid w:val="00131C28"/>
    <w:rsid w:val="00134CF7"/>
    <w:rsid w:val="00140B54"/>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62B3"/>
    <w:rsid w:val="001F70BC"/>
    <w:rsid w:val="001F7FBE"/>
    <w:rsid w:val="002016B1"/>
    <w:rsid w:val="00201875"/>
    <w:rsid w:val="0020192D"/>
    <w:rsid w:val="00201AFD"/>
    <w:rsid w:val="00201FDC"/>
    <w:rsid w:val="002022D8"/>
    <w:rsid w:val="0020546A"/>
    <w:rsid w:val="00206486"/>
    <w:rsid w:val="00206CC8"/>
    <w:rsid w:val="00211422"/>
    <w:rsid w:val="00212109"/>
    <w:rsid w:val="002159E1"/>
    <w:rsid w:val="00217C36"/>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253D"/>
    <w:rsid w:val="002843BC"/>
    <w:rsid w:val="00284A84"/>
    <w:rsid w:val="0029129F"/>
    <w:rsid w:val="00296B90"/>
    <w:rsid w:val="00297296"/>
    <w:rsid w:val="002A0668"/>
    <w:rsid w:val="002A6B8B"/>
    <w:rsid w:val="002A753F"/>
    <w:rsid w:val="002A7FBB"/>
    <w:rsid w:val="002B1ED8"/>
    <w:rsid w:val="002B45EC"/>
    <w:rsid w:val="002B5957"/>
    <w:rsid w:val="002B62C6"/>
    <w:rsid w:val="002C17A7"/>
    <w:rsid w:val="002C2DA5"/>
    <w:rsid w:val="002C4714"/>
    <w:rsid w:val="002C6160"/>
    <w:rsid w:val="002D02F2"/>
    <w:rsid w:val="002D28EA"/>
    <w:rsid w:val="002D51BB"/>
    <w:rsid w:val="002D5BAE"/>
    <w:rsid w:val="002D5DDC"/>
    <w:rsid w:val="002D6AA3"/>
    <w:rsid w:val="002E5C33"/>
    <w:rsid w:val="002E5D29"/>
    <w:rsid w:val="002F53D8"/>
    <w:rsid w:val="00300EE4"/>
    <w:rsid w:val="0030197F"/>
    <w:rsid w:val="0030223E"/>
    <w:rsid w:val="00303A1E"/>
    <w:rsid w:val="00303BBD"/>
    <w:rsid w:val="00313440"/>
    <w:rsid w:val="00314FCD"/>
    <w:rsid w:val="003150CB"/>
    <w:rsid w:val="00315FAD"/>
    <w:rsid w:val="00324290"/>
    <w:rsid w:val="00331737"/>
    <w:rsid w:val="0033243D"/>
    <w:rsid w:val="0033652E"/>
    <w:rsid w:val="00340617"/>
    <w:rsid w:val="00340B13"/>
    <w:rsid w:val="00340CDB"/>
    <w:rsid w:val="003427C6"/>
    <w:rsid w:val="00343472"/>
    <w:rsid w:val="003455AA"/>
    <w:rsid w:val="00347634"/>
    <w:rsid w:val="0035170F"/>
    <w:rsid w:val="00351E90"/>
    <w:rsid w:val="00360206"/>
    <w:rsid w:val="003617E6"/>
    <w:rsid w:val="00361DE9"/>
    <w:rsid w:val="003624EE"/>
    <w:rsid w:val="003632E1"/>
    <w:rsid w:val="00363609"/>
    <w:rsid w:val="003638F4"/>
    <w:rsid w:val="00363CD3"/>
    <w:rsid w:val="003656A9"/>
    <w:rsid w:val="00366852"/>
    <w:rsid w:val="003706EF"/>
    <w:rsid w:val="00370BE4"/>
    <w:rsid w:val="00371D56"/>
    <w:rsid w:val="0037755D"/>
    <w:rsid w:val="00381F0E"/>
    <w:rsid w:val="003841C7"/>
    <w:rsid w:val="0038549B"/>
    <w:rsid w:val="0038628A"/>
    <w:rsid w:val="0038634F"/>
    <w:rsid w:val="00391C48"/>
    <w:rsid w:val="00394337"/>
    <w:rsid w:val="003A437A"/>
    <w:rsid w:val="003A503E"/>
    <w:rsid w:val="003A6039"/>
    <w:rsid w:val="003B127F"/>
    <w:rsid w:val="003B47FA"/>
    <w:rsid w:val="003B6208"/>
    <w:rsid w:val="003B7F8F"/>
    <w:rsid w:val="003C14B4"/>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6A67"/>
    <w:rsid w:val="00421CBC"/>
    <w:rsid w:val="0043008C"/>
    <w:rsid w:val="00430B91"/>
    <w:rsid w:val="004374EF"/>
    <w:rsid w:val="00440F61"/>
    <w:rsid w:val="0044298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67A9E"/>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12"/>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16A"/>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5218"/>
    <w:rsid w:val="005673D1"/>
    <w:rsid w:val="00570F38"/>
    <w:rsid w:val="00573955"/>
    <w:rsid w:val="00580E33"/>
    <w:rsid w:val="00583225"/>
    <w:rsid w:val="0058724D"/>
    <w:rsid w:val="00596593"/>
    <w:rsid w:val="00596A35"/>
    <w:rsid w:val="005971BD"/>
    <w:rsid w:val="00597920"/>
    <w:rsid w:val="005979CD"/>
    <w:rsid w:val="005A12F0"/>
    <w:rsid w:val="005A3995"/>
    <w:rsid w:val="005A5291"/>
    <w:rsid w:val="005A6FD1"/>
    <w:rsid w:val="005B00EC"/>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3CE6"/>
    <w:rsid w:val="00604C5A"/>
    <w:rsid w:val="00607F1D"/>
    <w:rsid w:val="00612DE8"/>
    <w:rsid w:val="00613C2D"/>
    <w:rsid w:val="00615A83"/>
    <w:rsid w:val="00620EA0"/>
    <w:rsid w:val="00623E47"/>
    <w:rsid w:val="00624CD2"/>
    <w:rsid w:val="0062795C"/>
    <w:rsid w:val="00631A06"/>
    <w:rsid w:val="0063301D"/>
    <w:rsid w:val="00633D28"/>
    <w:rsid w:val="00633F1B"/>
    <w:rsid w:val="00634D07"/>
    <w:rsid w:val="00635799"/>
    <w:rsid w:val="00636A77"/>
    <w:rsid w:val="0064051B"/>
    <w:rsid w:val="00645D2C"/>
    <w:rsid w:val="00650724"/>
    <w:rsid w:val="006517B5"/>
    <w:rsid w:val="00651FE2"/>
    <w:rsid w:val="00652076"/>
    <w:rsid w:val="00653DA3"/>
    <w:rsid w:val="00654D37"/>
    <w:rsid w:val="006621F0"/>
    <w:rsid w:val="00662DF4"/>
    <w:rsid w:val="006647E7"/>
    <w:rsid w:val="00666FD4"/>
    <w:rsid w:val="00667217"/>
    <w:rsid w:val="006702C6"/>
    <w:rsid w:val="006769E6"/>
    <w:rsid w:val="00676C63"/>
    <w:rsid w:val="00682333"/>
    <w:rsid w:val="006844CA"/>
    <w:rsid w:val="006871E0"/>
    <w:rsid w:val="00692D8C"/>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83A"/>
    <w:rsid w:val="007246B0"/>
    <w:rsid w:val="007258CB"/>
    <w:rsid w:val="00730E29"/>
    <w:rsid w:val="00732FF6"/>
    <w:rsid w:val="00735393"/>
    <w:rsid w:val="00745E32"/>
    <w:rsid w:val="007466F7"/>
    <w:rsid w:val="00757D89"/>
    <w:rsid w:val="0076194B"/>
    <w:rsid w:val="00763676"/>
    <w:rsid w:val="00767A4E"/>
    <w:rsid w:val="00772776"/>
    <w:rsid w:val="00776E56"/>
    <w:rsid w:val="00781619"/>
    <w:rsid w:val="0078173C"/>
    <w:rsid w:val="00785A99"/>
    <w:rsid w:val="00786E17"/>
    <w:rsid w:val="0079146B"/>
    <w:rsid w:val="00791DD5"/>
    <w:rsid w:val="00796875"/>
    <w:rsid w:val="0079756E"/>
    <w:rsid w:val="007A1233"/>
    <w:rsid w:val="007A258F"/>
    <w:rsid w:val="007A3B3A"/>
    <w:rsid w:val="007A6AF8"/>
    <w:rsid w:val="007B0BBA"/>
    <w:rsid w:val="007B13BF"/>
    <w:rsid w:val="007B7BD5"/>
    <w:rsid w:val="007C16F7"/>
    <w:rsid w:val="007C6510"/>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7E0"/>
    <w:rsid w:val="00870BA1"/>
    <w:rsid w:val="00873CDE"/>
    <w:rsid w:val="00874421"/>
    <w:rsid w:val="00875997"/>
    <w:rsid w:val="0087796C"/>
    <w:rsid w:val="00880932"/>
    <w:rsid w:val="008825B5"/>
    <w:rsid w:val="00885E74"/>
    <w:rsid w:val="00886B14"/>
    <w:rsid w:val="00891E87"/>
    <w:rsid w:val="008927F4"/>
    <w:rsid w:val="00893B58"/>
    <w:rsid w:val="00894E4C"/>
    <w:rsid w:val="0089642A"/>
    <w:rsid w:val="008A1743"/>
    <w:rsid w:val="008A23DD"/>
    <w:rsid w:val="008A6C51"/>
    <w:rsid w:val="008B0492"/>
    <w:rsid w:val="008B15CF"/>
    <w:rsid w:val="008B2242"/>
    <w:rsid w:val="008B4AD1"/>
    <w:rsid w:val="008B6D93"/>
    <w:rsid w:val="008B7AF1"/>
    <w:rsid w:val="008C3543"/>
    <w:rsid w:val="008D0F0D"/>
    <w:rsid w:val="008D0FF2"/>
    <w:rsid w:val="008D14D6"/>
    <w:rsid w:val="008D1D7F"/>
    <w:rsid w:val="008D3526"/>
    <w:rsid w:val="008E4AD2"/>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DED"/>
    <w:rsid w:val="00935F23"/>
    <w:rsid w:val="009372D8"/>
    <w:rsid w:val="009373A0"/>
    <w:rsid w:val="00937D12"/>
    <w:rsid w:val="00940ED2"/>
    <w:rsid w:val="00944C9A"/>
    <w:rsid w:val="00946997"/>
    <w:rsid w:val="0094737A"/>
    <w:rsid w:val="00950094"/>
    <w:rsid w:val="0095139E"/>
    <w:rsid w:val="00951536"/>
    <w:rsid w:val="00952B32"/>
    <w:rsid w:val="00952C61"/>
    <w:rsid w:val="00954B3E"/>
    <w:rsid w:val="009554A6"/>
    <w:rsid w:val="00956FEB"/>
    <w:rsid w:val="009650D5"/>
    <w:rsid w:val="0096535F"/>
    <w:rsid w:val="00965404"/>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2D3B"/>
    <w:rsid w:val="00A034AE"/>
    <w:rsid w:val="00A035F5"/>
    <w:rsid w:val="00A070C8"/>
    <w:rsid w:val="00A11F34"/>
    <w:rsid w:val="00A1350A"/>
    <w:rsid w:val="00A15DA7"/>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598E"/>
    <w:rsid w:val="00A56ED1"/>
    <w:rsid w:val="00A640E1"/>
    <w:rsid w:val="00A648A4"/>
    <w:rsid w:val="00A650B2"/>
    <w:rsid w:val="00A7290A"/>
    <w:rsid w:val="00A75006"/>
    <w:rsid w:val="00A81E28"/>
    <w:rsid w:val="00A82932"/>
    <w:rsid w:val="00A82D07"/>
    <w:rsid w:val="00A868FB"/>
    <w:rsid w:val="00A915ED"/>
    <w:rsid w:val="00A91CF2"/>
    <w:rsid w:val="00A93BA4"/>
    <w:rsid w:val="00A9416E"/>
    <w:rsid w:val="00AA493D"/>
    <w:rsid w:val="00AA681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C43"/>
    <w:rsid w:val="00B17FF0"/>
    <w:rsid w:val="00B30468"/>
    <w:rsid w:val="00B32160"/>
    <w:rsid w:val="00B32766"/>
    <w:rsid w:val="00B32B07"/>
    <w:rsid w:val="00B336E9"/>
    <w:rsid w:val="00B3397D"/>
    <w:rsid w:val="00B3426B"/>
    <w:rsid w:val="00B34537"/>
    <w:rsid w:val="00B34F7B"/>
    <w:rsid w:val="00B35999"/>
    <w:rsid w:val="00B37AFF"/>
    <w:rsid w:val="00B4305D"/>
    <w:rsid w:val="00B44237"/>
    <w:rsid w:val="00B47D09"/>
    <w:rsid w:val="00B50108"/>
    <w:rsid w:val="00B525D3"/>
    <w:rsid w:val="00B55B5C"/>
    <w:rsid w:val="00B56290"/>
    <w:rsid w:val="00B61B54"/>
    <w:rsid w:val="00B6351D"/>
    <w:rsid w:val="00B64203"/>
    <w:rsid w:val="00B6519E"/>
    <w:rsid w:val="00B66AF1"/>
    <w:rsid w:val="00B674D9"/>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907"/>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769"/>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0BE0"/>
    <w:rsid w:val="00C41A64"/>
    <w:rsid w:val="00C47122"/>
    <w:rsid w:val="00C47959"/>
    <w:rsid w:val="00C47CEA"/>
    <w:rsid w:val="00C512D0"/>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C82"/>
    <w:rsid w:val="00CF53EE"/>
    <w:rsid w:val="00D01E5B"/>
    <w:rsid w:val="00D02378"/>
    <w:rsid w:val="00D02BE9"/>
    <w:rsid w:val="00D05A8E"/>
    <w:rsid w:val="00D101DD"/>
    <w:rsid w:val="00D109D0"/>
    <w:rsid w:val="00D14423"/>
    <w:rsid w:val="00D15F27"/>
    <w:rsid w:val="00D17394"/>
    <w:rsid w:val="00D17B7F"/>
    <w:rsid w:val="00D21541"/>
    <w:rsid w:val="00D23FFF"/>
    <w:rsid w:val="00D26984"/>
    <w:rsid w:val="00D2778A"/>
    <w:rsid w:val="00D31043"/>
    <w:rsid w:val="00D32077"/>
    <w:rsid w:val="00D324C0"/>
    <w:rsid w:val="00D34A13"/>
    <w:rsid w:val="00D3640D"/>
    <w:rsid w:val="00D40AF4"/>
    <w:rsid w:val="00D42AE0"/>
    <w:rsid w:val="00D43F4A"/>
    <w:rsid w:val="00D45330"/>
    <w:rsid w:val="00D45705"/>
    <w:rsid w:val="00D45A48"/>
    <w:rsid w:val="00D45DB8"/>
    <w:rsid w:val="00D45FAE"/>
    <w:rsid w:val="00D505CD"/>
    <w:rsid w:val="00D50821"/>
    <w:rsid w:val="00D52D25"/>
    <w:rsid w:val="00D55474"/>
    <w:rsid w:val="00D6549E"/>
    <w:rsid w:val="00D65A57"/>
    <w:rsid w:val="00D66306"/>
    <w:rsid w:val="00D66B18"/>
    <w:rsid w:val="00D726DB"/>
    <w:rsid w:val="00D73164"/>
    <w:rsid w:val="00D77E53"/>
    <w:rsid w:val="00D8135F"/>
    <w:rsid w:val="00D81DD5"/>
    <w:rsid w:val="00D82696"/>
    <w:rsid w:val="00D85BF8"/>
    <w:rsid w:val="00D87BB8"/>
    <w:rsid w:val="00D90BD9"/>
    <w:rsid w:val="00D932C5"/>
    <w:rsid w:val="00D939A7"/>
    <w:rsid w:val="00D9581C"/>
    <w:rsid w:val="00D95DCB"/>
    <w:rsid w:val="00D96228"/>
    <w:rsid w:val="00DA5459"/>
    <w:rsid w:val="00DB1E0A"/>
    <w:rsid w:val="00DB357A"/>
    <w:rsid w:val="00DB4233"/>
    <w:rsid w:val="00DB5097"/>
    <w:rsid w:val="00DB5923"/>
    <w:rsid w:val="00DC4F7C"/>
    <w:rsid w:val="00DC7134"/>
    <w:rsid w:val="00DC7C2C"/>
    <w:rsid w:val="00DD2256"/>
    <w:rsid w:val="00DD4B55"/>
    <w:rsid w:val="00DD5871"/>
    <w:rsid w:val="00DE2F66"/>
    <w:rsid w:val="00DE4173"/>
    <w:rsid w:val="00DE4592"/>
    <w:rsid w:val="00DE791E"/>
    <w:rsid w:val="00DF6125"/>
    <w:rsid w:val="00E117DA"/>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970"/>
    <w:rsid w:val="00E52F87"/>
    <w:rsid w:val="00E54A05"/>
    <w:rsid w:val="00E6120D"/>
    <w:rsid w:val="00E61D06"/>
    <w:rsid w:val="00E64994"/>
    <w:rsid w:val="00E7043E"/>
    <w:rsid w:val="00E747D9"/>
    <w:rsid w:val="00E75D5D"/>
    <w:rsid w:val="00E766CA"/>
    <w:rsid w:val="00E80D1D"/>
    <w:rsid w:val="00E81F85"/>
    <w:rsid w:val="00E8413D"/>
    <w:rsid w:val="00E84C2A"/>
    <w:rsid w:val="00E90CA1"/>
    <w:rsid w:val="00E91D25"/>
    <w:rsid w:val="00E94D08"/>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87B"/>
    <w:rsid w:val="00F12233"/>
    <w:rsid w:val="00F12CE1"/>
    <w:rsid w:val="00F14096"/>
    <w:rsid w:val="00F14820"/>
    <w:rsid w:val="00F21AE8"/>
    <w:rsid w:val="00F30DED"/>
    <w:rsid w:val="00F31DB2"/>
    <w:rsid w:val="00F37720"/>
    <w:rsid w:val="00F4046D"/>
    <w:rsid w:val="00F40A6C"/>
    <w:rsid w:val="00F44EA5"/>
    <w:rsid w:val="00F4518D"/>
    <w:rsid w:val="00F46AEA"/>
    <w:rsid w:val="00F46C28"/>
    <w:rsid w:val="00F46CF6"/>
    <w:rsid w:val="00F51019"/>
    <w:rsid w:val="00F51934"/>
    <w:rsid w:val="00F52179"/>
    <w:rsid w:val="00F52B79"/>
    <w:rsid w:val="00F559A5"/>
    <w:rsid w:val="00F55F9D"/>
    <w:rsid w:val="00F56E1A"/>
    <w:rsid w:val="00F60EEE"/>
    <w:rsid w:val="00F6204B"/>
    <w:rsid w:val="00F62371"/>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C33"/>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B7C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B7C33"/>
    <w:rPr>
      <w:color w:val="0000FF"/>
      <w:u w:val="single"/>
    </w:rPr>
  </w:style>
  <w:style w:type="character" w:customStyle="1" w:styleId="captionlabel">
    <w:name w:val="captionlabel"/>
    <w:basedOn w:val="DefaultParagraphFont"/>
    <w:rsid w:val="00FB7C33"/>
  </w:style>
  <w:style w:type="character" w:customStyle="1" w:styleId="figure">
    <w:name w:val="figure"/>
    <w:basedOn w:val="DefaultParagraphFont"/>
    <w:rsid w:val="00FB7C33"/>
  </w:style>
  <w:style w:type="character" w:customStyle="1" w:styleId="fn-label">
    <w:name w:val="fn-label"/>
    <w:basedOn w:val="DefaultParagraphFont"/>
    <w:rsid w:val="00FB7C33"/>
  </w:style>
  <w:style w:type="character" w:customStyle="1" w:styleId="nlmarticle-title">
    <w:name w:val="nlm_article-title"/>
    <w:basedOn w:val="DefaultParagraphFont"/>
    <w:rsid w:val="00FB7C33"/>
  </w:style>
  <w:style w:type="character" w:customStyle="1" w:styleId="nlmyear">
    <w:name w:val="nlm_year"/>
    <w:basedOn w:val="DefaultParagraphFont"/>
    <w:rsid w:val="00FB7C33"/>
  </w:style>
  <w:style w:type="character" w:customStyle="1" w:styleId="nlmfpage">
    <w:name w:val="nlm_fpage"/>
    <w:basedOn w:val="DefaultParagraphFont"/>
    <w:rsid w:val="00FB7C33"/>
  </w:style>
  <w:style w:type="character" w:customStyle="1" w:styleId="nlmlpage">
    <w:name w:val="nlm_lpage"/>
    <w:basedOn w:val="DefaultParagraphFont"/>
    <w:rsid w:val="00FB7C33"/>
  </w:style>
  <w:style w:type="character" w:customStyle="1" w:styleId="ref-google">
    <w:name w:val="ref-google"/>
    <w:basedOn w:val="DefaultParagraphFont"/>
    <w:rsid w:val="00FB7C33"/>
  </w:style>
  <w:style w:type="character" w:customStyle="1" w:styleId="ref-xlink">
    <w:name w:val="ref-xlink"/>
    <w:basedOn w:val="DefaultParagraphFont"/>
    <w:rsid w:val="00FB7C33"/>
  </w:style>
  <w:style w:type="character" w:customStyle="1" w:styleId="nlmpublisher-loc">
    <w:name w:val="nlm_publisher-loc"/>
    <w:basedOn w:val="DefaultParagraphFont"/>
    <w:rsid w:val="00FB7C33"/>
  </w:style>
  <w:style w:type="character" w:customStyle="1" w:styleId="nlmpublisher-name">
    <w:name w:val="nlm_publisher-name"/>
    <w:basedOn w:val="DefaultParagraphFont"/>
    <w:rsid w:val="00FB7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748924">
      <w:bodyDiv w:val="1"/>
      <w:marLeft w:val="0"/>
      <w:marRight w:val="0"/>
      <w:marTop w:val="0"/>
      <w:marBottom w:val="0"/>
      <w:divBdr>
        <w:top w:val="none" w:sz="0" w:space="0" w:color="auto"/>
        <w:left w:val="none" w:sz="0" w:space="0" w:color="auto"/>
        <w:bottom w:val="none" w:sz="0" w:space="0" w:color="auto"/>
        <w:right w:val="none" w:sz="0" w:space="0" w:color="auto"/>
      </w:divBdr>
      <w:divsChild>
        <w:div w:id="785805888">
          <w:marLeft w:val="0"/>
          <w:marRight w:val="0"/>
          <w:marTop w:val="0"/>
          <w:marBottom w:val="0"/>
          <w:divBdr>
            <w:top w:val="none" w:sz="0" w:space="0" w:color="auto"/>
            <w:left w:val="none" w:sz="0" w:space="0" w:color="auto"/>
            <w:bottom w:val="none" w:sz="0" w:space="0" w:color="auto"/>
            <w:right w:val="none" w:sz="0" w:space="0" w:color="auto"/>
          </w:divBdr>
          <w:divsChild>
            <w:div w:id="459616027">
              <w:marLeft w:val="0"/>
              <w:marRight w:val="0"/>
              <w:marTop w:val="0"/>
              <w:marBottom w:val="0"/>
              <w:divBdr>
                <w:top w:val="none" w:sz="0" w:space="0" w:color="auto"/>
                <w:left w:val="none" w:sz="0" w:space="0" w:color="auto"/>
                <w:bottom w:val="none" w:sz="0" w:space="0" w:color="auto"/>
                <w:right w:val="none" w:sz="0" w:space="0" w:color="auto"/>
              </w:divBdr>
              <w:divsChild>
                <w:div w:id="539635262">
                  <w:marLeft w:val="0"/>
                  <w:marRight w:val="0"/>
                  <w:marTop w:val="0"/>
                  <w:marBottom w:val="0"/>
                  <w:divBdr>
                    <w:top w:val="none" w:sz="0" w:space="0" w:color="auto"/>
                    <w:left w:val="none" w:sz="0" w:space="0" w:color="auto"/>
                    <w:bottom w:val="none" w:sz="0" w:space="0" w:color="auto"/>
                    <w:right w:val="none" w:sz="0" w:space="0" w:color="auto"/>
                  </w:divBdr>
                  <w:divsChild>
                    <w:div w:id="1824396360">
                      <w:marLeft w:val="0"/>
                      <w:marRight w:val="0"/>
                      <w:marTop w:val="0"/>
                      <w:marBottom w:val="0"/>
                      <w:divBdr>
                        <w:top w:val="none" w:sz="0" w:space="0" w:color="auto"/>
                        <w:left w:val="none" w:sz="0" w:space="0" w:color="auto"/>
                        <w:bottom w:val="none" w:sz="0" w:space="0" w:color="auto"/>
                        <w:right w:val="none" w:sz="0" w:space="0" w:color="auto"/>
                      </w:divBdr>
                      <w:divsChild>
                        <w:div w:id="770051826">
                          <w:marLeft w:val="0"/>
                          <w:marRight w:val="0"/>
                          <w:marTop w:val="0"/>
                          <w:marBottom w:val="0"/>
                          <w:divBdr>
                            <w:top w:val="none" w:sz="0" w:space="0" w:color="auto"/>
                            <w:left w:val="none" w:sz="0" w:space="0" w:color="auto"/>
                            <w:bottom w:val="none" w:sz="0" w:space="0" w:color="auto"/>
                            <w:right w:val="none" w:sz="0" w:space="0" w:color="auto"/>
                          </w:divBdr>
                          <w:divsChild>
                            <w:div w:id="736365383">
                              <w:marLeft w:val="0"/>
                              <w:marRight w:val="0"/>
                              <w:marTop w:val="0"/>
                              <w:marBottom w:val="0"/>
                              <w:divBdr>
                                <w:top w:val="none" w:sz="0" w:space="0" w:color="auto"/>
                                <w:left w:val="none" w:sz="0" w:space="0" w:color="auto"/>
                                <w:bottom w:val="none" w:sz="0" w:space="0" w:color="auto"/>
                                <w:right w:val="none" w:sz="0" w:space="0" w:color="auto"/>
                              </w:divBdr>
                              <w:divsChild>
                                <w:div w:id="1763912525">
                                  <w:marLeft w:val="0"/>
                                  <w:marRight w:val="0"/>
                                  <w:marTop w:val="0"/>
                                  <w:marBottom w:val="0"/>
                                  <w:divBdr>
                                    <w:top w:val="none" w:sz="0" w:space="0" w:color="auto"/>
                                    <w:left w:val="none" w:sz="0" w:space="0" w:color="auto"/>
                                    <w:bottom w:val="none" w:sz="0" w:space="0" w:color="auto"/>
                                    <w:right w:val="none" w:sz="0" w:space="0" w:color="auto"/>
                                  </w:divBdr>
                                  <w:divsChild>
                                    <w:div w:id="1447655209">
                                      <w:marLeft w:val="0"/>
                                      <w:marRight w:val="0"/>
                                      <w:marTop w:val="75"/>
                                      <w:marBottom w:val="0"/>
                                      <w:divBdr>
                                        <w:top w:val="none" w:sz="0" w:space="0" w:color="auto"/>
                                        <w:left w:val="none" w:sz="0" w:space="0" w:color="auto"/>
                                        <w:bottom w:val="none" w:sz="0" w:space="0" w:color="auto"/>
                                        <w:right w:val="none" w:sz="0" w:space="0" w:color="auto"/>
                                      </w:divBdr>
                                      <w:divsChild>
                                        <w:div w:id="659816582">
                                          <w:marLeft w:val="0"/>
                                          <w:marRight w:val="0"/>
                                          <w:marTop w:val="0"/>
                                          <w:marBottom w:val="0"/>
                                          <w:divBdr>
                                            <w:top w:val="none" w:sz="0" w:space="0" w:color="auto"/>
                                            <w:left w:val="none" w:sz="0" w:space="0" w:color="auto"/>
                                            <w:bottom w:val="none" w:sz="0" w:space="0" w:color="auto"/>
                                            <w:right w:val="none" w:sz="0" w:space="0" w:color="auto"/>
                                          </w:divBdr>
                                        </w:div>
                                        <w:div w:id="2124038164">
                                          <w:marLeft w:val="0"/>
                                          <w:marRight w:val="0"/>
                                          <w:marTop w:val="0"/>
                                          <w:marBottom w:val="0"/>
                                          <w:divBdr>
                                            <w:top w:val="none" w:sz="0" w:space="0" w:color="auto"/>
                                            <w:left w:val="none" w:sz="0" w:space="0" w:color="auto"/>
                                            <w:bottom w:val="none" w:sz="0" w:space="0" w:color="auto"/>
                                            <w:right w:val="none" w:sz="0" w:space="0" w:color="auto"/>
                                          </w:divBdr>
                                          <w:divsChild>
                                            <w:div w:id="1989438136">
                                              <w:marLeft w:val="0"/>
                                              <w:marRight w:val="0"/>
                                              <w:marTop w:val="0"/>
                                              <w:marBottom w:val="0"/>
                                              <w:divBdr>
                                                <w:top w:val="none" w:sz="0" w:space="0" w:color="auto"/>
                                                <w:left w:val="none" w:sz="0" w:space="0" w:color="auto"/>
                                                <w:bottom w:val="none" w:sz="0" w:space="0" w:color="auto"/>
                                                <w:right w:val="none" w:sz="0" w:space="0" w:color="auto"/>
                                              </w:divBdr>
                                              <w:divsChild>
                                                <w:div w:id="630746233">
                                                  <w:marLeft w:val="0"/>
                                                  <w:marRight w:val="0"/>
                                                  <w:marTop w:val="0"/>
                                                  <w:marBottom w:val="0"/>
                                                  <w:divBdr>
                                                    <w:top w:val="none" w:sz="0" w:space="0" w:color="auto"/>
                                                    <w:left w:val="none" w:sz="0" w:space="0" w:color="auto"/>
                                                    <w:bottom w:val="none" w:sz="0" w:space="0" w:color="auto"/>
                                                    <w:right w:val="none" w:sz="0" w:space="0" w:color="auto"/>
                                                  </w:divBdr>
                                                </w:div>
                                              </w:divsChild>
                                            </w:div>
                                            <w:div w:id="1016350826">
                                              <w:marLeft w:val="0"/>
                                              <w:marRight w:val="0"/>
                                              <w:marTop w:val="0"/>
                                              <w:marBottom w:val="0"/>
                                              <w:divBdr>
                                                <w:top w:val="none" w:sz="0" w:space="0" w:color="auto"/>
                                                <w:left w:val="none" w:sz="0" w:space="0" w:color="auto"/>
                                                <w:bottom w:val="none" w:sz="0" w:space="0" w:color="auto"/>
                                                <w:right w:val="none" w:sz="0" w:space="0" w:color="auto"/>
                                              </w:divBdr>
                                              <w:divsChild>
                                                <w:div w:id="1247492815">
                                                  <w:marLeft w:val="0"/>
                                                  <w:marRight w:val="0"/>
                                                  <w:marTop w:val="0"/>
                                                  <w:marBottom w:val="0"/>
                                                  <w:divBdr>
                                                    <w:top w:val="none" w:sz="0" w:space="0" w:color="auto"/>
                                                    <w:left w:val="none" w:sz="0" w:space="0" w:color="auto"/>
                                                    <w:bottom w:val="none" w:sz="0" w:space="0" w:color="auto"/>
                                                    <w:right w:val="none" w:sz="0" w:space="0" w:color="auto"/>
                                                  </w:divBdr>
                                                </w:div>
                                              </w:divsChild>
                                            </w:div>
                                            <w:div w:id="658390215">
                                              <w:marLeft w:val="0"/>
                                              <w:marRight w:val="0"/>
                                              <w:marTop w:val="0"/>
                                              <w:marBottom w:val="0"/>
                                              <w:divBdr>
                                                <w:top w:val="none" w:sz="0" w:space="0" w:color="auto"/>
                                                <w:left w:val="none" w:sz="0" w:space="0" w:color="auto"/>
                                                <w:bottom w:val="none" w:sz="0" w:space="0" w:color="auto"/>
                                                <w:right w:val="none" w:sz="0" w:space="0" w:color="auto"/>
                                              </w:divBdr>
                                              <w:divsChild>
                                                <w:div w:id="797334122">
                                                  <w:marLeft w:val="0"/>
                                                  <w:marRight w:val="0"/>
                                                  <w:marTop w:val="0"/>
                                                  <w:marBottom w:val="0"/>
                                                  <w:divBdr>
                                                    <w:top w:val="none" w:sz="0" w:space="0" w:color="auto"/>
                                                    <w:left w:val="none" w:sz="0" w:space="0" w:color="auto"/>
                                                    <w:bottom w:val="none" w:sz="0" w:space="0" w:color="auto"/>
                                                    <w:right w:val="none" w:sz="0" w:space="0" w:color="auto"/>
                                                  </w:divBdr>
                                                </w:div>
                                              </w:divsChild>
                                            </w:div>
                                            <w:div w:id="1332903524">
                                              <w:marLeft w:val="0"/>
                                              <w:marRight w:val="0"/>
                                              <w:marTop w:val="0"/>
                                              <w:marBottom w:val="0"/>
                                              <w:divBdr>
                                                <w:top w:val="none" w:sz="0" w:space="0" w:color="auto"/>
                                                <w:left w:val="none" w:sz="0" w:space="0" w:color="auto"/>
                                                <w:bottom w:val="none" w:sz="0" w:space="0" w:color="auto"/>
                                                <w:right w:val="none" w:sz="0" w:space="0" w:color="auto"/>
                                              </w:divBdr>
                                              <w:divsChild>
                                                <w:div w:id="113456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94927">
                                      <w:marLeft w:val="0"/>
                                      <w:marRight w:val="0"/>
                                      <w:marTop w:val="0"/>
                                      <w:marBottom w:val="150"/>
                                      <w:divBdr>
                                        <w:top w:val="none" w:sz="0" w:space="0" w:color="auto"/>
                                        <w:left w:val="none" w:sz="0" w:space="0" w:color="auto"/>
                                        <w:bottom w:val="single" w:sz="6" w:space="0" w:color="CCCCCC"/>
                                        <w:right w:val="none" w:sz="0" w:space="0" w:color="auto"/>
                                      </w:divBdr>
                                      <w:divsChild>
                                        <w:div w:id="2087681119">
                                          <w:marLeft w:val="300"/>
                                          <w:marRight w:val="0"/>
                                          <w:marTop w:val="0"/>
                                          <w:marBottom w:val="450"/>
                                          <w:divBdr>
                                            <w:top w:val="none" w:sz="0" w:space="0" w:color="auto"/>
                                            <w:left w:val="none" w:sz="0" w:space="0" w:color="auto"/>
                                            <w:bottom w:val="none" w:sz="0" w:space="0" w:color="auto"/>
                                            <w:right w:val="none" w:sz="0" w:space="0" w:color="auto"/>
                                          </w:divBdr>
                                        </w:div>
                                      </w:divsChild>
                                    </w:div>
                                    <w:div w:id="2079135288">
                                      <w:marLeft w:val="0"/>
                                      <w:marRight w:val="0"/>
                                      <w:marTop w:val="0"/>
                                      <w:marBottom w:val="0"/>
                                      <w:divBdr>
                                        <w:top w:val="none" w:sz="0" w:space="0" w:color="auto"/>
                                        <w:left w:val="none" w:sz="0" w:space="0" w:color="auto"/>
                                        <w:bottom w:val="none" w:sz="0" w:space="0" w:color="auto"/>
                                        <w:right w:val="none" w:sz="0" w:space="0" w:color="auto"/>
                                      </w:divBdr>
                                      <w:divsChild>
                                        <w:div w:id="992105183">
                                          <w:marLeft w:val="0"/>
                                          <w:marRight w:val="0"/>
                                          <w:marTop w:val="0"/>
                                          <w:marBottom w:val="0"/>
                                          <w:divBdr>
                                            <w:top w:val="none" w:sz="0" w:space="0" w:color="auto"/>
                                            <w:left w:val="none" w:sz="0" w:space="0" w:color="auto"/>
                                            <w:bottom w:val="none" w:sz="0" w:space="0" w:color="auto"/>
                                            <w:right w:val="none" w:sz="0" w:space="0" w:color="auto"/>
                                          </w:divBdr>
                                          <w:divsChild>
                                            <w:div w:id="1137458495">
                                              <w:marLeft w:val="0"/>
                                              <w:marRight w:val="0"/>
                                              <w:marTop w:val="0"/>
                                              <w:marBottom w:val="0"/>
                                              <w:divBdr>
                                                <w:top w:val="none" w:sz="0" w:space="0" w:color="auto"/>
                                                <w:left w:val="none" w:sz="0" w:space="0" w:color="auto"/>
                                                <w:bottom w:val="none" w:sz="0" w:space="0" w:color="auto"/>
                                                <w:right w:val="none" w:sz="0" w:space="0" w:color="auto"/>
                                              </w:divBdr>
                                            </w:div>
                                          </w:divsChild>
                                        </w:div>
                                        <w:div w:id="122625518">
                                          <w:marLeft w:val="0"/>
                                          <w:marRight w:val="0"/>
                                          <w:marTop w:val="0"/>
                                          <w:marBottom w:val="0"/>
                                          <w:divBdr>
                                            <w:top w:val="none" w:sz="0" w:space="0" w:color="auto"/>
                                            <w:left w:val="none" w:sz="0" w:space="0" w:color="auto"/>
                                            <w:bottom w:val="none" w:sz="0" w:space="0" w:color="auto"/>
                                            <w:right w:val="none" w:sz="0" w:space="0" w:color="auto"/>
                                          </w:divBdr>
                                          <w:divsChild>
                                            <w:div w:id="1184635438">
                                              <w:marLeft w:val="0"/>
                                              <w:marRight w:val="0"/>
                                              <w:marTop w:val="0"/>
                                              <w:marBottom w:val="0"/>
                                              <w:divBdr>
                                                <w:top w:val="none" w:sz="0" w:space="0" w:color="auto"/>
                                                <w:left w:val="none" w:sz="0" w:space="0" w:color="auto"/>
                                                <w:bottom w:val="none" w:sz="0" w:space="0" w:color="auto"/>
                                                <w:right w:val="none" w:sz="0" w:space="0" w:color="auto"/>
                                              </w:divBdr>
                                            </w:div>
                                            <w:div w:id="1508789925">
                                              <w:marLeft w:val="0"/>
                                              <w:marRight w:val="0"/>
                                              <w:marTop w:val="0"/>
                                              <w:marBottom w:val="0"/>
                                              <w:divBdr>
                                                <w:top w:val="none" w:sz="0" w:space="0" w:color="auto"/>
                                                <w:left w:val="none" w:sz="0" w:space="0" w:color="auto"/>
                                                <w:bottom w:val="none" w:sz="0" w:space="0" w:color="auto"/>
                                                <w:right w:val="none" w:sz="0" w:space="0" w:color="auto"/>
                                              </w:divBdr>
                                              <w:divsChild>
                                                <w:div w:id="1806503625">
                                                  <w:marLeft w:val="300"/>
                                                  <w:marRight w:val="0"/>
                                                  <w:marTop w:val="0"/>
                                                  <w:marBottom w:val="0"/>
                                                  <w:divBdr>
                                                    <w:top w:val="none" w:sz="0" w:space="0" w:color="auto"/>
                                                    <w:left w:val="none" w:sz="0" w:space="0" w:color="auto"/>
                                                    <w:bottom w:val="none" w:sz="0" w:space="0" w:color="auto"/>
                                                    <w:right w:val="none" w:sz="0" w:space="0" w:color="auto"/>
                                                  </w:divBdr>
                                                </w:div>
                                                <w:div w:id="808593224">
                                                  <w:marLeft w:val="0"/>
                                                  <w:marRight w:val="0"/>
                                                  <w:marTop w:val="0"/>
                                                  <w:marBottom w:val="0"/>
                                                  <w:divBdr>
                                                    <w:top w:val="none" w:sz="0" w:space="0" w:color="auto"/>
                                                    <w:left w:val="none" w:sz="0" w:space="0" w:color="auto"/>
                                                    <w:bottom w:val="none" w:sz="0" w:space="0" w:color="auto"/>
                                                    <w:right w:val="none" w:sz="0" w:space="0" w:color="auto"/>
                                                  </w:divBdr>
                                                </w:div>
                                                <w:div w:id="2021617093">
                                                  <w:marLeft w:val="0"/>
                                                  <w:marRight w:val="0"/>
                                                  <w:marTop w:val="0"/>
                                                  <w:marBottom w:val="0"/>
                                                  <w:divBdr>
                                                    <w:top w:val="none" w:sz="0" w:space="0" w:color="auto"/>
                                                    <w:left w:val="none" w:sz="0" w:space="0" w:color="auto"/>
                                                    <w:bottom w:val="none" w:sz="0" w:space="0" w:color="auto"/>
                                                    <w:right w:val="none" w:sz="0" w:space="0" w:color="auto"/>
                                                  </w:divBdr>
                                                </w:div>
                                                <w:div w:id="1837529839">
                                                  <w:marLeft w:val="375"/>
                                                  <w:marRight w:val="375"/>
                                                  <w:marTop w:val="0"/>
                                                  <w:marBottom w:val="0"/>
                                                  <w:divBdr>
                                                    <w:top w:val="none" w:sz="0" w:space="0" w:color="auto"/>
                                                    <w:left w:val="none" w:sz="0" w:space="0" w:color="auto"/>
                                                    <w:bottom w:val="none" w:sz="0" w:space="0" w:color="auto"/>
                                                    <w:right w:val="none" w:sz="0" w:space="0" w:color="auto"/>
                                                  </w:divBdr>
                                                  <w:divsChild>
                                                    <w:div w:id="2131588310">
                                                      <w:marLeft w:val="0"/>
                                                      <w:marRight w:val="0"/>
                                                      <w:marTop w:val="0"/>
                                                      <w:marBottom w:val="0"/>
                                                      <w:divBdr>
                                                        <w:top w:val="none" w:sz="0" w:space="0" w:color="auto"/>
                                                        <w:left w:val="none" w:sz="0" w:space="0" w:color="auto"/>
                                                        <w:bottom w:val="none" w:sz="0" w:space="0" w:color="auto"/>
                                                        <w:right w:val="none" w:sz="0" w:space="0" w:color="auto"/>
                                                      </w:divBdr>
                                                    </w:div>
                                                    <w:div w:id="15348051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85580909">
                                              <w:marLeft w:val="0"/>
                                              <w:marRight w:val="0"/>
                                              <w:marTop w:val="0"/>
                                              <w:marBottom w:val="0"/>
                                              <w:divBdr>
                                                <w:top w:val="none" w:sz="0" w:space="0" w:color="auto"/>
                                                <w:left w:val="none" w:sz="0" w:space="0" w:color="auto"/>
                                                <w:bottom w:val="none" w:sz="0" w:space="0" w:color="auto"/>
                                                <w:right w:val="none" w:sz="0" w:space="0" w:color="auto"/>
                                              </w:divBdr>
                                              <w:divsChild>
                                                <w:div w:id="830216054">
                                                  <w:marLeft w:val="300"/>
                                                  <w:marRight w:val="0"/>
                                                  <w:marTop w:val="0"/>
                                                  <w:marBottom w:val="0"/>
                                                  <w:divBdr>
                                                    <w:top w:val="none" w:sz="0" w:space="0" w:color="auto"/>
                                                    <w:left w:val="none" w:sz="0" w:space="0" w:color="auto"/>
                                                    <w:bottom w:val="none" w:sz="0" w:space="0" w:color="auto"/>
                                                    <w:right w:val="none" w:sz="0" w:space="0" w:color="auto"/>
                                                  </w:divBdr>
                                                </w:div>
                                              </w:divsChild>
                                            </w:div>
                                            <w:div w:id="509954707">
                                              <w:marLeft w:val="0"/>
                                              <w:marRight w:val="0"/>
                                              <w:marTop w:val="0"/>
                                              <w:marBottom w:val="0"/>
                                              <w:divBdr>
                                                <w:top w:val="none" w:sz="0" w:space="0" w:color="auto"/>
                                                <w:left w:val="none" w:sz="0" w:space="0" w:color="auto"/>
                                                <w:bottom w:val="none" w:sz="0" w:space="0" w:color="auto"/>
                                                <w:right w:val="none" w:sz="0" w:space="0" w:color="auto"/>
                                              </w:divBdr>
                                              <w:divsChild>
                                                <w:div w:id="2362827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31595775">
                                          <w:marLeft w:val="0"/>
                                          <w:marRight w:val="0"/>
                                          <w:marTop w:val="0"/>
                                          <w:marBottom w:val="0"/>
                                          <w:divBdr>
                                            <w:top w:val="none" w:sz="0" w:space="0" w:color="auto"/>
                                            <w:left w:val="none" w:sz="0" w:space="0" w:color="auto"/>
                                            <w:bottom w:val="none" w:sz="0" w:space="0" w:color="auto"/>
                                            <w:right w:val="none" w:sz="0" w:space="0" w:color="auto"/>
                                          </w:divBdr>
                                          <w:divsChild>
                                            <w:div w:id="1022782624">
                                              <w:marLeft w:val="0"/>
                                              <w:marRight w:val="0"/>
                                              <w:marTop w:val="0"/>
                                              <w:marBottom w:val="0"/>
                                              <w:divBdr>
                                                <w:top w:val="none" w:sz="0" w:space="0" w:color="auto"/>
                                                <w:left w:val="none" w:sz="0" w:space="0" w:color="auto"/>
                                                <w:bottom w:val="none" w:sz="0" w:space="0" w:color="auto"/>
                                                <w:right w:val="none" w:sz="0" w:space="0" w:color="auto"/>
                                              </w:divBdr>
                                            </w:div>
                                            <w:div w:id="1732457679">
                                              <w:marLeft w:val="0"/>
                                              <w:marRight w:val="0"/>
                                              <w:marTop w:val="0"/>
                                              <w:marBottom w:val="0"/>
                                              <w:divBdr>
                                                <w:top w:val="none" w:sz="0" w:space="0" w:color="auto"/>
                                                <w:left w:val="none" w:sz="0" w:space="0" w:color="auto"/>
                                                <w:bottom w:val="none" w:sz="0" w:space="0" w:color="auto"/>
                                                <w:right w:val="none" w:sz="0" w:space="0" w:color="auto"/>
                                              </w:divBdr>
                                            </w:div>
                                            <w:div w:id="2104455617">
                                              <w:marLeft w:val="0"/>
                                              <w:marRight w:val="0"/>
                                              <w:marTop w:val="0"/>
                                              <w:marBottom w:val="0"/>
                                              <w:divBdr>
                                                <w:top w:val="none" w:sz="0" w:space="0" w:color="auto"/>
                                                <w:left w:val="none" w:sz="0" w:space="0" w:color="auto"/>
                                                <w:bottom w:val="none" w:sz="0" w:space="0" w:color="auto"/>
                                                <w:right w:val="none" w:sz="0" w:space="0" w:color="auto"/>
                                              </w:divBdr>
                                            </w:div>
                                            <w:div w:id="1204706540">
                                              <w:marLeft w:val="375"/>
                                              <w:marRight w:val="375"/>
                                              <w:marTop w:val="0"/>
                                              <w:marBottom w:val="0"/>
                                              <w:divBdr>
                                                <w:top w:val="none" w:sz="0" w:space="0" w:color="auto"/>
                                                <w:left w:val="none" w:sz="0" w:space="0" w:color="auto"/>
                                                <w:bottom w:val="none" w:sz="0" w:space="0" w:color="auto"/>
                                                <w:right w:val="none" w:sz="0" w:space="0" w:color="auto"/>
                                              </w:divBdr>
                                              <w:divsChild>
                                                <w:div w:id="1262227501">
                                                  <w:marLeft w:val="0"/>
                                                  <w:marRight w:val="0"/>
                                                  <w:marTop w:val="0"/>
                                                  <w:marBottom w:val="0"/>
                                                  <w:divBdr>
                                                    <w:top w:val="none" w:sz="0" w:space="0" w:color="auto"/>
                                                    <w:left w:val="none" w:sz="0" w:space="0" w:color="auto"/>
                                                    <w:bottom w:val="none" w:sz="0" w:space="0" w:color="auto"/>
                                                    <w:right w:val="none" w:sz="0" w:space="0" w:color="auto"/>
                                                  </w:divBdr>
                                                </w:div>
                                                <w:div w:id="749080299">
                                                  <w:marLeft w:val="0"/>
                                                  <w:marRight w:val="0"/>
                                                  <w:marTop w:val="150"/>
                                                  <w:marBottom w:val="0"/>
                                                  <w:divBdr>
                                                    <w:top w:val="none" w:sz="0" w:space="0" w:color="auto"/>
                                                    <w:left w:val="none" w:sz="0" w:space="0" w:color="auto"/>
                                                    <w:bottom w:val="none" w:sz="0" w:space="0" w:color="auto"/>
                                                    <w:right w:val="none" w:sz="0" w:space="0" w:color="auto"/>
                                                  </w:divBdr>
                                                </w:div>
                                              </w:divsChild>
                                            </w:div>
                                            <w:div w:id="281885911">
                                              <w:marLeft w:val="300"/>
                                              <w:marRight w:val="0"/>
                                              <w:marTop w:val="0"/>
                                              <w:marBottom w:val="0"/>
                                              <w:divBdr>
                                                <w:top w:val="none" w:sz="0" w:space="0" w:color="auto"/>
                                                <w:left w:val="none" w:sz="0" w:space="0" w:color="auto"/>
                                                <w:bottom w:val="none" w:sz="0" w:space="0" w:color="auto"/>
                                                <w:right w:val="none" w:sz="0" w:space="0" w:color="auto"/>
                                              </w:divBdr>
                                              <w:divsChild>
                                                <w:div w:id="713118836">
                                                  <w:marLeft w:val="0"/>
                                                  <w:marRight w:val="0"/>
                                                  <w:marTop w:val="0"/>
                                                  <w:marBottom w:val="0"/>
                                                  <w:divBdr>
                                                    <w:top w:val="none" w:sz="0" w:space="0" w:color="auto"/>
                                                    <w:left w:val="none" w:sz="0" w:space="0" w:color="auto"/>
                                                    <w:bottom w:val="none" w:sz="0" w:space="0" w:color="auto"/>
                                                    <w:right w:val="none" w:sz="0" w:space="0" w:color="auto"/>
                                                  </w:divBdr>
                                                  <w:divsChild>
                                                    <w:div w:id="166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3306">
                                              <w:marLeft w:val="0"/>
                                              <w:marRight w:val="0"/>
                                              <w:marTop w:val="0"/>
                                              <w:marBottom w:val="0"/>
                                              <w:divBdr>
                                                <w:top w:val="none" w:sz="0" w:space="0" w:color="auto"/>
                                                <w:left w:val="none" w:sz="0" w:space="0" w:color="auto"/>
                                                <w:bottom w:val="none" w:sz="0" w:space="0" w:color="auto"/>
                                                <w:right w:val="none" w:sz="0" w:space="0" w:color="auto"/>
                                              </w:divBdr>
                                            </w:div>
                                            <w:div w:id="1002662561">
                                              <w:marLeft w:val="0"/>
                                              <w:marRight w:val="0"/>
                                              <w:marTop w:val="0"/>
                                              <w:marBottom w:val="0"/>
                                              <w:divBdr>
                                                <w:top w:val="none" w:sz="0" w:space="0" w:color="auto"/>
                                                <w:left w:val="none" w:sz="0" w:space="0" w:color="auto"/>
                                                <w:bottom w:val="none" w:sz="0" w:space="0" w:color="auto"/>
                                                <w:right w:val="none" w:sz="0" w:space="0" w:color="auto"/>
                                              </w:divBdr>
                                            </w:div>
                                            <w:div w:id="1750224439">
                                              <w:marLeft w:val="375"/>
                                              <w:marRight w:val="375"/>
                                              <w:marTop w:val="0"/>
                                              <w:marBottom w:val="0"/>
                                              <w:divBdr>
                                                <w:top w:val="none" w:sz="0" w:space="0" w:color="auto"/>
                                                <w:left w:val="none" w:sz="0" w:space="0" w:color="auto"/>
                                                <w:bottom w:val="none" w:sz="0" w:space="0" w:color="auto"/>
                                                <w:right w:val="none" w:sz="0" w:space="0" w:color="auto"/>
                                              </w:divBdr>
                                              <w:divsChild>
                                                <w:div w:id="1902595139">
                                                  <w:marLeft w:val="0"/>
                                                  <w:marRight w:val="0"/>
                                                  <w:marTop w:val="0"/>
                                                  <w:marBottom w:val="0"/>
                                                  <w:divBdr>
                                                    <w:top w:val="none" w:sz="0" w:space="0" w:color="auto"/>
                                                    <w:left w:val="none" w:sz="0" w:space="0" w:color="auto"/>
                                                    <w:bottom w:val="none" w:sz="0" w:space="0" w:color="auto"/>
                                                    <w:right w:val="none" w:sz="0" w:space="0" w:color="auto"/>
                                                  </w:divBdr>
                                                </w:div>
                                                <w:div w:id="13326794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031195">
                                          <w:marLeft w:val="0"/>
                                          <w:marRight w:val="0"/>
                                          <w:marTop w:val="0"/>
                                          <w:marBottom w:val="0"/>
                                          <w:divBdr>
                                            <w:top w:val="none" w:sz="0" w:space="0" w:color="auto"/>
                                            <w:left w:val="none" w:sz="0" w:space="0" w:color="auto"/>
                                            <w:bottom w:val="none" w:sz="0" w:space="0" w:color="auto"/>
                                            <w:right w:val="none" w:sz="0" w:space="0" w:color="auto"/>
                                          </w:divBdr>
                                          <w:divsChild>
                                            <w:div w:id="61219198">
                                              <w:marLeft w:val="0"/>
                                              <w:marRight w:val="0"/>
                                              <w:marTop w:val="0"/>
                                              <w:marBottom w:val="0"/>
                                              <w:divBdr>
                                                <w:top w:val="none" w:sz="0" w:space="0" w:color="auto"/>
                                                <w:left w:val="none" w:sz="0" w:space="0" w:color="auto"/>
                                                <w:bottom w:val="none" w:sz="0" w:space="0" w:color="auto"/>
                                                <w:right w:val="none" w:sz="0" w:space="0" w:color="auto"/>
                                              </w:divBdr>
                                            </w:div>
                                          </w:divsChild>
                                        </w:div>
                                        <w:div w:id="1627808630">
                                          <w:marLeft w:val="0"/>
                                          <w:marRight w:val="0"/>
                                          <w:marTop w:val="0"/>
                                          <w:marBottom w:val="0"/>
                                          <w:divBdr>
                                            <w:top w:val="none" w:sz="0" w:space="0" w:color="auto"/>
                                            <w:left w:val="none" w:sz="0" w:space="0" w:color="auto"/>
                                            <w:bottom w:val="none" w:sz="0" w:space="0" w:color="auto"/>
                                            <w:right w:val="none" w:sz="0" w:space="0" w:color="auto"/>
                                          </w:divBdr>
                                          <w:divsChild>
                                            <w:div w:id="4719759">
                                              <w:marLeft w:val="0"/>
                                              <w:marRight w:val="0"/>
                                              <w:marTop w:val="0"/>
                                              <w:marBottom w:val="0"/>
                                              <w:divBdr>
                                                <w:top w:val="none" w:sz="0" w:space="0" w:color="auto"/>
                                                <w:left w:val="none" w:sz="0" w:space="0" w:color="auto"/>
                                                <w:bottom w:val="none" w:sz="0" w:space="0" w:color="auto"/>
                                                <w:right w:val="none" w:sz="0" w:space="0" w:color="auto"/>
                                              </w:divBdr>
                                            </w:div>
                                          </w:divsChild>
                                        </w:div>
                                        <w:div w:id="1336806612">
                                          <w:marLeft w:val="0"/>
                                          <w:marRight w:val="0"/>
                                          <w:marTop w:val="0"/>
                                          <w:marBottom w:val="0"/>
                                          <w:divBdr>
                                            <w:top w:val="none" w:sz="0" w:space="0" w:color="auto"/>
                                            <w:left w:val="none" w:sz="0" w:space="0" w:color="auto"/>
                                            <w:bottom w:val="none" w:sz="0" w:space="0" w:color="auto"/>
                                            <w:right w:val="none" w:sz="0" w:space="0" w:color="auto"/>
                                          </w:divBdr>
                                        </w:div>
                                        <w:div w:id="92176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972597">
          <w:marLeft w:val="105"/>
          <w:marRight w:val="105"/>
          <w:marTop w:val="105"/>
          <w:marBottom w:val="105"/>
          <w:divBdr>
            <w:top w:val="none" w:sz="0" w:space="0" w:color="auto"/>
            <w:left w:val="none" w:sz="0" w:space="0" w:color="auto"/>
            <w:bottom w:val="none" w:sz="0" w:space="0" w:color="auto"/>
            <w:right w:val="none" w:sz="0" w:space="0" w:color="auto"/>
          </w:divBdr>
          <w:divsChild>
            <w:div w:id="1862089744">
              <w:marLeft w:val="0"/>
              <w:marRight w:val="0"/>
              <w:marTop w:val="0"/>
              <w:marBottom w:val="0"/>
              <w:divBdr>
                <w:top w:val="none" w:sz="0" w:space="0" w:color="auto"/>
                <w:left w:val="none" w:sz="0" w:space="0" w:color="auto"/>
                <w:bottom w:val="none" w:sz="0" w:space="0" w:color="auto"/>
                <w:right w:val="none" w:sz="0" w:space="0" w:color="auto"/>
              </w:divBdr>
              <w:divsChild>
                <w:div w:id="90992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s.sagepub.com/doi/10.1177/1941874418799563" TargetMode="External"/><Relationship Id="rId18" Type="http://schemas.openxmlformats.org/officeDocument/2006/relationships/hyperlink" Target="https://journals.sagepub.com/doi/10.1177/1941874418799563" TargetMode="External"/><Relationship Id="rId26" Type="http://schemas.openxmlformats.org/officeDocument/2006/relationships/hyperlink" Target="https://journals.sagepub.com/doi/10.1177/1941874418799563" TargetMode="External"/><Relationship Id="rId39" Type="http://schemas.openxmlformats.org/officeDocument/2006/relationships/hyperlink" Target="https://journals.sagepub.com/doi/10.1177/1941874418799563" TargetMode="External"/><Relationship Id="rId21" Type="http://schemas.openxmlformats.org/officeDocument/2006/relationships/hyperlink" Target="https://journals.sagepub.com/doi/10.1177/1941874418799563" TargetMode="External"/><Relationship Id="rId34" Type="http://schemas.openxmlformats.org/officeDocument/2006/relationships/hyperlink" Target="https://journals.sagepub.com/doi/10.1177/1941874418799563" TargetMode="External"/><Relationship Id="rId42" Type="http://schemas.openxmlformats.org/officeDocument/2006/relationships/hyperlink" Target="https://journals.sagepub.com/doi/10.1177/1941874418799563" TargetMode="External"/><Relationship Id="rId47" Type="http://schemas.openxmlformats.org/officeDocument/2006/relationships/hyperlink" Target="https://journals.sagepub.com/doi/10.1177/1941874418799563" TargetMode="External"/><Relationship Id="rId50" Type="http://schemas.openxmlformats.org/officeDocument/2006/relationships/fontTable" Target="fontTable.xml"/><Relationship Id="rId7" Type="http://schemas.openxmlformats.org/officeDocument/2006/relationships/hyperlink" Target="https://journals.sagepub.com/doi/10.1177/1941874418799563" TargetMode="External"/><Relationship Id="rId2" Type="http://schemas.openxmlformats.org/officeDocument/2006/relationships/customXml" Target="../customXml/item2.xml"/><Relationship Id="rId16" Type="http://schemas.openxmlformats.org/officeDocument/2006/relationships/hyperlink" Target="https://journals.sagepub.com/doi/10.1177/1941874418799563" TargetMode="External"/><Relationship Id="rId29" Type="http://schemas.openxmlformats.org/officeDocument/2006/relationships/hyperlink" Target="https://journals.sagepub.com/doi/10.1177/1941874418799563" TargetMode="External"/><Relationship Id="rId11" Type="http://schemas.openxmlformats.org/officeDocument/2006/relationships/hyperlink" Target="https://journals.sagepub.com/doi/10.1177/1941874418799563" TargetMode="External"/><Relationship Id="rId24" Type="http://schemas.openxmlformats.org/officeDocument/2006/relationships/hyperlink" Target="https://journals.sagepub.com/doi/10.1177/1941874418799563" TargetMode="External"/><Relationship Id="rId32" Type="http://schemas.openxmlformats.org/officeDocument/2006/relationships/hyperlink" Target="https://journals.sagepub.com/doi/10.1177/1941874418799563" TargetMode="External"/><Relationship Id="rId37" Type="http://schemas.openxmlformats.org/officeDocument/2006/relationships/hyperlink" Target="https://journals.sagepub.com/doi/10.1177/1941874418799563" TargetMode="External"/><Relationship Id="rId40" Type="http://schemas.openxmlformats.org/officeDocument/2006/relationships/image" Target="media/image1.gif"/><Relationship Id="rId45" Type="http://schemas.openxmlformats.org/officeDocument/2006/relationships/hyperlink" Target="https://journals.sagepub.com/doi/10.1177/1941874418799563" TargetMode="External"/><Relationship Id="rId5" Type="http://schemas.openxmlformats.org/officeDocument/2006/relationships/settings" Target="settings.xml"/><Relationship Id="rId15" Type="http://schemas.openxmlformats.org/officeDocument/2006/relationships/hyperlink" Target="https://journals.sagepub.com/doi/10.1177/1941874418799563" TargetMode="External"/><Relationship Id="rId23" Type="http://schemas.openxmlformats.org/officeDocument/2006/relationships/hyperlink" Target="https://journals.sagepub.com/doi/10.1177/1941874418799563" TargetMode="External"/><Relationship Id="rId28" Type="http://schemas.openxmlformats.org/officeDocument/2006/relationships/hyperlink" Target="https://journals.sagepub.com/doi/10.1177/1941874418799563" TargetMode="External"/><Relationship Id="rId36" Type="http://schemas.openxmlformats.org/officeDocument/2006/relationships/hyperlink" Target="https://journals.sagepub.com/doi/10.1177/1941874418799563" TargetMode="External"/><Relationship Id="rId49" Type="http://schemas.openxmlformats.org/officeDocument/2006/relationships/hyperlink" Target="https://journals.sagepub.com/doi/10.1177/1941874418799563" TargetMode="External"/><Relationship Id="rId10" Type="http://schemas.openxmlformats.org/officeDocument/2006/relationships/hyperlink" Target="https://journals.sagepub.com/doi/10.1177/1941874418799563" TargetMode="External"/><Relationship Id="rId19" Type="http://schemas.openxmlformats.org/officeDocument/2006/relationships/hyperlink" Target="https://journals.sagepub.com/doi/10.1177/1941874418799563" TargetMode="External"/><Relationship Id="rId31" Type="http://schemas.openxmlformats.org/officeDocument/2006/relationships/hyperlink" Target="https://journals.sagepub.com/doi/10.1177/1941874418799563" TargetMode="External"/><Relationship Id="rId44" Type="http://schemas.openxmlformats.org/officeDocument/2006/relationships/hyperlink" Target="https://journals.sagepub.com/doi/10.1177/1941874418799563" TargetMode="External"/><Relationship Id="rId4" Type="http://schemas.openxmlformats.org/officeDocument/2006/relationships/styles" Target="styles.xml"/><Relationship Id="rId9" Type="http://schemas.openxmlformats.org/officeDocument/2006/relationships/hyperlink" Target="https://journals.sagepub.com/doi/10.1177/1941874418799563" TargetMode="External"/><Relationship Id="rId14" Type="http://schemas.openxmlformats.org/officeDocument/2006/relationships/hyperlink" Target="https://journals.sagepub.com/doi/10.1177/1941874418799563" TargetMode="External"/><Relationship Id="rId22" Type="http://schemas.openxmlformats.org/officeDocument/2006/relationships/hyperlink" Target="https://journals.sagepub.com/doi/10.1177/1941874418799563" TargetMode="External"/><Relationship Id="rId27" Type="http://schemas.openxmlformats.org/officeDocument/2006/relationships/hyperlink" Target="https://journals.sagepub.com/doi/10.1177/1941874418799563" TargetMode="External"/><Relationship Id="rId30" Type="http://schemas.openxmlformats.org/officeDocument/2006/relationships/hyperlink" Target="https://journals.sagepub.com/doi/10.1177/1941874418799563" TargetMode="External"/><Relationship Id="rId35" Type="http://schemas.openxmlformats.org/officeDocument/2006/relationships/hyperlink" Target="https://journals.sagepub.com/doi/10.1177/1941874418799563" TargetMode="External"/><Relationship Id="rId43" Type="http://schemas.openxmlformats.org/officeDocument/2006/relationships/hyperlink" Target="https://journals.sagepub.com/doi/10.1177/1941874418799563" TargetMode="External"/><Relationship Id="rId48" Type="http://schemas.openxmlformats.org/officeDocument/2006/relationships/hyperlink" Target="https://journals.sagepub.com/doi/10.1177/1941874418799563" TargetMode="External"/><Relationship Id="rId8" Type="http://schemas.openxmlformats.org/officeDocument/2006/relationships/hyperlink" Target="http://epublications.marquette.edu/" TargetMode="Externa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journals.sagepub.com/doi/10.1177/1941874418799563" TargetMode="External"/><Relationship Id="rId17" Type="http://schemas.openxmlformats.org/officeDocument/2006/relationships/hyperlink" Target="https://journals.sagepub.com/doi/10.1177/1941874418799563" TargetMode="External"/><Relationship Id="rId25" Type="http://schemas.openxmlformats.org/officeDocument/2006/relationships/hyperlink" Target="https://journals.sagepub.com/doi/10.1177/1941874418799563" TargetMode="External"/><Relationship Id="rId33" Type="http://schemas.openxmlformats.org/officeDocument/2006/relationships/hyperlink" Target="https://journals.sagepub.com/doi/10.1177/1941874418799563" TargetMode="External"/><Relationship Id="rId38" Type="http://schemas.openxmlformats.org/officeDocument/2006/relationships/hyperlink" Target="https://journals.sagepub.com/doi/10.1177/1941874418799563" TargetMode="External"/><Relationship Id="rId46" Type="http://schemas.openxmlformats.org/officeDocument/2006/relationships/hyperlink" Target="https://journals.sagepub.com/doi/10.1177/1941874418799563" TargetMode="External"/><Relationship Id="rId20" Type="http://schemas.openxmlformats.org/officeDocument/2006/relationships/hyperlink" Target="https://journals.sagepub.com/doi/10.1177/1941874418799563" TargetMode="External"/><Relationship Id="rId41" Type="http://schemas.openxmlformats.org/officeDocument/2006/relationships/hyperlink" Target="https://journals.sagepub.com/doi/10.1177/1941874418799563"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40377-65FD-45AD-B8C0-97F8DBEEB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B2CE4-AD1C-4963-8E0B-9BF14CADAC56}">
  <ds:schemaRefs>
    <ds:schemaRef ds:uri="http://schemas.microsoft.com/sharepoint/v3/contenttype/forms"/>
  </ds:schemaRefs>
</ds:datastoreItem>
</file>

<file path=customXml/itemProps3.xml><?xml version="1.0" encoding="utf-8"?>
<ds:datastoreItem xmlns:ds="http://schemas.openxmlformats.org/officeDocument/2006/customXml" ds:itemID="{1C014706-ED67-4C52-B09A-3B3B4DD4C1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3928</Words>
  <Characters>23963</Characters>
  <Application>Microsoft Office Word</Application>
  <DocSecurity>8</DocSecurity>
  <Lines>599</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102</cp:revision>
  <dcterms:created xsi:type="dcterms:W3CDTF">2019-08-09T15:49:00Z</dcterms:created>
  <dcterms:modified xsi:type="dcterms:W3CDTF">2019-12-02T17:23:00Z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