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1B0D58" w:rsidRDefault="000A7622" w:rsidP="000A7622">
      <w:pPr>
        <w:pStyle w:val="Default"/>
        <w:rPr>
          <w:rFonts w:asciiTheme="minorHAnsi" w:hAnsiTheme="minorHAnsi" w:cstheme="minorHAnsi"/>
          <w:sz w:val="22"/>
          <w:szCs w:val="22"/>
        </w:rPr>
      </w:pPr>
    </w:p>
    <w:p w14:paraId="2538F7F5" w14:textId="77777777" w:rsidR="000A7622" w:rsidRPr="001B0D5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B0D58">
        <w:rPr>
          <w:rFonts w:cstheme="minorHAnsi"/>
          <w:b/>
          <w:bCs/>
          <w:color w:val="316192"/>
          <w:sz w:val="28"/>
          <w:szCs w:val="26"/>
        </w:rPr>
        <w:t>Marquette University</w:t>
      </w:r>
    </w:p>
    <w:p w14:paraId="158D4B9F" w14:textId="77777777" w:rsidR="000A7622" w:rsidRPr="001B0D58" w:rsidRDefault="000A7622" w:rsidP="00D14423">
      <w:pPr>
        <w:autoSpaceDE w:val="0"/>
        <w:autoSpaceDN w:val="0"/>
        <w:adjustRightInd w:val="0"/>
        <w:rPr>
          <w:rFonts w:cstheme="minorHAnsi"/>
          <w:b/>
          <w:bCs/>
          <w:color w:val="316192"/>
          <w:sz w:val="40"/>
          <w:szCs w:val="36"/>
        </w:rPr>
      </w:pPr>
      <w:r w:rsidRPr="001B0D58">
        <w:rPr>
          <w:rFonts w:cstheme="minorHAnsi"/>
          <w:b/>
          <w:bCs/>
          <w:color w:val="316192"/>
          <w:sz w:val="40"/>
          <w:szCs w:val="36"/>
        </w:rPr>
        <w:t>e-Publications@Marquette</w:t>
      </w:r>
    </w:p>
    <w:p w14:paraId="689ACF87" w14:textId="77777777" w:rsidR="000A7622" w:rsidRPr="001B0D58" w:rsidRDefault="000A7622" w:rsidP="00D14423">
      <w:pPr>
        <w:autoSpaceDE w:val="0"/>
        <w:autoSpaceDN w:val="0"/>
        <w:adjustRightInd w:val="0"/>
        <w:rPr>
          <w:rFonts w:cstheme="minorHAnsi"/>
          <w:b/>
          <w:bCs/>
          <w:i/>
          <w:iCs/>
        </w:rPr>
      </w:pPr>
    </w:p>
    <w:p w14:paraId="161853CC" w14:textId="1D83A392" w:rsidR="000A7622" w:rsidRPr="001B0D58" w:rsidRDefault="00A17719" w:rsidP="00D14423">
      <w:pPr>
        <w:autoSpaceDE w:val="0"/>
        <w:autoSpaceDN w:val="0"/>
        <w:adjustRightInd w:val="0"/>
        <w:rPr>
          <w:rFonts w:cstheme="minorHAnsi"/>
          <w:b/>
          <w:bCs/>
          <w:i/>
          <w:iCs/>
          <w:sz w:val="32"/>
          <w:szCs w:val="32"/>
        </w:rPr>
      </w:pPr>
      <w:r w:rsidRPr="001B0D58">
        <w:rPr>
          <w:rFonts w:cstheme="minorHAnsi"/>
          <w:b/>
          <w:bCs/>
          <w:i/>
          <w:iCs/>
          <w:sz w:val="32"/>
          <w:szCs w:val="32"/>
        </w:rPr>
        <w:t xml:space="preserve">Nursing </w:t>
      </w:r>
      <w:r w:rsidR="000A7622" w:rsidRPr="001B0D58">
        <w:rPr>
          <w:rFonts w:cstheme="minorHAnsi"/>
          <w:b/>
          <w:bCs/>
          <w:i/>
          <w:iCs/>
          <w:sz w:val="32"/>
          <w:szCs w:val="32"/>
        </w:rPr>
        <w:t>Faculty Research and Publications/</w:t>
      </w:r>
      <w:r w:rsidR="009732A9" w:rsidRPr="001B0D58">
        <w:rPr>
          <w:rFonts w:cstheme="minorHAnsi"/>
          <w:b/>
          <w:bCs/>
          <w:i/>
          <w:iCs/>
          <w:sz w:val="32"/>
          <w:szCs w:val="32"/>
        </w:rPr>
        <w:t xml:space="preserve">College of </w:t>
      </w:r>
      <w:r w:rsidRPr="001B0D58">
        <w:rPr>
          <w:rFonts w:cstheme="minorHAnsi"/>
          <w:b/>
          <w:bCs/>
          <w:i/>
          <w:iCs/>
          <w:sz w:val="32"/>
          <w:szCs w:val="32"/>
        </w:rPr>
        <w:t>Nursing</w:t>
      </w:r>
    </w:p>
    <w:bookmarkEnd w:id="0"/>
    <w:p w14:paraId="3E538636" w14:textId="77777777" w:rsidR="000A7622" w:rsidRPr="001B0D58" w:rsidRDefault="000A7622" w:rsidP="00D14423">
      <w:pPr>
        <w:jc w:val="center"/>
        <w:rPr>
          <w:rFonts w:cstheme="minorHAnsi"/>
          <w:b/>
          <w:bCs/>
          <w:i/>
          <w:iCs/>
        </w:rPr>
      </w:pPr>
    </w:p>
    <w:p w14:paraId="25509BF0" w14:textId="2FAAA25D" w:rsidR="000A7622" w:rsidRPr="001B0D58" w:rsidRDefault="000A7622" w:rsidP="00D14423">
      <w:pPr>
        <w:jc w:val="center"/>
        <w:rPr>
          <w:rFonts w:cstheme="minorHAnsi"/>
          <w:sz w:val="24"/>
          <w:szCs w:val="24"/>
        </w:rPr>
      </w:pPr>
      <w:r w:rsidRPr="001B0D58">
        <w:rPr>
          <w:rFonts w:cstheme="minorHAnsi"/>
          <w:b/>
          <w:bCs/>
          <w:i/>
          <w:iCs/>
          <w:sz w:val="24"/>
          <w:szCs w:val="24"/>
        </w:rPr>
        <w:t>This pap</w:t>
      </w:r>
      <w:r w:rsidR="00440026" w:rsidRPr="001B0D58">
        <w:rPr>
          <w:rFonts w:cstheme="minorHAnsi"/>
          <w:b/>
          <w:bCs/>
          <w:i/>
          <w:iCs/>
          <w:sz w:val="24"/>
          <w:szCs w:val="24"/>
        </w:rPr>
        <w:t>e</w:t>
      </w:r>
      <w:r w:rsidRPr="001B0D58">
        <w:rPr>
          <w:rFonts w:cstheme="minorHAnsi"/>
          <w:b/>
          <w:bCs/>
          <w:i/>
          <w:iCs/>
          <w:sz w:val="24"/>
          <w:szCs w:val="24"/>
        </w:rPr>
        <w:t xml:space="preserve">r is NOT THE PUBLISHED VERSION; </w:t>
      </w:r>
      <w:r w:rsidRPr="001B0D58">
        <w:rPr>
          <w:rFonts w:cstheme="minorHAnsi"/>
          <w:b/>
          <w:bCs/>
          <w:sz w:val="24"/>
          <w:szCs w:val="24"/>
        </w:rPr>
        <w:t xml:space="preserve">but the author’s final, peer-reviewed manuscript. </w:t>
      </w:r>
      <w:r w:rsidRPr="001B0D58">
        <w:rPr>
          <w:rFonts w:cstheme="minorHAnsi"/>
          <w:sz w:val="24"/>
          <w:szCs w:val="24"/>
        </w:rPr>
        <w:t>The published version may be accessed by following the link in th</w:t>
      </w:r>
      <w:r w:rsidR="00BA5335" w:rsidRPr="001B0D58">
        <w:rPr>
          <w:rFonts w:cstheme="minorHAnsi"/>
          <w:sz w:val="24"/>
          <w:szCs w:val="24"/>
        </w:rPr>
        <w:t>e</w:t>
      </w:r>
      <w:r w:rsidRPr="001B0D58">
        <w:rPr>
          <w:rFonts w:cstheme="minorHAnsi"/>
          <w:sz w:val="24"/>
          <w:szCs w:val="24"/>
        </w:rPr>
        <w:t xml:space="preserve"> citation below.</w:t>
      </w:r>
    </w:p>
    <w:p w14:paraId="207B0342" w14:textId="77777777" w:rsidR="000A7622" w:rsidRPr="001B0D58" w:rsidRDefault="000A7622" w:rsidP="00D14423">
      <w:pPr>
        <w:jc w:val="center"/>
        <w:rPr>
          <w:rFonts w:cstheme="minorHAnsi"/>
          <w:sz w:val="24"/>
          <w:szCs w:val="24"/>
        </w:rPr>
      </w:pPr>
    </w:p>
    <w:p w14:paraId="2A38AFE1" w14:textId="0A082B19" w:rsidR="000A7622" w:rsidRPr="001B0D58" w:rsidRDefault="00DD1C6F" w:rsidP="00D14423">
      <w:pPr>
        <w:rPr>
          <w:rFonts w:cstheme="minorHAnsi"/>
          <w:sz w:val="24"/>
          <w:szCs w:val="24"/>
        </w:rPr>
      </w:pPr>
      <w:proofErr w:type="spellStart"/>
      <w:r w:rsidRPr="001B0D58">
        <w:rPr>
          <w:rFonts w:cstheme="minorHAnsi"/>
          <w:i/>
          <w:sz w:val="24"/>
          <w:szCs w:val="24"/>
          <w:lang w:val="fr-FR"/>
        </w:rPr>
        <w:t>Linacre</w:t>
      </w:r>
      <w:proofErr w:type="spellEnd"/>
      <w:r w:rsidRPr="001B0D58">
        <w:rPr>
          <w:rFonts w:cstheme="minorHAnsi"/>
          <w:i/>
          <w:sz w:val="24"/>
          <w:szCs w:val="24"/>
          <w:lang w:val="fr-FR"/>
        </w:rPr>
        <w:t xml:space="preserve"> </w:t>
      </w:r>
      <w:proofErr w:type="spellStart"/>
      <w:r w:rsidRPr="001B0D58">
        <w:rPr>
          <w:rFonts w:cstheme="minorHAnsi"/>
          <w:i/>
          <w:sz w:val="24"/>
          <w:szCs w:val="24"/>
          <w:lang w:val="fr-FR"/>
        </w:rPr>
        <w:t>Quarterly</w:t>
      </w:r>
      <w:proofErr w:type="spellEnd"/>
      <w:r w:rsidR="000A7622" w:rsidRPr="001B0D58">
        <w:rPr>
          <w:rFonts w:cstheme="minorHAnsi"/>
          <w:sz w:val="24"/>
          <w:szCs w:val="24"/>
          <w:lang w:val="fr-FR"/>
        </w:rPr>
        <w:t xml:space="preserve">, Vol. </w:t>
      </w:r>
      <w:r w:rsidRPr="001B0D58">
        <w:rPr>
          <w:rFonts w:cstheme="minorHAnsi"/>
          <w:sz w:val="24"/>
          <w:szCs w:val="24"/>
          <w:lang w:val="fr-FR"/>
        </w:rPr>
        <w:t>79</w:t>
      </w:r>
      <w:r w:rsidR="000A7622" w:rsidRPr="001B0D58">
        <w:rPr>
          <w:rFonts w:cstheme="minorHAnsi"/>
          <w:sz w:val="24"/>
          <w:szCs w:val="24"/>
          <w:lang w:val="fr-FR"/>
        </w:rPr>
        <w:t xml:space="preserve">, No. </w:t>
      </w:r>
      <w:r w:rsidRPr="001B0D58">
        <w:rPr>
          <w:rFonts w:cstheme="minorHAnsi"/>
          <w:sz w:val="24"/>
          <w:szCs w:val="24"/>
          <w:lang w:val="fr-FR"/>
        </w:rPr>
        <w:t>4</w:t>
      </w:r>
      <w:r w:rsidR="000A7622" w:rsidRPr="001B0D58">
        <w:rPr>
          <w:rFonts w:cstheme="minorHAnsi"/>
          <w:sz w:val="24"/>
          <w:szCs w:val="24"/>
          <w:lang w:val="fr-FR"/>
        </w:rPr>
        <w:t xml:space="preserve"> (</w:t>
      </w:r>
      <w:proofErr w:type="spellStart"/>
      <w:r w:rsidRPr="001B0D58">
        <w:rPr>
          <w:rFonts w:cstheme="minorHAnsi"/>
          <w:sz w:val="24"/>
          <w:szCs w:val="24"/>
          <w:lang w:val="fr-FR"/>
        </w:rPr>
        <w:t>November</w:t>
      </w:r>
      <w:proofErr w:type="spellEnd"/>
      <w:r w:rsidRPr="001B0D58">
        <w:rPr>
          <w:rFonts w:cstheme="minorHAnsi"/>
          <w:sz w:val="24"/>
          <w:szCs w:val="24"/>
          <w:lang w:val="fr-FR"/>
        </w:rPr>
        <w:t xml:space="preserve"> 1, 2012</w:t>
      </w:r>
      <w:proofErr w:type="gramStart"/>
      <w:r w:rsidR="000A7622" w:rsidRPr="001B0D58">
        <w:rPr>
          <w:rFonts w:cstheme="minorHAnsi"/>
          <w:sz w:val="24"/>
          <w:szCs w:val="24"/>
          <w:lang w:val="fr-FR"/>
        </w:rPr>
        <w:t>):</w:t>
      </w:r>
      <w:proofErr w:type="gramEnd"/>
      <w:r w:rsidR="000A7622" w:rsidRPr="001B0D58">
        <w:rPr>
          <w:rFonts w:cstheme="minorHAnsi"/>
          <w:sz w:val="24"/>
          <w:szCs w:val="24"/>
          <w:lang w:val="fr-FR"/>
        </w:rPr>
        <w:t xml:space="preserve"> </w:t>
      </w:r>
      <w:r w:rsidR="000D5ADE" w:rsidRPr="001B0D58">
        <w:rPr>
          <w:rFonts w:cstheme="minorHAnsi"/>
          <w:sz w:val="24"/>
          <w:szCs w:val="24"/>
          <w:lang w:val="fr-FR"/>
        </w:rPr>
        <w:t>451-459</w:t>
      </w:r>
      <w:r w:rsidR="000A7622" w:rsidRPr="001B0D58">
        <w:rPr>
          <w:rFonts w:cstheme="minorHAnsi"/>
          <w:sz w:val="24"/>
          <w:szCs w:val="24"/>
          <w:lang w:val="fr-FR"/>
        </w:rPr>
        <w:t xml:space="preserve">. </w:t>
      </w:r>
      <w:hyperlink r:id="rId8" w:history="1">
        <w:r w:rsidR="000A7622" w:rsidRPr="001B0D58">
          <w:rPr>
            <w:rFonts w:cstheme="minorHAnsi"/>
            <w:color w:val="0563C1" w:themeColor="hyperlink"/>
            <w:sz w:val="24"/>
            <w:szCs w:val="24"/>
            <w:u w:val="single"/>
            <w:lang w:val="fr-FR"/>
          </w:rPr>
          <w:t>DOI</w:t>
        </w:r>
      </w:hyperlink>
      <w:r w:rsidR="000A7622" w:rsidRPr="001B0D58">
        <w:rPr>
          <w:rFonts w:cstheme="minorHAnsi"/>
          <w:sz w:val="24"/>
          <w:szCs w:val="24"/>
          <w:lang w:val="fr-FR"/>
        </w:rPr>
        <w:t xml:space="preserve">. </w:t>
      </w:r>
      <w:r w:rsidR="000A7622" w:rsidRPr="001B0D58">
        <w:rPr>
          <w:rFonts w:cstheme="minorHAnsi"/>
          <w:sz w:val="24"/>
          <w:szCs w:val="24"/>
        </w:rPr>
        <w:t xml:space="preserve">This article is © </w:t>
      </w:r>
      <w:r w:rsidR="000D5ADE" w:rsidRPr="001B0D58">
        <w:rPr>
          <w:rFonts w:cstheme="minorHAnsi"/>
          <w:sz w:val="24"/>
          <w:szCs w:val="24"/>
        </w:rPr>
        <w:t>Catholic Medical Association</w:t>
      </w:r>
      <w:r w:rsidR="000A7622" w:rsidRPr="001B0D58">
        <w:rPr>
          <w:rFonts w:cstheme="minorHAnsi"/>
          <w:sz w:val="24"/>
          <w:szCs w:val="24"/>
        </w:rPr>
        <w:t xml:space="preserve"> and permission has been granted for this version to appear in </w:t>
      </w:r>
      <w:hyperlink r:id="rId9" w:history="1">
        <w:r w:rsidR="000A7622" w:rsidRPr="001B0D58">
          <w:rPr>
            <w:rFonts w:cstheme="minorHAnsi"/>
            <w:color w:val="0563C1" w:themeColor="hyperlink"/>
            <w:sz w:val="24"/>
            <w:szCs w:val="24"/>
            <w:u w:val="single"/>
          </w:rPr>
          <w:t>e-Publications@Marquette</w:t>
        </w:r>
      </w:hyperlink>
      <w:r w:rsidR="000A7622" w:rsidRPr="001B0D58">
        <w:rPr>
          <w:rFonts w:cstheme="minorHAnsi"/>
          <w:sz w:val="24"/>
          <w:szCs w:val="24"/>
        </w:rPr>
        <w:t xml:space="preserve">. </w:t>
      </w:r>
      <w:r w:rsidR="000D5ADE" w:rsidRPr="001B0D58">
        <w:rPr>
          <w:rFonts w:cstheme="minorHAnsi"/>
          <w:sz w:val="24"/>
          <w:szCs w:val="24"/>
        </w:rPr>
        <w:t>Catholic Medical Association</w:t>
      </w:r>
      <w:r w:rsidR="000A7622" w:rsidRPr="001B0D58">
        <w:rPr>
          <w:rFonts w:cstheme="minorHAnsi"/>
          <w:sz w:val="24"/>
          <w:szCs w:val="24"/>
        </w:rPr>
        <w:t xml:space="preserve"> does not grant permission for this article to be further copied/distributed or hosted elsewhere without the express permission from </w:t>
      </w:r>
      <w:r w:rsidR="00AE2D6A" w:rsidRPr="001B0D58">
        <w:rPr>
          <w:rFonts w:cstheme="minorHAnsi"/>
          <w:sz w:val="24"/>
          <w:szCs w:val="24"/>
        </w:rPr>
        <w:t>Catholic Medical Association</w:t>
      </w:r>
      <w:r w:rsidR="000A7622" w:rsidRPr="001B0D58">
        <w:rPr>
          <w:rFonts w:cstheme="minorHAnsi"/>
          <w:sz w:val="24"/>
          <w:szCs w:val="24"/>
        </w:rPr>
        <w:t xml:space="preserve">. </w:t>
      </w:r>
      <w:bookmarkEnd w:id="1"/>
    </w:p>
    <w:p w14:paraId="111DFB58" w14:textId="77777777" w:rsidR="00A17719" w:rsidRPr="001B0D58" w:rsidRDefault="00A17719" w:rsidP="00D14423">
      <w:pPr>
        <w:rPr>
          <w:rFonts w:cstheme="minorHAnsi"/>
          <w:sz w:val="24"/>
          <w:szCs w:val="24"/>
        </w:rPr>
      </w:pPr>
    </w:p>
    <w:p w14:paraId="3C6320A0" w14:textId="46401BCF" w:rsidR="00536301" w:rsidRPr="001B0D58" w:rsidRDefault="00536301" w:rsidP="00521F0A">
      <w:pPr>
        <w:pStyle w:val="Title"/>
        <w:rPr>
          <w:rFonts w:asciiTheme="minorHAnsi" w:hAnsiTheme="minorHAnsi" w:cstheme="minorHAnsi"/>
        </w:rPr>
      </w:pPr>
      <w:r w:rsidRPr="001B0D58">
        <w:rPr>
          <w:rFonts w:asciiTheme="minorHAnsi" w:hAnsiTheme="minorHAnsi" w:cstheme="minorHAnsi"/>
        </w:rPr>
        <w:t xml:space="preserve">The Influence of BMI Levels on Phases of the Menstrual Cycle and Presumed Ovulation </w:t>
      </w:r>
    </w:p>
    <w:p w14:paraId="2477C0EC" w14:textId="77777777" w:rsidR="00A17719" w:rsidRPr="001B0D58" w:rsidRDefault="00A17719" w:rsidP="00536301">
      <w:pPr>
        <w:rPr>
          <w:rFonts w:cstheme="minorHAnsi"/>
          <w:b/>
          <w:bCs/>
          <w:sz w:val="24"/>
          <w:szCs w:val="24"/>
        </w:rPr>
      </w:pPr>
    </w:p>
    <w:p w14:paraId="75EE9C35" w14:textId="4CD09A73" w:rsidR="00A17719" w:rsidRPr="001B0D58" w:rsidRDefault="00536301" w:rsidP="00521F0A">
      <w:pPr>
        <w:spacing w:after="0"/>
        <w:rPr>
          <w:rFonts w:cstheme="minorHAnsi"/>
          <w:sz w:val="32"/>
          <w:szCs w:val="32"/>
        </w:rPr>
      </w:pPr>
      <w:r w:rsidRPr="001B0D58">
        <w:rPr>
          <w:rFonts w:cstheme="minorHAnsi"/>
          <w:sz w:val="32"/>
          <w:szCs w:val="32"/>
        </w:rPr>
        <w:t xml:space="preserve">Mary Grace </w:t>
      </w:r>
      <w:proofErr w:type="spellStart"/>
      <w:r w:rsidRPr="001B0D58">
        <w:rPr>
          <w:rFonts w:cstheme="minorHAnsi"/>
          <w:sz w:val="32"/>
          <w:szCs w:val="32"/>
        </w:rPr>
        <w:t>Lasquety</w:t>
      </w:r>
      <w:proofErr w:type="spellEnd"/>
    </w:p>
    <w:p w14:paraId="33ADFBB2" w14:textId="2DEE181B" w:rsidR="00A17719" w:rsidRPr="001B0D58" w:rsidRDefault="0007012A" w:rsidP="00521F0A">
      <w:pPr>
        <w:spacing w:after="0"/>
        <w:rPr>
          <w:rFonts w:cstheme="minorHAnsi"/>
          <w:sz w:val="24"/>
          <w:szCs w:val="24"/>
        </w:rPr>
      </w:pPr>
      <w:r w:rsidRPr="001B0D58">
        <w:rPr>
          <w:rFonts w:cstheme="minorHAnsi"/>
          <w:sz w:val="24"/>
          <w:szCs w:val="24"/>
        </w:rPr>
        <w:t>Aurora Family Medicine Residency Program</w:t>
      </w:r>
    </w:p>
    <w:p w14:paraId="172A6B17" w14:textId="77777777" w:rsidR="00A17719" w:rsidRPr="001B0D58" w:rsidRDefault="00536301" w:rsidP="00521F0A">
      <w:pPr>
        <w:spacing w:after="0"/>
        <w:rPr>
          <w:rFonts w:cstheme="minorHAnsi"/>
          <w:sz w:val="32"/>
          <w:szCs w:val="32"/>
        </w:rPr>
      </w:pPr>
      <w:r w:rsidRPr="001B0D58">
        <w:rPr>
          <w:rFonts w:cstheme="minorHAnsi"/>
          <w:sz w:val="32"/>
          <w:szCs w:val="32"/>
        </w:rPr>
        <w:t>Dana Rodriguez</w:t>
      </w:r>
    </w:p>
    <w:p w14:paraId="2D0BA316" w14:textId="2C8DF449" w:rsidR="00A17719" w:rsidRPr="001B0D58" w:rsidRDefault="0007012A" w:rsidP="00521F0A">
      <w:pPr>
        <w:spacing w:after="0"/>
        <w:rPr>
          <w:rFonts w:cstheme="minorHAnsi"/>
          <w:sz w:val="24"/>
          <w:szCs w:val="24"/>
        </w:rPr>
      </w:pPr>
      <w:r w:rsidRPr="001B0D58">
        <w:rPr>
          <w:rFonts w:cstheme="minorHAnsi"/>
          <w:sz w:val="24"/>
          <w:szCs w:val="24"/>
        </w:rPr>
        <w:t>Marquette University</w:t>
      </w:r>
    </w:p>
    <w:p w14:paraId="41E7777C" w14:textId="738FCF71" w:rsidR="00536301" w:rsidRPr="001B0D58" w:rsidRDefault="00536301" w:rsidP="00521F0A">
      <w:pPr>
        <w:spacing w:after="0"/>
        <w:rPr>
          <w:rFonts w:cstheme="minorHAnsi"/>
          <w:sz w:val="32"/>
          <w:szCs w:val="32"/>
        </w:rPr>
      </w:pPr>
      <w:r w:rsidRPr="001B0D58">
        <w:rPr>
          <w:rFonts w:cstheme="minorHAnsi"/>
          <w:sz w:val="32"/>
          <w:szCs w:val="32"/>
        </w:rPr>
        <w:t>Richard J. Fehring</w:t>
      </w:r>
    </w:p>
    <w:p w14:paraId="6C0FD12C" w14:textId="4FC62248" w:rsidR="00A17719" w:rsidRPr="001B0D58" w:rsidRDefault="00521F0A" w:rsidP="00521F0A">
      <w:pPr>
        <w:spacing w:after="0"/>
        <w:rPr>
          <w:rFonts w:cstheme="minorHAnsi"/>
          <w:sz w:val="24"/>
          <w:szCs w:val="24"/>
        </w:rPr>
      </w:pPr>
      <w:r w:rsidRPr="001B0D58">
        <w:rPr>
          <w:rFonts w:cstheme="minorHAnsi"/>
          <w:sz w:val="24"/>
          <w:szCs w:val="24"/>
        </w:rPr>
        <w:t>Marquette University</w:t>
      </w:r>
    </w:p>
    <w:p w14:paraId="49A36BD9" w14:textId="77777777" w:rsidR="00A17719" w:rsidRPr="001B0D58" w:rsidRDefault="00A17719" w:rsidP="00536301">
      <w:pPr>
        <w:rPr>
          <w:rFonts w:cstheme="minorHAnsi"/>
          <w:sz w:val="24"/>
          <w:szCs w:val="24"/>
        </w:rPr>
      </w:pPr>
    </w:p>
    <w:p w14:paraId="5D604B43" w14:textId="77777777" w:rsidR="00536301" w:rsidRPr="001B0D58" w:rsidRDefault="00536301" w:rsidP="00521F0A">
      <w:pPr>
        <w:pStyle w:val="Heading1"/>
        <w:rPr>
          <w:rFonts w:asciiTheme="minorHAnsi" w:hAnsiTheme="minorHAnsi" w:cstheme="minorHAnsi"/>
        </w:rPr>
      </w:pPr>
      <w:bookmarkStart w:id="2" w:name="abstract"/>
      <w:bookmarkEnd w:id="2"/>
      <w:r w:rsidRPr="001B0D58">
        <w:rPr>
          <w:rFonts w:asciiTheme="minorHAnsi" w:hAnsiTheme="minorHAnsi" w:cstheme="minorHAnsi"/>
        </w:rPr>
        <w:t>Abstract</w:t>
      </w:r>
    </w:p>
    <w:p w14:paraId="523426A0" w14:textId="77777777" w:rsidR="00536301" w:rsidRPr="001B0D58" w:rsidRDefault="00536301" w:rsidP="00536301">
      <w:pPr>
        <w:rPr>
          <w:rFonts w:cstheme="minorHAnsi"/>
          <w:sz w:val="24"/>
          <w:szCs w:val="24"/>
        </w:rPr>
      </w:pPr>
      <w:r w:rsidRPr="001B0D58">
        <w:rPr>
          <w:rFonts w:cstheme="minorHAnsi"/>
          <w:sz w:val="24"/>
          <w:szCs w:val="24"/>
        </w:rPr>
        <w:t>Obesity and high body mass index (BMI) are known to be risks for anovulation and infertility. Little is known about how BMI levels affect parameters of the menstrual cycle. The purpose of this study was to determine the influence of BMI on parameters of the menstrual cycle and the likelihood for ovulation. The participants in this study were 244 women between the ages of twenty and fifty-four (mean thirty years) who charted from one to thirty-six menstrual cycles (mean seven cycles) for a total of 2,035 cycles. Urinary luteinizing hormone (LH) threshold tests were used to estimate the day of ovulation and the lengths of the follicular and luteal phases. The 244 participants were classified as normal weight with a BMI of 18.5–24.9 kg/m</w:t>
      </w:r>
      <w:r w:rsidRPr="001B0D58">
        <w:rPr>
          <w:rFonts w:cstheme="minorHAnsi"/>
          <w:sz w:val="24"/>
          <w:szCs w:val="24"/>
          <w:vertAlign w:val="superscript"/>
        </w:rPr>
        <w:t>2</w:t>
      </w:r>
      <w:r w:rsidRPr="001B0D58">
        <w:rPr>
          <w:rFonts w:cstheme="minorHAnsi"/>
          <w:sz w:val="24"/>
          <w:szCs w:val="24"/>
        </w:rPr>
        <w:t xml:space="preserve"> (N = 141), overweight with a BMI of 25–29.9 kg/m</w:t>
      </w:r>
      <w:r w:rsidRPr="001B0D58">
        <w:rPr>
          <w:rFonts w:cstheme="minorHAnsi"/>
          <w:sz w:val="24"/>
          <w:szCs w:val="24"/>
          <w:vertAlign w:val="superscript"/>
        </w:rPr>
        <w:t>2</w:t>
      </w:r>
      <w:r w:rsidRPr="001B0D58">
        <w:rPr>
          <w:rFonts w:cstheme="minorHAnsi"/>
          <w:sz w:val="24"/>
          <w:szCs w:val="24"/>
        </w:rPr>
        <w:t xml:space="preserve"> (N = 67), and obese with a BMI of 30 kg/m</w:t>
      </w:r>
      <w:r w:rsidRPr="001B0D58">
        <w:rPr>
          <w:rFonts w:cstheme="minorHAnsi"/>
          <w:sz w:val="24"/>
          <w:szCs w:val="24"/>
          <w:vertAlign w:val="superscript"/>
        </w:rPr>
        <w:t>2</w:t>
      </w:r>
      <w:r w:rsidRPr="001B0D58">
        <w:rPr>
          <w:rFonts w:cstheme="minorHAnsi"/>
          <w:sz w:val="24"/>
          <w:szCs w:val="24"/>
        </w:rPr>
        <w:t xml:space="preserve"> or greater (N = 36). One-way ANOVA indicated that there was a significant difference between groups in length of the luteal phase (F = 4.62, p &lt; 0.01) and length of menses (F = 3.03, p &lt; 0.05). Odds ratio indicated that the combined obese and overweight group was 34 percent less likely to have a positive detected urinary LH surge. We concluded that obesity might contribute to infertility by shortening the luteal phase and decreasing the probability of ovulatory menstrual cycles.</w:t>
      </w:r>
    </w:p>
    <w:p w14:paraId="35BAB2E6" w14:textId="77777777" w:rsidR="00536301" w:rsidRPr="001B0D58" w:rsidRDefault="00536301" w:rsidP="00521F0A">
      <w:pPr>
        <w:pStyle w:val="Heading1"/>
        <w:rPr>
          <w:rFonts w:asciiTheme="minorHAnsi" w:hAnsiTheme="minorHAnsi" w:cstheme="minorHAnsi"/>
        </w:rPr>
      </w:pPr>
      <w:bookmarkStart w:id="3" w:name="_i1"/>
      <w:bookmarkEnd w:id="3"/>
      <w:r w:rsidRPr="001B0D58">
        <w:rPr>
          <w:rFonts w:asciiTheme="minorHAnsi" w:hAnsiTheme="minorHAnsi" w:cstheme="minorHAnsi"/>
        </w:rPr>
        <w:t>Introduction</w:t>
      </w:r>
    </w:p>
    <w:p w14:paraId="566DF52C" w14:textId="22759CB1" w:rsidR="00536301" w:rsidRPr="001B0D58" w:rsidRDefault="00536301" w:rsidP="00536301">
      <w:pPr>
        <w:rPr>
          <w:rFonts w:cstheme="minorHAnsi"/>
          <w:sz w:val="24"/>
          <w:szCs w:val="24"/>
        </w:rPr>
      </w:pPr>
      <w:r w:rsidRPr="001B0D58">
        <w:rPr>
          <w:rFonts w:cstheme="minorHAnsi"/>
          <w:sz w:val="24"/>
          <w:szCs w:val="24"/>
        </w:rPr>
        <w:t>Obesity is a growing worldwide epidemic. According to the World Health Organization in 2008, over 1.4 billion adults, twenty and older, were overweight. This included 200 million men and almost 300 million women who were considered to be obese with a body mass index (BMI) over 30 kg/m</w:t>
      </w:r>
      <w:r w:rsidRPr="001B0D58">
        <w:rPr>
          <w:rFonts w:cstheme="minorHAnsi"/>
          <w:sz w:val="24"/>
          <w:szCs w:val="24"/>
          <w:vertAlign w:val="superscript"/>
        </w:rPr>
        <w:t>2</w:t>
      </w:r>
      <w:r w:rsidRPr="001B0D58">
        <w:rPr>
          <w:rFonts w:cstheme="minorHAnsi"/>
          <w:sz w:val="24"/>
          <w:szCs w:val="24"/>
        </w:rPr>
        <w:t>.</w:t>
      </w:r>
      <w:r w:rsidRPr="001B0D58">
        <w:rPr>
          <w:rFonts w:cstheme="minorHAnsi"/>
          <w:sz w:val="24"/>
          <w:szCs w:val="24"/>
          <w:vertAlign w:val="superscript"/>
        </w:rPr>
        <w:t>1</w:t>
      </w:r>
      <w:r w:rsidRPr="001B0D58">
        <w:rPr>
          <w:rFonts w:cstheme="minorHAnsi"/>
          <w:sz w:val="24"/>
          <w:szCs w:val="24"/>
        </w:rPr>
        <w:t xml:space="preserve"> Data from the National Health and Nutrition Examination Survey show that from 2009 through 2010, obese men made up 35.5 percent and obese women comprised 35.8 percent of people in the United States </w:t>
      </w:r>
      <w:r w:rsidRPr="001B0D58">
        <w:rPr>
          <w:rFonts w:cstheme="minorHAnsi"/>
          <w:sz w:val="24"/>
          <w:szCs w:val="24"/>
        </w:rPr>
        <w:lastRenderedPageBreak/>
        <w:t>alone.</w:t>
      </w:r>
      <w:r w:rsidRPr="001B0D58">
        <w:rPr>
          <w:rFonts w:cstheme="minorHAnsi"/>
          <w:sz w:val="24"/>
          <w:szCs w:val="24"/>
          <w:vertAlign w:val="superscript"/>
        </w:rPr>
        <w:t>2</w:t>
      </w:r>
      <w:r w:rsidRPr="001B0D58">
        <w:rPr>
          <w:rFonts w:cstheme="minorHAnsi"/>
          <w:sz w:val="24"/>
          <w:szCs w:val="24"/>
        </w:rPr>
        <w:t xml:space="preserve"> The number of chronic diseases related to obesity is extensive with obesity being a risk factor for cardiovascular disease, hypertension, non-insulin dependent diabetes, dyslipidemia, arthritis, and some cancers. In addition to these co-morbidities, obesity has long been thought to affect women's reproductive health. In fact, much research has been performed focusing on the relationship between body weight and fertility in women with many studies showing links between obesity and infertility.</w:t>
      </w:r>
    </w:p>
    <w:p w14:paraId="53638E19" w14:textId="698EE019" w:rsidR="00536301" w:rsidRPr="001B0D58" w:rsidRDefault="00536301" w:rsidP="00536301">
      <w:pPr>
        <w:rPr>
          <w:rFonts w:cstheme="minorHAnsi"/>
          <w:sz w:val="24"/>
          <w:szCs w:val="24"/>
        </w:rPr>
      </w:pPr>
      <w:r w:rsidRPr="001B0D58">
        <w:rPr>
          <w:rFonts w:cstheme="minorHAnsi"/>
          <w:sz w:val="24"/>
          <w:szCs w:val="24"/>
        </w:rPr>
        <w:t>Furthermore, there is some evidence that body weight influences the functioning of the menstrual cycle. Obese women have been found to have irregular menstrual cycles with increased incidences of oligomenorrhea or amenorrhea.</w:t>
      </w:r>
      <w:r w:rsidRPr="001B0D58">
        <w:rPr>
          <w:rFonts w:cstheme="minorHAnsi"/>
          <w:sz w:val="24"/>
          <w:szCs w:val="24"/>
          <w:vertAlign w:val="superscript"/>
        </w:rPr>
        <w:t>3</w:t>
      </w:r>
      <w:r w:rsidRPr="001B0D58">
        <w:rPr>
          <w:rFonts w:cstheme="minorHAnsi"/>
          <w:sz w:val="24"/>
          <w:szCs w:val="24"/>
        </w:rPr>
        <w:t xml:space="preserve"> Irregularities in ovulation have also been demonstrated,</w:t>
      </w:r>
      <w:r w:rsidRPr="001B0D58">
        <w:rPr>
          <w:rFonts w:cstheme="minorHAnsi"/>
          <w:sz w:val="24"/>
          <w:szCs w:val="24"/>
          <w:vertAlign w:val="superscript"/>
        </w:rPr>
        <w:t>4</w:t>
      </w:r>
      <w:r w:rsidRPr="001B0D58">
        <w:rPr>
          <w:rFonts w:cstheme="minorHAnsi"/>
          <w:sz w:val="24"/>
          <w:szCs w:val="24"/>
        </w:rPr>
        <w:t xml:space="preserve"> and obese women have higher rates of miscarriages.</w:t>
      </w:r>
      <w:r w:rsidRPr="001B0D58">
        <w:rPr>
          <w:rFonts w:cstheme="minorHAnsi"/>
          <w:sz w:val="24"/>
          <w:szCs w:val="24"/>
          <w:vertAlign w:val="superscript"/>
        </w:rPr>
        <w:t>5</w:t>
      </w:r>
      <w:r w:rsidRPr="001B0D58">
        <w:rPr>
          <w:rFonts w:cstheme="minorHAnsi"/>
          <w:sz w:val="24"/>
          <w:szCs w:val="24"/>
        </w:rPr>
        <w:t xml:space="preserve"> However, there is very little evidence regarding the influence that BMI has on the characteristics (or phases) of the menstrual cycle. Therefore, the purpose of this study was to evaluate the influence of BMI levels on the phases of the menstrual cycle, i.e., the length of the overall cycle, the length of the follicular and luteal phases, menses, and the likelihood of ovulation. A secondary purpose was to speculate if obesity </w:t>
      </w:r>
      <w:proofErr w:type="gramStart"/>
      <w:r w:rsidRPr="001B0D58">
        <w:rPr>
          <w:rFonts w:cstheme="minorHAnsi"/>
          <w:sz w:val="24"/>
          <w:szCs w:val="24"/>
        </w:rPr>
        <w:t>has an effect on</w:t>
      </w:r>
      <w:proofErr w:type="gramEnd"/>
      <w:r w:rsidRPr="001B0D58">
        <w:rPr>
          <w:rFonts w:cstheme="minorHAnsi"/>
          <w:sz w:val="24"/>
          <w:szCs w:val="24"/>
        </w:rPr>
        <w:t xml:space="preserve"> the ability to achieve pregnancy and whether alterations in luteal function play a role in this effect.</w:t>
      </w:r>
    </w:p>
    <w:p w14:paraId="2D4F2B40" w14:textId="77777777" w:rsidR="00536301" w:rsidRPr="001B0D58" w:rsidRDefault="00536301" w:rsidP="00521F0A">
      <w:pPr>
        <w:pStyle w:val="Heading1"/>
        <w:rPr>
          <w:rFonts w:asciiTheme="minorHAnsi" w:hAnsiTheme="minorHAnsi" w:cstheme="minorHAnsi"/>
        </w:rPr>
      </w:pPr>
      <w:bookmarkStart w:id="4" w:name="_i2"/>
      <w:bookmarkEnd w:id="4"/>
      <w:r w:rsidRPr="001B0D58">
        <w:rPr>
          <w:rFonts w:asciiTheme="minorHAnsi" w:hAnsiTheme="minorHAnsi" w:cstheme="minorHAnsi"/>
        </w:rPr>
        <w:t>Materials and Methods</w:t>
      </w:r>
    </w:p>
    <w:p w14:paraId="513B0BBE" w14:textId="77777777" w:rsidR="00536301" w:rsidRPr="001B0D58" w:rsidRDefault="00536301" w:rsidP="00521F0A">
      <w:pPr>
        <w:pStyle w:val="Heading2"/>
        <w:rPr>
          <w:rFonts w:asciiTheme="minorHAnsi" w:hAnsiTheme="minorHAnsi" w:cstheme="minorHAnsi"/>
        </w:rPr>
      </w:pPr>
      <w:r w:rsidRPr="001B0D58">
        <w:rPr>
          <w:rFonts w:asciiTheme="minorHAnsi" w:hAnsiTheme="minorHAnsi" w:cstheme="minorHAnsi"/>
        </w:rPr>
        <w:t>Study Design</w:t>
      </w:r>
    </w:p>
    <w:p w14:paraId="613E5B87" w14:textId="77777777" w:rsidR="00536301" w:rsidRPr="001B0D58" w:rsidRDefault="00536301" w:rsidP="00536301">
      <w:pPr>
        <w:rPr>
          <w:rFonts w:cstheme="minorHAnsi"/>
          <w:sz w:val="24"/>
          <w:szCs w:val="24"/>
        </w:rPr>
      </w:pPr>
      <w:r w:rsidRPr="001B0D58">
        <w:rPr>
          <w:rFonts w:cstheme="minorHAnsi"/>
          <w:sz w:val="24"/>
          <w:szCs w:val="24"/>
        </w:rPr>
        <w:t xml:space="preserve">This was a retrospective study of 234 women who prospectively self-monitored their menstrual cycles for fertility parameters and who contributed fertility and menstrual data to an online registry throughout metropolitan Milwaukee between 2008 and 2012 for general research purposes. Participants were self-chosen to participate in data collection. Data collected represented 2,035 menstrual cycles with one to thirty-six menstrual cycles per subject (mean 7.2, </w:t>
      </w:r>
      <w:r w:rsidRPr="001B0D58">
        <w:rPr>
          <w:rFonts w:cstheme="minorHAnsi"/>
          <w:i/>
          <w:iCs/>
          <w:sz w:val="24"/>
          <w:szCs w:val="24"/>
        </w:rPr>
        <w:t>SD</w:t>
      </w:r>
      <w:r w:rsidRPr="001B0D58">
        <w:rPr>
          <w:rFonts w:cstheme="minorHAnsi"/>
          <w:sz w:val="24"/>
          <w:szCs w:val="24"/>
        </w:rPr>
        <w:t xml:space="preserve"> = 5.9). The study was approved by the Marquette University Institutional Review Board and participants provided informed consent prior to providing data to the registry. The participants were registered in an online natural family planning website hosted by the Marquette University Institute for Natural Family Planning. Data was made available to the authors through the Marquette University Institute for Natural Family Planning. Data in the registry involved forty-nine variables including age of the participant and spouse, menstrual cycle parameters, height, weight, BMI, and pregnancy history. For this study, age, BMI, gravidity, parity, length of menstrual cycle, length of follicular phase, estimated day of ovulation based on urine luteinizing hormone (LH) threshold self-test, and length of menses were evaluated.</w:t>
      </w:r>
    </w:p>
    <w:p w14:paraId="304A2C46" w14:textId="77777777" w:rsidR="00536301" w:rsidRPr="001B0D58" w:rsidRDefault="00536301" w:rsidP="00521F0A">
      <w:pPr>
        <w:pStyle w:val="Heading2"/>
        <w:rPr>
          <w:rFonts w:asciiTheme="minorHAnsi" w:hAnsiTheme="minorHAnsi" w:cstheme="minorHAnsi"/>
        </w:rPr>
      </w:pPr>
      <w:r w:rsidRPr="001B0D58">
        <w:rPr>
          <w:rFonts w:asciiTheme="minorHAnsi" w:hAnsiTheme="minorHAnsi" w:cstheme="minorHAnsi"/>
        </w:rPr>
        <w:t>Definitions of Dependent (Outcome) Variables</w:t>
      </w:r>
    </w:p>
    <w:p w14:paraId="2891584A" w14:textId="77777777" w:rsidR="00536301" w:rsidRPr="001B0D58" w:rsidRDefault="00536301" w:rsidP="00536301">
      <w:pPr>
        <w:rPr>
          <w:rFonts w:cstheme="minorHAnsi"/>
          <w:sz w:val="24"/>
          <w:szCs w:val="24"/>
        </w:rPr>
      </w:pPr>
      <w:r w:rsidRPr="001B0D58">
        <w:rPr>
          <w:rFonts w:cstheme="minorHAnsi"/>
          <w:i/>
          <w:iCs/>
          <w:sz w:val="24"/>
          <w:szCs w:val="24"/>
        </w:rPr>
        <w:t>Length of menstrual cycle</w:t>
      </w:r>
      <w:r w:rsidRPr="001B0D58">
        <w:rPr>
          <w:rFonts w:cstheme="minorHAnsi"/>
          <w:sz w:val="24"/>
          <w:szCs w:val="24"/>
        </w:rPr>
        <w:t xml:space="preserve"> was counted from the first day of recorded menses up to and including the day before the next menses.</w:t>
      </w:r>
    </w:p>
    <w:p w14:paraId="6AF4E712" w14:textId="77777777" w:rsidR="00536301" w:rsidRPr="001B0D58" w:rsidRDefault="00536301" w:rsidP="00536301">
      <w:pPr>
        <w:rPr>
          <w:rFonts w:cstheme="minorHAnsi"/>
          <w:sz w:val="24"/>
          <w:szCs w:val="24"/>
        </w:rPr>
      </w:pPr>
      <w:r w:rsidRPr="001B0D58">
        <w:rPr>
          <w:rFonts w:cstheme="minorHAnsi"/>
          <w:i/>
          <w:iCs/>
          <w:sz w:val="24"/>
          <w:szCs w:val="24"/>
        </w:rPr>
        <w:t>Length of follicular phase</w:t>
      </w:r>
      <w:r w:rsidRPr="001B0D58">
        <w:rPr>
          <w:rFonts w:cstheme="minorHAnsi"/>
          <w:sz w:val="24"/>
          <w:szCs w:val="24"/>
        </w:rPr>
        <w:t xml:space="preserve"> of the menstrual cycle was counted from the first day of recorded menses up to and including the day after the positive urinary threshold surge.</w:t>
      </w:r>
    </w:p>
    <w:p w14:paraId="505195B9" w14:textId="77777777" w:rsidR="00536301" w:rsidRPr="001B0D58" w:rsidRDefault="00536301" w:rsidP="00536301">
      <w:pPr>
        <w:rPr>
          <w:rFonts w:cstheme="minorHAnsi"/>
          <w:sz w:val="24"/>
          <w:szCs w:val="24"/>
        </w:rPr>
      </w:pPr>
      <w:r w:rsidRPr="001B0D58">
        <w:rPr>
          <w:rFonts w:cstheme="minorHAnsi"/>
          <w:i/>
          <w:iCs/>
          <w:sz w:val="24"/>
          <w:szCs w:val="24"/>
        </w:rPr>
        <w:t>Length of luteal phase</w:t>
      </w:r>
      <w:r w:rsidRPr="001B0D58">
        <w:rPr>
          <w:rFonts w:cstheme="minorHAnsi"/>
          <w:sz w:val="24"/>
          <w:szCs w:val="24"/>
        </w:rPr>
        <w:t xml:space="preserve"> of the menstrual cycle was counted from the day after the positive urinary LH test up to and including the day before the next menses. The menstrual cycles with no LH surge detected were excluded from the analysis of the phases of the menstrual cycle.</w:t>
      </w:r>
    </w:p>
    <w:p w14:paraId="64E9C188" w14:textId="77777777" w:rsidR="00536301" w:rsidRPr="001B0D58" w:rsidRDefault="00536301" w:rsidP="00536301">
      <w:pPr>
        <w:rPr>
          <w:rFonts w:cstheme="minorHAnsi"/>
          <w:sz w:val="24"/>
          <w:szCs w:val="24"/>
        </w:rPr>
      </w:pPr>
      <w:r w:rsidRPr="001B0D58">
        <w:rPr>
          <w:rFonts w:cstheme="minorHAnsi"/>
          <w:i/>
          <w:iCs/>
          <w:sz w:val="24"/>
          <w:szCs w:val="24"/>
        </w:rPr>
        <w:lastRenderedPageBreak/>
        <w:t>Estimated day of ovulation</w:t>
      </w:r>
      <w:r w:rsidRPr="001B0D58">
        <w:rPr>
          <w:rFonts w:cstheme="minorHAnsi"/>
          <w:sz w:val="24"/>
          <w:szCs w:val="24"/>
        </w:rPr>
        <w:t xml:space="preserve"> (</w:t>
      </w:r>
      <w:r w:rsidRPr="001B0D58">
        <w:rPr>
          <w:rFonts w:cstheme="minorHAnsi"/>
          <w:i/>
          <w:iCs/>
          <w:sz w:val="24"/>
          <w:szCs w:val="24"/>
        </w:rPr>
        <w:t>i.e., presumptive ovulation</w:t>
      </w:r>
      <w:r w:rsidRPr="001B0D58">
        <w:rPr>
          <w:rFonts w:cstheme="minorHAnsi"/>
          <w:sz w:val="24"/>
          <w:szCs w:val="24"/>
        </w:rPr>
        <w:t>) was the day after the first positive urinary LH test.</w:t>
      </w:r>
    </w:p>
    <w:p w14:paraId="76B26AC0" w14:textId="77777777" w:rsidR="00536301" w:rsidRPr="001B0D58" w:rsidRDefault="00536301" w:rsidP="00521F0A">
      <w:pPr>
        <w:pStyle w:val="Heading2"/>
        <w:rPr>
          <w:rFonts w:asciiTheme="minorHAnsi" w:hAnsiTheme="minorHAnsi" w:cstheme="minorHAnsi"/>
        </w:rPr>
      </w:pPr>
      <w:r w:rsidRPr="001B0D58">
        <w:rPr>
          <w:rFonts w:asciiTheme="minorHAnsi" w:hAnsiTheme="minorHAnsi" w:cstheme="minorHAnsi"/>
        </w:rPr>
        <w:t>Participants</w:t>
      </w:r>
    </w:p>
    <w:p w14:paraId="35B63A9E" w14:textId="77777777" w:rsidR="00536301" w:rsidRPr="001B0D58" w:rsidRDefault="00536301" w:rsidP="00536301">
      <w:pPr>
        <w:rPr>
          <w:rFonts w:cstheme="minorHAnsi"/>
          <w:sz w:val="24"/>
          <w:szCs w:val="24"/>
        </w:rPr>
      </w:pPr>
      <w:r w:rsidRPr="001B0D58">
        <w:rPr>
          <w:rFonts w:cstheme="minorHAnsi"/>
          <w:sz w:val="24"/>
          <w:szCs w:val="24"/>
        </w:rPr>
        <w:t xml:space="preserve">Women agreed to provide data to the registry for research purposes. Many of the participants had personal interest in monitoring their fertility status for purposes of achieving or avoiding pregnancy. Ages of the participants ranged from 20 to 54 years (mean 30.3, </w:t>
      </w:r>
      <w:r w:rsidRPr="001B0D58">
        <w:rPr>
          <w:rFonts w:cstheme="minorHAnsi"/>
          <w:i/>
          <w:iCs/>
          <w:sz w:val="24"/>
          <w:szCs w:val="24"/>
        </w:rPr>
        <w:t>SD</w:t>
      </w:r>
      <w:r w:rsidRPr="001B0D58">
        <w:rPr>
          <w:rFonts w:cstheme="minorHAnsi"/>
          <w:sz w:val="24"/>
          <w:szCs w:val="24"/>
        </w:rPr>
        <w:t xml:space="preserve"> = 5.9). Participants had varied menstrual, pregnancy, and delivery histories. They had a mean of 2.2 pregnancies (</w:t>
      </w:r>
      <w:r w:rsidRPr="001B0D58">
        <w:rPr>
          <w:rFonts w:cstheme="minorHAnsi"/>
          <w:i/>
          <w:iCs/>
          <w:sz w:val="24"/>
          <w:szCs w:val="24"/>
        </w:rPr>
        <w:t>SD</w:t>
      </w:r>
      <w:r w:rsidRPr="001B0D58">
        <w:rPr>
          <w:rFonts w:cstheme="minorHAnsi"/>
          <w:sz w:val="24"/>
          <w:szCs w:val="24"/>
        </w:rPr>
        <w:t xml:space="preserve"> = 2.2; range 0–9) and a mean of 1.9 living children (</w:t>
      </w:r>
      <w:r w:rsidRPr="001B0D58">
        <w:rPr>
          <w:rFonts w:cstheme="minorHAnsi"/>
          <w:i/>
          <w:iCs/>
          <w:sz w:val="24"/>
          <w:szCs w:val="24"/>
        </w:rPr>
        <w:t>SD</w:t>
      </w:r>
      <w:r w:rsidRPr="001B0D58">
        <w:rPr>
          <w:rFonts w:cstheme="minorHAnsi"/>
          <w:sz w:val="24"/>
          <w:szCs w:val="24"/>
        </w:rPr>
        <w:t xml:space="preserve"> = 1.9; range 0–8). Of the participants, 63 percent had at least one pregnancy, and 60 percent had at least one delivery.</w:t>
      </w:r>
    </w:p>
    <w:p w14:paraId="2AF38469" w14:textId="77777777" w:rsidR="00536301" w:rsidRPr="001B0D58" w:rsidRDefault="00536301" w:rsidP="00521F0A">
      <w:pPr>
        <w:pStyle w:val="Heading2"/>
        <w:rPr>
          <w:rFonts w:asciiTheme="minorHAnsi" w:hAnsiTheme="minorHAnsi" w:cstheme="minorHAnsi"/>
        </w:rPr>
      </w:pPr>
      <w:r w:rsidRPr="001B0D58">
        <w:rPr>
          <w:rFonts w:asciiTheme="minorHAnsi" w:hAnsiTheme="minorHAnsi" w:cstheme="minorHAnsi"/>
        </w:rPr>
        <w:t>Fertility Monitoring</w:t>
      </w:r>
    </w:p>
    <w:p w14:paraId="5B2B6EC9" w14:textId="77777777" w:rsidR="00536301" w:rsidRPr="001B0D58" w:rsidRDefault="00536301" w:rsidP="00536301">
      <w:pPr>
        <w:rPr>
          <w:rFonts w:cstheme="minorHAnsi"/>
          <w:sz w:val="24"/>
          <w:szCs w:val="24"/>
        </w:rPr>
      </w:pPr>
      <w:r w:rsidRPr="001B0D58">
        <w:rPr>
          <w:rFonts w:cstheme="minorHAnsi"/>
          <w:sz w:val="24"/>
          <w:szCs w:val="24"/>
        </w:rPr>
        <w:t>Menstrual and presumptive ovulatory data were self-recorded online daily by subjects using an online menstrual cycle charting system. Presumptive ovulatory data (urinary LH and conjugated estrone [estrone-3-glucuronide]) was obtained by use of the Clear Blue Fertility Monitor manufactured by Swiss Precision Diagnostics. Participants tested their first void concentrated urine in the morning from day six of the menstrual cycle through the next twenty days or until a positive LH surge was detected.</w:t>
      </w:r>
    </w:p>
    <w:p w14:paraId="2C45E92A" w14:textId="77777777" w:rsidR="00536301" w:rsidRPr="001B0D58" w:rsidRDefault="00536301" w:rsidP="00521F0A">
      <w:pPr>
        <w:pStyle w:val="Heading2"/>
        <w:rPr>
          <w:rFonts w:asciiTheme="minorHAnsi" w:hAnsiTheme="minorHAnsi" w:cstheme="minorHAnsi"/>
        </w:rPr>
      </w:pPr>
      <w:r w:rsidRPr="001B0D58">
        <w:rPr>
          <w:rFonts w:asciiTheme="minorHAnsi" w:hAnsiTheme="minorHAnsi" w:cstheme="minorHAnsi"/>
        </w:rPr>
        <w:t>Statistical Analysis</w:t>
      </w:r>
    </w:p>
    <w:p w14:paraId="110EC96D" w14:textId="20EC7D23" w:rsidR="00536301" w:rsidRPr="001B0D58" w:rsidRDefault="00536301" w:rsidP="00536301">
      <w:pPr>
        <w:rPr>
          <w:rFonts w:cstheme="minorHAnsi"/>
          <w:sz w:val="24"/>
          <w:szCs w:val="24"/>
        </w:rPr>
      </w:pPr>
      <w:r w:rsidRPr="001B0D58">
        <w:rPr>
          <w:rFonts w:cstheme="minorHAnsi"/>
          <w:sz w:val="24"/>
          <w:szCs w:val="24"/>
        </w:rPr>
        <w:t>Information from each participant was entered into a data file by a research assistant using the seventeenth version of the Statistical Package for Social Scientists. A one-way analysis of variance (ANOVA) was used to determine if there was a difference in menstrual cycle length, follicular phase length, luteal phase length, and length of menses among the three BMI groups (normal weight = 18.5–24.9 kg/m</w:t>
      </w:r>
      <w:r w:rsidRPr="001B0D58">
        <w:rPr>
          <w:rFonts w:cstheme="minorHAnsi"/>
          <w:sz w:val="24"/>
          <w:szCs w:val="24"/>
          <w:vertAlign w:val="superscript"/>
        </w:rPr>
        <w:t>2</w:t>
      </w:r>
      <w:r w:rsidRPr="001B0D58">
        <w:rPr>
          <w:rFonts w:cstheme="minorHAnsi"/>
          <w:sz w:val="24"/>
          <w:szCs w:val="24"/>
        </w:rPr>
        <w:t>, overweight = 25–29.9 kg/m</w:t>
      </w:r>
      <w:r w:rsidRPr="001B0D58">
        <w:rPr>
          <w:rFonts w:cstheme="minorHAnsi"/>
          <w:sz w:val="24"/>
          <w:szCs w:val="24"/>
          <w:vertAlign w:val="superscript"/>
        </w:rPr>
        <w:t>2</w:t>
      </w:r>
      <w:r w:rsidRPr="001B0D58">
        <w:rPr>
          <w:rFonts w:cstheme="minorHAnsi"/>
          <w:sz w:val="24"/>
          <w:szCs w:val="24"/>
        </w:rPr>
        <w:t>, obese = BMI of 30 kg/m</w:t>
      </w:r>
      <w:r w:rsidRPr="001B0D58">
        <w:rPr>
          <w:rFonts w:cstheme="minorHAnsi"/>
          <w:sz w:val="24"/>
          <w:szCs w:val="24"/>
          <w:vertAlign w:val="superscript"/>
        </w:rPr>
        <w:t>2</w:t>
      </w:r>
      <w:r w:rsidRPr="001B0D58">
        <w:rPr>
          <w:rFonts w:cstheme="minorHAnsi"/>
          <w:sz w:val="24"/>
          <w:szCs w:val="24"/>
        </w:rPr>
        <w:t xml:space="preserve"> or greater). A post-hoc Tukey test was used to evaluate the differences in menstrual cycle phases between the BMI groups. Pearson's </w:t>
      </w:r>
      <w:r w:rsidRPr="001B0D58">
        <w:rPr>
          <w:rFonts w:cstheme="minorHAnsi"/>
          <w:i/>
          <w:iCs/>
          <w:sz w:val="24"/>
          <w:szCs w:val="24"/>
        </w:rPr>
        <w:t>Chi</w:t>
      </w:r>
      <w:r w:rsidRPr="001B0D58">
        <w:rPr>
          <w:rFonts w:cstheme="minorHAnsi"/>
          <w:sz w:val="24"/>
          <w:szCs w:val="24"/>
        </w:rPr>
        <w:t xml:space="preserve">-square test and odds ratios were used to determine the likelihood of ovulatory menstrual cycles between BMI groups with a statistical probability of </w:t>
      </w:r>
      <w:r w:rsidRPr="001B0D58">
        <w:rPr>
          <w:rFonts w:cstheme="minorHAnsi"/>
          <w:i/>
          <w:iCs/>
          <w:sz w:val="24"/>
          <w:szCs w:val="24"/>
        </w:rPr>
        <w:t>p</w:t>
      </w:r>
      <w:r w:rsidRPr="001B0D58">
        <w:rPr>
          <w:rFonts w:cstheme="minorHAnsi"/>
          <w:sz w:val="24"/>
          <w:szCs w:val="24"/>
        </w:rPr>
        <w:t xml:space="preserve"> &lt; 0.05.</w:t>
      </w:r>
    </w:p>
    <w:p w14:paraId="7F5213EA" w14:textId="77777777" w:rsidR="00536301" w:rsidRPr="001B0D58" w:rsidRDefault="00536301" w:rsidP="00521F0A">
      <w:pPr>
        <w:pStyle w:val="Heading1"/>
        <w:rPr>
          <w:rFonts w:asciiTheme="minorHAnsi" w:hAnsiTheme="minorHAnsi" w:cstheme="minorHAnsi"/>
        </w:rPr>
      </w:pPr>
      <w:bookmarkStart w:id="5" w:name="_i8"/>
      <w:bookmarkEnd w:id="5"/>
      <w:r w:rsidRPr="001B0D58">
        <w:rPr>
          <w:rFonts w:asciiTheme="minorHAnsi" w:hAnsiTheme="minorHAnsi" w:cstheme="minorHAnsi"/>
        </w:rPr>
        <w:t>Results</w:t>
      </w:r>
    </w:p>
    <w:p w14:paraId="0AD2F67E" w14:textId="77777777" w:rsidR="00536301" w:rsidRPr="001B0D58" w:rsidRDefault="00536301" w:rsidP="00521F0A">
      <w:pPr>
        <w:pStyle w:val="Heading2"/>
        <w:rPr>
          <w:rFonts w:asciiTheme="minorHAnsi" w:hAnsiTheme="minorHAnsi" w:cstheme="minorHAnsi"/>
        </w:rPr>
      </w:pPr>
      <w:r w:rsidRPr="001B0D58">
        <w:rPr>
          <w:rFonts w:asciiTheme="minorHAnsi" w:hAnsiTheme="minorHAnsi" w:cstheme="minorHAnsi"/>
        </w:rPr>
        <w:t>Description of Participants by BMI Group</w:t>
      </w:r>
    </w:p>
    <w:p w14:paraId="5A46E443" w14:textId="3DE1F622" w:rsidR="00536301" w:rsidRPr="001B0D58" w:rsidRDefault="00536301" w:rsidP="00536301">
      <w:pPr>
        <w:rPr>
          <w:rFonts w:cstheme="minorHAnsi"/>
          <w:sz w:val="24"/>
          <w:szCs w:val="24"/>
        </w:rPr>
      </w:pPr>
      <w:r w:rsidRPr="001B0D58">
        <w:rPr>
          <w:rFonts w:cstheme="minorHAnsi"/>
          <w:sz w:val="24"/>
          <w:szCs w:val="24"/>
        </w:rPr>
        <w:t>Table 1 shows the age, parity, and gravidity status of the 244 participants by BMI level. Of note is that 42 percent (103/244) of the participants had BMI levels in the overweight or obese categories. There was a significant difference in the number of pregnancies among the three levels of BMI (</w:t>
      </w:r>
      <w:r w:rsidRPr="001B0D58">
        <w:rPr>
          <w:rFonts w:cstheme="minorHAnsi"/>
          <w:i/>
          <w:iCs/>
          <w:sz w:val="24"/>
          <w:szCs w:val="24"/>
        </w:rPr>
        <w:t>F</w:t>
      </w:r>
      <w:r w:rsidRPr="001B0D58">
        <w:rPr>
          <w:rFonts w:cstheme="minorHAnsi"/>
          <w:sz w:val="24"/>
          <w:szCs w:val="24"/>
        </w:rPr>
        <w:t xml:space="preserve"> = 2.23, </w:t>
      </w:r>
      <w:r w:rsidRPr="001B0D58">
        <w:rPr>
          <w:rFonts w:cstheme="minorHAnsi"/>
          <w:i/>
          <w:iCs/>
          <w:sz w:val="24"/>
          <w:szCs w:val="24"/>
        </w:rPr>
        <w:t>p &lt;</w:t>
      </w:r>
      <w:r w:rsidRPr="001B0D58">
        <w:rPr>
          <w:rFonts w:cstheme="minorHAnsi"/>
          <w:sz w:val="24"/>
          <w:szCs w:val="24"/>
        </w:rPr>
        <w:t xml:space="preserve"> 0.03) with significantly more living children in the overweight and obese participants (</w:t>
      </w:r>
      <w:r w:rsidRPr="001B0D58">
        <w:rPr>
          <w:rFonts w:cstheme="minorHAnsi"/>
          <w:i/>
          <w:iCs/>
          <w:sz w:val="24"/>
          <w:szCs w:val="24"/>
        </w:rPr>
        <w:t>F</w:t>
      </w:r>
      <w:r w:rsidRPr="001B0D58">
        <w:rPr>
          <w:rFonts w:cstheme="minorHAnsi"/>
          <w:sz w:val="24"/>
          <w:szCs w:val="24"/>
        </w:rPr>
        <w:t xml:space="preserve"> = 4.23, </w:t>
      </w:r>
      <w:r w:rsidRPr="001B0D58">
        <w:rPr>
          <w:rFonts w:cstheme="minorHAnsi"/>
          <w:i/>
          <w:iCs/>
          <w:sz w:val="24"/>
          <w:szCs w:val="24"/>
        </w:rPr>
        <w:t>p &lt;</w:t>
      </w:r>
      <w:r w:rsidRPr="001B0D58">
        <w:rPr>
          <w:rFonts w:cstheme="minorHAnsi"/>
          <w:sz w:val="24"/>
          <w:szCs w:val="24"/>
        </w:rPr>
        <w:t xml:space="preserve"> 0.02; post-hoc comparison </w:t>
      </w:r>
      <w:r w:rsidRPr="001B0D58">
        <w:rPr>
          <w:rFonts w:cstheme="minorHAnsi"/>
          <w:i/>
          <w:iCs/>
          <w:sz w:val="24"/>
          <w:szCs w:val="24"/>
        </w:rPr>
        <w:t>p &lt;</w:t>
      </w:r>
      <w:r w:rsidRPr="001B0D58">
        <w:rPr>
          <w:rFonts w:cstheme="minorHAnsi"/>
          <w:sz w:val="24"/>
          <w:szCs w:val="24"/>
        </w:rPr>
        <w:t xml:space="preserve"> 0.05).</w:t>
      </w:r>
    </w:p>
    <w:p w14:paraId="5DBAFACE" w14:textId="48E0D412" w:rsidR="00536301" w:rsidRPr="001B0D58" w:rsidRDefault="00536301" w:rsidP="00536301">
      <w:pPr>
        <w:rPr>
          <w:rFonts w:cstheme="minorHAnsi"/>
          <w:sz w:val="24"/>
          <w:szCs w:val="24"/>
        </w:rPr>
      </w:pPr>
      <w:r w:rsidRPr="001B0D58">
        <w:rPr>
          <w:rFonts w:cstheme="minorHAnsi"/>
          <w:sz w:val="24"/>
          <w:szCs w:val="24"/>
        </w:rPr>
        <w:t>Table 1 Age, gravidity, parity, and menstrual cycle parameters by BMI Category</w:t>
      </w:r>
    </w:p>
    <w:p w14:paraId="63B252A8" w14:textId="77777777" w:rsidR="00D9455E" w:rsidRPr="00D9455E" w:rsidRDefault="00D9455E" w:rsidP="00D9455E">
      <w:pPr>
        <w:kinsoku w:val="0"/>
        <w:overflowPunct w:val="0"/>
        <w:autoSpaceDE w:val="0"/>
        <w:autoSpaceDN w:val="0"/>
        <w:adjustRightInd w:val="0"/>
        <w:spacing w:before="2" w:after="0" w:line="240" w:lineRule="auto"/>
        <w:rPr>
          <w:rFonts w:cstheme="minorHAnsi"/>
          <w:sz w:val="8"/>
          <w:szCs w:val="8"/>
        </w:rPr>
      </w:pPr>
    </w:p>
    <w:tbl>
      <w:tblPr>
        <w:tblStyle w:val="TableGrid"/>
        <w:tblW w:w="0" w:type="auto"/>
        <w:tblLook w:val="0020" w:firstRow="1" w:lastRow="0" w:firstColumn="0" w:lastColumn="0" w:noHBand="0" w:noVBand="0"/>
      </w:tblPr>
      <w:tblGrid>
        <w:gridCol w:w="2717"/>
        <w:gridCol w:w="2137"/>
        <w:gridCol w:w="1992"/>
        <w:gridCol w:w="1513"/>
      </w:tblGrid>
      <w:tr w:rsidR="00D9455E" w:rsidRPr="001B0D58" w14:paraId="6FEF9FCA" w14:textId="77777777" w:rsidTr="00C04520">
        <w:trPr>
          <w:trHeight w:val="853"/>
        </w:trPr>
        <w:tc>
          <w:tcPr>
            <w:tcW w:w="0" w:type="auto"/>
          </w:tcPr>
          <w:p w14:paraId="4B19D5D1" w14:textId="77777777" w:rsidR="00D9455E" w:rsidRPr="001B0D58" w:rsidRDefault="00D9455E" w:rsidP="00954671">
            <w:pPr>
              <w:pStyle w:val="NoSpacing"/>
              <w:rPr>
                <w:rFonts w:cstheme="minorHAnsi"/>
              </w:rPr>
            </w:pPr>
          </w:p>
        </w:tc>
        <w:tc>
          <w:tcPr>
            <w:tcW w:w="0" w:type="auto"/>
          </w:tcPr>
          <w:p w14:paraId="392C8426" w14:textId="77777777" w:rsidR="00D9455E" w:rsidRPr="001B0D58" w:rsidRDefault="00D9455E" w:rsidP="00954671">
            <w:pPr>
              <w:pStyle w:val="NoSpacing"/>
              <w:rPr>
                <w:rFonts w:cstheme="minorHAnsi"/>
                <w:color w:val="191919"/>
              </w:rPr>
            </w:pPr>
            <w:r w:rsidRPr="001B0D58">
              <w:rPr>
                <w:rFonts w:cstheme="minorHAnsi"/>
                <w:color w:val="191919"/>
              </w:rPr>
              <w:t xml:space="preserve">Normal </w:t>
            </w:r>
            <w:r w:rsidRPr="001B0D58">
              <w:rPr>
                <w:rFonts w:cstheme="minorHAnsi"/>
                <w:color w:val="191919"/>
                <w:spacing w:val="-4"/>
              </w:rPr>
              <w:t xml:space="preserve">BMI </w:t>
            </w:r>
            <w:r w:rsidRPr="001B0D58">
              <w:rPr>
                <w:rFonts w:cstheme="minorHAnsi"/>
                <w:color w:val="191919"/>
              </w:rPr>
              <w:t>(</w:t>
            </w:r>
            <w:r w:rsidRPr="001B0D58">
              <w:rPr>
                <w:rFonts w:cstheme="minorHAnsi"/>
                <w:i/>
                <w:iCs/>
                <w:color w:val="191919"/>
              </w:rPr>
              <w:t xml:space="preserve">N </w:t>
            </w:r>
            <w:r w:rsidRPr="001B0D58">
              <w:rPr>
                <w:rFonts w:cstheme="minorHAnsi"/>
                <w:color w:val="191919"/>
              </w:rPr>
              <w:t>=</w:t>
            </w:r>
            <w:r w:rsidRPr="001B0D58">
              <w:rPr>
                <w:rFonts w:cstheme="minorHAnsi"/>
                <w:color w:val="191919"/>
                <w:spacing w:val="-11"/>
              </w:rPr>
              <w:t xml:space="preserve"> </w:t>
            </w:r>
            <w:r w:rsidRPr="001B0D58">
              <w:rPr>
                <w:rFonts w:cstheme="minorHAnsi"/>
                <w:color w:val="191919"/>
              </w:rPr>
              <w:t>141)</w:t>
            </w:r>
          </w:p>
          <w:p w14:paraId="7BD67BBE" w14:textId="77777777" w:rsidR="00D9455E" w:rsidRPr="001B0D58" w:rsidRDefault="00D9455E" w:rsidP="00954671">
            <w:pPr>
              <w:pStyle w:val="NoSpacing"/>
              <w:rPr>
                <w:rFonts w:cstheme="minorHAnsi"/>
                <w:color w:val="191919"/>
              </w:rPr>
            </w:pPr>
            <w:r w:rsidRPr="001B0D58">
              <w:rPr>
                <w:rFonts w:cstheme="minorHAnsi"/>
                <w:color w:val="191919"/>
              </w:rPr>
              <w:t>Mean/SD</w:t>
            </w:r>
          </w:p>
        </w:tc>
        <w:tc>
          <w:tcPr>
            <w:tcW w:w="0" w:type="auto"/>
          </w:tcPr>
          <w:p w14:paraId="6E563556" w14:textId="77777777" w:rsidR="00D9455E" w:rsidRPr="001B0D58" w:rsidRDefault="00D9455E" w:rsidP="00954671">
            <w:pPr>
              <w:pStyle w:val="NoSpacing"/>
              <w:rPr>
                <w:rFonts w:cstheme="minorHAnsi"/>
                <w:color w:val="191919"/>
              </w:rPr>
            </w:pPr>
            <w:r w:rsidRPr="001B0D58">
              <w:rPr>
                <w:rFonts w:cstheme="minorHAnsi"/>
                <w:color w:val="191919"/>
                <w:spacing w:val="-1"/>
              </w:rPr>
              <w:t xml:space="preserve">Overweight </w:t>
            </w:r>
            <w:r w:rsidRPr="001B0D58">
              <w:rPr>
                <w:rFonts w:cstheme="minorHAnsi"/>
                <w:color w:val="191919"/>
              </w:rPr>
              <w:t>(</w:t>
            </w:r>
            <w:r w:rsidRPr="001B0D58">
              <w:rPr>
                <w:rFonts w:cstheme="minorHAnsi"/>
                <w:i/>
                <w:iCs/>
                <w:color w:val="191919"/>
              </w:rPr>
              <w:t xml:space="preserve">N </w:t>
            </w:r>
            <w:r w:rsidRPr="001B0D58">
              <w:rPr>
                <w:rFonts w:cstheme="minorHAnsi"/>
                <w:color w:val="191919"/>
              </w:rPr>
              <w:t>=</w:t>
            </w:r>
            <w:r w:rsidRPr="001B0D58">
              <w:rPr>
                <w:rFonts w:cstheme="minorHAnsi"/>
                <w:color w:val="191919"/>
                <w:spacing w:val="-12"/>
              </w:rPr>
              <w:t xml:space="preserve"> </w:t>
            </w:r>
            <w:r w:rsidRPr="001B0D58">
              <w:rPr>
                <w:rFonts w:cstheme="minorHAnsi"/>
                <w:color w:val="191919"/>
              </w:rPr>
              <w:t>67)</w:t>
            </w:r>
          </w:p>
          <w:p w14:paraId="7C491442" w14:textId="77777777" w:rsidR="00D9455E" w:rsidRPr="001B0D58" w:rsidRDefault="00D9455E" w:rsidP="00954671">
            <w:pPr>
              <w:pStyle w:val="NoSpacing"/>
              <w:rPr>
                <w:rFonts w:cstheme="minorHAnsi"/>
                <w:color w:val="191919"/>
              </w:rPr>
            </w:pPr>
            <w:r w:rsidRPr="001B0D58">
              <w:rPr>
                <w:rFonts w:cstheme="minorHAnsi"/>
                <w:color w:val="191919"/>
              </w:rPr>
              <w:t>Mean/SD</w:t>
            </w:r>
          </w:p>
        </w:tc>
        <w:tc>
          <w:tcPr>
            <w:tcW w:w="0" w:type="auto"/>
          </w:tcPr>
          <w:p w14:paraId="1A9B1719" w14:textId="77777777" w:rsidR="00D9455E" w:rsidRPr="001B0D58" w:rsidRDefault="00D9455E" w:rsidP="00954671">
            <w:pPr>
              <w:pStyle w:val="NoSpacing"/>
              <w:rPr>
                <w:rFonts w:cstheme="minorHAnsi"/>
                <w:color w:val="191919"/>
                <w:spacing w:val="-5"/>
              </w:rPr>
            </w:pPr>
            <w:r w:rsidRPr="001B0D58">
              <w:rPr>
                <w:rFonts w:cstheme="minorHAnsi"/>
                <w:color w:val="191919"/>
              </w:rPr>
              <w:t>Obese (</w:t>
            </w:r>
            <w:r w:rsidRPr="001B0D58">
              <w:rPr>
                <w:rFonts w:cstheme="minorHAnsi"/>
                <w:i/>
                <w:iCs/>
                <w:color w:val="191919"/>
              </w:rPr>
              <w:t xml:space="preserve">N </w:t>
            </w:r>
            <w:r w:rsidRPr="001B0D58">
              <w:rPr>
                <w:rFonts w:cstheme="minorHAnsi"/>
                <w:color w:val="191919"/>
              </w:rPr>
              <w:t>=</w:t>
            </w:r>
            <w:r w:rsidRPr="001B0D58">
              <w:rPr>
                <w:rFonts w:cstheme="minorHAnsi"/>
                <w:color w:val="191919"/>
                <w:spacing w:val="-12"/>
              </w:rPr>
              <w:t xml:space="preserve"> </w:t>
            </w:r>
            <w:r w:rsidRPr="001B0D58">
              <w:rPr>
                <w:rFonts w:cstheme="minorHAnsi"/>
                <w:color w:val="191919"/>
                <w:spacing w:val="-5"/>
              </w:rPr>
              <w:t>36)</w:t>
            </w:r>
          </w:p>
          <w:p w14:paraId="4AD1DBF2" w14:textId="77777777" w:rsidR="00D9455E" w:rsidRPr="001B0D58" w:rsidRDefault="00D9455E" w:rsidP="00954671">
            <w:pPr>
              <w:pStyle w:val="NoSpacing"/>
              <w:rPr>
                <w:rFonts w:cstheme="minorHAnsi"/>
                <w:color w:val="191919"/>
              </w:rPr>
            </w:pPr>
            <w:r w:rsidRPr="001B0D58">
              <w:rPr>
                <w:rFonts w:cstheme="minorHAnsi"/>
                <w:color w:val="191919"/>
              </w:rPr>
              <w:t>Mean/SD</w:t>
            </w:r>
          </w:p>
        </w:tc>
      </w:tr>
      <w:tr w:rsidR="00D9455E" w:rsidRPr="001B0D58" w14:paraId="037BB926" w14:textId="77777777" w:rsidTr="00C04520">
        <w:trPr>
          <w:trHeight w:val="233"/>
        </w:trPr>
        <w:tc>
          <w:tcPr>
            <w:tcW w:w="0" w:type="auto"/>
          </w:tcPr>
          <w:p w14:paraId="56D1F028" w14:textId="77777777" w:rsidR="00D9455E" w:rsidRPr="001B0D58" w:rsidRDefault="00D9455E" w:rsidP="00954671">
            <w:pPr>
              <w:pStyle w:val="NoSpacing"/>
              <w:rPr>
                <w:rFonts w:cstheme="minorHAnsi"/>
                <w:color w:val="191919"/>
              </w:rPr>
            </w:pPr>
            <w:r w:rsidRPr="001B0D58">
              <w:rPr>
                <w:rFonts w:cstheme="minorHAnsi"/>
                <w:color w:val="191919"/>
              </w:rPr>
              <w:t>Age</w:t>
            </w:r>
          </w:p>
        </w:tc>
        <w:tc>
          <w:tcPr>
            <w:tcW w:w="0" w:type="auto"/>
          </w:tcPr>
          <w:p w14:paraId="4EF71E66" w14:textId="77777777" w:rsidR="00D9455E" w:rsidRPr="001B0D58" w:rsidRDefault="00D9455E" w:rsidP="00954671">
            <w:pPr>
              <w:pStyle w:val="NoSpacing"/>
              <w:rPr>
                <w:rFonts w:cstheme="minorHAnsi"/>
                <w:color w:val="191919"/>
              </w:rPr>
            </w:pPr>
            <w:r w:rsidRPr="001B0D58">
              <w:rPr>
                <w:rFonts w:cstheme="minorHAnsi"/>
                <w:color w:val="191919"/>
              </w:rPr>
              <w:t>29.7/6.2</w:t>
            </w:r>
          </w:p>
        </w:tc>
        <w:tc>
          <w:tcPr>
            <w:tcW w:w="0" w:type="auto"/>
          </w:tcPr>
          <w:p w14:paraId="79561029" w14:textId="77777777" w:rsidR="00D9455E" w:rsidRPr="001B0D58" w:rsidRDefault="00D9455E" w:rsidP="00954671">
            <w:pPr>
              <w:pStyle w:val="NoSpacing"/>
              <w:rPr>
                <w:rFonts w:cstheme="minorHAnsi"/>
                <w:color w:val="191919"/>
              </w:rPr>
            </w:pPr>
            <w:r w:rsidRPr="001B0D58">
              <w:rPr>
                <w:rFonts w:cstheme="minorHAnsi"/>
                <w:color w:val="191919"/>
              </w:rPr>
              <w:t>31.4/5.5</w:t>
            </w:r>
          </w:p>
        </w:tc>
        <w:tc>
          <w:tcPr>
            <w:tcW w:w="0" w:type="auto"/>
          </w:tcPr>
          <w:p w14:paraId="75B6DE51" w14:textId="77777777" w:rsidR="00D9455E" w:rsidRPr="001B0D58" w:rsidRDefault="00D9455E" w:rsidP="00954671">
            <w:pPr>
              <w:pStyle w:val="NoSpacing"/>
              <w:rPr>
                <w:rFonts w:cstheme="minorHAnsi"/>
                <w:color w:val="191919"/>
              </w:rPr>
            </w:pPr>
            <w:r w:rsidRPr="001B0D58">
              <w:rPr>
                <w:rFonts w:cstheme="minorHAnsi"/>
                <w:color w:val="191919"/>
              </w:rPr>
              <w:t>30.8/5.2</w:t>
            </w:r>
          </w:p>
        </w:tc>
      </w:tr>
      <w:tr w:rsidR="00D9455E" w:rsidRPr="001B0D58" w14:paraId="3A353302" w14:textId="77777777" w:rsidTr="00C04520">
        <w:trPr>
          <w:trHeight w:val="220"/>
        </w:trPr>
        <w:tc>
          <w:tcPr>
            <w:tcW w:w="0" w:type="auto"/>
          </w:tcPr>
          <w:p w14:paraId="3C7A93B0" w14:textId="77777777" w:rsidR="00D9455E" w:rsidRPr="001B0D58" w:rsidRDefault="00D9455E" w:rsidP="00954671">
            <w:pPr>
              <w:pStyle w:val="NoSpacing"/>
              <w:rPr>
                <w:rFonts w:cstheme="minorHAnsi"/>
                <w:color w:val="191919"/>
              </w:rPr>
            </w:pPr>
            <w:r w:rsidRPr="001B0D58">
              <w:rPr>
                <w:rFonts w:cstheme="minorHAnsi"/>
                <w:color w:val="191919"/>
              </w:rPr>
              <w:t>Pregnancies</w:t>
            </w:r>
          </w:p>
        </w:tc>
        <w:tc>
          <w:tcPr>
            <w:tcW w:w="0" w:type="auto"/>
          </w:tcPr>
          <w:p w14:paraId="45809935" w14:textId="77777777" w:rsidR="00D9455E" w:rsidRPr="001B0D58" w:rsidRDefault="00D9455E" w:rsidP="00954671">
            <w:pPr>
              <w:pStyle w:val="NoSpacing"/>
              <w:rPr>
                <w:rFonts w:cstheme="minorHAnsi"/>
                <w:color w:val="191919"/>
              </w:rPr>
            </w:pPr>
            <w:r w:rsidRPr="001B0D58">
              <w:rPr>
                <w:rFonts w:cstheme="minorHAnsi"/>
                <w:color w:val="191919"/>
              </w:rPr>
              <w:t>1.9/2.2</w:t>
            </w:r>
          </w:p>
        </w:tc>
        <w:tc>
          <w:tcPr>
            <w:tcW w:w="0" w:type="auto"/>
          </w:tcPr>
          <w:p w14:paraId="71827106" w14:textId="77777777" w:rsidR="00D9455E" w:rsidRPr="001B0D58" w:rsidRDefault="00D9455E" w:rsidP="00954671">
            <w:pPr>
              <w:pStyle w:val="NoSpacing"/>
              <w:rPr>
                <w:rFonts w:cstheme="minorHAnsi"/>
                <w:color w:val="191919"/>
              </w:rPr>
            </w:pPr>
            <w:r w:rsidRPr="001B0D58">
              <w:rPr>
                <w:rFonts w:cstheme="minorHAnsi"/>
                <w:color w:val="191919"/>
              </w:rPr>
              <w:t>2.6/2.3</w:t>
            </w:r>
          </w:p>
        </w:tc>
        <w:tc>
          <w:tcPr>
            <w:tcW w:w="0" w:type="auto"/>
          </w:tcPr>
          <w:p w14:paraId="3436ED2A" w14:textId="77777777" w:rsidR="00D9455E" w:rsidRPr="001B0D58" w:rsidRDefault="00D9455E" w:rsidP="00954671">
            <w:pPr>
              <w:pStyle w:val="NoSpacing"/>
              <w:rPr>
                <w:rFonts w:cstheme="minorHAnsi"/>
                <w:color w:val="191919"/>
              </w:rPr>
            </w:pPr>
            <w:r w:rsidRPr="001B0D58">
              <w:rPr>
                <w:rFonts w:cstheme="minorHAnsi"/>
                <w:color w:val="191919"/>
              </w:rPr>
              <w:t>2.8/2.3</w:t>
            </w:r>
          </w:p>
        </w:tc>
      </w:tr>
      <w:tr w:rsidR="00D9455E" w:rsidRPr="001B0D58" w14:paraId="0D202000" w14:textId="77777777" w:rsidTr="00C04520">
        <w:trPr>
          <w:trHeight w:val="220"/>
        </w:trPr>
        <w:tc>
          <w:tcPr>
            <w:tcW w:w="0" w:type="auto"/>
          </w:tcPr>
          <w:p w14:paraId="25F2A9E5" w14:textId="77777777" w:rsidR="00D9455E" w:rsidRPr="001B0D58" w:rsidRDefault="00D9455E" w:rsidP="00954671">
            <w:pPr>
              <w:pStyle w:val="NoSpacing"/>
              <w:rPr>
                <w:rFonts w:cstheme="minorHAnsi"/>
                <w:color w:val="191919"/>
              </w:rPr>
            </w:pPr>
            <w:r w:rsidRPr="001B0D58">
              <w:rPr>
                <w:rFonts w:cstheme="minorHAnsi"/>
                <w:color w:val="191919"/>
              </w:rPr>
              <w:t>Living children</w:t>
            </w:r>
          </w:p>
        </w:tc>
        <w:tc>
          <w:tcPr>
            <w:tcW w:w="0" w:type="auto"/>
          </w:tcPr>
          <w:p w14:paraId="696C8BAF" w14:textId="77777777" w:rsidR="00D9455E" w:rsidRPr="001B0D58" w:rsidRDefault="00D9455E" w:rsidP="00954671">
            <w:pPr>
              <w:pStyle w:val="NoSpacing"/>
              <w:rPr>
                <w:rFonts w:cstheme="minorHAnsi"/>
                <w:color w:val="191919"/>
              </w:rPr>
            </w:pPr>
            <w:r w:rsidRPr="001B0D58">
              <w:rPr>
                <w:rFonts w:cstheme="minorHAnsi"/>
                <w:color w:val="191919"/>
              </w:rPr>
              <w:t>1.6/1.8</w:t>
            </w:r>
          </w:p>
        </w:tc>
        <w:tc>
          <w:tcPr>
            <w:tcW w:w="0" w:type="auto"/>
          </w:tcPr>
          <w:p w14:paraId="04379C15" w14:textId="77777777" w:rsidR="00D9455E" w:rsidRPr="001B0D58" w:rsidRDefault="00D9455E" w:rsidP="00954671">
            <w:pPr>
              <w:pStyle w:val="NoSpacing"/>
              <w:rPr>
                <w:rFonts w:cstheme="minorHAnsi"/>
                <w:color w:val="191919"/>
              </w:rPr>
            </w:pPr>
            <w:r w:rsidRPr="001B0D58">
              <w:rPr>
                <w:rFonts w:cstheme="minorHAnsi"/>
                <w:color w:val="191919"/>
              </w:rPr>
              <w:t>2.3/2.1</w:t>
            </w:r>
          </w:p>
        </w:tc>
        <w:tc>
          <w:tcPr>
            <w:tcW w:w="0" w:type="auto"/>
          </w:tcPr>
          <w:p w14:paraId="646B8D7F" w14:textId="77777777" w:rsidR="00D9455E" w:rsidRPr="001B0D58" w:rsidRDefault="00D9455E" w:rsidP="00954671">
            <w:pPr>
              <w:pStyle w:val="NoSpacing"/>
              <w:rPr>
                <w:rFonts w:cstheme="minorHAnsi"/>
                <w:color w:val="191919"/>
              </w:rPr>
            </w:pPr>
            <w:r w:rsidRPr="001B0D58">
              <w:rPr>
                <w:rFonts w:cstheme="minorHAnsi"/>
                <w:color w:val="191919"/>
              </w:rPr>
              <w:t>2.4/1.9</w:t>
            </w:r>
          </w:p>
        </w:tc>
      </w:tr>
      <w:tr w:rsidR="000358D9" w:rsidRPr="001B0D58" w14:paraId="2046F52D" w14:textId="77777777" w:rsidTr="00C04520">
        <w:trPr>
          <w:trHeight w:val="220"/>
        </w:trPr>
        <w:tc>
          <w:tcPr>
            <w:tcW w:w="0" w:type="auto"/>
          </w:tcPr>
          <w:p w14:paraId="3D44AF74" w14:textId="456A19BF" w:rsidR="000358D9" w:rsidRPr="001B0D58" w:rsidRDefault="000358D9" w:rsidP="00954671">
            <w:pPr>
              <w:pStyle w:val="NoSpacing"/>
              <w:rPr>
                <w:rFonts w:cstheme="minorHAnsi"/>
                <w:color w:val="191919"/>
              </w:rPr>
            </w:pPr>
            <w:r w:rsidRPr="001B0D58">
              <w:rPr>
                <w:rFonts w:cstheme="minorHAnsi"/>
                <w:color w:val="191919"/>
              </w:rPr>
              <w:t>Menstrual cycle parameters</w:t>
            </w:r>
          </w:p>
        </w:tc>
        <w:tc>
          <w:tcPr>
            <w:tcW w:w="0" w:type="auto"/>
          </w:tcPr>
          <w:p w14:paraId="0F0BCB89" w14:textId="77777777" w:rsidR="000358D9" w:rsidRPr="001B0D58" w:rsidRDefault="000358D9" w:rsidP="00954671">
            <w:pPr>
              <w:pStyle w:val="NoSpacing"/>
              <w:rPr>
                <w:rFonts w:cstheme="minorHAnsi"/>
                <w:color w:val="191919"/>
              </w:rPr>
            </w:pPr>
          </w:p>
        </w:tc>
        <w:tc>
          <w:tcPr>
            <w:tcW w:w="0" w:type="auto"/>
          </w:tcPr>
          <w:p w14:paraId="528C0ACE" w14:textId="77777777" w:rsidR="000358D9" w:rsidRPr="001B0D58" w:rsidRDefault="000358D9" w:rsidP="00954671">
            <w:pPr>
              <w:pStyle w:val="NoSpacing"/>
              <w:rPr>
                <w:rFonts w:cstheme="minorHAnsi"/>
                <w:color w:val="191919"/>
              </w:rPr>
            </w:pPr>
          </w:p>
        </w:tc>
        <w:tc>
          <w:tcPr>
            <w:tcW w:w="0" w:type="auto"/>
          </w:tcPr>
          <w:p w14:paraId="618757FA" w14:textId="77777777" w:rsidR="000358D9" w:rsidRPr="001B0D58" w:rsidRDefault="000358D9" w:rsidP="00954671">
            <w:pPr>
              <w:pStyle w:val="NoSpacing"/>
              <w:rPr>
                <w:rFonts w:cstheme="minorHAnsi"/>
                <w:color w:val="191919"/>
              </w:rPr>
            </w:pPr>
          </w:p>
        </w:tc>
      </w:tr>
      <w:tr w:rsidR="00D9455E" w:rsidRPr="001B0D58" w14:paraId="5A940954" w14:textId="77777777" w:rsidTr="00C04520">
        <w:trPr>
          <w:trHeight w:val="216"/>
        </w:trPr>
        <w:tc>
          <w:tcPr>
            <w:tcW w:w="0" w:type="auto"/>
          </w:tcPr>
          <w:p w14:paraId="247851D4" w14:textId="0A56F7B9" w:rsidR="00D9455E" w:rsidRPr="001B0D58" w:rsidRDefault="00D9455E" w:rsidP="00954671">
            <w:pPr>
              <w:pStyle w:val="NoSpacing"/>
              <w:rPr>
                <w:rFonts w:cstheme="minorHAnsi"/>
                <w:color w:val="191919"/>
              </w:rPr>
            </w:pPr>
            <w:r w:rsidRPr="001B0D58">
              <w:rPr>
                <w:rFonts w:cstheme="minorHAnsi"/>
                <w:color w:val="191919"/>
              </w:rPr>
              <w:t>Number of cycles</w:t>
            </w:r>
          </w:p>
        </w:tc>
        <w:tc>
          <w:tcPr>
            <w:tcW w:w="0" w:type="auto"/>
          </w:tcPr>
          <w:p w14:paraId="36E803D7" w14:textId="77777777" w:rsidR="00D9455E" w:rsidRPr="001B0D58" w:rsidRDefault="00D9455E" w:rsidP="00954671">
            <w:pPr>
              <w:pStyle w:val="NoSpacing"/>
              <w:rPr>
                <w:rFonts w:cstheme="minorHAnsi"/>
                <w:color w:val="191919"/>
              </w:rPr>
            </w:pPr>
            <w:r w:rsidRPr="001B0D58">
              <w:rPr>
                <w:rFonts w:cstheme="minorHAnsi"/>
                <w:i/>
                <w:iCs/>
                <w:color w:val="191919"/>
              </w:rPr>
              <w:t xml:space="preserve">N </w:t>
            </w:r>
            <w:r w:rsidRPr="001B0D58">
              <w:rPr>
                <w:rFonts w:cstheme="minorHAnsi"/>
                <w:color w:val="191919"/>
              </w:rPr>
              <w:t>= 1077</w:t>
            </w:r>
          </w:p>
        </w:tc>
        <w:tc>
          <w:tcPr>
            <w:tcW w:w="0" w:type="auto"/>
          </w:tcPr>
          <w:p w14:paraId="7DE81011" w14:textId="77777777" w:rsidR="00D9455E" w:rsidRPr="001B0D58" w:rsidRDefault="00D9455E" w:rsidP="00954671">
            <w:pPr>
              <w:pStyle w:val="NoSpacing"/>
              <w:rPr>
                <w:rFonts w:cstheme="minorHAnsi"/>
                <w:color w:val="191919"/>
              </w:rPr>
            </w:pPr>
            <w:r w:rsidRPr="001B0D58">
              <w:rPr>
                <w:rFonts w:cstheme="minorHAnsi"/>
                <w:i/>
                <w:iCs/>
                <w:color w:val="191919"/>
              </w:rPr>
              <w:t xml:space="preserve">N </w:t>
            </w:r>
            <w:r w:rsidRPr="001B0D58">
              <w:rPr>
                <w:rFonts w:cstheme="minorHAnsi"/>
                <w:color w:val="191919"/>
              </w:rPr>
              <w:t>= 642</w:t>
            </w:r>
          </w:p>
        </w:tc>
        <w:tc>
          <w:tcPr>
            <w:tcW w:w="0" w:type="auto"/>
          </w:tcPr>
          <w:p w14:paraId="4ABD4886" w14:textId="77777777" w:rsidR="00D9455E" w:rsidRPr="001B0D58" w:rsidRDefault="00D9455E" w:rsidP="00954671">
            <w:pPr>
              <w:pStyle w:val="NoSpacing"/>
              <w:rPr>
                <w:rFonts w:cstheme="minorHAnsi"/>
                <w:color w:val="191919"/>
              </w:rPr>
            </w:pPr>
            <w:r w:rsidRPr="001B0D58">
              <w:rPr>
                <w:rFonts w:cstheme="minorHAnsi"/>
                <w:i/>
                <w:iCs/>
                <w:color w:val="191919"/>
              </w:rPr>
              <w:t xml:space="preserve">N </w:t>
            </w:r>
            <w:r w:rsidRPr="001B0D58">
              <w:rPr>
                <w:rFonts w:cstheme="minorHAnsi"/>
                <w:color w:val="191919"/>
              </w:rPr>
              <w:t>= 314</w:t>
            </w:r>
          </w:p>
        </w:tc>
      </w:tr>
      <w:tr w:rsidR="00D9455E" w:rsidRPr="001B0D58" w14:paraId="345CE47E" w14:textId="77777777" w:rsidTr="00C04520">
        <w:trPr>
          <w:trHeight w:val="211"/>
        </w:trPr>
        <w:tc>
          <w:tcPr>
            <w:tcW w:w="0" w:type="auto"/>
          </w:tcPr>
          <w:p w14:paraId="7C36D4BF" w14:textId="77777777" w:rsidR="00D9455E" w:rsidRPr="001B0D58" w:rsidRDefault="00D9455E" w:rsidP="00954671">
            <w:pPr>
              <w:pStyle w:val="NoSpacing"/>
              <w:rPr>
                <w:rFonts w:cstheme="minorHAnsi"/>
                <w:color w:val="191919"/>
              </w:rPr>
            </w:pPr>
            <w:r w:rsidRPr="001B0D58">
              <w:rPr>
                <w:rFonts w:cstheme="minorHAnsi"/>
                <w:color w:val="191919"/>
              </w:rPr>
              <w:t>Length of cycle</w:t>
            </w:r>
          </w:p>
        </w:tc>
        <w:tc>
          <w:tcPr>
            <w:tcW w:w="0" w:type="auto"/>
          </w:tcPr>
          <w:p w14:paraId="5E8C9F8B" w14:textId="77777777" w:rsidR="00D9455E" w:rsidRPr="001B0D58" w:rsidRDefault="00D9455E" w:rsidP="00954671">
            <w:pPr>
              <w:pStyle w:val="NoSpacing"/>
              <w:rPr>
                <w:rFonts w:cstheme="minorHAnsi"/>
                <w:color w:val="191919"/>
              </w:rPr>
            </w:pPr>
            <w:r w:rsidRPr="001B0D58">
              <w:rPr>
                <w:rFonts w:cstheme="minorHAnsi"/>
                <w:color w:val="191919"/>
              </w:rPr>
              <w:t>29.0/3.8</w:t>
            </w:r>
          </w:p>
        </w:tc>
        <w:tc>
          <w:tcPr>
            <w:tcW w:w="0" w:type="auto"/>
          </w:tcPr>
          <w:p w14:paraId="53D17096" w14:textId="77777777" w:rsidR="00D9455E" w:rsidRPr="001B0D58" w:rsidRDefault="00D9455E" w:rsidP="00954671">
            <w:pPr>
              <w:pStyle w:val="NoSpacing"/>
              <w:rPr>
                <w:rFonts w:cstheme="minorHAnsi"/>
                <w:color w:val="191919"/>
              </w:rPr>
            </w:pPr>
            <w:r w:rsidRPr="001B0D58">
              <w:rPr>
                <w:rFonts w:cstheme="minorHAnsi"/>
                <w:color w:val="191919"/>
              </w:rPr>
              <w:t>29.2/3.9</w:t>
            </w:r>
          </w:p>
        </w:tc>
        <w:tc>
          <w:tcPr>
            <w:tcW w:w="0" w:type="auto"/>
          </w:tcPr>
          <w:p w14:paraId="24D90336" w14:textId="77777777" w:rsidR="00D9455E" w:rsidRPr="001B0D58" w:rsidRDefault="00D9455E" w:rsidP="00954671">
            <w:pPr>
              <w:pStyle w:val="NoSpacing"/>
              <w:rPr>
                <w:rFonts w:cstheme="minorHAnsi"/>
                <w:color w:val="191919"/>
              </w:rPr>
            </w:pPr>
            <w:r w:rsidRPr="001B0D58">
              <w:rPr>
                <w:rFonts w:cstheme="minorHAnsi"/>
                <w:color w:val="191919"/>
              </w:rPr>
              <w:t>29.4/4.2</w:t>
            </w:r>
          </w:p>
        </w:tc>
      </w:tr>
      <w:tr w:rsidR="00D9455E" w:rsidRPr="001B0D58" w14:paraId="5E7B423A" w14:textId="77777777" w:rsidTr="00C04520">
        <w:trPr>
          <w:trHeight w:val="220"/>
        </w:trPr>
        <w:tc>
          <w:tcPr>
            <w:tcW w:w="0" w:type="auto"/>
          </w:tcPr>
          <w:p w14:paraId="6AB68040" w14:textId="77777777" w:rsidR="00D9455E" w:rsidRPr="001B0D58" w:rsidRDefault="00D9455E" w:rsidP="00954671">
            <w:pPr>
              <w:pStyle w:val="NoSpacing"/>
              <w:rPr>
                <w:rFonts w:cstheme="minorHAnsi"/>
                <w:color w:val="191919"/>
              </w:rPr>
            </w:pPr>
            <w:r w:rsidRPr="001B0D58">
              <w:rPr>
                <w:rFonts w:cstheme="minorHAnsi"/>
                <w:color w:val="191919"/>
              </w:rPr>
              <w:t>Follicular phase</w:t>
            </w:r>
          </w:p>
        </w:tc>
        <w:tc>
          <w:tcPr>
            <w:tcW w:w="0" w:type="auto"/>
          </w:tcPr>
          <w:p w14:paraId="76630637" w14:textId="77777777" w:rsidR="00D9455E" w:rsidRPr="001B0D58" w:rsidRDefault="00D9455E" w:rsidP="00954671">
            <w:pPr>
              <w:pStyle w:val="NoSpacing"/>
              <w:rPr>
                <w:rFonts w:cstheme="minorHAnsi"/>
                <w:color w:val="191919"/>
              </w:rPr>
            </w:pPr>
            <w:r w:rsidRPr="001B0D58">
              <w:rPr>
                <w:rFonts w:cstheme="minorHAnsi"/>
                <w:color w:val="191919"/>
              </w:rPr>
              <w:t>16.3/3.3</w:t>
            </w:r>
          </w:p>
        </w:tc>
        <w:tc>
          <w:tcPr>
            <w:tcW w:w="0" w:type="auto"/>
          </w:tcPr>
          <w:p w14:paraId="4FF26C8F" w14:textId="77777777" w:rsidR="00D9455E" w:rsidRPr="001B0D58" w:rsidRDefault="00D9455E" w:rsidP="00954671">
            <w:pPr>
              <w:pStyle w:val="NoSpacing"/>
              <w:rPr>
                <w:rFonts w:cstheme="minorHAnsi"/>
                <w:color w:val="191919"/>
              </w:rPr>
            </w:pPr>
            <w:r w:rsidRPr="001B0D58">
              <w:rPr>
                <w:rFonts w:cstheme="minorHAnsi"/>
                <w:color w:val="191919"/>
              </w:rPr>
              <w:t>16.6/3.7</w:t>
            </w:r>
          </w:p>
        </w:tc>
        <w:tc>
          <w:tcPr>
            <w:tcW w:w="0" w:type="auto"/>
          </w:tcPr>
          <w:p w14:paraId="223B781A" w14:textId="77777777" w:rsidR="00D9455E" w:rsidRPr="001B0D58" w:rsidRDefault="00D9455E" w:rsidP="00954671">
            <w:pPr>
              <w:pStyle w:val="NoSpacing"/>
              <w:rPr>
                <w:rFonts w:cstheme="minorHAnsi"/>
                <w:color w:val="191919"/>
              </w:rPr>
            </w:pPr>
            <w:r w:rsidRPr="001B0D58">
              <w:rPr>
                <w:rFonts w:cstheme="minorHAnsi"/>
                <w:color w:val="191919"/>
              </w:rPr>
              <w:t>16.3/3.4</w:t>
            </w:r>
          </w:p>
        </w:tc>
      </w:tr>
      <w:tr w:rsidR="00D9455E" w:rsidRPr="001B0D58" w14:paraId="4E03EEE0" w14:textId="77777777" w:rsidTr="00C04520">
        <w:trPr>
          <w:trHeight w:val="219"/>
        </w:trPr>
        <w:tc>
          <w:tcPr>
            <w:tcW w:w="0" w:type="auto"/>
          </w:tcPr>
          <w:p w14:paraId="39A8A188" w14:textId="77777777" w:rsidR="00D9455E" w:rsidRPr="001B0D58" w:rsidRDefault="00D9455E" w:rsidP="00954671">
            <w:pPr>
              <w:pStyle w:val="NoSpacing"/>
              <w:rPr>
                <w:rFonts w:cstheme="minorHAnsi"/>
                <w:color w:val="191919"/>
              </w:rPr>
            </w:pPr>
            <w:r w:rsidRPr="001B0D58">
              <w:rPr>
                <w:rFonts w:cstheme="minorHAnsi"/>
                <w:color w:val="191919"/>
              </w:rPr>
              <w:t>Luteal phase</w:t>
            </w:r>
          </w:p>
        </w:tc>
        <w:tc>
          <w:tcPr>
            <w:tcW w:w="0" w:type="auto"/>
          </w:tcPr>
          <w:p w14:paraId="1549BEEB" w14:textId="77777777" w:rsidR="00D9455E" w:rsidRPr="001B0D58" w:rsidRDefault="00D9455E" w:rsidP="00954671">
            <w:pPr>
              <w:pStyle w:val="NoSpacing"/>
              <w:rPr>
                <w:rFonts w:cstheme="minorHAnsi"/>
                <w:color w:val="191919"/>
              </w:rPr>
            </w:pPr>
            <w:r w:rsidRPr="001B0D58">
              <w:rPr>
                <w:rFonts w:cstheme="minorHAnsi"/>
                <w:color w:val="191919"/>
              </w:rPr>
              <w:t>12.7/1.9</w:t>
            </w:r>
          </w:p>
        </w:tc>
        <w:tc>
          <w:tcPr>
            <w:tcW w:w="0" w:type="auto"/>
          </w:tcPr>
          <w:p w14:paraId="492DEF0C" w14:textId="77777777" w:rsidR="00D9455E" w:rsidRPr="001B0D58" w:rsidRDefault="00D9455E" w:rsidP="00954671">
            <w:pPr>
              <w:pStyle w:val="NoSpacing"/>
              <w:rPr>
                <w:rFonts w:cstheme="minorHAnsi"/>
                <w:color w:val="191919"/>
              </w:rPr>
            </w:pPr>
            <w:r w:rsidRPr="001B0D58">
              <w:rPr>
                <w:rFonts w:cstheme="minorHAnsi"/>
                <w:color w:val="191919"/>
              </w:rPr>
              <w:t>12.3/2.1</w:t>
            </w:r>
          </w:p>
        </w:tc>
        <w:tc>
          <w:tcPr>
            <w:tcW w:w="0" w:type="auto"/>
          </w:tcPr>
          <w:p w14:paraId="0238899D" w14:textId="77777777" w:rsidR="00D9455E" w:rsidRPr="001B0D58" w:rsidRDefault="00D9455E" w:rsidP="00954671">
            <w:pPr>
              <w:pStyle w:val="NoSpacing"/>
              <w:rPr>
                <w:rFonts w:cstheme="minorHAnsi"/>
                <w:color w:val="191919"/>
              </w:rPr>
            </w:pPr>
            <w:r w:rsidRPr="001B0D58">
              <w:rPr>
                <w:rFonts w:cstheme="minorHAnsi"/>
                <w:color w:val="191919"/>
              </w:rPr>
              <w:t>12.5/2.1</w:t>
            </w:r>
          </w:p>
        </w:tc>
      </w:tr>
      <w:tr w:rsidR="00D9455E" w:rsidRPr="001B0D58" w14:paraId="2093DE4E" w14:textId="77777777" w:rsidTr="00C04520">
        <w:trPr>
          <w:trHeight w:val="217"/>
        </w:trPr>
        <w:tc>
          <w:tcPr>
            <w:tcW w:w="0" w:type="auto"/>
          </w:tcPr>
          <w:p w14:paraId="07EFF2FA" w14:textId="77777777" w:rsidR="00D9455E" w:rsidRPr="001B0D58" w:rsidRDefault="00D9455E" w:rsidP="00954671">
            <w:pPr>
              <w:pStyle w:val="NoSpacing"/>
              <w:rPr>
                <w:rFonts w:cstheme="minorHAnsi"/>
                <w:color w:val="191919"/>
              </w:rPr>
            </w:pPr>
            <w:r w:rsidRPr="001B0D58">
              <w:rPr>
                <w:rFonts w:cstheme="minorHAnsi"/>
                <w:color w:val="191919"/>
              </w:rPr>
              <w:t>Menses length</w:t>
            </w:r>
          </w:p>
        </w:tc>
        <w:tc>
          <w:tcPr>
            <w:tcW w:w="0" w:type="auto"/>
          </w:tcPr>
          <w:p w14:paraId="1B492502" w14:textId="77777777" w:rsidR="00D9455E" w:rsidRPr="001B0D58" w:rsidRDefault="00D9455E" w:rsidP="00954671">
            <w:pPr>
              <w:pStyle w:val="NoSpacing"/>
              <w:rPr>
                <w:rFonts w:cstheme="minorHAnsi"/>
                <w:color w:val="191919"/>
              </w:rPr>
            </w:pPr>
            <w:r w:rsidRPr="001B0D58">
              <w:rPr>
                <w:rFonts w:cstheme="minorHAnsi"/>
                <w:color w:val="191919"/>
              </w:rPr>
              <w:t>5.2/1.2</w:t>
            </w:r>
          </w:p>
        </w:tc>
        <w:tc>
          <w:tcPr>
            <w:tcW w:w="0" w:type="auto"/>
          </w:tcPr>
          <w:p w14:paraId="601D7C71" w14:textId="77777777" w:rsidR="00D9455E" w:rsidRPr="001B0D58" w:rsidRDefault="00D9455E" w:rsidP="00954671">
            <w:pPr>
              <w:pStyle w:val="NoSpacing"/>
              <w:rPr>
                <w:rFonts w:cstheme="minorHAnsi"/>
                <w:color w:val="191919"/>
              </w:rPr>
            </w:pPr>
            <w:r w:rsidRPr="001B0D58">
              <w:rPr>
                <w:rFonts w:cstheme="minorHAnsi"/>
                <w:color w:val="191919"/>
              </w:rPr>
              <w:t>5.3/1.5</w:t>
            </w:r>
          </w:p>
        </w:tc>
        <w:tc>
          <w:tcPr>
            <w:tcW w:w="0" w:type="auto"/>
          </w:tcPr>
          <w:p w14:paraId="663BD629" w14:textId="77777777" w:rsidR="00D9455E" w:rsidRPr="001B0D58" w:rsidRDefault="00D9455E" w:rsidP="00954671">
            <w:pPr>
              <w:pStyle w:val="NoSpacing"/>
              <w:rPr>
                <w:rFonts w:cstheme="minorHAnsi"/>
                <w:color w:val="191919"/>
              </w:rPr>
            </w:pPr>
            <w:r w:rsidRPr="001B0D58">
              <w:rPr>
                <w:rFonts w:cstheme="minorHAnsi"/>
                <w:color w:val="191919"/>
              </w:rPr>
              <w:t>5.1/1.5</w:t>
            </w:r>
          </w:p>
        </w:tc>
      </w:tr>
    </w:tbl>
    <w:p w14:paraId="7434941F" w14:textId="77777777" w:rsidR="00521F0A" w:rsidRPr="001B0D58" w:rsidRDefault="00521F0A" w:rsidP="00536301">
      <w:pPr>
        <w:rPr>
          <w:rFonts w:cstheme="minorHAnsi"/>
          <w:sz w:val="24"/>
          <w:szCs w:val="24"/>
        </w:rPr>
      </w:pPr>
    </w:p>
    <w:p w14:paraId="5ADAEFC7" w14:textId="77777777" w:rsidR="00536301" w:rsidRPr="001B0D58" w:rsidRDefault="00536301" w:rsidP="00224514">
      <w:pPr>
        <w:pStyle w:val="Heading2"/>
        <w:rPr>
          <w:rFonts w:asciiTheme="minorHAnsi" w:hAnsiTheme="minorHAnsi" w:cstheme="minorHAnsi"/>
        </w:rPr>
      </w:pPr>
      <w:r w:rsidRPr="001B0D58">
        <w:rPr>
          <w:rFonts w:asciiTheme="minorHAnsi" w:hAnsiTheme="minorHAnsi" w:cstheme="minorHAnsi"/>
        </w:rPr>
        <w:t>Menstrual Cycle Parameters by BMI Group</w:t>
      </w:r>
    </w:p>
    <w:p w14:paraId="1C2D9430" w14:textId="66136172" w:rsidR="00536301" w:rsidRPr="001B0D58" w:rsidRDefault="00536301" w:rsidP="00536301">
      <w:pPr>
        <w:rPr>
          <w:rFonts w:cstheme="minorHAnsi"/>
          <w:sz w:val="24"/>
          <w:szCs w:val="24"/>
        </w:rPr>
      </w:pPr>
      <w:r w:rsidRPr="001B0D58">
        <w:rPr>
          <w:rFonts w:cstheme="minorHAnsi"/>
          <w:sz w:val="24"/>
          <w:szCs w:val="24"/>
        </w:rPr>
        <w:t xml:space="preserve">Table 1 also shows the phases of the menstrual cycle by BMI level. </w:t>
      </w:r>
      <w:proofErr w:type="gramStart"/>
      <w:r w:rsidRPr="001B0D58">
        <w:rPr>
          <w:rFonts w:cstheme="minorHAnsi"/>
          <w:sz w:val="24"/>
          <w:szCs w:val="24"/>
        </w:rPr>
        <w:t>One way</w:t>
      </w:r>
      <w:proofErr w:type="gramEnd"/>
      <w:r w:rsidRPr="001B0D58">
        <w:rPr>
          <w:rFonts w:cstheme="minorHAnsi"/>
          <w:sz w:val="24"/>
          <w:szCs w:val="24"/>
        </w:rPr>
        <w:t xml:space="preserve"> ANOVA indicated that there was a significant difference between groups in length of the luteal phase (</w:t>
      </w:r>
      <w:r w:rsidRPr="001B0D58">
        <w:rPr>
          <w:rFonts w:cstheme="minorHAnsi"/>
          <w:i/>
          <w:iCs/>
          <w:sz w:val="24"/>
          <w:szCs w:val="24"/>
        </w:rPr>
        <w:t>F</w:t>
      </w:r>
      <w:r w:rsidRPr="001B0D58">
        <w:rPr>
          <w:rFonts w:cstheme="minorHAnsi"/>
          <w:sz w:val="24"/>
          <w:szCs w:val="24"/>
        </w:rPr>
        <w:t xml:space="preserve"> = 4.62, </w:t>
      </w:r>
      <w:r w:rsidRPr="001B0D58">
        <w:rPr>
          <w:rFonts w:cstheme="minorHAnsi"/>
          <w:i/>
          <w:iCs/>
          <w:sz w:val="24"/>
          <w:szCs w:val="24"/>
        </w:rPr>
        <w:t>p &lt;</w:t>
      </w:r>
      <w:r w:rsidRPr="001B0D58">
        <w:rPr>
          <w:rFonts w:cstheme="minorHAnsi"/>
          <w:sz w:val="24"/>
          <w:szCs w:val="24"/>
        </w:rPr>
        <w:t xml:space="preserve"> 0.01) and length of menses (</w:t>
      </w:r>
      <w:r w:rsidRPr="001B0D58">
        <w:rPr>
          <w:rFonts w:cstheme="minorHAnsi"/>
          <w:i/>
          <w:iCs/>
          <w:sz w:val="24"/>
          <w:szCs w:val="24"/>
        </w:rPr>
        <w:t>F</w:t>
      </w:r>
      <w:r w:rsidRPr="001B0D58">
        <w:rPr>
          <w:rFonts w:cstheme="minorHAnsi"/>
          <w:sz w:val="24"/>
          <w:szCs w:val="24"/>
        </w:rPr>
        <w:t xml:space="preserve"> = 3.03, </w:t>
      </w:r>
      <w:r w:rsidRPr="001B0D58">
        <w:rPr>
          <w:rFonts w:cstheme="minorHAnsi"/>
          <w:i/>
          <w:iCs/>
          <w:sz w:val="24"/>
          <w:szCs w:val="24"/>
        </w:rPr>
        <w:t>p &lt;</w:t>
      </w:r>
      <w:r w:rsidRPr="001B0D58">
        <w:rPr>
          <w:rFonts w:cstheme="minorHAnsi"/>
          <w:sz w:val="24"/>
          <w:szCs w:val="24"/>
        </w:rPr>
        <w:t xml:space="preserve"> 0.05). Post-hoc testing (Tukey) showed that there was a significant difference in luteal phase length between the normal BMI group versus both the overweight and the obese groups (</w:t>
      </w:r>
      <w:r w:rsidRPr="001B0D58">
        <w:rPr>
          <w:rFonts w:cstheme="minorHAnsi"/>
          <w:i/>
          <w:iCs/>
          <w:sz w:val="24"/>
          <w:szCs w:val="24"/>
        </w:rPr>
        <w:t>p</w:t>
      </w:r>
      <w:r w:rsidRPr="001B0D58">
        <w:rPr>
          <w:rFonts w:cstheme="minorHAnsi"/>
          <w:sz w:val="24"/>
          <w:szCs w:val="24"/>
        </w:rPr>
        <w:t xml:space="preserve"> &lt; 0.01) and a marginally significant difference in length of menses (</w:t>
      </w:r>
      <w:r w:rsidRPr="001B0D58">
        <w:rPr>
          <w:rFonts w:cstheme="minorHAnsi"/>
          <w:i/>
          <w:iCs/>
          <w:sz w:val="24"/>
          <w:szCs w:val="24"/>
        </w:rPr>
        <w:t>p</w:t>
      </w:r>
      <w:r w:rsidRPr="001B0D58">
        <w:rPr>
          <w:rFonts w:cstheme="minorHAnsi"/>
          <w:sz w:val="24"/>
          <w:szCs w:val="24"/>
        </w:rPr>
        <w:t xml:space="preserve"> &lt; 0.06). There were no significant differences in length of cycle and length of follicular phase.</w:t>
      </w:r>
    </w:p>
    <w:p w14:paraId="1B9AC8AF" w14:textId="77777777" w:rsidR="00536301" w:rsidRPr="001B0D58" w:rsidRDefault="00536301" w:rsidP="00224514">
      <w:pPr>
        <w:pStyle w:val="Heading2"/>
        <w:rPr>
          <w:rFonts w:asciiTheme="minorHAnsi" w:hAnsiTheme="minorHAnsi" w:cstheme="minorHAnsi"/>
        </w:rPr>
      </w:pPr>
      <w:r w:rsidRPr="001B0D58">
        <w:rPr>
          <w:rFonts w:asciiTheme="minorHAnsi" w:hAnsiTheme="minorHAnsi" w:cstheme="minorHAnsi"/>
        </w:rPr>
        <w:t>Likelihood of Ovulation</w:t>
      </w:r>
    </w:p>
    <w:p w14:paraId="1C11B3D9" w14:textId="1A97D46C" w:rsidR="00536301" w:rsidRPr="001B0D58" w:rsidRDefault="00536301" w:rsidP="00536301">
      <w:pPr>
        <w:rPr>
          <w:rFonts w:cstheme="minorHAnsi"/>
          <w:sz w:val="24"/>
          <w:szCs w:val="24"/>
        </w:rPr>
      </w:pPr>
      <w:r w:rsidRPr="001B0D58">
        <w:rPr>
          <w:rFonts w:cstheme="minorHAnsi"/>
          <w:i/>
          <w:iCs/>
          <w:sz w:val="24"/>
          <w:szCs w:val="24"/>
        </w:rPr>
        <w:t>Chi</w:t>
      </w:r>
      <w:r w:rsidRPr="001B0D58">
        <w:rPr>
          <w:rFonts w:cstheme="minorHAnsi"/>
          <w:sz w:val="24"/>
          <w:szCs w:val="24"/>
        </w:rPr>
        <w:t>-square analysis showed that there were significantly more menstrual cycles within the obese and overweight BMI groups that did not have a detected LH surge compared to the normal BMI group (</w:t>
      </w:r>
      <w:r w:rsidRPr="001B0D58">
        <w:rPr>
          <w:rFonts w:cstheme="minorHAnsi"/>
          <w:i/>
          <w:iCs/>
          <w:sz w:val="24"/>
          <w:szCs w:val="24"/>
        </w:rPr>
        <w:t>Chi-</w:t>
      </w:r>
      <w:r w:rsidRPr="001B0D58">
        <w:rPr>
          <w:rFonts w:cstheme="minorHAnsi"/>
          <w:sz w:val="24"/>
          <w:szCs w:val="24"/>
        </w:rPr>
        <w:t xml:space="preserve">square = 6.11, </w:t>
      </w:r>
      <w:r w:rsidRPr="001B0D58">
        <w:rPr>
          <w:rFonts w:cstheme="minorHAnsi"/>
          <w:i/>
          <w:iCs/>
          <w:sz w:val="24"/>
          <w:szCs w:val="24"/>
        </w:rPr>
        <w:t>p &lt;</w:t>
      </w:r>
      <w:r w:rsidRPr="001B0D58">
        <w:rPr>
          <w:rFonts w:cstheme="minorHAnsi"/>
          <w:sz w:val="24"/>
          <w:szCs w:val="24"/>
        </w:rPr>
        <w:t xml:space="preserve"> 0.01). There were only 69 cycles out of 737 without a detected LH surge in the normal BMI group (for a percentage of 9.4 percent), 48 cycles without an LH surge in the overweight group (10.3 percent), and 44 missing LH surges in the obese group for a percentage of 20.4 percent. The combined overweight and obese BMI classification cycles have 92 out of 680 cycles or 13.5 percent without a recorded LH surge. The odds ratio between the normal BMI group and the combined obese and overweight groups was 0.66 (95 percent CI = 0.48–0.92); that is, the combined obese and overweight group was 34 percent less likely to have a positive detected urinary LH surge (see table 1).</w:t>
      </w:r>
    </w:p>
    <w:p w14:paraId="6E2D503D" w14:textId="77777777" w:rsidR="00536301" w:rsidRPr="001B0D58" w:rsidRDefault="00536301" w:rsidP="00224514">
      <w:pPr>
        <w:pStyle w:val="Heading1"/>
        <w:rPr>
          <w:rFonts w:asciiTheme="minorHAnsi" w:hAnsiTheme="minorHAnsi" w:cstheme="minorHAnsi"/>
        </w:rPr>
      </w:pPr>
      <w:bookmarkStart w:id="6" w:name="_i13"/>
      <w:bookmarkEnd w:id="6"/>
      <w:r w:rsidRPr="001B0D58">
        <w:rPr>
          <w:rFonts w:asciiTheme="minorHAnsi" w:hAnsiTheme="minorHAnsi" w:cstheme="minorHAnsi"/>
        </w:rPr>
        <w:t>Discussion</w:t>
      </w:r>
    </w:p>
    <w:p w14:paraId="5B6C2E24" w14:textId="60EBE211" w:rsidR="00536301" w:rsidRPr="001B0D58" w:rsidRDefault="00536301" w:rsidP="00536301">
      <w:pPr>
        <w:rPr>
          <w:rFonts w:cstheme="minorHAnsi"/>
          <w:sz w:val="24"/>
          <w:szCs w:val="24"/>
        </w:rPr>
      </w:pPr>
      <w:r w:rsidRPr="001B0D58">
        <w:rPr>
          <w:rFonts w:cstheme="minorHAnsi"/>
          <w:sz w:val="24"/>
          <w:szCs w:val="24"/>
        </w:rPr>
        <w:t>It is noteworthy that the overweight and obese BMI categories had significantly more children than the normal weight BMI group. The relationship between higher BMIs and greater number of children can possibly be explained by weight gained during pregnancy that is retained. This was a finding observed in the SPAWN (Stockholm Pregnancy and Women's Nutrition) Study, which was a long-term study in which participants answered questionnaires to include their diet and activity surrounding the time of their pregnancy, and with a follow-up fifteen years later.</w:t>
      </w:r>
      <w:r w:rsidRPr="001B0D58">
        <w:rPr>
          <w:rFonts w:cstheme="minorHAnsi"/>
          <w:sz w:val="24"/>
          <w:szCs w:val="24"/>
          <w:vertAlign w:val="superscript"/>
        </w:rPr>
        <w:t>6</w:t>
      </w:r>
      <w:r w:rsidRPr="001B0D58">
        <w:rPr>
          <w:rFonts w:cstheme="minorHAnsi"/>
          <w:sz w:val="24"/>
          <w:szCs w:val="24"/>
        </w:rPr>
        <w:t xml:space="preserve"> However, the results could be confounded because the participants in the overweight and obese groups were older than the normal BMI group. The data from the older ages and greater number of pregnancies could have affected the outcomes.</w:t>
      </w:r>
    </w:p>
    <w:p w14:paraId="60331030" w14:textId="6C25E42E" w:rsidR="00536301" w:rsidRPr="001B0D58" w:rsidRDefault="00536301" w:rsidP="00536301">
      <w:pPr>
        <w:rPr>
          <w:rFonts w:cstheme="minorHAnsi"/>
          <w:sz w:val="24"/>
          <w:szCs w:val="24"/>
        </w:rPr>
      </w:pPr>
      <w:r w:rsidRPr="001B0D58">
        <w:rPr>
          <w:rFonts w:cstheme="minorHAnsi"/>
          <w:sz w:val="24"/>
          <w:szCs w:val="24"/>
        </w:rPr>
        <w:t xml:space="preserve">In addition to this, </w:t>
      </w:r>
      <w:proofErr w:type="gramStart"/>
      <w:r w:rsidRPr="001B0D58">
        <w:rPr>
          <w:rFonts w:cstheme="minorHAnsi"/>
          <w:sz w:val="24"/>
          <w:szCs w:val="24"/>
        </w:rPr>
        <w:t>the majority of</w:t>
      </w:r>
      <w:proofErr w:type="gramEnd"/>
      <w:r w:rsidRPr="001B0D58">
        <w:rPr>
          <w:rFonts w:cstheme="minorHAnsi"/>
          <w:sz w:val="24"/>
          <w:szCs w:val="24"/>
        </w:rPr>
        <w:t xml:space="preserve"> obese women have normal ovulation,</w:t>
      </w:r>
      <w:r w:rsidRPr="001B0D58">
        <w:rPr>
          <w:rFonts w:cstheme="minorHAnsi"/>
          <w:sz w:val="24"/>
          <w:szCs w:val="24"/>
          <w:vertAlign w:val="superscript"/>
        </w:rPr>
        <w:t>7</w:t>
      </w:r>
      <w:r w:rsidRPr="001B0D58">
        <w:rPr>
          <w:rFonts w:cstheme="minorHAnsi"/>
          <w:sz w:val="24"/>
          <w:szCs w:val="24"/>
        </w:rPr>
        <w:t xml:space="preserve"> which leads us to believe that infertility is multifactorial. Our findings show that the luteal phase and length of menses is possibly affected by obesity and the overweight and obese participants were less likely to have menstrual cycles with a detected LH surge. This may be secondary to anovulation. Anovulation has been proposed as the likely mechanism for decreased fecundity in some studies, even in overweight and obese women with regular menstrual cycles.</w:t>
      </w:r>
      <w:r w:rsidRPr="001B0D58">
        <w:rPr>
          <w:rFonts w:cstheme="minorHAnsi"/>
          <w:sz w:val="24"/>
          <w:szCs w:val="24"/>
          <w:vertAlign w:val="superscript"/>
        </w:rPr>
        <w:t>8</w:t>
      </w:r>
    </w:p>
    <w:p w14:paraId="2200FDF8" w14:textId="2021935D" w:rsidR="00536301" w:rsidRPr="001B0D58" w:rsidRDefault="00536301" w:rsidP="00536301">
      <w:pPr>
        <w:rPr>
          <w:rFonts w:cstheme="minorHAnsi"/>
          <w:sz w:val="24"/>
          <w:szCs w:val="24"/>
        </w:rPr>
      </w:pPr>
      <w:r w:rsidRPr="001B0D58">
        <w:rPr>
          <w:rFonts w:cstheme="minorHAnsi"/>
          <w:sz w:val="24"/>
          <w:szCs w:val="24"/>
        </w:rPr>
        <w:t>Other studies, as discussed, suggest that the causes of these findings are multifactorial. Insulin as it relates to insulin resistance and hyperinsulinemia has long been thought to play a major role in fertility.</w:t>
      </w:r>
      <w:r w:rsidRPr="001B0D58">
        <w:rPr>
          <w:rFonts w:cstheme="minorHAnsi"/>
          <w:sz w:val="24"/>
          <w:szCs w:val="24"/>
          <w:vertAlign w:val="superscript"/>
        </w:rPr>
        <w:t>9</w:t>
      </w:r>
      <w:r w:rsidRPr="001B0D58">
        <w:rPr>
          <w:rFonts w:cstheme="minorHAnsi"/>
          <w:sz w:val="24"/>
          <w:szCs w:val="24"/>
        </w:rPr>
        <w:t xml:space="preserve"> Hyperinsulinemia stimulates </w:t>
      </w:r>
      <w:proofErr w:type="spellStart"/>
      <w:r w:rsidRPr="001B0D58">
        <w:rPr>
          <w:rFonts w:cstheme="minorHAnsi"/>
          <w:sz w:val="24"/>
          <w:szCs w:val="24"/>
        </w:rPr>
        <w:t>steroidgenesis</w:t>
      </w:r>
      <w:proofErr w:type="spellEnd"/>
      <w:r w:rsidRPr="001B0D58">
        <w:rPr>
          <w:rFonts w:cstheme="minorHAnsi"/>
          <w:sz w:val="24"/>
          <w:szCs w:val="24"/>
        </w:rPr>
        <w:t xml:space="preserve"> in the ovarian thecal cells and decreases the synthesis of sex-hormone-binding globulin, which may directly contribute to androgen excess.</w:t>
      </w:r>
      <w:r w:rsidRPr="001B0D58">
        <w:rPr>
          <w:rFonts w:cstheme="minorHAnsi"/>
          <w:sz w:val="24"/>
          <w:szCs w:val="24"/>
          <w:vertAlign w:val="superscript"/>
        </w:rPr>
        <w:t>10</w:t>
      </w:r>
      <w:r w:rsidRPr="001B0D58">
        <w:rPr>
          <w:rFonts w:cstheme="minorHAnsi"/>
          <w:sz w:val="24"/>
          <w:szCs w:val="24"/>
        </w:rPr>
        <w:t xml:space="preserve"> Excess androgen production can cause premature follicular atresia and impede ovulation.</w:t>
      </w:r>
      <w:r w:rsidRPr="001B0D58">
        <w:rPr>
          <w:rFonts w:cstheme="minorHAnsi"/>
          <w:sz w:val="24"/>
          <w:szCs w:val="24"/>
          <w:vertAlign w:val="superscript"/>
        </w:rPr>
        <w:t>11</w:t>
      </w:r>
      <w:r w:rsidRPr="001B0D58">
        <w:rPr>
          <w:rFonts w:cstheme="minorHAnsi"/>
          <w:sz w:val="24"/>
          <w:szCs w:val="24"/>
        </w:rPr>
        <w:t xml:space="preserve"> Women with polycystic ovarian syndrome are examples of women specifically known to have ovulatory dysfunction, which is associated with insulin resistance and hyperinsulinemia, decreased sex-hormone-binding globulin, and increased testosterone and dihydrotestosterone production.</w:t>
      </w:r>
      <w:r w:rsidRPr="001B0D58">
        <w:rPr>
          <w:rFonts w:cstheme="minorHAnsi"/>
          <w:sz w:val="24"/>
          <w:szCs w:val="24"/>
          <w:vertAlign w:val="superscript"/>
        </w:rPr>
        <w:t>12</w:t>
      </w:r>
      <w:r w:rsidRPr="001B0D58">
        <w:rPr>
          <w:rFonts w:cstheme="minorHAnsi"/>
          <w:sz w:val="24"/>
          <w:szCs w:val="24"/>
        </w:rPr>
        <w:t xml:space="preserve"> Another proposed etiology suggests that obesity affects the hypothalamic-pituitary axis via estrogen excess. In obese women, there is an excess of free estrogen from peripheral androgen conversion and reduced gonadotropin-releasing hormone availability. Therefore, abnormal ovarian function results in anovulatory cycles.</w:t>
      </w:r>
      <w:r w:rsidRPr="001B0D58">
        <w:rPr>
          <w:rFonts w:cstheme="minorHAnsi"/>
          <w:sz w:val="24"/>
          <w:szCs w:val="24"/>
          <w:vertAlign w:val="superscript"/>
        </w:rPr>
        <w:t>13</w:t>
      </w:r>
      <w:r w:rsidRPr="001B0D58">
        <w:rPr>
          <w:rFonts w:cstheme="minorHAnsi"/>
          <w:sz w:val="24"/>
          <w:szCs w:val="24"/>
        </w:rPr>
        <w:t xml:space="preserve"> The ova itself is thought to have a diminished capability for fertilization.</w:t>
      </w:r>
      <w:r w:rsidRPr="001B0D58">
        <w:rPr>
          <w:rFonts w:cstheme="minorHAnsi"/>
          <w:sz w:val="24"/>
          <w:szCs w:val="24"/>
          <w:vertAlign w:val="superscript"/>
        </w:rPr>
        <w:t>14</w:t>
      </w:r>
      <w:r w:rsidRPr="001B0D58">
        <w:rPr>
          <w:rFonts w:cstheme="minorHAnsi"/>
          <w:sz w:val="24"/>
          <w:szCs w:val="24"/>
        </w:rPr>
        <w:t xml:space="preserve"> This current study did show an increased frequency of presumed anovulatory menstrual cycles in obese and overweight women compared with normal weight women. The poor ovulation and anovulation could result in a shortened menses. Furthermore, a shortened luteal phase is also reflective of poor ovulatory response as endocrinopathies or the ovulatory process including reduced LH, FSH, and prolactin levels, as well as a diminished effect of progesterone on the endometrium have been suggested as causes of defects in luteal phase.</w:t>
      </w:r>
      <w:r w:rsidRPr="001B0D58">
        <w:rPr>
          <w:rFonts w:cstheme="minorHAnsi"/>
          <w:sz w:val="24"/>
          <w:szCs w:val="24"/>
          <w:vertAlign w:val="superscript"/>
        </w:rPr>
        <w:t>15</w:t>
      </w:r>
    </w:p>
    <w:p w14:paraId="1B1BE897" w14:textId="5A07BED0" w:rsidR="00536301" w:rsidRPr="001B0D58" w:rsidRDefault="00536301" w:rsidP="00536301">
      <w:pPr>
        <w:rPr>
          <w:rFonts w:cstheme="minorHAnsi"/>
          <w:sz w:val="24"/>
          <w:szCs w:val="24"/>
        </w:rPr>
      </w:pPr>
      <w:r w:rsidRPr="001B0D58">
        <w:rPr>
          <w:rFonts w:cstheme="minorHAnsi"/>
          <w:sz w:val="24"/>
          <w:szCs w:val="24"/>
        </w:rPr>
        <w:t xml:space="preserve">In addition, obesity is associated with a chronic systemic inflammatory response that also affects ovarian function. Oxidative stress and endoplasmic reticulum stress </w:t>
      </w:r>
      <w:proofErr w:type="gramStart"/>
      <w:r w:rsidRPr="001B0D58">
        <w:rPr>
          <w:rFonts w:cstheme="minorHAnsi"/>
          <w:sz w:val="24"/>
          <w:szCs w:val="24"/>
        </w:rPr>
        <w:t>has</w:t>
      </w:r>
      <w:proofErr w:type="gramEnd"/>
      <w:r w:rsidRPr="001B0D58">
        <w:rPr>
          <w:rFonts w:cstheme="minorHAnsi"/>
          <w:sz w:val="24"/>
          <w:szCs w:val="24"/>
        </w:rPr>
        <w:t xml:space="preserve"> been noted to damage follicular maturation.</w:t>
      </w:r>
      <w:r w:rsidRPr="001B0D58">
        <w:rPr>
          <w:rFonts w:cstheme="minorHAnsi"/>
          <w:sz w:val="24"/>
          <w:szCs w:val="24"/>
          <w:vertAlign w:val="superscript"/>
        </w:rPr>
        <w:t>16</w:t>
      </w:r>
      <w:r w:rsidRPr="001B0D58">
        <w:rPr>
          <w:rFonts w:cstheme="minorHAnsi"/>
          <w:sz w:val="24"/>
          <w:szCs w:val="24"/>
        </w:rPr>
        <w:t xml:space="preserve"> Analysis of ovarian cells and fluid in obese women indicate that there is lipid accumulation which is believed to cause inflammation.</w:t>
      </w:r>
      <w:r w:rsidRPr="001B0D58">
        <w:rPr>
          <w:rFonts w:cstheme="minorHAnsi"/>
          <w:sz w:val="24"/>
          <w:szCs w:val="24"/>
          <w:vertAlign w:val="superscript"/>
        </w:rPr>
        <w:t>17</w:t>
      </w:r>
    </w:p>
    <w:p w14:paraId="18B6A600" w14:textId="413DC373" w:rsidR="00536301" w:rsidRPr="001B0D58" w:rsidRDefault="00536301" w:rsidP="00536301">
      <w:pPr>
        <w:rPr>
          <w:rFonts w:cstheme="minorHAnsi"/>
          <w:sz w:val="24"/>
          <w:szCs w:val="24"/>
        </w:rPr>
      </w:pPr>
      <w:r w:rsidRPr="001B0D58">
        <w:rPr>
          <w:rFonts w:cstheme="minorHAnsi"/>
          <w:sz w:val="24"/>
          <w:szCs w:val="24"/>
        </w:rPr>
        <w:t>Of note, the mean values for the length of cycle and length of luteal phase (seen in Table 1) appear to be almost identical. Statistically, they are significantly different as there is enough variance between the BMI groupings to show a significant change. However, from a clinical perspective, the change is small (i.e., less than a day). Therefore it is more important to monitor and look for trends in the direction of shorter luteal phases and particularly the finding that there were statistically less menstrual cycles with presumed ovulation which is noted by the absence of an LH surge.</w:t>
      </w:r>
    </w:p>
    <w:p w14:paraId="320B09DE" w14:textId="77777777" w:rsidR="00536301" w:rsidRPr="001B0D58" w:rsidRDefault="00536301" w:rsidP="00224514">
      <w:pPr>
        <w:pStyle w:val="Heading2"/>
        <w:rPr>
          <w:rFonts w:asciiTheme="minorHAnsi" w:hAnsiTheme="minorHAnsi" w:cstheme="minorHAnsi"/>
        </w:rPr>
      </w:pPr>
      <w:r w:rsidRPr="001B0D58">
        <w:rPr>
          <w:rFonts w:asciiTheme="minorHAnsi" w:hAnsiTheme="minorHAnsi" w:cstheme="minorHAnsi"/>
        </w:rPr>
        <w:t>Limitations of the Study</w:t>
      </w:r>
    </w:p>
    <w:p w14:paraId="6C866881" w14:textId="77777777" w:rsidR="00536301" w:rsidRPr="001B0D58" w:rsidRDefault="00536301" w:rsidP="00536301">
      <w:pPr>
        <w:rPr>
          <w:rFonts w:cstheme="minorHAnsi"/>
          <w:sz w:val="24"/>
          <w:szCs w:val="24"/>
        </w:rPr>
      </w:pPr>
      <w:r w:rsidRPr="001B0D58">
        <w:rPr>
          <w:rFonts w:cstheme="minorHAnsi"/>
          <w:sz w:val="24"/>
          <w:szCs w:val="24"/>
        </w:rPr>
        <w:t xml:space="preserve">The main limitation of the study is that the participants were not randomized. They were self-selected and chose to participate to monitor their level of fertility for the purposes of achieving or avoiding pregnancy. This, however, is also seen as a positive aspect of the study as these women have a personal incentive that would contribute to more accurate and regular recording. In addition to this, it is not known </w:t>
      </w:r>
      <w:proofErr w:type="gramStart"/>
      <w:r w:rsidRPr="001B0D58">
        <w:rPr>
          <w:rFonts w:cstheme="minorHAnsi"/>
          <w:sz w:val="24"/>
          <w:szCs w:val="24"/>
        </w:rPr>
        <w:t>whether or not</w:t>
      </w:r>
      <w:proofErr w:type="gramEnd"/>
      <w:r w:rsidRPr="001B0D58">
        <w:rPr>
          <w:rFonts w:cstheme="minorHAnsi"/>
          <w:sz w:val="24"/>
          <w:szCs w:val="24"/>
        </w:rPr>
        <w:t xml:space="preserve"> the participants have a history of irregular menstrual cycles above the average population as women who have more irregular menses would likely be more apt to chart.</w:t>
      </w:r>
    </w:p>
    <w:p w14:paraId="7B641B6A" w14:textId="576990C4" w:rsidR="00536301" w:rsidRPr="001B0D58" w:rsidRDefault="00536301" w:rsidP="00536301">
      <w:pPr>
        <w:rPr>
          <w:rFonts w:cstheme="minorHAnsi"/>
          <w:sz w:val="24"/>
          <w:szCs w:val="24"/>
        </w:rPr>
      </w:pPr>
      <w:r w:rsidRPr="001B0D58">
        <w:rPr>
          <w:rFonts w:cstheme="minorHAnsi"/>
          <w:sz w:val="24"/>
          <w:szCs w:val="24"/>
        </w:rPr>
        <w:t>Another limitation is that we were not able to determine the incidence of luteinized unruptured follicles during the study as another consideration of anovulation. Documentation supporting the failure of these follicles to rupture would require serial ultrasounds of the follicles, which was not performed in this study. Furthermore, there might be other reasons for lack of a positive LH test, such as improper testing and surges that might occur in the afternoon or evening hours. Twice a day testing to increase self-detection of the LH surge is recommended.</w:t>
      </w:r>
      <w:r w:rsidRPr="001B0D58">
        <w:rPr>
          <w:rFonts w:cstheme="minorHAnsi"/>
          <w:sz w:val="24"/>
          <w:szCs w:val="24"/>
          <w:vertAlign w:val="superscript"/>
        </w:rPr>
        <w:t>18</w:t>
      </w:r>
      <w:r w:rsidRPr="001B0D58">
        <w:rPr>
          <w:rFonts w:cstheme="minorHAnsi"/>
          <w:sz w:val="24"/>
          <w:szCs w:val="24"/>
        </w:rPr>
        <w:t xml:space="preserve"> Also, evaluating the LH surge within specific BMI ranges in the future may help assess the decreased probability of the LH surge, and narrowing the age range of the women in the study may also help, as the number of luteinized unruptured follicles increases and duration of the luteal phase shortens in older women.</w:t>
      </w:r>
    </w:p>
    <w:p w14:paraId="4A7CA9C4" w14:textId="77777777" w:rsidR="00536301" w:rsidRPr="001B0D58" w:rsidRDefault="00536301" w:rsidP="00224514">
      <w:pPr>
        <w:pStyle w:val="Heading2"/>
        <w:rPr>
          <w:rFonts w:asciiTheme="minorHAnsi" w:hAnsiTheme="minorHAnsi" w:cstheme="minorHAnsi"/>
        </w:rPr>
      </w:pPr>
      <w:r w:rsidRPr="001B0D58">
        <w:rPr>
          <w:rFonts w:asciiTheme="minorHAnsi" w:hAnsiTheme="minorHAnsi" w:cstheme="minorHAnsi"/>
        </w:rPr>
        <w:t>Practice Recommendations</w:t>
      </w:r>
    </w:p>
    <w:p w14:paraId="2B89B293" w14:textId="751E7D7B" w:rsidR="00536301" w:rsidRPr="001B0D58" w:rsidRDefault="00536301" w:rsidP="00536301">
      <w:pPr>
        <w:rPr>
          <w:rFonts w:cstheme="minorHAnsi"/>
          <w:sz w:val="24"/>
          <w:szCs w:val="24"/>
        </w:rPr>
      </w:pPr>
      <w:r w:rsidRPr="001B0D58">
        <w:rPr>
          <w:rFonts w:cstheme="minorHAnsi"/>
          <w:sz w:val="24"/>
          <w:szCs w:val="24"/>
        </w:rPr>
        <w:t xml:space="preserve">The approach to obese women that present with fertility problems should </w:t>
      </w:r>
      <w:proofErr w:type="gramStart"/>
      <w:r w:rsidRPr="001B0D58">
        <w:rPr>
          <w:rFonts w:cstheme="minorHAnsi"/>
          <w:sz w:val="24"/>
          <w:szCs w:val="24"/>
        </w:rPr>
        <w:t>be seen as</w:t>
      </w:r>
      <w:proofErr w:type="gramEnd"/>
      <w:r w:rsidRPr="001B0D58">
        <w:rPr>
          <w:rFonts w:cstheme="minorHAnsi"/>
          <w:sz w:val="24"/>
          <w:szCs w:val="24"/>
        </w:rPr>
        <w:t xml:space="preserve"> potentially manageable. Though numerous studies have shown obesity to be closely linked to infertility, ovarian function and fecundity improve with weight loss in overweight and obese women.</w:t>
      </w:r>
      <w:r w:rsidRPr="001B0D58">
        <w:rPr>
          <w:rFonts w:cstheme="minorHAnsi"/>
          <w:sz w:val="24"/>
          <w:szCs w:val="24"/>
          <w:vertAlign w:val="superscript"/>
        </w:rPr>
        <w:t>19</w:t>
      </w:r>
      <w:r w:rsidRPr="001B0D58">
        <w:rPr>
          <w:rFonts w:cstheme="minorHAnsi"/>
          <w:sz w:val="24"/>
          <w:szCs w:val="24"/>
        </w:rPr>
        <w:t xml:space="preserve"> An advantage for women practicing ongoing fertility monitoring is the ability to postulate about the state of their menstrual cycle. Women with higher BMIs would be more likely to have oligomenorrhea or amenorrhea and a shorter duration of menses as well as a shorter luteal phase. Since diet, exercise, and life-style modification have shown obesity related infertility to be reversible in some cases, ongoing charting may show progressive clinical improvements associated with these factors which may correlate to improved fecundity. Though not included in our data set, it would be interesting to see if there are any correlations with the Billings Ovulation Method and other methods of natural family planning that track changes in cervical mucus.</w:t>
      </w:r>
    </w:p>
    <w:p w14:paraId="5C947A3B" w14:textId="6AA2483C" w:rsidR="00536301" w:rsidRPr="001B0D58" w:rsidRDefault="00536301" w:rsidP="00536301">
      <w:pPr>
        <w:rPr>
          <w:rFonts w:cstheme="minorHAnsi"/>
          <w:sz w:val="24"/>
          <w:szCs w:val="24"/>
        </w:rPr>
      </w:pPr>
      <w:r w:rsidRPr="001B0D58">
        <w:rPr>
          <w:rFonts w:cstheme="minorHAnsi"/>
          <w:sz w:val="24"/>
          <w:szCs w:val="24"/>
        </w:rPr>
        <w:t>Testing to exclude other medical conditions for infertility should also be performed. In addition to this, weight loss and exercise should be encouraged in women seeking to achieve pregnancy. A dietary regimen that allows women to decrease 500 to 1,000 calories per day has been recommended, as well as daily physical activity for thirty minutes.</w:t>
      </w:r>
      <w:r w:rsidRPr="001B0D58">
        <w:rPr>
          <w:rFonts w:cstheme="minorHAnsi"/>
          <w:sz w:val="24"/>
          <w:szCs w:val="24"/>
          <w:vertAlign w:val="superscript"/>
        </w:rPr>
        <w:t>20</w:t>
      </w:r>
    </w:p>
    <w:p w14:paraId="4722188D" w14:textId="77777777" w:rsidR="00536301" w:rsidRPr="001B0D58" w:rsidRDefault="00536301" w:rsidP="00224514">
      <w:pPr>
        <w:pStyle w:val="Heading1"/>
        <w:rPr>
          <w:rFonts w:asciiTheme="minorHAnsi" w:hAnsiTheme="minorHAnsi" w:cstheme="minorHAnsi"/>
        </w:rPr>
      </w:pPr>
      <w:bookmarkStart w:id="7" w:name="_i16"/>
      <w:bookmarkEnd w:id="7"/>
      <w:r w:rsidRPr="001B0D58">
        <w:rPr>
          <w:rFonts w:asciiTheme="minorHAnsi" w:hAnsiTheme="minorHAnsi" w:cstheme="minorHAnsi"/>
        </w:rPr>
        <w:t>Conclusion</w:t>
      </w:r>
    </w:p>
    <w:p w14:paraId="0214C161" w14:textId="77777777" w:rsidR="00536301" w:rsidRPr="001B0D58" w:rsidRDefault="00536301" w:rsidP="00536301">
      <w:pPr>
        <w:rPr>
          <w:rFonts w:cstheme="minorHAnsi"/>
          <w:sz w:val="24"/>
          <w:szCs w:val="24"/>
        </w:rPr>
      </w:pPr>
      <w:r w:rsidRPr="001B0D58">
        <w:rPr>
          <w:rFonts w:cstheme="minorHAnsi"/>
          <w:sz w:val="24"/>
          <w:szCs w:val="24"/>
        </w:rPr>
        <w:t>The results of this study point to anovulation as a contributing factor to infertility as indicated by the greater percentage of anovulatory cycles among overweight and obese women when compared to women with a BMI in the normal range. Anovulation and poor ovulatory function might contribute to shortened luteal phases and menses. Further studies are needed to determine the effects of obesity on parameters of the menstrual cycle and menstrual cycle functions.</w:t>
      </w:r>
    </w:p>
    <w:p w14:paraId="714B45C8" w14:textId="77777777" w:rsidR="00536301" w:rsidRPr="001B0D58" w:rsidRDefault="00536301" w:rsidP="00224514">
      <w:pPr>
        <w:pStyle w:val="Heading1"/>
        <w:rPr>
          <w:rFonts w:asciiTheme="minorHAnsi" w:hAnsiTheme="minorHAnsi" w:cstheme="minorHAnsi"/>
        </w:rPr>
      </w:pPr>
      <w:r w:rsidRPr="001B0D58">
        <w:rPr>
          <w:rFonts w:asciiTheme="minorHAnsi" w:hAnsiTheme="minorHAnsi" w:cstheme="minorHAnsi"/>
        </w:rPr>
        <w:t>Notes</w:t>
      </w:r>
    </w:p>
    <w:p w14:paraId="6FC0F58E" w14:textId="2F4597DC" w:rsidR="00536301" w:rsidRPr="001B0D58" w:rsidRDefault="00536301" w:rsidP="00224514">
      <w:pPr>
        <w:spacing w:after="0"/>
        <w:ind w:left="720" w:hanging="720"/>
        <w:rPr>
          <w:rFonts w:cstheme="minorHAnsi"/>
          <w:sz w:val="24"/>
          <w:szCs w:val="24"/>
        </w:rPr>
      </w:pPr>
      <w:r w:rsidRPr="001B0D58">
        <w:rPr>
          <w:rFonts w:cstheme="minorHAnsi"/>
          <w:sz w:val="24"/>
          <w:szCs w:val="24"/>
        </w:rPr>
        <w:t>1</w:t>
      </w:r>
      <w:r w:rsidR="00224514" w:rsidRPr="001B0D58">
        <w:rPr>
          <w:rFonts w:cstheme="minorHAnsi"/>
          <w:sz w:val="24"/>
          <w:szCs w:val="24"/>
        </w:rPr>
        <w:t xml:space="preserve"> </w:t>
      </w:r>
      <w:r w:rsidRPr="001B0D58">
        <w:rPr>
          <w:rFonts w:cstheme="minorHAnsi"/>
          <w:sz w:val="24"/>
          <w:szCs w:val="24"/>
        </w:rPr>
        <w:t>World Health Organization, “Obesity and Overweight,” fact sheet n. 311 (May 2012), http://www.who.int/mediacentre/factsheets/fs311/en/.</w:t>
      </w:r>
    </w:p>
    <w:p w14:paraId="589928B8" w14:textId="125800C9" w:rsidR="00536301" w:rsidRPr="001B0D58" w:rsidRDefault="00536301" w:rsidP="00224514">
      <w:pPr>
        <w:spacing w:after="0"/>
        <w:ind w:left="720" w:hanging="720"/>
        <w:rPr>
          <w:rFonts w:cstheme="minorHAnsi"/>
          <w:sz w:val="24"/>
          <w:szCs w:val="24"/>
        </w:rPr>
      </w:pPr>
      <w:r w:rsidRPr="001B0D58">
        <w:rPr>
          <w:rFonts w:cstheme="minorHAnsi"/>
          <w:sz w:val="24"/>
          <w:szCs w:val="24"/>
        </w:rPr>
        <w:t>2</w:t>
      </w:r>
      <w:r w:rsidR="00224514" w:rsidRPr="001B0D58">
        <w:rPr>
          <w:rFonts w:cstheme="minorHAnsi"/>
          <w:sz w:val="24"/>
          <w:szCs w:val="24"/>
        </w:rPr>
        <w:t xml:space="preserve"> </w:t>
      </w:r>
      <w:r w:rsidRPr="001B0D58">
        <w:rPr>
          <w:rFonts w:cstheme="minorHAnsi"/>
          <w:sz w:val="24"/>
          <w:szCs w:val="24"/>
        </w:rPr>
        <w:t xml:space="preserve">Cynthia L. Ogden et al., “Prevalence of Obesity in the United States, 2009–2010,” </w:t>
      </w:r>
      <w:r w:rsidRPr="001B0D58">
        <w:rPr>
          <w:rFonts w:cstheme="minorHAnsi"/>
          <w:i/>
          <w:iCs/>
          <w:sz w:val="24"/>
          <w:szCs w:val="24"/>
        </w:rPr>
        <w:t>National Center for Health Statistics Data Brief, no. 82</w:t>
      </w:r>
      <w:r w:rsidRPr="001B0D58">
        <w:rPr>
          <w:rFonts w:cstheme="minorHAnsi"/>
          <w:sz w:val="24"/>
          <w:szCs w:val="24"/>
        </w:rPr>
        <w:t xml:space="preserve"> (Hyattsville, MD: U.S. Department of Health and Human Services, National Center for Health Statistics, 2012).</w:t>
      </w:r>
    </w:p>
    <w:p w14:paraId="06BBF67C" w14:textId="3379693E" w:rsidR="00536301" w:rsidRPr="001B0D58" w:rsidRDefault="00536301" w:rsidP="00224514">
      <w:pPr>
        <w:spacing w:after="0"/>
        <w:ind w:left="720" w:hanging="720"/>
        <w:rPr>
          <w:rFonts w:cstheme="minorHAnsi"/>
          <w:sz w:val="24"/>
          <w:szCs w:val="24"/>
        </w:rPr>
      </w:pPr>
      <w:r w:rsidRPr="001B0D58">
        <w:rPr>
          <w:rFonts w:cstheme="minorHAnsi"/>
          <w:sz w:val="24"/>
          <w:szCs w:val="24"/>
        </w:rPr>
        <w:t>3</w:t>
      </w:r>
      <w:r w:rsidR="00224514" w:rsidRPr="001B0D58">
        <w:rPr>
          <w:rFonts w:cstheme="minorHAnsi"/>
          <w:sz w:val="24"/>
          <w:szCs w:val="24"/>
        </w:rPr>
        <w:t xml:space="preserve"> </w:t>
      </w:r>
      <w:proofErr w:type="spellStart"/>
      <w:r w:rsidRPr="001B0D58">
        <w:rPr>
          <w:rFonts w:cstheme="minorHAnsi"/>
          <w:sz w:val="24"/>
          <w:szCs w:val="24"/>
        </w:rPr>
        <w:t>Shuying</w:t>
      </w:r>
      <w:proofErr w:type="spellEnd"/>
      <w:r w:rsidRPr="001B0D58">
        <w:rPr>
          <w:rFonts w:cstheme="minorHAnsi"/>
          <w:sz w:val="24"/>
          <w:szCs w:val="24"/>
        </w:rPr>
        <w:t xml:space="preserve"> Wei et al., “Obesity and Menstrual Irregularity: Associations with SHBG, Testosterone, and Insulin,” </w:t>
      </w:r>
      <w:r w:rsidRPr="001B0D58">
        <w:rPr>
          <w:rFonts w:cstheme="minorHAnsi"/>
          <w:i/>
          <w:iCs/>
          <w:sz w:val="24"/>
          <w:szCs w:val="24"/>
        </w:rPr>
        <w:t>Obesity Journal</w:t>
      </w:r>
      <w:r w:rsidRPr="001B0D58">
        <w:rPr>
          <w:rFonts w:cstheme="minorHAnsi"/>
          <w:sz w:val="24"/>
          <w:szCs w:val="24"/>
        </w:rPr>
        <w:t xml:space="preserve"> (2009): 1070–1076; E. </w:t>
      </w:r>
      <w:proofErr w:type="spellStart"/>
      <w:r w:rsidRPr="001B0D58">
        <w:rPr>
          <w:rFonts w:cstheme="minorHAnsi"/>
          <w:sz w:val="24"/>
          <w:szCs w:val="24"/>
        </w:rPr>
        <w:t>Diamanti-Kandarakis</w:t>
      </w:r>
      <w:proofErr w:type="spellEnd"/>
      <w:r w:rsidRPr="001B0D58">
        <w:rPr>
          <w:rFonts w:cstheme="minorHAnsi"/>
          <w:sz w:val="24"/>
          <w:szCs w:val="24"/>
        </w:rPr>
        <w:t xml:space="preserve"> and A. </w:t>
      </w:r>
      <w:proofErr w:type="spellStart"/>
      <w:r w:rsidRPr="001B0D58">
        <w:rPr>
          <w:rFonts w:cstheme="minorHAnsi"/>
          <w:sz w:val="24"/>
          <w:szCs w:val="24"/>
        </w:rPr>
        <w:t>Bergiele</w:t>
      </w:r>
      <w:proofErr w:type="spellEnd"/>
      <w:r w:rsidRPr="001B0D58">
        <w:rPr>
          <w:rFonts w:cstheme="minorHAnsi"/>
          <w:sz w:val="24"/>
          <w:szCs w:val="24"/>
        </w:rPr>
        <w:t xml:space="preserve">, “The Influence of Obesity on Hyperandrogenism and Infertility in the Female,” </w:t>
      </w:r>
      <w:r w:rsidRPr="001B0D58">
        <w:rPr>
          <w:rFonts w:cstheme="minorHAnsi"/>
          <w:i/>
          <w:iCs/>
          <w:sz w:val="24"/>
          <w:szCs w:val="24"/>
        </w:rPr>
        <w:t>Obesity Reviews</w:t>
      </w:r>
      <w:r w:rsidRPr="001B0D58">
        <w:rPr>
          <w:rFonts w:cstheme="minorHAnsi"/>
          <w:sz w:val="24"/>
          <w:szCs w:val="24"/>
        </w:rPr>
        <w:t xml:space="preserve"> 2 (2001): 231–238.</w:t>
      </w:r>
    </w:p>
    <w:p w14:paraId="73EBAC24" w14:textId="1C766791" w:rsidR="00536301" w:rsidRPr="001B0D58" w:rsidRDefault="00536301" w:rsidP="00224514">
      <w:pPr>
        <w:spacing w:after="0"/>
        <w:ind w:left="720" w:hanging="720"/>
        <w:rPr>
          <w:rFonts w:cstheme="minorHAnsi"/>
          <w:sz w:val="24"/>
          <w:szCs w:val="24"/>
        </w:rPr>
      </w:pPr>
      <w:r w:rsidRPr="001B0D58">
        <w:rPr>
          <w:rFonts w:cstheme="minorHAnsi"/>
          <w:sz w:val="24"/>
          <w:szCs w:val="24"/>
        </w:rPr>
        <w:t>4</w:t>
      </w:r>
      <w:r w:rsidR="00224514" w:rsidRPr="001B0D58">
        <w:rPr>
          <w:rFonts w:cstheme="minorHAnsi"/>
          <w:sz w:val="24"/>
          <w:szCs w:val="24"/>
        </w:rPr>
        <w:t xml:space="preserve"> </w:t>
      </w:r>
      <w:r w:rsidRPr="001B0D58">
        <w:rPr>
          <w:rFonts w:cstheme="minorHAnsi"/>
          <w:sz w:val="24"/>
          <w:szCs w:val="24"/>
        </w:rPr>
        <w:t xml:space="preserve">M. </w:t>
      </w:r>
      <w:proofErr w:type="spellStart"/>
      <w:r w:rsidRPr="001B0D58">
        <w:rPr>
          <w:rFonts w:cstheme="minorHAnsi"/>
          <w:sz w:val="24"/>
          <w:szCs w:val="24"/>
        </w:rPr>
        <w:t>Metwally</w:t>
      </w:r>
      <w:proofErr w:type="spellEnd"/>
      <w:r w:rsidRPr="001B0D58">
        <w:rPr>
          <w:rFonts w:cstheme="minorHAnsi"/>
          <w:sz w:val="24"/>
          <w:szCs w:val="24"/>
        </w:rPr>
        <w:t xml:space="preserve"> et al., “The Impact of Obesity on Female Reproduction Function,” </w:t>
      </w:r>
      <w:r w:rsidRPr="001B0D58">
        <w:rPr>
          <w:rFonts w:cstheme="minorHAnsi"/>
          <w:i/>
          <w:iCs/>
          <w:sz w:val="24"/>
          <w:szCs w:val="24"/>
        </w:rPr>
        <w:t>Obesity Reviews</w:t>
      </w:r>
      <w:r w:rsidRPr="001B0D58">
        <w:rPr>
          <w:rFonts w:cstheme="minorHAnsi"/>
          <w:sz w:val="24"/>
          <w:szCs w:val="24"/>
        </w:rPr>
        <w:t xml:space="preserve"> 8 (2007): 515–523; Teresa </w:t>
      </w:r>
      <w:proofErr w:type="spellStart"/>
      <w:r w:rsidRPr="001B0D58">
        <w:rPr>
          <w:rFonts w:cstheme="minorHAnsi"/>
          <w:sz w:val="24"/>
          <w:szCs w:val="24"/>
        </w:rPr>
        <w:t>Kulie</w:t>
      </w:r>
      <w:proofErr w:type="spellEnd"/>
      <w:r w:rsidRPr="001B0D58">
        <w:rPr>
          <w:rFonts w:cstheme="minorHAnsi"/>
          <w:sz w:val="24"/>
          <w:szCs w:val="24"/>
        </w:rPr>
        <w:t xml:space="preserve"> et al., “Obesity and Women's Health: An Evidence Based Review,” </w:t>
      </w:r>
      <w:r w:rsidRPr="001B0D58">
        <w:rPr>
          <w:rFonts w:cstheme="minorHAnsi"/>
          <w:i/>
          <w:iCs/>
          <w:sz w:val="24"/>
          <w:szCs w:val="24"/>
        </w:rPr>
        <w:t>Obesity and Women's Health</w:t>
      </w:r>
      <w:r w:rsidRPr="001B0D58">
        <w:rPr>
          <w:rFonts w:cstheme="minorHAnsi"/>
          <w:sz w:val="24"/>
          <w:szCs w:val="24"/>
        </w:rPr>
        <w:t xml:space="preserve"> 24 (2010): 75–82.</w:t>
      </w:r>
    </w:p>
    <w:p w14:paraId="3337CAA7" w14:textId="31B91E82" w:rsidR="00536301" w:rsidRPr="001B0D58" w:rsidRDefault="00536301" w:rsidP="00224514">
      <w:pPr>
        <w:spacing w:after="0"/>
        <w:ind w:left="720" w:hanging="720"/>
        <w:rPr>
          <w:rFonts w:cstheme="minorHAnsi"/>
          <w:sz w:val="24"/>
          <w:szCs w:val="24"/>
        </w:rPr>
      </w:pPr>
      <w:r w:rsidRPr="001B0D58">
        <w:rPr>
          <w:rFonts w:cstheme="minorHAnsi"/>
          <w:sz w:val="24"/>
          <w:szCs w:val="24"/>
        </w:rPr>
        <w:t>5</w:t>
      </w:r>
      <w:r w:rsidR="00224514" w:rsidRPr="001B0D58">
        <w:rPr>
          <w:rFonts w:cstheme="minorHAnsi"/>
          <w:sz w:val="24"/>
          <w:szCs w:val="24"/>
        </w:rPr>
        <w:t xml:space="preserve"> </w:t>
      </w:r>
      <w:r w:rsidRPr="001B0D58">
        <w:rPr>
          <w:rFonts w:cstheme="minorHAnsi"/>
          <w:sz w:val="24"/>
          <w:szCs w:val="24"/>
        </w:rPr>
        <w:t xml:space="preserve">S.M. Nelson and R. Fleming, “Obesity and Reproduction: Impact and Intervention,” </w:t>
      </w:r>
      <w:r w:rsidRPr="001B0D58">
        <w:rPr>
          <w:rFonts w:cstheme="minorHAnsi"/>
          <w:i/>
          <w:iCs/>
          <w:sz w:val="24"/>
          <w:szCs w:val="24"/>
        </w:rPr>
        <w:t>Current Opinion in Obstetrics &amp; Gynecology</w:t>
      </w:r>
      <w:r w:rsidRPr="001B0D58">
        <w:rPr>
          <w:rFonts w:cstheme="minorHAnsi"/>
          <w:sz w:val="24"/>
          <w:szCs w:val="24"/>
        </w:rPr>
        <w:t xml:space="preserve"> 19 (2007): 384–389.</w:t>
      </w:r>
    </w:p>
    <w:p w14:paraId="7E663FF5" w14:textId="5AAE440D" w:rsidR="00536301" w:rsidRPr="001B0D58" w:rsidRDefault="00536301" w:rsidP="00224514">
      <w:pPr>
        <w:spacing w:after="0"/>
        <w:ind w:left="720" w:hanging="720"/>
        <w:rPr>
          <w:rFonts w:cstheme="minorHAnsi"/>
          <w:sz w:val="24"/>
          <w:szCs w:val="24"/>
        </w:rPr>
      </w:pPr>
      <w:r w:rsidRPr="001B0D58">
        <w:rPr>
          <w:rFonts w:cstheme="minorHAnsi"/>
          <w:sz w:val="24"/>
          <w:szCs w:val="24"/>
        </w:rPr>
        <w:t>6</w:t>
      </w:r>
      <w:r w:rsidR="00224514" w:rsidRPr="001B0D58">
        <w:rPr>
          <w:rFonts w:cstheme="minorHAnsi"/>
          <w:sz w:val="24"/>
          <w:szCs w:val="24"/>
        </w:rPr>
        <w:t xml:space="preserve"> </w:t>
      </w:r>
      <w:r w:rsidRPr="001B0D58">
        <w:rPr>
          <w:rFonts w:cstheme="minorHAnsi"/>
          <w:sz w:val="24"/>
          <w:szCs w:val="24"/>
        </w:rPr>
        <w:t xml:space="preserve">Y. </w:t>
      </w:r>
      <w:proofErr w:type="spellStart"/>
      <w:r w:rsidRPr="001B0D58">
        <w:rPr>
          <w:rFonts w:cstheme="minorHAnsi"/>
          <w:sz w:val="24"/>
          <w:szCs w:val="24"/>
        </w:rPr>
        <w:t>Linne</w:t>
      </w:r>
      <w:proofErr w:type="spellEnd"/>
      <w:r w:rsidRPr="001B0D58">
        <w:rPr>
          <w:rFonts w:cstheme="minorHAnsi"/>
          <w:sz w:val="24"/>
          <w:szCs w:val="24"/>
        </w:rPr>
        <w:t xml:space="preserve"> and S. </w:t>
      </w:r>
      <w:proofErr w:type="spellStart"/>
      <w:r w:rsidRPr="001B0D58">
        <w:rPr>
          <w:rFonts w:cstheme="minorHAnsi"/>
          <w:sz w:val="24"/>
          <w:szCs w:val="24"/>
        </w:rPr>
        <w:t>Rossner</w:t>
      </w:r>
      <w:proofErr w:type="spellEnd"/>
      <w:r w:rsidRPr="001B0D58">
        <w:rPr>
          <w:rFonts w:cstheme="minorHAnsi"/>
          <w:sz w:val="24"/>
          <w:szCs w:val="24"/>
        </w:rPr>
        <w:t xml:space="preserve">, “Interrelationships Between Weight Development in Subsequent Pregnancies: The SPAWN Study,” </w:t>
      </w:r>
      <w:r w:rsidRPr="001B0D58">
        <w:rPr>
          <w:rFonts w:cstheme="minorHAnsi"/>
          <w:i/>
          <w:iCs/>
          <w:sz w:val="24"/>
          <w:szCs w:val="24"/>
        </w:rPr>
        <w:t xml:space="preserve">Acta </w:t>
      </w:r>
      <w:proofErr w:type="spellStart"/>
      <w:r w:rsidRPr="001B0D58">
        <w:rPr>
          <w:rFonts w:cstheme="minorHAnsi"/>
          <w:i/>
          <w:iCs/>
          <w:sz w:val="24"/>
          <w:szCs w:val="24"/>
        </w:rPr>
        <w:t>Obstetricia</w:t>
      </w:r>
      <w:proofErr w:type="spellEnd"/>
      <w:r w:rsidRPr="001B0D58">
        <w:rPr>
          <w:rFonts w:cstheme="minorHAnsi"/>
          <w:i/>
          <w:iCs/>
          <w:sz w:val="24"/>
          <w:szCs w:val="24"/>
        </w:rPr>
        <w:t xml:space="preserve"> et </w:t>
      </w:r>
      <w:proofErr w:type="spellStart"/>
      <w:r w:rsidRPr="001B0D58">
        <w:rPr>
          <w:rFonts w:cstheme="minorHAnsi"/>
          <w:i/>
          <w:iCs/>
          <w:sz w:val="24"/>
          <w:szCs w:val="24"/>
        </w:rPr>
        <w:t>Gynecologica</w:t>
      </w:r>
      <w:proofErr w:type="spellEnd"/>
      <w:r w:rsidRPr="001B0D58">
        <w:rPr>
          <w:rFonts w:cstheme="minorHAnsi"/>
          <w:i/>
          <w:iCs/>
          <w:sz w:val="24"/>
          <w:szCs w:val="24"/>
        </w:rPr>
        <w:t xml:space="preserve"> Scandinavica</w:t>
      </w:r>
      <w:r w:rsidRPr="001B0D58">
        <w:rPr>
          <w:rFonts w:cstheme="minorHAnsi"/>
          <w:sz w:val="24"/>
          <w:szCs w:val="24"/>
        </w:rPr>
        <w:t xml:space="preserve"> 82 (2003): 318–325.</w:t>
      </w:r>
    </w:p>
    <w:p w14:paraId="33B08B4C" w14:textId="3CBFF8B9" w:rsidR="00536301" w:rsidRPr="001B0D58" w:rsidRDefault="00536301" w:rsidP="00224514">
      <w:pPr>
        <w:spacing w:after="0"/>
        <w:ind w:left="720" w:hanging="720"/>
        <w:rPr>
          <w:rFonts w:cstheme="minorHAnsi"/>
          <w:sz w:val="24"/>
          <w:szCs w:val="24"/>
        </w:rPr>
      </w:pPr>
      <w:r w:rsidRPr="001B0D58">
        <w:rPr>
          <w:rFonts w:cstheme="minorHAnsi"/>
          <w:sz w:val="24"/>
          <w:szCs w:val="24"/>
        </w:rPr>
        <w:t>7</w:t>
      </w:r>
      <w:r w:rsidR="00224514" w:rsidRPr="001B0D58">
        <w:rPr>
          <w:rFonts w:cstheme="minorHAnsi"/>
          <w:sz w:val="24"/>
          <w:szCs w:val="24"/>
        </w:rPr>
        <w:t xml:space="preserve"> </w:t>
      </w:r>
      <w:proofErr w:type="spellStart"/>
      <w:r w:rsidRPr="001B0D58">
        <w:rPr>
          <w:rFonts w:cstheme="minorHAnsi"/>
          <w:sz w:val="24"/>
          <w:szCs w:val="24"/>
        </w:rPr>
        <w:t>Diamanti-Kandarakis</w:t>
      </w:r>
      <w:proofErr w:type="spellEnd"/>
      <w:r w:rsidRPr="001B0D58">
        <w:rPr>
          <w:rFonts w:cstheme="minorHAnsi"/>
          <w:sz w:val="24"/>
          <w:szCs w:val="24"/>
        </w:rPr>
        <w:t xml:space="preserve"> and </w:t>
      </w:r>
      <w:proofErr w:type="spellStart"/>
      <w:r w:rsidRPr="001B0D58">
        <w:rPr>
          <w:rFonts w:cstheme="minorHAnsi"/>
          <w:sz w:val="24"/>
          <w:szCs w:val="24"/>
        </w:rPr>
        <w:t>Bergiele</w:t>
      </w:r>
      <w:proofErr w:type="spellEnd"/>
      <w:r w:rsidRPr="001B0D58">
        <w:rPr>
          <w:rFonts w:cstheme="minorHAnsi"/>
          <w:sz w:val="24"/>
          <w:szCs w:val="24"/>
        </w:rPr>
        <w:t>, “The Influence of Obesity on Hyperandrogenism and Infertility in the Female.”</w:t>
      </w:r>
    </w:p>
    <w:p w14:paraId="16DCAEAA" w14:textId="6FEEE561" w:rsidR="00536301" w:rsidRPr="001B0D58" w:rsidRDefault="00536301" w:rsidP="00224514">
      <w:pPr>
        <w:spacing w:after="0"/>
        <w:ind w:left="720" w:hanging="720"/>
        <w:rPr>
          <w:rFonts w:cstheme="minorHAnsi"/>
          <w:sz w:val="24"/>
          <w:szCs w:val="24"/>
        </w:rPr>
      </w:pPr>
      <w:r w:rsidRPr="001B0D58">
        <w:rPr>
          <w:rFonts w:cstheme="minorHAnsi"/>
          <w:sz w:val="24"/>
          <w:szCs w:val="24"/>
        </w:rPr>
        <w:t>8</w:t>
      </w:r>
      <w:r w:rsidR="00224514" w:rsidRPr="001B0D58">
        <w:rPr>
          <w:rFonts w:cstheme="minorHAnsi"/>
          <w:sz w:val="24"/>
          <w:szCs w:val="24"/>
        </w:rPr>
        <w:t xml:space="preserve"> </w:t>
      </w:r>
      <w:proofErr w:type="spellStart"/>
      <w:r w:rsidRPr="001B0D58">
        <w:rPr>
          <w:rFonts w:cstheme="minorHAnsi"/>
          <w:sz w:val="24"/>
          <w:szCs w:val="24"/>
        </w:rPr>
        <w:t>Nafiye</w:t>
      </w:r>
      <w:proofErr w:type="spellEnd"/>
      <w:r w:rsidRPr="001B0D58">
        <w:rPr>
          <w:rFonts w:cstheme="minorHAnsi"/>
          <w:sz w:val="24"/>
          <w:szCs w:val="24"/>
        </w:rPr>
        <w:t xml:space="preserve"> Yilmaz et al., “The Relationship Between Obesity and Fecundity,” </w:t>
      </w:r>
      <w:r w:rsidRPr="001B0D58">
        <w:rPr>
          <w:rFonts w:cstheme="minorHAnsi"/>
          <w:i/>
          <w:iCs/>
          <w:sz w:val="24"/>
          <w:szCs w:val="24"/>
        </w:rPr>
        <w:t>Journal of Women's Health</w:t>
      </w:r>
      <w:r w:rsidRPr="001B0D58">
        <w:rPr>
          <w:rFonts w:cstheme="minorHAnsi"/>
          <w:sz w:val="24"/>
          <w:szCs w:val="24"/>
        </w:rPr>
        <w:t xml:space="preserve"> 18 (2009): 633–636; F. </w:t>
      </w:r>
      <w:proofErr w:type="spellStart"/>
      <w:r w:rsidRPr="001B0D58">
        <w:rPr>
          <w:rFonts w:cstheme="minorHAnsi"/>
          <w:sz w:val="24"/>
          <w:szCs w:val="24"/>
        </w:rPr>
        <w:t>Bolumar</w:t>
      </w:r>
      <w:proofErr w:type="spellEnd"/>
      <w:r w:rsidRPr="001B0D58">
        <w:rPr>
          <w:rFonts w:cstheme="minorHAnsi"/>
          <w:sz w:val="24"/>
          <w:szCs w:val="24"/>
        </w:rPr>
        <w:t xml:space="preserve"> and J. Olsen, “The European Study Group on Infertility and Subfecundity: Body Mass Index and Delayed Conception: A European Multicenter Study on Infertility and Subfecundity,” </w:t>
      </w:r>
      <w:r w:rsidRPr="001B0D58">
        <w:rPr>
          <w:rFonts w:cstheme="minorHAnsi"/>
          <w:i/>
          <w:iCs/>
          <w:sz w:val="24"/>
          <w:szCs w:val="24"/>
        </w:rPr>
        <w:t>American Journal of Epidemiology</w:t>
      </w:r>
      <w:r w:rsidRPr="001B0D58">
        <w:rPr>
          <w:rFonts w:cstheme="minorHAnsi"/>
          <w:sz w:val="24"/>
          <w:szCs w:val="24"/>
        </w:rPr>
        <w:t xml:space="preserve"> 151 (2000): 1072–1079; J.H. Beard et al., “Reproductive Considerations and Pregnancy after Bariatric Surgery: Current Evidence and Recommendations,” </w:t>
      </w:r>
      <w:r w:rsidRPr="001B0D58">
        <w:rPr>
          <w:rFonts w:cstheme="minorHAnsi"/>
          <w:i/>
          <w:iCs/>
          <w:sz w:val="24"/>
          <w:szCs w:val="24"/>
        </w:rPr>
        <w:t>Obesity Surgery</w:t>
      </w:r>
      <w:r w:rsidRPr="001B0D58">
        <w:rPr>
          <w:rFonts w:cstheme="minorHAnsi"/>
          <w:sz w:val="24"/>
          <w:szCs w:val="24"/>
        </w:rPr>
        <w:t xml:space="preserve"> 18 (2008): 1023–1027; E. Moll et al., “Does Adding Metformin to </w:t>
      </w:r>
      <w:proofErr w:type="spellStart"/>
      <w:r w:rsidRPr="001B0D58">
        <w:rPr>
          <w:rFonts w:cstheme="minorHAnsi"/>
          <w:sz w:val="24"/>
          <w:szCs w:val="24"/>
        </w:rPr>
        <w:t>Clomifene</w:t>
      </w:r>
      <w:proofErr w:type="spellEnd"/>
      <w:r w:rsidRPr="001B0D58">
        <w:rPr>
          <w:rFonts w:cstheme="minorHAnsi"/>
          <w:sz w:val="24"/>
          <w:szCs w:val="24"/>
        </w:rPr>
        <w:t xml:space="preserve"> Citrate Lead to Higher Pregnancy Rates in a Subset of Women with Polycystic Ovary Syndrome,” </w:t>
      </w:r>
      <w:r w:rsidRPr="001B0D58">
        <w:rPr>
          <w:rFonts w:cstheme="minorHAnsi"/>
          <w:i/>
          <w:iCs/>
          <w:sz w:val="24"/>
          <w:szCs w:val="24"/>
        </w:rPr>
        <w:t>Human Reproduction</w:t>
      </w:r>
      <w:r w:rsidRPr="001B0D58">
        <w:rPr>
          <w:rFonts w:cstheme="minorHAnsi"/>
          <w:sz w:val="24"/>
          <w:szCs w:val="24"/>
        </w:rPr>
        <w:t xml:space="preserve"> 23 (2008): 1830–1840.</w:t>
      </w:r>
    </w:p>
    <w:p w14:paraId="2B25713F" w14:textId="243D33A6" w:rsidR="00536301" w:rsidRPr="001B0D58" w:rsidRDefault="00536301" w:rsidP="00224514">
      <w:pPr>
        <w:spacing w:after="0"/>
        <w:ind w:left="720" w:hanging="720"/>
        <w:rPr>
          <w:rFonts w:cstheme="minorHAnsi"/>
          <w:sz w:val="24"/>
          <w:szCs w:val="24"/>
        </w:rPr>
      </w:pPr>
      <w:r w:rsidRPr="001B0D58">
        <w:rPr>
          <w:rFonts w:cstheme="minorHAnsi"/>
          <w:sz w:val="24"/>
          <w:szCs w:val="24"/>
        </w:rPr>
        <w:t>9</w:t>
      </w:r>
      <w:r w:rsidR="00224514" w:rsidRPr="001B0D58">
        <w:rPr>
          <w:rFonts w:cstheme="minorHAnsi"/>
          <w:sz w:val="24"/>
          <w:szCs w:val="24"/>
        </w:rPr>
        <w:t xml:space="preserve"> </w:t>
      </w:r>
      <w:proofErr w:type="spellStart"/>
      <w:r w:rsidRPr="001B0D58">
        <w:rPr>
          <w:rFonts w:cstheme="minorHAnsi"/>
          <w:sz w:val="24"/>
          <w:szCs w:val="24"/>
        </w:rPr>
        <w:t>Diamanti-Kandarakis</w:t>
      </w:r>
      <w:proofErr w:type="spellEnd"/>
      <w:r w:rsidRPr="001B0D58">
        <w:rPr>
          <w:rFonts w:cstheme="minorHAnsi"/>
          <w:sz w:val="24"/>
          <w:szCs w:val="24"/>
        </w:rPr>
        <w:t xml:space="preserve"> and </w:t>
      </w:r>
      <w:proofErr w:type="spellStart"/>
      <w:r w:rsidRPr="001B0D58">
        <w:rPr>
          <w:rFonts w:cstheme="minorHAnsi"/>
          <w:sz w:val="24"/>
          <w:szCs w:val="24"/>
        </w:rPr>
        <w:t>Bergiele</w:t>
      </w:r>
      <w:proofErr w:type="spellEnd"/>
      <w:r w:rsidRPr="001B0D58">
        <w:rPr>
          <w:rFonts w:cstheme="minorHAnsi"/>
          <w:sz w:val="24"/>
          <w:szCs w:val="24"/>
        </w:rPr>
        <w:t>, “The Influence of Obesity on Hyperandrogenism and Infertility in the Female.”</w:t>
      </w:r>
    </w:p>
    <w:p w14:paraId="56764E49" w14:textId="3DF4FE32" w:rsidR="00536301" w:rsidRPr="001B0D58" w:rsidRDefault="00536301" w:rsidP="00224514">
      <w:pPr>
        <w:spacing w:after="0"/>
        <w:ind w:left="720" w:hanging="720"/>
        <w:rPr>
          <w:rFonts w:cstheme="minorHAnsi"/>
          <w:sz w:val="24"/>
          <w:szCs w:val="24"/>
        </w:rPr>
      </w:pPr>
      <w:r w:rsidRPr="001B0D58">
        <w:rPr>
          <w:rFonts w:cstheme="minorHAnsi"/>
          <w:sz w:val="24"/>
          <w:szCs w:val="24"/>
        </w:rPr>
        <w:t>10</w:t>
      </w:r>
      <w:r w:rsidR="00224514" w:rsidRPr="001B0D58">
        <w:rPr>
          <w:rFonts w:cstheme="minorHAnsi"/>
          <w:sz w:val="24"/>
          <w:szCs w:val="24"/>
        </w:rPr>
        <w:t xml:space="preserve"> </w:t>
      </w:r>
      <w:r w:rsidRPr="001B0D58">
        <w:rPr>
          <w:rFonts w:cstheme="minorHAnsi"/>
          <w:sz w:val="24"/>
          <w:szCs w:val="24"/>
        </w:rPr>
        <w:t>Yilmaz et al., “The Relationship Between Obesity and Fecundity.”</w:t>
      </w:r>
    </w:p>
    <w:p w14:paraId="13A61C8A" w14:textId="7D2600BF" w:rsidR="00536301" w:rsidRPr="001B0D58" w:rsidRDefault="00536301" w:rsidP="00224514">
      <w:pPr>
        <w:spacing w:after="0"/>
        <w:ind w:left="720" w:hanging="720"/>
        <w:rPr>
          <w:rFonts w:cstheme="minorHAnsi"/>
          <w:sz w:val="24"/>
          <w:szCs w:val="24"/>
        </w:rPr>
      </w:pPr>
      <w:r w:rsidRPr="001B0D58">
        <w:rPr>
          <w:rFonts w:cstheme="minorHAnsi"/>
          <w:sz w:val="24"/>
          <w:szCs w:val="24"/>
        </w:rPr>
        <w:t>11</w:t>
      </w:r>
      <w:r w:rsidR="00224514" w:rsidRPr="001B0D58">
        <w:rPr>
          <w:rFonts w:cstheme="minorHAnsi"/>
          <w:sz w:val="24"/>
          <w:szCs w:val="24"/>
        </w:rPr>
        <w:t xml:space="preserve"> </w:t>
      </w:r>
      <w:r w:rsidRPr="001B0D58">
        <w:rPr>
          <w:rFonts w:cstheme="minorHAnsi"/>
          <w:sz w:val="24"/>
          <w:szCs w:val="24"/>
        </w:rPr>
        <w:t xml:space="preserve">L. </w:t>
      </w:r>
      <w:proofErr w:type="spellStart"/>
      <w:r w:rsidRPr="001B0D58">
        <w:rPr>
          <w:rFonts w:cstheme="minorHAnsi"/>
          <w:sz w:val="24"/>
          <w:szCs w:val="24"/>
        </w:rPr>
        <w:t>Poretsky</w:t>
      </w:r>
      <w:proofErr w:type="spellEnd"/>
      <w:r w:rsidRPr="001B0D58">
        <w:rPr>
          <w:rFonts w:cstheme="minorHAnsi"/>
          <w:sz w:val="24"/>
          <w:szCs w:val="24"/>
        </w:rPr>
        <w:t xml:space="preserve"> et al., “The Insulin-Related Ovarian Regulatory System in Health and Disease,” </w:t>
      </w:r>
      <w:r w:rsidRPr="001B0D58">
        <w:rPr>
          <w:rFonts w:cstheme="minorHAnsi"/>
          <w:i/>
          <w:iCs/>
          <w:sz w:val="24"/>
          <w:szCs w:val="24"/>
        </w:rPr>
        <w:t>Endocrinology</w:t>
      </w:r>
      <w:r w:rsidRPr="001B0D58">
        <w:rPr>
          <w:rFonts w:cstheme="minorHAnsi"/>
          <w:sz w:val="24"/>
          <w:szCs w:val="24"/>
        </w:rPr>
        <w:t xml:space="preserve"> 20 (1999): 535–582.</w:t>
      </w:r>
    </w:p>
    <w:p w14:paraId="66A1A1B0" w14:textId="791C654E" w:rsidR="00536301" w:rsidRPr="001B0D58" w:rsidRDefault="00536301" w:rsidP="00224514">
      <w:pPr>
        <w:spacing w:after="0"/>
        <w:ind w:left="720" w:hanging="720"/>
        <w:rPr>
          <w:rFonts w:cstheme="minorHAnsi"/>
          <w:sz w:val="24"/>
          <w:szCs w:val="24"/>
        </w:rPr>
      </w:pPr>
      <w:r w:rsidRPr="001B0D58">
        <w:rPr>
          <w:rFonts w:cstheme="minorHAnsi"/>
          <w:sz w:val="24"/>
          <w:szCs w:val="24"/>
        </w:rPr>
        <w:t>12</w:t>
      </w:r>
      <w:r w:rsidR="00224514" w:rsidRPr="001B0D58">
        <w:rPr>
          <w:rFonts w:cstheme="minorHAnsi"/>
          <w:sz w:val="24"/>
          <w:szCs w:val="24"/>
        </w:rPr>
        <w:t xml:space="preserve"> </w:t>
      </w:r>
      <w:r w:rsidRPr="001B0D58">
        <w:rPr>
          <w:rFonts w:cstheme="minorHAnsi"/>
          <w:sz w:val="24"/>
          <w:szCs w:val="24"/>
        </w:rPr>
        <w:t xml:space="preserve">Nelson and Fleming, “Obesity and Reproduction: Impact and Intervention”; Y. </w:t>
      </w:r>
      <w:proofErr w:type="spellStart"/>
      <w:r w:rsidRPr="001B0D58">
        <w:rPr>
          <w:rFonts w:cstheme="minorHAnsi"/>
          <w:sz w:val="24"/>
          <w:szCs w:val="24"/>
        </w:rPr>
        <w:t>Yogev</w:t>
      </w:r>
      <w:proofErr w:type="spellEnd"/>
      <w:r w:rsidRPr="001B0D58">
        <w:rPr>
          <w:rFonts w:cstheme="minorHAnsi"/>
          <w:sz w:val="24"/>
          <w:szCs w:val="24"/>
        </w:rPr>
        <w:t xml:space="preserve"> and P.M. Catalano, “Pregnancy and Obesity,” </w:t>
      </w:r>
      <w:r w:rsidRPr="001B0D58">
        <w:rPr>
          <w:rFonts w:cstheme="minorHAnsi"/>
          <w:i/>
          <w:iCs/>
          <w:sz w:val="24"/>
          <w:szCs w:val="24"/>
        </w:rPr>
        <w:t xml:space="preserve">Obstetrics and </w:t>
      </w:r>
      <w:proofErr w:type="spellStart"/>
      <w:r w:rsidRPr="001B0D58">
        <w:rPr>
          <w:rFonts w:cstheme="minorHAnsi"/>
          <w:i/>
          <w:iCs/>
          <w:sz w:val="24"/>
          <w:szCs w:val="24"/>
        </w:rPr>
        <w:t>Gyneology</w:t>
      </w:r>
      <w:proofErr w:type="spellEnd"/>
      <w:r w:rsidRPr="001B0D58">
        <w:rPr>
          <w:rFonts w:cstheme="minorHAnsi"/>
          <w:i/>
          <w:iCs/>
          <w:sz w:val="24"/>
          <w:szCs w:val="24"/>
        </w:rPr>
        <w:t xml:space="preserve"> Clinics of North America</w:t>
      </w:r>
      <w:r w:rsidRPr="001B0D58">
        <w:rPr>
          <w:rFonts w:cstheme="minorHAnsi"/>
          <w:sz w:val="24"/>
          <w:szCs w:val="24"/>
        </w:rPr>
        <w:t xml:space="preserve"> 36 (2009): 285–300; C. Tamer </w:t>
      </w:r>
      <w:proofErr w:type="spellStart"/>
      <w:r w:rsidRPr="001B0D58">
        <w:rPr>
          <w:rFonts w:cstheme="minorHAnsi"/>
          <w:sz w:val="24"/>
          <w:szCs w:val="24"/>
        </w:rPr>
        <w:t>Erel</w:t>
      </w:r>
      <w:proofErr w:type="spellEnd"/>
      <w:r w:rsidRPr="001B0D58">
        <w:rPr>
          <w:rFonts w:cstheme="minorHAnsi"/>
          <w:sz w:val="24"/>
          <w:szCs w:val="24"/>
        </w:rPr>
        <w:t xml:space="preserve"> and L.M. </w:t>
      </w:r>
      <w:proofErr w:type="spellStart"/>
      <w:r w:rsidRPr="001B0D58">
        <w:rPr>
          <w:rFonts w:cstheme="minorHAnsi"/>
          <w:sz w:val="24"/>
          <w:szCs w:val="24"/>
        </w:rPr>
        <w:t>Senturk</w:t>
      </w:r>
      <w:proofErr w:type="spellEnd"/>
      <w:r w:rsidRPr="001B0D58">
        <w:rPr>
          <w:rFonts w:cstheme="minorHAnsi"/>
          <w:sz w:val="24"/>
          <w:szCs w:val="24"/>
        </w:rPr>
        <w:t xml:space="preserve">, “The Impact of Body Mass Index on Assisted Reproduction,” </w:t>
      </w:r>
      <w:r w:rsidRPr="001B0D58">
        <w:rPr>
          <w:rFonts w:cstheme="minorHAnsi"/>
          <w:i/>
          <w:iCs/>
          <w:sz w:val="24"/>
          <w:szCs w:val="24"/>
        </w:rPr>
        <w:t>Current Opinion in Obstetrics &amp; Gynecology</w:t>
      </w:r>
      <w:r w:rsidRPr="001B0D58">
        <w:rPr>
          <w:rFonts w:cstheme="minorHAnsi"/>
          <w:sz w:val="24"/>
          <w:szCs w:val="24"/>
        </w:rPr>
        <w:t xml:space="preserve"> 21 (2009): 228–235.</w:t>
      </w:r>
    </w:p>
    <w:p w14:paraId="61C4C8AF" w14:textId="03FC34FE" w:rsidR="00536301" w:rsidRPr="001B0D58" w:rsidRDefault="00536301" w:rsidP="00224514">
      <w:pPr>
        <w:spacing w:after="0"/>
        <w:ind w:left="720" w:hanging="720"/>
        <w:rPr>
          <w:rFonts w:cstheme="minorHAnsi"/>
          <w:sz w:val="24"/>
          <w:szCs w:val="24"/>
        </w:rPr>
      </w:pPr>
      <w:r w:rsidRPr="001B0D58">
        <w:rPr>
          <w:rFonts w:cstheme="minorHAnsi"/>
          <w:sz w:val="24"/>
          <w:szCs w:val="24"/>
        </w:rPr>
        <w:t>13</w:t>
      </w:r>
      <w:r w:rsidR="00224514" w:rsidRPr="001B0D58">
        <w:rPr>
          <w:rFonts w:cstheme="minorHAnsi"/>
          <w:sz w:val="24"/>
          <w:szCs w:val="24"/>
        </w:rPr>
        <w:t xml:space="preserve"> </w:t>
      </w:r>
      <w:r w:rsidRPr="001B0D58">
        <w:rPr>
          <w:rFonts w:cstheme="minorHAnsi"/>
          <w:sz w:val="24"/>
          <w:szCs w:val="24"/>
        </w:rPr>
        <w:t xml:space="preserve">R. </w:t>
      </w:r>
      <w:proofErr w:type="spellStart"/>
      <w:r w:rsidRPr="001B0D58">
        <w:rPr>
          <w:rFonts w:cstheme="minorHAnsi"/>
          <w:sz w:val="24"/>
          <w:szCs w:val="24"/>
        </w:rPr>
        <w:t>Pasquali</w:t>
      </w:r>
      <w:proofErr w:type="spellEnd"/>
      <w:r w:rsidRPr="001B0D58">
        <w:rPr>
          <w:rFonts w:cstheme="minorHAnsi"/>
          <w:sz w:val="24"/>
          <w:szCs w:val="24"/>
        </w:rPr>
        <w:t xml:space="preserve"> and C. </w:t>
      </w:r>
      <w:proofErr w:type="spellStart"/>
      <w:r w:rsidRPr="001B0D58">
        <w:rPr>
          <w:rFonts w:cstheme="minorHAnsi"/>
          <w:sz w:val="24"/>
          <w:szCs w:val="24"/>
        </w:rPr>
        <w:t>Pelusi</w:t>
      </w:r>
      <w:proofErr w:type="spellEnd"/>
      <w:r w:rsidRPr="001B0D58">
        <w:rPr>
          <w:rFonts w:cstheme="minorHAnsi"/>
          <w:sz w:val="24"/>
          <w:szCs w:val="24"/>
        </w:rPr>
        <w:t xml:space="preserve">, “Metabolic Effects of Obesity on Reproduction,” </w:t>
      </w:r>
      <w:r w:rsidRPr="001B0D58">
        <w:rPr>
          <w:rFonts w:cstheme="minorHAnsi"/>
          <w:i/>
          <w:iCs/>
          <w:sz w:val="24"/>
          <w:szCs w:val="24"/>
        </w:rPr>
        <w:t>Reproductive Biomedicine</w:t>
      </w:r>
      <w:r w:rsidRPr="001B0D58">
        <w:rPr>
          <w:rFonts w:cstheme="minorHAnsi"/>
          <w:sz w:val="24"/>
          <w:szCs w:val="24"/>
        </w:rPr>
        <w:t xml:space="preserve"> 9 (2003): 359–372; D.W. Haslam and W.P.T. James, “Obesity,” </w:t>
      </w:r>
      <w:r w:rsidRPr="001B0D58">
        <w:rPr>
          <w:rFonts w:cstheme="minorHAnsi"/>
          <w:i/>
          <w:iCs/>
          <w:sz w:val="24"/>
          <w:szCs w:val="24"/>
        </w:rPr>
        <w:t xml:space="preserve">Lancet </w:t>
      </w:r>
      <w:proofErr w:type="spellStart"/>
      <w:r w:rsidRPr="001B0D58">
        <w:rPr>
          <w:rFonts w:cstheme="minorHAnsi"/>
          <w:i/>
          <w:iCs/>
          <w:sz w:val="24"/>
          <w:szCs w:val="24"/>
        </w:rPr>
        <w:t>Medial</w:t>
      </w:r>
      <w:proofErr w:type="spellEnd"/>
      <w:r w:rsidRPr="001B0D58">
        <w:rPr>
          <w:rFonts w:cstheme="minorHAnsi"/>
          <w:i/>
          <w:iCs/>
          <w:sz w:val="24"/>
          <w:szCs w:val="24"/>
        </w:rPr>
        <w:t xml:space="preserve"> Journal</w:t>
      </w:r>
      <w:r w:rsidRPr="001B0D58">
        <w:rPr>
          <w:rFonts w:cstheme="minorHAnsi"/>
          <w:sz w:val="24"/>
          <w:szCs w:val="24"/>
        </w:rPr>
        <w:t xml:space="preserve"> 366 (2005): 1197–1207.</w:t>
      </w:r>
    </w:p>
    <w:p w14:paraId="5553C30E" w14:textId="25655D61" w:rsidR="00536301" w:rsidRPr="001B0D58" w:rsidRDefault="00536301" w:rsidP="00224514">
      <w:pPr>
        <w:spacing w:after="0"/>
        <w:ind w:left="720" w:hanging="720"/>
        <w:rPr>
          <w:rFonts w:cstheme="minorHAnsi"/>
          <w:sz w:val="24"/>
          <w:szCs w:val="24"/>
        </w:rPr>
      </w:pPr>
      <w:r w:rsidRPr="001B0D58">
        <w:rPr>
          <w:rFonts w:cstheme="minorHAnsi"/>
          <w:sz w:val="24"/>
          <w:szCs w:val="24"/>
        </w:rPr>
        <w:t>14</w:t>
      </w:r>
      <w:r w:rsidR="00224514" w:rsidRPr="001B0D58">
        <w:rPr>
          <w:rFonts w:cstheme="minorHAnsi"/>
          <w:sz w:val="24"/>
          <w:szCs w:val="24"/>
        </w:rPr>
        <w:t xml:space="preserve"> </w:t>
      </w:r>
      <w:r w:rsidRPr="001B0D58">
        <w:rPr>
          <w:rFonts w:cstheme="minorHAnsi"/>
          <w:sz w:val="24"/>
          <w:szCs w:val="24"/>
        </w:rPr>
        <w:t>Yilmaz et al., “The Relationship Between Obesity and Fecundity.”</w:t>
      </w:r>
    </w:p>
    <w:p w14:paraId="096ED5FE" w14:textId="18CE9A22" w:rsidR="00536301" w:rsidRPr="001B0D58" w:rsidRDefault="00536301" w:rsidP="00224514">
      <w:pPr>
        <w:spacing w:after="0"/>
        <w:ind w:left="720" w:hanging="720"/>
        <w:rPr>
          <w:rFonts w:cstheme="minorHAnsi"/>
          <w:sz w:val="24"/>
          <w:szCs w:val="24"/>
        </w:rPr>
      </w:pPr>
      <w:r w:rsidRPr="001B0D58">
        <w:rPr>
          <w:rFonts w:cstheme="minorHAnsi"/>
          <w:sz w:val="24"/>
          <w:szCs w:val="24"/>
        </w:rPr>
        <w:t>15</w:t>
      </w:r>
      <w:r w:rsidR="00224514" w:rsidRPr="001B0D58">
        <w:rPr>
          <w:rFonts w:cstheme="minorHAnsi"/>
          <w:sz w:val="24"/>
          <w:szCs w:val="24"/>
        </w:rPr>
        <w:t xml:space="preserve"> </w:t>
      </w:r>
      <w:r w:rsidRPr="001B0D58">
        <w:rPr>
          <w:rFonts w:cstheme="minorHAnsi"/>
          <w:sz w:val="24"/>
          <w:szCs w:val="24"/>
        </w:rPr>
        <w:t xml:space="preserve">Orhan </w:t>
      </w:r>
      <w:proofErr w:type="spellStart"/>
      <w:r w:rsidRPr="001B0D58">
        <w:rPr>
          <w:rFonts w:cstheme="minorHAnsi"/>
          <w:sz w:val="24"/>
          <w:szCs w:val="24"/>
        </w:rPr>
        <w:t>Bukulmez</w:t>
      </w:r>
      <w:proofErr w:type="spellEnd"/>
      <w:r w:rsidRPr="001B0D58">
        <w:rPr>
          <w:rFonts w:cstheme="minorHAnsi"/>
          <w:sz w:val="24"/>
          <w:szCs w:val="24"/>
        </w:rPr>
        <w:t xml:space="preserve"> and Aydin </w:t>
      </w:r>
      <w:proofErr w:type="spellStart"/>
      <w:r w:rsidRPr="001B0D58">
        <w:rPr>
          <w:rFonts w:cstheme="minorHAnsi"/>
          <w:sz w:val="24"/>
          <w:szCs w:val="24"/>
        </w:rPr>
        <w:t>Arici</w:t>
      </w:r>
      <w:proofErr w:type="spellEnd"/>
      <w:r w:rsidRPr="001B0D58">
        <w:rPr>
          <w:rFonts w:cstheme="minorHAnsi"/>
          <w:sz w:val="24"/>
          <w:szCs w:val="24"/>
        </w:rPr>
        <w:t xml:space="preserve">, “Luteal Phase Defect: Reality or Myth?” </w:t>
      </w:r>
      <w:r w:rsidRPr="001B0D58">
        <w:rPr>
          <w:rFonts w:cstheme="minorHAnsi"/>
          <w:i/>
          <w:iCs/>
          <w:sz w:val="24"/>
          <w:szCs w:val="24"/>
        </w:rPr>
        <w:t>Obstetrics and Gynecological Clinics of North America</w:t>
      </w:r>
      <w:r w:rsidRPr="001B0D58">
        <w:rPr>
          <w:rFonts w:cstheme="minorHAnsi"/>
          <w:sz w:val="24"/>
          <w:szCs w:val="24"/>
        </w:rPr>
        <w:t xml:space="preserve"> 31 (2004): 727–744.</w:t>
      </w:r>
    </w:p>
    <w:p w14:paraId="7C1425F2" w14:textId="7C5DC34E" w:rsidR="00536301" w:rsidRPr="001B0D58" w:rsidRDefault="00536301" w:rsidP="00224514">
      <w:pPr>
        <w:spacing w:after="0"/>
        <w:ind w:left="720" w:hanging="720"/>
        <w:rPr>
          <w:rFonts w:cstheme="minorHAnsi"/>
          <w:sz w:val="24"/>
          <w:szCs w:val="24"/>
        </w:rPr>
      </w:pPr>
      <w:r w:rsidRPr="001B0D58">
        <w:rPr>
          <w:rFonts w:cstheme="minorHAnsi"/>
          <w:sz w:val="24"/>
          <w:szCs w:val="24"/>
        </w:rPr>
        <w:t>16</w:t>
      </w:r>
      <w:r w:rsidR="00224514" w:rsidRPr="001B0D58">
        <w:rPr>
          <w:rFonts w:cstheme="minorHAnsi"/>
          <w:sz w:val="24"/>
          <w:szCs w:val="24"/>
        </w:rPr>
        <w:t xml:space="preserve"> </w:t>
      </w:r>
      <w:r w:rsidRPr="001B0D58">
        <w:rPr>
          <w:rFonts w:cstheme="minorHAnsi"/>
          <w:sz w:val="24"/>
          <w:szCs w:val="24"/>
        </w:rPr>
        <w:t xml:space="preserve">Rebecca </w:t>
      </w:r>
      <w:proofErr w:type="spellStart"/>
      <w:r w:rsidRPr="001B0D58">
        <w:rPr>
          <w:rFonts w:cstheme="minorHAnsi"/>
          <w:sz w:val="24"/>
          <w:szCs w:val="24"/>
        </w:rPr>
        <w:t>Robker</w:t>
      </w:r>
      <w:proofErr w:type="spellEnd"/>
      <w:r w:rsidRPr="001B0D58">
        <w:rPr>
          <w:rFonts w:cstheme="minorHAnsi"/>
          <w:sz w:val="24"/>
          <w:szCs w:val="24"/>
        </w:rPr>
        <w:t xml:space="preserve"> et al., “</w:t>
      </w:r>
      <w:proofErr w:type="spellStart"/>
      <w:r w:rsidRPr="001B0D58">
        <w:rPr>
          <w:rFonts w:cstheme="minorHAnsi"/>
          <w:sz w:val="24"/>
          <w:szCs w:val="24"/>
        </w:rPr>
        <w:t>Imflammatory</w:t>
      </w:r>
      <w:proofErr w:type="spellEnd"/>
      <w:r w:rsidRPr="001B0D58">
        <w:rPr>
          <w:rFonts w:cstheme="minorHAnsi"/>
          <w:sz w:val="24"/>
          <w:szCs w:val="24"/>
        </w:rPr>
        <w:t xml:space="preserve"> Pathways Linking Obesity and Ovarian Dysfunction,” </w:t>
      </w:r>
      <w:r w:rsidRPr="001B0D58">
        <w:rPr>
          <w:rFonts w:cstheme="minorHAnsi"/>
          <w:i/>
          <w:iCs/>
          <w:sz w:val="24"/>
          <w:szCs w:val="24"/>
        </w:rPr>
        <w:t>Journal of Reproductive Immunology</w:t>
      </w:r>
      <w:r w:rsidRPr="001B0D58">
        <w:rPr>
          <w:rFonts w:cstheme="minorHAnsi"/>
          <w:sz w:val="24"/>
          <w:szCs w:val="24"/>
        </w:rPr>
        <w:t xml:space="preserve"> 88 (2011): 142–148; A. Agarwal et al., “Role of Oxidative Stress in Female Reproduction,” </w:t>
      </w:r>
      <w:r w:rsidRPr="001B0D58">
        <w:rPr>
          <w:rFonts w:cstheme="minorHAnsi"/>
          <w:i/>
          <w:iCs/>
          <w:sz w:val="24"/>
          <w:szCs w:val="24"/>
        </w:rPr>
        <w:t>Reproductive Biology and Endocrinology</w:t>
      </w:r>
      <w:r w:rsidRPr="001B0D58">
        <w:rPr>
          <w:rFonts w:cstheme="minorHAnsi"/>
          <w:sz w:val="24"/>
          <w:szCs w:val="24"/>
        </w:rPr>
        <w:t xml:space="preserve"> 3 (2005): 28–49.</w:t>
      </w:r>
    </w:p>
    <w:p w14:paraId="2C00A95B" w14:textId="78C8CB23" w:rsidR="00536301" w:rsidRPr="001B0D58" w:rsidRDefault="00536301" w:rsidP="00224514">
      <w:pPr>
        <w:spacing w:after="0"/>
        <w:ind w:left="720" w:hanging="720"/>
        <w:rPr>
          <w:rFonts w:cstheme="minorHAnsi"/>
          <w:sz w:val="24"/>
          <w:szCs w:val="24"/>
        </w:rPr>
      </w:pPr>
      <w:r w:rsidRPr="001B0D58">
        <w:rPr>
          <w:rFonts w:cstheme="minorHAnsi"/>
          <w:sz w:val="24"/>
          <w:szCs w:val="24"/>
        </w:rPr>
        <w:t>17</w:t>
      </w:r>
      <w:r w:rsidR="00224514" w:rsidRPr="001B0D58">
        <w:rPr>
          <w:rFonts w:cstheme="minorHAnsi"/>
          <w:sz w:val="24"/>
          <w:szCs w:val="24"/>
        </w:rPr>
        <w:t xml:space="preserve"> </w:t>
      </w:r>
      <w:proofErr w:type="spellStart"/>
      <w:r w:rsidRPr="001B0D58">
        <w:rPr>
          <w:rFonts w:cstheme="minorHAnsi"/>
          <w:sz w:val="24"/>
          <w:szCs w:val="24"/>
        </w:rPr>
        <w:t>Bukulmez</w:t>
      </w:r>
      <w:proofErr w:type="spellEnd"/>
      <w:r w:rsidRPr="001B0D58">
        <w:rPr>
          <w:rFonts w:cstheme="minorHAnsi"/>
          <w:sz w:val="24"/>
          <w:szCs w:val="24"/>
        </w:rPr>
        <w:t xml:space="preserve"> and </w:t>
      </w:r>
      <w:proofErr w:type="spellStart"/>
      <w:r w:rsidRPr="001B0D58">
        <w:rPr>
          <w:rFonts w:cstheme="minorHAnsi"/>
          <w:sz w:val="24"/>
          <w:szCs w:val="24"/>
        </w:rPr>
        <w:t>Arici</w:t>
      </w:r>
      <w:proofErr w:type="spellEnd"/>
      <w:r w:rsidRPr="001B0D58">
        <w:rPr>
          <w:rFonts w:cstheme="minorHAnsi"/>
          <w:sz w:val="24"/>
          <w:szCs w:val="24"/>
        </w:rPr>
        <w:t>, “Luteal Phase Defect: Reality or Myth?”</w:t>
      </w:r>
    </w:p>
    <w:p w14:paraId="306DC607" w14:textId="2B017AC8" w:rsidR="00536301" w:rsidRPr="001B0D58" w:rsidRDefault="00536301" w:rsidP="00224514">
      <w:pPr>
        <w:spacing w:after="0"/>
        <w:ind w:left="720" w:hanging="720"/>
        <w:rPr>
          <w:rFonts w:cstheme="minorHAnsi"/>
          <w:sz w:val="24"/>
          <w:szCs w:val="24"/>
        </w:rPr>
      </w:pPr>
      <w:r w:rsidRPr="001B0D58">
        <w:rPr>
          <w:rFonts w:cstheme="minorHAnsi"/>
          <w:sz w:val="24"/>
          <w:szCs w:val="24"/>
        </w:rPr>
        <w:t>18</w:t>
      </w:r>
      <w:r w:rsidR="00224514" w:rsidRPr="001B0D58">
        <w:rPr>
          <w:rFonts w:cstheme="minorHAnsi"/>
          <w:sz w:val="24"/>
          <w:szCs w:val="24"/>
        </w:rPr>
        <w:t xml:space="preserve"> </w:t>
      </w:r>
      <w:r w:rsidRPr="001B0D58">
        <w:rPr>
          <w:rFonts w:cstheme="minorHAnsi"/>
          <w:sz w:val="24"/>
          <w:szCs w:val="24"/>
        </w:rPr>
        <w:t xml:space="preserve">S.J. Park et al., “Characteristics of the Urinary Luteinizing Hormone Surge in Young Ovulatory Women,” </w:t>
      </w:r>
      <w:r w:rsidRPr="001B0D58">
        <w:rPr>
          <w:rFonts w:cstheme="minorHAnsi"/>
          <w:i/>
          <w:iCs/>
          <w:sz w:val="24"/>
          <w:szCs w:val="24"/>
        </w:rPr>
        <w:t>Fertility &amp; Sterility</w:t>
      </w:r>
      <w:r w:rsidRPr="001B0D58">
        <w:rPr>
          <w:rFonts w:cstheme="minorHAnsi"/>
          <w:sz w:val="24"/>
          <w:szCs w:val="24"/>
        </w:rPr>
        <w:t xml:space="preserve"> 88 (2007): 684–690.</w:t>
      </w:r>
    </w:p>
    <w:p w14:paraId="7E52B655" w14:textId="35151952" w:rsidR="00536301" w:rsidRPr="001B0D58" w:rsidRDefault="00536301" w:rsidP="00224514">
      <w:pPr>
        <w:spacing w:after="0"/>
        <w:ind w:left="720" w:hanging="720"/>
        <w:rPr>
          <w:rFonts w:cstheme="minorHAnsi"/>
          <w:sz w:val="24"/>
          <w:szCs w:val="24"/>
        </w:rPr>
      </w:pPr>
      <w:r w:rsidRPr="001B0D58">
        <w:rPr>
          <w:rFonts w:cstheme="minorHAnsi"/>
          <w:sz w:val="24"/>
          <w:szCs w:val="24"/>
        </w:rPr>
        <w:t>19</w:t>
      </w:r>
      <w:r w:rsidR="00224514" w:rsidRPr="001B0D58">
        <w:rPr>
          <w:rFonts w:cstheme="minorHAnsi"/>
          <w:sz w:val="24"/>
          <w:szCs w:val="24"/>
        </w:rPr>
        <w:t xml:space="preserve"> </w:t>
      </w:r>
      <w:r w:rsidRPr="001B0D58">
        <w:rPr>
          <w:rFonts w:cstheme="minorHAnsi"/>
          <w:sz w:val="24"/>
          <w:szCs w:val="24"/>
        </w:rPr>
        <w:t xml:space="preserve">Tina Jensen et al., “Fecundability in Relation to Body Mass and Menstrual Cycle Patterns,” </w:t>
      </w:r>
      <w:r w:rsidRPr="001B0D58">
        <w:rPr>
          <w:rFonts w:cstheme="minorHAnsi"/>
          <w:i/>
          <w:iCs/>
          <w:sz w:val="24"/>
          <w:szCs w:val="24"/>
        </w:rPr>
        <w:t>Epidemiology</w:t>
      </w:r>
      <w:r w:rsidRPr="001B0D58">
        <w:rPr>
          <w:rFonts w:cstheme="minorHAnsi"/>
          <w:sz w:val="24"/>
          <w:szCs w:val="24"/>
        </w:rPr>
        <w:t xml:space="preserve"> 10 (1999): 422–428.</w:t>
      </w:r>
    </w:p>
    <w:p w14:paraId="4629D922" w14:textId="13E927E8" w:rsidR="00536301" w:rsidRPr="001B0D58" w:rsidRDefault="00536301" w:rsidP="00224514">
      <w:pPr>
        <w:spacing w:after="0"/>
        <w:ind w:left="720" w:hanging="720"/>
        <w:rPr>
          <w:rFonts w:cstheme="minorHAnsi"/>
          <w:sz w:val="24"/>
          <w:szCs w:val="24"/>
        </w:rPr>
      </w:pPr>
      <w:r w:rsidRPr="001B0D58">
        <w:rPr>
          <w:rFonts w:cstheme="minorHAnsi"/>
          <w:sz w:val="24"/>
          <w:szCs w:val="24"/>
        </w:rPr>
        <w:t>20</w:t>
      </w:r>
      <w:r w:rsidR="00224514" w:rsidRPr="001B0D58">
        <w:rPr>
          <w:rFonts w:cstheme="minorHAnsi"/>
          <w:sz w:val="24"/>
          <w:szCs w:val="24"/>
        </w:rPr>
        <w:t xml:space="preserve"> </w:t>
      </w:r>
      <w:r w:rsidRPr="001B0D58">
        <w:rPr>
          <w:rFonts w:cstheme="minorHAnsi"/>
          <w:sz w:val="24"/>
          <w:szCs w:val="24"/>
        </w:rPr>
        <w:t xml:space="preserve">Angela D. Gray et al., “Assessment and Management of Obesity,” </w:t>
      </w:r>
      <w:proofErr w:type="spellStart"/>
      <w:r w:rsidRPr="001B0D58">
        <w:rPr>
          <w:rFonts w:cstheme="minorHAnsi"/>
          <w:i/>
          <w:iCs/>
          <w:sz w:val="24"/>
          <w:szCs w:val="24"/>
        </w:rPr>
        <w:t>Obestrical</w:t>
      </w:r>
      <w:proofErr w:type="spellEnd"/>
      <w:r w:rsidRPr="001B0D58">
        <w:rPr>
          <w:rFonts w:cstheme="minorHAnsi"/>
          <w:i/>
          <w:iCs/>
          <w:sz w:val="24"/>
          <w:szCs w:val="24"/>
        </w:rPr>
        <w:t xml:space="preserve"> and </w:t>
      </w:r>
      <w:proofErr w:type="spellStart"/>
      <w:r w:rsidRPr="001B0D58">
        <w:rPr>
          <w:rFonts w:cstheme="minorHAnsi"/>
          <w:i/>
          <w:iCs/>
          <w:sz w:val="24"/>
          <w:szCs w:val="24"/>
        </w:rPr>
        <w:t>Gynelogical</w:t>
      </w:r>
      <w:proofErr w:type="spellEnd"/>
      <w:r w:rsidRPr="001B0D58">
        <w:rPr>
          <w:rFonts w:cstheme="minorHAnsi"/>
          <w:i/>
          <w:iCs/>
          <w:sz w:val="24"/>
          <w:szCs w:val="24"/>
        </w:rPr>
        <w:t xml:space="preserve"> Survey</w:t>
      </w:r>
      <w:r w:rsidRPr="001B0D58">
        <w:rPr>
          <w:rFonts w:cstheme="minorHAnsi"/>
          <w:sz w:val="24"/>
          <w:szCs w:val="24"/>
        </w:rPr>
        <w:t xml:space="preserve"> 61 (2006): 742–747.</w:t>
      </w:r>
    </w:p>
    <w:p w14:paraId="731FB2B9" w14:textId="77777777" w:rsidR="00536301" w:rsidRPr="001B0D58" w:rsidRDefault="00536301" w:rsidP="00D14423">
      <w:pPr>
        <w:rPr>
          <w:rFonts w:cstheme="minorHAnsi"/>
          <w:sz w:val="24"/>
          <w:szCs w:val="24"/>
        </w:rPr>
      </w:pPr>
    </w:p>
    <w:sectPr w:rsidR="00536301" w:rsidRPr="001B0D58"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AES" w:cryptAlgorithmClass="hash" w:cryptAlgorithmType="typeAny" w:cryptAlgorithmSid="14" w:cryptSpinCount="100000" w:hash="dmTXi2mKlR82KRZmQp+DBEPwqKGZVLxtSDjnidE1SwLpB2naN5whZDgqJMJFlhXUMbrBLPV25zKXVMGsHxmHvA==" w:salt="NthceB8YM4MBPu+EDXRwq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58D9"/>
    <w:rsid w:val="000416AD"/>
    <w:rsid w:val="00041C27"/>
    <w:rsid w:val="000437DE"/>
    <w:rsid w:val="00043C8E"/>
    <w:rsid w:val="00044EBA"/>
    <w:rsid w:val="0004637E"/>
    <w:rsid w:val="0004717F"/>
    <w:rsid w:val="000525F1"/>
    <w:rsid w:val="0005413F"/>
    <w:rsid w:val="00057D20"/>
    <w:rsid w:val="000606A8"/>
    <w:rsid w:val="00061102"/>
    <w:rsid w:val="00064ECB"/>
    <w:rsid w:val="0007012A"/>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6678"/>
    <w:rsid w:val="000C0E5B"/>
    <w:rsid w:val="000C6BA7"/>
    <w:rsid w:val="000D3573"/>
    <w:rsid w:val="000D4F0B"/>
    <w:rsid w:val="000D5ADE"/>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0D5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4514"/>
    <w:rsid w:val="00226FA2"/>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026"/>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1F0A"/>
    <w:rsid w:val="0052658A"/>
    <w:rsid w:val="00533270"/>
    <w:rsid w:val="00536301"/>
    <w:rsid w:val="00540135"/>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B30"/>
    <w:rsid w:val="0094737A"/>
    <w:rsid w:val="00950094"/>
    <w:rsid w:val="0095139E"/>
    <w:rsid w:val="00951536"/>
    <w:rsid w:val="00952B32"/>
    <w:rsid w:val="00952C61"/>
    <w:rsid w:val="0095467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7719"/>
    <w:rsid w:val="00A227D5"/>
    <w:rsid w:val="00A231A4"/>
    <w:rsid w:val="00A310DA"/>
    <w:rsid w:val="00A32FCB"/>
    <w:rsid w:val="00A3561C"/>
    <w:rsid w:val="00A400BC"/>
    <w:rsid w:val="00A40701"/>
    <w:rsid w:val="00A42169"/>
    <w:rsid w:val="00A424F1"/>
    <w:rsid w:val="00A426B2"/>
    <w:rsid w:val="00A45EE8"/>
    <w:rsid w:val="00A46054"/>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8F7"/>
    <w:rsid w:val="00AD0685"/>
    <w:rsid w:val="00AD38C1"/>
    <w:rsid w:val="00AD5A78"/>
    <w:rsid w:val="00AE1517"/>
    <w:rsid w:val="00AE2D6A"/>
    <w:rsid w:val="00AE4078"/>
    <w:rsid w:val="00AE4230"/>
    <w:rsid w:val="00AE5828"/>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520"/>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455E"/>
    <w:rsid w:val="00D9581C"/>
    <w:rsid w:val="00D95DCB"/>
    <w:rsid w:val="00D96228"/>
    <w:rsid w:val="00DA5459"/>
    <w:rsid w:val="00DB357A"/>
    <w:rsid w:val="00DB4233"/>
    <w:rsid w:val="00DB5097"/>
    <w:rsid w:val="00DC4F7C"/>
    <w:rsid w:val="00DC7134"/>
    <w:rsid w:val="00DC7C2C"/>
    <w:rsid w:val="00DD1C6F"/>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805"/>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8610">
      <w:bodyDiv w:val="1"/>
      <w:marLeft w:val="0"/>
      <w:marRight w:val="0"/>
      <w:marTop w:val="0"/>
      <w:marBottom w:val="0"/>
      <w:divBdr>
        <w:top w:val="none" w:sz="0" w:space="0" w:color="auto"/>
        <w:left w:val="none" w:sz="0" w:space="0" w:color="auto"/>
        <w:bottom w:val="none" w:sz="0" w:space="0" w:color="auto"/>
        <w:right w:val="none" w:sz="0" w:space="0" w:color="auto"/>
      </w:divBdr>
      <w:divsChild>
        <w:div w:id="1494563476">
          <w:marLeft w:val="0"/>
          <w:marRight w:val="0"/>
          <w:marTop w:val="0"/>
          <w:marBottom w:val="0"/>
          <w:divBdr>
            <w:top w:val="none" w:sz="0" w:space="0" w:color="auto"/>
            <w:left w:val="none" w:sz="0" w:space="0" w:color="auto"/>
            <w:bottom w:val="none" w:sz="0" w:space="0" w:color="auto"/>
            <w:right w:val="none" w:sz="0" w:space="0" w:color="auto"/>
          </w:divBdr>
          <w:divsChild>
            <w:div w:id="1935431302">
              <w:marLeft w:val="0"/>
              <w:marRight w:val="0"/>
              <w:marTop w:val="0"/>
              <w:marBottom w:val="0"/>
              <w:divBdr>
                <w:top w:val="none" w:sz="0" w:space="0" w:color="auto"/>
                <w:left w:val="none" w:sz="0" w:space="0" w:color="auto"/>
                <w:bottom w:val="none" w:sz="0" w:space="0" w:color="auto"/>
                <w:right w:val="none" w:sz="0" w:space="0" w:color="auto"/>
              </w:divBdr>
              <w:divsChild>
                <w:div w:id="1761872426">
                  <w:marLeft w:val="0"/>
                  <w:marRight w:val="0"/>
                  <w:marTop w:val="0"/>
                  <w:marBottom w:val="0"/>
                  <w:divBdr>
                    <w:top w:val="none" w:sz="0" w:space="0" w:color="auto"/>
                    <w:left w:val="none" w:sz="0" w:space="0" w:color="auto"/>
                    <w:bottom w:val="none" w:sz="0" w:space="0" w:color="auto"/>
                    <w:right w:val="none" w:sz="0" w:space="0" w:color="auto"/>
                  </w:divBdr>
                </w:div>
                <w:div w:id="1955819234">
                  <w:marLeft w:val="0"/>
                  <w:marRight w:val="0"/>
                  <w:marTop w:val="0"/>
                  <w:marBottom w:val="0"/>
                  <w:divBdr>
                    <w:top w:val="none" w:sz="0" w:space="0" w:color="auto"/>
                    <w:left w:val="none" w:sz="0" w:space="0" w:color="auto"/>
                    <w:bottom w:val="none" w:sz="0" w:space="0" w:color="auto"/>
                    <w:right w:val="none" w:sz="0" w:space="0" w:color="auto"/>
                  </w:divBdr>
                  <w:divsChild>
                    <w:div w:id="127358739">
                      <w:marLeft w:val="0"/>
                      <w:marRight w:val="0"/>
                      <w:marTop w:val="0"/>
                      <w:marBottom w:val="0"/>
                      <w:divBdr>
                        <w:top w:val="none" w:sz="0" w:space="0" w:color="auto"/>
                        <w:left w:val="none" w:sz="0" w:space="0" w:color="auto"/>
                        <w:bottom w:val="none" w:sz="0" w:space="0" w:color="auto"/>
                        <w:right w:val="none" w:sz="0" w:space="0" w:color="auto"/>
                      </w:divBdr>
                    </w:div>
                    <w:div w:id="6328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81253">
              <w:marLeft w:val="0"/>
              <w:marRight w:val="0"/>
              <w:marTop w:val="0"/>
              <w:marBottom w:val="0"/>
              <w:divBdr>
                <w:top w:val="none" w:sz="0" w:space="0" w:color="auto"/>
                <w:left w:val="none" w:sz="0" w:space="0" w:color="auto"/>
                <w:bottom w:val="none" w:sz="0" w:space="0" w:color="auto"/>
                <w:right w:val="none" w:sz="0" w:space="0" w:color="auto"/>
              </w:divBdr>
              <w:divsChild>
                <w:div w:id="18164464">
                  <w:marLeft w:val="0"/>
                  <w:marRight w:val="0"/>
                  <w:marTop w:val="0"/>
                  <w:marBottom w:val="0"/>
                  <w:divBdr>
                    <w:top w:val="none" w:sz="0" w:space="0" w:color="auto"/>
                    <w:left w:val="none" w:sz="0" w:space="0" w:color="auto"/>
                    <w:bottom w:val="none" w:sz="0" w:space="0" w:color="auto"/>
                    <w:right w:val="none" w:sz="0" w:space="0" w:color="auto"/>
                  </w:divBdr>
                  <w:divsChild>
                    <w:div w:id="18598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124">
          <w:marLeft w:val="0"/>
          <w:marRight w:val="0"/>
          <w:marTop w:val="0"/>
          <w:marBottom w:val="0"/>
          <w:divBdr>
            <w:top w:val="none" w:sz="0" w:space="0" w:color="auto"/>
            <w:left w:val="none" w:sz="0" w:space="0" w:color="auto"/>
            <w:bottom w:val="none" w:sz="0" w:space="0" w:color="auto"/>
            <w:right w:val="none" w:sz="0" w:space="0" w:color="auto"/>
          </w:divBdr>
          <w:divsChild>
            <w:div w:id="1207448815">
              <w:marLeft w:val="0"/>
              <w:marRight w:val="0"/>
              <w:marTop w:val="0"/>
              <w:marBottom w:val="0"/>
              <w:divBdr>
                <w:top w:val="none" w:sz="0" w:space="0" w:color="auto"/>
                <w:left w:val="none" w:sz="0" w:space="0" w:color="auto"/>
                <w:bottom w:val="none" w:sz="0" w:space="0" w:color="auto"/>
                <w:right w:val="none" w:sz="0" w:space="0" w:color="auto"/>
              </w:divBdr>
            </w:div>
            <w:div w:id="1176459760">
              <w:marLeft w:val="0"/>
              <w:marRight w:val="0"/>
              <w:marTop w:val="0"/>
              <w:marBottom w:val="0"/>
              <w:divBdr>
                <w:top w:val="none" w:sz="0" w:space="0" w:color="auto"/>
                <w:left w:val="none" w:sz="0" w:space="0" w:color="auto"/>
                <w:bottom w:val="none" w:sz="0" w:space="0" w:color="auto"/>
                <w:right w:val="none" w:sz="0" w:space="0" w:color="auto"/>
              </w:divBdr>
              <w:divsChild>
                <w:div w:id="1619943536">
                  <w:marLeft w:val="0"/>
                  <w:marRight w:val="0"/>
                  <w:marTop w:val="0"/>
                  <w:marBottom w:val="0"/>
                  <w:divBdr>
                    <w:top w:val="none" w:sz="0" w:space="0" w:color="auto"/>
                    <w:left w:val="none" w:sz="0" w:space="0" w:color="auto"/>
                    <w:bottom w:val="none" w:sz="0" w:space="0" w:color="auto"/>
                    <w:right w:val="none" w:sz="0" w:space="0" w:color="auto"/>
                  </w:divBdr>
                  <w:divsChild>
                    <w:div w:id="1185703594">
                      <w:marLeft w:val="0"/>
                      <w:marRight w:val="0"/>
                      <w:marTop w:val="0"/>
                      <w:marBottom w:val="0"/>
                      <w:divBdr>
                        <w:top w:val="none" w:sz="0" w:space="0" w:color="auto"/>
                        <w:left w:val="none" w:sz="0" w:space="0" w:color="auto"/>
                        <w:bottom w:val="none" w:sz="0" w:space="0" w:color="auto"/>
                        <w:right w:val="none" w:sz="0" w:space="0" w:color="auto"/>
                      </w:divBdr>
                    </w:div>
                    <w:div w:id="9972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123983">
          <w:marLeft w:val="0"/>
          <w:marRight w:val="0"/>
          <w:marTop w:val="0"/>
          <w:marBottom w:val="0"/>
          <w:divBdr>
            <w:top w:val="none" w:sz="0" w:space="0" w:color="auto"/>
            <w:left w:val="none" w:sz="0" w:space="0" w:color="auto"/>
            <w:bottom w:val="none" w:sz="0" w:space="0" w:color="auto"/>
            <w:right w:val="none" w:sz="0" w:space="0" w:color="auto"/>
          </w:divBdr>
          <w:divsChild>
            <w:div w:id="1481187726">
              <w:marLeft w:val="0"/>
              <w:marRight w:val="0"/>
              <w:marTop w:val="0"/>
              <w:marBottom w:val="0"/>
              <w:divBdr>
                <w:top w:val="none" w:sz="0" w:space="0" w:color="auto"/>
                <w:left w:val="none" w:sz="0" w:space="0" w:color="auto"/>
                <w:bottom w:val="none" w:sz="0" w:space="0" w:color="auto"/>
                <w:right w:val="none" w:sz="0" w:space="0" w:color="auto"/>
              </w:divBdr>
              <w:divsChild>
                <w:div w:id="600918832">
                  <w:marLeft w:val="0"/>
                  <w:marRight w:val="0"/>
                  <w:marTop w:val="0"/>
                  <w:marBottom w:val="0"/>
                  <w:divBdr>
                    <w:top w:val="none" w:sz="0" w:space="0" w:color="auto"/>
                    <w:left w:val="none" w:sz="0" w:space="0" w:color="auto"/>
                    <w:bottom w:val="none" w:sz="0" w:space="0" w:color="auto"/>
                    <w:right w:val="none" w:sz="0" w:space="0" w:color="auto"/>
                  </w:divBdr>
                  <w:divsChild>
                    <w:div w:id="634993125">
                      <w:marLeft w:val="0"/>
                      <w:marRight w:val="0"/>
                      <w:marTop w:val="0"/>
                      <w:marBottom w:val="0"/>
                      <w:divBdr>
                        <w:top w:val="none" w:sz="0" w:space="0" w:color="auto"/>
                        <w:left w:val="none" w:sz="0" w:space="0" w:color="auto"/>
                        <w:bottom w:val="none" w:sz="0" w:space="0" w:color="auto"/>
                        <w:right w:val="none" w:sz="0" w:space="0" w:color="auto"/>
                      </w:divBdr>
                      <w:divsChild>
                        <w:div w:id="339157884">
                          <w:marLeft w:val="0"/>
                          <w:marRight w:val="0"/>
                          <w:marTop w:val="0"/>
                          <w:marBottom w:val="0"/>
                          <w:divBdr>
                            <w:top w:val="none" w:sz="0" w:space="0" w:color="auto"/>
                            <w:left w:val="none" w:sz="0" w:space="0" w:color="auto"/>
                            <w:bottom w:val="none" w:sz="0" w:space="0" w:color="auto"/>
                            <w:right w:val="none" w:sz="0" w:space="0" w:color="auto"/>
                          </w:divBdr>
                          <w:divsChild>
                            <w:div w:id="714692501">
                              <w:marLeft w:val="0"/>
                              <w:marRight w:val="0"/>
                              <w:marTop w:val="0"/>
                              <w:marBottom w:val="0"/>
                              <w:divBdr>
                                <w:top w:val="none" w:sz="0" w:space="0" w:color="auto"/>
                                <w:left w:val="none" w:sz="0" w:space="0" w:color="auto"/>
                                <w:bottom w:val="none" w:sz="0" w:space="0" w:color="auto"/>
                                <w:right w:val="none" w:sz="0" w:space="0" w:color="auto"/>
                              </w:divBdr>
                            </w:div>
                            <w:div w:id="874273075">
                              <w:marLeft w:val="0"/>
                              <w:marRight w:val="0"/>
                              <w:marTop w:val="0"/>
                              <w:marBottom w:val="0"/>
                              <w:divBdr>
                                <w:top w:val="none" w:sz="0" w:space="0" w:color="auto"/>
                                <w:left w:val="none" w:sz="0" w:space="0" w:color="auto"/>
                                <w:bottom w:val="none" w:sz="0" w:space="0" w:color="auto"/>
                                <w:right w:val="none" w:sz="0" w:space="0" w:color="auto"/>
                              </w:divBdr>
                              <w:divsChild>
                                <w:div w:id="4197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50634">
                          <w:marLeft w:val="0"/>
                          <w:marRight w:val="0"/>
                          <w:marTop w:val="0"/>
                          <w:marBottom w:val="0"/>
                          <w:divBdr>
                            <w:top w:val="none" w:sz="0" w:space="0" w:color="auto"/>
                            <w:left w:val="none" w:sz="0" w:space="0" w:color="auto"/>
                            <w:bottom w:val="none" w:sz="0" w:space="0" w:color="auto"/>
                            <w:right w:val="none" w:sz="0" w:space="0" w:color="auto"/>
                          </w:divBdr>
                          <w:divsChild>
                            <w:div w:id="1304971134">
                              <w:marLeft w:val="0"/>
                              <w:marRight w:val="0"/>
                              <w:marTop w:val="0"/>
                              <w:marBottom w:val="0"/>
                              <w:divBdr>
                                <w:top w:val="none" w:sz="0" w:space="0" w:color="auto"/>
                                <w:left w:val="none" w:sz="0" w:space="0" w:color="auto"/>
                                <w:bottom w:val="none" w:sz="0" w:space="0" w:color="auto"/>
                                <w:right w:val="none" w:sz="0" w:space="0" w:color="auto"/>
                              </w:divBdr>
                            </w:div>
                            <w:div w:id="1349405429">
                              <w:marLeft w:val="0"/>
                              <w:marRight w:val="0"/>
                              <w:marTop w:val="0"/>
                              <w:marBottom w:val="0"/>
                              <w:divBdr>
                                <w:top w:val="none" w:sz="0" w:space="0" w:color="auto"/>
                                <w:left w:val="none" w:sz="0" w:space="0" w:color="auto"/>
                                <w:bottom w:val="none" w:sz="0" w:space="0" w:color="auto"/>
                                <w:right w:val="none" w:sz="0" w:space="0" w:color="auto"/>
                              </w:divBdr>
                              <w:divsChild>
                                <w:div w:id="14583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1357">
                          <w:marLeft w:val="0"/>
                          <w:marRight w:val="0"/>
                          <w:marTop w:val="0"/>
                          <w:marBottom w:val="0"/>
                          <w:divBdr>
                            <w:top w:val="none" w:sz="0" w:space="0" w:color="auto"/>
                            <w:left w:val="none" w:sz="0" w:space="0" w:color="auto"/>
                            <w:bottom w:val="none" w:sz="0" w:space="0" w:color="auto"/>
                            <w:right w:val="none" w:sz="0" w:space="0" w:color="auto"/>
                          </w:divBdr>
                          <w:divsChild>
                            <w:div w:id="1728647451">
                              <w:marLeft w:val="0"/>
                              <w:marRight w:val="0"/>
                              <w:marTop w:val="0"/>
                              <w:marBottom w:val="0"/>
                              <w:divBdr>
                                <w:top w:val="none" w:sz="0" w:space="0" w:color="auto"/>
                                <w:left w:val="none" w:sz="0" w:space="0" w:color="auto"/>
                                <w:bottom w:val="none" w:sz="0" w:space="0" w:color="auto"/>
                                <w:right w:val="none" w:sz="0" w:space="0" w:color="auto"/>
                              </w:divBdr>
                            </w:div>
                            <w:div w:id="499203711">
                              <w:marLeft w:val="0"/>
                              <w:marRight w:val="0"/>
                              <w:marTop w:val="0"/>
                              <w:marBottom w:val="0"/>
                              <w:divBdr>
                                <w:top w:val="none" w:sz="0" w:space="0" w:color="auto"/>
                                <w:left w:val="none" w:sz="0" w:space="0" w:color="auto"/>
                                <w:bottom w:val="none" w:sz="0" w:space="0" w:color="auto"/>
                                <w:right w:val="none" w:sz="0" w:space="0" w:color="auto"/>
                              </w:divBdr>
                              <w:divsChild>
                                <w:div w:id="879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7369">
                          <w:marLeft w:val="0"/>
                          <w:marRight w:val="0"/>
                          <w:marTop w:val="0"/>
                          <w:marBottom w:val="0"/>
                          <w:divBdr>
                            <w:top w:val="none" w:sz="0" w:space="0" w:color="auto"/>
                            <w:left w:val="none" w:sz="0" w:space="0" w:color="auto"/>
                            <w:bottom w:val="none" w:sz="0" w:space="0" w:color="auto"/>
                            <w:right w:val="none" w:sz="0" w:space="0" w:color="auto"/>
                          </w:divBdr>
                          <w:divsChild>
                            <w:div w:id="1064336012">
                              <w:marLeft w:val="0"/>
                              <w:marRight w:val="0"/>
                              <w:marTop w:val="0"/>
                              <w:marBottom w:val="0"/>
                              <w:divBdr>
                                <w:top w:val="none" w:sz="0" w:space="0" w:color="auto"/>
                                <w:left w:val="none" w:sz="0" w:space="0" w:color="auto"/>
                                <w:bottom w:val="none" w:sz="0" w:space="0" w:color="auto"/>
                                <w:right w:val="none" w:sz="0" w:space="0" w:color="auto"/>
                              </w:divBdr>
                            </w:div>
                            <w:div w:id="826867821">
                              <w:marLeft w:val="0"/>
                              <w:marRight w:val="0"/>
                              <w:marTop w:val="0"/>
                              <w:marBottom w:val="0"/>
                              <w:divBdr>
                                <w:top w:val="none" w:sz="0" w:space="0" w:color="auto"/>
                                <w:left w:val="none" w:sz="0" w:space="0" w:color="auto"/>
                                <w:bottom w:val="none" w:sz="0" w:space="0" w:color="auto"/>
                                <w:right w:val="none" w:sz="0" w:space="0" w:color="auto"/>
                              </w:divBdr>
                              <w:divsChild>
                                <w:div w:id="20900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1087">
                          <w:marLeft w:val="0"/>
                          <w:marRight w:val="0"/>
                          <w:marTop w:val="0"/>
                          <w:marBottom w:val="0"/>
                          <w:divBdr>
                            <w:top w:val="none" w:sz="0" w:space="0" w:color="auto"/>
                            <w:left w:val="none" w:sz="0" w:space="0" w:color="auto"/>
                            <w:bottom w:val="none" w:sz="0" w:space="0" w:color="auto"/>
                            <w:right w:val="none" w:sz="0" w:space="0" w:color="auto"/>
                          </w:divBdr>
                          <w:divsChild>
                            <w:div w:id="1952323940">
                              <w:marLeft w:val="0"/>
                              <w:marRight w:val="0"/>
                              <w:marTop w:val="0"/>
                              <w:marBottom w:val="0"/>
                              <w:divBdr>
                                <w:top w:val="none" w:sz="0" w:space="0" w:color="auto"/>
                                <w:left w:val="none" w:sz="0" w:space="0" w:color="auto"/>
                                <w:bottom w:val="none" w:sz="0" w:space="0" w:color="auto"/>
                                <w:right w:val="none" w:sz="0" w:space="0" w:color="auto"/>
                              </w:divBdr>
                            </w:div>
                            <w:div w:id="245916802">
                              <w:marLeft w:val="0"/>
                              <w:marRight w:val="0"/>
                              <w:marTop w:val="0"/>
                              <w:marBottom w:val="0"/>
                              <w:divBdr>
                                <w:top w:val="none" w:sz="0" w:space="0" w:color="auto"/>
                                <w:left w:val="none" w:sz="0" w:space="0" w:color="auto"/>
                                <w:bottom w:val="none" w:sz="0" w:space="0" w:color="auto"/>
                                <w:right w:val="none" w:sz="0" w:space="0" w:color="auto"/>
                              </w:divBdr>
                              <w:divsChild>
                                <w:div w:id="312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70189">
                          <w:marLeft w:val="0"/>
                          <w:marRight w:val="0"/>
                          <w:marTop w:val="0"/>
                          <w:marBottom w:val="0"/>
                          <w:divBdr>
                            <w:top w:val="none" w:sz="0" w:space="0" w:color="auto"/>
                            <w:left w:val="none" w:sz="0" w:space="0" w:color="auto"/>
                            <w:bottom w:val="none" w:sz="0" w:space="0" w:color="auto"/>
                            <w:right w:val="none" w:sz="0" w:space="0" w:color="auto"/>
                          </w:divBdr>
                          <w:divsChild>
                            <w:div w:id="255478519">
                              <w:marLeft w:val="0"/>
                              <w:marRight w:val="0"/>
                              <w:marTop w:val="0"/>
                              <w:marBottom w:val="0"/>
                              <w:divBdr>
                                <w:top w:val="none" w:sz="0" w:space="0" w:color="auto"/>
                                <w:left w:val="none" w:sz="0" w:space="0" w:color="auto"/>
                                <w:bottom w:val="none" w:sz="0" w:space="0" w:color="auto"/>
                                <w:right w:val="none" w:sz="0" w:space="0" w:color="auto"/>
                              </w:divBdr>
                            </w:div>
                            <w:div w:id="985620369">
                              <w:marLeft w:val="0"/>
                              <w:marRight w:val="0"/>
                              <w:marTop w:val="0"/>
                              <w:marBottom w:val="0"/>
                              <w:divBdr>
                                <w:top w:val="none" w:sz="0" w:space="0" w:color="auto"/>
                                <w:left w:val="none" w:sz="0" w:space="0" w:color="auto"/>
                                <w:bottom w:val="none" w:sz="0" w:space="0" w:color="auto"/>
                                <w:right w:val="none" w:sz="0" w:space="0" w:color="auto"/>
                              </w:divBdr>
                              <w:divsChild>
                                <w:div w:id="14636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7429">
                          <w:marLeft w:val="0"/>
                          <w:marRight w:val="0"/>
                          <w:marTop w:val="0"/>
                          <w:marBottom w:val="0"/>
                          <w:divBdr>
                            <w:top w:val="none" w:sz="0" w:space="0" w:color="auto"/>
                            <w:left w:val="none" w:sz="0" w:space="0" w:color="auto"/>
                            <w:bottom w:val="none" w:sz="0" w:space="0" w:color="auto"/>
                            <w:right w:val="none" w:sz="0" w:space="0" w:color="auto"/>
                          </w:divBdr>
                          <w:divsChild>
                            <w:div w:id="2058190674">
                              <w:marLeft w:val="0"/>
                              <w:marRight w:val="0"/>
                              <w:marTop w:val="0"/>
                              <w:marBottom w:val="0"/>
                              <w:divBdr>
                                <w:top w:val="none" w:sz="0" w:space="0" w:color="auto"/>
                                <w:left w:val="none" w:sz="0" w:space="0" w:color="auto"/>
                                <w:bottom w:val="none" w:sz="0" w:space="0" w:color="auto"/>
                                <w:right w:val="none" w:sz="0" w:space="0" w:color="auto"/>
                              </w:divBdr>
                            </w:div>
                            <w:div w:id="1555385810">
                              <w:marLeft w:val="0"/>
                              <w:marRight w:val="0"/>
                              <w:marTop w:val="0"/>
                              <w:marBottom w:val="0"/>
                              <w:divBdr>
                                <w:top w:val="none" w:sz="0" w:space="0" w:color="auto"/>
                                <w:left w:val="none" w:sz="0" w:space="0" w:color="auto"/>
                                <w:bottom w:val="none" w:sz="0" w:space="0" w:color="auto"/>
                                <w:right w:val="none" w:sz="0" w:space="0" w:color="auto"/>
                              </w:divBdr>
                              <w:divsChild>
                                <w:div w:id="34559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49062">
                          <w:marLeft w:val="0"/>
                          <w:marRight w:val="0"/>
                          <w:marTop w:val="0"/>
                          <w:marBottom w:val="0"/>
                          <w:divBdr>
                            <w:top w:val="none" w:sz="0" w:space="0" w:color="auto"/>
                            <w:left w:val="none" w:sz="0" w:space="0" w:color="auto"/>
                            <w:bottom w:val="none" w:sz="0" w:space="0" w:color="auto"/>
                            <w:right w:val="none" w:sz="0" w:space="0" w:color="auto"/>
                          </w:divBdr>
                          <w:divsChild>
                            <w:div w:id="210657300">
                              <w:marLeft w:val="0"/>
                              <w:marRight w:val="0"/>
                              <w:marTop w:val="0"/>
                              <w:marBottom w:val="0"/>
                              <w:divBdr>
                                <w:top w:val="none" w:sz="0" w:space="0" w:color="auto"/>
                                <w:left w:val="none" w:sz="0" w:space="0" w:color="auto"/>
                                <w:bottom w:val="none" w:sz="0" w:space="0" w:color="auto"/>
                                <w:right w:val="none" w:sz="0" w:space="0" w:color="auto"/>
                              </w:divBdr>
                            </w:div>
                            <w:div w:id="658120407">
                              <w:marLeft w:val="0"/>
                              <w:marRight w:val="0"/>
                              <w:marTop w:val="0"/>
                              <w:marBottom w:val="0"/>
                              <w:divBdr>
                                <w:top w:val="none" w:sz="0" w:space="0" w:color="auto"/>
                                <w:left w:val="none" w:sz="0" w:space="0" w:color="auto"/>
                                <w:bottom w:val="none" w:sz="0" w:space="0" w:color="auto"/>
                                <w:right w:val="none" w:sz="0" w:space="0" w:color="auto"/>
                              </w:divBdr>
                              <w:divsChild>
                                <w:div w:id="15122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537259">
                          <w:marLeft w:val="0"/>
                          <w:marRight w:val="0"/>
                          <w:marTop w:val="0"/>
                          <w:marBottom w:val="0"/>
                          <w:divBdr>
                            <w:top w:val="none" w:sz="0" w:space="0" w:color="auto"/>
                            <w:left w:val="none" w:sz="0" w:space="0" w:color="auto"/>
                            <w:bottom w:val="none" w:sz="0" w:space="0" w:color="auto"/>
                            <w:right w:val="none" w:sz="0" w:space="0" w:color="auto"/>
                          </w:divBdr>
                          <w:divsChild>
                            <w:div w:id="2037582431">
                              <w:marLeft w:val="0"/>
                              <w:marRight w:val="0"/>
                              <w:marTop w:val="0"/>
                              <w:marBottom w:val="0"/>
                              <w:divBdr>
                                <w:top w:val="none" w:sz="0" w:space="0" w:color="auto"/>
                                <w:left w:val="none" w:sz="0" w:space="0" w:color="auto"/>
                                <w:bottom w:val="none" w:sz="0" w:space="0" w:color="auto"/>
                                <w:right w:val="none" w:sz="0" w:space="0" w:color="auto"/>
                              </w:divBdr>
                            </w:div>
                            <w:div w:id="1082722963">
                              <w:marLeft w:val="0"/>
                              <w:marRight w:val="0"/>
                              <w:marTop w:val="0"/>
                              <w:marBottom w:val="0"/>
                              <w:divBdr>
                                <w:top w:val="none" w:sz="0" w:space="0" w:color="auto"/>
                                <w:left w:val="none" w:sz="0" w:space="0" w:color="auto"/>
                                <w:bottom w:val="none" w:sz="0" w:space="0" w:color="auto"/>
                                <w:right w:val="none" w:sz="0" w:space="0" w:color="auto"/>
                              </w:divBdr>
                              <w:divsChild>
                                <w:div w:id="17437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985">
                          <w:marLeft w:val="0"/>
                          <w:marRight w:val="0"/>
                          <w:marTop w:val="0"/>
                          <w:marBottom w:val="0"/>
                          <w:divBdr>
                            <w:top w:val="none" w:sz="0" w:space="0" w:color="auto"/>
                            <w:left w:val="none" w:sz="0" w:space="0" w:color="auto"/>
                            <w:bottom w:val="none" w:sz="0" w:space="0" w:color="auto"/>
                            <w:right w:val="none" w:sz="0" w:space="0" w:color="auto"/>
                          </w:divBdr>
                          <w:divsChild>
                            <w:div w:id="2077163694">
                              <w:marLeft w:val="0"/>
                              <w:marRight w:val="0"/>
                              <w:marTop w:val="0"/>
                              <w:marBottom w:val="0"/>
                              <w:divBdr>
                                <w:top w:val="none" w:sz="0" w:space="0" w:color="auto"/>
                                <w:left w:val="none" w:sz="0" w:space="0" w:color="auto"/>
                                <w:bottom w:val="none" w:sz="0" w:space="0" w:color="auto"/>
                                <w:right w:val="none" w:sz="0" w:space="0" w:color="auto"/>
                              </w:divBdr>
                            </w:div>
                            <w:div w:id="1633945889">
                              <w:marLeft w:val="0"/>
                              <w:marRight w:val="0"/>
                              <w:marTop w:val="0"/>
                              <w:marBottom w:val="0"/>
                              <w:divBdr>
                                <w:top w:val="none" w:sz="0" w:space="0" w:color="auto"/>
                                <w:left w:val="none" w:sz="0" w:space="0" w:color="auto"/>
                                <w:bottom w:val="none" w:sz="0" w:space="0" w:color="auto"/>
                                <w:right w:val="none" w:sz="0" w:space="0" w:color="auto"/>
                              </w:divBdr>
                              <w:divsChild>
                                <w:div w:id="7555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0905">
                          <w:marLeft w:val="0"/>
                          <w:marRight w:val="0"/>
                          <w:marTop w:val="0"/>
                          <w:marBottom w:val="0"/>
                          <w:divBdr>
                            <w:top w:val="none" w:sz="0" w:space="0" w:color="auto"/>
                            <w:left w:val="none" w:sz="0" w:space="0" w:color="auto"/>
                            <w:bottom w:val="none" w:sz="0" w:space="0" w:color="auto"/>
                            <w:right w:val="none" w:sz="0" w:space="0" w:color="auto"/>
                          </w:divBdr>
                          <w:divsChild>
                            <w:div w:id="235213963">
                              <w:marLeft w:val="0"/>
                              <w:marRight w:val="0"/>
                              <w:marTop w:val="0"/>
                              <w:marBottom w:val="0"/>
                              <w:divBdr>
                                <w:top w:val="none" w:sz="0" w:space="0" w:color="auto"/>
                                <w:left w:val="none" w:sz="0" w:space="0" w:color="auto"/>
                                <w:bottom w:val="none" w:sz="0" w:space="0" w:color="auto"/>
                                <w:right w:val="none" w:sz="0" w:space="0" w:color="auto"/>
                              </w:divBdr>
                            </w:div>
                            <w:div w:id="233593560">
                              <w:marLeft w:val="0"/>
                              <w:marRight w:val="0"/>
                              <w:marTop w:val="0"/>
                              <w:marBottom w:val="0"/>
                              <w:divBdr>
                                <w:top w:val="none" w:sz="0" w:space="0" w:color="auto"/>
                                <w:left w:val="none" w:sz="0" w:space="0" w:color="auto"/>
                                <w:bottom w:val="none" w:sz="0" w:space="0" w:color="auto"/>
                                <w:right w:val="none" w:sz="0" w:space="0" w:color="auto"/>
                              </w:divBdr>
                              <w:divsChild>
                                <w:div w:id="9176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776">
                          <w:marLeft w:val="0"/>
                          <w:marRight w:val="0"/>
                          <w:marTop w:val="0"/>
                          <w:marBottom w:val="0"/>
                          <w:divBdr>
                            <w:top w:val="none" w:sz="0" w:space="0" w:color="auto"/>
                            <w:left w:val="none" w:sz="0" w:space="0" w:color="auto"/>
                            <w:bottom w:val="none" w:sz="0" w:space="0" w:color="auto"/>
                            <w:right w:val="none" w:sz="0" w:space="0" w:color="auto"/>
                          </w:divBdr>
                          <w:divsChild>
                            <w:div w:id="718432397">
                              <w:marLeft w:val="0"/>
                              <w:marRight w:val="0"/>
                              <w:marTop w:val="0"/>
                              <w:marBottom w:val="0"/>
                              <w:divBdr>
                                <w:top w:val="none" w:sz="0" w:space="0" w:color="auto"/>
                                <w:left w:val="none" w:sz="0" w:space="0" w:color="auto"/>
                                <w:bottom w:val="none" w:sz="0" w:space="0" w:color="auto"/>
                                <w:right w:val="none" w:sz="0" w:space="0" w:color="auto"/>
                              </w:divBdr>
                            </w:div>
                            <w:div w:id="965544501">
                              <w:marLeft w:val="0"/>
                              <w:marRight w:val="0"/>
                              <w:marTop w:val="0"/>
                              <w:marBottom w:val="0"/>
                              <w:divBdr>
                                <w:top w:val="none" w:sz="0" w:space="0" w:color="auto"/>
                                <w:left w:val="none" w:sz="0" w:space="0" w:color="auto"/>
                                <w:bottom w:val="none" w:sz="0" w:space="0" w:color="auto"/>
                                <w:right w:val="none" w:sz="0" w:space="0" w:color="auto"/>
                              </w:divBdr>
                              <w:divsChild>
                                <w:div w:id="4716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8288">
                          <w:marLeft w:val="0"/>
                          <w:marRight w:val="0"/>
                          <w:marTop w:val="0"/>
                          <w:marBottom w:val="0"/>
                          <w:divBdr>
                            <w:top w:val="none" w:sz="0" w:space="0" w:color="auto"/>
                            <w:left w:val="none" w:sz="0" w:space="0" w:color="auto"/>
                            <w:bottom w:val="none" w:sz="0" w:space="0" w:color="auto"/>
                            <w:right w:val="none" w:sz="0" w:space="0" w:color="auto"/>
                          </w:divBdr>
                          <w:divsChild>
                            <w:div w:id="458692710">
                              <w:marLeft w:val="0"/>
                              <w:marRight w:val="0"/>
                              <w:marTop w:val="0"/>
                              <w:marBottom w:val="0"/>
                              <w:divBdr>
                                <w:top w:val="none" w:sz="0" w:space="0" w:color="auto"/>
                                <w:left w:val="none" w:sz="0" w:space="0" w:color="auto"/>
                                <w:bottom w:val="none" w:sz="0" w:space="0" w:color="auto"/>
                                <w:right w:val="none" w:sz="0" w:space="0" w:color="auto"/>
                              </w:divBdr>
                            </w:div>
                            <w:div w:id="816848003">
                              <w:marLeft w:val="0"/>
                              <w:marRight w:val="0"/>
                              <w:marTop w:val="0"/>
                              <w:marBottom w:val="0"/>
                              <w:divBdr>
                                <w:top w:val="none" w:sz="0" w:space="0" w:color="auto"/>
                                <w:left w:val="none" w:sz="0" w:space="0" w:color="auto"/>
                                <w:bottom w:val="none" w:sz="0" w:space="0" w:color="auto"/>
                                <w:right w:val="none" w:sz="0" w:space="0" w:color="auto"/>
                              </w:divBdr>
                              <w:divsChild>
                                <w:div w:id="1544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2944">
                          <w:marLeft w:val="0"/>
                          <w:marRight w:val="0"/>
                          <w:marTop w:val="0"/>
                          <w:marBottom w:val="0"/>
                          <w:divBdr>
                            <w:top w:val="none" w:sz="0" w:space="0" w:color="auto"/>
                            <w:left w:val="none" w:sz="0" w:space="0" w:color="auto"/>
                            <w:bottom w:val="none" w:sz="0" w:space="0" w:color="auto"/>
                            <w:right w:val="none" w:sz="0" w:space="0" w:color="auto"/>
                          </w:divBdr>
                          <w:divsChild>
                            <w:div w:id="1283422213">
                              <w:marLeft w:val="0"/>
                              <w:marRight w:val="0"/>
                              <w:marTop w:val="0"/>
                              <w:marBottom w:val="0"/>
                              <w:divBdr>
                                <w:top w:val="none" w:sz="0" w:space="0" w:color="auto"/>
                                <w:left w:val="none" w:sz="0" w:space="0" w:color="auto"/>
                                <w:bottom w:val="none" w:sz="0" w:space="0" w:color="auto"/>
                                <w:right w:val="none" w:sz="0" w:space="0" w:color="auto"/>
                              </w:divBdr>
                            </w:div>
                            <w:div w:id="153884986">
                              <w:marLeft w:val="0"/>
                              <w:marRight w:val="0"/>
                              <w:marTop w:val="0"/>
                              <w:marBottom w:val="0"/>
                              <w:divBdr>
                                <w:top w:val="none" w:sz="0" w:space="0" w:color="auto"/>
                                <w:left w:val="none" w:sz="0" w:space="0" w:color="auto"/>
                                <w:bottom w:val="none" w:sz="0" w:space="0" w:color="auto"/>
                                <w:right w:val="none" w:sz="0" w:space="0" w:color="auto"/>
                              </w:divBdr>
                              <w:divsChild>
                                <w:div w:id="624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4050">
                          <w:marLeft w:val="0"/>
                          <w:marRight w:val="0"/>
                          <w:marTop w:val="0"/>
                          <w:marBottom w:val="0"/>
                          <w:divBdr>
                            <w:top w:val="none" w:sz="0" w:space="0" w:color="auto"/>
                            <w:left w:val="none" w:sz="0" w:space="0" w:color="auto"/>
                            <w:bottom w:val="none" w:sz="0" w:space="0" w:color="auto"/>
                            <w:right w:val="none" w:sz="0" w:space="0" w:color="auto"/>
                          </w:divBdr>
                          <w:divsChild>
                            <w:div w:id="1836339980">
                              <w:marLeft w:val="0"/>
                              <w:marRight w:val="0"/>
                              <w:marTop w:val="0"/>
                              <w:marBottom w:val="0"/>
                              <w:divBdr>
                                <w:top w:val="none" w:sz="0" w:space="0" w:color="auto"/>
                                <w:left w:val="none" w:sz="0" w:space="0" w:color="auto"/>
                                <w:bottom w:val="none" w:sz="0" w:space="0" w:color="auto"/>
                                <w:right w:val="none" w:sz="0" w:space="0" w:color="auto"/>
                              </w:divBdr>
                            </w:div>
                            <w:div w:id="1183132752">
                              <w:marLeft w:val="0"/>
                              <w:marRight w:val="0"/>
                              <w:marTop w:val="0"/>
                              <w:marBottom w:val="0"/>
                              <w:divBdr>
                                <w:top w:val="none" w:sz="0" w:space="0" w:color="auto"/>
                                <w:left w:val="none" w:sz="0" w:space="0" w:color="auto"/>
                                <w:bottom w:val="none" w:sz="0" w:space="0" w:color="auto"/>
                                <w:right w:val="none" w:sz="0" w:space="0" w:color="auto"/>
                              </w:divBdr>
                              <w:divsChild>
                                <w:div w:id="2187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6486">
                          <w:marLeft w:val="0"/>
                          <w:marRight w:val="0"/>
                          <w:marTop w:val="0"/>
                          <w:marBottom w:val="0"/>
                          <w:divBdr>
                            <w:top w:val="none" w:sz="0" w:space="0" w:color="auto"/>
                            <w:left w:val="none" w:sz="0" w:space="0" w:color="auto"/>
                            <w:bottom w:val="none" w:sz="0" w:space="0" w:color="auto"/>
                            <w:right w:val="none" w:sz="0" w:space="0" w:color="auto"/>
                          </w:divBdr>
                          <w:divsChild>
                            <w:div w:id="601913287">
                              <w:marLeft w:val="0"/>
                              <w:marRight w:val="0"/>
                              <w:marTop w:val="0"/>
                              <w:marBottom w:val="0"/>
                              <w:divBdr>
                                <w:top w:val="none" w:sz="0" w:space="0" w:color="auto"/>
                                <w:left w:val="none" w:sz="0" w:space="0" w:color="auto"/>
                                <w:bottom w:val="none" w:sz="0" w:space="0" w:color="auto"/>
                                <w:right w:val="none" w:sz="0" w:space="0" w:color="auto"/>
                              </w:divBdr>
                            </w:div>
                            <w:div w:id="22942944">
                              <w:marLeft w:val="0"/>
                              <w:marRight w:val="0"/>
                              <w:marTop w:val="0"/>
                              <w:marBottom w:val="0"/>
                              <w:divBdr>
                                <w:top w:val="none" w:sz="0" w:space="0" w:color="auto"/>
                                <w:left w:val="none" w:sz="0" w:space="0" w:color="auto"/>
                                <w:bottom w:val="none" w:sz="0" w:space="0" w:color="auto"/>
                                <w:right w:val="none" w:sz="0" w:space="0" w:color="auto"/>
                              </w:divBdr>
                              <w:divsChild>
                                <w:div w:id="11854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6825">
                          <w:marLeft w:val="0"/>
                          <w:marRight w:val="0"/>
                          <w:marTop w:val="0"/>
                          <w:marBottom w:val="0"/>
                          <w:divBdr>
                            <w:top w:val="none" w:sz="0" w:space="0" w:color="auto"/>
                            <w:left w:val="none" w:sz="0" w:space="0" w:color="auto"/>
                            <w:bottom w:val="none" w:sz="0" w:space="0" w:color="auto"/>
                            <w:right w:val="none" w:sz="0" w:space="0" w:color="auto"/>
                          </w:divBdr>
                          <w:divsChild>
                            <w:div w:id="1823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81291268">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599219">
      <w:bodyDiv w:val="1"/>
      <w:marLeft w:val="0"/>
      <w:marRight w:val="0"/>
      <w:marTop w:val="0"/>
      <w:marBottom w:val="0"/>
      <w:divBdr>
        <w:top w:val="none" w:sz="0" w:space="0" w:color="auto"/>
        <w:left w:val="none" w:sz="0" w:space="0" w:color="auto"/>
        <w:bottom w:val="none" w:sz="0" w:space="0" w:color="auto"/>
        <w:right w:val="none" w:sz="0" w:space="0" w:color="auto"/>
      </w:divBdr>
      <w:divsChild>
        <w:div w:id="1723167921">
          <w:marLeft w:val="0"/>
          <w:marRight w:val="0"/>
          <w:marTop w:val="0"/>
          <w:marBottom w:val="0"/>
          <w:divBdr>
            <w:top w:val="none" w:sz="0" w:space="0" w:color="auto"/>
            <w:left w:val="none" w:sz="0" w:space="0" w:color="auto"/>
            <w:bottom w:val="none" w:sz="0" w:space="0" w:color="auto"/>
            <w:right w:val="none" w:sz="0" w:space="0" w:color="auto"/>
          </w:divBdr>
          <w:divsChild>
            <w:div w:id="989141153">
              <w:marLeft w:val="0"/>
              <w:marRight w:val="0"/>
              <w:marTop w:val="0"/>
              <w:marBottom w:val="0"/>
              <w:divBdr>
                <w:top w:val="none" w:sz="0" w:space="0" w:color="auto"/>
                <w:left w:val="none" w:sz="0" w:space="0" w:color="auto"/>
                <w:bottom w:val="none" w:sz="0" w:space="0" w:color="auto"/>
                <w:right w:val="none" w:sz="0" w:space="0" w:color="auto"/>
              </w:divBdr>
              <w:divsChild>
                <w:div w:id="1519810373">
                  <w:marLeft w:val="0"/>
                  <w:marRight w:val="0"/>
                  <w:marTop w:val="0"/>
                  <w:marBottom w:val="0"/>
                  <w:divBdr>
                    <w:top w:val="none" w:sz="0" w:space="0" w:color="auto"/>
                    <w:left w:val="none" w:sz="0" w:space="0" w:color="auto"/>
                    <w:bottom w:val="none" w:sz="0" w:space="0" w:color="auto"/>
                    <w:right w:val="none" w:sz="0" w:space="0" w:color="auto"/>
                  </w:divBdr>
                  <w:divsChild>
                    <w:div w:id="1950893867">
                      <w:marLeft w:val="0"/>
                      <w:marRight w:val="0"/>
                      <w:marTop w:val="0"/>
                      <w:marBottom w:val="0"/>
                      <w:divBdr>
                        <w:top w:val="none" w:sz="0" w:space="0" w:color="auto"/>
                        <w:left w:val="none" w:sz="0" w:space="0" w:color="auto"/>
                        <w:bottom w:val="none" w:sz="0" w:space="0" w:color="auto"/>
                        <w:right w:val="none" w:sz="0" w:space="0" w:color="auto"/>
                      </w:divBdr>
                    </w:div>
                  </w:divsChild>
                </w:div>
                <w:div w:id="130560570">
                  <w:marLeft w:val="0"/>
                  <w:marRight w:val="0"/>
                  <w:marTop w:val="0"/>
                  <w:marBottom w:val="0"/>
                  <w:divBdr>
                    <w:top w:val="none" w:sz="0" w:space="0" w:color="auto"/>
                    <w:left w:val="none" w:sz="0" w:space="0" w:color="auto"/>
                    <w:bottom w:val="none" w:sz="0" w:space="0" w:color="auto"/>
                    <w:right w:val="none" w:sz="0" w:space="0" w:color="auto"/>
                  </w:divBdr>
                  <w:divsChild>
                    <w:div w:id="2136101857">
                      <w:marLeft w:val="0"/>
                      <w:marRight w:val="0"/>
                      <w:marTop w:val="0"/>
                      <w:marBottom w:val="0"/>
                      <w:divBdr>
                        <w:top w:val="none" w:sz="0" w:space="0" w:color="auto"/>
                        <w:left w:val="none" w:sz="0" w:space="0" w:color="auto"/>
                        <w:bottom w:val="none" w:sz="0" w:space="0" w:color="auto"/>
                        <w:right w:val="none" w:sz="0" w:space="0" w:color="auto"/>
                      </w:divBdr>
                      <w:divsChild>
                        <w:div w:id="1531646840">
                          <w:marLeft w:val="0"/>
                          <w:marRight w:val="0"/>
                          <w:marTop w:val="0"/>
                          <w:marBottom w:val="0"/>
                          <w:divBdr>
                            <w:top w:val="none" w:sz="0" w:space="0" w:color="auto"/>
                            <w:left w:val="none" w:sz="0" w:space="0" w:color="auto"/>
                            <w:bottom w:val="none" w:sz="0" w:space="0" w:color="auto"/>
                            <w:right w:val="none" w:sz="0" w:space="0" w:color="auto"/>
                          </w:divBdr>
                          <w:divsChild>
                            <w:div w:id="1318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535470">
                  <w:marLeft w:val="0"/>
                  <w:marRight w:val="0"/>
                  <w:marTop w:val="0"/>
                  <w:marBottom w:val="0"/>
                  <w:divBdr>
                    <w:top w:val="none" w:sz="0" w:space="0" w:color="auto"/>
                    <w:left w:val="none" w:sz="0" w:space="0" w:color="auto"/>
                    <w:bottom w:val="none" w:sz="0" w:space="0" w:color="auto"/>
                    <w:right w:val="none" w:sz="0" w:space="0" w:color="auto"/>
                  </w:divBdr>
                  <w:divsChild>
                    <w:div w:id="1806653669">
                      <w:marLeft w:val="0"/>
                      <w:marRight w:val="0"/>
                      <w:marTop w:val="0"/>
                      <w:marBottom w:val="0"/>
                      <w:divBdr>
                        <w:top w:val="none" w:sz="0" w:space="0" w:color="auto"/>
                        <w:left w:val="none" w:sz="0" w:space="0" w:color="auto"/>
                        <w:bottom w:val="none" w:sz="0" w:space="0" w:color="auto"/>
                        <w:right w:val="none" w:sz="0" w:space="0" w:color="auto"/>
                      </w:divBdr>
                      <w:divsChild>
                        <w:div w:id="1338843047">
                          <w:marLeft w:val="0"/>
                          <w:marRight w:val="0"/>
                          <w:marTop w:val="0"/>
                          <w:marBottom w:val="0"/>
                          <w:divBdr>
                            <w:top w:val="none" w:sz="0" w:space="0" w:color="auto"/>
                            <w:left w:val="none" w:sz="0" w:space="0" w:color="auto"/>
                            <w:bottom w:val="none" w:sz="0" w:space="0" w:color="auto"/>
                            <w:right w:val="none" w:sz="0" w:space="0" w:color="auto"/>
                          </w:divBdr>
                          <w:divsChild>
                            <w:div w:id="931354372">
                              <w:marLeft w:val="0"/>
                              <w:marRight w:val="0"/>
                              <w:marTop w:val="0"/>
                              <w:marBottom w:val="0"/>
                              <w:divBdr>
                                <w:top w:val="none" w:sz="0" w:space="0" w:color="auto"/>
                                <w:left w:val="none" w:sz="0" w:space="0" w:color="auto"/>
                                <w:bottom w:val="none" w:sz="0" w:space="0" w:color="auto"/>
                                <w:right w:val="none" w:sz="0" w:space="0" w:color="auto"/>
                              </w:divBdr>
                              <w:divsChild>
                                <w:div w:id="16402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451473">
                      <w:marLeft w:val="0"/>
                      <w:marRight w:val="0"/>
                      <w:marTop w:val="0"/>
                      <w:marBottom w:val="0"/>
                      <w:divBdr>
                        <w:top w:val="none" w:sz="0" w:space="0" w:color="auto"/>
                        <w:left w:val="none" w:sz="0" w:space="0" w:color="auto"/>
                        <w:bottom w:val="none" w:sz="0" w:space="0" w:color="auto"/>
                        <w:right w:val="none" w:sz="0" w:space="0" w:color="auto"/>
                      </w:divBdr>
                      <w:divsChild>
                        <w:div w:id="698357907">
                          <w:marLeft w:val="0"/>
                          <w:marRight w:val="0"/>
                          <w:marTop w:val="0"/>
                          <w:marBottom w:val="0"/>
                          <w:divBdr>
                            <w:top w:val="none" w:sz="0" w:space="0" w:color="auto"/>
                            <w:left w:val="none" w:sz="0" w:space="0" w:color="auto"/>
                            <w:bottom w:val="none" w:sz="0" w:space="0" w:color="auto"/>
                            <w:right w:val="none" w:sz="0" w:space="0" w:color="auto"/>
                          </w:divBdr>
                          <w:divsChild>
                            <w:div w:id="1558584803">
                              <w:marLeft w:val="0"/>
                              <w:marRight w:val="0"/>
                              <w:marTop w:val="0"/>
                              <w:marBottom w:val="0"/>
                              <w:divBdr>
                                <w:top w:val="none" w:sz="0" w:space="0" w:color="auto"/>
                                <w:left w:val="none" w:sz="0" w:space="0" w:color="auto"/>
                                <w:bottom w:val="none" w:sz="0" w:space="0" w:color="auto"/>
                                <w:right w:val="none" w:sz="0" w:space="0" w:color="auto"/>
                              </w:divBdr>
                              <w:divsChild>
                                <w:div w:id="1724520085">
                                  <w:marLeft w:val="0"/>
                                  <w:marRight w:val="0"/>
                                  <w:marTop w:val="0"/>
                                  <w:marBottom w:val="0"/>
                                  <w:divBdr>
                                    <w:top w:val="none" w:sz="0" w:space="0" w:color="auto"/>
                                    <w:left w:val="none" w:sz="0" w:space="0" w:color="auto"/>
                                    <w:bottom w:val="none" w:sz="0" w:space="0" w:color="auto"/>
                                    <w:right w:val="none" w:sz="0" w:space="0" w:color="auto"/>
                                  </w:divBdr>
                                  <w:divsChild>
                                    <w:div w:id="46343283">
                                      <w:marLeft w:val="0"/>
                                      <w:marRight w:val="0"/>
                                      <w:marTop w:val="0"/>
                                      <w:marBottom w:val="0"/>
                                      <w:divBdr>
                                        <w:top w:val="none" w:sz="0" w:space="0" w:color="auto"/>
                                        <w:left w:val="none" w:sz="0" w:space="0" w:color="auto"/>
                                        <w:bottom w:val="none" w:sz="0" w:space="0" w:color="auto"/>
                                        <w:right w:val="none" w:sz="0" w:space="0" w:color="auto"/>
                                      </w:divBdr>
                                      <w:divsChild>
                                        <w:div w:id="750194956">
                                          <w:marLeft w:val="0"/>
                                          <w:marRight w:val="0"/>
                                          <w:marTop w:val="0"/>
                                          <w:marBottom w:val="0"/>
                                          <w:divBdr>
                                            <w:top w:val="none" w:sz="0" w:space="0" w:color="auto"/>
                                            <w:left w:val="none" w:sz="0" w:space="0" w:color="auto"/>
                                            <w:bottom w:val="none" w:sz="0" w:space="0" w:color="auto"/>
                                            <w:right w:val="none" w:sz="0" w:space="0" w:color="auto"/>
                                          </w:divBdr>
                                          <w:divsChild>
                                            <w:div w:id="1893806204">
                                              <w:marLeft w:val="0"/>
                                              <w:marRight w:val="0"/>
                                              <w:marTop w:val="0"/>
                                              <w:marBottom w:val="0"/>
                                              <w:divBdr>
                                                <w:top w:val="none" w:sz="0" w:space="0" w:color="auto"/>
                                                <w:left w:val="none" w:sz="0" w:space="0" w:color="auto"/>
                                                <w:bottom w:val="none" w:sz="0" w:space="0" w:color="auto"/>
                                                <w:right w:val="none" w:sz="0" w:space="0" w:color="auto"/>
                                              </w:divBdr>
                                              <w:divsChild>
                                                <w:div w:id="505748515">
                                                  <w:marLeft w:val="0"/>
                                                  <w:marRight w:val="0"/>
                                                  <w:marTop w:val="0"/>
                                                  <w:marBottom w:val="0"/>
                                                  <w:divBdr>
                                                    <w:top w:val="none" w:sz="0" w:space="0" w:color="auto"/>
                                                    <w:left w:val="none" w:sz="0" w:space="0" w:color="auto"/>
                                                    <w:bottom w:val="none" w:sz="0" w:space="0" w:color="auto"/>
                                                    <w:right w:val="none" w:sz="0" w:space="0" w:color="auto"/>
                                                  </w:divBdr>
                                                  <w:divsChild>
                                                    <w:div w:id="483592854">
                                                      <w:marLeft w:val="0"/>
                                                      <w:marRight w:val="0"/>
                                                      <w:marTop w:val="0"/>
                                                      <w:marBottom w:val="0"/>
                                                      <w:divBdr>
                                                        <w:top w:val="none" w:sz="0" w:space="0" w:color="auto"/>
                                                        <w:left w:val="none" w:sz="0" w:space="0" w:color="auto"/>
                                                        <w:bottom w:val="none" w:sz="0" w:space="0" w:color="auto"/>
                                                        <w:right w:val="none" w:sz="0" w:space="0" w:color="auto"/>
                                                      </w:divBdr>
                                                      <w:divsChild>
                                                        <w:div w:id="1050308019">
                                                          <w:marLeft w:val="0"/>
                                                          <w:marRight w:val="0"/>
                                                          <w:marTop w:val="0"/>
                                                          <w:marBottom w:val="0"/>
                                                          <w:divBdr>
                                                            <w:top w:val="none" w:sz="0" w:space="0" w:color="auto"/>
                                                            <w:left w:val="none" w:sz="0" w:space="0" w:color="auto"/>
                                                            <w:bottom w:val="none" w:sz="0" w:space="0" w:color="auto"/>
                                                            <w:right w:val="none" w:sz="0" w:space="0" w:color="auto"/>
                                                          </w:divBdr>
                                                          <w:divsChild>
                                                            <w:div w:id="532306286">
                                                              <w:marLeft w:val="0"/>
                                                              <w:marRight w:val="0"/>
                                                              <w:marTop w:val="0"/>
                                                              <w:marBottom w:val="0"/>
                                                              <w:divBdr>
                                                                <w:top w:val="none" w:sz="0" w:space="0" w:color="auto"/>
                                                                <w:left w:val="none" w:sz="0" w:space="0" w:color="auto"/>
                                                                <w:bottom w:val="none" w:sz="0" w:space="0" w:color="auto"/>
                                                                <w:right w:val="none" w:sz="0" w:space="0" w:color="auto"/>
                                                              </w:divBdr>
                                                              <w:divsChild>
                                                                <w:div w:id="1083913911">
                                                                  <w:marLeft w:val="0"/>
                                                                  <w:marRight w:val="0"/>
                                                                  <w:marTop w:val="0"/>
                                                                  <w:marBottom w:val="0"/>
                                                                  <w:divBdr>
                                                                    <w:top w:val="none" w:sz="0" w:space="0" w:color="auto"/>
                                                                    <w:left w:val="none" w:sz="0" w:space="0" w:color="auto"/>
                                                                    <w:bottom w:val="none" w:sz="0" w:space="0" w:color="auto"/>
                                                                    <w:right w:val="none" w:sz="0" w:space="0" w:color="auto"/>
                                                                  </w:divBdr>
                                                                  <w:divsChild>
                                                                    <w:div w:id="202115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76585">
                                                              <w:marLeft w:val="0"/>
                                                              <w:marRight w:val="0"/>
                                                              <w:marTop w:val="0"/>
                                                              <w:marBottom w:val="0"/>
                                                              <w:divBdr>
                                                                <w:top w:val="none" w:sz="0" w:space="0" w:color="auto"/>
                                                                <w:left w:val="none" w:sz="0" w:space="0" w:color="auto"/>
                                                                <w:bottom w:val="none" w:sz="0" w:space="0" w:color="auto"/>
                                                                <w:right w:val="none" w:sz="0" w:space="0" w:color="auto"/>
                                                              </w:divBdr>
                                                              <w:divsChild>
                                                                <w:div w:id="950548663">
                                                                  <w:marLeft w:val="0"/>
                                                                  <w:marRight w:val="0"/>
                                                                  <w:marTop w:val="0"/>
                                                                  <w:marBottom w:val="0"/>
                                                                  <w:divBdr>
                                                                    <w:top w:val="none" w:sz="0" w:space="0" w:color="auto"/>
                                                                    <w:left w:val="none" w:sz="0" w:space="0" w:color="auto"/>
                                                                    <w:bottom w:val="none" w:sz="0" w:space="0" w:color="auto"/>
                                                                    <w:right w:val="none" w:sz="0" w:space="0" w:color="auto"/>
                                                                  </w:divBdr>
                                                                  <w:divsChild>
                                                                    <w:div w:id="12339463">
                                                                      <w:marLeft w:val="0"/>
                                                                      <w:marRight w:val="0"/>
                                                                      <w:marTop w:val="0"/>
                                                                      <w:marBottom w:val="0"/>
                                                                      <w:divBdr>
                                                                        <w:top w:val="none" w:sz="0" w:space="0" w:color="auto"/>
                                                                        <w:left w:val="none" w:sz="0" w:space="0" w:color="auto"/>
                                                                        <w:bottom w:val="none" w:sz="0" w:space="0" w:color="auto"/>
                                                                        <w:right w:val="none" w:sz="0" w:space="0" w:color="auto"/>
                                                                      </w:divBdr>
                                                                      <w:divsChild>
                                                                        <w:div w:id="1164857516">
                                                                          <w:marLeft w:val="0"/>
                                                                          <w:marRight w:val="0"/>
                                                                          <w:marTop w:val="0"/>
                                                                          <w:marBottom w:val="0"/>
                                                                          <w:divBdr>
                                                                            <w:top w:val="none" w:sz="0" w:space="0" w:color="auto"/>
                                                                            <w:left w:val="none" w:sz="0" w:space="0" w:color="auto"/>
                                                                            <w:bottom w:val="none" w:sz="0" w:space="0" w:color="auto"/>
                                                                            <w:right w:val="none" w:sz="0" w:space="0" w:color="auto"/>
                                                                          </w:divBdr>
                                                                          <w:divsChild>
                                                                            <w:div w:id="1131433804">
                                                                              <w:marLeft w:val="0"/>
                                                                              <w:marRight w:val="0"/>
                                                                              <w:marTop w:val="0"/>
                                                                              <w:marBottom w:val="0"/>
                                                                              <w:divBdr>
                                                                                <w:top w:val="none" w:sz="0" w:space="0" w:color="auto"/>
                                                                                <w:left w:val="none" w:sz="0" w:space="0" w:color="auto"/>
                                                                                <w:bottom w:val="none" w:sz="0" w:space="0" w:color="auto"/>
                                                                                <w:right w:val="none" w:sz="0" w:space="0" w:color="auto"/>
                                                                              </w:divBdr>
                                                                              <w:divsChild>
                                                                                <w:div w:id="608242107">
                                                                                  <w:marLeft w:val="0"/>
                                                                                  <w:marRight w:val="0"/>
                                                                                  <w:marTop w:val="0"/>
                                                                                  <w:marBottom w:val="0"/>
                                                                                  <w:divBdr>
                                                                                    <w:top w:val="none" w:sz="0" w:space="0" w:color="auto"/>
                                                                                    <w:left w:val="none" w:sz="0" w:space="0" w:color="auto"/>
                                                                                    <w:bottom w:val="none" w:sz="0" w:space="0" w:color="auto"/>
                                                                                    <w:right w:val="none" w:sz="0" w:space="0" w:color="auto"/>
                                                                                  </w:divBdr>
                                                                                  <w:divsChild>
                                                                                    <w:div w:id="1731490438">
                                                                                      <w:marLeft w:val="0"/>
                                                                                      <w:marRight w:val="0"/>
                                                                                      <w:marTop w:val="0"/>
                                                                                      <w:marBottom w:val="0"/>
                                                                                      <w:divBdr>
                                                                                        <w:top w:val="none" w:sz="0" w:space="0" w:color="auto"/>
                                                                                        <w:left w:val="none" w:sz="0" w:space="0" w:color="auto"/>
                                                                                        <w:bottom w:val="none" w:sz="0" w:space="0" w:color="auto"/>
                                                                                        <w:right w:val="none" w:sz="0" w:space="0" w:color="auto"/>
                                                                                      </w:divBdr>
                                                                                      <w:divsChild>
                                                                                        <w:div w:id="209573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2918367">
          <w:marLeft w:val="0"/>
          <w:marRight w:val="0"/>
          <w:marTop w:val="0"/>
          <w:marBottom w:val="0"/>
          <w:divBdr>
            <w:top w:val="none" w:sz="0" w:space="0" w:color="auto"/>
            <w:left w:val="none" w:sz="0" w:space="0" w:color="auto"/>
            <w:bottom w:val="none" w:sz="0" w:space="0" w:color="auto"/>
            <w:right w:val="none" w:sz="0" w:space="0" w:color="auto"/>
          </w:divBdr>
          <w:divsChild>
            <w:div w:id="923075362">
              <w:marLeft w:val="0"/>
              <w:marRight w:val="0"/>
              <w:marTop w:val="0"/>
              <w:marBottom w:val="0"/>
              <w:divBdr>
                <w:top w:val="none" w:sz="0" w:space="0" w:color="auto"/>
                <w:left w:val="none" w:sz="0" w:space="0" w:color="auto"/>
                <w:bottom w:val="none" w:sz="0" w:space="0" w:color="auto"/>
                <w:right w:val="none" w:sz="0" w:space="0" w:color="auto"/>
              </w:divBdr>
              <w:divsChild>
                <w:div w:id="1612585947">
                  <w:marLeft w:val="0"/>
                  <w:marRight w:val="0"/>
                  <w:marTop w:val="0"/>
                  <w:marBottom w:val="0"/>
                  <w:divBdr>
                    <w:top w:val="none" w:sz="0" w:space="0" w:color="auto"/>
                    <w:left w:val="none" w:sz="0" w:space="0" w:color="auto"/>
                    <w:bottom w:val="none" w:sz="0" w:space="0" w:color="auto"/>
                    <w:right w:val="none" w:sz="0" w:space="0" w:color="auto"/>
                  </w:divBdr>
                  <w:divsChild>
                    <w:div w:id="869879909">
                      <w:marLeft w:val="0"/>
                      <w:marRight w:val="0"/>
                      <w:marTop w:val="0"/>
                      <w:marBottom w:val="0"/>
                      <w:divBdr>
                        <w:top w:val="none" w:sz="0" w:space="0" w:color="auto"/>
                        <w:left w:val="none" w:sz="0" w:space="0" w:color="auto"/>
                        <w:bottom w:val="none" w:sz="0" w:space="0" w:color="auto"/>
                        <w:right w:val="none" w:sz="0" w:space="0" w:color="auto"/>
                      </w:divBdr>
                      <w:divsChild>
                        <w:div w:id="1058943936">
                          <w:marLeft w:val="0"/>
                          <w:marRight w:val="0"/>
                          <w:marTop w:val="0"/>
                          <w:marBottom w:val="0"/>
                          <w:divBdr>
                            <w:top w:val="none" w:sz="0" w:space="0" w:color="auto"/>
                            <w:left w:val="none" w:sz="0" w:space="0" w:color="auto"/>
                            <w:bottom w:val="none" w:sz="0" w:space="0" w:color="auto"/>
                            <w:right w:val="none" w:sz="0" w:space="0" w:color="auto"/>
                          </w:divBdr>
                          <w:divsChild>
                            <w:div w:id="2131588330">
                              <w:marLeft w:val="0"/>
                              <w:marRight w:val="0"/>
                              <w:marTop w:val="0"/>
                              <w:marBottom w:val="0"/>
                              <w:divBdr>
                                <w:top w:val="none" w:sz="0" w:space="0" w:color="auto"/>
                                <w:left w:val="none" w:sz="0" w:space="0" w:color="auto"/>
                                <w:bottom w:val="none" w:sz="0" w:space="0" w:color="auto"/>
                                <w:right w:val="none" w:sz="0" w:space="0" w:color="auto"/>
                              </w:divBdr>
                            </w:div>
                            <w:div w:id="1551527361">
                              <w:marLeft w:val="0"/>
                              <w:marRight w:val="0"/>
                              <w:marTop w:val="0"/>
                              <w:marBottom w:val="0"/>
                              <w:divBdr>
                                <w:top w:val="none" w:sz="0" w:space="0" w:color="auto"/>
                                <w:left w:val="none" w:sz="0" w:space="0" w:color="auto"/>
                                <w:bottom w:val="none" w:sz="0" w:space="0" w:color="auto"/>
                                <w:right w:val="none" w:sz="0" w:space="0" w:color="auto"/>
                              </w:divBdr>
                            </w:div>
                          </w:divsChild>
                        </w:div>
                        <w:div w:id="1094786228">
                          <w:marLeft w:val="0"/>
                          <w:marRight w:val="0"/>
                          <w:marTop w:val="0"/>
                          <w:marBottom w:val="0"/>
                          <w:divBdr>
                            <w:top w:val="none" w:sz="0" w:space="0" w:color="auto"/>
                            <w:left w:val="none" w:sz="0" w:space="0" w:color="auto"/>
                            <w:bottom w:val="none" w:sz="0" w:space="0" w:color="auto"/>
                            <w:right w:val="none" w:sz="0" w:space="0" w:color="auto"/>
                          </w:divBdr>
                          <w:divsChild>
                            <w:div w:id="1834637169">
                              <w:marLeft w:val="0"/>
                              <w:marRight w:val="0"/>
                              <w:marTop w:val="0"/>
                              <w:marBottom w:val="0"/>
                              <w:divBdr>
                                <w:top w:val="none" w:sz="0" w:space="0" w:color="auto"/>
                                <w:left w:val="none" w:sz="0" w:space="0" w:color="auto"/>
                                <w:bottom w:val="none" w:sz="0" w:space="0" w:color="auto"/>
                                <w:right w:val="none" w:sz="0" w:space="0" w:color="auto"/>
                              </w:divBdr>
                              <w:divsChild>
                                <w:div w:id="1732459637">
                                  <w:marLeft w:val="0"/>
                                  <w:marRight w:val="0"/>
                                  <w:marTop w:val="0"/>
                                  <w:marBottom w:val="0"/>
                                  <w:divBdr>
                                    <w:top w:val="none" w:sz="0" w:space="0" w:color="auto"/>
                                    <w:left w:val="none" w:sz="0" w:space="0" w:color="auto"/>
                                    <w:bottom w:val="none" w:sz="0" w:space="0" w:color="auto"/>
                                    <w:right w:val="none" w:sz="0" w:space="0" w:color="auto"/>
                                  </w:divBdr>
                                </w:div>
                              </w:divsChild>
                            </w:div>
                            <w:div w:id="676470453">
                              <w:marLeft w:val="0"/>
                              <w:marRight w:val="0"/>
                              <w:marTop w:val="0"/>
                              <w:marBottom w:val="0"/>
                              <w:divBdr>
                                <w:top w:val="none" w:sz="0" w:space="0" w:color="auto"/>
                                <w:left w:val="none" w:sz="0" w:space="0" w:color="auto"/>
                                <w:bottom w:val="none" w:sz="0" w:space="0" w:color="auto"/>
                                <w:right w:val="none" w:sz="0" w:space="0" w:color="auto"/>
                              </w:divBdr>
                              <w:divsChild>
                                <w:div w:id="756513607">
                                  <w:marLeft w:val="0"/>
                                  <w:marRight w:val="0"/>
                                  <w:marTop w:val="0"/>
                                  <w:marBottom w:val="0"/>
                                  <w:divBdr>
                                    <w:top w:val="none" w:sz="0" w:space="0" w:color="auto"/>
                                    <w:left w:val="none" w:sz="0" w:space="0" w:color="auto"/>
                                    <w:bottom w:val="none" w:sz="0" w:space="0" w:color="auto"/>
                                    <w:right w:val="none" w:sz="0" w:space="0" w:color="auto"/>
                                  </w:divBdr>
                                </w:div>
                                <w:div w:id="851340477">
                                  <w:marLeft w:val="0"/>
                                  <w:marRight w:val="0"/>
                                  <w:marTop w:val="0"/>
                                  <w:marBottom w:val="0"/>
                                  <w:divBdr>
                                    <w:top w:val="none" w:sz="0" w:space="0" w:color="auto"/>
                                    <w:left w:val="none" w:sz="0" w:space="0" w:color="auto"/>
                                    <w:bottom w:val="none" w:sz="0" w:space="0" w:color="auto"/>
                                    <w:right w:val="none" w:sz="0" w:space="0" w:color="auto"/>
                                  </w:divBdr>
                                  <w:divsChild>
                                    <w:div w:id="25764037">
                                      <w:marLeft w:val="0"/>
                                      <w:marRight w:val="0"/>
                                      <w:marTop w:val="0"/>
                                      <w:marBottom w:val="0"/>
                                      <w:divBdr>
                                        <w:top w:val="none" w:sz="0" w:space="0" w:color="auto"/>
                                        <w:left w:val="none" w:sz="0" w:space="0" w:color="auto"/>
                                        <w:bottom w:val="none" w:sz="0" w:space="0" w:color="auto"/>
                                        <w:right w:val="none" w:sz="0" w:space="0" w:color="auto"/>
                                      </w:divBdr>
                                    </w:div>
                                  </w:divsChild>
                                </w:div>
                                <w:div w:id="529149350">
                                  <w:marLeft w:val="0"/>
                                  <w:marRight w:val="0"/>
                                  <w:marTop w:val="0"/>
                                  <w:marBottom w:val="0"/>
                                  <w:divBdr>
                                    <w:top w:val="none" w:sz="0" w:space="0" w:color="auto"/>
                                    <w:left w:val="none" w:sz="0" w:space="0" w:color="auto"/>
                                    <w:bottom w:val="none" w:sz="0" w:space="0" w:color="auto"/>
                                    <w:right w:val="none" w:sz="0" w:space="0" w:color="auto"/>
                                  </w:divBdr>
                                  <w:divsChild>
                                    <w:div w:id="1130123227">
                                      <w:marLeft w:val="0"/>
                                      <w:marRight w:val="0"/>
                                      <w:marTop w:val="0"/>
                                      <w:marBottom w:val="0"/>
                                      <w:divBdr>
                                        <w:top w:val="none" w:sz="0" w:space="0" w:color="auto"/>
                                        <w:left w:val="none" w:sz="0" w:space="0" w:color="auto"/>
                                        <w:bottom w:val="none" w:sz="0" w:space="0" w:color="auto"/>
                                        <w:right w:val="none" w:sz="0" w:space="0" w:color="auto"/>
                                      </w:divBdr>
                                    </w:div>
                                  </w:divsChild>
                                </w:div>
                                <w:div w:id="2102603666">
                                  <w:marLeft w:val="0"/>
                                  <w:marRight w:val="0"/>
                                  <w:marTop w:val="0"/>
                                  <w:marBottom w:val="0"/>
                                  <w:divBdr>
                                    <w:top w:val="none" w:sz="0" w:space="0" w:color="auto"/>
                                    <w:left w:val="none" w:sz="0" w:space="0" w:color="auto"/>
                                    <w:bottom w:val="none" w:sz="0" w:space="0" w:color="auto"/>
                                    <w:right w:val="none" w:sz="0" w:space="0" w:color="auto"/>
                                  </w:divBdr>
                                  <w:divsChild>
                                    <w:div w:id="1608351539">
                                      <w:marLeft w:val="0"/>
                                      <w:marRight w:val="0"/>
                                      <w:marTop w:val="0"/>
                                      <w:marBottom w:val="0"/>
                                      <w:divBdr>
                                        <w:top w:val="none" w:sz="0" w:space="0" w:color="auto"/>
                                        <w:left w:val="none" w:sz="0" w:space="0" w:color="auto"/>
                                        <w:bottom w:val="none" w:sz="0" w:space="0" w:color="auto"/>
                                        <w:right w:val="none" w:sz="0" w:space="0" w:color="auto"/>
                                      </w:divBdr>
                                    </w:div>
                                  </w:divsChild>
                                </w:div>
                                <w:div w:id="1981110970">
                                  <w:marLeft w:val="0"/>
                                  <w:marRight w:val="0"/>
                                  <w:marTop w:val="0"/>
                                  <w:marBottom w:val="0"/>
                                  <w:divBdr>
                                    <w:top w:val="none" w:sz="0" w:space="0" w:color="auto"/>
                                    <w:left w:val="none" w:sz="0" w:space="0" w:color="auto"/>
                                    <w:bottom w:val="none" w:sz="0" w:space="0" w:color="auto"/>
                                    <w:right w:val="none" w:sz="0" w:space="0" w:color="auto"/>
                                  </w:divBdr>
                                  <w:divsChild>
                                    <w:div w:id="45616636">
                                      <w:marLeft w:val="0"/>
                                      <w:marRight w:val="0"/>
                                      <w:marTop w:val="0"/>
                                      <w:marBottom w:val="0"/>
                                      <w:divBdr>
                                        <w:top w:val="none" w:sz="0" w:space="0" w:color="auto"/>
                                        <w:left w:val="none" w:sz="0" w:space="0" w:color="auto"/>
                                        <w:bottom w:val="none" w:sz="0" w:space="0" w:color="auto"/>
                                        <w:right w:val="none" w:sz="0" w:space="0" w:color="auto"/>
                                      </w:divBdr>
                                    </w:div>
                                  </w:divsChild>
                                </w:div>
                                <w:div w:id="38436544">
                                  <w:marLeft w:val="0"/>
                                  <w:marRight w:val="0"/>
                                  <w:marTop w:val="0"/>
                                  <w:marBottom w:val="0"/>
                                  <w:divBdr>
                                    <w:top w:val="none" w:sz="0" w:space="0" w:color="auto"/>
                                    <w:left w:val="none" w:sz="0" w:space="0" w:color="auto"/>
                                    <w:bottom w:val="none" w:sz="0" w:space="0" w:color="auto"/>
                                    <w:right w:val="none" w:sz="0" w:space="0" w:color="auto"/>
                                  </w:divBdr>
                                  <w:divsChild>
                                    <w:div w:id="61409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225284">
                              <w:marLeft w:val="0"/>
                              <w:marRight w:val="0"/>
                              <w:marTop w:val="0"/>
                              <w:marBottom w:val="0"/>
                              <w:divBdr>
                                <w:top w:val="none" w:sz="0" w:space="0" w:color="auto"/>
                                <w:left w:val="none" w:sz="0" w:space="0" w:color="auto"/>
                                <w:bottom w:val="none" w:sz="0" w:space="0" w:color="auto"/>
                                <w:right w:val="none" w:sz="0" w:space="0" w:color="auto"/>
                              </w:divBdr>
                              <w:divsChild>
                                <w:div w:id="580602673">
                                  <w:marLeft w:val="0"/>
                                  <w:marRight w:val="0"/>
                                  <w:marTop w:val="0"/>
                                  <w:marBottom w:val="0"/>
                                  <w:divBdr>
                                    <w:top w:val="none" w:sz="0" w:space="0" w:color="auto"/>
                                    <w:left w:val="none" w:sz="0" w:space="0" w:color="auto"/>
                                    <w:bottom w:val="none" w:sz="0" w:space="0" w:color="auto"/>
                                    <w:right w:val="none" w:sz="0" w:space="0" w:color="auto"/>
                                  </w:divBdr>
                                </w:div>
                                <w:div w:id="847210729">
                                  <w:marLeft w:val="0"/>
                                  <w:marRight w:val="0"/>
                                  <w:marTop w:val="0"/>
                                  <w:marBottom w:val="0"/>
                                  <w:divBdr>
                                    <w:top w:val="none" w:sz="0" w:space="0" w:color="auto"/>
                                    <w:left w:val="none" w:sz="0" w:space="0" w:color="auto"/>
                                    <w:bottom w:val="none" w:sz="0" w:space="0" w:color="auto"/>
                                    <w:right w:val="none" w:sz="0" w:space="0" w:color="auto"/>
                                  </w:divBdr>
                                  <w:divsChild>
                                    <w:div w:id="1191453623">
                                      <w:marLeft w:val="0"/>
                                      <w:marRight w:val="0"/>
                                      <w:marTop w:val="0"/>
                                      <w:marBottom w:val="0"/>
                                      <w:divBdr>
                                        <w:top w:val="none" w:sz="0" w:space="0" w:color="auto"/>
                                        <w:left w:val="none" w:sz="0" w:space="0" w:color="auto"/>
                                        <w:bottom w:val="none" w:sz="0" w:space="0" w:color="auto"/>
                                        <w:right w:val="none" w:sz="0" w:space="0" w:color="auto"/>
                                      </w:divBdr>
                                    </w:div>
                                    <w:div w:id="1155952842">
                                      <w:marLeft w:val="0"/>
                                      <w:marRight w:val="0"/>
                                      <w:marTop w:val="0"/>
                                      <w:marBottom w:val="0"/>
                                      <w:divBdr>
                                        <w:top w:val="none" w:sz="0" w:space="0" w:color="auto"/>
                                        <w:left w:val="none" w:sz="0" w:space="0" w:color="auto"/>
                                        <w:bottom w:val="none" w:sz="0" w:space="0" w:color="auto"/>
                                        <w:right w:val="none" w:sz="0" w:space="0" w:color="auto"/>
                                      </w:divBdr>
                                    </w:div>
                                    <w:div w:id="737481140">
                                      <w:marLeft w:val="0"/>
                                      <w:marRight w:val="0"/>
                                      <w:marTop w:val="0"/>
                                      <w:marBottom w:val="0"/>
                                      <w:divBdr>
                                        <w:top w:val="none" w:sz="0" w:space="0" w:color="auto"/>
                                        <w:left w:val="none" w:sz="0" w:space="0" w:color="auto"/>
                                        <w:bottom w:val="none" w:sz="0" w:space="0" w:color="auto"/>
                                        <w:right w:val="none" w:sz="0" w:space="0" w:color="auto"/>
                                      </w:divBdr>
                                    </w:div>
                                    <w:div w:id="1355031439">
                                      <w:marLeft w:val="0"/>
                                      <w:marRight w:val="0"/>
                                      <w:marTop w:val="0"/>
                                      <w:marBottom w:val="0"/>
                                      <w:divBdr>
                                        <w:top w:val="none" w:sz="0" w:space="0" w:color="auto"/>
                                        <w:left w:val="none" w:sz="0" w:space="0" w:color="auto"/>
                                        <w:bottom w:val="none" w:sz="0" w:space="0" w:color="auto"/>
                                        <w:right w:val="none" w:sz="0" w:space="0" w:color="auto"/>
                                      </w:divBdr>
                                      <w:divsChild>
                                        <w:div w:id="654451675">
                                          <w:marLeft w:val="0"/>
                                          <w:marRight w:val="0"/>
                                          <w:marTop w:val="0"/>
                                          <w:marBottom w:val="0"/>
                                          <w:divBdr>
                                            <w:top w:val="none" w:sz="0" w:space="0" w:color="auto"/>
                                            <w:left w:val="none" w:sz="0" w:space="0" w:color="auto"/>
                                            <w:bottom w:val="none" w:sz="0" w:space="0" w:color="auto"/>
                                            <w:right w:val="none" w:sz="0" w:space="0" w:color="auto"/>
                                          </w:divBdr>
                                          <w:divsChild>
                                            <w:div w:id="1537307093">
                                              <w:marLeft w:val="0"/>
                                              <w:marRight w:val="0"/>
                                              <w:marTop w:val="0"/>
                                              <w:marBottom w:val="0"/>
                                              <w:divBdr>
                                                <w:top w:val="none" w:sz="0" w:space="0" w:color="auto"/>
                                                <w:left w:val="none" w:sz="0" w:space="0" w:color="auto"/>
                                                <w:bottom w:val="none" w:sz="0" w:space="0" w:color="auto"/>
                                                <w:right w:val="none" w:sz="0" w:space="0" w:color="auto"/>
                                              </w:divBdr>
                                            </w:div>
                                          </w:divsChild>
                                        </w:div>
                                        <w:div w:id="13507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1613">
                                  <w:marLeft w:val="0"/>
                                  <w:marRight w:val="0"/>
                                  <w:marTop w:val="0"/>
                                  <w:marBottom w:val="0"/>
                                  <w:divBdr>
                                    <w:top w:val="none" w:sz="0" w:space="0" w:color="auto"/>
                                    <w:left w:val="none" w:sz="0" w:space="0" w:color="auto"/>
                                    <w:bottom w:val="none" w:sz="0" w:space="0" w:color="auto"/>
                                    <w:right w:val="none" w:sz="0" w:space="0" w:color="auto"/>
                                  </w:divBdr>
                                  <w:divsChild>
                                    <w:div w:id="1468471468">
                                      <w:marLeft w:val="0"/>
                                      <w:marRight w:val="0"/>
                                      <w:marTop w:val="0"/>
                                      <w:marBottom w:val="0"/>
                                      <w:divBdr>
                                        <w:top w:val="none" w:sz="0" w:space="0" w:color="auto"/>
                                        <w:left w:val="none" w:sz="0" w:space="0" w:color="auto"/>
                                        <w:bottom w:val="none" w:sz="0" w:space="0" w:color="auto"/>
                                        <w:right w:val="none" w:sz="0" w:space="0" w:color="auto"/>
                                      </w:divBdr>
                                    </w:div>
                                  </w:divsChild>
                                </w:div>
                                <w:div w:id="140469282">
                                  <w:marLeft w:val="0"/>
                                  <w:marRight w:val="0"/>
                                  <w:marTop w:val="0"/>
                                  <w:marBottom w:val="0"/>
                                  <w:divBdr>
                                    <w:top w:val="none" w:sz="0" w:space="0" w:color="auto"/>
                                    <w:left w:val="none" w:sz="0" w:space="0" w:color="auto"/>
                                    <w:bottom w:val="none" w:sz="0" w:space="0" w:color="auto"/>
                                    <w:right w:val="none" w:sz="0" w:space="0" w:color="auto"/>
                                  </w:divBdr>
                                  <w:divsChild>
                                    <w:div w:id="26812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2003">
                              <w:marLeft w:val="0"/>
                              <w:marRight w:val="0"/>
                              <w:marTop w:val="0"/>
                              <w:marBottom w:val="0"/>
                              <w:divBdr>
                                <w:top w:val="none" w:sz="0" w:space="0" w:color="auto"/>
                                <w:left w:val="none" w:sz="0" w:space="0" w:color="auto"/>
                                <w:bottom w:val="none" w:sz="0" w:space="0" w:color="auto"/>
                                <w:right w:val="none" w:sz="0" w:space="0" w:color="auto"/>
                              </w:divBdr>
                              <w:divsChild>
                                <w:div w:id="2051877238">
                                  <w:marLeft w:val="0"/>
                                  <w:marRight w:val="0"/>
                                  <w:marTop w:val="0"/>
                                  <w:marBottom w:val="0"/>
                                  <w:divBdr>
                                    <w:top w:val="none" w:sz="0" w:space="0" w:color="auto"/>
                                    <w:left w:val="none" w:sz="0" w:space="0" w:color="auto"/>
                                    <w:bottom w:val="none" w:sz="0" w:space="0" w:color="auto"/>
                                    <w:right w:val="none" w:sz="0" w:space="0" w:color="auto"/>
                                  </w:divBdr>
                                </w:div>
                                <w:div w:id="2038768547">
                                  <w:marLeft w:val="0"/>
                                  <w:marRight w:val="0"/>
                                  <w:marTop w:val="0"/>
                                  <w:marBottom w:val="0"/>
                                  <w:divBdr>
                                    <w:top w:val="none" w:sz="0" w:space="0" w:color="auto"/>
                                    <w:left w:val="none" w:sz="0" w:space="0" w:color="auto"/>
                                    <w:bottom w:val="none" w:sz="0" w:space="0" w:color="auto"/>
                                    <w:right w:val="none" w:sz="0" w:space="0" w:color="auto"/>
                                  </w:divBdr>
                                  <w:divsChild>
                                    <w:div w:id="648828957">
                                      <w:marLeft w:val="0"/>
                                      <w:marRight w:val="0"/>
                                      <w:marTop w:val="0"/>
                                      <w:marBottom w:val="0"/>
                                      <w:divBdr>
                                        <w:top w:val="none" w:sz="0" w:space="0" w:color="auto"/>
                                        <w:left w:val="none" w:sz="0" w:space="0" w:color="auto"/>
                                        <w:bottom w:val="none" w:sz="0" w:space="0" w:color="auto"/>
                                        <w:right w:val="none" w:sz="0" w:space="0" w:color="auto"/>
                                      </w:divBdr>
                                    </w:div>
                                  </w:divsChild>
                                </w:div>
                                <w:div w:id="894853267">
                                  <w:marLeft w:val="0"/>
                                  <w:marRight w:val="0"/>
                                  <w:marTop w:val="0"/>
                                  <w:marBottom w:val="0"/>
                                  <w:divBdr>
                                    <w:top w:val="none" w:sz="0" w:space="0" w:color="auto"/>
                                    <w:left w:val="none" w:sz="0" w:space="0" w:color="auto"/>
                                    <w:bottom w:val="none" w:sz="0" w:space="0" w:color="auto"/>
                                    <w:right w:val="none" w:sz="0" w:space="0" w:color="auto"/>
                                  </w:divBdr>
                                  <w:divsChild>
                                    <w:div w:id="110049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05237">
                              <w:marLeft w:val="0"/>
                              <w:marRight w:val="0"/>
                              <w:marTop w:val="0"/>
                              <w:marBottom w:val="0"/>
                              <w:divBdr>
                                <w:top w:val="none" w:sz="0" w:space="0" w:color="auto"/>
                                <w:left w:val="none" w:sz="0" w:space="0" w:color="auto"/>
                                <w:bottom w:val="none" w:sz="0" w:space="0" w:color="auto"/>
                                <w:right w:val="none" w:sz="0" w:space="0" w:color="auto"/>
                              </w:divBdr>
                              <w:divsChild>
                                <w:div w:id="1377198717">
                                  <w:marLeft w:val="0"/>
                                  <w:marRight w:val="0"/>
                                  <w:marTop w:val="0"/>
                                  <w:marBottom w:val="0"/>
                                  <w:divBdr>
                                    <w:top w:val="none" w:sz="0" w:space="0" w:color="auto"/>
                                    <w:left w:val="none" w:sz="0" w:space="0" w:color="auto"/>
                                    <w:bottom w:val="none" w:sz="0" w:space="0" w:color="auto"/>
                                    <w:right w:val="none" w:sz="0" w:space="0" w:color="auto"/>
                                  </w:divBdr>
                                </w:div>
                              </w:divsChild>
                            </w:div>
                            <w:div w:id="31654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9%2F00243631280482708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DFDB78-C3A0-40ED-BFD8-DA8035E72082}">
  <ds:schemaRefs>
    <ds:schemaRef ds:uri="http://schemas.microsoft.com/sharepoint/v3/contenttype/forms"/>
  </ds:schemaRefs>
</ds:datastoreItem>
</file>

<file path=customXml/itemProps2.xml><?xml version="1.0" encoding="utf-8"?>
<ds:datastoreItem xmlns:ds="http://schemas.openxmlformats.org/officeDocument/2006/customXml" ds:itemID="{E4D0D02D-BC75-4E2A-A48C-7A35E72245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DB9CD1-9BD1-428A-B9A4-19A7573C7B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3649</Words>
  <Characters>18360</Characters>
  <Application>Microsoft Office Word</Application>
  <DocSecurity>8</DocSecurity>
  <Lines>306</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2020-07-23T16:32:00Z</dcterms:created>
  <dcterms:modified xsi:type="dcterms:W3CDTF">2020-07-31T13:35:00Z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