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0A0946" w:rsidRDefault="000A7622" w:rsidP="000A7622">
      <w:pPr>
        <w:pStyle w:val="Default"/>
        <w:rPr>
          <w:rFonts w:asciiTheme="minorHAnsi" w:hAnsiTheme="minorHAnsi" w:cstheme="minorHAnsi"/>
          <w:sz w:val="22"/>
          <w:szCs w:val="22"/>
        </w:rPr>
      </w:pPr>
    </w:p>
    <w:p w14:paraId="2538F7F5" w14:textId="77777777" w:rsidR="000A7622" w:rsidRPr="000A0946"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A0946">
        <w:rPr>
          <w:rFonts w:cstheme="minorHAnsi"/>
          <w:b/>
          <w:bCs/>
          <w:color w:val="316192"/>
          <w:sz w:val="28"/>
          <w:szCs w:val="26"/>
        </w:rPr>
        <w:t>Marquette University</w:t>
      </w:r>
    </w:p>
    <w:p w14:paraId="158D4B9F" w14:textId="77777777" w:rsidR="000A7622" w:rsidRPr="000A0946" w:rsidRDefault="000A7622" w:rsidP="00D14423">
      <w:pPr>
        <w:autoSpaceDE w:val="0"/>
        <w:autoSpaceDN w:val="0"/>
        <w:adjustRightInd w:val="0"/>
        <w:rPr>
          <w:rFonts w:cstheme="minorHAnsi"/>
          <w:b/>
          <w:bCs/>
          <w:color w:val="316192"/>
          <w:sz w:val="40"/>
          <w:szCs w:val="36"/>
        </w:rPr>
      </w:pPr>
      <w:r w:rsidRPr="000A0946">
        <w:rPr>
          <w:rFonts w:cstheme="minorHAnsi"/>
          <w:b/>
          <w:bCs/>
          <w:color w:val="316192"/>
          <w:sz w:val="40"/>
          <w:szCs w:val="36"/>
        </w:rPr>
        <w:t>e-Publications@Marquette</w:t>
      </w:r>
    </w:p>
    <w:p w14:paraId="689ACF87" w14:textId="77777777" w:rsidR="000A7622" w:rsidRPr="000A0946" w:rsidRDefault="000A7622" w:rsidP="00D14423">
      <w:pPr>
        <w:autoSpaceDE w:val="0"/>
        <w:autoSpaceDN w:val="0"/>
        <w:adjustRightInd w:val="0"/>
        <w:rPr>
          <w:rFonts w:cstheme="minorHAnsi"/>
          <w:b/>
          <w:bCs/>
          <w:i/>
          <w:iCs/>
        </w:rPr>
      </w:pPr>
    </w:p>
    <w:p w14:paraId="161853CC" w14:textId="79C24BE9" w:rsidR="000A7622" w:rsidRPr="000A0946" w:rsidRDefault="00EE47B8" w:rsidP="00D14423">
      <w:pPr>
        <w:autoSpaceDE w:val="0"/>
        <w:autoSpaceDN w:val="0"/>
        <w:adjustRightInd w:val="0"/>
        <w:rPr>
          <w:rFonts w:cstheme="minorHAnsi"/>
          <w:b/>
          <w:bCs/>
          <w:i/>
          <w:iCs/>
          <w:sz w:val="32"/>
          <w:szCs w:val="32"/>
        </w:rPr>
      </w:pPr>
      <w:r w:rsidRPr="000A0946">
        <w:rPr>
          <w:rFonts w:cstheme="minorHAnsi"/>
          <w:b/>
          <w:bCs/>
          <w:i/>
          <w:iCs/>
          <w:sz w:val="32"/>
          <w:szCs w:val="32"/>
        </w:rPr>
        <w:t xml:space="preserve">Nursing </w:t>
      </w:r>
      <w:r w:rsidR="000A7622" w:rsidRPr="000A0946">
        <w:rPr>
          <w:rFonts w:cstheme="minorHAnsi"/>
          <w:b/>
          <w:bCs/>
          <w:i/>
          <w:iCs/>
          <w:sz w:val="32"/>
          <w:szCs w:val="32"/>
        </w:rPr>
        <w:t>Faculty Research and Publications/</w:t>
      </w:r>
      <w:r w:rsidR="009732A9" w:rsidRPr="000A0946">
        <w:rPr>
          <w:rFonts w:cstheme="minorHAnsi"/>
          <w:b/>
          <w:bCs/>
          <w:i/>
          <w:iCs/>
          <w:sz w:val="32"/>
          <w:szCs w:val="32"/>
        </w:rPr>
        <w:t xml:space="preserve">College of </w:t>
      </w:r>
      <w:r w:rsidRPr="000A0946">
        <w:rPr>
          <w:rFonts w:cstheme="minorHAnsi"/>
          <w:b/>
          <w:bCs/>
          <w:i/>
          <w:iCs/>
          <w:sz w:val="32"/>
          <w:szCs w:val="32"/>
        </w:rPr>
        <w:t>Nursing</w:t>
      </w:r>
    </w:p>
    <w:bookmarkEnd w:id="0"/>
    <w:p w14:paraId="3E538636" w14:textId="77777777" w:rsidR="000A7622" w:rsidRPr="000A0946" w:rsidRDefault="000A7622" w:rsidP="00D14423">
      <w:pPr>
        <w:jc w:val="center"/>
        <w:rPr>
          <w:rFonts w:cstheme="minorHAnsi"/>
          <w:b/>
          <w:bCs/>
          <w:i/>
          <w:iCs/>
        </w:rPr>
      </w:pPr>
    </w:p>
    <w:p w14:paraId="25509BF0" w14:textId="2FAAA25D" w:rsidR="000A7622" w:rsidRPr="000A0946" w:rsidRDefault="000A7622" w:rsidP="00D14423">
      <w:pPr>
        <w:jc w:val="center"/>
        <w:rPr>
          <w:rFonts w:cstheme="minorHAnsi"/>
          <w:sz w:val="24"/>
          <w:szCs w:val="24"/>
        </w:rPr>
      </w:pPr>
      <w:r w:rsidRPr="000A0946">
        <w:rPr>
          <w:rFonts w:cstheme="minorHAnsi"/>
          <w:b/>
          <w:bCs/>
          <w:i/>
          <w:iCs/>
          <w:sz w:val="24"/>
          <w:szCs w:val="24"/>
        </w:rPr>
        <w:t>This pap</w:t>
      </w:r>
      <w:r w:rsidR="00440026" w:rsidRPr="000A0946">
        <w:rPr>
          <w:rFonts w:cstheme="minorHAnsi"/>
          <w:b/>
          <w:bCs/>
          <w:i/>
          <w:iCs/>
          <w:sz w:val="24"/>
          <w:szCs w:val="24"/>
        </w:rPr>
        <w:t>e</w:t>
      </w:r>
      <w:r w:rsidRPr="000A0946">
        <w:rPr>
          <w:rFonts w:cstheme="minorHAnsi"/>
          <w:b/>
          <w:bCs/>
          <w:i/>
          <w:iCs/>
          <w:sz w:val="24"/>
          <w:szCs w:val="24"/>
        </w:rPr>
        <w:t xml:space="preserve">r is NOT THE PUBLISHED VERSION; </w:t>
      </w:r>
      <w:r w:rsidRPr="000A0946">
        <w:rPr>
          <w:rFonts w:cstheme="minorHAnsi"/>
          <w:b/>
          <w:bCs/>
          <w:sz w:val="24"/>
          <w:szCs w:val="24"/>
        </w:rPr>
        <w:t xml:space="preserve">but the author’s final, peer-reviewed manuscript. </w:t>
      </w:r>
      <w:r w:rsidRPr="000A0946">
        <w:rPr>
          <w:rFonts w:cstheme="minorHAnsi"/>
          <w:sz w:val="24"/>
          <w:szCs w:val="24"/>
        </w:rPr>
        <w:t>The published version may be accessed by following the link in th</w:t>
      </w:r>
      <w:r w:rsidR="00BA5335" w:rsidRPr="000A0946">
        <w:rPr>
          <w:rFonts w:cstheme="minorHAnsi"/>
          <w:sz w:val="24"/>
          <w:szCs w:val="24"/>
        </w:rPr>
        <w:t>e</w:t>
      </w:r>
      <w:r w:rsidRPr="000A0946">
        <w:rPr>
          <w:rFonts w:cstheme="minorHAnsi"/>
          <w:sz w:val="24"/>
          <w:szCs w:val="24"/>
        </w:rPr>
        <w:t xml:space="preserve"> citation below.</w:t>
      </w:r>
    </w:p>
    <w:p w14:paraId="207B0342" w14:textId="77777777" w:rsidR="000A7622" w:rsidRPr="000A0946" w:rsidRDefault="000A7622" w:rsidP="00D14423">
      <w:pPr>
        <w:jc w:val="center"/>
        <w:rPr>
          <w:rFonts w:cstheme="minorHAnsi"/>
          <w:sz w:val="24"/>
          <w:szCs w:val="24"/>
        </w:rPr>
      </w:pPr>
    </w:p>
    <w:p w14:paraId="2A38AFE1" w14:textId="22080958" w:rsidR="000A7622" w:rsidRPr="000A0946" w:rsidRDefault="00875C7C" w:rsidP="00D14423">
      <w:pPr>
        <w:rPr>
          <w:rFonts w:cstheme="minorHAnsi"/>
          <w:sz w:val="24"/>
          <w:szCs w:val="24"/>
        </w:rPr>
      </w:pPr>
      <w:proofErr w:type="spellStart"/>
      <w:r>
        <w:rPr>
          <w:rFonts w:cstheme="minorHAnsi"/>
          <w:i/>
          <w:sz w:val="24"/>
          <w:szCs w:val="24"/>
          <w:lang w:val="fr-FR"/>
        </w:rPr>
        <w:t>Linacre</w:t>
      </w:r>
      <w:proofErr w:type="spellEnd"/>
      <w:r>
        <w:rPr>
          <w:rFonts w:cstheme="minorHAnsi"/>
          <w:i/>
          <w:sz w:val="24"/>
          <w:szCs w:val="24"/>
          <w:lang w:val="fr-FR"/>
        </w:rPr>
        <w:t xml:space="preserve"> </w:t>
      </w:r>
      <w:proofErr w:type="spellStart"/>
      <w:r>
        <w:rPr>
          <w:rFonts w:cstheme="minorHAnsi"/>
          <w:i/>
          <w:sz w:val="24"/>
          <w:szCs w:val="24"/>
          <w:lang w:val="fr-FR"/>
        </w:rPr>
        <w:t>Quarterly</w:t>
      </w:r>
      <w:proofErr w:type="spellEnd"/>
      <w:r w:rsidR="000A7622" w:rsidRPr="000A0946">
        <w:rPr>
          <w:rFonts w:cstheme="minorHAnsi"/>
          <w:sz w:val="24"/>
          <w:szCs w:val="24"/>
          <w:lang w:val="fr-FR"/>
        </w:rPr>
        <w:t xml:space="preserve">, Vol. </w:t>
      </w:r>
      <w:r>
        <w:rPr>
          <w:rFonts w:cstheme="minorHAnsi"/>
          <w:sz w:val="24"/>
          <w:szCs w:val="24"/>
          <w:lang w:val="fr-FR"/>
        </w:rPr>
        <w:t>79</w:t>
      </w:r>
      <w:r w:rsidR="000A7622" w:rsidRPr="000A0946">
        <w:rPr>
          <w:rFonts w:cstheme="minorHAnsi"/>
          <w:sz w:val="24"/>
          <w:szCs w:val="24"/>
          <w:lang w:val="fr-FR"/>
        </w:rPr>
        <w:t xml:space="preserve">, No. </w:t>
      </w:r>
      <w:r>
        <w:rPr>
          <w:rFonts w:cstheme="minorHAnsi"/>
          <w:sz w:val="24"/>
          <w:szCs w:val="24"/>
          <w:lang w:val="fr-FR"/>
        </w:rPr>
        <w:t>4</w:t>
      </w:r>
      <w:r w:rsidR="000A7622" w:rsidRPr="000A0946">
        <w:rPr>
          <w:rFonts w:cstheme="minorHAnsi"/>
          <w:sz w:val="24"/>
          <w:szCs w:val="24"/>
          <w:lang w:val="fr-FR"/>
        </w:rPr>
        <w:t xml:space="preserve"> (</w:t>
      </w:r>
      <w:proofErr w:type="spellStart"/>
      <w:r w:rsidR="00A15561">
        <w:rPr>
          <w:rFonts w:cstheme="minorHAnsi"/>
          <w:sz w:val="24"/>
          <w:szCs w:val="24"/>
          <w:lang w:val="fr-FR"/>
        </w:rPr>
        <w:t>November</w:t>
      </w:r>
      <w:proofErr w:type="spellEnd"/>
      <w:r w:rsidR="00A15561">
        <w:rPr>
          <w:rFonts w:cstheme="minorHAnsi"/>
          <w:sz w:val="24"/>
          <w:szCs w:val="24"/>
          <w:lang w:val="fr-FR"/>
        </w:rPr>
        <w:t xml:space="preserve"> 1, 2012</w:t>
      </w:r>
      <w:r w:rsidR="000A7622" w:rsidRPr="000A0946">
        <w:rPr>
          <w:rFonts w:cstheme="minorHAnsi"/>
          <w:sz w:val="24"/>
          <w:szCs w:val="24"/>
          <w:lang w:val="fr-FR"/>
        </w:rPr>
        <w:t xml:space="preserve">): </w:t>
      </w:r>
      <w:r w:rsidR="001C5BB2">
        <w:rPr>
          <w:rFonts w:cstheme="minorHAnsi"/>
          <w:sz w:val="24"/>
          <w:szCs w:val="24"/>
          <w:lang w:val="fr-FR"/>
        </w:rPr>
        <w:t>460-473</w:t>
      </w:r>
      <w:r w:rsidR="000A7622" w:rsidRPr="000A0946">
        <w:rPr>
          <w:rFonts w:cstheme="minorHAnsi"/>
          <w:sz w:val="24"/>
          <w:szCs w:val="24"/>
          <w:lang w:val="fr-FR"/>
        </w:rPr>
        <w:t xml:space="preserve">. </w:t>
      </w:r>
      <w:hyperlink r:id="rId8" w:history="1">
        <w:r w:rsidR="000A7622" w:rsidRPr="000A0946">
          <w:rPr>
            <w:rFonts w:cstheme="minorHAnsi"/>
            <w:color w:val="0563C1" w:themeColor="hyperlink"/>
            <w:sz w:val="24"/>
            <w:szCs w:val="24"/>
            <w:u w:val="single"/>
            <w:lang w:val="fr-FR"/>
          </w:rPr>
          <w:t>DOI</w:t>
        </w:r>
      </w:hyperlink>
      <w:r w:rsidR="000A7622" w:rsidRPr="000A0946">
        <w:rPr>
          <w:rFonts w:cstheme="minorHAnsi"/>
          <w:sz w:val="24"/>
          <w:szCs w:val="24"/>
          <w:lang w:val="fr-FR"/>
        </w:rPr>
        <w:t xml:space="preserve">. </w:t>
      </w:r>
      <w:r w:rsidR="000A7622" w:rsidRPr="000A0946">
        <w:rPr>
          <w:rFonts w:cstheme="minorHAnsi"/>
          <w:sz w:val="24"/>
          <w:szCs w:val="24"/>
        </w:rPr>
        <w:t xml:space="preserve">This article is © </w:t>
      </w:r>
      <w:r w:rsidR="001C5BB2">
        <w:rPr>
          <w:rFonts w:cstheme="minorHAnsi"/>
          <w:sz w:val="24"/>
          <w:szCs w:val="24"/>
        </w:rPr>
        <w:t>Catholic Medical Association</w:t>
      </w:r>
      <w:r w:rsidR="000A7622" w:rsidRPr="000A0946">
        <w:rPr>
          <w:rFonts w:cstheme="minorHAnsi"/>
          <w:sz w:val="24"/>
          <w:szCs w:val="24"/>
        </w:rPr>
        <w:t xml:space="preserve"> and permission has been granted for this version to appear in </w:t>
      </w:r>
      <w:hyperlink r:id="rId9" w:history="1">
        <w:r w:rsidR="000A7622" w:rsidRPr="000A0946">
          <w:rPr>
            <w:rFonts w:cstheme="minorHAnsi"/>
            <w:color w:val="0563C1" w:themeColor="hyperlink"/>
            <w:sz w:val="24"/>
            <w:szCs w:val="24"/>
            <w:u w:val="single"/>
          </w:rPr>
          <w:t>e-Publications@Marquette</w:t>
        </w:r>
      </w:hyperlink>
      <w:r w:rsidR="000A7622" w:rsidRPr="000A0946">
        <w:rPr>
          <w:rFonts w:cstheme="minorHAnsi"/>
          <w:sz w:val="24"/>
          <w:szCs w:val="24"/>
        </w:rPr>
        <w:t xml:space="preserve">. </w:t>
      </w:r>
      <w:r w:rsidR="001C5BB2" w:rsidRPr="001C5BB2">
        <w:rPr>
          <w:rFonts w:cstheme="minorHAnsi"/>
          <w:sz w:val="24"/>
          <w:szCs w:val="24"/>
        </w:rPr>
        <w:t>Catholic Medical Associatio</w:t>
      </w:r>
      <w:r w:rsidR="0052487C">
        <w:rPr>
          <w:rFonts w:cstheme="minorHAnsi"/>
          <w:sz w:val="24"/>
          <w:szCs w:val="24"/>
        </w:rPr>
        <w:t>n</w:t>
      </w:r>
      <w:r w:rsidR="000A7622" w:rsidRPr="000A0946">
        <w:rPr>
          <w:rFonts w:cstheme="minorHAnsi"/>
          <w:sz w:val="24"/>
          <w:szCs w:val="24"/>
        </w:rPr>
        <w:t xml:space="preserve"> does not grant permission for this article to be further copied/distributed or hosted elsewhere without the express permission from </w:t>
      </w:r>
      <w:r w:rsidR="001C5BB2" w:rsidRPr="001C5BB2">
        <w:rPr>
          <w:rFonts w:cstheme="minorHAnsi"/>
          <w:sz w:val="24"/>
          <w:szCs w:val="24"/>
        </w:rPr>
        <w:t>Catholic Medical Associatio</w:t>
      </w:r>
      <w:r w:rsidR="0052487C">
        <w:rPr>
          <w:rFonts w:cstheme="minorHAnsi"/>
          <w:sz w:val="24"/>
          <w:szCs w:val="24"/>
        </w:rPr>
        <w:t>n</w:t>
      </w:r>
      <w:r w:rsidR="000A7622" w:rsidRPr="000A0946">
        <w:rPr>
          <w:rFonts w:cstheme="minorHAnsi"/>
          <w:sz w:val="24"/>
          <w:szCs w:val="24"/>
        </w:rPr>
        <w:t xml:space="preserve">. </w:t>
      </w:r>
      <w:bookmarkEnd w:id="1"/>
    </w:p>
    <w:p w14:paraId="19D28946" w14:textId="77777777" w:rsidR="00EE47B8" w:rsidRPr="000A0946" w:rsidRDefault="00EE47B8" w:rsidP="00D14423">
      <w:pPr>
        <w:rPr>
          <w:rFonts w:cstheme="minorHAnsi"/>
          <w:sz w:val="24"/>
          <w:szCs w:val="24"/>
        </w:rPr>
      </w:pPr>
    </w:p>
    <w:p w14:paraId="28D593B6" w14:textId="3CE8EFD6" w:rsidR="0018081B" w:rsidRPr="000A0946" w:rsidRDefault="0018081B" w:rsidP="00EE47B8">
      <w:pPr>
        <w:pStyle w:val="Title"/>
        <w:rPr>
          <w:rFonts w:asciiTheme="minorHAnsi" w:hAnsiTheme="minorHAnsi" w:cstheme="minorHAnsi"/>
        </w:rPr>
      </w:pPr>
      <w:r w:rsidRPr="000A0946">
        <w:rPr>
          <w:rFonts w:asciiTheme="minorHAnsi" w:hAnsiTheme="minorHAnsi" w:cstheme="minorHAnsi"/>
        </w:rPr>
        <w:t xml:space="preserve">Descriptive Statistical Evaluation of the Standard Days Method of Family Planning </w:t>
      </w:r>
    </w:p>
    <w:p w14:paraId="4F45C16E" w14:textId="77777777" w:rsidR="00EE47B8" w:rsidRPr="000A0946" w:rsidRDefault="00EE47B8" w:rsidP="0018081B">
      <w:pPr>
        <w:rPr>
          <w:rFonts w:cstheme="minorHAnsi"/>
          <w:b/>
          <w:bCs/>
          <w:sz w:val="24"/>
          <w:szCs w:val="24"/>
        </w:rPr>
      </w:pPr>
    </w:p>
    <w:p w14:paraId="2214A4C0" w14:textId="77777777" w:rsidR="00EE47B8" w:rsidRPr="000A0946" w:rsidRDefault="0018081B" w:rsidP="00D91F6D">
      <w:pPr>
        <w:spacing w:after="0"/>
        <w:rPr>
          <w:rFonts w:cstheme="minorHAnsi"/>
          <w:sz w:val="32"/>
          <w:szCs w:val="32"/>
        </w:rPr>
      </w:pPr>
      <w:r w:rsidRPr="000A0946">
        <w:rPr>
          <w:rFonts w:cstheme="minorHAnsi"/>
          <w:sz w:val="32"/>
          <w:szCs w:val="32"/>
        </w:rPr>
        <w:t>Mary Schneider</w:t>
      </w:r>
    </w:p>
    <w:p w14:paraId="7EAFACDC" w14:textId="637E947A" w:rsidR="00EE47B8" w:rsidRPr="000A0946" w:rsidRDefault="00D91F6D" w:rsidP="00D91F6D">
      <w:pPr>
        <w:spacing w:after="0"/>
        <w:rPr>
          <w:rFonts w:cstheme="minorHAnsi"/>
          <w:sz w:val="24"/>
          <w:szCs w:val="24"/>
        </w:rPr>
      </w:pPr>
      <w:r w:rsidRPr="000A0946">
        <w:rPr>
          <w:rFonts w:cstheme="minorHAnsi"/>
          <w:sz w:val="24"/>
          <w:szCs w:val="24"/>
        </w:rPr>
        <w:t>Institute for Natural Family Planning at Marquette University College of Nursing, Milwaukee</w:t>
      </w:r>
      <w:r w:rsidRPr="000A0946">
        <w:rPr>
          <w:rFonts w:cstheme="minorHAnsi"/>
          <w:sz w:val="24"/>
          <w:szCs w:val="24"/>
        </w:rPr>
        <w:t>, WI</w:t>
      </w:r>
    </w:p>
    <w:p w14:paraId="39FB8AED" w14:textId="61347741" w:rsidR="00EE47B8" w:rsidRPr="000A0946" w:rsidRDefault="0018081B" w:rsidP="00D91F6D">
      <w:pPr>
        <w:spacing w:after="0"/>
        <w:rPr>
          <w:rFonts w:cstheme="minorHAnsi"/>
          <w:sz w:val="32"/>
          <w:szCs w:val="32"/>
        </w:rPr>
      </w:pPr>
      <w:r w:rsidRPr="000A0946">
        <w:rPr>
          <w:rFonts w:cstheme="minorHAnsi"/>
          <w:sz w:val="32"/>
          <w:szCs w:val="32"/>
        </w:rPr>
        <w:t>Richard J. Fehring</w:t>
      </w:r>
      <w:bookmarkStart w:id="2" w:name="abstract"/>
      <w:bookmarkEnd w:id="2"/>
    </w:p>
    <w:p w14:paraId="34CFDE97" w14:textId="05ACB567" w:rsidR="00EE47B8" w:rsidRPr="000A0946" w:rsidRDefault="00D91F6D" w:rsidP="00D91F6D">
      <w:pPr>
        <w:spacing w:after="0"/>
        <w:rPr>
          <w:rFonts w:cstheme="minorHAnsi"/>
          <w:sz w:val="24"/>
          <w:szCs w:val="24"/>
        </w:rPr>
      </w:pPr>
      <w:r w:rsidRPr="000A0946">
        <w:rPr>
          <w:rFonts w:cstheme="minorHAnsi"/>
          <w:sz w:val="24"/>
          <w:szCs w:val="24"/>
        </w:rPr>
        <w:t>Institute for Natural Family Planning at Marquette University College of Nursing, Milwaukee</w:t>
      </w:r>
      <w:r w:rsidRPr="000A0946">
        <w:rPr>
          <w:rFonts w:cstheme="minorHAnsi"/>
          <w:sz w:val="24"/>
          <w:szCs w:val="24"/>
        </w:rPr>
        <w:t>, WI</w:t>
      </w:r>
    </w:p>
    <w:p w14:paraId="4C7B703D" w14:textId="77777777" w:rsidR="00EE47B8" w:rsidRPr="000A0946" w:rsidRDefault="00EE47B8" w:rsidP="0018081B">
      <w:pPr>
        <w:rPr>
          <w:rFonts w:cstheme="minorHAnsi"/>
          <w:sz w:val="24"/>
          <w:szCs w:val="24"/>
        </w:rPr>
      </w:pPr>
    </w:p>
    <w:p w14:paraId="19240402" w14:textId="0046DF92" w:rsidR="0018081B" w:rsidRPr="000A0946" w:rsidRDefault="0018081B" w:rsidP="00EE47B8">
      <w:pPr>
        <w:pStyle w:val="Heading1"/>
        <w:rPr>
          <w:rFonts w:asciiTheme="minorHAnsi" w:hAnsiTheme="minorHAnsi" w:cstheme="minorHAnsi"/>
        </w:rPr>
      </w:pPr>
      <w:r w:rsidRPr="000A0946">
        <w:rPr>
          <w:rFonts w:asciiTheme="minorHAnsi" w:hAnsiTheme="minorHAnsi" w:cstheme="minorHAnsi"/>
        </w:rPr>
        <w:t>Abstract</w:t>
      </w:r>
    </w:p>
    <w:p w14:paraId="15BA77A7" w14:textId="77777777" w:rsidR="0018081B" w:rsidRPr="000A0946" w:rsidRDefault="0018081B" w:rsidP="0018081B">
      <w:pPr>
        <w:rPr>
          <w:rFonts w:cstheme="minorHAnsi"/>
          <w:sz w:val="24"/>
          <w:szCs w:val="24"/>
        </w:rPr>
      </w:pPr>
      <w:r w:rsidRPr="000A0946">
        <w:rPr>
          <w:rFonts w:cstheme="minorHAnsi"/>
          <w:sz w:val="24"/>
          <w:szCs w:val="24"/>
        </w:rPr>
        <w:t xml:space="preserve">The Standard Days Method (SDM) is a method of family planning that assumes ovulation to be close to the midpoint of the menstrual cycle; fertility falls between days 8 and 19; and is most effective for cycle lengths between twenty-six and thirty-two days. The purpose of this study was to evaluate the assumptions of the SDM with a new data set of 714 menstrual cycles produced by 131 women (mean age twenty-nine) who tracked their fertility with an electronic fertility monitor that measured urinary estrogen and luteinizing hormone (LH). The LH peak was used to estimate the day of ovulation (EDO) and the six-day fertile window. Results indicated the majority (80 percent) of menstrual cycles had EDOs within three days of the midpoint of the cycle (86 percent with cycle lengths between twenty-six and thirty-two days). Approximately 22.5 percent (172) of the cycles had fertile window days outside of </w:t>
      </w:r>
      <w:r w:rsidRPr="000A0946">
        <w:rPr>
          <w:rFonts w:cstheme="minorHAnsi"/>
          <w:sz w:val="24"/>
          <w:szCs w:val="24"/>
        </w:rPr>
        <w:lastRenderedPageBreak/>
        <w:t>days 8 to 19, 10.2 percent (78) before, and 12.1 percent (92) after. However, there is a low probability of pregnancy when women experience short cycles and the early days of the fertile window are outside of days 8 through 19. We concluded assumptions of the SDM outside of the fertile window with long cycles could be problematic. However, the SDM is valid for women who have most cycles within the twenty-six to thirty-two day range.</w:t>
      </w:r>
    </w:p>
    <w:p w14:paraId="2D8CFA9D" w14:textId="77777777" w:rsidR="0018081B" w:rsidRPr="000A0946" w:rsidRDefault="0018081B" w:rsidP="00D91F6D">
      <w:pPr>
        <w:pStyle w:val="Heading1"/>
        <w:rPr>
          <w:rFonts w:asciiTheme="minorHAnsi" w:hAnsiTheme="minorHAnsi" w:cstheme="minorHAnsi"/>
        </w:rPr>
      </w:pPr>
      <w:bookmarkStart w:id="3" w:name="_i1"/>
      <w:bookmarkEnd w:id="3"/>
      <w:r w:rsidRPr="000A0946">
        <w:rPr>
          <w:rFonts w:asciiTheme="minorHAnsi" w:hAnsiTheme="minorHAnsi" w:cstheme="minorHAnsi"/>
        </w:rPr>
        <w:t>Introduction</w:t>
      </w:r>
    </w:p>
    <w:p w14:paraId="147734AD" w14:textId="5EC7E38C" w:rsidR="0018081B" w:rsidRPr="000A0946" w:rsidRDefault="0018081B" w:rsidP="0018081B">
      <w:pPr>
        <w:rPr>
          <w:rFonts w:cstheme="minorHAnsi"/>
          <w:sz w:val="24"/>
          <w:szCs w:val="24"/>
        </w:rPr>
      </w:pPr>
      <w:r w:rsidRPr="000A0946">
        <w:rPr>
          <w:rFonts w:cstheme="minorHAnsi"/>
          <w:sz w:val="24"/>
          <w:szCs w:val="24"/>
        </w:rPr>
        <w:t>A simple new fertility-awareness-based system of family planning, called the Standard Days Method (SDM) was developed at Georgetown University Institute for Reproductive Health.</w:t>
      </w:r>
      <w:r w:rsidRPr="000A0946">
        <w:rPr>
          <w:rFonts w:cstheme="minorHAnsi"/>
          <w:sz w:val="24"/>
          <w:szCs w:val="24"/>
          <w:vertAlign w:val="superscript"/>
        </w:rPr>
        <w:t>1</w:t>
      </w:r>
      <w:r w:rsidRPr="000A0946">
        <w:rPr>
          <w:rFonts w:cstheme="minorHAnsi"/>
          <w:sz w:val="24"/>
          <w:szCs w:val="24"/>
        </w:rPr>
        <w:t xml:space="preserve"> Users of the SDM are instructed to avoid intercourse on days 8 through 19 of the menstrual cycle if they do not want to become pregnant. The method is most effective for women with cycles between twenty-six and thirty-two days long. A recent extended use efficacy of the SDM over two years with participants in six developing countries yielded pregnancy rates comparable to hormonal contraception.</w:t>
      </w:r>
      <w:r w:rsidRPr="000A0946">
        <w:rPr>
          <w:rFonts w:cstheme="minorHAnsi"/>
          <w:sz w:val="24"/>
          <w:szCs w:val="24"/>
          <w:vertAlign w:val="superscript"/>
        </w:rPr>
        <w:t>2</w:t>
      </w:r>
    </w:p>
    <w:p w14:paraId="3C2C89F2" w14:textId="04CF71F7" w:rsidR="0018081B" w:rsidRPr="000A0946" w:rsidRDefault="0018081B" w:rsidP="0018081B">
      <w:pPr>
        <w:rPr>
          <w:rFonts w:cstheme="minorHAnsi"/>
          <w:sz w:val="24"/>
          <w:szCs w:val="24"/>
        </w:rPr>
      </w:pPr>
      <w:r w:rsidRPr="000A0946">
        <w:rPr>
          <w:rFonts w:cstheme="minorHAnsi"/>
          <w:sz w:val="24"/>
          <w:szCs w:val="24"/>
        </w:rPr>
        <w:t>An analysis of the theoretical efficacy of the SDM and a clinical efficacy trial of the method to avoid pregnancy showed that the SDM is highly effective when used according to instructions, with a correct use failure rate of less than 5 out of 100 per twelve months of use.</w:t>
      </w:r>
      <w:r w:rsidRPr="000A0946">
        <w:rPr>
          <w:rFonts w:cstheme="minorHAnsi"/>
          <w:sz w:val="24"/>
          <w:szCs w:val="24"/>
          <w:vertAlign w:val="superscript"/>
        </w:rPr>
        <w:t>3</w:t>
      </w:r>
      <w:r w:rsidRPr="000A0946">
        <w:rPr>
          <w:rFonts w:cstheme="minorHAnsi"/>
          <w:sz w:val="24"/>
          <w:szCs w:val="24"/>
        </w:rPr>
        <w:t xml:space="preserve"> Correct SDM use involved avoiding intercourse on days 8 through 19. SDM users are screened to determine appropriate cycle length prior to initiation of the method. A user who has two cycles out of the twenty-six to thirty-two day range within twelve month is advised that the method may no longer be appropriate for her.</w:t>
      </w:r>
      <w:r w:rsidRPr="000A0946">
        <w:rPr>
          <w:rFonts w:cstheme="minorHAnsi"/>
          <w:sz w:val="24"/>
          <w:szCs w:val="24"/>
          <w:vertAlign w:val="superscript"/>
        </w:rPr>
        <w:t>4</w:t>
      </w:r>
    </w:p>
    <w:p w14:paraId="13B4CC21" w14:textId="332BF92B" w:rsidR="0018081B" w:rsidRPr="000A0946" w:rsidRDefault="0018081B" w:rsidP="0018081B">
      <w:pPr>
        <w:rPr>
          <w:rFonts w:cstheme="minorHAnsi"/>
          <w:sz w:val="24"/>
          <w:szCs w:val="24"/>
        </w:rPr>
      </w:pPr>
      <w:r w:rsidRPr="000A0946">
        <w:rPr>
          <w:rFonts w:cstheme="minorHAnsi"/>
          <w:sz w:val="24"/>
          <w:szCs w:val="24"/>
        </w:rPr>
        <w:t>The fixed-day algorithm for the SDM is based on statistical evidence that ovulation occurs around the middle of the cycle for menstrual cycles that have lengths between twenty-six and thirty-two days.</w:t>
      </w:r>
      <w:r w:rsidRPr="000A0946">
        <w:rPr>
          <w:rFonts w:cstheme="minorHAnsi"/>
          <w:sz w:val="24"/>
          <w:szCs w:val="24"/>
          <w:vertAlign w:val="superscript"/>
        </w:rPr>
        <w:t>5</w:t>
      </w:r>
      <w:r w:rsidRPr="000A0946">
        <w:rPr>
          <w:rFonts w:cstheme="minorHAnsi"/>
          <w:sz w:val="24"/>
          <w:szCs w:val="24"/>
        </w:rPr>
        <w:t xml:space="preserve"> Theoretically, the SDM will be most effective when the day of ovulation falls close to the center of the menstrual cycle. However, current textbooks and existing guidelines for calendar-based methods of family planning suggest that ovulation occurs around fourteen days before the end of the menstrual cycle.</w:t>
      </w:r>
      <w:r w:rsidRPr="000A0946">
        <w:rPr>
          <w:rFonts w:cstheme="minorHAnsi"/>
          <w:sz w:val="24"/>
          <w:szCs w:val="24"/>
          <w:vertAlign w:val="superscript"/>
        </w:rPr>
        <w:t>6</w:t>
      </w:r>
      <w:r w:rsidRPr="000A0946">
        <w:rPr>
          <w:rFonts w:cstheme="minorHAnsi"/>
          <w:sz w:val="24"/>
          <w:szCs w:val="24"/>
        </w:rPr>
        <w:t xml:space="preserve"> Older calendar-based methods that rely on menstrual cycle length become unusable when menstrual cycles vary by more than seven days in length.</w:t>
      </w:r>
      <w:r w:rsidRPr="000A0946">
        <w:rPr>
          <w:rFonts w:cstheme="minorHAnsi"/>
          <w:sz w:val="24"/>
          <w:szCs w:val="24"/>
          <w:vertAlign w:val="superscript"/>
        </w:rPr>
        <w:t>7</w:t>
      </w:r>
    </w:p>
    <w:p w14:paraId="1A07BED8" w14:textId="74E3830C" w:rsidR="0018081B" w:rsidRPr="000A0946" w:rsidRDefault="0018081B" w:rsidP="0018081B">
      <w:pPr>
        <w:rPr>
          <w:rFonts w:cstheme="minorHAnsi"/>
          <w:sz w:val="24"/>
          <w:szCs w:val="24"/>
        </w:rPr>
      </w:pPr>
      <w:r w:rsidRPr="000A0946">
        <w:rPr>
          <w:rFonts w:cstheme="minorHAnsi"/>
          <w:sz w:val="24"/>
          <w:szCs w:val="24"/>
        </w:rPr>
        <w:t>Another assumption of the SDM is that the actual days of fertility fall within days 8 and 19 for menstrual cycle lengths between twenty-six and thirty-two days. The SDM overestimates the actual fertile phase within a prescribed range of cycle lengths. Therefore, for the SDM to be effective, the actual fertile phase of the menstrual cycle should not fall outside of days 8 through 19 too frequently. The fertile phase of the menstrual cycle is approximately six days, that is, the day of ovulation and the five days before.</w:t>
      </w:r>
      <w:r w:rsidRPr="000A0946">
        <w:rPr>
          <w:rFonts w:cstheme="minorHAnsi"/>
          <w:sz w:val="24"/>
          <w:szCs w:val="24"/>
          <w:vertAlign w:val="superscript"/>
        </w:rPr>
        <w:t>8</w:t>
      </w:r>
      <w:r w:rsidRPr="000A0946">
        <w:rPr>
          <w:rFonts w:cstheme="minorHAnsi"/>
          <w:sz w:val="24"/>
          <w:szCs w:val="24"/>
        </w:rPr>
        <w:t xml:space="preserve"> The most fertile of those six days are the two days before ovulation.</w:t>
      </w:r>
      <w:r w:rsidRPr="000A0946">
        <w:rPr>
          <w:rFonts w:cstheme="minorHAnsi"/>
          <w:sz w:val="24"/>
          <w:szCs w:val="24"/>
          <w:vertAlign w:val="superscript"/>
        </w:rPr>
        <w:t>9</w:t>
      </w:r>
    </w:p>
    <w:p w14:paraId="3631286E" w14:textId="77777777" w:rsidR="0018081B" w:rsidRPr="000A0946" w:rsidRDefault="0018081B" w:rsidP="0018081B">
      <w:pPr>
        <w:rPr>
          <w:rFonts w:cstheme="minorHAnsi"/>
          <w:sz w:val="24"/>
          <w:szCs w:val="24"/>
        </w:rPr>
      </w:pPr>
      <w:r w:rsidRPr="000A0946">
        <w:rPr>
          <w:rFonts w:cstheme="minorHAnsi"/>
          <w:sz w:val="24"/>
          <w:szCs w:val="24"/>
        </w:rPr>
        <w:t>The purpose of this study was to statistically evaluate the assumptions of the SDM with a new data set of menstrual cycle parameters that includes biological markers for the beginning and end of the fertile window. For menstrual cycles that potentially meet the criteria for use of the SDM, the specific research questions that were addressed are 1) in what percentage of menstrual cycles does the estimated day of ovulation (EDO) fall within one to three days of the midpoint of the menstrual cycle? And 2) In what percentage of menstrual cycles does at least part of the six-day fertile window fall outside of the eight to nineteen day range?</w:t>
      </w:r>
    </w:p>
    <w:p w14:paraId="16E8D423" w14:textId="77777777" w:rsidR="0018081B" w:rsidRPr="000A0946" w:rsidRDefault="0018081B" w:rsidP="00D91F6D">
      <w:pPr>
        <w:pStyle w:val="Heading1"/>
        <w:rPr>
          <w:rFonts w:asciiTheme="minorHAnsi" w:hAnsiTheme="minorHAnsi" w:cstheme="minorHAnsi"/>
        </w:rPr>
      </w:pPr>
      <w:bookmarkStart w:id="4" w:name="_i2"/>
      <w:bookmarkEnd w:id="4"/>
      <w:r w:rsidRPr="000A0946">
        <w:rPr>
          <w:rFonts w:asciiTheme="minorHAnsi" w:hAnsiTheme="minorHAnsi" w:cstheme="minorHAnsi"/>
        </w:rPr>
        <w:lastRenderedPageBreak/>
        <w:t>Methods</w:t>
      </w:r>
    </w:p>
    <w:p w14:paraId="7D1F03D3" w14:textId="77777777" w:rsidR="0018081B" w:rsidRPr="000A0946" w:rsidRDefault="0018081B" w:rsidP="00D91F6D">
      <w:pPr>
        <w:pStyle w:val="Heading2"/>
        <w:rPr>
          <w:rFonts w:asciiTheme="minorHAnsi" w:hAnsiTheme="minorHAnsi" w:cstheme="minorHAnsi"/>
        </w:rPr>
      </w:pPr>
      <w:r w:rsidRPr="000A0946">
        <w:rPr>
          <w:rFonts w:asciiTheme="minorHAnsi" w:hAnsiTheme="minorHAnsi" w:cstheme="minorHAnsi"/>
        </w:rPr>
        <w:t>Design</w:t>
      </w:r>
    </w:p>
    <w:p w14:paraId="29E2AFF0" w14:textId="77777777" w:rsidR="0018081B" w:rsidRPr="000A0946" w:rsidRDefault="0018081B" w:rsidP="0018081B">
      <w:pPr>
        <w:rPr>
          <w:rFonts w:cstheme="minorHAnsi"/>
          <w:sz w:val="24"/>
          <w:szCs w:val="24"/>
        </w:rPr>
      </w:pPr>
      <w:r w:rsidRPr="000A0946">
        <w:rPr>
          <w:rFonts w:cstheme="minorHAnsi"/>
          <w:sz w:val="24"/>
          <w:szCs w:val="24"/>
        </w:rPr>
        <w:t>This study was a retrospective descriptive analysis of the SDM by use of a new menstrual cycle data set. The data set was generated by 165 women who participated in a twelve-month efficacy study of the use of an electronic fertility monitor plus cervical mucus monitoring as a means of avoiding pregnancy.</w:t>
      </w:r>
    </w:p>
    <w:p w14:paraId="78844E72" w14:textId="77777777" w:rsidR="0018081B" w:rsidRPr="000A0946" w:rsidRDefault="0018081B" w:rsidP="00D91F6D">
      <w:pPr>
        <w:pStyle w:val="Heading2"/>
        <w:rPr>
          <w:rFonts w:asciiTheme="minorHAnsi" w:hAnsiTheme="minorHAnsi" w:cstheme="minorHAnsi"/>
        </w:rPr>
      </w:pPr>
      <w:r w:rsidRPr="000A0946">
        <w:rPr>
          <w:rFonts w:asciiTheme="minorHAnsi" w:hAnsiTheme="minorHAnsi" w:cstheme="minorHAnsi"/>
        </w:rPr>
        <w:t>Sample</w:t>
      </w:r>
    </w:p>
    <w:p w14:paraId="06C25777" w14:textId="77777777" w:rsidR="0018081B" w:rsidRPr="000A0946" w:rsidRDefault="0018081B" w:rsidP="0018081B">
      <w:pPr>
        <w:rPr>
          <w:rFonts w:cstheme="minorHAnsi"/>
          <w:sz w:val="24"/>
          <w:szCs w:val="24"/>
        </w:rPr>
      </w:pPr>
      <w:r w:rsidRPr="000A0946">
        <w:rPr>
          <w:rFonts w:cstheme="minorHAnsi"/>
          <w:sz w:val="24"/>
          <w:szCs w:val="24"/>
        </w:rPr>
        <w:t>The 165 women participants were solicited by health professionals from five clinical sites in four cities (Atlanta, Madison-Wisconsin, Milwaukee, and Saint Louis) when they sought instructions on how to avoid pregnancy with a natural method of family planning. The participants for the effectiveness study met the criteria of being between the ages of twenty-one and forty-four; had menstrual cycles within the range of twenty-one to forty-two days; had not used depot medroxyprogesterone acetate (DMPA) over the past twelve months; had no history of oral or subdermal contraceptives for the past three months; if post-breastfeeding, had experienced at least three menstrual cycles past weaning; and had no known fertility problems. The effectiveness study and the retrospective data analysis for this study received internal review board approval from the Marquette University Office of Research Compliance.</w:t>
      </w:r>
    </w:p>
    <w:p w14:paraId="68A22102" w14:textId="77777777" w:rsidR="0018081B" w:rsidRPr="000A0946" w:rsidRDefault="0018081B" w:rsidP="00D91F6D">
      <w:pPr>
        <w:pStyle w:val="Heading2"/>
        <w:rPr>
          <w:rFonts w:asciiTheme="minorHAnsi" w:hAnsiTheme="minorHAnsi" w:cstheme="minorHAnsi"/>
        </w:rPr>
      </w:pPr>
      <w:r w:rsidRPr="000A0946">
        <w:rPr>
          <w:rFonts w:asciiTheme="minorHAnsi" w:hAnsiTheme="minorHAnsi" w:cstheme="minorHAnsi"/>
        </w:rPr>
        <w:t>Procedure</w:t>
      </w:r>
    </w:p>
    <w:p w14:paraId="2ED92D15" w14:textId="77777777" w:rsidR="0018081B" w:rsidRPr="000A0946" w:rsidRDefault="0018081B" w:rsidP="0018081B">
      <w:pPr>
        <w:rPr>
          <w:rFonts w:cstheme="minorHAnsi"/>
          <w:sz w:val="24"/>
          <w:szCs w:val="24"/>
        </w:rPr>
      </w:pPr>
      <w:r w:rsidRPr="000A0946">
        <w:rPr>
          <w:rFonts w:cstheme="minorHAnsi"/>
          <w:sz w:val="24"/>
          <w:szCs w:val="24"/>
        </w:rPr>
        <w:t>The 165 participants were taught how to monitor their fertility by observing and charting their daily cervical mucus observations and by use of an electronic hormonal fertility monitor. The participants recorded their cervical mucus observations, the days of their menstrual flow, the length of the cycle, and the information they received from the fertility monitor on a fertility chart. The fertility charts were collected and copied by a designated coordinator at each of the five clinical sites. All data charts were sent to the Marquette University Institute for Natural Family Planning, and information from each chart was entered into a data set. The 165 participants produced 1,335 menstrual cycles data charts of which 1,181 (88 percent) had usable and complete data.</w:t>
      </w:r>
    </w:p>
    <w:p w14:paraId="5CA352EC" w14:textId="77777777" w:rsidR="0018081B" w:rsidRPr="000A0946" w:rsidRDefault="0018081B" w:rsidP="0018081B">
      <w:pPr>
        <w:rPr>
          <w:rFonts w:cstheme="minorHAnsi"/>
          <w:sz w:val="24"/>
          <w:szCs w:val="24"/>
        </w:rPr>
      </w:pPr>
      <w:r w:rsidRPr="000A0946">
        <w:rPr>
          <w:rFonts w:cstheme="minorHAnsi"/>
          <w:sz w:val="24"/>
          <w:szCs w:val="24"/>
        </w:rPr>
        <w:t>For the current study, participants (of the original 165) were included if they had three or more menstrual cycles of data and were classified by the health professional who entered them into the effectiveness study to be in regular cycles (i.e., cycle range of twenty-five to thirty-five days). Although the original efficacy study included women participants with cycle lengths between twenty-one and forty-two days, all participants were placed in a reproductive category at the first month follow-up based on cycle length (and pregnancy status) that included short, long, and regular cycles. The definition of regular cycles used for this data set (twenty-five to thirty-five days) is more generous in menstrual cycle length than the twenty-six to thirty-two day requirement for use of the SDM. In an attempt to be true to the algorithm of the SDM, menstrual cycles were eliminated in the data set when a given participant had a second cycle that was shorter than twenty-six or longer than thirty-two days in length.</w:t>
      </w:r>
    </w:p>
    <w:p w14:paraId="00B10ED7" w14:textId="77777777" w:rsidR="0018081B" w:rsidRPr="000A0946" w:rsidRDefault="0018081B" w:rsidP="00D91F6D">
      <w:pPr>
        <w:pStyle w:val="Heading2"/>
        <w:rPr>
          <w:rFonts w:asciiTheme="minorHAnsi" w:hAnsiTheme="minorHAnsi" w:cstheme="minorHAnsi"/>
        </w:rPr>
      </w:pPr>
      <w:r w:rsidRPr="000A0946">
        <w:rPr>
          <w:rFonts w:asciiTheme="minorHAnsi" w:hAnsiTheme="minorHAnsi" w:cstheme="minorHAnsi"/>
        </w:rPr>
        <w:t>Measurement</w:t>
      </w:r>
    </w:p>
    <w:p w14:paraId="2392FF30" w14:textId="6E8A155A" w:rsidR="0018081B" w:rsidRPr="000A0946" w:rsidRDefault="0018081B" w:rsidP="0018081B">
      <w:pPr>
        <w:rPr>
          <w:rFonts w:cstheme="minorHAnsi"/>
          <w:sz w:val="24"/>
          <w:szCs w:val="24"/>
        </w:rPr>
      </w:pPr>
      <w:r w:rsidRPr="000A0946">
        <w:rPr>
          <w:rFonts w:cstheme="minorHAnsi"/>
          <w:sz w:val="24"/>
          <w:szCs w:val="24"/>
        </w:rPr>
        <w:t>The Clearblue Easy Fertility Monitor (</w:t>
      </w:r>
      <w:proofErr w:type="spellStart"/>
      <w:r w:rsidRPr="000A0946">
        <w:rPr>
          <w:rFonts w:cstheme="minorHAnsi"/>
          <w:sz w:val="24"/>
          <w:szCs w:val="24"/>
        </w:rPr>
        <w:t>Unipath</w:t>
      </w:r>
      <w:proofErr w:type="spellEnd"/>
      <w:r w:rsidRPr="000A0946">
        <w:rPr>
          <w:rFonts w:cstheme="minorHAnsi"/>
          <w:sz w:val="24"/>
          <w:szCs w:val="24"/>
        </w:rPr>
        <w:t>, Ltd., Bedford, England) was used by all of the participants to monitor their fertility.</w:t>
      </w:r>
      <w:r w:rsidRPr="000A0946">
        <w:rPr>
          <w:rFonts w:cstheme="minorHAnsi"/>
          <w:sz w:val="24"/>
          <w:szCs w:val="24"/>
          <w:vertAlign w:val="superscript"/>
        </w:rPr>
        <w:t>10</w:t>
      </w:r>
      <w:r w:rsidRPr="000A0946">
        <w:rPr>
          <w:rFonts w:cstheme="minorHAnsi"/>
          <w:sz w:val="24"/>
          <w:szCs w:val="24"/>
        </w:rPr>
        <w:t xml:space="preserve"> The Clearblue Monitor is a handheld electronic device that was designed to read test strips with antibodies for estrogen and LH. The monitor provides the user with a </w:t>
      </w:r>
      <w:r w:rsidRPr="000A0946">
        <w:rPr>
          <w:rFonts w:cstheme="minorHAnsi"/>
          <w:sz w:val="24"/>
          <w:szCs w:val="24"/>
        </w:rPr>
        <w:lastRenderedPageBreak/>
        <w:t>daily reading of low, high, or peak fertility. The high reading of the monitor indicates the rising level of urinary estrone-3-gluconuride (E3G) and the peak reading indicates the surge in urinary LH. Product testing has shown the Clearblue Monitor to be 98.8 percent accurate in detecting the LH surge. The Clearblue Monitor detected the LH surge in 169 of 171 cycles from eighty-eight women, in agreement with a quantitative radioimmunoassay for LH.</w:t>
      </w:r>
      <w:r w:rsidRPr="000A0946">
        <w:rPr>
          <w:rFonts w:cstheme="minorHAnsi"/>
          <w:sz w:val="24"/>
          <w:szCs w:val="24"/>
          <w:vertAlign w:val="superscript"/>
        </w:rPr>
        <w:t>11</w:t>
      </w:r>
    </w:p>
    <w:p w14:paraId="595486F0" w14:textId="77777777" w:rsidR="0018081B" w:rsidRPr="000A0946" w:rsidRDefault="0018081B" w:rsidP="00D91F6D">
      <w:pPr>
        <w:pStyle w:val="Heading2"/>
        <w:rPr>
          <w:rFonts w:asciiTheme="minorHAnsi" w:hAnsiTheme="minorHAnsi" w:cstheme="minorHAnsi"/>
        </w:rPr>
      </w:pPr>
      <w:r w:rsidRPr="000A0946">
        <w:rPr>
          <w:rFonts w:asciiTheme="minorHAnsi" w:hAnsiTheme="minorHAnsi" w:cstheme="minorHAnsi"/>
        </w:rPr>
        <w:t>Definitions</w:t>
      </w:r>
    </w:p>
    <w:p w14:paraId="1AC99ADD" w14:textId="6D4D6121" w:rsidR="0018081B" w:rsidRPr="000A0946" w:rsidRDefault="0018081B" w:rsidP="0018081B">
      <w:pPr>
        <w:rPr>
          <w:rFonts w:cstheme="minorHAnsi"/>
          <w:sz w:val="24"/>
          <w:szCs w:val="24"/>
        </w:rPr>
      </w:pPr>
      <w:r w:rsidRPr="000A0946">
        <w:rPr>
          <w:rFonts w:cstheme="minorHAnsi"/>
          <w:i/>
          <w:iCs/>
          <w:sz w:val="24"/>
          <w:szCs w:val="24"/>
        </w:rPr>
        <w:t>Estimated Day of Ovulation (EDO).</w:t>
      </w:r>
      <w:r w:rsidRPr="000A0946">
        <w:rPr>
          <w:rFonts w:cstheme="minorHAnsi"/>
          <w:sz w:val="24"/>
          <w:szCs w:val="24"/>
        </w:rPr>
        <w:t xml:space="preserve"> For the purpose of this study, the EDO was the second peak day on the Clearblue Monitor. The Clearblue Monitor automatically provides two peak days when the urinary threshold of LH is reached. LH in the urine has been found to be 100 percent efficient in identifying ovulation when compared to transvaginal ultrasound.</w:t>
      </w:r>
      <w:r w:rsidRPr="000A0946">
        <w:rPr>
          <w:rFonts w:cstheme="minorHAnsi"/>
          <w:sz w:val="24"/>
          <w:szCs w:val="24"/>
          <w:vertAlign w:val="superscript"/>
        </w:rPr>
        <w:t>12</w:t>
      </w:r>
      <w:r w:rsidRPr="000A0946">
        <w:rPr>
          <w:rFonts w:cstheme="minorHAnsi"/>
          <w:sz w:val="24"/>
          <w:szCs w:val="24"/>
        </w:rPr>
        <w:t xml:space="preserve"> A recent study utilizing serial ultrasound to determine the day of ovulation showed that ovulation occurred greater than 91 percent of the time during the two peak days of the Clearblue monitor.</w:t>
      </w:r>
      <w:r w:rsidRPr="000A0946">
        <w:rPr>
          <w:rFonts w:cstheme="minorHAnsi"/>
          <w:sz w:val="24"/>
          <w:szCs w:val="24"/>
          <w:vertAlign w:val="superscript"/>
        </w:rPr>
        <w:t>13</w:t>
      </w:r>
      <w:r w:rsidRPr="000A0946">
        <w:rPr>
          <w:rFonts w:cstheme="minorHAnsi"/>
          <w:sz w:val="24"/>
          <w:szCs w:val="24"/>
        </w:rPr>
        <w:t xml:space="preserve"> Thus, the detection of LH in the urine by the monitor is a good reference point for the EDO.</w:t>
      </w:r>
    </w:p>
    <w:p w14:paraId="4346E135" w14:textId="77777777" w:rsidR="0018081B" w:rsidRPr="000A0946" w:rsidRDefault="0018081B" w:rsidP="0018081B">
      <w:pPr>
        <w:rPr>
          <w:rFonts w:cstheme="minorHAnsi"/>
          <w:sz w:val="24"/>
          <w:szCs w:val="24"/>
        </w:rPr>
      </w:pPr>
      <w:r w:rsidRPr="000A0946">
        <w:rPr>
          <w:rFonts w:cstheme="minorHAnsi"/>
          <w:i/>
          <w:iCs/>
          <w:sz w:val="24"/>
          <w:szCs w:val="24"/>
        </w:rPr>
        <w:t>Fertile Window.</w:t>
      </w:r>
      <w:r w:rsidRPr="000A0946">
        <w:rPr>
          <w:rFonts w:cstheme="minorHAnsi"/>
          <w:sz w:val="24"/>
          <w:szCs w:val="24"/>
        </w:rPr>
        <w:t xml:space="preserve"> For this study, the fertile window was estimated to be the six-day interval that ends with the second peak day reading determined by the Clearblue Monitor, i.e., the EDO and the five days before.</w:t>
      </w:r>
    </w:p>
    <w:p w14:paraId="113A8EB1" w14:textId="77777777" w:rsidR="0018081B" w:rsidRPr="000A0946" w:rsidRDefault="0018081B" w:rsidP="00D91F6D">
      <w:pPr>
        <w:pStyle w:val="Heading2"/>
        <w:rPr>
          <w:rFonts w:asciiTheme="minorHAnsi" w:hAnsiTheme="minorHAnsi" w:cstheme="minorHAnsi"/>
        </w:rPr>
      </w:pPr>
      <w:r w:rsidRPr="000A0946">
        <w:rPr>
          <w:rFonts w:asciiTheme="minorHAnsi" w:hAnsiTheme="minorHAnsi" w:cstheme="minorHAnsi"/>
        </w:rPr>
        <w:t>Data Analysis</w:t>
      </w:r>
    </w:p>
    <w:p w14:paraId="0E80C703" w14:textId="77777777" w:rsidR="0018081B" w:rsidRPr="000A0946" w:rsidRDefault="0018081B" w:rsidP="0018081B">
      <w:pPr>
        <w:rPr>
          <w:rFonts w:cstheme="minorHAnsi"/>
          <w:sz w:val="24"/>
          <w:szCs w:val="24"/>
        </w:rPr>
      </w:pPr>
      <w:r w:rsidRPr="000A0946">
        <w:rPr>
          <w:rFonts w:cstheme="minorHAnsi"/>
          <w:sz w:val="24"/>
          <w:szCs w:val="24"/>
        </w:rPr>
        <w:t>The nineteenth version of the Statistical Package for Social Scientists was utilized to determine means, medians, standard deviations, ranges, frequencies, and percentages of the listed parameters of the menstrual cycle. Appropriate graphs and tables were applied to the statistical parameters. The distance of the EDO from the midpoint of the cycle was determined by subtracting the length of the menstrual cycle from the EDO and dividing by two. When the distance from the EDO was a half-day, it was rounded down to the next whole day. For example, day 0 was from –0.5 to +0.5, day +1 was from 1 to 1.5, day –1 from –1 to –1.5, day 2 was from 2 to 2.5, and so forth. Frequency distribution for length of cycle appeared to be slightly positively skewed. This is related to the 7.5 percent of cycles that were either less than twenty-five days or greater than thirty-five days. Of the 7.5 percent of cycles that were out of the parameter, 4.5 percent of the cycles were greater than forty days.</w:t>
      </w:r>
    </w:p>
    <w:p w14:paraId="7D5F8618" w14:textId="77777777" w:rsidR="0018081B" w:rsidRPr="000A0946" w:rsidRDefault="0018081B" w:rsidP="00D91F6D">
      <w:pPr>
        <w:pStyle w:val="Heading1"/>
        <w:rPr>
          <w:rFonts w:asciiTheme="minorHAnsi" w:hAnsiTheme="minorHAnsi" w:cstheme="minorHAnsi"/>
        </w:rPr>
      </w:pPr>
      <w:bookmarkStart w:id="5" w:name="_i9"/>
      <w:bookmarkEnd w:id="5"/>
      <w:r w:rsidRPr="000A0946">
        <w:rPr>
          <w:rFonts w:asciiTheme="minorHAnsi" w:hAnsiTheme="minorHAnsi" w:cstheme="minorHAnsi"/>
        </w:rPr>
        <w:t>Results</w:t>
      </w:r>
    </w:p>
    <w:p w14:paraId="54A835E9" w14:textId="77777777" w:rsidR="0018081B" w:rsidRPr="000A0946" w:rsidRDefault="0018081B" w:rsidP="00D91F6D">
      <w:pPr>
        <w:pStyle w:val="Heading2"/>
        <w:rPr>
          <w:rFonts w:asciiTheme="minorHAnsi" w:hAnsiTheme="minorHAnsi" w:cstheme="minorHAnsi"/>
        </w:rPr>
      </w:pPr>
      <w:r w:rsidRPr="000A0946">
        <w:rPr>
          <w:rFonts w:asciiTheme="minorHAnsi" w:hAnsiTheme="minorHAnsi" w:cstheme="minorHAnsi"/>
        </w:rPr>
        <w:t>Menstrual Cycle Data Sets</w:t>
      </w:r>
    </w:p>
    <w:p w14:paraId="54291AC3" w14:textId="285231DB" w:rsidR="0018081B" w:rsidRPr="000A0946" w:rsidRDefault="0018081B" w:rsidP="0018081B">
      <w:pPr>
        <w:rPr>
          <w:rFonts w:cstheme="minorHAnsi"/>
          <w:sz w:val="24"/>
          <w:szCs w:val="24"/>
        </w:rPr>
      </w:pPr>
      <w:r w:rsidRPr="000A0946">
        <w:rPr>
          <w:rFonts w:cstheme="minorHAnsi"/>
          <w:sz w:val="24"/>
          <w:szCs w:val="24"/>
        </w:rPr>
        <w:t>Of the 165 participants, twenty-four of the participants produced only one to two cycles. These participants and their menstrual cycles were eliminated to reduce the data set from 1,181 to 1,142 cycles. Another ten participants who were classified as either having long cycles (greater than thirty-five days) or short cycles (less than twenty-five days) were eliminated from the data set. This reduced the data set to 131 women and 1,093 cycles of data or 92.5 percent of the original 1,181. Eliminating cycles after the second cycle was outside of the SDM twenty-six to thirty-two day range reduced this data set further. This final data set included 762 cycles or 65.5 percent of the original 1,181. Table 1 shows a comparison of the original and reduced data sets.</w:t>
      </w:r>
    </w:p>
    <w:p w14:paraId="6CBA7D38" w14:textId="0A52FDE6" w:rsidR="0018081B" w:rsidRPr="000A0946" w:rsidRDefault="0018081B" w:rsidP="0018081B">
      <w:pPr>
        <w:rPr>
          <w:rFonts w:cstheme="minorHAnsi"/>
          <w:sz w:val="24"/>
          <w:szCs w:val="24"/>
        </w:rPr>
      </w:pPr>
      <w:r w:rsidRPr="000A0946">
        <w:rPr>
          <w:rFonts w:cstheme="minorHAnsi"/>
          <w:sz w:val="24"/>
          <w:szCs w:val="24"/>
        </w:rPr>
        <w:t>Table 1 Menstrual cycle data set summary</w:t>
      </w:r>
    </w:p>
    <w:tbl>
      <w:tblPr>
        <w:tblStyle w:val="TableGrid"/>
        <w:tblW w:w="0" w:type="auto"/>
        <w:tblLook w:val="04A0" w:firstRow="1" w:lastRow="0" w:firstColumn="1" w:lastColumn="0" w:noHBand="0" w:noVBand="1"/>
      </w:tblPr>
      <w:tblGrid>
        <w:gridCol w:w="1678"/>
        <w:gridCol w:w="1678"/>
        <w:gridCol w:w="1678"/>
        <w:gridCol w:w="1678"/>
        <w:gridCol w:w="1679"/>
        <w:gridCol w:w="1679"/>
      </w:tblGrid>
      <w:tr w:rsidR="006D13CF" w:rsidRPr="000A0946" w14:paraId="1A343B85" w14:textId="77777777" w:rsidTr="006D13CF">
        <w:tc>
          <w:tcPr>
            <w:tcW w:w="1678" w:type="dxa"/>
          </w:tcPr>
          <w:p w14:paraId="6C547BFD" w14:textId="4CEA2B16" w:rsidR="006D13CF" w:rsidRPr="000A0946" w:rsidRDefault="006D13CF" w:rsidP="0018081B">
            <w:pPr>
              <w:rPr>
                <w:rFonts w:cstheme="minorHAnsi"/>
                <w:sz w:val="24"/>
                <w:szCs w:val="24"/>
              </w:rPr>
            </w:pPr>
          </w:p>
        </w:tc>
        <w:tc>
          <w:tcPr>
            <w:tcW w:w="1678" w:type="dxa"/>
          </w:tcPr>
          <w:p w14:paraId="002578BF" w14:textId="77777777" w:rsidR="006D13CF" w:rsidRPr="000A0946" w:rsidRDefault="006D13CF" w:rsidP="0018081B">
            <w:pPr>
              <w:rPr>
                <w:rFonts w:cstheme="minorHAnsi"/>
                <w:sz w:val="24"/>
                <w:szCs w:val="24"/>
              </w:rPr>
            </w:pPr>
          </w:p>
        </w:tc>
        <w:tc>
          <w:tcPr>
            <w:tcW w:w="1678" w:type="dxa"/>
          </w:tcPr>
          <w:p w14:paraId="3895F727" w14:textId="2ADBC089" w:rsidR="006D13CF" w:rsidRPr="000A0946" w:rsidRDefault="00C32D9C" w:rsidP="0018081B">
            <w:pPr>
              <w:rPr>
                <w:rFonts w:cstheme="minorHAnsi"/>
                <w:sz w:val="24"/>
                <w:szCs w:val="24"/>
              </w:rPr>
            </w:pPr>
            <w:r w:rsidRPr="000A0946">
              <w:rPr>
                <w:rFonts w:cstheme="minorHAnsi"/>
                <w:sz w:val="24"/>
                <w:szCs w:val="24"/>
              </w:rPr>
              <w:t>Proportion of menstrual cycles</w:t>
            </w:r>
          </w:p>
        </w:tc>
        <w:tc>
          <w:tcPr>
            <w:tcW w:w="1678" w:type="dxa"/>
          </w:tcPr>
          <w:p w14:paraId="6C375CBF" w14:textId="77777777" w:rsidR="006D13CF" w:rsidRPr="000A0946" w:rsidRDefault="006D13CF" w:rsidP="0018081B">
            <w:pPr>
              <w:rPr>
                <w:rFonts w:cstheme="minorHAnsi"/>
                <w:sz w:val="24"/>
                <w:szCs w:val="24"/>
              </w:rPr>
            </w:pPr>
          </w:p>
        </w:tc>
        <w:tc>
          <w:tcPr>
            <w:tcW w:w="1679" w:type="dxa"/>
          </w:tcPr>
          <w:p w14:paraId="22EE01DA" w14:textId="77777777" w:rsidR="006D13CF" w:rsidRPr="000A0946" w:rsidRDefault="006D13CF" w:rsidP="0018081B">
            <w:pPr>
              <w:rPr>
                <w:rFonts w:cstheme="minorHAnsi"/>
                <w:sz w:val="24"/>
                <w:szCs w:val="24"/>
              </w:rPr>
            </w:pPr>
          </w:p>
        </w:tc>
        <w:tc>
          <w:tcPr>
            <w:tcW w:w="1679" w:type="dxa"/>
          </w:tcPr>
          <w:p w14:paraId="1FC9C26B" w14:textId="68E445FE" w:rsidR="006D13CF" w:rsidRPr="000A0946" w:rsidRDefault="006D13CF" w:rsidP="0018081B">
            <w:pPr>
              <w:rPr>
                <w:rFonts w:cstheme="minorHAnsi"/>
                <w:sz w:val="24"/>
                <w:szCs w:val="24"/>
              </w:rPr>
            </w:pPr>
          </w:p>
        </w:tc>
      </w:tr>
      <w:tr w:rsidR="006D13CF" w:rsidRPr="000A0946" w14:paraId="374A6F7F" w14:textId="77777777" w:rsidTr="006D13CF">
        <w:tc>
          <w:tcPr>
            <w:tcW w:w="1678" w:type="dxa"/>
          </w:tcPr>
          <w:p w14:paraId="60DC1D14" w14:textId="278FA644" w:rsidR="006D13CF" w:rsidRPr="000A0946" w:rsidRDefault="003D3CA7" w:rsidP="0018081B">
            <w:pPr>
              <w:rPr>
                <w:rFonts w:cstheme="minorHAnsi"/>
                <w:sz w:val="24"/>
                <w:szCs w:val="24"/>
              </w:rPr>
            </w:pPr>
            <w:r w:rsidRPr="000A0946">
              <w:rPr>
                <w:rFonts w:cstheme="minorHAnsi"/>
                <w:sz w:val="24"/>
                <w:szCs w:val="24"/>
              </w:rPr>
              <w:t>Data set</w:t>
            </w:r>
            <w:r w:rsidRPr="000A0946">
              <w:rPr>
                <w:rFonts w:cstheme="minorHAnsi"/>
                <w:sz w:val="24"/>
                <w:szCs w:val="24"/>
              </w:rPr>
              <w:t xml:space="preserve"> # of cycl</w:t>
            </w:r>
            <w:r w:rsidR="00C32D9C" w:rsidRPr="000A0946">
              <w:rPr>
                <w:rFonts w:cstheme="minorHAnsi"/>
                <w:sz w:val="24"/>
                <w:szCs w:val="24"/>
              </w:rPr>
              <w:t>es</w:t>
            </w:r>
          </w:p>
        </w:tc>
        <w:tc>
          <w:tcPr>
            <w:tcW w:w="1678" w:type="dxa"/>
          </w:tcPr>
          <w:p w14:paraId="77547835" w14:textId="7D507952" w:rsidR="006D13CF" w:rsidRPr="000A0946" w:rsidRDefault="00C32D9C" w:rsidP="0018081B">
            <w:pPr>
              <w:rPr>
                <w:rFonts w:cstheme="minorHAnsi"/>
                <w:sz w:val="24"/>
                <w:szCs w:val="24"/>
              </w:rPr>
            </w:pPr>
            <w:r w:rsidRPr="000A0946">
              <w:rPr>
                <w:rFonts w:cstheme="minorHAnsi"/>
                <w:sz w:val="24"/>
                <w:szCs w:val="24"/>
              </w:rPr>
              <w:t xml:space="preserve">Mean length and </w:t>
            </w:r>
            <w:r w:rsidRPr="000A0946">
              <w:rPr>
                <w:rFonts w:cstheme="minorHAnsi"/>
                <w:i/>
                <w:iCs/>
                <w:sz w:val="24"/>
                <w:szCs w:val="24"/>
              </w:rPr>
              <w:t>SD</w:t>
            </w:r>
          </w:p>
        </w:tc>
        <w:tc>
          <w:tcPr>
            <w:tcW w:w="1678" w:type="dxa"/>
          </w:tcPr>
          <w:p w14:paraId="7E947153" w14:textId="1A443133" w:rsidR="006D13CF" w:rsidRPr="000A0946" w:rsidRDefault="006F2E25" w:rsidP="0018081B">
            <w:pPr>
              <w:rPr>
                <w:rFonts w:cstheme="minorHAnsi"/>
                <w:sz w:val="24"/>
                <w:szCs w:val="24"/>
              </w:rPr>
            </w:pPr>
            <w:r w:rsidRPr="000A0946">
              <w:rPr>
                <w:rFonts w:cstheme="minorHAnsi"/>
                <w:sz w:val="24"/>
                <w:szCs w:val="24"/>
              </w:rPr>
              <w:t>&lt;26 days</w:t>
            </w:r>
          </w:p>
        </w:tc>
        <w:tc>
          <w:tcPr>
            <w:tcW w:w="1678" w:type="dxa"/>
          </w:tcPr>
          <w:p w14:paraId="1FCC88E5" w14:textId="1D8B6932" w:rsidR="006D13CF" w:rsidRPr="000A0946" w:rsidRDefault="006F2E25" w:rsidP="0018081B">
            <w:pPr>
              <w:rPr>
                <w:rFonts w:cstheme="minorHAnsi"/>
                <w:sz w:val="24"/>
                <w:szCs w:val="24"/>
              </w:rPr>
            </w:pPr>
            <w:r w:rsidRPr="000A0946">
              <w:rPr>
                <w:rFonts w:cstheme="minorHAnsi"/>
                <w:sz w:val="24"/>
                <w:szCs w:val="24"/>
              </w:rPr>
              <w:t>26-32 days</w:t>
            </w:r>
          </w:p>
        </w:tc>
        <w:tc>
          <w:tcPr>
            <w:tcW w:w="1679" w:type="dxa"/>
          </w:tcPr>
          <w:p w14:paraId="04AC89E5" w14:textId="08A28CA5" w:rsidR="006D13CF" w:rsidRPr="000A0946" w:rsidRDefault="006F2E25" w:rsidP="0018081B">
            <w:pPr>
              <w:rPr>
                <w:rFonts w:cstheme="minorHAnsi"/>
                <w:sz w:val="24"/>
                <w:szCs w:val="24"/>
              </w:rPr>
            </w:pPr>
            <w:r w:rsidRPr="000A0946">
              <w:rPr>
                <w:rFonts w:cstheme="minorHAnsi"/>
                <w:sz w:val="24"/>
                <w:szCs w:val="24"/>
              </w:rPr>
              <w:t>&gt;32 days</w:t>
            </w:r>
          </w:p>
        </w:tc>
        <w:tc>
          <w:tcPr>
            <w:tcW w:w="1679" w:type="dxa"/>
          </w:tcPr>
          <w:p w14:paraId="6A32BB5B" w14:textId="185DFF76" w:rsidR="006D13CF" w:rsidRPr="000A0946" w:rsidRDefault="006F2E25" w:rsidP="0018081B">
            <w:pPr>
              <w:rPr>
                <w:rFonts w:cstheme="minorHAnsi"/>
                <w:sz w:val="24"/>
                <w:szCs w:val="24"/>
              </w:rPr>
            </w:pPr>
            <w:r w:rsidRPr="000A0946">
              <w:rPr>
                <w:rFonts w:cstheme="minorHAnsi"/>
                <w:sz w:val="24"/>
                <w:szCs w:val="24"/>
              </w:rPr>
              <w:t>% of cycles with days of fertile window outside of days 8-19</w:t>
            </w:r>
          </w:p>
        </w:tc>
      </w:tr>
      <w:tr w:rsidR="006D13CF" w:rsidRPr="000A0946" w14:paraId="364D2D53" w14:textId="77777777" w:rsidTr="006D13CF">
        <w:tc>
          <w:tcPr>
            <w:tcW w:w="1678" w:type="dxa"/>
          </w:tcPr>
          <w:p w14:paraId="3DA42205" w14:textId="4665FB16" w:rsidR="006D13CF" w:rsidRPr="000A0946" w:rsidRDefault="00627FA6" w:rsidP="0018081B">
            <w:pPr>
              <w:rPr>
                <w:rFonts w:cstheme="minorHAnsi"/>
                <w:sz w:val="24"/>
                <w:szCs w:val="24"/>
              </w:rPr>
            </w:pPr>
            <w:r w:rsidRPr="000A0946">
              <w:rPr>
                <w:rFonts w:cstheme="minorHAnsi"/>
                <w:sz w:val="24"/>
                <w:szCs w:val="24"/>
              </w:rPr>
              <w:t>1,181*</w:t>
            </w:r>
          </w:p>
        </w:tc>
        <w:tc>
          <w:tcPr>
            <w:tcW w:w="1678" w:type="dxa"/>
          </w:tcPr>
          <w:p w14:paraId="5CB9ED36" w14:textId="7B266082" w:rsidR="006D13CF" w:rsidRPr="000A0946" w:rsidRDefault="00E83126" w:rsidP="0018081B">
            <w:pPr>
              <w:rPr>
                <w:rFonts w:cstheme="minorHAnsi"/>
                <w:sz w:val="24"/>
                <w:szCs w:val="24"/>
              </w:rPr>
            </w:pPr>
            <w:r w:rsidRPr="000A0946">
              <w:rPr>
                <w:rFonts w:cstheme="minorHAnsi"/>
                <w:sz w:val="24"/>
                <w:szCs w:val="24"/>
              </w:rPr>
              <w:t>29.0/3.6</w:t>
            </w:r>
          </w:p>
        </w:tc>
        <w:tc>
          <w:tcPr>
            <w:tcW w:w="1678" w:type="dxa"/>
          </w:tcPr>
          <w:p w14:paraId="63CE10D3" w14:textId="6771F4C5" w:rsidR="006D13CF" w:rsidRPr="000A0946" w:rsidRDefault="001725EE" w:rsidP="0018081B">
            <w:pPr>
              <w:rPr>
                <w:rFonts w:cstheme="minorHAnsi"/>
                <w:sz w:val="24"/>
                <w:szCs w:val="24"/>
              </w:rPr>
            </w:pPr>
            <w:r w:rsidRPr="000A0946">
              <w:rPr>
                <w:rFonts w:cstheme="minorHAnsi"/>
                <w:sz w:val="24"/>
                <w:szCs w:val="24"/>
              </w:rPr>
              <w:t>164 (13.9%)</w:t>
            </w:r>
          </w:p>
        </w:tc>
        <w:tc>
          <w:tcPr>
            <w:tcW w:w="1678" w:type="dxa"/>
          </w:tcPr>
          <w:p w14:paraId="7368512E" w14:textId="6800CBF9" w:rsidR="006D13CF" w:rsidRPr="000A0946" w:rsidRDefault="00374477" w:rsidP="0018081B">
            <w:pPr>
              <w:rPr>
                <w:rFonts w:cstheme="minorHAnsi"/>
                <w:sz w:val="24"/>
                <w:szCs w:val="24"/>
              </w:rPr>
            </w:pPr>
            <w:r w:rsidRPr="000A0946">
              <w:rPr>
                <w:rFonts w:cstheme="minorHAnsi"/>
                <w:sz w:val="24"/>
                <w:szCs w:val="24"/>
              </w:rPr>
              <w:t xml:space="preserve">840 (71.2%) </w:t>
            </w:r>
          </w:p>
        </w:tc>
        <w:tc>
          <w:tcPr>
            <w:tcW w:w="1679" w:type="dxa"/>
          </w:tcPr>
          <w:p w14:paraId="03FF4C73" w14:textId="019DF5F7" w:rsidR="006D13CF" w:rsidRPr="000A0946" w:rsidRDefault="00374477" w:rsidP="0018081B">
            <w:pPr>
              <w:rPr>
                <w:rFonts w:cstheme="minorHAnsi"/>
                <w:sz w:val="24"/>
                <w:szCs w:val="24"/>
              </w:rPr>
            </w:pPr>
            <w:r w:rsidRPr="000A0946">
              <w:rPr>
                <w:rFonts w:cstheme="minorHAnsi"/>
                <w:sz w:val="24"/>
                <w:szCs w:val="24"/>
              </w:rPr>
              <w:t>176 (14.9%)</w:t>
            </w:r>
          </w:p>
        </w:tc>
        <w:tc>
          <w:tcPr>
            <w:tcW w:w="1679" w:type="dxa"/>
          </w:tcPr>
          <w:p w14:paraId="74247944" w14:textId="604BD66A" w:rsidR="006D13CF" w:rsidRPr="000A0946" w:rsidRDefault="00374477" w:rsidP="0018081B">
            <w:pPr>
              <w:rPr>
                <w:rFonts w:cstheme="minorHAnsi"/>
                <w:sz w:val="24"/>
                <w:szCs w:val="24"/>
              </w:rPr>
            </w:pPr>
            <w:r w:rsidRPr="000A0946">
              <w:rPr>
                <w:rFonts w:cstheme="minorHAnsi"/>
                <w:sz w:val="24"/>
                <w:szCs w:val="24"/>
              </w:rPr>
              <w:t>314 (26.6%)</w:t>
            </w:r>
          </w:p>
        </w:tc>
      </w:tr>
      <w:tr w:rsidR="006D13CF" w:rsidRPr="000A0946" w14:paraId="36304123" w14:textId="77777777" w:rsidTr="006D13CF">
        <w:tc>
          <w:tcPr>
            <w:tcW w:w="1678" w:type="dxa"/>
          </w:tcPr>
          <w:p w14:paraId="49D09A4D" w14:textId="476E8712" w:rsidR="006D13CF" w:rsidRPr="000A0946" w:rsidRDefault="00627FA6" w:rsidP="0018081B">
            <w:pPr>
              <w:rPr>
                <w:rFonts w:cstheme="minorHAnsi"/>
                <w:sz w:val="24"/>
                <w:szCs w:val="24"/>
              </w:rPr>
            </w:pPr>
            <w:r w:rsidRPr="000A0946">
              <w:rPr>
                <w:rFonts w:cstheme="minorHAnsi"/>
                <w:sz w:val="24"/>
                <w:szCs w:val="24"/>
              </w:rPr>
              <w:t>1</w:t>
            </w:r>
            <w:r w:rsidR="0004078C" w:rsidRPr="000A0946">
              <w:rPr>
                <w:rFonts w:cstheme="minorHAnsi"/>
                <w:sz w:val="24"/>
                <w:szCs w:val="24"/>
              </w:rPr>
              <w:t>,093</w:t>
            </w:r>
            <w:r w:rsidR="00B92EAB" w:rsidRPr="000A0946">
              <w:rPr>
                <w:rFonts w:cstheme="minorHAnsi"/>
                <w:sz w:val="24"/>
                <w:szCs w:val="24"/>
              </w:rPr>
              <w:t>†</w:t>
            </w:r>
          </w:p>
        </w:tc>
        <w:tc>
          <w:tcPr>
            <w:tcW w:w="1678" w:type="dxa"/>
          </w:tcPr>
          <w:p w14:paraId="62BC4AF2" w14:textId="09186574" w:rsidR="006D13CF" w:rsidRPr="000A0946" w:rsidRDefault="00E83126" w:rsidP="0018081B">
            <w:pPr>
              <w:rPr>
                <w:rFonts w:cstheme="minorHAnsi"/>
                <w:sz w:val="24"/>
                <w:szCs w:val="24"/>
              </w:rPr>
            </w:pPr>
            <w:r w:rsidRPr="000A0946">
              <w:rPr>
                <w:rFonts w:cstheme="minorHAnsi"/>
                <w:sz w:val="24"/>
                <w:szCs w:val="24"/>
              </w:rPr>
              <w:t>28.8/3.3</w:t>
            </w:r>
          </w:p>
        </w:tc>
        <w:tc>
          <w:tcPr>
            <w:tcW w:w="1678" w:type="dxa"/>
          </w:tcPr>
          <w:p w14:paraId="6C9410FC" w14:textId="17078E39" w:rsidR="006D13CF" w:rsidRPr="000A0946" w:rsidRDefault="001725EE" w:rsidP="0018081B">
            <w:pPr>
              <w:rPr>
                <w:rFonts w:cstheme="minorHAnsi"/>
                <w:sz w:val="24"/>
                <w:szCs w:val="24"/>
              </w:rPr>
            </w:pPr>
            <w:r w:rsidRPr="000A0946">
              <w:rPr>
                <w:rFonts w:cstheme="minorHAnsi"/>
                <w:sz w:val="24"/>
                <w:szCs w:val="24"/>
              </w:rPr>
              <w:t>149 (13.6%)</w:t>
            </w:r>
          </w:p>
        </w:tc>
        <w:tc>
          <w:tcPr>
            <w:tcW w:w="1678" w:type="dxa"/>
          </w:tcPr>
          <w:p w14:paraId="075C830B" w14:textId="5FA7C4C8" w:rsidR="006D13CF" w:rsidRPr="000A0946" w:rsidRDefault="00374477" w:rsidP="0018081B">
            <w:pPr>
              <w:rPr>
                <w:rFonts w:cstheme="minorHAnsi"/>
                <w:sz w:val="24"/>
                <w:szCs w:val="24"/>
              </w:rPr>
            </w:pPr>
            <w:r w:rsidRPr="000A0946">
              <w:rPr>
                <w:rFonts w:cstheme="minorHAnsi"/>
                <w:sz w:val="24"/>
                <w:szCs w:val="24"/>
              </w:rPr>
              <w:t xml:space="preserve">802 (73.4%) </w:t>
            </w:r>
          </w:p>
        </w:tc>
        <w:tc>
          <w:tcPr>
            <w:tcW w:w="1679" w:type="dxa"/>
          </w:tcPr>
          <w:p w14:paraId="031BFB44" w14:textId="42351E79" w:rsidR="006D13CF" w:rsidRPr="000A0946" w:rsidRDefault="00374477" w:rsidP="0018081B">
            <w:pPr>
              <w:rPr>
                <w:rFonts w:cstheme="minorHAnsi"/>
                <w:sz w:val="24"/>
                <w:szCs w:val="24"/>
              </w:rPr>
            </w:pPr>
            <w:r w:rsidRPr="000A0946">
              <w:rPr>
                <w:rFonts w:cstheme="minorHAnsi"/>
                <w:sz w:val="24"/>
                <w:szCs w:val="24"/>
              </w:rPr>
              <w:t>141 (12.9%)</w:t>
            </w:r>
          </w:p>
        </w:tc>
        <w:tc>
          <w:tcPr>
            <w:tcW w:w="1679" w:type="dxa"/>
          </w:tcPr>
          <w:p w14:paraId="63831101" w14:textId="5160CD07" w:rsidR="006D13CF" w:rsidRPr="000A0946" w:rsidRDefault="00374477" w:rsidP="0018081B">
            <w:pPr>
              <w:rPr>
                <w:rFonts w:cstheme="minorHAnsi"/>
                <w:sz w:val="24"/>
                <w:szCs w:val="24"/>
              </w:rPr>
            </w:pPr>
            <w:r w:rsidRPr="000A0946">
              <w:rPr>
                <w:rFonts w:cstheme="minorHAnsi"/>
                <w:sz w:val="24"/>
                <w:szCs w:val="24"/>
              </w:rPr>
              <w:t>278 (25.4%)</w:t>
            </w:r>
          </w:p>
        </w:tc>
      </w:tr>
      <w:tr w:rsidR="006D13CF" w:rsidRPr="000A0946" w14:paraId="3D44BA60" w14:textId="77777777" w:rsidTr="006D13CF">
        <w:tc>
          <w:tcPr>
            <w:tcW w:w="1678" w:type="dxa"/>
          </w:tcPr>
          <w:p w14:paraId="743FAA29" w14:textId="764088B0" w:rsidR="006D13CF" w:rsidRPr="000A0946" w:rsidRDefault="0004078C" w:rsidP="0018081B">
            <w:pPr>
              <w:rPr>
                <w:rFonts w:cstheme="minorHAnsi"/>
                <w:sz w:val="24"/>
                <w:szCs w:val="24"/>
              </w:rPr>
            </w:pPr>
            <w:r w:rsidRPr="000A0946">
              <w:rPr>
                <w:rFonts w:cstheme="minorHAnsi"/>
                <w:sz w:val="24"/>
                <w:szCs w:val="24"/>
              </w:rPr>
              <w:t>762</w:t>
            </w:r>
            <w:r w:rsidR="00E83126" w:rsidRPr="000A0946">
              <w:rPr>
                <w:rFonts w:cstheme="minorHAnsi"/>
                <w:sz w:val="24"/>
                <w:szCs w:val="24"/>
              </w:rPr>
              <w:t>‡</w:t>
            </w:r>
          </w:p>
        </w:tc>
        <w:tc>
          <w:tcPr>
            <w:tcW w:w="1678" w:type="dxa"/>
          </w:tcPr>
          <w:p w14:paraId="496FEDEA" w14:textId="620B81FD" w:rsidR="006D13CF" w:rsidRPr="000A0946" w:rsidRDefault="00E83126" w:rsidP="0018081B">
            <w:pPr>
              <w:rPr>
                <w:rFonts w:cstheme="minorHAnsi"/>
                <w:sz w:val="24"/>
                <w:szCs w:val="24"/>
              </w:rPr>
            </w:pPr>
            <w:r w:rsidRPr="000A0946">
              <w:rPr>
                <w:rFonts w:cstheme="minorHAnsi"/>
                <w:sz w:val="24"/>
                <w:szCs w:val="24"/>
              </w:rPr>
              <w:t>29.0/3.1</w:t>
            </w:r>
          </w:p>
        </w:tc>
        <w:tc>
          <w:tcPr>
            <w:tcW w:w="1678" w:type="dxa"/>
          </w:tcPr>
          <w:p w14:paraId="66071022" w14:textId="2DB66310" w:rsidR="006D13CF" w:rsidRPr="000A0946" w:rsidRDefault="001725EE" w:rsidP="0018081B">
            <w:pPr>
              <w:rPr>
                <w:rFonts w:cstheme="minorHAnsi"/>
                <w:sz w:val="24"/>
                <w:szCs w:val="24"/>
              </w:rPr>
            </w:pPr>
            <w:r w:rsidRPr="000A0946">
              <w:rPr>
                <w:rFonts w:cstheme="minorHAnsi"/>
                <w:sz w:val="24"/>
                <w:szCs w:val="24"/>
              </w:rPr>
              <w:t>78 (10.2%)</w:t>
            </w:r>
          </w:p>
        </w:tc>
        <w:tc>
          <w:tcPr>
            <w:tcW w:w="1678" w:type="dxa"/>
          </w:tcPr>
          <w:p w14:paraId="3802D84C" w14:textId="7C36E24E" w:rsidR="006D13CF" w:rsidRPr="000A0946" w:rsidRDefault="005943A8" w:rsidP="0018081B">
            <w:pPr>
              <w:rPr>
                <w:rFonts w:cstheme="minorHAnsi"/>
                <w:sz w:val="24"/>
                <w:szCs w:val="24"/>
              </w:rPr>
            </w:pPr>
            <w:r w:rsidRPr="000A0946">
              <w:rPr>
                <w:rFonts w:cstheme="minorHAnsi"/>
                <w:sz w:val="24"/>
                <w:szCs w:val="24"/>
              </w:rPr>
              <w:t xml:space="preserve">591 (77.7%) </w:t>
            </w:r>
          </w:p>
        </w:tc>
        <w:tc>
          <w:tcPr>
            <w:tcW w:w="1679" w:type="dxa"/>
          </w:tcPr>
          <w:p w14:paraId="60309D52" w14:textId="6094C4EB" w:rsidR="006D13CF" w:rsidRPr="000A0946" w:rsidRDefault="005943A8" w:rsidP="0018081B">
            <w:pPr>
              <w:rPr>
                <w:rFonts w:cstheme="minorHAnsi"/>
                <w:sz w:val="24"/>
                <w:szCs w:val="24"/>
              </w:rPr>
            </w:pPr>
            <w:r w:rsidRPr="000A0946">
              <w:rPr>
                <w:rFonts w:cstheme="minorHAnsi"/>
                <w:sz w:val="24"/>
                <w:szCs w:val="24"/>
              </w:rPr>
              <w:t>92 (12.1%)</w:t>
            </w:r>
          </w:p>
        </w:tc>
        <w:tc>
          <w:tcPr>
            <w:tcW w:w="1679" w:type="dxa"/>
          </w:tcPr>
          <w:p w14:paraId="44103818" w14:textId="769FBAF6" w:rsidR="006D13CF" w:rsidRPr="000A0946" w:rsidRDefault="005943A8" w:rsidP="0018081B">
            <w:pPr>
              <w:rPr>
                <w:rFonts w:cstheme="minorHAnsi"/>
                <w:sz w:val="24"/>
                <w:szCs w:val="24"/>
              </w:rPr>
            </w:pPr>
            <w:r w:rsidRPr="000A0946">
              <w:rPr>
                <w:rFonts w:cstheme="minorHAnsi"/>
                <w:sz w:val="24"/>
                <w:szCs w:val="24"/>
              </w:rPr>
              <w:t>172 (22.5%)</w:t>
            </w:r>
          </w:p>
        </w:tc>
      </w:tr>
    </w:tbl>
    <w:p w14:paraId="6C6C16AF" w14:textId="77777777" w:rsidR="005943A8" w:rsidRPr="005943A8" w:rsidRDefault="005943A8" w:rsidP="005943A8">
      <w:pPr>
        <w:spacing w:after="0"/>
        <w:rPr>
          <w:rFonts w:cstheme="minorHAnsi"/>
          <w:sz w:val="24"/>
          <w:szCs w:val="24"/>
        </w:rPr>
      </w:pPr>
      <w:r w:rsidRPr="005943A8">
        <w:rPr>
          <w:rFonts w:cstheme="minorHAnsi"/>
          <w:sz w:val="24"/>
          <w:szCs w:val="24"/>
        </w:rPr>
        <w:t>* Data set with all menstrual cycles regardless of length.</w:t>
      </w:r>
    </w:p>
    <w:p w14:paraId="09AF34C8" w14:textId="77777777" w:rsidR="005943A8" w:rsidRPr="005943A8" w:rsidRDefault="005943A8" w:rsidP="005943A8">
      <w:pPr>
        <w:spacing w:after="0"/>
        <w:rPr>
          <w:rFonts w:cstheme="minorHAnsi"/>
          <w:sz w:val="24"/>
          <w:szCs w:val="24"/>
        </w:rPr>
      </w:pPr>
      <w:r w:rsidRPr="005943A8">
        <w:rPr>
          <w:rFonts w:cstheme="minorHAnsi"/>
          <w:sz w:val="24"/>
          <w:szCs w:val="24"/>
        </w:rPr>
        <w:t>† Data set with participants that had three or more regular cycles (25–35 days).</w:t>
      </w:r>
    </w:p>
    <w:p w14:paraId="2CE328C9" w14:textId="2188A437" w:rsidR="00D91F6D" w:rsidRPr="000A0946" w:rsidRDefault="005943A8" w:rsidP="005943A8">
      <w:pPr>
        <w:spacing w:after="0"/>
        <w:rPr>
          <w:rFonts w:cstheme="minorHAnsi"/>
          <w:sz w:val="24"/>
          <w:szCs w:val="24"/>
        </w:rPr>
      </w:pPr>
      <w:r w:rsidRPr="000A0946">
        <w:rPr>
          <w:rFonts w:cstheme="minorHAnsi"/>
          <w:sz w:val="24"/>
          <w:szCs w:val="24"/>
        </w:rPr>
        <w:t>‡ Data set with participants and cycles that met rules of the SDM.</w:t>
      </w:r>
    </w:p>
    <w:p w14:paraId="6BA5A5EF" w14:textId="32440CB8" w:rsidR="0018081B" w:rsidRPr="000A0946" w:rsidRDefault="0018081B" w:rsidP="0018081B">
      <w:pPr>
        <w:rPr>
          <w:rFonts w:cstheme="minorHAnsi"/>
          <w:sz w:val="24"/>
          <w:szCs w:val="24"/>
        </w:rPr>
      </w:pPr>
    </w:p>
    <w:p w14:paraId="4CDBC300" w14:textId="77777777" w:rsidR="0018081B" w:rsidRPr="000A0946" w:rsidRDefault="0018081B" w:rsidP="0018081B">
      <w:pPr>
        <w:rPr>
          <w:rFonts w:cstheme="minorHAnsi"/>
          <w:sz w:val="24"/>
          <w:szCs w:val="24"/>
        </w:rPr>
      </w:pPr>
      <w:r w:rsidRPr="000A0946">
        <w:rPr>
          <w:rFonts w:cstheme="minorHAnsi"/>
          <w:sz w:val="24"/>
          <w:szCs w:val="24"/>
        </w:rPr>
        <w:t xml:space="preserve">The mean length of the 762 menstrual cycles that remained in the data set was twenty-nine days (median 29; </w:t>
      </w:r>
      <w:r w:rsidRPr="000A0946">
        <w:rPr>
          <w:rFonts w:cstheme="minorHAnsi"/>
          <w:i/>
          <w:iCs/>
          <w:sz w:val="24"/>
          <w:szCs w:val="24"/>
        </w:rPr>
        <w:t>SD</w:t>
      </w:r>
      <w:r w:rsidRPr="000A0946">
        <w:rPr>
          <w:rFonts w:cstheme="minorHAnsi"/>
          <w:sz w:val="24"/>
          <w:szCs w:val="24"/>
        </w:rPr>
        <w:t xml:space="preserve"> = 3.1; range 21–47). The mean EDO was 16.5 (median 16; </w:t>
      </w:r>
      <w:r w:rsidRPr="000A0946">
        <w:rPr>
          <w:rFonts w:cstheme="minorHAnsi"/>
          <w:i/>
          <w:iCs/>
          <w:sz w:val="24"/>
          <w:szCs w:val="24"/>
        </w:rPr>
        <w:t>SD</w:t>
      </w:r>
      <w:r w:rsidRPr="000A0946">
        <w:rPr>
          <w:rFonts w:cstheme="minorHAnsi"/>
          <w:sz w:val="24"/>
          <w:szCs w:val="24"/>
        </w:rPr>
        <w:t xml:space="preserve"> = 3.1; range 9–27), and the mean length of the luteal phase was 12.5 days (median 13; </w:t>
      </w:r>
      <w:r w:rsidRPr="000A0946">
        <w:rPr>
          <w:rFonts w:cstheme="minorHAnsi"/>
          <w:i/>
          <w:iCs/>
          <w:sz w:val="24"/>
          <w:szCs w:val="24"/>
        </w:rPr>
        <w:t>SD</w:t>
      </w:r>
      <w:r w:rsidRPr="000A0946">
        <w:rPr>
          <w:rFonts w:cstheme="minorHAnsi"/>
          <w:sz w:val="24"/>
          <w:szCs w:val="24"/>
        </w:rPr>
        <w:t xml:space="preserve"> = 1.8; range 5–21). The mean length of menses was 5.8 days (median 6; </w:t>
      </w:r>
      <w:r w:rsidRPr="000A0946">
        <w:rPr>
          <w:rFonts w:cstheme="minorHAnsi"/>
          <w:i/>
          <w:iCs/>
          <w:sz w:val="24"/>
          <w:szCs w:val="24"/>
        </w:rPr>
        <w:t>SD</w:t>
      </w:r>
      <w:r w:rsidRPr="000A0946">
        <w:rPr>
          <w:rFonts w:cstheme="minorHAnsi"/>
          <w:sz w:val="24"/>
          <w:szCs w:val="24"/>
        </w:rPr>
        <w:t xml:space="preserve"> = 1.3, range 2–12). There were 591 (77.7 percent) of the cycles that were between twenty-six and thirty-two days in length, 78 (or 10.2 percent) that were less than twenty-six days in length, and 92 cycles or 12.1 percent longer than thirty-two days in length.</w:t>
      </w:r>
    </w:p>
    <w:p w14:paraId="25D4B689" w14:textId="77777777" w:rsidR="0018081B" w:rsidRPr="000A0946" w:rsidRDefault="0018081B" w:rsidP="00F80C8D">
      <w:pPr>
        <w:pStyle w:val="Heading2"/>
        <w:rPr>
          <w:rFonts w:asciiTheme="minorHAnsi" w:hAnsiTheme="minorHAnsi" w:cstheme="minorHAnsi"/>
        </w:rPr>
      </w:pPr>
      <w:r w:rsidRPr="000A0946">
        <w:rPr>
          <w:rFonts w:asciiTheme="minorHAnsi" w:hAnsiTheme="minorHAnsi" w:cstheme="minorHAnsi"/>
        </w:rPr>
        <w:t>Demographics</w:t>
      </w:r>
    </w:p>
    <w:p w14:paraId="6C6B6FF2" w14:textId="77777777" w:rsidR="0018081B" w:rsidRPr="000A0946" w:rsidRDefault="0018081B" w:rsidP="0018081B">
      <w:pPr>
        <w:rPr>
          <w:rFonts w:cstheme="minorHAnsi"/>
          <w:sz w:val="24"/>
          <w:szCs w:val="24"/>
        </w:rPr>
      </w:pPr>
      <w:r w:rsidRPr="000A0946">
        <w:rPr>
          <w:rFonts w:cstheme="minorHAnsi"/>
          <w:sz w:val="24"/>
          <w:szCs w:val="24"/>
        </w:rPr>
        <w:t>The average age of the 131 participants that generated the final data set of 762 menstrual cycles of data was 29.3 years (</w:t>
      </w:r>
      <w:r w:rsidRPr="000A0946">
        <w:rPr>
          <w:rFonts w:cstheme="minorHAnsi"/>
          <w:i/>
          <w:iCs/>
          <w:sz w:val="24"/>
          <w:szCs w:val="24"/>
        </w:rPr>
        <w:t>SD</w:t>
      </w:r>
      <w:r w:rsidRPr="000A0946">
        <w:rPr>
          <w:rFonts w:cstheme="minorHAnsi"/>
          <w:sz w:val="24"/>
          <w:szCs w:val="24"/>
        </w:rPr>
        <w:t xml:space="preserve"> = 5.6; range 19–44). They had an average of 1.4 children (</w:t>
      </w:r>
      <w:r w:rsidRPr="000A0946">
        <w:rPr>
          <w:rFonts w:cstheme="minorHAnsi"/>
          <w:i/>
          <w:iCs/>
          <w:sz w:val="24"/>
          <w:szCs w:val="24"/>
        </w:rPr>
        <w:t>SD</w:t>
      </w:r>
      <w:r w:rsidRPr="000A0946">
        <w:rPr>
          <w:rFonts w:cstheme="minorHAnsi"/>
          <w:sz w:val="24"/>
          <w:szCs w:val="24"/>
        </w:rPr>
        <w:t xml:space="preserve"> = 1.7; range 0–8), and each generated three to thirteen cycles of data with the mean being 5.2 cycles (</w:t>
      </w:r>
      <w:r w:rsidRPr="000A0946">
        <w:rPr>
          <w:rFonts w:cstheme="minorHAnsi"/>
          <w:i/>
          <w:iCs/>
          <w:sz w:val="24"/>
          <w:szCs w:val="24"/>
        </w:rPr>
        <w:t>SD</w:t>
      </w:r>
      <w:r w:rsidRPr="000A0946">
        <w:rPr>
          <w:rFonts w:cstheme="minorHAnsi"/>
          <w:sz w:val="24"/>
          <w:szCs w:val="24"/>
        </w:rPr>
        <w:t xml:space="preserve"> = 3.2).</w:t>
      </w:r>
    </w:p>
    <w:p w14:paraId="70B2905F" w14:textId="77777777" w:rsidR="0018081B" w:rsidRPr="000A0946" w:rsidRDefault="0018081B" w:rsidP="00F80C8D">
      <w:pPr>
        <w:pStyle w:val="Heading2"/>
        <w:rPr>
          <w:rFonts w:asciiTheme="minorHAnsi" w:hAnsiTheme="minorHAnsi" w:cstheme="minorHAnsi"/>
        </w:rPr>
      </w:pPr>
      <w:r w:rsidRPr="000A0946">
        <w:rPr>
          <w:rFonts w:asciiTheme="minorHAnsi" w:hAnsiTheme="minorHAnsi" w:cstheme="minorHAnsi"/>
        </w:rPr>
        <w:t>Research Questions</w:t>
      </w:r>
    </w:p>
    <w:p w14:paraId="0D59774A" w14:textId="77777777" w:rsidR="0018081B" w:rsidRPr="000A0946" w:rsidRDefault="0018081B" w:rsidP="0018081B">
      <w:pPr>
        <w:rPr>
          <w:rFonts w:cstheme="minorHAnsi"/>
          <w:sz w:val="24"/>
          <w:szCs w:val="24"/>
        </w:rPr>
      </w:pPr>
      <w:r w:rsidRPr="000A0946">
        <w:rPr>
          <w:rFonts w:cstheme="minorHAnsi"/>
          <w:i/>
          <w:iCs/>
          <w:sz w:val="24"/>
          <w:szCs w:val="24"/>
        </w:rPr>
        <w:t>In what percentage of the menstrual cycles does the EDO fall within one to three days of the midpoint of the cycle?</w:t>
      </w:r>
    </w:p>
    <w:p w14:paraId="3C41FF37" w14:textId="5BB0DD10" w:rsidR="0018081B" w:rsidRPr="000A0946" w:rsidRDefault="0018081B" w:rsidP="0018081B">
      <w:pPr>
        <w:rPr>
          <w:rFonts w:cstheme="minorHAnsi"/>
          <w:sz w:val="24"/>
          <w:szCs w:val="24"/>
        </w:rPr>
      </w:pPr>
      <w:r w:rsidRPr="000A0946">
        <w:rPr>
          <w:rFonts w:cstheme="minorHAnsi"/>
          <w:sz w:val="24"/>
          <w:szCs w:val="24"/>
        </w:rPr>
        <w:t>For the final data of 762 menstrual cycles, 714 cycles (93.7 percent) had an identifiable EDO based on the fertility monitor peak. Of these 714 cycles, 48.6 percent of the EDOs were within one day of the midpoint of the cycle, 67.7 percent were within two days of the midpoint, and 80.8 percent within three days of the midpoint (see table 2). For those cycles that were between twenty-six and thirty-two days in length, the percent of EDOs that were within one day of the midpoint of the cycle was 51.3 percent, within two days 72.3 percent, and 86.2 percent within three days of the midpoint. For cycles shorter than twenty-six days the percent of EDOs within one, two, and three days midpoint were 73.0 percent, 91.6 percent, and 97.2 percent; and for those cycles longer than thirty-two days, 9.4 percent, 16.5 percent, and 31.8 percent. As can be seen in figure 1, the EDOs were skewed toward the right and more so as the length of the cycles increased. The EDO of the 714 cycles had a strong positive correlation with the length of the cycles (</w:t>
      </w:r>
      <w:r w:rsidRPr="000A0946">
        <w:rPr>
          <w:rFonts w:cstheme="minorHAnsi"/>
          <w:i/>
          <w:iCs/>
          <w:sz w:val="24"/>
          <w:szCs w:val="24"/>
        </w:rPr>
        <w:t>r</w:t>
      </w:r>
      <w:r w:rsidRPr="000A0946">
        <w:rPr>
          <w:rFonts w:cstheme="minorHAnsi"/>
          <w:sz w:val="24"/>
          <w:szCs w:val="24"/>
        </w:rPr>
        <w:t xml:space="preserve"> = 0.820, </w:t>
      </w:r>
      <w:r w:rsidRPr="000A0946">
        <w:rPr>
          <w:rFonts w:cstheme="minorHAnsi"/>
          <w:i/>
          <w:iCs/>
          <w:sz w:val="24"/>
          <w:szCs w:val="24"/>
        </w:rPr>
        <w:t>p &lt;</w:t>
      </w:r>
      <w:r w:rsidRPr="000A0946">
        <w:rPr>
          <w:rFonts w:cstheme="minorHAnsi"/>
          <w:sz w:val="24"/>
          <w:szCs w:val="24"/>
        </w:rPr>
        <w:t xml:space="preserve"> 0.01).</w:t>
      </w:r>
    </w:p>
    <w:p w14:paraId="4AE8B6B3" w14:textId="0DA80CBD" w:rsidR="0018081B" w:rsidRPr="000A0946" w:rsidRDefault="0018081B" w:rsidP="0018081B">
      <w:pPr>
        <w:rPr>
          <w:rFonts w:cstheme="minorHAnsi"/>
          <w:sz w:val="24"/>
          <w:szCs w:val="24"/>
        </w:rPr>
      </w:pPr>
      <w:r w:rsidRPr="000A0946">
        <w:rPr>
          <w:rFonts w:cstheme="minorHAnsi"/>
          <w:noProof/>
          <w:sz w:val="24"/>
          <w:szCs w:val="24"/>
        </w:rPr>
        <w:lastRenderedPageBreak/>
        <w:drawing>
          <wp:inline distT="0" distB="0" distL="0" distR="0" wp14:anchorId="691AEB3F" wp14:editId="35E31099">
            <wp:extent cx="2743200" cy="1499616"/>
            <wp:effectExtent l="0" t="0" r="0" b="5715"/>
            <wp:docPr id="5" name="Picture 5"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499616"/>
                    </a:xfrm>
                    <a:prstGeom prst="rect">
                      <a:avLst/>
                    </a:prstGeom>
                    <a:noFill/>
                    <a:ln>
                      <a:noFill/>
                    </a:ln>
                  </pic:spPr>
                </pic:pic>
              </a:graphicData>
            </a:graphic>
          </wp:inline>
        </w:drawing>
      </w:r>
    </w:p>
    <w:p w14:paraId="5CB5C313" w14:textId="77777777" w:rsidR="0018081B" w:rsidRPr="000A0946" w:rsidRDefault="0018081B" w:rsidP="0018081B">
      <w:pPr>
        <w:rPr>
          <w:rFonts w:cstheme="minorHAnsi"/>
          <w:sz w:val="24"/>
          <w:szCs w:val="24"/>
        </w:rPr>
      </w:pPr>
      <w:r w:rsidRPr="000A0946">
        <w:rPr>
          <w:rFonts w:cstheme="minorHAnsi"/>
          <w:sz w:val="24"/>
          <w:szCs w:val="24"/>
        </w:rPr>
        <w:t>Figure 1 Percent frequency of where the estimated day of ovulation (EDO) falls in relation to the midpoint (0) of the menstrual cycle (</w:t>
      </w:r>
      <w:r w:rsidRPr="000A0946">
        <w:rPr>
          <w:rFonts w:cstheme="minorHAnsi"/>
          <w:i/>
          <w:iCs/>
          <w:sz w:val="24"/>
          <w:szCs w:val="24"/>
        </w:rPr>
        <w:t>N</w:t>
      </w:r>
      <w:r w:rsidRPr="000A0946">
        <w:rPr>
          <w:rFonts w:cstheme="minorHAnsi"/>
          <w:sz w:val="24"/>
          <w:szCs w:val="24"/>
        </w:rPr>
        <w:t xml:space="preserve"> = 714).</w:t>
      </w:r>
    </w:p>
    <w:p w14:paraId="3B5307BC" w14:textId="79A95E26" w:rsidR="0018081B" w:rsidRPr="000A0946" w:rsidRDefault="0018081B" w:rsidP="0018081B">
      <w:pPr>
        <w:rPr>
          <w:rFonts w:cstheme="minorHAnsi"/>
          <w:sz w:val="24"/>
          <w:szCs w:val="24"/>
        </w:rPr>
      </w:pPr>
      <w:r w:rsidRPr="000A0946">
        <w:rPr>
          <w:rFonts w:cstheme="minorHAnsi"/>
          <w:sz w:val="24"/>
          <w:szCs w:val="24"/>
        </w:rPr>
        <w:t>Table 2 Percentage of menstrual cycles with the estimated day of ovulation (EDO) within one to three days of midpoint of cycle (</w:t>
      </w:r>
      <w:r w:rsidRPr="000A0946">
        <w:rPr>
          <w:rFonts w:cstheme="minorHAnsi"/>
          <w:i/>
          <w:iCs/>
          <w:sz w:val="24"/>
          <w:szCs w:val="24"/>
        </w:rPr>
        <w:t>N</w:t>
      </w:r>
      <w:r w:rsidRPr="000A0946">
        <w:rPr>
          <w:rFonts w:cstheme="minorHAnsi"/>
          <w:sz w:val="24"/>
          <w:szCs w:val="24"/>
        </w:rPr>
        <w:t xml:space="preserve"> = 714 menstrual cycles)</w:t>
      </w:r>
    </w:p>
    <w:tbl>
      <w:tblPr>
        <w:tblStyle w:val="TableGrid"/>
        <w:tblW w:w="0" w:type="auto"/>
        <w:tblLook w:val="04A0" w:firstRow="1" w:lastRow="0" w:firstColumn="1" w:lastColumn="0" w:noHBand="0" w:noVBand="1"/>
      </w:tblPr>
      <w:tblGrid>
        <w:gridCol w:w="2084"/>
        <w:gridCol w:w="4843"/>
        <w:gridCol w:w="1517"/>
        <w:gridCol w:w="1517"/>
      </w:tblGrid>
      <w:tr w:rsidR="00B02EFD" w:rsidRPr="000A0946" w14:paraId="6A20D0A2" w14:textId="77777777" w:rsidTr="00C84248">
        <w:tc>
          <w:tcPr>
            <w:tcW w:w="0" w:type="auto"/>
          </w:tcPr>
          <w:p w14:paraId="3627F44C" w14:textId="77777777" w:rsidR="00B02EFD" w:rsidRPr="000A0946" w:rsidRDefault="00B02EFD" w:rsidP="0018081B">
            <w:pPr>
              <w:rPr>
                <w:rFonts w:cstheme="minorHAnsi"/>
                <w:sz w:val="24"/>
                <w:szCs w:val="24"/>
              </w:rPr>
            </w:pPr>
          </w:p>
        </w:tc>
        <w:tc>
          <w:tcPr>
            <w:tcW w:w="0" w:type="auto"/>
          </w:tcPr>
          <w:p w14:paraId="35D3C607" w14:textId="372CC814" w:rsidR="00B02EFD" w:rsidRPr="000A0946" w:rsidRDefault="00B02EFD" w:rsidP="0018081B">
            <w:pPr>
              <w:rPr>
                <w:rFonts w:cstheme="minorHAnsi"/>
                <w:sz w:val="24"/>
                <w:szCs w:val="24"/>
              </w:rPr>
            </w:pPr>
            <w:r w:rsidRPr="00B02EFD">
              <w:rPr>
                <w:rFonts w:cstheme="minorHAnsi"/>
                <w:sz w:val="24"/>
                <w:szCs w:val="24"/>
              </w:rPr>
              <w:t>Proportion of menstrual cycles with EDO within</w:t>
            </w:r>
          </w:p>
        </w:tc>
        <w:tc>
          <w:tcPr>
            <w:tcW w:w="0" w:type="auto"/>
          </w:tcPr>
          <w:p w14:paraId="1860B9C9" w14:textId="77777777" w:rsidR="00B02EFD" w:rsidRPr="000A0946" w:rsidRDefault="00B02EFD" w:rsidP="0018081B">
            <w:pPr>
              <w:rPr>
                <w:rFonts w:cstheme="minorHAnsi"/>
                <w:sz w:val="24"/>
                <w:szCs w:val="24"/>
              </w:rPr>
            </w:pPr>
          </w:p>
        </w:tc>
        <w:tc>
          <w:tcPr>
            <w:tcW w:w="0" w:type="auto"/>
          </w:tcPr>
          <w:p w14:paraId="51C4132F" w14:textId="77777777" w:rsidR="00B02EFD" w:rsidRPr="000A0946" w:rsidRDefault="00B02EFD" w:rsidP="0018081B">
            <w:pPr>
              <w:rPr>
                <w:rFonts w:cstheme="minorHAnsi"/>
                <w:sz w:val="24"/>
                <w:szCs w:val="24"/>
              </w:rPr>
            </w:pPr>
          </w:p>
        </w:tc>
      </w:tr>
      <w:tr w:rsidR="00B02EFD" w:rsidRPr="000A0946" w14:paraId="07AF0BBF" w14:textId="77777777" w:rsidTr="00C84248">
        <w:tc>
          <w:tcPr>
            <w:tcW w:w="0" w:type="auto"/>
          </w:tcPr>
          <w:p w14:paraId="07F0B989" w14:textId="03AB4EAD" w:rsidR="00B02EFD" w:rsidRPr="000A0946" w:rsidRDefault="00B02EFD" w:rsidP="00776929">
            <w:pPr>
              <w:rPr>
                <w:rFonts w:cstheme="minorHAnsi"/>
                <w:sz w:val="24"/>
                <w:szCs w:val="24"/>
              </w:rPr>
            </w:pPr>
            <w:r w:rsidRPr="00B02EFD">
              <w:rPr>
                <w:rFonts w:cstheme="minorHAnsi"/>
                <w:sz w:val="24"/>
                <w:szCs w:val="24"/>
              </w:rPr>
              <w:t>Data set</w:t>
            </w:r>
            <w:r w:rsidR="00776929" w:rsidRPr="000A0946">
              <w:rPr>
                <w:rFonts w:cstheme="minorHAnsi"/>
                <w:sz w:val="24"/>
                <w:szCs w:val="24"/>
              </w:rPr>
              <w:t xml:space="preserve"> </w:t>
            </w:r>
            <w:r w:rsidRPr="000A0946">
              <w:rPr>
                <w:rFonts w:cstheme="minorHAnsi"/>
                <w:sz w:val="24"/>
                <w:szCs w:val="24"/>
              </w:rPr>
              <w:t># of cycles</w:t>
            </w:r>
          </w:p>
        </w:tc>
        <w:tc>
          <w:tcPr>
            <w:tcW w:w="0" w:type="auto"/>
          </w:tcPr>
          <w:p w14:paraId="390A78B7" w14:textId="204F2829" w:rsidR="00B02EFD" w:rsidRPr="000A0946" w:rsidRDefault="00776929" w:rsidP="0018081B">
            <w:pPr>
              <w:rPr>
                <w:rFonts w:cstheme="minorHAnsi"/>
                <w:sz w:val="24"/>
                <w:szCs w:val="24"/>
              </w:rPr>
            </w:pPr>
            <w:r w:rsidRPr="000A0946">
              <w:rPr>
                <w:rFonts w:cstheme="minorHAnsi"/>
                <w:sz w:val="24"/>
                <w:szCs w:val="24"/>
              </w:rPr>
              <w:t xml:space="preserve">1 day of mid </w:t>
            </w:r>
          </w:p>
        </w:tc>
        <w:tc>
          <w:tcPr>
            <w:tcW w:w="0" w:type="auto"/>
          </w:tcPr>
          <w:p w14:paraId="61C5C3F1" w14:textId="17C47427" w:rsidR="00B02EFD" w:rsidRPr="000A0946" w:rsidRDefault="00776929" w:rsidP="0018081B">
            <w:pPr>
              <w:rPr>
                <w:rFonts w:cstheme="minorHAnsi"/>
                <w:sz w:val="24"/>
                <w:szCs w:val="24"/>
              </w:rPr>
            </w:pPr>
            <w:r w:rsidRPr="000A0946">
              <w:rPr>
                <w:rFonts w:cstheme="minorHAnsi"/>
                <w:sz w:val="24"/>
                <w:szCs w:val="24"/>
              </w:rPr>
              <w:t>2 days of mid</w:t>
            </w:r>
          </w:p>
        </w:tc>
        <w:tc>
          <w:tcPr>
            <w:tcW w:w="0" w:type="auto"/>
          </w:tcPr>
          <w:p w14:paraId="7AFAEEFB" w14:textId="29012B85" w:rsidR="00B02EFD" w:rsidRPr="000A0946" w:rsidRDefault="00776929" w:rsidP="0018081B">
            <w:pPr>
              <w:rPr>
                <w:rFonts w:cstheme="minorHAnsi"/>
                <w:sz w:val="24"/>
                <w:szCs w:val="24"/>
              </w:rPr>
            </w:pPr>
            <w:r w:rsidRPr="000A0946">
              <w:rPr>
                <w:rFonts w:cstheme="minorHAnsi"/>
                <w:sz w:val="24"/>
                <w:szCs w:val="24"/>
              </w:rPr>
              <w:t>3 days of mid</w:t>
            </w:r>
          </w:p>
        </w:tc>
      </w:tr>
      <w:tr w:rsidR="00B02EFD" w:rsidRPr="000A0946" w14:paraId="0AD9CA93" w14:textId="77777777" w:rsidTr="00C84248">
        <w:tc>
          <w:tcPr>
            <w:tcW w:w="0" w:type="auto"/>
          </w:tcPr>
          <w:p w14:paraId="61625BE7" w14:textId="73AE0DAC" w:rsidR="00B02EFD" w:rsidRPr="000A0946" w:rsidRDefault="00126365" w:rsidP="00C84248">
            <w:pPr>
              <w:jc w:val="right"/>
              <w:rPr>
                <w:rFonts w:cstheme="minorHAnsi"/>
                <w:sz w:val="24"/>
                <w:szCs w:val="24"/>
              </w:rPr>
            </w:pPr>
            <w:r w:rsidRPr="000A0946">
              <w:rPr>
                <w:rFonts w:cstheme="minorHAnsi"/>
                <w:sz w:val="24"/>
                <w:szCs w:val="24"/>
              </w:rPr>
              <w:t xml:space="preserve">Total 714 </w:t>
            </w:r>
          </w:p>
        </w:tc>
        <w:tc>
          <w:tcPr>
            <w:tcW w:w="0" w:type="auto"/>
          </w:tcPr>
          <w:p w14:paraId="156C8BA1" w14:textId="774F81DB" w:rsidR="00B02EFD" w:rsidRPr="000A0946" w:rsidRDefault="00126365" w:rsidP="0018081B">
            <w:pPr>
              <w:rPr>
                <w:rFonts w:cstheme="minorHAnsi"/>
                <w:sz w:val="24"/>
                <w:szCs w:val="24"/>
              </w:rPr>
            </w:pPr>
            <w:r w:rsidRPr="000A0946">
              <w:rPr>
                <w:rFonts w:cstheme="minorHAnsi"/>
                <w:sz w:val="24"/>
                <w:szCs w:val="24"/>
              </w:rPr>
              <w:t>347 (48.6%)</w:t>
            </w:r>
          </w:p>
        </w:tc>
        <w:tc>
          <w:tcPr>
            <w:tcW w:w="0" w:type="auto"/>
          </w:tcPr>
          <w:p w14:paraId="003569BF" w14:textId="1CD8D312" w:rsidR="00B02EFD" w:rsidRPr="000A0946" w:rsidRDefault="00126365" w:rsidP="0018081B">
            <w:pPr>
              <w:rPr>
                <w:rFonts w:cstheme="minorHAnsi"/>
                <w:sz w:val="24"/>
                <w:szCs w:val="24"/>
              </w:rPr>
            </w:pPr>
            <w:r w:rsidRPr="000A0946">
              <w:rPr>
                <w:rFonts w:cstheme="minorHAnsi"/>
                <w:sz w:val="24"/>
                <w:szCs w:val="24"/>
              </w:rPr>
              <w:t>483 (67.7%)</w:t>
            </w:r>
          </w:p>
        </w:tc>
        <w:tc>
          <w:tcPr>
            <w:tcW w:w="0" w:type="auto"/>
          </w:tcPr>
          <w:p w14:paraId="1C267817" w14:textId="317F2175" w:rsidR="00B02EFD" w:rsidRPr="000A0946" w:rsidRDefault="00126365" w:rsidP="0018081B">
            <w:pPr>
              <w:rPr>
                <w:rFonts w:cstheme="minorHAnsi"/>
                <w:sz w:val="24"/>
                <w:szCs w:val="24"/>
              </w:rPr>
            </w:pPr>
            <w:r w:rsidRPr="000A0946">
              <w:rPr>
                <w:rFonts w:cstheme="minorHAnsi"/>
                <w:sz w:val="24"/>
                <w:szCs w:val="24"/>
              </w:rPr>
              <w:t>577 (80.8%)</w:t>
            </w:r>
          </w:p>
        </w:tc>
      </w:tr>
      <w:tr w:rsidR="00B02EFD" w:rsidRPr="000A0946" w14:paraId="78A91423" w14:textId="77777777" w:rsidTr="00C84248">
        <w:tc>
          <w:tcPr>
            <w:tcW w:w="0" w:type="auto"/>
          </w:tcPr>
          <w:p w14:paraId="603D1E73" w14:textId="20A57348" w:rsidR="00B02EFD" w:rsidRPr="000A0946" w:rsidRDefault="0033011A" w:rsidP="00C84248">
            <w:pPr>
              <w:jc w:val="right"/>
              <w:rPr>
                <w:rFonts w:cstheme="minorHAnsi"/>
                <w:sz w:val="24"/>
                <w:szCs w:val="24"/>
              </w:rPr>
            </w:pPr>
            <w:r w:rsidRPr="000A0946">
              <w:rPr>
                <w:rFonts w:cstheme="minorHAnsi"/>
                <w:sz w:val="24"/>
                <w:szCs w:val="24"/>
              </w:rPr>
              <w:t xml:space="preserve">72* </w:t>
            </w:r>
          </w:p>
        </w:tc>
        <w:tc>
          <w:tcPr>
            <w:tcW w:w="0" w:type="auto"/>
          </w:tcPr>
          <w:p w14:paraId="23C612B2" w14:textId="06444E00" w:rsidR="00B02EFD" w:rsidRPr="000A0946" w:rsidRDefault="0033011A" w:rsidP="0018081B">
            <w:pPr>
              <w:rPr>
                <w:rFonts w:cstheme="minorHAnsi"/>
                <w:sz w:val="24"/>
                <w:szCs w:val="24"/>
              </w:rPr>
            </w:pPr>
            <w:r w:rsidRPr="000A0946">
              <w:rPr>
                <w:rFonts w:cstheme="minorHAnsi"/>
                <w:sz w:val="24"/>
                <w:szCs w:val="24"/>
              </w:rPr>
              <w:t>53 (73.0%)</w:t>
            </w:r>
          </w:p>
        </w:tc>
        <w:tc>
          <w:tcPr>
            <w:tcW w:w="0" w:type="auto"/>
          </w:tcPr>
          <w:p w14:paraId="00C8063E" w14:textId="5D7040DC" w:rsidR="00B02EFD" w:rsidRPr="000A0946" w:rsidRDefault="0033011A" w:rsidP="0018081B">
            <w:pPr>
              <w:rPr>
                <w:rFonts w:cstheme="minorHAnsi"/>
                <w:sz w:val="24"/>
                <w:szCs w:val="24"/>
              </w:rPr>
            </w:pPr>
            <w:r w:rsidRPr="000A0946">
              <w:rPr>
                <w:rFonts w:cstheme="minorHAnsi"/>
                <w:sz w:val="24"/>
                <w:szCs w:val="24"/>
              </w:rPr>
              <w:t>66 (91.6%)</w:t>
            </w:r>
          </w:p>
        </w:tc>
        <w:tc>
          <w:tcPr>
            <w:tcW w:w="0" w:type="auto"/>
          </w:tcPr>
          <w:p w14:paraId="14A42841" w14:textId="23B16808" w:rsidR="00B02EFD" w:rsidRPr="000A0946" w:rsidRDefault="0033011A" w:rsidP="0018081B">
            <w:pPr>
              <w:rPr>
                <w:rFonts w:cstheme="minorHAnsi"/>
                <w:sz w:val="24"/>
                <w:szCs w:val="24"/>
              </w:rPr>
            </w:pPr>
            <w:r w:rsidRPr="000A0946">
              <w:rPr>
                <w:rFonts w:cstheme="minorHAnsi"/>
                <w:sz w:val="24"/>
                <w:szCs w:val="24"/>
              </w:rPr>
              <w:t>70 (97.2%)</w:t>
            </w:r>
          </w:p>
        </w:tc>
      </w:tr>
      <w:tr w:rsidR="00B02EFD" w:rsidRPr="000A0946" w14:paraId="23F167F8" w14:textId="77777777" w:rsidTr="00C84248">
        <w:tc>
          <w:tcPr>
            <w:tcW w:w="0" w:type="auto"/>
          </w:tcPr>
          <w:p w14:paraId="097675D9" w14:textId="6987F114" w:rsidR="00B02EFD" w:rsidRPr="000A0946" w:rsidRDefault="0033011A" w:rsidP="00C84248">
            <w:pPr>
              <w:jc w:val="right"/>
              <w:rPr>
                <w:rFonts w:cstheme="minorHAnsi"/>
                <w:sz w:val="24"/>
                <w:szCs w:val="24"/>
              </w:rPr>
            </w:pPr>
            <w:r w:rsidRPr="000A0946">
              <w:rPr>
                <w:rFonts w:cstheme="minorHAnsi"/>
                <w:sz w:val="24"/>
                <w:szCs w:val="24"/>
              </w:rPr>
              <w:t xml:space="preserve">557† </w:t>
            </w:r>
          </w:p>
        </w:tc>
        <w:tc>
          <w:tcPr>
            <w:tcW w:w="0" w:type="auto"/>
          </w:tcPr>
          <w:p w14:paraId="2093A9BA" w14:textId="1F386AC1" w:rsidR="00B02EFD" w:rsidRPr="000A0946" w:rsidRDefault="0033011A" w:rsidP="0018081B">
            <w:pPr>
              <w:rPr>
                <w:rFonts w:cstheme="minorHAnsi"/>
                <w:sz w:val="24"/>
                <w:szCs w:val="24"/>
              </w:rPr>
            </w:pPr>
            <w:r w:rsidRPr="000A0946">
              <w:rPr>
                <w:rFonts w:cstheme="minorHAnsi"/>
                <w:sz w:val="24"/>
                <w:szCs w:val="24"/>
              </w:rPr>
              <w:t>286 (51.3%)</w:t>
            </w:r>
          </w:p>
        </w:tc>
        <w:tc>
          <w:tcPr>
            <w:tcW w:w="0" w:type="auto"/>
          </w:tcPr>
          <w:p w14:paraId="5BE2F845" w14:textId="09DF3258" w:rsidR="00B02EFD" w:rsidRPr="000A0946" w:rsidRDefault="0033011A" w:rsidP="0018081B">
            <w:pPr>
              <w:rPr>
                <w:rFonts w:cstheme="minorHAnsi"/>
                <w:sz w:val="24"/>
                <w:szCs w:val="24"/>
              </w:rPr>
            </w:pPr>
            <w:r w:rsidRPr="000A0946">
              <w:rPr>
                <w:rFonts w:cstheme="minorHAnsi"/>
                <w:sz w:val="24"/>
                <w:szCs w:val="24"/>
              </w:rPr>
              <w:t>403 (72.3%)</w:t>
            </w:r>
          </w:p>
        </w:tc>
        <w:tc>
          <w:tcPr>
            <w:tcW w:w="0" w:type="auto"/>
          </w:tcPr>
          <w:p w14:paraId="2D5B55A5" w14:textId="11D03B5C" w:rsidR="00B02EFD" w:rsidRPr="000A0946" w:rsidRDefault="0033011A" w:rsidP="0018081B">
            <w:pPr>
              <w:rPr>
                <w:rFonts w:cstheme="minorHAnsi"/>
                <w:sz w:val="24"/>
                <w:szCs w:val="24"/>
              </w:rPr>
            </w:pPr>
            <w:r w:rsidRPr="000A0946">
              <w:rPr>
                <w:rFonts w:cstheme="minorHAnsi"/>
                <w:sz w:val="24"/>
                <w:szCs w:val="24"/>
              </w:rPr>
              <w:t>480 (86.2%)</w:t>
            </w:r>
          </w:p>
        </w:tc>
      </w:tr>
      <w:tr w:rsidR="00B02EFD" w:rsidRPr="000A0946" w14:paraId="1DD614F1" w14:textId="77777777" w:rsidTr="00C84248">
        <w:tc>
          <w:tcPr>
            <w:tcW w:w="0" w:type="auto"/>
          </w:tcPr>
          <w:p w14:paraId="7F2E6470" w14:textId="70A2ADEC" w:rsidR="00B02EFD" w:rsidRPr="000A0946" w:rsidRDefault="00C84248" w:rsidP="00C84248">
            <w:pPr>
              <w:jc w:val="right"/>
              <w:rPr>
                <w:rFonts w:cstheme="minorHAnsi"/>
                <w:sz w:val="24"/>
                <w:szCs w:val="24"/>
              </w:rPr>
            </w:pPr>
            <w:r w:rsidRPr="000A0946">
              <w:rPr>
                <w:rFonts w:cstheme="minorHAnsi"/>
                <w:sz w:val="24"/>
                <w:szCs w:val="24"/>
              </w:rPr>
              <w:t xml:space="preserve">85‡ </w:t>
            </w:r>
          </w:p>
        </w:tc>
        <w:tc>
          <w:tcPr>
            <w:tcW w:w="0" w:type="auto"/>
          </w:tcPr>
          <w:p w14:paraId="31D02A9A" w14:textId="2BF73836" w:rsidR="00B02EFD" w:rsidRPr="000A0946" w:rsidRDefault="00C84248" w:rsidP="0018081B">
            <w:pPr>
              <w:rPr>
                <w:rFonts w:cstheme="minorHAnsi"/>
                <w:sz w:val="24"/>
                <w:szCs w:val="24"/>
              </w:rPr>
            </w:pPr>
            <w:r w:rsidRPr="000A0946">
              <w:rPr>
                <w:rFonts w:cstheme="minorHAnsi"/>
                <w:sz w:val="24"/>
                <w:szCs w:val="24"/>
              </w:rPr>
              <w:t>8 (9.4%)</w:t>
            </w:r>
          </w:p>
        </w:tc>
        <w:tc>
          <w:tcPr>
            <w:tcW w:w="0" w:type="auto"/>
          </w:tcPr>
          <w:p w14:paraId="19FF30FC" w14:textId="1001D175" w:rsidR="00B02EFD" w:rsidRPr="000A0946" w:rsidRDefault="00C84248" w:rsidP="0018081B">
            <w:pPr>
              <w:rPr>
                <w:rFonts w:cstheme="minorHAnsi"/>
                <w:sz w:val="24"/>
                <w:szCs w:val="24"/>
              </w:rPr>
            </w:pPr>
            <w:r w:rsidRPr="000A0946">
              <w:rPr>
                <w:rFonts w:cstheme="minorHAnsi"/>
                <w:sz w:val="24"/>
                <w:szCs w:val="24"/>
              </w:rPr>
              <w:t>14 (16.5%)</w:t>
            </w:r>
          </w:p>
        </w:tc>
        <w:tc>
          <w:tcPr>
            <w:tcW w:w="0" w:type="auto"/>
          </w:tcPr>
          <w:p w14:paraId="6E07019F" w14:textId="3D5F4C0B" w:rsidR="00B02EFD" w:rsidRPr="000A0946" w:rsidRDefault="00C84248" w:rsidP="0018081B">
            <w:pPr>
              <w:rPr>
                <w:rFonts w:cstheme="minorHAnsi"/>
                <w:sz w:val="24"/>
                <w:szCs w:val="24"/>
              </w:rPr>
            </w:pPr>
            <w:r w:rsidRPr="000A0946">
              <w:rPr>
                <w:rFonts w:cstheme="minorHAnsi"/>
                <w:sz w:val="24"/>
                <w:szCs w:val="24"/>
              </w:rPr>
              <w:t>27 (31.8%)</w:t>
            </w:r>
          </w:p>
        </w:tc>
      </w:tr>
    </w:tbl>
    <w:p w14:paraId="31E30C51" w14:textId="451DF9CB" w:rsidR="009D12D5" w:rsidRPr="009D12D5" w:rsidRDefault="009D12D5" w:rsidP="0081216E">
      <w:pPr>
        <w:spacing w:after="0"/>
        <w:rPr>
          <w:rFonts w:cstheme="minorHAnsi"/>
          <w:sz w:val="24"/>
          <w:szCs w:val="24"/>
        </w:rPr>
      </w:pPr>
      <w:r w:rsidRPr="009D12D5">
        <w:rPr>
          <w:rFonts w:cstheme="minorHAnsi"/>
          <w:sz w:val="24"/>
          <w:szCs w:val="24"/>
        </w:rPr>
        <w:t xml:space="preserve">* Cycles in data set </w:t>
      </w:r>
      <w:r w:rsidRPr="000A0946">
        <w:rPr>
          <w:rFonts w:cstheme="minorHAnsi"/>
          <w:sz w:val="24"/>
          <w:szCs w:val="24"/>
        </w:rPr>
        <w:t>&lt;</w:t>
      </w:r>
      <w:r w:rsidRPr="009D12D5">
        <w:rPr>
          <w:rFonts w:cstheme="minorHAnsi"/>
          <w:sz w:val="24"/>
          <w:szCs w:val="24"/>
        </w:rPr>
        <w:t>26 days in length.</w:t>
      </w:r>
    </w:p>
    <w:p w14:paraId="6E5C5059" w14:textId="77777777" w:rsidR="009D12D5" w:rsidRPr="009D12D5" w:rsidRDefault="009D12D5" w:rsidP="0081216E">
      <w:pPr>
        <w:spacing w:after="0"/>
        <w:rPr>
          <w:rFonts w:cstheme="minorHAnsi"/>
          <w:sz w:val="24"/>
          <w:szCs w:val="24"/>
        </w:rPr>
      </w:pPr>
      <w:r w:rsidRPr="009D12D5">
        <w:rPr>
          <w:rFonts w:cstheme="minorHAnsi"/>
          <w:sz w:val="24"/>
          <w:szCs w:val="24"/>
        </w:rPr>
        <w:t>† Cycles in data set between 26 and 32 days in length.</w:t>
      </w:r>
    </w:p>
    <w:p w14:paraId="718DBE61" w14:textId="142BCA82" w:rsidR="006A3785" w:rsidRPr="000A0946" w:rsidRDefault="009D12D5" w:rsidP="0081216E">
      <w:pPr>
        <w:spacing w:after="0"/>
        <w:rPr>
          <w:rFonts w:cstheme="minorHAnsi"/>
          <w:sz w:val="24"/>
          <w:szCs w:val="24"/>
        </w:rPr>
      </w:pPr>
      <w:r w:rsidRPr="000A0946">
        <w:rPr>
          <w:rFonts w:cstheme="minorHAnsi"/>
          <w:sz w:val="24"/>
          <w:szCs w:val="24"/>
        </w:rPr>
        <w:t xml:space="preserve">‡ Cycles in data set </w:t>
      </w:r>
      <w:r w:rsidRPr="000A0946">
        <w:rPr>
          <w:rFonts w:cstheme="minorHAnsi"/>
          <w:sz w:val="24"/>
          <w:szCs w:val="24"/>
        </w:rPr>
        <w:t>&gt;</w:t>
      </w:r>
      <w:r w:rsidRPr="000A0946">
        <w:rPr>
          <w:rFonts w:cstheme="minorHAnsi"/>
          <w:sz w:val="24"/>
          <w:szCs w:val="24"/>
        </w:rPr>
        <w:t>32 days in length.</w:t>
      </w:r>
    </w:p>
    <w:p w14:paraId="2DFA3667" w14:textId="77777777" w:rsidR="009D12D5" w:rsidRPr="000A0946" w:rsidRDefault="009D12D5" w:rsidP="009D12D5">
      <w:pPr>
        <w:rPr>
          <w:rFonts w:cstheme="minorHAnsi"/>
          <w:sz w:val="24"/>
          <w:szCs w:val="24"/>
        </w:rPr>
      </w:pPr>
    </w:p>
    <w:p w14:paraId="24B5F901" w14:textId="77777777" w:rsidR="0018081B" w:rsidRPr="000A0946" w:rsidRDefault="0018081B" w:rsidP="0018081B">
      <w:pPr>
        <w:rPr>
          <w:rFonts w:cstheme="minorHAnsi"/>
          <w:sz w:val="24"/>
          <w:szCs w:val="24"/>
        </w:rPr>
      </w:pPr>
      <w:r w:rsidRPr="000A0946">
        <w:rPr>
          <w:rFonts w:cstheme="minorHAnsi"/>
          <w:i/>
          <w:iCs/>
          <w:sz w:val="24"/>
          <w:szCs w:val="24"/>
        </w:rPr>
        <w:t>In what percentage of menstrual cycles did the estimated fertile window fall outside of days eight to nineteen?</w:t>
      </w:r>
    </w:p>
    <w:p w14:paraId="741E5428" w14:textId="226F97BE" w:rsidR="0018081B" w:rsidRPr="000A0946" w:rsidRDefault="0018081B" w:rsidP="0018081B">
      <w:pPr>
        <w:rPr>
          <w:rFonts w:cstheme="minorHAnsi"/>
          <w:sz w:val="24"/>
          <w:szCs w:val="24"/>
        </w:rPr>
      </w:pPr>
      <w:r w:rsidRPr="000A0946">
        <w:rPr>
          <w:rFonts w:cstheme="minorHAnsi"/>
          <w:sz w:val="24"/>
          <w:szCs w:val="24"/>
        </w:rPr>
        <w:t>For the 714 cycles that had an EDO, 24 percent or 172 cycles had part of the estimated six-day fertile window outside of days 8 through 19 of the menstrual cycle (see table 3). For those cycles with lengths shorter than twenty-six days, approximately 45.8 percent (or thirty-three out of seventy-two) had part of the six-day window outside of days 8 through 19, for those cycles between twenty-six and thirty-two days in length, approximately 12.0 percent (or 67 of 557) had cycles with days of the fertile window outside of days 8 through 19, and for those cycles longer than thirty-six days, 83.5 percent (or seventy-one out of eighty-five) had cycles with part of the six-day fertile window outside of days 8 through 19. None of the short length cycles (i.e., less than twenty-six days in length) had days of estimated fertility after cycle day 19. Approximately 33 percent (twenty-two out of sixty-seven) of the cycles with lengths between twenty-six and thirty-two days had part of the six-day fertile window before days 8 through 19, and 67 percent (forty-five of sixty-seven) after. The longer cycles (greater than thirty-six days in length) only had days of the six-day fertile phase after day 19, but none before day 8.</w:t>
      </w:r>
    </w:p>
    <w:p w14:paraId="15EC8D94" w14:textId="28590023" w:rsidR="0018081B" w:rsidRPr="000A0946" w:rsidRDefault="0018081B" w:rsidP="0018081B">
      <w:pPr>
        <w:rPr>
          <w:rFonts w:cstheme="minorHAnsi"/>
          <w:sz w:val="24"/>
          <w:szCs w:val="24"/>
        </w:rPr>
      </w:pPr>
      <w:r w:rsidRPr="000A0946">
        <w:rPr>
          <w:rFonts w:cstheme="minorHAnsi"/>
          <w:sz w:val="24"/>
          <w:szCs w:val="24"/>
        </w:rPr>
        <w:t>Table 3 Percentage of menstrual cycles with days of estimated six-day fertile window (FW) before and after days eight to nineteen of the menstrual cycle</w:t>
      </w:r>
    </w:p>
    <w:tbl>
      <w:tblPr>
        <w:tblStyle w:val="TableGrid"/>
        <w:tblW w:w="0" w:type="auto"/>
        <w:tblLook w:val="04A0" w:firstRow="1" w:lastRow="0" w:firstColumn="1" w:lastColumn="0" w:noHBand="0" w:noVBand="1"/>
      </w:tblPr>
      <w:tblGrid>
        <w:gridCol w:w="2084"/>
        <w:gridCol w:w="1791"/>
        <w:gridCol w:w="1614"/>
        <w:gridCol w:w="1870"/>
      </w:tblGrid>
      <w:tr w:rsidR="0081216E" w:rsidRPr="000A0946" w14:paraId="64AF26E4" w14:textId="77777777" w:rsidTr="00C244B2">
        <w:tc>
          <w:tcPr>
            <w:tcW w:w="0" w:type="auto"/>
          </w:tcPr>
          <w:p w14:paraId="2CE3BBDD" w14:textId="305900EB" w:rsidR="0081216E" w:rsidRPr="000A0946" w:rsidRDefault="00242A71" w:rsidP="0018081B">
            <w:pPr>
              <w:rPr>
                <w:rFonts w:cstheme="minorHAnsi"/>
                <w:sz w:val="24"/>
                <w:szCs w:val="24"/>
              </w:rPr>
            </w:pPr>
            <w:r w:rsidRPr="000A0946">
              <w:rPr>
                <w:rFonts w:cstheme="minorHAnsi"/>
                <w:sz w:val="24"/>
                <w:szCs w:val="24"/>
              </w:rPr>
              <w:t>Data set # of cycles</w:t>
            </w:r>
          </w:p>
        </w:tc>
        <w:tc>
          <w:tcPr>
            <w:tcW w:w="0" w:type="auto"/>
          </w:tcPr>
          <w:p w14:paraId="37AADE22" w14:textId="38C3AFF1" w:rsidR="0081216E" w:rsidRPr="000A0946" w:rsidRDefault="00242A71" w:rsidP="0018081B">
            <w:pPr>
              <w:rPr>
                <w:rFonts w:cstheme="minorHAnsi"/>
                <w:sz w:val="24"/>
                <w:szCs w:val="24"/>
              </w:rPr>
            </w:pPr>
            <w:r w:rsidRPr="000A0946">
              <w:rPr>
                <w:rFonts w:cstheme="minorHAnsi"/>
                <w:sz w:val="24"/>
                <w:szCs w:val="24"/>
              </w:rPr>
              <w:t>Total before FW</w:t>
            </w:r>
          </w:p>
        </w:tc>
        <w:tc>
          <w:tcPr>
            <w:tcW w:w="0" w:type="auto"/>
          </w:tcPr>
          <w:p w14:paraId="311897D1" w14:textId="1681EC56" w:rsidR="0081216E" w:rsidRPr="000A0946" w:rsidRDefault="00242A71" w:rsidP="0018081B">
            <w:pPr>
              <w:rPr>
                <w:rFonts w:cstheme="minorHAnsi"/>
                <w:sz w:val="24"/>
                <w:szCs w:val="24"/>
              </w:rPr>
            </w:pPr>
            <w:r w:rsidRPr="000A0946">
              <w:rPr>
                <w:rFonts w:cstheme="minorHAnsi"/>
                <w:sz w:val="24"/>
                <w:szCs w:val="24"/>
              </w:rPr>
              <w:t>Total after FW</w:t>
            </w:r>
          </w:p>
        </w:tc>
        <w:tc>
          <w:tcPr>
            <w:tcW w:w="0" w:type="auto"/>
          </w:tcPr>
          <w:p w14:paraId="1785021F" w14:textId="792BEC94" w:rsidR="0081216E" w:rsidRPr="000A0946" w:rsidRDefault="00242A71" w:rsidP="0018081B">
            <w:pPr>
              <w:rPr>
                <w:rFonts w:cstheme="minorHAnsi"/>
                <w:sz w:val="24"/>
                <w:szCs w:val="24"/>
              </w:rPr>
            </w:pPr>
            <w:r w:rsidRPr="000A0946">
              <w:rPr>
                <w:rFonts w:cstheme="minorHAnsi"/>
                <w:sz w:val="24"/>
                <w:szCs w:val="24"/>
              </w:rPr>
              <w:t>Total outside FW</w:t>
            </w:r>
          </w:p>
        </w:tc>
      </w:tr>
      <w:tr w:rsidR="0081216E" w:rsidRPr="000A0946" w14:paraId="721D67CF" w14:textId="77777777" w:rsidTr="00C244B2">
        <w:tc>
          <w:tcPr>
            <w:tcW w:w="0" w:type="auto"/>
          </w:tcPr>
          <w:p w14:paraId="2E73EB8B" w14:textId="0748DAFA" w:rsidR="0081216E" w:rsidRPr="000A0946" w:rsidRDefault="00391CF1" w:rsidP="00C244B2">
            <w:pPr>
              <w:jc w:val="right"/>
              <w:rPr>
                <w:rFonts w:cstheme="minorHAnsi"/>
                <w:sz w:val="24"/>
                <w:szCs w:val="24"/>
              </w:rPr>
            </w:pPr>
            <w:r w:rsidRPr="000A0946">
              <w:rPr>
                <w:rFonts w:cstheme="minorHAnsi"/>
                <w:sz w:val="24"/>
                <w:szCs w:val="24"/>
              </w:rPr>
              <w:t xml:space="preserve">Total 714 </w:t>
            </w:r>
          </w:p>
        </w:tc>
        <w:tc>
          <w:tcPr>
            <w:tcW w:w="0" w:type="auto"/>
          </w:tcPr>
          <w:p w14:paraId="302010DC" w14:textId="11054C90" w:rsidR="0081216E" w:rsidRPr="000A0946" w:rsidRDefault="00391CF1" w:rsidP="0018081B">
            <w:pPr>
              <w:rPr>
                <w:rFonts w:cstheme="minorHAnsi"/>
                <w:sz w:val="24"/>
                <w:szCs w:val="24"/>
              </w:rPr>
            </w:pPr>
            <w:r w:rsidRPr="000A0946">
              <w:rPr>
                <w:rFonts w:cstheme="minorHAnsi"/>
                <w:sz w:val="24"/>
                <w:szCs w:val="24"/>
              </w:rPr>
              <w:t>55 (7.6%)</w:t>
            </w:r>
          </w:p>
        </w:tc>
        <w:tc>
          <w:tcPr>
            <w:tcW w:w="0" w:type="auto"/>
          </w:tcPr>
          <w:p w14:paraId="593387D6" w14:textId="71E5036B" w:rsidR="0081216E" w:rsidRPr="000A0946" w:rsidRDefault="00391CF1" w:rsidP="0018081B">
            <w:pPr>
              <w:rPr>
                <w:rFonts w:cstheme="minorHAnsi"/>
                <w:sz w:val="24"/>
                <w:szCs w:val="24"/>
              </w:rPr>
            </w:pPr>
            <w:r w:rsidRPr="000A0946">
              <w:rPr>
                <w:rFonts w:cstheme="minorHAnsi"/>
                <w:sz w:val="24"/>
                <w:szCs w:val="24"/>
              </w:rPr>
              <w:t>117 (16.4%)</w:t>
            </w:r>
          </w:p>
        </w:tc>
        <w:tc>
          <w:tcPr>
            <w:tcW w:w="0" w:type="auto"/>
          </w:tcPr>
          <w:p w14:paraId="28EEF443" w14:textId="12F13B95" w:rsidR="0081216E" w:rsidRPr="000A0946" w:rsidRDefault="00391CF1" w:rsidP="0018081B">
            <w:pPr>
              <w:rPr>
                <w:rFonts w:cstheme="minorHAnsi"/>
                <w:sz w:val="24"/>
                <w:szCs w:val="24"/>
              </w:rPr>
            </w:pPr>
            <w:r w:rsidRPr="000A0946">
              <w:rPr>
                <w:rFonts w:cstheme="minorHAnsi"/>
                <w:sz w:val="24"/>
                <w:szCs w:val="24"/>
              </w:rPr>
              <w:t>172 (24.0%)</w:t>
            </w:r>
          </w:p>
        </w:tc>
      </w:tr>
      <w:tr w:rsidR="0081216E" w:rsidRPr="000A0946" w14:paraId="3846F274" w14:textId="77777777" w:rsidTr="00C244B2">
        <w:tc>
          <w:tcPr>
            <w:tcW w:w="0" w:type="auto"/>
          </w:tcPr>
          <w:p w14:paraId="6D245640" w14:textId="5DEB5DD6" w:rsidR="0081216E" w:rsidRPr="000A0946" w:rsidRDefault="00391CF1" w:rsidP="00C244B2">
            <w:pPr>
              <w:jc w:val="right"/>
              <w:rPr>
                <w:rFonts w:cstheme="minorHAnsi"/>
                <w:sz w:val="24"/>
                <w:szCs w:val="24"/>
              </w:rPr>
            </w:pPr>
            <w:r w:rsidRPr="000A0946">
              <w:rPr>
                <w:rFonts w:cstheme="minorHAnsi"/>
                <w:sz w:val="24"/>
                <w:szCs w:val="24"/>
              </w:rPr>
              <w:lastRenderedPageBreak/>
              <w:t xml:space="preserve">72* </w:t>
            </w:r>
          </w:p>
        </w:tc>
        <w:tc>
          <w:tcPr>
            <w:tcW w:w="0" w:type="auto"/>
          </w:tcPr>
          <w:p w14:paraId="260DBE60" w14:textId="297BC4FE" w:rsidR="0081216E" w:rsidRPr="000A0946" w:rsidRDefault="00391CF1" w:rsidP="0018081B">
            <w:pPr>
              <w:rPr>
                <w:rFonts w:cstheme="minorHAnsi"/>
                <w:sz w:val="24"/>
                <w:szCs w:val="24"/>
              </w:rPr>
            </w:pPr>
            <w:r w:rsidRPr="000A0946">
              <w:rPr>
                <w:rFonts w:cstheme="minorHAnsi"/>
                <w:sz w:val="24"/>
                <w:szCs w:val="24"/>
              </w:rPr>
              <w:t>33 (4.6%)</w:t>
            </w:r>
          </w:p>
        </w:tc>
        <w:tc>
          <w:tcPr>
            <w:tcW w:w="0" w:type="auto"/>
          </w:tcPr>
          <w:p w14:paraId="784D3CB7" w14:textId="1BECA087" w:rsidR="0081216E" w:rsidRPr="000A0946" w:rsidRDefault="00391CF1" w:rsidP="0018081B">
            <w:pPr>
              <w:rPr>
                <w:rFonts w:cstheme="minorHAnsi"/>
                <w:sz w:val="24"/>
                <w:szCs w:val="24"/>
              </w:rPr>
            </w:pPr>
            <w:r w:rsidRPr="000A0946">
              <w:rPr>
                <w:rFonts w:cstheme="minorHAnsi"/>
                <w:sz w:val="24"/>
                <w:szCs w:val="24"/>
              </w:rPr>
              <w:t>0 (00.0%)</w:t>
            </w:r>
          </w:p>
        </w:tc>
        <w:tc>
          <w:tcPr>
            <w:tcW w:w="0" w:type="auto"/>
          </w:tcPr>
          <w:p w14:paraId="461F4280" w14:textId="106450C6" w:rsidR="0081216E" w:rsidRPr="000A0946" w:rsidRDefault="00391CF1" w:rsidP="0018081B">
            <w:pPr>
              <w:rPr>
                <w:rFonts w:cstheme="minorHAnsi"/>
                <w:sz w:val="24"/>
                <w:szCs w:val="24"/>
              </w:rPr>
            </w:pPr>
            <w:r w:rsidRPr="000A0946">
              <w:rPr>
                <w:rFonts w:cstheme="minorHAnsi"/>
                <w:sz w:val="24"/>
                <w:szCs w:val="24"/>
              </w:rPr>
              <w:t>33 (4.6%)</w:t>
            </w:r>
          </w:p>
        </w:tc>
      </w:tr>
      <w:tr w:rsidR="0081216E" w:rsidRPr="000A0946" w14:paraId="56439B62" w14:textId="77777777" w:rsidTr="00C244B2">
        <w:tc>
          <w:tcPr>
            <w:tcW w:w="0" w:type="auto"/>
          </w:tcPr>
          <w:p w14:paraId="14D030B3" w14:textId="4A67AB5F" w:rsidR="0081216E" w:rsidRPr="000A0946" w:rsidRDefault="00C244B2" w:rsidP="00C244B2">
            <w:pPr>
              <w:jc w:val="right"/>
              <w:rPr>
                <w:rFonts w:cstheme="minorHAnsi"/>
                <w:sz w:val="24"/>
                <w:szCs w:val="24"/>
              </w:rPr>
            </w:pPr>
            <w:r w:rsidRPr="000A0946">
              <w:rPr>
                <w:rFonts w:cstheme="minorHAnsi"/>
                <w:sz w:val="24"/>
                <w:szCs w:val="24"/>
              </w:rPr>
              <w:t xml:space="preserve">557† </w:t>
            </w:r>
          </w:p>
        </w:tc>
        <w:tc>
          <w:tcPr>
            <w:tcW w:w="0" w:type="auto"/>
          </w:tcPr>
          <w:p w14:paraId="11E8ED5D" w14:textId="0626380D" w:rsidR="0081216E" w:rsidRPr="000A0946" w:rsidRDefault="00C244B2" w:rsidP="0018081B">
            <w:pPr>
              <w:rPr>
                <w:rFonts w:cstheme="minorHAnsi"/>
                <w:sz w:val="24"/>
                <w:szCs w:val="24"/>
              </w:rPr>
            </w:pPr>
            <w:r w:rsidRPr="000A0946">
              <w:rPr>
                <w:rFonts w:cstheme="minorHAnsi"/>
                <w:sz w:val="24"/>
                <w:szCs w:val="24"/>
              </w:rPr>
              <w:t>22 (3.0%)</w:t>
            </w:r>
          </w:p>
        </w:tc>
        <w:tc>
          <w:tcPr>
            <w:tcW w:w="0" w:type="auto"/>
          </w:tcPr>
          <w:p w14:paraId="2FE6D450" w14:textId="2ECDF594" w:rsidR="0081216E" w:rsidRPr="000A0946" w:rsidRDefault="00C244B2" w:rsidP="0018081B">
            <w:pPr>
              <w:rPr>
                <w:rFonts w:cstheme="minorHAnsi"/>
                <w:sz w:val="24"/>
                <w:szCs w:val="24"/>
              </w:rPr>
            </w:pPr>
            <w:r w:rsidRPr="000A0946">
              <w:rPr>
                <w:rFonts w:cstheme="minorHAnsi"/>
                <w:sz w:val="24"/>
                <w:szCs w:val="24"/>
              </w:rPr>
              <w:t>45 (6.3%)</w:t>
            </w:r>
          </w:p>
        </w:tc>
        <w:tc>
          <w:tcPr>
            <w:tcW w:w="0" w:type="auto"/>
          </w:tcPr>
          <w:p w14:paraId="456BDE80" w14:textId="6F61D112" w:rsidR="0081216E" w:rsidRPr="000A0946" w:rsidRDefault="00C244B2" w:rsidP="0018081B">
            <w:pPr>
              <w:rPr>
                <w:rFonts w:cstheme="minorHAnsi"/>
                <w:sz w:val="24"/>
                <w:szCs w:val="24"/>
              </w:rPr>
            </w:pPr>
            <w:r w:rsidRPr="000A0946">
              <w:rPr>
                <w:rFonts w:cstheme="minorHAnsi"/>
                <w:sz w:val="24"/>
                <w:szCs w:val="24"/>
              </w:rPr>
              <w:t>67 (9.3%)</w:t>
            </w:r>
          </w:p>
        </w:tc>
      </w:tr>
      <w:tr w:rsidR="0081216E" w:rsidRPr="000A0946" w14:paraId="771E2037" w14:textId="77777777" w:rsidTr="00C244B2">
        <w:tc>
          <w:tcPr>
            <w:tcW w:w="0" w:type="auto"/>
          </w:tcPr>
          <w:p w14:paraId="7AACD1FE" w14:textId="1FF20FEE" w:rsidR="0081216E" w:rsidRPr="000A0946" w:rsidRDefault="00C244B2" w:rsidP="00C244B2">
            <w:pPr>
              <w:jc w:val="right"/>
              <w:rPr>
                <w:rFonts w:cstheme="minorHAnsi"/>
                <w:sz w:val="24"/>
                <w:szCs w:val="24"/>
              </w:rPr>
            </w:pPr>
            <w:r w:rsidRPr="000A0946">
              <w:rPr>
                <w:rFonts w:cstheme="minorHAnsi"/>
                <w:sz w:val="24"/>
                <w:szCs w:val="24"/>
              </w:rPr>
              <w:t xml:space="preserve">85‡ </w:t>
            </w:r>
          </w:p>
        </w:tc>
        <w:tc>
          <w:tcPr>
            <w:tcW w:w="0" w:type="auto"/>
          </w:tcPr>
          <w:p w14:paraId="530103D8" w14:textId="2459F1D5" w:rsidR="0081216E" w:rsidRPr="000A0946" w:rsidRDefault="00C244B2" w:rsidP="0018081B">
            <w:pPr>
              <w:rPr>
                <w:rFonts w:cstheme="minorHAnsi"/>
                <w:sz w:val="24"/>
                <w:szCs w:val="24"/>
              </w:rPr>
            </w:pPr>
            <w:r w:rsidRPr="000A0946">
              <w:rPr>
                <w:rFonts w:cstheme="minorHAnsi"/>
                <w:sz w:val="24"/>
                <w:szCs w:val="24"/>
              </w:rPr>
              <w:t>0 (00.0%)</w:t>
            </w:r>
          </w:p>
        </w:tc>
        <w:tc>
          <w:tcPr>
            <w:tcW w:w="0" w:type="auto"/>
          </w:tcPr>
          <w:p w14:paraId="68FD57FF" w14:textId="616EC4DF" w:rsidR="0081216E" w:rsidRPr="000A0946" w:rsidRDefault="00C244B2" w:rsidP="0018081B">
            <w:pPr>
              <w:rPr>
                <w:rFonts w:cstheme="minorHAnsi"/>
                <w:sz w:val="24"/>
                <w:szCs w:val="24"/>
              </w:rPr>
            </w:pPr>
            <w:r w:rsidRPr="000A0946">
              <w:rPr>
                <w:rFonts w:cstheme="minorHAnsi"/>
                <w:sz w:val="24"/>
                <w:szCs w:val="24"/>
              </w:rPr>
              <w:t>72 (10.1%)</w:t>
            </w:r>
          </w:p>
        </w:tc>
        <w:tc>
          <w:tcPr>
            <w:tcW w:w="0" w:type="auto"/>
          </w:tcPr>
          <w:p w14:paraId="5A25CC5E" w14:textId="1F125334" w:rsidR="0081216E" w:rsidRPr="000A0946" w:rsidRDefault="00C244B2" w:rsidP="0018081B">
            <w:pPr>
              <w:rPr>
                <w:rFonts w:cstheme="minorHAnsi"/>
                <w:sz w:val="24"/>
                <w:szCs w:val="24"/>
              </w:rPr>
            </w:pPr>
            <w:r w:rsidRPr="000A0946">
              <w:rPr>
                <w:rFonts w:cstheme="minorHAnsi"/>
                <w:sz w:val="24"/>
                <w:szCs w:val="24"/>
              </w:rPr>
              <w:t>72 (10.1%)</w:t>
            </w:r>
          </w:p>
        </w:tc>
      </w:tr>
    </w:tbl>
    <w:p w14:paraId="59516DD8" w14:textId="79A7B7A6" w:rsidR="00527C39" w:rsidRPr="00527C39" w:rsidRDefault="00527C39" w:rsidP="00527C39">
      <w:pPr>
        <w:spacing w:after="0"/>
        <w:rPr>
          <w:rFonts w:cstheme="minorHAnsi"/>
          <w:sz w:val="24"/>
          <w:szCs w:val="24"/>
        </w:rPr>
      </w:pPr>
      <w:r w:rsidRPr="00527C39">
        <w:rPr>
          <w:rFonts w:cstheme="minorHAnsi"/>
          <w:sz w:val="24"/>
          <w:szCs w:val="24"/>
        </w:rPr>
        <w:t xml:space="preserve">* Cycles in data set </w:t>
      </w:r>
      <w:r w:rsidRPr="000A0946">
        <w:rPr>
          <w:rFonts w:cstheme="minorHAnsi"/>
          <w:sz w:val="24"/>
          <w:szCs w:val="24"/>
        </w:rPr>
        <w:t>&lt;</w:t>
      </w:r>
      <w:r w:rsidRPr="00527C39">
        <w:rPr>
          <w:rFonts w:cstheme="minorHAnsi"/>
          <w:sz w:val="24"/>
          <w:szCs w:val="24"/>
        </w:rPr>
        <w:t>26 days in length.</w:t>
      </w:r>
    </w:p>
    <w:p w14:paraId="23EFD7E7" w14:textId="77777777" w:rsidR="00527C39" w:rsidRPr="00527C39" w:rsidRDefault="00527C39" w:rsidP="00527C39">
      <w:pPr>
        <w:spacing w:after="0"/>
        <w:rPr>
          <w:rFonts w:cstheme="minorHAnsi"/>
          <w:sz w:val="24"/>
          <w:szCs w:val="24"/>
        </w:rPr>
      </w:pPr>
      <w:r w:rsidRPr="00527C39">
        <w:rPr>
          <w:rFonts w:cstheme="minorHAnsi"/>
          <w:sz w:val="24"/>
          <w:szCs w:val="24"/>
        </w:rPr>
        <w:t>† Cycles in data set between 26 and 32 days in length.</w:t>
      </w:r>
    </w:p>
    <w:p w14:paraId="7966F9AE" w14:textId="76A75F13" w:rsidR="00CD42F0" w:rsidRPr="000A0946" w:rsidRDefault="00527C39" w:rsidP="00527C39">
      <w:pPr>
        <w:spacing w:after="0"/>
        <w:rPr>
          <w:rFonts w:cstheme="minorHAnsi"/>
          <w:sz w:val="24"/>
          <w:szCs w:val="24"/>
        </w:rPr>
      </w:pPr>
      <w:r w:rsidRPr="000A0946">
        <w:rPr>
          <w:rFonts w:cstheme="minorHAnsi"/>
          <w:sz w:val="24"/>
          <w:szCs w:val="24"/>
        </w:rPr>
        <w:t xml:space="preserve">‡ Cycles in data set </w:t>
      </w:r>
      <w:r w:rsidRPr="000A0946">
        <w:rPr>
          <w:rFonts w:cstheme="minorHAnsi"/>
          <w:sz w:val="24"/>
          <w:szCs w:val="24"/>
        </w:rPr>
        <w:t>&gt;</w:t>
      </w:r>
      <w:r w:rsidRPr="000A0946">
        <w:rPr>
          <w:rFonts w:cstheme="minorHAnsi"/>
          <w:sz w:val="24"/>
          <w:szCs w:val="24"/>
        </w:rPr>
        <w:t>32 days in length.</w:t>
      </w:r>
    </w:p>
    <w:p w14:paraId="36373D71" w14:textId="1E660F90" w:rsidR="0018081B" w:rsidRPr="000A0946" w:rsidRDefault="0018081B" w:rsidP="0018081B">
      <w:pPr>
        <w:rPr>
          <w:rFonts w:cstheme="minorHAnsi"/>
          <w:sz w:val="24"/>
          <w:szCs w:val="24"/>
        </w:rPr>
      </w:pPr>
    </w:p>
    <w:p w14:paraId="003CDE56" w14:textId="77777777" w:rsidR="0018081B" w:rsidRPr="000A0946" w:rsidRDefault="0018081B" w:rsidP="0018081B">
      <w:pPr>
        <w:rPr>
          <w:rFonts w:cstheme="minorHAnsi"/>
          <w:sz w:val="24"/>
          <w:szCs w:val="24"/>
        </w:rPr>
      </w:pPr>
      <w:r w:rsidRPr="000A0946">
        <w:rPr>
          <w:rFonts w:cstheme="minorHAnsi"/>
          <w:sz w:val="24"/>
          <w:szCs w:val="24"/>
        </w:rPr>
        <w:t>Only nine (16.4 percent) of the fifty-five cycles with part of the fertile window before days 8 through 19 had high fertility monitor readings (i.e., threshold levels of E3G present) on those days. These nine cycles were produced by eight (6.1 percent) of the 131 participants. Few (10 or 12.6 percent) of the estimated seventy-nine fertile window days that fell before day 8 had high (E3G) electronic fertility monitor recordings. Most (nine) of the high readings occurred on the day before the SDM eight to nineteen estimated days of fertility. The percentage of the fertile window days with high and peak readings that fell after day 19 would total close to 100 percent since the fertile window was based on the monitor second peak day and the monitor will automatically record two peak days preceded by days of high fertility. Finally, a review of cervical mucus of these cycles showed that only nineteen (34.5 percent) had cervical mucus present on fertile window days before days 8 through 19, but ninety-six (82.1 percent) had fertile mucus recorded on fertile window days after day 19.</w:t>
      </w:r>
    </w:p>
    <w:p w14:paraId="3A2A4B41" w14:textId="77777777" w:rsidR="0018081B" w:rsidRPr="000A0946" w:rsidRDefault="0018081B" w:rsidP="00527C39">
      <w:pPr>
        <w:pStyle w:val="Heading1"/>
        <w:rPr>
          <w:rFonts w:asciiTheme="minorHAnsi" w:hAnsiTheme="minorHAnsi" w:cstheme="minorHAnsi"/>
        </w:rPr>
      </w:pPr>
      <w:bookmarkStart w:id="6" w:name="_i17"/>
      <w:bookmarkEnd w:id="6"/>
      <w:r w:rsidRPr="000A0946">
        <w:rPr>
          <w:rFonts w:asciiTheme="minorHAnsi" w:hAnsiTheme="minorHAnsi" w:cstheme="minorHAnsi"/>
        </w:rPr>
        <w:t>Discussion</w:t>
      </w:r>
    </w:p>
    <w:p w14:paraId="0395D76F" w14:textId="6BF61F4B" w:rsidR="0018081B" w:rsidRPr="000A0946" w:rsidRDefault="0018081B" w:rsidP="0018081B">
      <w:pPr>
        <w:rPr>
          <w:rFonts w:cstheme="minorHAnsi"/>
          <w:sz w:val="24"/>
          <w:szCs w:val="24"/>
        </w:rPr>
      </w:pPr>
      <w:r w:rsidRPr="000A0946">
        <w:rPr>
          <w:rFonts w:cstheme="minorHAnsi"/>
          <w:sz w:val="24"/>
          <w:szCs w:val="24"/>
        </w:rPr>
        <w:t>The findings in this study were computed using a fairly large data set of menstrual cycles that included biological parameters not usually found in data sets on menstrual cycles, including the day of the urinary LH surge, the length and peak in cervical mucus, and the first threshold high of urinary E3G. Results show a typical pattern of statistical parameters of the menstrual cycle, including mean length of cycles (i.e., twenty-nine days), mean length of the luteal phase (twelve days), length of menses (five days), and mean day of the EDO (day 16). These statistical parameters are similar to those in a recent study that investigated the length of 786 menstrual cycles produced by 130 participants and to those in the 1983 World Health Organization (WHO) five-country study of the ovulation method.</w:t>
      </w:r>
      <w:r w:rsidRPr="000A0946">
        <w:rPr>
          <w:rFonts w:cstheme="minorHAnsi"/>
          <w:sz w:val="24"/>
          <w:szCs w:val="24"/>
          <w:vertAlign w:val="superscript"/>
        </w:rPr>
        <w:t>14</w:t>
      </w:r>
    </w:p>
    <w:p w14:paraId="26765E85" w14:textId="58EEB99B" w:rsidR="0018081B" w:rsidRPr="000A0946" w:rsidRDefault="0018081B" w:rsidP="0018081B">
      <w:pPr>
        <w:rPr>
          <w:rFonts w:cstheme="minorHAnsi"/>
          <w:sz w:val="24"/>
          <w:szCs w:val="24"/>
        </w:rPr>
      </w:pPr>
      <w:r w:rsidRPr="000A0946">
        <w:rPr>
          <w:rFonts w:cstheme="minorHAnsi"/>
          <w:sz w:val="24"/>
          <w:szCs w:val="24"/>
        </w:rPr>
        <w:t>The data set of regular cycles (</w:t>
      </w:r>
      <w:r w:rsidRPr="000A0946">
        <w:rPr>
          <w:rFonts w:cstheme="minorHAnsi"/>
          <w:i/>
          <w:iCs/>
          <w:sz w:val="24"/>
          <w:szCs w:val="24"/>
        </w:rPr>
        <w:t>N</w:t>
      </w:r>
      <w:r w:rsidRPr="000A0946">
        <w:rPr>
          <w:rFonts w:cstheme="minorHAnsi"/>
          <w:sz w:val="24"/>
          <w:szCs w:val="24"/>
        </w:rPr>
        <w:t xml:space="preserve"> = 762) for this study had 77.7 percent of the cycles between twenty-six and thirty-two days. This is a similar percentage of menstrual cycles (with lengths between twenty-six and thirty-two days) that was found when applied retrospectively with the WHO (1983) data set (77.58 percent),</w:t>
      </w:r>
      <w:r w:rsidRPr="000A0946">
        <w:rPr>
          <w:rFonts w:cstheme="minorHAnsi"/>
          <w:sz w:val="24"/>
          <w:szCs w:val="24"/>
          <w:vertAlign w:val="superscript"/>
        </w:rPr>
        <w:t>15</w:t>
      </w:r>
      <w:r w:rsidRPr="000A0946">
        <w:rPr>
          <w:rFonts w:cstheme="minorHAnsi"/>
          <w:sz w:val="24"/>
          <w:szCs w:val="24"/>
        </w:rPr>
        <w:t xml:space="preserve"> less than that found with users screened for use of the SDM (90 percent),</w:t>
      </w:r>
      <w:r w:rsidRPr="000A0946">
        <w:rPr>
          <w:rFonts w:cstheme="minorHAnsi"/>
          <w:sz w:val="24"/>
          <w:szCs w:val="24"/>
          <w:vertAlign w:val="superscript"/>
        </w:rPr>
        <w:t>16</w:t>
      </w:r>
      <w:r w:rsidRPr="000A0946">
        <w:rPr>
          <w:rFonts w:cstheme="minorHAnsi"/>
          <w:sz w:val="24"/>
          <w:szCs w:val="24"/>
        </w:rPr>
        <w:t xml:space="preserve"> but more than the percentage (72 percent) that was found with users of a new simplified form of estimating fertility by cervical mucus observations called the </w:t>
      </w:r>
      <w:proofErr w:type="spellStart"/>
      <w:r w:rsidRPr="000A0946">
        <w:rPr>
          <w:rFonts w:cstheme="minorHAnsi"/>
          <w:sz w:val="24"/>
          <w:szCs w:val="24"/>
        </w:rPr>
        <w:t>TwoDay</w:t>
      </w:r>
      <w:proofErr w:type="spellEnd"/>
      <w:r w:rsidRPr="000A0946">
        <w:rPr>
          <w:rFonts w:cstheme="minorHAnsi"/>
          <w:sz w:val="24"/>
          <w:szCs w:val="24"/>
        </w:rPr>
        <w:t xml:space="preserve"> Method.</w:t>
      </w:r>
      <w:r w:rsidRPr="000A0946">
        <w:rPr>
          <w:rFonts w:cstheme="minorHAnsi"/>
          <w:sz w:val="24"/>
          <w:szCs w:val="24"/>
          <w:vertAlign w:val="superscript"/>
        </w:rPr>
        <w:t>17</w:t>
      </w:r>
      <w:r w:rsidRPr="000A0946">
        <w:rPr>
          <w:rFonts w:cstheme="minorHAnsi"/>
          <w:sz w:val="24"/>
          <w:szCs w:val="24"/>
        </w:rPr>
        <w:t xml:space="preserve"> These results make sense since the current study data set of (764 cycles) and the WHO data set had a similar screening range for regular cycles as compared to the more restrictive length for the SDM and less restrictive length for the </w:t>
      </w:r>
      <w:proofErr w:type="spellStart"/>
      <w:r w:rsidRPr="000A0946">
        <w:rPr>
          <w:rFonts w:cstheme="minorHAnsi"/>
          <w:sz w:val="24"/>
          <w:szCs w:val="24"/>
        </w:rPr>
        <w:t>TwoDay</w:t>
      </w:r>
      <w:proofErr w:type="spellEnd"/>
      <w:r w:rsidRPr="000A0946">
        <w:rPr>
          <w:rFonts w:cstheme="minorHAnsi"/>
          <w:sz w:val="24"/>
          <w:szCs w:val="24"/>
        </w:rPr>
        <w:t xml:space="preserve"> Method. Furthermore, users of the </w:t>
      </w:r>
      <w:proofErr w:type="spellStart"/>
      <w:r w:rsidRPr="000A0946">
        <w:rPr>
          <w:rFonts w:cstheme="minorHAnsi"/>
          <w:sz w:val="24"/>
          <w:szCs w:val="24"/>
        </w:rPr>
        <w:t>TwoDay</w:t>
      </w:r>
      <w:proofErr w:type="spellEnd"/>
      <w:r w:rsidRPr="000A0946">
        <w:rPr>
          <w:rFonts w:cstheme="minorHAnsi"/>
          <w:sz w:val="24"/>
          <w:szCs w:val="24"/>
        </w:rPr>
        <w:t xml:space="preserve"> Method were not screened for cycle regularity as users of the SDM would be.</w:t>
      </w:r>
    </w:p>
    <w:p w14:paraId="2614D9B4" w14:textId="77777777" w:rsidR="0018081B" w:rsidRPr="000A0946" w:rsidRDefault="0018081B" w:rsidP="00527C39">
      <w:pPr>
        <w:pStyle w:val="Heading2"/>
        <w:rPr>
          <w:rFonts w:asciiTheme="minorHAnsi" w:hAnsiTheme="minorHAnsi" w:cstheme="minorHAnsi"/>
        </w:rPr>
      </w:pPr>
      <w:r w:rsidRPr="000A0946">
        <w:rPr>
          <w:rFonts w:asciiTheme="minorHAnsi" w:hAnsiTheme="minorHAnsi" w:cstheme="minorHAnsi"/>
        </w:rPr>
        <w:t>Percentage of Cycles with EDO near Midpoint</w:t>
      </w:r>
    </w:p>
    <w:p w14:paraId="08F08983" w14:textId="3D529A9B" w:rsidR="0018081B" w:rsidRPr="000A0946" w:rsidRDefault="0018081B" w:rsidP="0018081B">
      <w:pPr>
        <w:rPr>
          <w:rFonts w:cstheme="minorHAnsi"/>
          <w:sz w:val="24"/>
          <w:szCs w:val="24"/>
        </w:rPr>
      </w:pPr>
      <w:r w:rsidRPr="000A0946">
        <w:rPr>
          <w:rFonts w:cstheme="minorHAnsi"/>
          <w:sz w:val="24"/>
          <w:szCs w:val="24"/>
        </w:rPr>
        <w:t xml:space="preserve">The results showed that most (80.8 percent) of the menstrual cycles in the data set had an EDO within three days of the midpoint of the cycle. This percentage increased to 97.2 percent with shorter cycles </w:t>
      </w:r>
      <w:r w:rsidRPr="000A0946">
        <w:rPr>
          <w:rFonts w:cstheme="minorHAnsi"/>
          <w:sz w:val="24"/>
          <w:szCs w:val="24"/>
        </w:rPr>
        <w:lastRenderedPageBreak/>
        <w:t>(i.e., those less than twenty-six days in length) and decreased to 31.8 percent with longer cycles (i.e., those greater than thirty-two days in length). Although most EDOs in the data set were within three days of the midpoint of the cycle, there was a shift to the right of the midpoint in the frequency of the EDOs (see figure 1), i.e., most of the EDOs (73 percent) fell three days after the midpoint of the cycle. There was a strong significant correlation of the EDOs with cycle length (</w:t>
      </w:r>
      <w:r w:rsidRPr="000A0946">
        <w:rPr>
          <w:rFonts w:cstheme="minorHAnsi"/>
          <w:i/>
          <w:iCs/>
          <w:sz w:val="24"/>
          <w:szCs w:val="24"/>
        </w:rPr>
        <w:t>r</w:t>
      </w:r>
      <w:r w:rsidRPr="000A0946">
        <w:rPr>
          <w:rFonts w:cstheme="minorHAnsi"/>
          <w:sz w:val="24"/>
          <w:szCs w:val="24"/>
        </w:rPr>
        <w:t xml:space="preserve"> = 0.820, </w:t>
      </w:r>
      <w:r w:rsidRPr="000A0946">
        <w:rPr>
          <w:rFonts w:cstheme="minorHAnsi"/>
          <w:i/>
          <w:iCs/>
          <w:sz w:val="24"/>
          <w:szCs w:val="24"/>
        </w:rPr>
        <w:t>P &lt;</w:t>
      </w:r>
      <w:r w:rsidRPr="000A0946">
        <w:rPr>
          <w:rFonts w:cstheme="minorHAnsi"/>
          <w:sz w:val="24"/>
          <w:szCs w:val="24"/>
        </w:rPr>
        <w:t xml:space="preserve"> 0.01). This correlation indicates that the variability of the cycle length is due largely to variations in the follicular phase of the cycle and the process of ovulation.</w:t>
      </w:r>
    </w:p>
    <w:p w14:paraId="0ED82622" w14:textId="77777777" w:rsidR="0018081B" w:rsidRPr="000A0946" w:rsidRDefault="0018081B" w:rsidP="00527C39">
      <w:pPr>
        <w:pStyle w:val="Heading2"/>
        <w:rPr>
          <w:rFonts w:asciiTheme="minorHAnsi" w:hAnsiTheme="minorHAnsi" w:cstheme="minorHAnsi"/>
        </w:rPr>
      </w:pPr>
      <w:r w:rsidRPr="000A0946">
        <w:rPr>
          <w:rFonts w:asciiTheme="minorHAnsi" w:hAnsiTheme="minorHAnsi" w:cstheme="minorHAnsi"/>
        </w:rPr>
        <w:t>Percent of Cycles with Fertile Window outside of Days 8 through 19</w:t>
      </w:r>
    </w:p>
    <w:p w14:paraId="153B9B07" w14:textId="5D014A62" w:rsidR="0018081B" w:rsidRPr="000A0946" w:rsidRDefault="0018081B" w:rsidP="0018081B">
      <w:pPr>
        <w:rPr>
          <w:rFonts w:cstheme="minorHAnsi"/>
          <w:sz w:val="24"/>
          <w:szCs w:val="24"/>
        </w:rPr>
      </w:pPr>
      <w:r w:rsidRPr="000A0946">
        <w:rPr>
          <w:rFonts w:cstheme="minorHAnsi"/>
          <w:sz w:val="24"/>
          <w:szCs w:val="24"/>
        </w:rPr>
        <w:t>The results showed that 55 (7.7 percent) of the 714 menstrual cycles with an EDO had days of the fertile window before day 8, and 117 (16.4 percent) had days of the fertile window after days 8 through 19. There was a total of 172 (24.1 percent) days of the fertile window outside of days 8 through 19 of the menstrual cycle. The majority (seventy-one days or 90 percent of the total) of the fertile window days before cycle day 8 were one or two days before day 8. This means that most of the days that fell before day 8 were toward the beginning of the six-day fertile window (i.e., days 1 and 2 of the fertile window) and are the days with the lowest probability of pregnancy with a single act of intercourse.</w:t>
      </w:r>
      <w:r w:rsidRPr="000A0946">
        <w:rPr>
          <w:rFonts w:cstheme="minorHAnsi"/>
          <w:sz w:val="24"/>
          <w:szCs w:val="24"/>
          <w:vertAlign w:val="superscript"/>
        </w:rPr>
        <w:t>18</w:t>
      </w:r>
      <w:r w:rsidRPr="000A0946">
        <w:rPr>
          <w:rFonts w:cstheme="minorHAnsi"/>
          <w:sz w:val="24"/>
          <w:szCs w:val="24"/>
        </w:rPr>
        <w:t xml:space="preserve"> In contrast, the majority (75 percent) of the days of the fertile window that fell after day 19 fell within one to three days after. These days (i.e., days 4 to 6 of the fertile window) are days with the highest probability of pregnancy with a single act of intercourse. Therefore, these days would have the most impact on the effectiveness of the SDM.</w:t>
      </w:r>
    </w:p>
    <w:p w14:paraId="2AB7299F" w14:textId="0BEFA897" w:rsidR="0018081B" w:rsidRPr="000A0946" w:rsidRDefault="0018081B" w:rsidP="0018081B">
      <w:pPr>
        <w:rPr>
          <w:rFonts w:cstheme="minorHAnsi"/>
          <w:sz w:val="24"/>
          <w:szCs w:val="24"/>
        </w:rPr>
      </w:pPr>
      <w:r w:rsidRPr="000A0946">
        <w:rPr>
          <w:rFonts w:cstheme="minorHAnsi"/>
          <w:sz w:val="24"/>
          <w:szCs w:val="24"/>
        </w:rPr>
        <w:t>The actual probability of pregnancy with a single act of intercourse should be reduced on those days of the fertile window that fall outside of days 8 through 19. This is also supported by the data that showed only 12.6 percent of the fertile window days that fell before day 8 had high fertility monitor readings (i.e., an indication of the rise in estrogen and the beginning of the actual fertile phase). However, these findings should be viewed with caution, since data from the WHO (1983) study showed that low quality self-observed cervical mucus days had a high probability of pregnancy when they fell close to the EDO.</w:t>
      </w:r>
      <w:r w:rsidRPr="000A0946">
        <w:rPr>
          <w:rFonts w:cstheme="minorHAnsi"/>
          <w:sz w:val="24"/>
          <w:szCs w:val="24"/>
          <w:vertAlign w:val="superscript"/>
        </w:rPr>
        <w:t>19</w:t>
      </w:r>
      <w:r w:rsidRPr="000A0946">
        <w:rPr>
          <w:rFonts w:cstheme="minorHAnsi"/>
          <w:sz w:val="24"/>
          <w:szCs w:val="24"/>
        </w:rPr>
        <w:t xml:space="preserve"> In addition, the high reading of the Clearblue Monitor often underestimates the beginning of the actual fertile phase.</w:t>
      </w:r>
      <w:r w:rsidRPr="000A0946">
        <w:rPr>
          <w:rFonts w:cstheme="minorHAnsi"/>
          <w:sz w:val="24"/>
          <w:szCs w:val="24"/>
          <w:vertAlign w:val="superscript"/>
        </w:rPr>
        <w:t>20</w:t>
      </w:r>
      <w:r w:rsidRPr="000A0946">
        <w:rPr>
          <w:rFonts w:cstheme="minorHAnsi"/>
          <w:sz w:val="24"/>
          <w:szCs w:val="24"/>
        </w:rPr>
        <w:t xml:space="preserve"> However, we also found that 34.5 percent of the menstrual cycles analyzed did not have mucus present on estimated fertile window days and thus would be considered false negatives. This suggests the cervical mucus only methods have some of the same limitations in this regard. A large multisite cervical mucus only study in 1999 reported a use effectiveness rate at 99.5 percent and 96.8 percent for avoiding pregnancy that did have approximately 24 percent irregular length cycles that could also be used to compare the results of this descriptive analysis. However, this study does not report specific lengths of cycles nor the EDO to provide for another point of reference, and its standardization of pregnancies is multilevel. Therefore due to this method's unique analysis of pregnancies, it is not possible to compare to other methods of family planning.</w:t>
      </w:r>
      <w:r w:rsidRPr="000A0946">
        <w:rPr>
          <w:rFonts w:cstheme="minorHAnsi"/>
          <w:sz w:val="24"/>
          <w:szCs w:val="24"/>
          <w:vertAlign w:val="superscript"/>
        </w:rPr>
        <w:t>21</w:t>
      </w:r>
      <w:r w:rsidRPr="000A0946">
        <w:rPr>
          <w:rFonts w:cstheme="minorHAnsi"/>
          <w:sz w:val="24"/>
          <w:szCs w:val="24"/>
        </w:rPr>
        <w:t xml:space="preserve"> Finally, M.P. Stanford and J.B. Howard also provided an analysis of effectiveness for a cervical mucus only method. This study reported 701 couples of which 19.9 percent were in irregular cycles (i.e., long cycles less than thirty-eight days total, breastfeeding, and breastfeeding weaning). This study showed a net pregnancy rate of 18 to 24 per 100 couples.</w:t>
      </w:r>
      <w:r w:rsidRPr="000A0946">
        <w:rPr>
          <w:rFonts w:cstheme="minorHAnsi"/>
          <w:sz w:val="24"/>
          <w:szCs w:val="24"/>
          <w:vertAlign w:val="superscript"/>
        </w:rPr>
        <w:t>22</w:t>
      </w:r>
      <w:r w:rsidRPr="000A0946">
        <w:rPr>
          <w:rFonts w:cstheme="minorHAnsi"/>
          <w:sz w:val="24"/>
          <w:szCs w:val="24"/>
        </w:rPr>
        <w:t xml:space="preserve"> Although both of these cervical mucus studies do have a large number of irregular cycles reported, they did not provide sufficient statistics for this evaluation.</w:t>
      </w:r>
    </w:p>
    <w:p w14:paraId="4FC47694" w14:textId="1D06B931" w:rsidR="0018081B" w:rsidRPr="000A0946" w:rsidRDefault="0018081B" w:rsidP="0018081B">
      <w:pPr>
        <w:rPr>
          <w:rFonts w:cstheme="minorHAnsi"/>
          <w:sz w:val="24"/>
          <w:szCs w:val="24"/>
        </w:rPr>
      </w:pPr>
      <w:r w:rsidRPr="000A0946">
        <w:rPr>
          <w:rFonts w:cstheme="minorHAnsi"/>
          <w:sz w:val="24"/>
          <w:szCs w:val="24"/>
        </w:rPr>
        <w:lastRenderedPageBreak/>
        <w:t>A limitation of this study is that the estimation of the day of ovulation (i.e., the EDO and the subsequent fertile window) is an estimation based on imperfect markers of fertility. The EDO was based on a threshold urinary LH surge determined with the Clearblue Fertility Monitor. A recent discussion of the LH surge has indicated that there is a high potential for false positives.</w:t>
      </w:r>
      <w:r w:rsidRPr="000A0946">
        <w:rPr>
          <w:rFonts w:cstheme="minorHAnsi"/>
          <w:sz w:val="24"/>
          <w:szCs w:val="24"/>
          <w:vertAlign w:val="superscript"/>
        </w:rPr>
        <w:t>23</w:t>
      </w:r>
      <w:r w:rsidRPr="000A0946">
        <w:rPr>
          <w:rFonts w:cstheme="minorHAnsi"/>
          <w:sz w:val="24"/>
          <w:szCs w:val="24"/>
        </w:rPr>
        <w:t xml:space="preserve"> However, this high potential was based on urinary LH test kits with a fairly low threshold of urinary LH detection. This study did not utilize an LH test kit, but rather a fertility monitor that has a threshold test of E3G that precedes the LH surge. An independent study that utilized serial ultrasound of the developing follicle to determine the day of ovulation has shown that the ovulation fell within the two peak days of the monitor 91 percent of the time, and 97 percent on those two days and the day after.</w:t>
      </w:r>
      <w:r w:rsidRPr="000A0946">
        <w:rPr>
          <w:rFonts w:cstheme="minorHAnsi"/>
          <w:sz w:val="24"/>
          <w:szCs w:val="24"/>
          <w:vertAlign w:val="superscript"/>
        </w:rPr>
        <w:t>24</w:t>
      </w:r>
      <w:r w:rsidRPr="000A0946">
        <w:rPr>
          <w:rFonts w:cstheme="minorHAnsi"/>
          <w:sz w:val="24"/>
          <w:szCs w:val="24"/>
        </w:rPr>
        <w:t xml:space="preserve"> Furthermore, the urinary LH surge correlates very close to the ultrasound estimated day of ovulation.</w:t>
      </w:r>
      <w:r w:rsidRPr="000A0946">
        <w:rPr>
          <w:rFonts w:cstheme="minorHAnsi"/>
          <w:sz w:val="24"/>
          <w:szCs w:val="24"/>
          <w:vertAlign w:val="superscript"/>
        </w:rPr>
        <w:t>25</w:t>
      </w:r>
      <w:r w:rsidRPr="000A0946">
        <w:rPr>
          <w:rFonts w:cstheme="minorHAnsi"/>
          <w:sz w:val="24"/>
          <w:szCs w:val="24"/>
        </w:rPr>
        <w:t xml:space="preserve"> Evidence suggests that use of the monitor is an acceptable and accurate means to determine the EDO and the fertile phase.</w:t>
      </w:r>
    </w:p>
    <w:p w14:paraId="3F05DFFC" w14:textId="77777777" w:rsidR="0018081B" w:rsidRPr="000A0946" w:rsidRDefault="0018081B" w:rsidP="0018081B">
      <w:pPr>
        <w:rPr>
          <w:rFonts w:cstheme="minorHAnsi"/>
          <w:sz w:val="24"/>
          <w:szCs w:val="24"/>
        </w:rPr>
      </w:pPr>
      <w:r w:rsidRPr="000A0946">
        <w:rPr>
          <w:rFonts w:cstheme="minorHAnsi"/>
          <w:sz w:val="24"/>
          <w:szCs w:val="24"/>
        </w:rPr>
        <w:t>Approximately 7 percent of the menstrual cycles in the data sets utilized for this study did not have an EDO, i.e., the monitor failed to detect a urinary LH surge. The percentage of cycles in the original 1,181 cycle data set that did not have an identified EDO was 7.4 percent, and for the final data set of 762 regular cycles, it was 6.2 percent. Whether those cycles that did not have an identifiable EDO were actually ovulatory and how their exclusion from the analysis affected the results is unknown. The percentage of cycles with a LH surge-related EDO increased with cycle lengths closer to the twenty-six to thirty-two day range.</w:t>
      </w:r>
    </w:p>
    <w:p w14:paraId="5F6EA6AE" w14:textId="02117F6D" w:rsidR="0018081B" w:rsidRPr="000A0946" w:rsidRDefault="0018081B" w:rsidP="0018081B">
      <w:pPr>
        <w:rPr>
          <w:rFonts w:cstheme="minorHAnsi"/>
          <w:sz w:val="24"/>
          <w:szCs w:val="24"/>
        </w:rPr>
      </w:pPr>
      <w:r w:rsidRPr="000A0946">
        <w:rPr>
          <w:rFonts w:cstheme="minorHAnsi"/>
          <w:sz w:val="24"/>
          <w:szCs w:val="24"/>
        </w:rPr>
        <w:t>The final data set (of 714 cycles), utilized for the analysis in this study, is a very conservative approximation of what might be found with use of the SDM. The menstrual cycles in the data set were generated by women who were screened to be in regular cycles that were defined as twenty-five to thirty-five days in length, a length that is more liberal than that used for the SDM. Furthermore, the screening procedures used for those entering the effectiveness study that produced this data set were less rigorous than those used for the SDM.</w:t>
      </w:r>
      <w:r w:rsidRPr="000A0946">
        <w:rPr>
          <w:rFonts w:cstheme="minorHAnsi"/>
          <w:sz w:val="24"/>
          <w:szCs w:val="24"/>
          <w:vertAlign w:val="superscript"/>
        </w:rPr>
        <w:t>26</w:t>
      </w:r>
      <w:r w:rsidRPr="000A0946">
        <w:rPr>
          <w:rFonts w:cstheme="minorHAnsi"/>
          <w:sz w:val="24"/>
          <w:szCs w:val="24"/>
        </w:rPr>
        <w:t xml:space="preserve"> Better results would be obtained if participants for this study were screened specifically for use of the SDM. A prospective study that entered users of the Clearblue Fertility Monitor that have been screened for use of the SDM would be a more accurate evaluation of the SDM.</w:t>
      </w:r>
    </w:p>
    <w:p w14:paraId="32FD3CC6" w14:textId="7D9F38FD" w:rsidR="0018081B" w:rsidRPr="000A0946" w:rsidRDefault="0018081B" w:rsidP="0018081B">
      <w:pPr>
        <w:rPr>
          <w:rFonts w:cstheme="minorHAnsi"/>
          <w:sz w:val="24"/>
          <w:szCs w:val="24"/>
        </w:rPr>
      </w:pPr>
      <w:r w:rsidRPr="000A0946">
        <w:rPr>
          <w:rFonts w:cstheme="minorHAnsi"/>
          <w:sz w:val="24"/>
          <w:szCs w:val="24"/>
        </w:rPr>
        <w:t>The implications that the results have for practice and use of the SDM is that the SDM is accurate in covering the six-day fertile window when cycles are between twenty-six and thirty-two days in length, and fairly robust when menstrual cycles are outside of that length range and parts of the fertile window are not covered by days 8 through 19. When the SDM fails to cover the beginning of the fertile window, the probabilities of pregnancy from a single act of intercourse are potentially very low. For example, the probability of pregnancy is 0.08 in the early days of the fertile window.</w:t>
      </w:r>
      <w:r w:rsidRPr="000A0946">
        <w:rPr>
          <w:rFonts w:cstheme="minorHAnsi"/>
          <w:sz w:val="24"/>
          <w:szCs w:val="24"/>
          <w:vertAlign w:val="superscript"/>
        </w:rPr>
        <w:t>27</w:t>
      </w:r>
      <w:r w:rsidRPr="000A0946">
        <w:rPr>
          <w:rFonts w:cstheme="minorHAnsi"/>
          <w:sz w:val="24"/>
          <w:szCs w:val="24"/>
        </w:rPr>
        <w:t xml:space="preserve"> When it fails to cover the end of the fertile window, the probabilities are higher (closer to 0.35).</w:t>
      </w:r>
      <w:r w:rsidRPr="000A0946">
        <w:rPr>
          <w:rFonts w:cstheme="minorHAnsi"/>
          <w:sz w:val="24"/>
          <w:szCs w:val="24"/>
          <w:vertAlign w:val="superscript"/>
        </w:rPr>
        <w:t>28</w:t>
      </w:r>
      <w:r w:rsidRPr="000A0946">
        <w:rPr>
          <w:rFonts w:cstheme="minorHAnsi"/>
          <w:sz w:val="24"/>
          <w:szCs w:val="24"/>
        </w:rPr>
        <w:t xml:space="preserve"> So when a user of the SDM has one or two cycles shorter than twenty-six days, she can feel secure in the method. One or two cycles longer than twenty-six to thirty-two days are more troublesome.</w:t>
      </w:r>
    </w:p>
    <w:p w14:paraId="3811506C" w14:textId="30CA038F" w:rsidR="0018081B" w:rsidRPr="000A0946" w:rsidRDefault="0018081B" w:rsidP="0018081B">
      <w:pPr>
        <w:rPr>
          <w:rFonts w:cstheme="minorHAnsi"/>
          <w:sz w:val="24"/>
          <w:szCs w:val="24"/>
        </w:rPr>
      </w:pPr>
      <w:r w:rsidRPr="000A0946">
        <w:rPr>
          <w:rFonts w:cstheme="minorHAnsi"/>
          <w:sz w:val="24"/>
          <w:szCs w:val="24"/>
        </w:rPr>
        <w:t xml:space="preserve">A major practical limitation of the SDM is that the method is not flexible enough to be effective with irregular menstrual cycles. However, the recent extended study of the SDM from five developing countries showed that the method did not apply to 2 to 3 percent of the participants (due to cycle irregularity) in the second year of use, down from 13 to 28 percent of participants in the first year of </w:t>
      </w:r>
      <w:r w:rsidRPr="000A0946">
        <w:rPr>
          <w:rFonts w:cstheme="minorHAnsi"/>
          <w:sz w:val="24"/>
          <w:szCs w:val="24"/>
        </w:rPr>
        <w:lastRenderedPageBreak/>
        <w:t>use.</w:t>
      </w:r>
      <w:r w:rsidRPr="000A0946">
        <w:rPr>
          <w:rFonts w:cstheme="minorHAnsi"/>
          <w:sz w:val="24"/>
          <w:szCs w:val="24"/>
          <w:vertAlign w:val="superscript"/>
        </w:rPr>
        <w:t>29</w:t>
      </w:r>
      <w:r w:rsidRPr="000A0946">
        <w:rPr>
          <w:rFonts w:cstheme="minorHAnsi"/>
          <w:sz w:val="24"/>
          <w:szCs w:val="24"/>
        </w:rPr>
        <w:t xml:space="preserve"> The developers of the method recognized the problem and have built into their instructions that the method does not apply when the woman has two cycles that fall out of their algorithm. Furthermore, they offer a simple mucus based method to meet this problem.</w:t>
      </w:r>
      <w:r w:rsidRPr="000A0946">
        <w:rPr>
          <w:rFonts w:cstheme="minorHAnsi"/>
          <w:sz w:val="24"/>
          <w:szCs w:val="24"/>
          <w:vertAlign w:val="superscript"/>
        </w:rPr>
        <w:t>30</w:t>
      </w:r>
      <w:r w:rsidRPr="000A0946">
        <w:rPr>
          <w:rFonts w:cstheme="minorHAnsi"/>
          <w:sz w:val="24"/>
          <w:szCs w:val="24"/>
        </w:rPr>
        <w:t xml:space="preserve"> They also have developed a bridge method for postpartum breastfeeding women to help manage one of the most difficult transitions and source of irregular menstrual cycles.</w:t>
      </w:r>
      <w:r w:rsidRPr="000A0946">
        <w:rPr>
          <w:rFonts w:cstheme="minorHAnsi"/>
          <w:sz w:val="24"/>
          <w:szCs w:val="24"/>
          <w:vertAlign w:val="superscript"/>
        </w:rPr>
        <w:t>31</w:t>
      </w:r>
    </w:p>
    <w:p w14:paraId="0B470692" w14:textId="072F7A8C" w:rsidR="0018081B" w:rsidRPr="000A0946" w:rsidRDefault="0018081B" w:rsidP="0018081B">
      <w:pPr>
        <w:rPr>
          <w:rFonts w:cstheme="minorHAnsi"/>
          <w:sz w:val="24"/>
          <w:szCs w:val="24"/>
        </w:rPr>
      </w:pPr>
      <w:r w:rsidRPr="000A0946">
        <w:rPr>
          <w:rFonts w:cstheme="minorHAnsi"/>
          <w:sz w:val="24"/>
          <w:szCs w:val="24"/>
        </w:rPr>
        <w:t>It should also be pointed out that most efficacy studies of natural methods of family planning include only women with regular menstrual cycles. Recognizing that the only way to determine comparable efficacy is through randomized comparison studies, probably the best comparison of efficacy to the SDM would be the five-country study of the ovulation method, which had a typical use pregnancy rate of 23 per 100 women over twelve months of use compared with the SDM.</w:t>
      </w:r>
      <w:r w:rsidRPr="000A0946">
        <w:rPr>
          <w:rFonts w:cstheme="minorHAnsi"/>
          <w:sz w:val="24"/>
          <w:szCs w:val="24"/>
          <w:vertAlign w:val="superscript"/>
        </w:rPr>
        <w:t>32</w:t>
      </w:r>
      <w:r w:rsidRPr="000A0946">
        <w:rPr>
          <w:rFonts w:cstheme="minorHAnsi"/>
          <w:sz w:val="24"/>
          <w:szCs w:val="24"/>
        </w:rPr>
        <w:t xml:space="preserve"> Furthermore, there is very little evidence of the efficacy of standard methods of NFP (i.e., mucus or mucus plus basal body temperature) with irregular cycles; and with the breastfeeding transition the unintended pregnancy rates are problematic and might even increase the rate compared with no method.</w:t>
      </w:r>
      <w:r w:rsidRPr="000A0946">
        <w:rPr>
          <w:rFonts w:cstheme="minorHAnsi"/>
          <w:sz w:val="24"/>
          <w:szCs w:val="24"/>
          <w:vertAlign w:val="superscript"/>
        </w:rPr>
        <w:t>33</w:t>
      </w:r>
    </w:p>
    <w:p w14:paraId="3ED3BF85" w14:textId="749D2E58" w:rsidR="0018081B" w:rsidRPr="000A0946" w:rsidRDefault="0018081B" w:rsidP="0018081B">
      <w:pPr>
        <w:rPr>
          <w:rFonts w:cstheme="minorHAnsi"/>
          <w:sz w:val="24"/>
          <w:szCs w:val="24"/>
        </w:rPr>
      </w:pPr>
      <w:r w:rsidRPr="000A0946">
        <w:rPr>
          <w:rFonts w:cstheme="minorHAnsi"/>
          <w:sz w:val="24"/>
          <w:szCs w:val="24"/>
        </w:rPr>
        <w:t xml:space="preserve">The SDM would capture a greater percentage of cycle lengths and reduce the probability of pregnancy by adding a day to the beginning and end of days 8 through 19 (i.e., days 7 through 20), but this would increase the required amount of avoidance of unprotected intercourse to two weeks. The SDM algorithm could also be modified to increase the recommended cycle lengths that it applies to or increase the number of cycles that could fall outside of the twenty-six to thirty-two day length in a given year. However, the current algorithm seems to be a good fit for variations in the menstrual cycle within individual cycle use and among a population of users. Other recommended research would be to use this data set to evaluate other calendar-based algorithms and mucus-based method algorithms including the </w:t>
      </w:r>
      <w:proofErr w:type="spellStart"/>
      <w:r w:rsidRPr="000A0946">
        <w:rPr>
          <w:rFonts w:cstheme="minorHAnsi"/>
          <w:sz w:val="24"/>
          <w:szCs w:val="24"/>
        </w:rPr>
        <w:t>TwoDay</w:t>
      </w:r>
      <w:proofErr w:type="spellEnd"/>
      <w:r w:rsidRPr="000A0946">
        <w:rPr>
          <w:rFonts w:cstheme="minorHAnsi"/>
          <w:sz w:val="24"/>
          <w:szCs w:val="24"/>
        </w:rPr>
        <w:t xml:space="preserve"> Method, which was recently developed at Georgetown University Institute for Reproductive Health.</w:t>
      </w:r>
      <w:r w:rsidRPr="000A0946">
        <w:rPr>
          <w:rFonts w:cstheme="minorHAnsi"/>
          <w:sz w:val="24"/>
          <w:szCs w:val="24"/>
          <w:vertAlign w:val="superscript"/>
        </w:rPr>
        <w:t>34</w:t>
      </w:r>
    </w:p>
    <w:p w14:paraId="5C6718CC" w14:textId="77777777" w:rsidR="0018081B" w:rsidRPr="000A0946" w:rsidRDefault="0018081B" w:rsidP="00527C39">
      <w:pPr>
        <w:pStyle w:val="Heading1"/>
        <w:rPr>
          <w:rFonts w:asciiTheme="minorHAnsi" w:hAnsiTheme="minorHAnsi" w:cstheme="minorHAnsi"/>
        </w:rPr>
      </w:pPr>
      <w:r w:rsidRPr="000A0946">
        <w:rPr>
          <w:rFonts w:asciiTheme="minorHAnsi" w:hAnsiTheme="minorHAnsi" w:cstheme="minorHAnsi"/>
        </w:rPr>
        <w:t>Notes</w:t>
      </w:r>
    </w:p>
    <w:p w14:paraId="7A2F2EE2" w14:textId="3D5089C1" w:rsidR="0018081B" w:rsidRPr="000A0946" w:rsidRDefault="0018081B" w:rsidP="000A0946">
      <w:pPr>
        <w:spacing w:after="0"/>
        <w:ind w:left="720" w:hanging="720"/>
        <w:rPr>
          <w:rFonts w:cstheme="minorHAnsi"/>
          <w:sz w:val="24"/>
          <w:szCs w:val="24"/>
        </w:rPr>
      </w:pPr>
      <w:r w:rsidRPr="000A0946">
        <w:rPr>
          <w:rFonts w:cstheme="minorHAnsi"/>
          <w:sz w:val="24"/>
          <w:szCs w:val="24"/>
        </w:rPr>
        <w:t>1</w:t>
      </w:r>
      <w:r w:rsidR="00527C39" w:rsidRPr="000A0946">
        <w:rPr>
          <w:rFonts w:cstheme="minorHAnsi"/>
          <w:sz w:val="24"/>
          <w:szCs w:val="24"/>
        </w:rPr>
        <w:t xml:space="preserve"> </w:t>
      </w:r>
      <w:r w:rsidRPr="000A0946">
        <w:rPr>
          <w:rFonts w:cstheme="minorHAnsi"/>
          <w:sz w:val="24"/>
          <w:szCs w:val="24"/>
        </w:rPr>
        <w:t xml:space="preserve">M. </w:t>
      </w:r>
      <w:proofErr w:type="spellStart"/>
      <w:r w:rsidRPr="000A0946">
        <w:rPr>
          <w:rFonts w:cstheme="minorHAnsi"/>
          <w:sz w:val="24"/>
          <w:szCs w:val="24"/>
        </w:rPr>
        <w:t>Arévalo</w:t>
      </w:r>
      <w:proofErr w:type="spellEnd"/>
      <w:r w:rsidRPr="000A0946">
        <w:rPr>
          <w:rFonts w:cstheme="minorHAnsi"/>
          <w:sz w:val="24"/>
          <w:szCs w:val="24"/>
        </w:rPr>
        <w:t xml:space="preserve">, I. Sinai, and V. Jennings, “A Fixed Formula To Define the Fertile Window of the Menstrual Cycle as the Basis of a Simple Method of Natural Family Planning,” </w:t>
      </w:r>
      <w:r w:rsidRPr="000A0946">
        <w:rPr>
          <w:rFonts w:cstheme="minorHAnsi"/>
          <w:i/>
          <w:iCs/>
          <w:sz w:val="24"/>
          <w:szCs w:val="24"/>
        </w:rPr>
        <w:t>Contraception</w:t>
      </w:r>
      <w:r w:rsidRPr="000A0946">
        <w:rPr>
          <w:rFonts w:cstheme="minorHAnsi"/>
          <w:sz w:val="24"/>
          <w:szCs w:val="24"/>
        </w:rPr>
        <w:t xml:space="preserve"> 60 (1999): 357–360; M. </w:t>
      </w:r>
      <w:proofErr w:type="spellStart"/>
      <w:r w:rsidRPr="000A0946">
        <w:rPr>
          <w:rFonts w:cstheme="minorHAnsi"/>
          <w:sz w:val="24"/>
          <w:szCs w:val="24"/>
        </w:rPr>
        <w:t>Arévalo</w:t>
      </w:r>
      <w:proofErr w:type="spellEnd"/>
      <w:r w:rsidRPr="000A0946">
        <w:rPr>
          <w:rFonts w:cstheme="minorHAnsi"/>
          <w:sz w:val="24"/>
          <w:szCs w:val="24"/>
        </w:rPr>
        <w:t xml:space="preserve">, V. Jennings, and I. Sinai, “Efficacy of a New Method of Family Planning: The Standard Days Method,” </w:t>
      </w:r>
      <w:r w:rsidRPr="000A0946">
        <w:rPr>
          <w:rFonts w:cstheme="minorHAnsi"/>
          <w:i/>
          <w:iCs/>
          <w:sz w:val="24"/>
          <w:szCs w:val="24"/>
        </w:rPr>
        <w:t>Contraception</w:t>
      </w:r>
      <w:r w:rsidRPr="000A0946">
        <w:rPr>
          <w:rFonts w:cstheme="minorHAnsi"/>
          <w:sz w:val="24"/>
          <w:szCs w:val="24"/>
        </w:rPr>
        <w:t xml:space="preserve"> 65 (2002): 333–338.</w:t>
      </w:r>
    </w:p>
    <w:p w14:paraId="7F26A010" w14:textId="7A1405CE" w:rsidR="0018081B" w:rsidRPr="000A0946" w:rsidRDefault="0018081B" w:rsidP="000A0946">
      <w:pPr>
        <w:spacing w:after="0"/>
        <w:ind w:left="720" w:hanging="720"/>
        <w:rPr>
          <w:rFonts w:cstheme="minorHAnsi"/>
          <w:sz w:val="24"/>
          <w:szCs w:val="24"/>
        </w:rPr>
      </w:pPr>
      <w:r w:rsidRPr="000A0946">
        <w:rPr>
          <w:rFonts w:cstheme="minorHAnsi"/>
          <w:sz w:val="24"/>
          <w:szCs w:val="24"/>
        </w:rPr>
        <w:t>2</w:t>
      </w:r>
      <w:r w:rsidR="00527C39" w:rsidRPr="000A0946">
        <w:rPr>
          <w:rFonts w:cstheme="minorHAnsi"/>
          <w:sz w:val="24"/>
          <w:szCs w:val="24"/>
        </w:rPr>
        <w:t xml:space="preserve"> </w:t>
      </w:r>
      <w:r w:rsidRPr="000A0946">
        <w:rPr>
          <w:rFonts w:cstheme="minorHAnsi"/>
          <w:sz w:val="24"/>
          <w:szCs w:val="24"/>
        </w:rPr>
        <w:t xml:space="preserve">I. Sinai, R.I. Lundgren, and J.N. Gribble, “Continued Use of the Standard Days Method,” </w:t>
      </w:r>
      <w:r w:rsidRPr="000A0946">
        <w:rPr>
          <w:rFonts w:cstheme="minorHAnsi"/>
          <w:i/>
          <w:iCs/>
          <w:sz w:val="24"/>
          <w:szCs w:val="24"/>
        </w:rPr>
        <w:t>Journal of Family Planning and Reproductive Health Care</w:t>
      </w:r>
      <w:r w:rsidRPr="000A0946">
        <w:rPr>
          <w:rFonts w:cstheme="minorHAnsi"/>
          <w:sz w:val="24"/>
          <w:szCs w:val="24"/>
        </w:rPr>
        <w:t xml:space="preserve"> (2011).</w:t>
      </w:r>
    </w:p>
    <w:p w14:paraId="07D791B5" w14:textId="586A6DFF" w:rsidR="0018081B" w:rsidRPr="000A0946" w:rsidRDefault="0018081B" w:rsidP="000A0946">
      <w:pPr>
        <w:spacing w:after="0"/>
        <w:ind w:left="720" w:hanging="720"/>
        <w:rPr>
          <w:rFonts w:cstheme="minorHAnsi"/>
          <w:sz w:val="24"/>
          <w:szCs w:val="24"/>
        </w:rPr>
      </w:pPr>
      <w:r w:rsidRPr="000A0946">
        <w:rPr>
          <w:rFonts w:cstheme="minorHAnsi"/>
          <w:sz w:val="24"/>
          <w:szCs w:val="24"/>
        </w:rPr>
        <w:t>3</w:t>
      </w:r>
      <w:r w:rsidR="00527C39" w:rsidRPr="000A0946">
        <w:rPr>
          <w:rFonts w:cstheme="minorHAnsi"/>
          <w:sz w:val="24"/>
          <w:szCs w:val="24"/>
        </w:rPr>
        <w:t xml:space="preserve"> </w:t>
      </w:r>
      <w:proofErr w:type="spellStart"/>
      <w:r w:rsidRPr="000A0946">
        <w:rPr>
          <w:rFonts w:cstheme="minorHAnsi"/>
          <w:sz w:val="24"/>
          <w:szCs w:val="24"/>
        </w:rPr>
        <w:t>Arévalo</w:t>
      </w:r>
      <w:proofErr w:type="spellEnd"/>
      <w:r w:rsidRPr="000A0946">
        <w:rPr>
          <w:rFonts w:cstheme="minorHAnsi"/>
          <w:sz w:val="24"/>
          <w:szCs w:val="24"/>
        </w:rPr>
        <w:t>, Jennings, and Sinai, “Efficacy of a New Method of Family Planning: The Standard Days Method.”</w:t>
      </w:r>
    </w:p>
    <w:p w14:paraId="73FD8506" w14:textId="6686CBC7" w:rsidR="0018081B" w:rsidRPr="000A0946" w:rsidRDefault="0018081B" w:rsidP="000A0946">
      <w:pPr>
        <w:spacing w:after="0"/>
        <w:ind w:left="720" w:hanging="720"/>
        <w:rPr>
          <w:rFonts w:cstheme="minorHAnsi"/>
          <w:sz w:val="24"/>
          <w:szCs w:val="24"/>
        </w:rPr>
      </w:pPr>
      <w:r w:rsidRPr="000A0946">
        <w:rPr>
          <w:rFonts w:cstheme="minorHAnsi"/>
          <w:sz w:val="24"/>
          <w:szCs w:val="24"/>
        </w:rPr>
        <w:t>4</w:t>
      </w:r>
      <w:r w:rsidR="00527C39" w:rsidRPr="000A0946">
        <w:rPr>
          <w:rFonts w:cstheme="minorHAnsi"/>
          <w:sz w:val="24"/>
          <w:szCs w:val="24"/>
        </w:rPr>
        <w:t xml:space="preserve"> </w:t>
      </w:r>
      <w:r w:rsidRPr="000A0946">
        <w:rPr>
          <w:rFonts w:cstheme="minorHAnsi"/>
          <w:sz w:val="24"/>
          <w:szCs w:val="24"/>
        </w:rPr>
        <w:t xml:space="preserve">I. Sinai, V. Jennings, and M. </w:t>
      </w:r>
      <w:proofErr w:type="spellStart"/>
      <w:r w:rsidRPr="000A0946">
        <w:rPr>
          <w:rFonts w:cstheme="minorHAnsi"/>
          <w:sz w:val="24"/>
          <w:szCs w:val="24"/>
        </w:rPr>
        <w:t>Arévalo</w:t>
      </w:r>
      <w:proofErr w:type="spellEnd"/>
      <w:r w:rsidRPr="000A0946">
        <w:rPr>
          <w:rFonts w:cstheme="minorHAnsi"/>
          <w:sz w:val="24"/>
          <w:szCs w:val="24"/>
        </w:rPr>
        <w:t xml:space="preserve">, “The Importance of Screening and Monitoring: The Standard Days Method and Cycle Regularity,” </w:t>
      </w:r>
      <w:r w:rsidRPr="000A0946">
        <w:rPr>
          <w:rFonts w:cstheme="minorHAnsi"/>
          <w:i/>
          <w:iCs/>
          <w:sz w:val="24"/>
          <w:szCs w:val="24"/>
        </w:rPr>
        <w:t>Contraception</w:t>
      </w:r>
      <w:r w:rsidRPr="000A0946">
        <w:rPr>
          <w:rFonts w:cstheme="minorHAnsi"/>
          <w:sz w:val="24"/>
          <w:szCs w:val="24"/>
        </w:rPr>
        <w:t xml:space="preserve"> 69 (2004): 201–206.</w:t>
      </w:r>
    </w:p>
    <w:p w14:paraId="5FE520D4" w14:textId="4A63EB47" w:rsidR="0018081B" w:rsidRPr="000A0946" w:rsidRDefault="0018081B" w:rsidP="000A0946">
      <w:pPr>
        <w:spacing w:after="0"/>
        <w:ind w:left="720" w:hanging="720"/>
        <w:rPr>
          <w:rFonts w:cstheme="minorHAnsi"/>
          <w:sz w:val="24"/>
          <w:szCs w:val="24"/>
        </w:rPr>
      </w:pPr>
      <w:r w:rsidRPr="000A0946">
        <w:rPr>
          <w:rFonts w:cstheme="minorHAnsi"/>
          <w:sz w:val="24"/>
          <w:szCs w:val="24"/>
        </w:rPr>
        <w:t>5</w:t>
      </w:r>
      <w:r w:rsidR="00527C39" w:rsidRPr="000A0946">
        <w:rPr>
          <w:rFonts w:cstheme="minorHAnsi"/>
          <w:sz w:val="24"/>
          <w:szCs w:val="24"/>
        </w:rPr>
        <w:t xml:space="preserve"> </w:t>
      </w:r>
      <w:proofErr w:type="spellStart"/>
      <w:r w:rsidRPr="000A0946">
        <w:rPr>
          <w:rFonts w:cstheme="minorHAnsi"/>
          <w:sz w:val="24"/>
          <w:szCs w:val="24"/>
        </w:rPr>
        <w:t>Arévalo</w:t>
      </w:r>
      <w:proofErr w:type="spellEnd"/>
      <w:r w:rsidRPr="000A0946">
        <w:rPr>
          <w:rFonts w:cstheme="minorHAnsi"/>
          <w:sz w:val="24"/>
          <w:szCs w:val="24"/>
        </w:rPr>
        <w:t xml:space="preserve">, Sinai, and Jennings, “A Fixed Formula to Define the Fertile Window”; </w:t>
      </w:r>
      <w:proofErr w:type="spellStart"/>
      <w:r w:rsidRPr="000A0946">
        <w:rPr>
          <w:rFonts w:cstheme="minorHAnsi"/>
          <w:sz w:val="24"/>
          <w:szCs w:val="24"/>
        </w:rPr>
        <w:t>Arévalo</w:t>
      </w:r>
      <w:proofErr w:type="spellEnd"/>
      <w:r w:rsidRPr="000A0946">
        <w:rPr>
          <w:rFonts w:cstheme="minorHAnsi"/>
          <w:sz w:val="24"/>
          <w:szCs w:val="24"/>
        </w:rPr>
        <w:t xml:space="preserve">, Jennings, and Sinai, “Efficacy of a New Method of Family Planning: The Standard Days Method”; V.M. Lamprecht and L. </w:t>
      </w:r>
      <w:proofErr w:type="spellStart"/>
      <w:r w:rsidRPr="000A0946">
        <w:rPr>
          <w:rFonts w:cstheme="minorHAnsi"/>
          <w:sz w:val="24"/>
          <w:szCs w:val="24"/>
        </w:rPr>
        <w:t>Grummer</w:t>
      </w:r>
      <w:proofErr w:type="spellEnd"/>
      <w:r w:rsidRPr="000A0946">
        <w:rPr>
          <w:rFonts w:cstheme="minorHAnsi"/>
          <w:sz w:val="24"/>
          <w:szCs w:val="24"/>
        </w:rPr>
        <w:t xml:space="preserve">-Strawn, “Development of New Formulas to Identify the Fertile Time of the Menstrual Cycle,” </w:t>
      </w:r>
      <w:r w:rsidRPr="000A0946">
        <w:rPr>
          <w:rFonts w:cstheme="minorHAnsi"/>
          <w:i/>
          <w:iCs/>
          <w:sz w:val="24"/>
          <w:szCs w:val="24"/>
        </w:rPr>
        <w:t>Contraception</w:t>
      </w:r>
      <w:r w:rsidRPr="000A0946">
        <w:rPr>
          <w:rFonts w:cstheme="minorHAnsi"/>
          <w:sz w:val="24"/>
          <w:szCs w:val="24"/>
        </w:rPr>
        <w:t xml:space="preserve"> 54 (1996): 339–343.</w:t>
      </w:r>
    </w:p>
    <w:p w14:paraId="74294359" w14:textId="72CBF1E6" w:rsidR="0018081B" w:rsidRPr="000A0946" w:rsidRDefault="0018081B" w:rsidP="000A0946">
      <w:pPr>
        <w:spacing w:after="0"/>
        <w:ind w:left="720" w:hanging="720"/>
        <w:rPr>
          <w:rFonts w:cstheme="minorHAnsi"/>
          <w:sz w:val="24"/>
          <w:szCs w:val="24"/>
        </w:rPr>
      </w:pPr>
      <w:r w:rsidRPr="000A0946">
        <w:rPr>
          <w:rFonts w:cstheme="minorHAnsi"/>
          <w:sz w:val="24"/>
          <w:szCs w:val="24"/>
        </w:rPr>
        <w:t>6</w:t>
      </w:r>
      <w:r w:rsidR="00527C39" w:rsidRPr="000A0946">
        <w:rPr>
          <w:rFonts w:cstheme="minorHAnsi"/>
          <w:sz w:val="24"/>
          <w:szCs w:val="24"/>
        </w:rPr>
        <w:t xml:space="preserve"> </w:t>
      </w:r>
      <w:r w:rsidRPr="000A0946">
        <w:rPr>
          <w:rFonts w:cstheme="minorHAnsi"/>
          <w:sz w:val="24"/>
          <w:szCs w:val="24"/>
        </w:rPr>
        <w:t xml:space="preserve">Lamprecht and </w:t>
      </w:r>
      <w:proofErr w:type="spellStart"/>
      <w:r w:rsidRPr="000A0946">
        <w:rPr>
          <w:rFonts w:cstheme="minorHAnsi"/>
          <w:sz w:val="24"/>
          <w:szCs w:val="24"/>
        </w:rPr>
        <w:t>Grummer</w:t>
      </w:r>
      <w:proofErr w:type="spellEnd"/>
      <w:r w:rsidRPr="000A0946">
        <w:rPr>
          <w:rFonts w:cstheme="minorHAnsi"/>
          <w:sz w:val="24"/>
          <w:szCs w:val="24"/>
        </w:rPr>
        <w:t>-Strawn, “Development of New Formulas.”</w:t>
      </w:r>
    </w:p>
    <w:p w14:paraId="6E09A178" w14:textId="0661F7C8" w:rsidR="0018081B" w:rsidRPr="000A0946" w:rsidRDefault="0018081B" w:rsidP="000A0946">
      <w:pPr>
        <w:spacing w:after="0"/>
        <w:ind w:left="720" w:hanging="720"/>
        <w:rPr>
          <w:rFonts w:cstheme="minorHAnsi"/>
          <w:sz w:val="24"/>
          <w:szCs w:val="24"/>
        </w:rPr>
      </w:pPr>
      <w:r w:rsidRPr="000A0946">
        <w:rPr>
          <w:rFonts w:cstheme="minorHAnsi"/>
          <w:sz w:val="24"/>
          <w:szCs w:val="24"/>
        </w:rPr>
        <w:t>7</w:t>
      </w:r>
      <w:r w:rsidR="00527C39" w:rsidRPr="000A0946">
        <w:rPr>
          <w:rFonts w:cstheme="minorHAnsi"/>
          <w:sz w:val="24"/>
          <w:szCs w:val="24"/>
        </w:rPr>
        <w:t xml:space="preserve"> </w:t>
      </w:r>
      <w:r w:rsidRPr="000A0946">
        <w:rPr>
          <w:rFonts w:cstheme="minorHAnsi"/>
          <w:sz w:val="24"/>
          <w:szCs w:val="24"/>
        </w:rPr>
        <w:t xml:space="preserve">R.T. </w:t>
      </w:r>
      <w:proofErr w:type="spellStart"/>
      <w:r w:rsidRPr="000A0946">
        <w:rPr>
          <w:rFonts w:cstheme="minorHAnsi"/>
          <w:sz w:val="24"/>
          <w:szCs w:val="24"/>
        </w:rPr>
        <w:t>Kambic</w:t>
      </w:r>
      <w:proofErr w:type="spellEnd"/>
      <w:r w:rsidRPr="000A0946">
        <w:rPr>
          <w:rFonts w:cstheme="minorHAnsi"/>
          <w:sz w:val="24"/>
          <w:szCs w:val="24"/>
        </w:rPr>
        <w:t xml:space="preserve"> and V. Lamprecht, “Calendar Rhythm Efficacy: A Review,” </w:t>
      </w:r>
      <w:r w:rsidRPr="000A0946">
        <w:rPr>
          <w:rFonts w:cstheme="minorHAnsi"/>
          <w:i/>
          <w:iCs/>
          <w:sz w:val="24"/>
          <w:szCs w:val="24"/>
        </w:rPr>
        <w:t>Advanced Contraception</w:t>
      </w:r>
      <w:r w:rsidRPr="000A0946">
        <w:rPr>
          <w:rFonts w:cstheme="minorHAnsi"/>
          <w:sz w:val="24"/>
          <w:szCs w:val="24"/>
        </w:rPr>
        <w:t xml:space="preserve"> 12 (1996): 123–128.</w:t>
      </w:r>
    </w:p>
    <w:p w14:paraId="0284676B" w14:textId="7090DBCD" w:rsidR="0018081B" w:rsidRPr="000A0946" w:rsidRDefault="0018081B" w:rsidP="000A0946">
      <w:pPr>
        <w:spacing w:after="0"/>
        <w:ind w:left="720" w:hanging="720"/>
        <w:rPr>
          <w:rFonts w:cstheme="minorHAnsi"/>
          <w:sz w:val="24"/>
          <w:szCs w:val="24"/>
        </w:rPr>
      </w:pPr>
      <w:r w:rsidRPr="000A0946">
        <w:rPr>
          <w:rFonts w:cstheme="minorHAnsi"/>
          <w:sz w:val="24"/>
          <w:szCs w:val="24"/>
        </w:rPr>
        <w:lastRenderedPageBreak/>
        <w:t>8</w:t>
      </w:r>
      <w:r w:rsidR="00527C39" w:rsidRPr="000A0946">
        <w:rPr>
          <w:rFonts w:cstheme="minorHAnsi"/>
          <w:sz w:val="24"/>
          <w:szCs w:val="24"/>
        </w:rPr>
        <w:t xml:space="preserve"> </w:t>
      </w:r>
      <w:r w:rsidRPr="000A0946">
        <w:rPr>
          <w:rFonts w:cstheme="minorHAnsi"/>
          <w:sz w:val="24"/>
          <w:szCs w:val="24"/>
        </w:rPr>
        <w:t xml:space="preserve">A.J. Wilcox, C.R. Weinberg, and D.D. Baird, “Timing of Sexual Intercourse in Relation to Ovulation,” </w:t>
      </w:r>
      <w:r w:rsidRPr="000A0946">
        <w:rPr>
          <w:rFonts w:cstheme="minorHAnsi"/>
          <w:i/>
          <w:iCs/>
          <w:sz w:val="24"/>
          <w:szCs w:val="24"/>
        </w:rPr>
        <w:t>New England Journal of Medicine</w:t>
      </w:r>
      <w:r w:rsidRPr="000A0946">
        <w:rPr>
          <w:rFonts w:cstheme="minorHAnsi"/>
          <w:sz w:val="24"/>
          <w:szCs w:val="24"/>
        </w:rPr>
        <w:t xml:space="preserve"> 333 (1995): 1517–1521.</w:t>
      </w:r>
    </w:p>
    <w:p w14:paraId="2C8019DC" w14:textId="3002C6C0" w:rsidR="0018081B" w:rsidRPr="000A0946" w:rsidRDefault="0018081B" w:rsidP="000A0946">
      <w:pPr>
        <w:spacing w:after="0"/>
        <w:ind w:left="720" w:hanging="720"/>
        <w:rPr>
          <w:rFonts w:cstheme="minorHAnsi"/>
          <w:sz w:val="24"/>
          <w:szCs w:val="24"/>
        </w:rPr>
      </w:pPr>
      <w:r w:rsidRPr="000A0946">
        <w:rPr>
          <w:rFonts w:cstheme="minorHAnsi"/>
          <w:sz w:val="24"/>
          <w:szCs w:val="24"/>
        </w:rPr>
        <w:t>9</w:t>
      </w:r>
      <w:r w:rsidR="00527C39" w:rsidRPr="000A0946">
        <w:rPr>
          <w:rFonts w:cstheme="minorHAnsi"/>
          <w:sz w:val="24"/>
          <w:szCs w:val="24"/>
        </w:rPr>
        <w:t xml:space="preserve"> </w:t>
      </w:r>
      <w:r w:rsidRPr="000A0946">
        <w:rPr>
          <w:rFonts w:cstheme="minorHAnsi"/>
          <w:sz w:val="24"/>
          <w:szCs w:val="24"/>
        </w:rPr>
        <w:t xml:space="preserve">D.B. Dunson et al., “Day-Specific Probabilities of Clinical Pregnancy Based on Two Studies with Imperfect Measures of Ovulation,” </w:t>
      </w:r>
      <w:r w:rsidRPr="000A0946">
        <w:rPr>
          <w:rFonts w:cstheme="minorHAnsi"/>
          <w:i/>
          <w:iCs/>
          <w:sz w:val="24"/>
          <w:szCs w:val="24"/>
        </w:rPr>
        <w:t>Human Reproduction</w:t>
      </w:r>
      <w:r w:rsidRPr="000A0946">
        <w:rPr>
          <w:rFonts w:cstheme="minorHAnsi"/>
          <w:sz w:val="24"/>
          <w:szCs w:val="24"/>
        </w:rPr>
        <w:t xml:space="preserve"> 14 (1999): 1835–1839.</w:t>
      </w:r>
    </w:p>
    <w:p w14:paraId="496CEA49" w14:textId="1E1B26B8" w:rsidR="0018081B" w:rsidRPr="000A0946" w:rsidRDefault="0018081B" w:rsidP="000A0946">
      <w:pPr>
        <w:spacing w:after="0"/>
        <w:ind w:left="720" w:hanging="720"/>
        <w:rPr>
          <w:rFonts w:cstheme="minorHAnsi"/>
          <w:sz w:val="24"/>
          <w:szCs w:val="24"/>
        </w:rPr>
      </w:pPr>
      <w:r w:rsidRPr="000A0946">
        <w:rPr>
          <w:rFonts w:cstheme="minorHAnsi"/>
          <w:sz w:val="24"/>
          <w:szCs w:val="24"/>
        </w:rPr>
        <w:t>10</w:t>
      </w:r>
      <w:r w:rsidR="00527C39" w:rsidRPr="000A0946">
        <w:rPr>
          <w:rFonts w:cstheme="minorHAnsi"/>
          <w:sz w:val="24"/>
          <w:szCs w:val="24"/>
        </w:rPr>
        <w:t xml:space="preserve"> </w:t>
      </w:r>
      <w:r w:rsidRPr="000A0946">
        <w:rPr>
          <w:rFonts w:cstheme="minorHAnsi"/>
          <w:sz w:val="24"/>
          <w:szCs w:val="24"/>
        </w:rPr>
        <w:t xml:space="preserve">K. May, “Home Monitoring with the </w:t>
      </w:r>
      <w:proofErr w:type="spellStart"/>
      <w:r w:rsidRPr="000A0946">
        <w:rPr>
          <w:rFonts w:cstheme="minorHAnsi"/>
          <w:sz w:val="24"/>
          <w:szCs w:val="24"/>
        </w:rPr>
        <w:t>ClearPlan</w:t>
      </w:r>
      <w:proofErr w:type="spellEnd"/>
      <w:r w:rsidRPr="000A0946">
        <w:rPr>
          <w:rFonts w:cstheme="minorHAnsi"/>
          <w:sz w:val="24"/>
          <w:szCs w:val="24"/>
        </w:rPr>
        <w:t xml:space="preserve"> Easy Fertility Monitor for Fertility Awareness,” </w:t>
      </w:r>
      <w:r w:rsidRPr="000A0946">
        <w:rPr>
          <w:rFonts w:cstheme="minorHAnsi"/>
          <w:i/>
          <w:iCs/>
          <w:sz w:val="24"/>
          <w:szCs w:val="24"/>
        </w:rPr>
        <w:t>Journal International Medical Research</w:t>
      </w:r>
      <w:r w:rsidRPr="000A0946">
        <w:rPr>
          <w:rFonts w:cstheme="minorHAnsi"/>
          <w:sz w:val="24"/>
          <w:szCs w:val="24"/>
        </w:rPr>
        <w:t xml:space="preserve"> 29 (2001): 14A–20A.</w:t>
      </w:r>
    </w:p>
    <w:p w14:paraId="7264C96F" w14:textId="7E5D3E5A" w:rsidR="0018081B" w:rsidRPr="000A0946" w:rsidRDefault="0018081B" w:rsidP="000A0946">
      <w:pPr>
        <w:spacing w:after="0"/>
        <w:ind w:left="720" w:hanging="720"/>
        <w:rPr>
          <w:rFonts w:cstheme="minorHAnsi"/>
          <w:sz w:val="24"/>
          <w:szCs w:val="24"/>
        </w:rPr>
      </w:pPr>
      <w:r w:rsidRPr="000A0946">
        <w:rPr>
          <w:rFonts w:cstheme="minorHAnsi"/>
          <w:sz w:val="24"/>
          <w:szCs w:val="24"/>
        </w:rPr>
        <w:t>11</w:t>
      </w:r>
      <w:r w:rsidR="00527C39" w:rsidRPr="000A0946">
        <w:rPr>
          <w:rFonts w:cstheme="minorHAnsi"/>
          <w:sz w:val="24"/>
          <w:szCs w:val="24"/>
        </w:rPr>
        <w:t xml:space="preserve"> </w:t>
      </w:r>
      <w:proofErr w:type="spellStart"/>
      <w:r w:rsidRPr="000A0946">
        <w:rPr>
          <w:rFonts w:cstheme="minorHAnsi"/>
          <w:sz w:val="24"/>
          <w:szCs w:val="24"/>
        </w:rPr>
        <w:t>Unipath</w:t>
      </w:r>
      <w:proofErr w:type="spellEnd"/>
      <w:r w:rsidRPr="000A0946">
        <w:rPr>
          <w:rFonts w:cstheme="minorHAnsi"/>
          <w:sz w:val="24"/>
          <w:szCs w:val="24"/>
        </w:rPr>
        <w:t xml:space="preserve"> Diagnostics, “Professional Information: </w:t>
      </w:r>
      <w:proofErr w:type="spellStart"/>
      <w:r w:rsidRPr="000A0946">
        <w:rPr>
          <w:rFonts w:cstheme="minorHAnsi"/>
          <w:sz w:val="24"/>
          <w:szCs w:val="24"/>
        </w:rPr>
        <w:t>ClearPlan</w:t>
      </w:r>
      <w:proofErr w:type="spellEnd"/>
      <w:r w:rsidRPr="000A0946">
        <w:rPr>
          <w:rFonts w:cstheme="minorHAnsi"/>
          <w:sz w:val="24"/>
          <w:szCs w:val="24"/>
        </w:rPr>
        <w:t xml:space="preserve"> Easy Fertility Monitor,” (Princeton, NJ: </w:t>
      </w:r>
      <w:proofErr w:type="spellStart"/>
      <w:r w:rsidRPr="000A0946">
        <w:rPr>
          <w:rFonts w:cstheme="minorHAnsi"/>
          <w:sz w:val="24"/>
          <w:szCs w:val="24"/>
        </w:rPr>
        <w:t>Unipath</w:t>
      </w:r>
      <w:proofErr w:type="spellEnd"/>
      <w:r w:rsidRPr="000A0946">
        <w:rPr>
          <w:rFonts w:cstheme="minorHAnsi"/>
          <w:sz w:val="24"/>
          <w:szCs w:val="24"/>
        </w:rPr>
        <w:t xml:space="preserve"> Diagnostics Company, 2001).</w:t>
      </w:r>
    </w:p>
    <w:p w14:paraId="1F909C24" w14:textId="2F40E530" w:rsidR="0018081B" w:rsidRPr="000A0946" w:rsidRDefault="0018081B" w:rsidP="000A0946">
      <w:pPr>
        <w:spacing w:after="0"/>
        <w:ind w:left="720" w:hanging="720"/>
        <w:rPr>
          <w:rFonts w:cstheme="minorHAnsi"/>
          <w:sz w:val="24"/>
          <w:szCs w:val="24"/>
        </w:rPr>
      </w:pPr>
      <w:r w:rsidRPr="000A0946">
        <w:rPr>
          <w:rFonts w:cstheme="minorHAnsi"/>
          <w:sz w:val="24"/>
          <w:szCs w:val="24"/>
        </w:rPr>
        <w:t>12</w:t>
      </w:r>
      <w:r w:rsidR="00527C39" w:rsidRPr="000A0946">
        <w:rPr>
          <w:rFonts w:cstheme="minorHAnsi"/>
          <w:sz w:val="24"/>
          <w:szCs w:val="24"/>
        </w:rPr>
        <w:t xml:space="preserve"> </w:t>
      </w:r>
      <w:r w:rsidRPr="000A0946">
        <w:rPr>
          <w:rFonts w:cstheme="minorHAnsi"/>
          <w:sz w:val="24"/>
          <w:szCs w:val="24"/>
        </w:rPr>
        <w:t xml:space="preserve">M. </w:t>
      </w:r>
      <w:proofErr w:type="spellStart"/>
      <w:r w:rsidRPr="000A0946">
        <w:rPr>
          <w:rFonts w:cstheme="minorHAnsi"/>
          <w:sz w:val="24"/>
          <w:szCs w:val="24"/>
        </w:rPr>
        <w:t>Guida</w:t>
      </w:r>
      <w:proofErr w:type="spellEnd"/>
      <w:r w:rsidRPr="000A0946">
        <w:rPr>
          <w:rFonts w:cstheme="minorHAnsi"/>
          <w:sz w:val="24"/>
          <w:szCs w:val="24"/>
        </w:rPr>
        <w:t xml:space="preserve"> et al., “Efficacy of Methods for Determining Ovulation in a Natural Family Planning Program,” </w:t>
      </w:r>
      <w:r w:rsidRPr="000A0946">
        <w:rPr>
          <w:rFonts w:cstheme="minorHAnsi"/>
          <w:i/>
          <w:iCs/>
          <w:sz w:val="24"/>
          <w:szCs w:val="24"/>
        </w:rPr>
        <w:t>Fertility &amp; Sterility</w:t>
      </w:r>
      <w:r w:rsidRPr="000A0946">
        <w:rPr>
          <w:rFonts w:cstheme="minorHAnsi"/>
          <w:sz w:val="24"/>
          <w:szCs w:val="24"/>
        </w:rPr>
        <w:t xml:space="preserve"> 72 (1999): 900–904.</w:t>
      </w:r>
    </w:p>
    <w:p w14:paraId="09C2CB73" w14:textId="45154EDC" w:rsidR="0018081B" w:rsidRPr="000A0946" w:rsidRDefault="0018081B" w:rsidP="000A0946">
      <w:pPr>
        <w:spacing w:after="0"/>
        <w:ind w:left="720" w:hanging="720"/>
        <w:rPr>
          <w:rFonts w:cstheme="minorHAnsi"/>
          <w:sz w:val="24"/>
          <w:szCs w:val="24"/>
        </w:rPr>
      </w:pPr>
      <w:r w:rsidRPr="000A0946">
        <w:rPr>
          <w:rFonts w:cstheme="minorHAnsi"/>
          <w:sz w:val="24"/>
          <w:szCs w:val="24"/>
        </w:rPr>
        <w:t>13</w:t>
      </w:r>
      <w:r w:rsidR="00527C39" w:rsidRPr="000A0946">
        <w:rPr>
          <w:rFonts w:cstheme="minorHAnsi"/>
          <w:sz w:val="24"/>
          <w:szCs w:val="24"/>
        </w:rPr>
        <w:t xml:space="preserve"> </w:t>
      </w:r>
      <w:r w:rsidRPr="000A0946">
        <w:rPr>
          <w:rFonts w:cstheme="minorHAnsi"/>
          <w:sz w:val="24"/>
          <w:szCs w:val="24"/>
        </w:rPr>
        <w:t xml:space="preserve">H.M. </w:t>
      </w:r>
      <w:proofErr w:type="spellStart"/>
      <w:r w:rsidRPr="000A0946">
        <w:rPr>
          <w:rFonts w:cstheme="minorHAnsi"/>
          <w:sz w:val="24"/>
          <w:szCs w:val="24"/>
        </w:rPr>
        <w:t>Behre</w:t>
      </w:r>
      <w:proofErr w:type="spellEnd"/>
      <w:r w:rsidRPr="000A0946">
        <w:rPr>
          <w:rFonts w:cstheme="minorHAnsi"/>
          <w:sz w:val="24"/>
          <w:szCs w:val="24"/>
        </w:rPr>
        <w:t xml:space="preserve"> et al., “Prediction of Ovulation by Urinary Hormone Measurements with the Home Use </w:t>
      </w:r>
      <w:proofErr w:type="spellStart"/>
      <w:r w:rsidRPr="000A0946">
        <w:rPr>
          <w:rFonts w:cstheme="minorHAnsi"/>
          <w:sz w:val="24"/>
          <w:szCs w:val="24"/>
        </w:rPr>
        <w:t>Clearplan</w:t>
      </w:r>
      <w:proofErr w:type="spellEnd"/>
      <w:r w:rsidRPr="000A0946">
        <w:rPr>
          <w:rFonts w:cstheme="minorHAnsi"/>
          <w:sz w:val="24"/>
          <w:szCs w:val="24"/>
        </w:rPr>
        <w:t xml:space="preserve"> Fertility Monitor: Comparison with Transvaginal Ultrasound Scans and Serum Hormone Measurements,” </w:t>
      </w:r>
      <w:r w:rsidRPr="000A0946">
        <w:rPr>
          <w:rFonts w:cstheme="minorHAnsi"/>
          <w:i/>
          <w:iCs/>
          <w:sz w:val="24"/>
          <w:szCs w:val="24"/>
        </w:rPr>
        <w:t>Human Reproduction</w:t>
      </w:r>
      <w:r w:rsidRPr="000A0946">
        <w:rPr>
          <w:rFonts w:cstheme="minorHAnsi"/>
          <w:sz w:val="24"/>
          <w:szCs w:val="24"/>
        </w:rPr>
        <w:t xml:space="preserve"> 15 (2000): 2478–2482.</w:t>
      </w:r>
    </w:p>
    <w:p w14:paraId="1103C15D" w14:textId="7061E9D0" w:rsidR="0018081B" w:rsidRPr="000A0946" w:rsidRDefault="0018081B" w:rsidP="000A0946">
      <w:pPr>
        <w:spacing w:after="0"/>
        <w:ind w:left="720" w:hanging="720"/>
        <w:rPr>
          <w:rFonts w:cstheme="minorHAnsi"/>
          <w:sz w:val="24"/>
          <w:szCs w:val="24"/>
        </w:rPr>
      </w:pPr>
      <w:r w:rsidRPr="000A0946">
        <w:rPr>
          <w:rFonts w:cstheme="minorHAnsi"/>
          <w:sz w:val="24"/>
          <w:szCs w:val="24"/>
        </w:rPr>
        <w:t>14</w:t>
      </w:r>
      <w:r w:rsidR="00527C39" w:rsidRPr="000A0946">
        <w:rPr>
          <w:rFonts w:cstheme="minorHAnsi"/>
          <w:sz w:val="24"/>
          <w:szCs w:val="24"/>
        </w:rPr>
        <w:t xml:space="preserve"> </w:t>
      </w:r>
      <w:r w:rsidRPr="000A0946">
        <w:rPr>
          <w:rFonts w:cstheme="minorHAnsi"/>
          <w:sz w:val="24"/>
          <w:szCs w:val="24"/>
        </w:rPr>
        <w:t xml:space="preserve">M.D. </w:t>
      </w:r>
      <w:proofErr w:type="spellStart"/>
      <w:r w:rsidRPr="000A0946">
        <w:rPr>
          <w:rFonts w:cstheme="minorHAnsi"/>
          <w:sz w:val="24"/>
          <w:szCs w:val="24"/>
        </w:rPr>
        <w:t>Creinin</w:t>
      </w:r>
      <w:proofErr w:type="spellEnd"/>
      <w:r w:rsidRPr="000A0946">
        <w:rPr>
          <w:rFonts w:cstheme="minorHAnsi"/>
          <w:sz w:val="24"/>
          <w:szCs w:val="24"/>
        </w:rPr>
        <w:t xml:space="preserve">, S. </w:t>
      </w:r>
      <w:proofErr w:type="spellStart"/>
      <w:r w:rsidRPr="000A0946">
        <w:rPr>
          <w:rFonts w:cstheme="minorHAnsi"/>
          <w:sz w:val="24"/>
          <w:szCs w:val="24"/>
        </w:rPr>
        <w:t>Keverline</w:t>
      </w:r>
      <w:proofErr w:type="spellEnd"/>
      <w:r w:rsidRPr="000A0946">
        <w:rPr>
          <w:rFonts w:cstheme="minorHAnsi"/>
          <w:sz w:val="24"/>
          <w:szCs w:val="24"/>
        </w:rPr>
        <w:t xml:space="preserve">, and L.A. </w:t>
      </w:r>
      <w:proofErr w:type="spellStart"/>
      <w:r w:rsidRPr="000A0946">
        <w:rPr>
          <w:rFonts w:cstheme="minorHAnsi"/>
          <w:sz w:val="24"/>
          <w:szCs w:val="24"/>
        </w:rPr>
        <w:t>Meyn</w:t>
      </w:r>
      <w:proofErr w:type="spellEnd"/>
      <w:r w:rsidRPr="000A0946">
        <w:rPr>
          <w:rFonts w:cstheme="minorHAnsi"/>
          <w:sz w:val="24"/>
          <w:szCs w:val="24"/>
        </w:rPr>
        <w:t xml:space="preserve">, “How Regular Is Regular? An Analysis of Menstrual Cycle Regularity,” </w:t>
      </w:r>
      <w:r w:rsidRPr="000A0946">
        <w:rPr>
          <w:rFonts w:cstheme="minorHAnsi"/>
          <w:i/>
          <w:iCs/>
          <w:sz w:val="24"/>
          <w:szCs w:val="24"/>
        </w:rPr>
        <w:t>Contraception</w:t>
      </w:r>
      <w:r w:rsidRPr="000A0946">
        <w:rPr>
          <w:rFonts w:cstheme="minorHAnsi"/>
          <w:sz w:val="24"/>
          <w:szCs w:val="24"/>
        </w:rPr>
        <w:t xml:space="preserve"> 70 (2004): 289–292; World Health Organization Task Force, “A Prospective </w:t>
      </w:r>
      <w:proofErr w:type="spellStart"/>
      <w:r w:rsidRPr="000A0946">
        <w:rPr>
          <w:rFonts w:cstheme="minorHAnsi"/>
          <w:sz w:val="24"/>
          <w:szCs w:val="24"/>
        </w:rPr>
        <w:t>Multicentre</w:t>
      </w:r>
      <w:proofErr w:type="spellEnd"/>
      <w:r w:rsidRPr="000A0946">
        <w:rPr>
          <w:rFonts w:cstheme="minorHAnsi"/>
          <w:sz w:val="24"/>
          <w:szCs w:val="24"/>
        </w:rPr>
        <w:t xml:space="preserve"> Trial of the Ovulation Method of Natural Family Planning, III. Characteristics of the Menstrual Cycle and of the Fertile Phase,” </w:t>
      </w:r>
      <w:r w:rsidRPr="000A0946">
        <w:rPr>
          <w:rFonts w:cstheme="minorHAnsi"/>
          <w:i/>
          <w:iCs/>
          <w:sz w:val="24"/>
          <w:szCs w:val="24"/>
        </w:rPr>
        <w:t>Fertility &amp; Sterility</w:t>
      </w:r>
      <w:r w:rsidRPr="000A0946">
        <w:rPr>
          <w:rFonts w:cstheme="minorHAnsi"/>
          <w:sz w:val="24"/>
          <w:szCs w:val="24"/>
        </w:rPr>
        <w:t xml:space="preserve"> 40 (1983): 773–778.</w:t>
      </w:r>
    </w:p>
    <w:p w14:paraId="581DC44E" w14:textId="64A52A93" w:rsidR="0018081B" w:rsidRPr="000A0946" w:rsidRDefault="0018081B" w:rsidP="000A0946">
      <w:pPr>
        <w:spacing w:after="0"/>
        <w:ind w:left="720" w:hanging="720"/>
        <w:rPr>
          <w:rFonts w:cstheme="minorHAnsi"/>
          <w:sz w:val="24"/>
          <w:szCs w:val="24"/>
        </w:rPr>
      </w:pPr>
      <w:r w:rsidRPr="000A0946">
        <w:rPr>
          <w:rFonts w:cstheme="minorHAnsi"/>
          <w:sz w:val="24"/>
          <w:szCs w:val="24"/>
        </w:rPr>
        <w:t>15</w:t>
      </w:r>
      <w:r w:rsidR="00527C39" w:rsidRPr="000A0946">
        <w:rPr>
          <w:rFonts w:cstheme="minorHAnsi"/>
          <w:sz w:val="24"/>
          <w:szCs w:val="24"/>
        </w:rPr>
        <w:t xml:space="preserve"> </w:t>
      </w:r>
      <w:proofErr w:type="spellStart"/>
      <w:r w:rsidRPr="000A0946">
        <w:rPr>
          <w:rFonts w:cstheme="minorHAnsi"/>
          <w:sz w:val="24"/>
          <w:szCs w:val="24"/>
        </w:rPr>
        <w:t>Arévalo</w:t>
      </w:r>
      <w:proofErr w:type="spellEnd"/>
      <w:r w:rsidRPr="000A0946">
        <w:rPr>
          <w:rFonts w:cstheme="minorHAnsi"/>
          <w:sz w:val="24"/>
          <w:szCs w:val="24"/>
        </w:rPr>
        <w:t>, Sinai, and Jennings, “A Fixed Formula to Define the Fertile Window.”</w:t>
      </w:r>
    </w:p>
    <w:p w14:paraId="0900D508" w14:textId="701CD017" w:rsidR="0018081B" w:rsidRPr="000A0946" w:rsidRDefault="0018081B" w:rsidP="000A0946">
      <w:pPr>
        <w:spacing w:after="0"/>
        <w:ind w:left="720" w:hanging="720"/>
        <w:rPr>
          <w:rFonts w:cstheme="minorHAnsi"/>
          <w:sz w:val="24"/>
          <w:szCs w:val="24"/>
        </w:rPr>
      </w:pPr>
      <w:r w:rsidRPr="000A0946">
        <w:rPr>
          <w:rFonts w:cstheme="minorHAnsi"/>
          <w:sz w:val="24"/>
          <w:szCs w:val="24"/>
        </w:rPr>
        <w:t>16</w:t>
      </w:r>
      <w:r w:rsidR="00527C39" w:rsidRPr="000A0946">
        <w:rPr>
          <w:rFonts w:cstheme="minorHAnsi"/>
          <w:sz w:val="24"/>
          <w:szCs w:val="24"/>
        </w:rPr>
        <w:t xml:space="preserve"> </w:t>
      </w:r>
      <w:proofErr w:type="spellStart"/>
      <w:r w:rsidRPr="000A0946">
        <w:rPr>
          <w:rFonts w:cstheme="minorHAnsi"/>
          <w:sz w:val="24"/>
          <w:szCs w:val="24"/>
        </w:rPr>
        <w:t>Creinin</w:t>
      </w:r>
      <w:proofErr w:type="spellEnd"/>
      <w:r w:rsidRPr="000A0946">
        <w:rPr>
          <w:rFonts w:cstheme="minorHAnsi"/>
          <w:sz w:val="24"/>
          <w:szCs w:val="24"/>
        </w:rPr>
        <w:t xml:space="preserve">, </w:t>
      </w:r>
      <w:proofErr w:type="spellStart"/>
      <w:r w:rsidRPr="000A0946">
        <w:rPr>
          <w:rFonts w:cstheme="minorHAnsi"/>
          <w:sz w:val="24"/>
          <w:szCs w:val="24"/>
        </w:rPr>
        <w:t>Keverline</w:t>
      </w:r>
      <w:proofErr w:type="spellEnd"/>
      <w:r w:rsidRPr="000A0946">
        <w:rPr>
          <w:rFonts w:cstheme="minorHAnsi"/>
          <w:sz w:val="24"/>
          <w:szCs w:val="24"/>
        </w:rPr>
        <w:t xml:space="preserve">, </w:t>
      </w:r>
      <w:proofErr w:type="spellStart"/>
      <w:r w:rsidRPr="000A0946">
        <w:rPr>
          <w:rFonts w:cstheme="minorHAnsi"/>
          <w:sz w:val="24"/>
          <w:szCs w:val="24"/>
        </w:rPr>
        <w:t>Meyn</w:t>
      </w:r>
      <w:proofErr w:type="spellEnd"/>
      <w:r w:rsidRPr="000A0946">
        <w:rPr>
          <w:rFonts w:cstheme="minorHAnsi"/>
          <w:sz w:val="24"/>
          <w:szCs w:val="24"/>
        </w:rPr>
        <w:t>, “How Regular Is Regular?</w:t>
      </w:r>
    </w:p>
    <w:p w14:paraId="7FF94E92" w14:textId="59D2E0C0" w:rsidR="0018081B" w:rsidRPr="000A0946" w:rsidRDefault="0018081B" w:rsidP="000A0946">
      <w:pPr>
        <w:spacing w:after="0"/>
        <w:ind w:left="720" w:hanging="720"/>
        <w:rPr>
          <w:rFonts w:cstheme="minorHAnsi"/>
          <w:sz w:val="24"/>
          <w:szCs w:val="24"/>
        </w:rPr>
      </w:pPr>
      <w:r w:rsidRPr="000A0946">
        <w:rPr>
          <w:rFonts w:cstheme="minorHAnsi"/>
          <w:sz w:val="24"/>
          <w:szCs w:val="24"/>
        </w:rPr>
        <w:t>17</w:t>
      </w:r>
      <w:r w:rsidR="00527C39" w:rsidRPr="000A0946">
        <w:rPr>
          <w:rFonts w:cstheme="minorHAnsi"/>
          <w:sz w:val="24"/>
          <w:szCs w:val="24"/>
        </w:rPr>
        <w:t xml:space="preserve"> </w:t>
      </w:r>
      <w:r w:rsidRPr="000A0946">
        <w:rPr>
          <w:rFonts w:cstheme="minorHAnsi"/>
          <w:sz w:val="24"/>
          <w:szCs w:val="24"/>
        </w:rPr>
        <w:t xml:space="preserve">Sinai, Jennings, and </w:t>
      </w:r>
      <w:proofErr w:type="spellStart"/>
      <w:r w:rsidRPr="000A0946">
        <w:rPr>
          <w:rFonts w:cstheme="minorHAnsi"/>
          <w:sz w:val="24"/>
          <w:szCs w:val="24"/>
        </w:rPr>
        <w:t>Arévalo</w:t>
      </w:r>
      <w:proofErr w:type="spellEnd"/>
      <w:r w:rsidRPr="000A0946">
        <w:rPr>
          <w:rFonts w:cstheme="minorHAnsi"/>
          <w:sz w:val="24"/>
          <w:szCs w:val="24"/>
        </w:rPr>
        <w:t>, “The Importance of Screening and Monitoring.”</w:t>
      </w:r>
    </w:p>
    <w:p w14:paraId="1A483FDC" w14:textId="0051CD0D" w:rsidR="0018081B" w:rsidRPr="000A0946" w:rsidRDefault="0018081B" w:rsidP="000A0946">
      <w:pPr>
        <w:spacing w:after="0"/>
        <w:ind w:left="720" w:hanging="720"/>
        <w:rPr>
          <w:rFonts w:cstheme="minorHAnsi"/>
          <w:sz w:val="24"/>
          <w:szCs w:val="24"/>
        </w:rPr>
      </w:pPr>
      <w:r w:rsidRPr="000A0946">
        <w:rPr>
          <w:rFonts w:cstheme="minorHAnsi"/>
          <w:sz w:val="24"/>
          <w:szCs w:val="24"/>
        </w:rPr>
        <w:t>18</w:t>
      </w:r>
      <w:r w:rsidR="00527C39" w:rsidRPr="000A0946">
        <w:rPr>
          <w:rFonts w:cstheme="minorHAnsi"/>
          <w:sz w:val="24"/>
          <w:szCs w:val="24"/>
        </w:rPr>
        <w:t xml:space="preserve"> </w:t>
      </w:r>
      <w:r w:rsidRPr="000A0946">
        <w:rPr>
          <w:rFonts w:cstheme="minorHAnsi"/>
          <w:sz w:val="24"/>
          <w:szCs w:val="24"/>
        </w:rPr>
        <w:t xml:space="preserve">M. </w:t>
      </w:r>
      <w:proofErr w:type="spellStart"/>
      <w:r w:rsidRPr="000A0946">
        <w:rPr>
          <w:rFonts w:cstheme="minorHAnsi"/>
          <w:sz w:val="24"/>
          <w:szCs w:val="24"/>
        </w:rPr>
        <w:t>Arévalo</w:t>
      </w:r>
      <w:proofErr w:type="spellEnd"/>
      <w:r w:rsidRPr="000A0946">
        <w:rPr>
          <w:rFonts w:cstheme="minorHAnsi"/>
          <w:sz w:val="24"/>
          <w:szCs w:val="24"/>
        </w:rPr>
        <w:t xml:space="preserve"> et al., “Efficacy of a New Method of Family Planning: The </w:t>
      </w:r>
      <w:proofErr w:type="spellStart"/>
      <w:r w:rsidRPr="000A0946">
        <w:rPr>
          <w:rFonts w:cstheme="minorHAnsi"/>
          <w:sz w:val="24"/>
          <w:szCs w:val="24"/>
        </w:rPr>
        <w:t>TwoDay</w:t>
      </w:r>
      <w:proofErr w:type="spellEnd"/>
      <w:r w:rsidRPr="000A0946">
        <w:rPr>
          <w:rFonts w:cstheme="minorHAnsi"/>
          <w:sz w:val="24"/>
          <w:szCs w:val="24"/>
        </w:rPr>
        <w:t xml:space="preserve"> Method,” </w:t>
      </w:r>
      <w:r w:rsidRPr="000A0946">
        <w:rPr>
          <w:rFonts w:cstheme="minorHAnsi"/>
          <w:i/>
          <w:iCs/>
          <w:sz w:val="24"/>
          <w:szCs w:val="24"/>
        </w:rPr>
        <w:t>Fertility &amp; Sterility</w:t>
      </w:r>
      <w:r w:rsidRPr="000A0946">
        <w:rPr>
          <w:rFonts w:cstheme="minorHAnsi"/>
          <w:sz w:val="24"/>
          <w:szCs w:val="24"/>
        </w:rPr>
        <w:t xml:space="preserve"> 82 (2004): 885–892.</w:t>
      </w:r>
    </w:p>
    <w:p w14:paraId="60C6A879" w14:textId="35B74105" w:rsidR="0018081B" w:rsidRPr="000A0946" w:rsidRDefault="0018081B" w:rsidP="000A0946">
      <w:pPr>
        <w:spacing w:after="0"/>
        <w:ind w:left="720" w:hanging="720"/>
        <w:rPr>
          <w:rFonts w:cstheme="minorHAnsi"/>
          <w:sz w:val="24"/>
          <w:szCs w:val="24"/>
        </w:rPr>
      </w:pPr>
      <w:r w:rsidRPr="000A0946">
        <w:rPr>
          <w:rFonts w:cstheme="minorHAnsi"/>
          <w:sz w:val="24"/>
          <w:szCs w:val="24"/>
        </w:rPr>
        <w:t>19</w:t>
      </w:r>
      <w:r w:rsidR="00527C39" w:rsidRPr="000A0946">
        <w:rPr>
          <w:rFonts w:cstheme="minorHAnsi"/>
          <w:sz w:val="24"/>
          <w:szCs w:val="24"/>
        </w:rPr>
        <w:t xml:space="preserve"> </w:t>
      </w:r>
      <w:r w:rsidRPr="000A0946">
        <w:rPr>
          <w:rFonts w:cstheme="minorHAnsi"/>
          <w:sz w:val="24"/>
          <w:szCs w:val="24"/>
        </w:rPr>
        <w:t xml:space="preserve">Wilcox, Weinberg, and Baird, “Timing of Sexual Intercourse”; A.J. Wilcox, D. Dunson, and D.D. Baird, “The Timing of the ‘Fertile Window’ in the Menstrual Cycle: Day Specific Estimates from a Prospective Study,” </w:t>
      </w:r>
      <w:r w:rsidRPr="000A0946">
        <w:rPr>
          <w:rFonts w:cstheme="minorHAnsi"/>
          <w:i/>
          <w:iCs/>
          <w:sz w:val="24"/>
          <w:szCs w:val="24"/>
        </w:rPr>
        <w:t>British Medical Journal</w:t>
      </w:r>
      <w:r w:rsidRPr="000A0946">
        <w:rPr>
          <w:rFonts w:cstheme="minorHAnsi"/>
          <w:sz w:val="24"/>
          <w:szCs w:val="24"/>
        </w:rPr>
        <w:t xml:space="preserve"> 321 (2000): 1259–1262.</w:t>
      </w:r>
    </w:p>
    <w:p w14:paraId="403A03B9" w14:textId="66812CAE" w:rsidR="0018081B" w:rsidRPr="000A0946" w:rsidRDefault="0018081B" w:rsidP="000A0946">
      <w:pPr>
        <w:spacing w:after="0"/>
        <w:ind w:left="720" w:hanging="720"/>
        <w:rPr>
          <w:rFonts w:cstheme="minorHAnsi"/>
          <w:sz w:val="24"/>
          <w:szCs w:val="24"/>
        </w:rPr>
      </w:pPr>
      <w:r w:rsidRPr="000A0946">
        <w:rPr>
          <w:rFonts w:cstheme="minorHAnsi"/>
          <w:sz w:val="24"/>
          <w:szCs w:val="24"/>
        </w:rPr>
        <w:t>20</w:t>
      </w:r>
      <w:r w:rsidR="00527C39" w:rsidRPr="000A0946">
        <w:rPr>
          <w:rFonts w:cstheme="minorHAnsi"/>
          <w:sz w:val="24"/>
          <w:szCs w:val="24"/>
        </w:rPr>
        <w:t xml:space="preserve"> </w:t>
      </w:r>
      <w:r w:rsidRPr="000A0946">
        <w:rPr>
          <w:rFonts w:cstheme="minorHAnsi"/>
          <w:sz w:val="24"/>
          <w:szCs w:val="24"/>
        </w:rPr>
        <w:t>World Health Organization Task Force, “A Prospective Multicenter Trial, III.”</w:t>
      </w:r>
    </w:p>
    <w:p w14:paraId="0CAD9AEA" w14:textId="711F51A7" w:rsidR="0018081B" w:rsidRPr="000A0946" w:rsidRDefault="0018081B" w:rsidP="000A0946">
      <w:pPr>
        <w:spacing w:after="0"/>
        <w:ind w:left="720" w:hanging="720"/>
        <w:rPr>
          <w:rFonts w:cstheme="minorHAnsi"/>
          <w:sz w:val="24"/>
          <w:szCs w:val="24"/>
        </w:rPr>
      </w:pPr>
      <w:r w:rsidRPr="000A0946">
        <w:rPr>
          <w:rFonts w:cstheme="minorHAnsi"/>
          <w:sz w:val="24"/>
          <w:szCs w:val="24"/>
        </w:rPr>
        <w:t>21</w:t>
      </w:r>
      <w:r w:rsidR="00527C39" w:rsidRPr="000A0946">
        <w:rPr>
          <w:rFonts w:cstheme="minorHAnsi"/>
          <w:sz w:val="24"/>
          <w:szCs w:val="24"/>
        </w:rPr>
        <w:t xml:space="preserve"> </w:t>
      </w:r>
      <w:r w:rsidRPr="000A0946">
        <w:rPr>
          <w:rFonts w:cstheme="minorHAnsi"/>
          <w:sz w:val="24"/>
          <w:szCs w:val="24"/>
        </w:rPr>
        <w:t xml:space="preserve">T.W. </w:t>
      </w:r>
      <w:proofErr w:type="spellStart"/>
      <w:r w:rsidRPr="000A0946">
        <w:rPr>
          <w:rFonts w:cstheme="minorHAnsi"/>
          <w:sz w:val="24"/>
          <w:szCs w:val="24"/>
        </w:rPr>
        <w:t>Hilgers</w:t>
      </w:r>
      <w:proofErr w:type="spellEnd"/>
      <w:r w:rsidRPr="000A0946">
        <w:rPr>
          <w:rFonts w:cstheme="minorHAnsi"/>
          <w:sz w:val="24"/>
          <w:szCs w:val="24"/>
        </w:rPr>
        <w:t xml:space="preserve"> and J.B. </w:t>
      </w:r>
      <w:proofErr w:type="spellStart"/>
      <w:r w:rsidRPr="000A0946">
        <w:rPr>
          <w:rFonts w:cstheme="minorHAnsi"/>
          <w:sz w:val="24"/>
          <w:szCs w:val="24"/>
        </w:rPr>
        <w:t>Standford</w:t>
      </w:r>
      <w:proofErr w:type="spellEnd"/>
      <w:r w:rsidRPr="000A0946">
        <w:rPr>
          <w:rFonts w:cstheme="minorHAnsi"/>
          <w:sz w:val="24"/>
          <w:szCs w:val="24"/>
        </w:rPr>
        <w:t xml:space="preserve">, “Creighton Model </w:t>
      </w:r>
      <w:proofErr w:type="spellStart"/>
      <w:r w:rsidRPr="000A0946">
        <w:rPr>
          <w:rFonts w:cstheme="minorHAnsi"/>
          <w:sz w:val="24"/>
          <w:szCs w:val="24"/>
        </w:rPr>
        <w:t>NaProEducation</w:t>
      </w:r>
      <w:proofErr w:type="spellEnd"/>
      <w:r w:rsidRPr="000A0946">
        <w:rPr>
          <w:rFonts w:cstheme="minorHAnsi"/>
          <w:sz w:val="24"/>
          <w:szCs w:val="24"/>
        </w:rPr>
        <w:t xml:space="preserve"> Technology for Avoiding Pregnancy,” </w:t>
      </w:r>
      <w:r w:rsidRPr="000A0946">
        <w:rPr>
          <w:rFonts w:cstheme="minorHAnsi"/>
          <w:i/>
          <w:iCs/>
          <w:sz w:val="24"/>
          <w:szCs w:val="24"/>
        </w:rPr>
        <w:t>Journal of Reproductive Medicine</w:t>
      </w:r>
      <w:r w:rsidRPr="000A0946">
        <w:rPr>
          <w:rFonts w:cstheme="minorHAnsi"/>
          <w:sz w:val="24"/>
          <w:szCs w:val="24"/>
        </w:rPr>
        <w:t xml:space="preserve"> 43 (1999): 495–502.</w:t>
      </w:r>
    </w:p>
    <w:p w14:paraId="7B1CBA27" w14:textId="7A7CF83E" w:rsidR="0018081B" w:rsidRPr="000A0946" w:rsidRDefault="0018081B" w:rsidP="000A0946">
      <w:pPr>
        <w:spacing w:after="0"/>
        <w:ind w:left="720" w:hanging="720"/>
        <w:rPr>
          <w:rFonts w:cstheme="minorHAnsi"/>
          <w:sz w:val="24"/>
          <w:szCs w:val="24"/>
        </w:rPr>
      </w:pPr>
      <w:r w:rsidRPr="000A0946">
        <w:rPr>
          <w:rFonts w:cstheme="minorHAnsi"/>
          <w:sz w:val="24"/>
          <w:szCs w:val="24"/>
        </w:rPr>
        <w:t>22</w:t>
      </w:r>
      <w:r w:rsidR="00527C39" w:rsidRPr="000A0946">
        <w:rPr>
          <w:rFonts w:cstheme="minorHAnsi"/>
          <w:sz w:val="24"/>
          <w:szCs w:val="24"/>
        </w:rPr>
        <w:t xml:space="preserve"> </w:t>
      </w:r>
      <w:r w:rsidRPr="000A0946">
        <w:rPr>
          <w:rFonts w:cstheme="minorHAnsi"/>
          <w:sz w:val="24"/>
          <w:szCs w:val="24"/>
        </w:rPr>
        <w:t xml:space="preserve">M.P. Howard and J.B. Stanford, “Pregnancy Probabilities During Use of the Creighton Model Fertility Care System,” </w:t>
      </w:r>
      <w:r w:rsidRPr="000A0946">
        <w:rPr>
          <w:rFonts w:cstheme="minorHAnsi"/>
          <w:i/>
          <w:iCs/>
          <w:sz w:val="24"/>
          <w:szCs w:val="24"/>
        </w:rPr>
        <w:t>Archives of Family Medicine</w:t>
      </w:r>
      <w:r w:rsidRPr="000A0946">
        <w:rPr>
          <w:rFonts w:cstheme="minorHAnsi"/>
          <w:sz w:val="24"/>
          <w:szCs w:val="24"/>
        </w:rPr>
        <w:t xml:space="preserve"> 8 (1999): 391–401.</w:t>
      </w:r>
    </w:p>
    <w:p w14:paraId="181E5E62" w14:textId="38D8E6DE" w:rsidR="0018081B" w:rsidRPr="000A0946" w:rsidRDefault="0018081B" w:rsidP="000A0946">
      <w:pPr>
        <w:spacing w:after="0"/>
        <w:ind w:left="720" w:hanging="720"/>
        <w:rPr>
          <w:rFonts w:cstheme="minorHAnsi"/>
          <w:sz w:val="24"/>
          <w:szCs w:val="24"/>
        </w:rPr>
      </w:pPr>
      <w:r w:rsidRPr="000A0946">
        <w:rPr>
          <w:rFonts w:cstheme="minorHAnsi"/>
          <w:sz w:val="24"/>
          <w:szCs w:val="24"/>
        </w:rPr>
        <w:t>23</w:t>
      </w:r>
      <w:r w:rsidR="00527C39" w:rsidRPr="000A0946">
        <w:rPr>
          <w:rFonts w:cstheme="minorHAnsi"/>
          <w:sz w:val="24"/>
          <w:szCs w:val="24"/>
        </w:rPr>
        <w:t xml:space="preserve"> </w:t>
      </w:r>
      <w:r w:rsidRPr="000A0946">
        <w:rPr>
          <w:rFonts w:cstheme="minorHAnsi"/>
          <w:sz w:val="24"/>
          <w:szCs w:val="24"/>
        </w:rPr>
        <w:t xml:space="preserve">R. Fehring, K. </w:t>
      </w:r>
      <w:proofErr w:type="spellStart"/>
      <w:r w:rsidRPr="000A0946">
        <w:rPr>
          <w:rFonts w:cstheme="minorHAnsi"/>
          <w:sz w:val="24"/>
          <w:szCs w:val="24"/>
        </w:rPr>
        <w:t>Raviele</w:t>
      </w:r>
      <w:proofErr w:type="spellEnd"/>
      <w:r w:rsidRPr="000A0946">
        <w:rPr>
          <w:rFonts w:cstheme="minorHAnsi"/>
          <w:sz w:val="24"/>
          <w:szCs w:val="24"/>
        </w:rPr>
        <w:t xml:space="preserve">, and M. Schneider, “A Comparison of the Fertile Phase as Determined by the </w:t>
      </w:r>
      <w:proofErr w:type="spellStart"/>
      <w:r w:rsidRPr="000A0946">
        <w:rPr>
          <w:rFonts w:cstheme="minorHAnsi"/>
          <w:sz w:val="24"/>
          <w:szCs w:val="24"/>
        </w:rPr>
        <w:t>Clearplan</w:t>
      </w:r>
      <w:proofErr w:type="spellEnd"/>
      <w:r w:rsidRPr="000A0946">
        <w:rPr>
          <w:rFonts w:cstheme="minorHAnsi"/>
          <w:sz w:val="24"/>
          <w:szCs w:val="24"/>
        </w:rPr>
        <w:t xml:space="preserve"> Easy Fertility Monitor and Self-Assessment of Cervical Mucus,” </w:t>
      </w:r>
      <w:r w:rsidRPr="000A0946">
        <w:rPr>
          <w:rFonts w:cstheme="minorHAnsi"/>
          <w:i/>
          <w:iCs/>
          <w:sz w:val="24"/>
          <w:szCs w:val="24"/>
        </w:rPr>
        <w:t>Contraception</w:t>
      </w:r>
      <w:r w:rsidRPr="000A0946">
        <w:rPr>
          <w:rFonts w:cstheme="minorHAnsi"/>
          <w:sz w:val="24"/>
          <w:szCs w:val="24"/>
        </w:rPr>
        <w:t xml:space="preserve"> 69 (2004): 9–14.</w:t>
      </w:r>
    </w:p>
    <w:p w14:paraId="6017A4F3" w14:textId="2F16441D" w:rsidR="0018081B" w:rsidRPr="000A0946" w:rsidRDefault="0018081B" w:rsidP="000A0946">
      <w:pPr>
        <w:spacing w:after="0"/>
        <w:ind w:left="720" w:hanging="720"/>
        <w:rPr>
          <w:rFonts w:cstheme="minorHAnsi"/>
          <w:sz w:val="24"/>
          <w:szCs w:val="24"/>
        </w:rPr>
      </w:pPr>
      <w:r w:rsidRPr="000A0946">
        <w:rPr>
          <w:rFonts w:cstheme="minorHAnsi"/>
          <w:sz w:val="24"/>
          <w:szCs w:val="24"/>
        </w:rPr>
        <w:t>24</w:t>
      </w:r>
      <w:r w:rsidR="00527C39" w:rsidRPr="000A0946">
        <w:rPr>
          <w:rFonts w:cstheme="minorHAnsi"/>
          <w:sz w:val="24"/>
          <w:szCs w:val="24"/>
        </w:rPr>
        <w:t xml:space="preserve"> </w:t>
      </w:r>
      <w:r w:rsidRPr="000A0946">
        <w:rPr>
          <w:rFonts w:cstheme="minorHAnsi"/>
          <w:sz w:val="24"/>
          <w:szCs w:val="24"/>
        </w:rPr>
        <w:t xml:space="preserve">P.G. McGovern et al., “Absence of Secretory Endometrium After False-Positive Home Urine </w:t>
      </w:r>
      <w:proofErr w:type="spellStart"/>
      <w:r w:rsidRPr="000A0946">
        <w:rPr>
          <w:rFonts w:cstheme="minorHAnsi"/>
          <w:sz w:val="24"/>
          <w:szCs w:val="24"/>
        </w:rPr>
        <w:t>Lutenizing</w:t>
      </w:r>
      <w:proofErr w:type="spellEnd"/>
      <w:r w:rsidRPr="000A0946">
        <w:rPr>
          <w:rFonts w:cstheme="minorHAnsi"/>
          <w:sz w:val="24"/>
          <w:szCs w:val="24"/>
        </w:rPr>
        <w:t xml:space="preserve"> Hormone Testing,” </w:t>
      </w:r>
      <w:r w:rsidRPr="000A0946">
        <w:rPr>
          <w:rFonts w:cstheme="minorHAnsi"/>
          <w:i/>
          <w:iCs/>
          <w:sz w:val="24"/>
          <w:szCs w:val="24"/>
        </w:rPr>
        <w:t>Fertility &amp; Sterility</w:t>
      </w:r>
      <w:r w:rsidRPr="000A0946">
        <w:rPr>
          <w:rFonts w:cstheme="minorHAnsi"/>
          <w:sz w:val="24"/>
          <w:szCs w:val="24"/>
        </w:rPr>
        <w:t xml:space="preserve"> 82 (2004): 1273–1277.</w:t>
      </w:r>
    </w:p>
    <w:p w14:paraId="061FE5D5" w14:textId="4CB3FCA3" w:rsidR="0018081B" w:rsidRPr="000A0946" w:rsidRDefault="0018081B" w:rsidP="000A0946">
      <w:pPr>
        <w:spacing w:after="0"/>
        <w:ind w:left="720" w:hanging="720"/>
        <w:rPr>
          <w:rFonts w:cstheme="minorHAnsi"/>
          <w:sz w:val="24"/>
          <w:szCs w:val="24"/>
        </w:rPr>
      </w:pPr>
      <w:r w:rsidRPr="000A0946">
        <w:rPr>
          <w:rFonts w:cstheme="minorHAnsi"/>
          <w:sz w:val="24"/>
          <w:szCs w:val="24"/>
        </w:rPr>
        <w:t>25</w:t>
      </w:r>
      <w:r w:rsidR="000A0946" w:rsidRPr="000A0946">
        <w:rPr>
          <w:rFonts w:cstheme="minorHAnsi"/>
          <w:sz w:val="24"/>
          <w:szCs w:val="24"/>
        </w:rPr>
        <w:t xml:space="preserve"> </w:t>
      </w:r>
      <w:r w:rsidRPr="000A0946">
        <w:rPr>
          <w:rFonts w:cstheme="minorHAnsi"/>
          <w:sz w:val="24"/>
          <w:szCs w:val="24"/>
        </w:rPr>
        <w:t xml:space="preserve">Fehring, </w:t>
      </w:r>
      <w:proofErr w:type="spellStart"/>
      <w:r w:rsidRPr="000A0946">
        <w:rPr>
          <w:rFonts w:cstheme="minorHAnsi"/>
          <w:sz w:val="24"/>
          <w:szCs w:val="24"/>
        </w:rPr>
        <w:t>Raviele</w:t>
      </w:r>
      <w:proofErr w:type="spellEnd"/>
      <w:r w:rsidRPr="000A0946">
        <w:rPr>
          <w:rFonts w:cstheme="minorHAnsi"/>
          <w:sz w:val="24"/>
          <w:szCs w:val="24"/>
        </w:rPr>
        <w:t>, and Schneider, “A Comparison of the Fertile Phase.”</w:t>
      </w:r>
    </w:p>
    <w:p w14:paraId="10C0D0E8" w14:textId="1FC28347" w:rsidR="0018081B" w:rsidRPr="000A0946" w:rsidRDefault="0018081B" w:rsidP="000A0946">
      <w:pPr>
        <w:spacing w:after="0"/>
        <w:ind w:left="720" w:hanging="720"/>
        <w:rPr>
          <w:rFonts w:cstheme="minorHAnsi"/>
          <w:sz w:val="24"/>
          <w:szCs w:val="24"/>
        </w:rPr>
      </w:pPr>
      <w:r w:rsidRPr="000A0946">
        <w:rPr>
          <w:rFonts w:cstheme="minorHAnsi"/>
          <w:sz w:val="24"/>
          <w:szCs w:val="24"/>
        </w:rPr>
        <w:t>26</w:t>
      </w:r>
      <w:r w:rsidR="000A0946" w:rsidRPr="000A0946">
        <w:rPr>
          <w:rFonts w:cstheme="minorHAnsi"/>
          <w:sz w:val="24"/>
          <w:szCs w:val="24"/>
        </w:rPr>
        <w:t xml:space="preserve"> </w:t>
      </w:r>
      <w:proofErr w:type="spellStart"/>
      <w:r w:rsidRPr="000A0946">
        <w:rPr>
          <w:rFonts w:cstheme="minorHAnsi"/>
          <w:sz w:val="24"/>
          <w:szCs w:val="24"/>
        </w:rPr>
        <w:t>Behre</w:t>
      </w:r>
      <w:proofErr w:type="spellEnd"/>
      <w:r w:rsidRPr="000A0946">
        <w:rPr>
          <w:rFonts w:cstheme="minorHAnsi"/>
          <w:sz w:val="24"/>
          <w:szCs w:val="24"/>
        </w:rPr>
        <w:t xml:space="preserve"> et al., “Prediction of Ovulation by Urinary Hormone Measurements.”</w:t>
      </w:r>
    </w:p>
    <w:p w14:paraId="501B146B" w14:textId="30AC6196" w:rsidR="0018081B" w:rsidRPr="000A0946" w:rsidRDefault="0018081B" w:rsidP="000A0946">
      <w:pPr>
        <w:spacing w:after="0"/>
        <w:ind w:left="720" w:hanging="720"/>
        <w:rPr>
          <w:rFonts w:cstheme="minorHAnsi"/>
          <w:sz w:val="24"/>
          <w:szCs w:val="24"/>
        </w:rPr>
      </w:pPr>
      <w:r w:rsidRPr="000A0946">
        <w:rPr>
          <w:rFonts w:cstheme="minorHAnsi"/>
          <w:sz w:val="24"/>
          <w:szCs w:val="24"/>
        </w:rPr>
        <w:t>27</w:t>
      </w:r>
      <w:r w:rsidR="000A0946" w:rsidRPr="000A0946">
        <w:rPr>
          <w:rFonts w:cstheme="minorHAnsi"/>
          <w:sz w:val="24"/>
          <w:szCs w:val="24"/>
        </w:rPr>
        <w:t xml:space="preserve"> </w:t>
      </w:r>
      <w:r w:rsidRPr="000A0946">
        <w:rPr>
          <w:rFonts w:cstheme="minorHAnsi"/>
          <w:sz w:val="24"/>
          <w:szCs w:val="24"/>
        </w:rPr>
        <w:t>Wilcox, Weinberg, and Baird, “Timing of Sexual Intercourse.”</w:t>
      </w:r>
    </w:p>
    <w:p w14:paraId="39EB394B" w14:textId="0BA1E67E" w:rsidR="0018081B" w:rsidRPr="000A0946" w:rsidRDefault="0018081B" w:rsidP="000A0946">
      <w:pPr>
        <w:spacing w:after="0"/>
        <w:ind w:left="720" w:hanging="720"/>
        <w:rPr>
          <w:rFonts w:cstheme="minorHAnsi"/>
          <w:sz w:val="24"/>
          <w:szCs w:val="24"/>
        </w:rPr>
      </w:pPr>
      <w:r w:rsidRPr="000A0946">
        <w:rPr>
          <w:rFonts w:cstheme="minorHAnsi"/>
          <w:sz w:val="24"/>
          <w:szCs w:val="24"/>
        </w:rPr>
        <w:t>28</w:t>
      </w:r>
      <w:r w:rsidR="000A0946" w:rsidRPr="000A0946">
        <w:rPr>
          <w:rFonts w:cstheme="minorHAnsi"/>
          <w:sz w:val="24"/>
          <w:szCs w:val="24"/>
        </w:rPr>
        <w:t xml:space="preserve"> </w:t>
      </w:r>
      <w:r w:rsidRPr="000A0946">
        <w:rPr>
          <w:rFonts w:cstheme="minorHAnsi"/>
          <w:sz w:val="24"/>
          <w:szCs w:val="24"/>
        </w:rPr>
        <w:t>Wilcox, Dunson, and Baird, “The Timing of the ‘Fertile Window.'”</w:t>
      </w:r>
    </w:p>
    <w:p w14:paraId="1001C5B8" w14:textId="669976F1" w:rsidR="0018081B" w:rsidRPr="000A0946" w:rsidRDefault="0018081B" w:rsidP="000A0946">
      <w:pPr>
        <w:spacing w:after="0"/>
        <w:ind w:left="720" w:hanging="720"/>
        <w:rPr>
          <w:rFonts w:cstheme="minorHAnsi"/>
          <w:sz w:val="24"/>
          <w:szCs w:val="24"/>
        </w:rPr>
      </w:pPr>
      <w:r w:rsidRPr="000A0946">
        <w:rPr>
          <w:rFonts w:cstheme="minorHAnsi"/>
          <w:sz w:val="24"/>
          <w:szCs w:val="24"/>
        </w:rPr>
        <w:t>29</w:t>
      </w:r>
      <w:r w:rsidR="000A0946" w:rsidRPr="000A0946">
        <w:rPr>
          <w:rFonts w:cstheme="minorHAnsi"/>
          <w:sz w:val="24"/>
          <w:szCs w:val="24"/>
        </w:rPr>
        <w:t xml:space="preserve"> </w:t>
      </w:r>
      <w:r w:rsidRPr="000A0946">
        <w:rPr>
          <w:rFonts w:cstheme="minorHAnsi"/>
          <w:sz w:val="24"/>
          <w:szCs w:val="24"/>
        </w:rPr>
        <w:t xml:space="preserve">Sinai, Jennings, and </w:t>
      </w:r>
      <w:proofErr w:type="spellStart"/>
      <w:r w:rsidRPr="000A0946">
        <w:rPr>
          <w:rFonts w:cstheme="minorHAnsi"/>
          <w:sz w:val="24"/>
          <w:szCs w:val="24"/>
        </w:rPr>
        <w:t>Arévalo</w:t>
      </w:r>
      <w:proofErr w:type="spellEnd"/>
      <w:r w:rsidRPr="000A0946">
        <w:rPr>
          <w:rFonts w:cstheme="minorHAnsi"/>
          <w:sz w:val="24"/>
          <w:szCs w:val="24"/>
        </w:rPr>
        <w:t>, “The Importance of Screening and Monitoring.”</w:t>
      </w:r>
    </w:p>
    <w:p w14:paraId="2F0AE4A8" w14:textId="25CC27C2" w:rsidR="0018081B" w:rsidRPr="000A0946" w:rsidRDefault="0018081B" w:rsidP="000A0946">
      <w:pPr>
        <w:spacing w:after="0"/>
        <w:ind w:left="720" w:hanging="720"/>
        <w:rPr>
          <w:rFonts w:cstheme="minorHAnsi"/>
          <w:sz w:val="24"/>
          <w:szCs w:val="24"/>
        </w:rPr>
      </w:pPr>
      <w:r w:rsidRPr="000A0946">
        <w:rPr>
          <w:rFonts w:cstheme="minorHAnsi"/>
          <w:sz w:val="24"/>
          <w:szCs w:val="24"/>
        </w:rPr>
        <w:t>30</w:t>
      </w:r>
      <w:r w:rsidR="000A0946" w:rsidRPr="000A0946">
        <w:rPr>
          <w:rFonts w:cstheme="minorHAnsi"/>
          <w:sz w:val="24"/>
          <w:szCs w:val="24"/>
        </w:rPr>
        <w:t xml:space="preserve"> </w:t>
      </w:r>
      <w:r w:rsidRPr="000A0946">
        <w:rPr>
          <w:rFonts w:cstheme="minorHAnsi"/>
          <w:sz w:val="24"/>
          <w:szCs w:val="24"/>
        </w:rPr>
        <w:t>Sinai, Lundgren, and Gribble, “Continued Use of the Standard Days Method.”</w:t>
      </w:r>
    </w:p>
    <w:p w14:paraId="4FF2DF71" w14:textId="314911E9" w:rsidR="0018081B" w:rsidRPr="000A0946" w:rsidRDefault="0018081B" w:rsidP="000A0946">
      <w:pPr>
        <w:spacing w:after="0"/>
        <w:ind w:left="720" w:hanging="720"/>
        <w:rPr>
          <w:rFonts w:cstheme="minorHAnsi"/>
          <w:sz w:val="24"/>
          <w:szCs w:val="24"/>
        </w:rPr>
      </w:pPr>
      <w:r w:rsidRPr="000A0946">
        <w:rPr>
          <w:rFonts w:cstheme="minorHAnsi"/>
          <w:sz w:val="24"/>
          <w:szCs w:val="24"/>
        </w:rPr>
        <w:t>31</w:t>
      </w:r>
      <w:r w:rsidR="000A0946" w:rsidRPr="000A0946">
        <w:rPr>
          <w:rFonts w:cstheme="minorHAnsi"/>
          <w:sz w:val="24"/>
          <w:szCs w:val="24"/>
        </w:rPr>
        <w:t xml:space="preserve"> </w:t>
      </w:r>
      <w:proofErr w:type="spellStart"/>
      <w:r w:rsidRPr="000A0946">
        <w:rPr>
          <w:rFonts w:cstheme="minorHAnsi"/>
          <w:sz w:val="24"/>
          <w:szCs w:val="24"/>
        </w:rPr>
        <w:t>Arévalo</w:t>
      </w:r>
      <w:proofErr w:type="spellEnd"/>
      <w:r w:rsidRPr="000A0946">
        <w:rPr>
          <w:rFonts w:cstheme="minorHAnsi"/>
          <w:sz w:val="24"/>
          <w:szCs w:val="24"/>
        </w:rPr>
        <w:t xml:space="preserve"> et al., “Efficacy of a New Method of Family Planning: The </w:t>
      </w:r>
      <w:proofErr w:type="spellStart"/>
      <w:r w:rsidRPr="000A0946">
        <w:rPr>
          <w:rFonts w:cstheme="minorHAnsi"/>
          <w:sz w:val="24"/>
          <w:szCs w:val="24"/>
        </w:rPr>
        <w:t>TwoDay</w:t>
      </w:r>
      <w:proofErr w:type="spellEnd"/>
      <w:r w:rsidRPr="000A0946">
        <w:rPr>
          <w:rFonts w:cstheme="minorHAnsi"/>
          <w:sz w:val="24"/>
          <w:szCs w:val="24"/>
        </w:rPr>
        <w:t xml:space="preserve"> Method.”</w:t>
      </w:r>
    </w:p>
    <w:p w14:paraId="3372C6CC" w14:textId="62919557" w:rsidR="0018081B" w:rsidRPr="000A0946" w:rsidRDefault="0018081B" w:rsidP="000A0946">
      <w:pPr>
        <w:spacing w:after="0"/>
        <w:ind w:left="720" w:hanging="720"/>
        <w:rPr>
          <w:rFonts w:cstheme="minorHAnsi"/>
          <w:sz w:val="24"/>
          <w:szCs w:val="24"/>
        </w:rPr>
      </w:pPr>
      <w:r w:rsidRPr="000A0946">
        <w:rPr>
          <w:rFonts w:cstheme="minorHAnsi"/>
          <w:sz w:val="24"/>
          <w:szCs w:val="24"/>
        </w:rPr>
        <w:lastRenderedPageBreak/>
        <w:t>32</w:t>
      </w:r>
      <w:r w:rsidR="000A0946" w:rsidRPr="000A0946">
        <w:rPr>
          <w:rFonts w:cstheme="minorHAnsi"/>
          <w:sz w:val="24"/>
          <w:szCs w:val="24"/>
        </w:rPr>
        <w:t xml:space="preserve"> </w:t>
      </w:r>
      <w:r w:rsidRPr="000A0946">
        <w:rPr>
          <w:rFonts w:cstheme="minorHAnsi"/>
          <w:sz w:val="24"/>
          <w:szCs w:val="24"/>
        </w:rPr>
        <w:t xml:space="preserve">I. Sinai and J. </w:t>
      </w:r>
      <w:proofErr w:type="spellStart"/>
      <w:r w:rsidRPr="000A0946">
        <w:rPr>
          <w:rFonts w:cstheme="minorHAnsi"/>
          <w:sz w:val="24"/>
          <w:szCs w:val="24"/>
        </w:rPr>
        <w:t>Cachan</w:t>
      </w:r>
      <w:proofErr w:type="spellEnd"/>
      <w:r w:rsidRPr="000A0946">
        <w:rPr>
          <w:rFonts w:cstheme="minorHAnsi"/>
          <w:sz w:val="24"/>
          <w:szCs w:val="24"/>
        </w:rPr>
        <w:t xml:space="preserve">, “A Bridge for Postpartum Women to Standard Days Method, I. Developing the Bridge,” </w:t>
      </w:r>
      <w:r w:rsidRPr="000A0946">
        <w:rPr>
          <w:rFonts w:cstheme="minorHAnsi"/>
          <w:i/>
          <w:iCs/>
          <w:sz w:val="24"/>
          <w:szCs w:val="24"/>
        </w:rPr>
        <w:t>Contraception</w:t>
      </w:r>
      <w:r w:rsidRPr="000A0946">
        <w:rPr>
          <w:rFonts w:cstheme="minorHAnsi"/>
          <w:sz w:val="24"/>
          <w:szCs w:val="24"/>
        </w:rPr>
        <w:t xml:space="preserve"> 86 (2012): 12–15; I. Sinai and J. </w:t>
      </w:r>
      <w:proofErr w:type="spellStart"/>
      <w:r w:rsidRPr="000A0946">
        <w:rPr>
          <w:rFonts w:cstheme="minorHAnsi"/>
          <w:sz w:val="24"/>
          <w:szCs w:val="24"/>
        </w:rPr>
        <w:t>Cachan</w:t>
      </w:r>
      <w:proofErr w:type="spellEnd"/>
      <w:r w:rsidRPr="000A0946">
        <w:rPr>
          <w:rFonts w:cstheme="minorHAnsi"/>
          <w:sz w:val="24"/>
          <w:szCs w:val="24"/>
        </w:rPr>
        <w:t xml:space="preserve">, “A Bridge for Postpartum Women to Standard Days Method, II. Efficacy Study,” </w:t>
      </w:r>
      <w:r w:rsidRPr="000A0946">
        <w:rPr>
          <w:rFonts w:cstheme="minorHAnsi"/>
          <w:i/>
          <w:iCs/>
          <w:sz w:val="24"/>
          <w:szCs w:val="24"/>
        </w:rPr>
        <w:t>Contraception</w:t>
      </w:r>
      <w:r w:rsidRPr="000A0946">
        <w:rPr>
          <w:rFonts w:cstheme="minorHAnsi"/>
          <w:sz w:val="24"/>
          <w:szCs w:val="24"/>
        </w:rPr>
        <w:t xml:space="preserve"> 86 (2012): 16–21.</w:t>
      </w:r>
    </w:p>
    <w:p w14:paraId="5541444B" w14:textId="5ACD5E4D" w:rsidR="0018081B" w:rsidRPr="000A0946" w:rsidRDefault="0018081B" w:rsidP="000A0946">
      <w:pPr>
        <w:spacing w:after="0"/>
        <w:ind w:left="720" w:hanging="720"/>
        <w:rPr>
          <w:rFonts w:cstheme="minorHAnsi"/>
          <w:sz w:val="24"/>
          <w:szCs w:val="24"/>
        </w:rPr>
      </w:pPr>
      <w:r w:rsidRPr="000A0946">
        <w:rPr>
          <w:rFonts w:cstheme="minorHAnsi"/>
          <w:sz w:val="24"/>
          <w:szCs w:val="24"/>
        </w:rPr>
        <w:t>33</w:t>
      </w:r>
      <w:r w:rsidR="000A0946" w:rsidRPr="000A0946">
        <w:rPr>
          <w:rFonts w:cstheme="minorHAnsi"/>
          <w:sz w:val="24"/>
          <w:szCs w:val="24"/>
        </w:rPr>
        <w:t xml:space="preserve"> </w:t>
      </w:r>
      <w:r w:rsidRPr="000A0946">
        <w:rPr>
          <w:rFonts w:cstheme="minorHAnsi"/>
          <w:sz w:val="24"/>
          <w:szCs w:val="24"/>
        </w:rPr>
        <w:t xml:space="preserve">World Health Organization, “A Prospective </w:t>
      </w:r>
      <w:proofErr w:type="spellStart"/>
      <w:r w:rsidRPr="000A0946">
        <w:rPr>
          <w:rFonts w:cstheme="minorHAnsi"/>
          <w:sz w:val="24"/>
          <w:szCs w:val="24"/>
        </w:rPr>
        <w:t>Multicentre</w:t>
      </w:r>
      <w:proofErr w:type="spellEnd"/>
      <w:r w:rsidRPr="000A0946">
        <w:rPr>
          <w:rFonts w:cstheme="minorHAnsi"/>
          <w:sz w:val="24"/>
          <w:szCs w:val="24"/>
        </w:rPr>
        <w:t xml:space="preserve"> Trial of the Ovulation Method of Natural Family Planning, II. The Effectiveness Phase,” </w:t>
      </w:r>
      <w:r w:rsidRPr="000A0946">
        <w:rPr>
          <w:rFonts w:cstheme="minorHAnsi"/>
          <w:i/>
          <w:iCs/>
          <w:sz w:val="24"/>
          <w:szCs w:val="24"/>
        </w:rPr>
        <w:t>Fertility &amp; Sterility</w:t>
      </w:r>
      <w:r w:rsidRPr="000A0946">
        <w:rPr>
          <w:rFonts w:cstheme="minorHAnsi"/>
          <w:sz w:val="24"/>
          <w:szCs w:val="24"/>
        </w:rPr>
        <w:t xml:space="preserve"> 36 (1981): 591–598.</w:t>
      </w:r>
    </w:p>
    <w:p w14:paraId="43E5D653" w14:textId="203EA121" w:rsidR="0018081B" w:rsidRPr="000A0946" w:rsidRDefault="0018081B" w:rsidP="000A0946">
      <w:pPr>
        <w:spacing w:after="0"/>
        <w:ind w:left="720" w:hanging="720"/>
        <w:rPr>
          <w:rFonts w:cstheme="minorHAnsi"/>
          <w:sz w:val="24"/>
          <w:szCs w:val="24"/>
        </w:rPr>
      </w:pPr>
      <w:r w:rsidRPr="000A0946">
        <w:rPr>
          <w:rFonts w:cstheme="minorHAnsi"/>
          <w:sz w:val="24"/>
          <w:szCs w:val="24"/>
        </w:rPr>
        <w:t>34</w:t>
      </w:r>
      <w:r w:rsidR="000A0946" w:rsidRPr="000A0946">
        <w:rPr>
          <w:rFonts w:cstheme="minorHAnsi"/>
          <w:sz w:val="24"/>
          <w:szCs w:val="24"/>
        </w:rPr>
        <w:t xml:space="preserve"> </w:t>
      </w:r>
      <w:proofErr w:type="spellStart"/>
      <w:r w:rsidRPr="000A0946">
        <w:rPr>
          <w:rFonts w:cstheme="minorHAnsi"/>
          <w:sz w:val="24"/>
          <w:szCs w:val="24"/>
        </w:rPr>
        <w:t>Arévalo</w:t>
      </w:r>
      <w:proofErr w:type="spellEnd"/>
      <w:r w:rsidRPr="000A0946">
        <w:rPr>
          <w:rFonts w:cstheme="minorHAnsi"/>
          <w:sz w:val="24"/>
          <w:szCs w:val="24"/>
        </w:rPr>
        <w:t xml:space="preserve"> et al., “Efficacy of a New Method of Family Planning: The </w:t>
      </w:r>
      <w:proofErr w:type="spellStart"/>
      <w:r w:rsidRPr="000A0946">
        <w:rPr>
          <w:rFonts w:cstheme="minorHAnsi"/>
          <w:sz w:val="24"/>
          <w:szCs w:val="24"/>
        </w:rPr>
        <w:t>TwoDay</w:t>
      </w:r>
      <w:proofErr w:type="spellEnd"/>
      <w:r w:rsidRPr="000A0946">
        <w:rPr>
          <w:rFonts w:cstheme="minorHAnsi"/>
          <w:sz w:val="24"/>
          <w:szCs w:val="24"/>
        </w:rPr>
        <w:t xml:space="preserve"> Method.”</w:t>
      </w:r>
    </w:p>
    <w:p w14:paraId="25186944" w14:textId="77777777" w:rsidR="0018081B" w:rsidRPr="000A0946" w:rsidRDefault="0018081B" w:rsidP="00D14423">
      <w:pPr>
        <w:rPr>
          <w:rFonts w:cstheme="minorHAnsi"/>
          <w:sz w:val="24"/>
          <w:szCs w:val="24"/>
        </w:rPr>
      </w:pPr>
    </w:p>
    <w:sectPr w:rsidR="0018081B" w:rsidRPr="000A0946"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ocumentProtection w:edit="readOnly" w:formatting="1" w:enforcement="1" w:cryptProviderType="rsaAES" w:cryptAlgorithmClass="hash" w:cryptAlgorithmType="typeAny" w:cryptAlgorithmSid="14" w:cryptSpinCount="100000" w:hash="zv2ETQigTZrUHB/XIdskINfB/8WA2IyqMbqYZ/8M//bOZhATUKDPpwJequob1PJXPto7HYgdMoDzeuayc1/E1w==" w:salt="yXBiFPZYUQieRbHAtIPRz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078C"/>
    <w:rsid w:val="000416AD"/>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46"/>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6365"/>
    <w:rsid w:val="00131A15"/>
    <w:rsid w:val="00131C28"/>
    <w:rsid w:val="00134CF7"/>
    <w:rsid w:val="0014182B"/>
    <w:rsid w:val="0014490B"/>
    <w:rsid w:val="00146A5C"/>
    <w:rsid w:val="00146E50"/>
    <w:rsid w:val="00150DB6"/>
    <w:rsid w:val="00154D34"/>
    <w:rsid w:val="00160E1F"/>
    <w:rsid w:val="00161372"/>
    <w:rsid w:val="001622DB"/>
    <w:rsid w:val="00163F71"/>
    <w:rsid w:val="001725EE"/>
    <w:rsid w:val="00173556"/>
    <w:rsid w:val="0018081B"/>
    <w:rsid w:val="0018114F"/>
    <w:rsid w:val="00181ADF"/>
    <w:rsid w:val="00183A38"/>
    <w:rsid w:val="001854EA"/>
    <w:rsid w:val="00185C26"/>
    <w:rsid w:val="00196C7C"/>
    <w:rsid w:val="001A1C71"/>
    <w:rsid w:val="001A1DF4"/>
    <w:rsid w:val="001A34C4"/>
    <w:rsid w:val="001B6E76"/>
    <w:rsid w:val="001C3A3F"/>
    <w:rsid w:val="001C5BB2"/>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66B"/>
    <w:rsid w:val="0024134B"/>
    <w:rsid w:val="00241F16"/>
    <w:rsid w:val="00242A71"/>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011A"/>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4477"/>
    <w:rsid w:val="0037755D"/>
    <w:rsid w:val="00381F0E"/>
    <w:rsid w:val="0038549B"/>
    <w:rsid w:val="0038628A"/>
    <w:rsid w:val="0038634F"/>
    <w:rsid w:val="00386BF6"/>
    <w:rsid w:val="00391C48"/>
    <w:rsid w:val="00391CF1"/>
    <w:rsid w:val="00394337"/>
    <w:rsid w:val="003A437A"/>
    <w:rsid w:val="003A503E"/>
    <w:rsid w:val="003A6039"/>
    <w:rsid w:val="003B47FA"/>
    <w:rsid w:val="003B6208"/>
    <w:rsid w:val="003B7F8F"/>
    <w:rsid w:val="003C4172"/>
    <w:rsid w:val="003C437D"/>
    <w:rsid w:val="003C4456"/>
    <w:rsid w:val="003D3301"/>
    <w:rsid w:val="003D3CA7"/>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026"/>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487C"/>
    <w:rsid w:val="0052658A"/>
    <w:rsid w:val="00527C39"/>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43A8"/>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27FA6"/>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3785"/>
    <w:rsid w:val="006A533C"/>
    <w:rsid w:val="006A5E52"/>
    <w:rsid w:val="006A712D"/>
    <w:rsid w:val="006A7B71"/>
    <w:rsid w:val="006B20FD"/>
    <w:rsid w:val="006B3B2B"/>
    <w:rsid w:val="006C024E"/>
    <w:rsid w:val="006C7ED1"/>
    <w:rsid w:val="006D13CF"/>
    <w:rsid w:val="006D75E1"/>
    <w:rsid w:val="006D7670"/>
    <w:rsid w:val="006E10F4"/>
    <w:rsid w:val="006E10FD"/>
    <w:rsid w:val="006E2996"/>
    <w:rsid w:val="006E2EEC"/>
    <w:rsid w:val="006E471E"/>
    <w:rsid w:val="006E4859"/>
    <w:rsid w:val="006F24E3"/>
    <w:rsid w:val="006F2E25"/>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929"/>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216E"/>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5C7C"/>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B30"/>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12D5"/>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5561"/>
    <w:rsid w:val="00A227D5"/>
    <w:rsid w:val="00A231A4"/>
    <w:rsid w:val="00A310DA"/>
    <w:rsid w:val="00A32FCB"/>
    <w:rsid w:val="00A3561C"/>
    <w:rsid w:val="00A400BC"/>
    <w:rsid w:val="00A40701"/>
    <w:rsid w:val="00A42169"/>
    <w:rsid w:val="00A424F1"/>
    <w:rsid w:val="00A426B2"/>
    <w:rsid w:val="00A45EE8"/>
    <w:rsid w:val="00A46054"/>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8F7"/>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2EFD"/>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2EAB"/>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44B2"/>
    <w:rsid w:val="00C27AEF"/>
    <w:rsid w:val="00C3110E"/>
    <w:rsid w:val="00C32D9C"/>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4248"/>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42F0"/>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1F6D"/>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3126"/>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7B8"/>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0C8D"/>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8610">
      <w:bodyDiv w:val="1"/>
      <w:marLeft w:val="0"/>
      <w:marRight w:val="0"/>
      <w:marTop w:val="0"/>
      <w:marBottom w:val="0"/>
      <w:divBdr>
        <w:top w:val="none" w:sz="0" w:space="0" w:color="auto"/>
        <w:left w:val="none" w:sz="0" w:space="0" w:color="auto"/>
        <w:bottom w:val="none" w:sz="0" w:space="0" w:color="auto"/>
        <w:right w:val="none" w:sz="0" w:space="0" w:color="auto"/>
      </w:divBdr>
      <w:divsChild>
        <w:div w:id="1494563476">
          <w:marLeft w:val="0"/>
          <w:marRight w:val="0"/>
          <w:marTop w:val="0"/>
          <w:marBottom w:val="0"/>
          <w:divBdr>
            <w:top w:val="none" w:sz="0" w:space="0" w:color="auto"/>
            <w:left w:val="none" w:sz="0" w:space="0" w:color="auto"/>
            <w:bottom w:val="none" w:sz="0" w:space="0" w:color="auto"/>
            <w:right w:val="none" w:sz="0" w:space="0" w:color="auto"/>
          </w:divBdr>
          <w:divsChild>
            <w:div w:id="1935431302">
              <w:marLeft w:val="0"/>
              <w:marRight w:val="0"/>
              <w:marTop w:val="0"/>
              <w:marBottom w:val="0"/>
              <w:divBdr>
                <w:top w:val="none" w:sz="0" w:space="0" w:color="auto"/>
                <w:left w:val="none" w:sz="0" w:space="0" w:color="auto"/>
                <w:bottom w:val="none" w:sz="0" w:space="0" w:color="auto"/>
                <w:right w:val="none" w:sz="0" w:space="0" w:color="auto"/>
              </w:divBdr>
              <w:divsChild>
                <w:div w:id="1761872426">
                  <w:marLeft w:val="0"/>
                  <w:marRight w:val="0"/>
                  <w:marTop w:val="0"/>
                  <w:marBottom w:val="0"/>
                  <w:divBdr>
                    <w:top w:val="none" w:sz="0" w:space="0" w:color="auto"/>
                    <w:left w:val="none" w:sz="0" w:space="0" w:color="auto"/>
                    <w:bottom w:val="none" w:sz="0" w:space="0" w:color="auto"/>
                    <w:right w:val="none" w:sz="0" w:space="0" w:color="auto"/>
                  </w:divBdr>
                </w:div>
                <w:div w:id="1955819234">
                  <w:marLeft w:val="0"/>
                  <w:marRight w:val="0"/>
                  <w:marTop w:val="0"/>
                  <w:marBottom w:val="0"/>
                  <w:divBdr>
                    <w:top w:val="none" w:sz="0" w:space="0" w:color="auto"/>
                    <w:left w:val="none" w:sz="0" w:space="0" w:color="auto"/>
                    <w:bottom w:val="none" w:sz="0" w:space="0" w:color="auto"/>
                    <w:right w:val="none" w:sz="0" w:space="0" w:color="auto"/>
                  </w:divBdr>
                  <w:divsChild>
                    <w:div w:id="127358739">
                      <w:marLeft w:val="0"/>
                      <w:marRight w:val="0"/>
                      <w:marTop w:val="0"/>
                      <w:marBottom w:val="0"/>
                      <w:divBdr>
                        <w:top w:val="none" w:sz="0" w:space="0" w:color="auto"/>
                        <w:left w:val="none" w:sz="0" w:space="0" w:color="auto"/>
                        <w:bottom w:val="none" w:sz="0" w:space="0" w:color="auto"/>
                        <w:right w:val="none" w:sz="0" w:space="0" w:color="auto"/>
                      </w:divBdr>
                    </w:div>
                    <w:div w:id="6328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81253">
              <w:marLeft w:val="0"/>
              <w:marRight w:val="0"/>
              <w:marTop w:val="0"/>
              <w:marBottom w:val="0"/>
              <w:divBdr>
                <w:top w:val="none" w:sz="0" w:space="0" w:color="auto"/>
                <w:left w:val="none" w:sz="0" w:space="0" w:color="auto"/>
                <w:bottom w:val="none" w:sz="0" w:space="0" w:color="auto"/>
                <w:right w:val="none" w:sz="0" w:space="0" w:color="auto"/>
              </w:divBdr>
              <w:divsChild>
                <w:div w:id="18164464">
                  <w:marLeft w:val="0"/>
                  <w:marRight w:val="0"/>
                  <w:marTop w:val="0"/>
                  <w:marBottom w:val="0"/>
                  <w:divBdr>
                    <w:top w:val="none" w:sz="0" w:space="0" w:color="auto"/>
                    <w:left w:val="none" w:sz="0" w:space="0" w:color="auto"/>
                    <w:bottom w:val="none" w:sz="0" w:space="0" w:color="auto"/>
                    <w:right w:val="none" w:sz="0" w:space="0" w:color="auto"/>
                  </w:divBdr>
                  <w:divsChild>
                    <w:div w:id="18598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124">
          <w:marLeft w:val="0"/>
          <w:marRight w:val="0"/>
          <w:marTop w:val="0"/>
          <w:marBottom w:val="0"/>
          <w:divBdr>
            <w:top w:val="none" w:sz="0" w:space="0" w:color="auto"/>
            <w:left w:val="none" w:sz="0" w:space="0" w:color="auto"/>
            <w:bottom w:val="none" w:sz="0" w:space="0" w:color="auto"/>
            <w:right w:val="none" w:sz="0" w:space="0" w:color="auto"/>
          </w:divBdr>
          <w:divsChild>
            <w:div w:id="1207448815">
              <w:marLeft w:val="0"/>
              <w:marRight w:val="0"/>
              <w:marTop w:val="0"/>
              <w:marBottom w:val="0"/>
              <w:divBdr>
                <w:top w:val="none" w:sz="0" w:space="0" w:color="auto"/>
                <w:left w:val="none" w:sz="0" w:space="0" w:color="auto"/>
                <w:bottom w:val="none" w:sz="0" w:space="0" w:color="auto"/>
                <w:right w:val="none" w:sz="0" w:space="0" w:color="auto"/>
              </w:divBdr>
            </w:div>
            <w:div w:id="1176459760">
              <w:marLeft w:val="0"/>
              <w:marRight w:val="0"/>
              <w:marTop w:val="0"/>
              <w:marBottom w:val="0"/>
              <w:divBdr>
                <w:top w:val="none" w:sz="0" w:space="0" w:color="auto"/>
                <w:left w:val="none" w:sz="0" w:space="0" w:color="auto"/>
                <w:bottom w:val="none" w:sz="0" w:space="0" w:color="auto"/>
                <w:right w:val="none" w:sz="0" w:space="0" w:color="auto"/>
              </w:divBdr>
              <w:divsChild>
                <w:div w:id="1619943536">
                  <w:marLeft w:val="0"/>
                  <w:marRight w:val="0"/>
                  <w:marTop w:val="0"/>
                  <w:marBottom w:val="0"/>
                  <w:divBdr>
                    <w:top w:val="none" w:sz="0" w:space="0" w:color="auto"/>
                    <w:left w:val="none" w:sz="0" w:space="0" w:color="auto"/>
                    <w:bottom w:val="none" w:sz="0" w:space="0" w:color="auto"/>
                    <w:right w:val="none" w:sz="0" w:space="0" w:color="auto"/>
                  </w:divBdr>
                  <w:divsChild>
                    <w:div w:id="1185703594">
                      <w:marLeft w:val="0"/>
                      <w:marRight w:val="0"/>
                      <w:marTop w:val="0"/>
                      <w:marBottom w:val="0"/>
                      <w:divBdr>
                        <w:top w:val="none" w:sz="0" w:space="0" w:color="auto"/>
                        <w:left w:val="none" w:sz="0" w:space="0" w:color="auto"/>
                        <w:bottom w:val="none" w:sz="0" w:space="0" w:color="auto"/>
                        <w:right w:val="none" w:sz="0" w:space="0" w:color="auto"/>
                      </w:divBdr>
                    </w:div>
                    <w:div w:id="9972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123983">
          <w:marLeft w:val="0"/>
          <w:marRight w:val="0"/>
          <w:marTop w:val="0"/>
          <w:marBottom w:val="0"/>
          <w:divBdr>
            <w:top w:val="none" w:sz="0" w:space="0" w:color="auto"/>
            <w:left w:val="none" w:sz="0" w:space="0" w:color="auto"/>
            <w:bottom w:val="none" w:sz="0" w:space="0" w:color="auto"/>
            <w:right w:val="none" w:sz="0" w:space="0" w:color="auto"/>
          </w:divBdr>
          <w:divsChild>
            <w:div w:id="1481187726">
              <w:marLeft w:val="0"/>
              <w:marRight w:val="0"/>
              <w:marTop w:val="0"/>
              <w:marBottom w:val="0"/>
              <w:divBdr>
                <w:top w:val="none" w:sz="0" w:space="0" w:color="auto"/>
                <w:left w:val="none" w:sz="0" w:space="0" w:color="auto"/>
                <w:bottom w:val="none" w:sz="0" w:space="0" w:color="auto"/>
                <w:right w:val="none" w:sz="0" w:space="0" w:color="auto"/>
              </w:divBdr>
              <w:divsChild>
                <w:div w:id="600918832">
                  <w:marLeft w:val="0"/>
                  <w:marRight w:val="0"/>
                  <w:marTop w:val="0"/>
                  <w:marBottom w:val="0"/>
                  <w:divBdr>
                    <w:top w:val="none" w:sz="0" w:space="0" w:color="auto"/>
                    <w:left w:val="none" w:sz="0" w:space="0" w:color="auto"/>
                    <w:bottom w:val="none" w:sz="0" w:space="0" w:color="auto"/>
                    <w:right w:val="none" w:sz="0" w:space="0" w:color="auto"/>
                  </w:divBdr>
                  <w:divsChild>
                    <w:div w:id="634993125">
                      <w:marLeft w:val="0"/>
                      <w:marRight w:val="0"/>
                      <w:marTop w:val="0"/>
                      <w:marBottom w:val="0"/>
                      <w:divBdr>
                        <w:top w:val="none" w:sz="0" w:space="0" w:color="auto"/>
                        <w:left w:val="none" w:sz="0" w:space="0" w:color="auto"/>
                        <w:bottom w:val="none" w:sz="0" w:space="0" w:color="auto"/>
                        <w:right w:val="none" w:sz="0" w:space="0" w:color="auto"/>
                      </w:divBdr>
                      <w:divsChild>
                        <w:div w:id="339157884">
                          <w:marLeft w:val="0"/>
                          <w:marRight w:val="0"/>
                          <w:marTop w:val="0"/>
                          <w:marBottom w:val="0"/>
                          <w:divBdr>
                            <w:top w:val="none" w:sz="0" w:space="0" w:color="auto"/>
                            <w:left w:val="none" w:sz="0" w:space="0" w:color="auto"/>
                            <w:bottom w:val="none" w:sz="0" w:space="0" w:color="auto"/>
                            <w:right w:val="none" w:sz="0" w:space="0" w:color="auto"/>
                          </w:divBdr>
                          <w:divsChild>
                            <w:div w:id="714692501">
                              <w:marLeft w:val="0"/>
                              <w:marRight w:val="0"/>
                              <w:marTop w:val="0"/>
                              <w:marBottom w:val="0"/>
                              <w:divBdr>
                                <w:top w:val="none" w:sz="0" w:space="0" w:color="auto"/>
                                <w:left w:val="none" w:sz="0" w:space="0" w:color="auto"/>
                                <w:bottom w:val="none" w:sz="0" w:space="0" w:color="auto"/>
                                <w:right w:val="none" w:sz="0" w:space="0" w:color="auto"/>
                              </w:divBdr>
                            </w:div>
                            <w:div w:id="874273075">
                              <w:marLeft w:val="0"/>
                              <w:marRight w:val="0"/>
                              <w:marTop w:val="0"/>
                              <w:marBottom w:val="0"/>
                              <w:divBdr>
                                <w:top w:val="none" w:sz="0" w:space="0" w:color="auto"/>
                                <w:left w:val="none" w:sz="0" w:space="0" w:color="auto"/>
                                <w:bottom w:val="none" w:sz="0" w:space="0" w:color="auto"/>
                                <w:right w:val="none" w:sz="0" w:space="0" w:color="auto"/>
                              </w:divBdr>
                              <w:divsChild>
                                <w:div w:id="4197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50634">
                          <w:marLeft w:val="0"/>
                          <w:marRight w:val="0"/>
                          <w:marTop w:val="0"/>
                          <w:marBottom w:val="0"/>
                          <w:divBdr>
                            <w:top w:val="none" w:sz="0" w:space="0" w:color="auto"/>
                            <w:left w:val="none" w:sz="0" w:space="0" w:color="auto"/>
                            <w:bottom w:val="none" w:sz="0" w:space="0" w:color="auto"/>
                            <w:right w:val="none" w:sz="0" w:space="0" w:color="auto"/>
                          </w:divBdr>
                          <w:divsChild>
                            <w:div w:id="1304971134">
                              <w:marLeft w:val="0"/>
                              <w:marRight w:val="0"/>
                              <w:marTop w:val="0"/>
                              <w:marBottom w:val="0"/>
                              <w:divBdr>
                                <w:top w:val="none" w:sz="0" w:space="0" w:color="auto"/>
                                <w:left w:val="none" w:sz="0" w:space="0" w:color="auto"/>
                                <w:bottom w:val="none" w:sz="0" w:space="0" w:color="auto"/>
                                <w:right w:val="none" w:sz="0" w:space="0" w:color="auto"/>
                              </w:divBdr>
                            </w:div>
                            <w:div w:id="1349405429">
                              <w:marLeft w:val="0"/>
                              <w:marRight w:val="0"/>
                              <w:marTop w:val="0"/>
                              <w:marBottom w:val="0"/>
                              <w:divBdr>
                                <w:top w:val="none" w:sz="0" w:space="0" w:color="auto"/>
                                <w:left w:val="none" w:sz="0" w:space="0" w:color="auto"/>
                                <w:bottom w:val="none" w:sz="0" w:space="0" w:color="auto"/>
                                <w:right w:val="none" w:sz="0" w:space="0" w:color="auto"/>
                              </w:divBdr>
                              <w:divsChild>
                                <w:div w:id="14583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1357">
                          <w:marLeft w:val="0"/>
                          <w:marRight w:val="0"/>
                          <w:marTop w:val="0"/>
                          <w:marBottom w:val="0"/>
                          <w:divBdr>
                            <w:top w:val="none" w:sz="0" w:space="0" w:color="auto"/>
                            <w:left w:val="none" w:sz="0" w:space="0" w:color="auto"/>
                            <w:bottom w:val="none" w:sz="0" w:space="0" w:color="auto"/>
                            <w:right w:val="none" w:sz="0" w:space="0" w:color="auto"/>
                          </w:divBdr>
                          <w:divsChild>
                            <w:div w:id="1728647451">
                              <w:marLeft w:val="0"/>
                              <w:marRight w:val="0"/>
                              <w:marTop w:val="0"/>
                              <w:marBottom w:val="0"/>
                              <w:divBdr>
                                <w:top w:val="none" w:sz="0" w:space="0" w:color="auto"/>
                                <w:left w:val="none" w:sz="0" w:space="0" w:color="auto"/>
                                <w:bottom w:val="none" w:sz="0" w:space="0" w:color="auto"/>
                                <w:right w:val="none" w:sz="0" w:space="0" w:color="auto"/>
                              </w:divBdr>
                            </w:div>
                            <w:div w:id="499203711">
                              <w:marLeft w:val="0"/>
                              <w:marRight w:val="0"/>
                              <w:marTop w:val="0"/>
                              <w:marBottom w:val="0"/>
                              <w:divBdr>
                                <w:top w:val="none" w:sz="0" w:space="0" w:color="auto"/>
                                <w:left w:val="none" w:sz="0" w:space="0" w:color="auto"/>
                                <w:bottom w:val="none" w:sz="0" w:space="0" w:color="auto"/>
                                <w:right w:val="none" w:sz="0" w:space="0" w:color="auto"/>
                              </w:divBdr>
                              <w:divsChild>
                                <w:div w:id="879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7369">
                          <w:marLeft w:val="0"/>
                          <w:marRight w:val="0"/>
                          <w:marTop w:val="0"/>
                          <w:marBottom w:val="0"/>
                          <w:divBdr>
                            <w:top w:val="none" w:sz="0" w:space="0" w:color="auto"/>
                            <w:left w:val="none" w:sz="0" w:space="0" w:color="auto"/>
                            <w:bottom w:val="none" w:sz="0" w:space="0" w:color="auto"/>
                            <w:right w:val="none" w:sz="0" w:space="0" w:color="auto"/>
                          </w:divBdr>
                          <w:divsChild>
                            <w:div w:id="1064336012">
                              <w:marLeft w:val="0"/>
                              <w:marRight w:val="0"/>
                              <w:marTop w:val="0"/>
                              <w:marBottom w:val="0"/>
                              <w:divBdr>
                                <w:top w:val="none" w:sz="0" w:space="0" w:color="auto"/>
                                <w:left w:val="none" w:sz="0" w:space="0" w:color="auto"/>
                                <w:bottom w:val="none" w:sz="0" w:space="0" w:color="auto"/>
                                <w:right w:val="none" w:sz="0" w:space="0" w:color="auto"/>
                              </w:divBdr>
                            </w:div>
                            <w:div w:id="826867821">
                              <w:marLeft w:val="0"/>
                              <w:marRight w:val="0"/>
                              <w:marTop w:val="0"/>
                              <w:marBottom w:val="0"/>
                              <w:divBdr>
                                <w:top w:val="none" w:sz="0" w:space="0" w:color="auto"/>
                                <w:left w:val="none" w:sz="0" w:space="0" w:color="auto"/>
                                <w:bottom w:val="none" w:sz="0" w:space="0" w:color="auto"/>
                                <w:right w:val="none" w:sz="0" w:space="0" w:color="auto"/>
                              </w:divBdr>
                              <w:divsChild>
                                <w:div w:id="20900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1087">
                          <w:marLeft w:val="0"/>
                          <w:marRight w:val="0"/>
                          <w:marTop w:val="0"/>
                          <w:marBottom w:val="0"/>
                          <w:divBdr>
                            <w:top w:val="none" w:sz="0" w:space="0" w:color="auto"/>
                            <w:left w:val="none" w:sz="0" w:space="0" w:color="auto"/>
                            <w:bottom w:val="none" w:sz="0" w:space="0" w:color="auto"/>
                            <w:right w:val="none" w:sz="0" w:space="0" w:color="auto"/>
                          </w:divBdr>
                          <w:divsChild>
                            <w:div w:id="1952323940">
                              <w:marLeft w:val="0"/>
                              <w:marRight w:val="0"/>
                              <w:marTop w:val="0"/>
                              <w:marBottom w:val="0"/>
                              <w:divBdr>
                                <w:top w:val="none" w:sz="0" w:space="0" w:color="auto"/>
                                <w:left w:val="none" w:sz="0" w:space="0" w:color="auto"/>
                                <w:bottom w:val="none" w:sz="0" w:space="0" w:color="auto"/>
                                <w:right w:val="none" w:sz="0" w:space="0" w:color="auto"/>
                              </w:divBdr>
                            </w:div>
                            <w:div w:id="245916802">
                              <w:marLeft w:val="0"/>
                              <w:marRight w:val="0"/>
                              <w:marTop w:val="0"/>
                              <w:marBottom w:val="0"/>
                              <w:divBdr>
                                <w:top w:val="none" w:sz="0" w:space="0" w:color="auto"/>
                                <w:left w:val="none" w:sz="0" w:space="0" w:color="auto"/>
                                <w:bottom w:val="none" w:sz="0" w:space="0" w:color="auto"/>
                                <w:right w:val="none" w:sz="0" w:space="0" w:color="auto"/>
                              </w:divBdr>
                              <w:divsChild>
                                <w:div w:id="312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70189">
                          <w:marLeft w:val="0"/>
                          <w:marRight w:val="0"/>
                          <w:marTop w:val="0"/>
                          <w:marBottom w:val="0"/>
                          <w:divBdr>
                            <w:top w:val="none" w:sz="0" w:space="0" w:color="auto"/>
                            <w:left w:val="none" w:sz="0" w:space="0" w:color="auto"/>
                            <w:bottom w:val="none" w:sz="0" w:space="0" w:color="auto"/>
                            <w:right w:val="none" w:sz="0" w:space="0" w:color="auto"/>
                          </w:divBdr>
                          <w:divsChild>
                            <w:div w:id="255478519">
                              <w:marLeft w:val="0"/>
                              <w:marRight w:val="0"/>
                              <w:marTop w:val="0"/>
                              <w:marBottom w:val="0"/>
                              <w:divBdr>
                                <w:top w:val="none" w:sz="0" w:space="0" w:color="auto"/>
                                <w:left w:val="none" w:sz="0" w:space="0" w:color="auto"/>
                                <w:bottom w:val="none" w:sz="0" w:space="0" w:color="auto"/>
                                <w:right w:val="none" w:sz="0" w:space="0" w:color="auto"/>
                              </w:divBdr>
                            </w:div>
                            <w:div w:id="985620369">
                              <w:marLeft w:val="0"/>
                              <w:marRight w:val="0"/>
                              <w:marTop w:val="0"/>
                              <w:marBottom w:val="0"/>
                              <w:divBdr>
                                <w:top w:val="none" w:sz="0" w:space="0" w:color="auto"/>
                                <w:left w:val="none" w:sz="0" w:space="0" w:color="auto"/>
                                <w:bottom w:val="none" w:sz="0" w:space="0" w:color="auto"/>
                                <w:right w:val="none" w:sz="0" w:space="0" w:color="auto"/>
                              </w:divBdr>
                              <w:divsChild>
                                <w:div w:id="14636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7429">
                          <w:marLeft w:val="0"/>
                          <w:marRight w:val="0"/>
                          <w:marTop w:val="0"/>
                          <w:marBottom w:val="0"/>
                          <w:divBdr>
                            <w:top w:val="none" w:sz="0" w:space="0" w:color="auto"/>
                            <w:left w:val="none" w:sz="0" w:space="0" w:color="auto"/>
                            <w:bottom w:val="none" w:sz="0" w:space="0" w:color="auto"/>
                            <w:right w:val="none" w:sz="0" w:space="0" w:color="auto"/>
                          </w:divBdr>
                          <w:divsChild>
                            <w:div w:id="2058190674">
                              <w:marLeft w:val="0"/>
                              <w:marRight w:val="0"/>
                              <w:marTop w:val="0"/>
                              <w:marBottom w:val="0"/>
                              <w:divBdr>
                                <w:top w:val="none" w:sz="0" w:space="0" w:color="auto"/>
                                <w:left w:val="none" w:sz="0" w:space="0" w:color="auto"/>
                                <w:bottom w:val="none" w:sz="0" w:space="0" w:color="auto"/>
                                <w:right w:val="none" w:sz="0" w:space="0" w:color="auto"/>
                              </w:divBdr>
                            </w:div>
                            <w:div w:id="1555385810">
                              <w:marLeft w:val="0"/>
                              <w:marRight w:val="0"/>
                              <w:marTop w:val="0"/>
                              <w:marBottom w:val="0"/>
                              <w:divBdr>
                                <w:top w:val="none" w:sz="0" w:space="0" w:color="auto"/>
                                <w:left w:val="none" w:sz="0" w:space="0" w:color="auto"/>
                                <w:bottom w:val="none" w:sz="0" w:space="0" w:color="auto"/>
                                <w:right w:val="none" w:sz="0" w:space="0" w:color="auto"/>
                              </w:divBdr>
                              <w:divsChild>
                                <w:div w:id="34559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49062">
                          <w:marLeft w:val="0"/>
                          <w:marRight w:val="0"/>
                          <w:marTop w:val="0"/>
                          <w:marBottom w:val="0"/>
                          <w:divBdr>
                            <w:top w:val="none" w:sz="0" w:space="0" w:color="auto"/>
                            <w:left w:val="none" w:sz="0" w:space="0" w:color="auto"/>
                            <w:bottom w:val="none" w:sz="0" w:space="0" w:color="auto"/>
                            <w:right w:val="none" w:sz="0" w:space="0" w:color="auto"/>
                          </w:divBdr>
                          <w:divsChild>
                            <w:div w:id="210657300">
                              <w:marLeft w:val="0"/>
                              <w:marRight w:val="0"/>
                              <w:marTop w:val="0"/>
                              <w:marBottom w:val="0"/>
                              <w:divBdr>
                                <w:top w:val="none" w:sz="0" w:space="0" w:color="auto"/>
                                <w:left w:val="none" w:sz="0" w:space="0" w:color="auto"/>
                                <w:bottom w:val="none" w:sz="0" w:space="0" w:color="auto"/>
                                <w:right w:val="none" w:sz="0" w:space="0" w:color="auto"/>
                              </w:divBdr>
                            </w:div>
                            <w:div w:id="658120407">
                              <w:marLeft w:val="0"/>
                              <w:marRight w:val="0"/>
                              <w:marTop w:val="0"/>
                              <w:marBottom w:val="0"/>
                              <w:divBdr>
                                <w:top w:val="none" w:sz="0" w:space="0" w:color="auto"/>
                                <w:left w:val="none" w:sz="0" w:space="0" w:color="auto"/>
                                <w:bottom w:val="none" w:sz="0" w:space="0" w:color="auto"/>
                                <w:right w:val="none" w:sz="0" w:space="0" w:color="auto"/>
                              </w:divBdr>
                              <w:divsChild>
                                <w:div w:id="15122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537259">
                          <w:marLeft w:val="0"/>
                          <w:marRight w:val="0"/>
                          <w:marTop w:val="0"/>
                          <w:marBottom w:val="0"/>
                          <w:divBdr>
                            <w:top w:val="none" w:sz="0" w:space="0" w:color="auto"/>
                            <w:left w:val="none" w:sz="0" w:space="0" w:color="auto"/>
                            <w:bottom w:val="none" w:sz="0" w:space="0" w:color="auto"/>
                            <w:right w:val="none" w:sz="0" w:space="0" w:color="auto"/>
                          </w:divBdr>
                          <w:divsChild>
                            <w:div w:id="2037582431">
                              <w:marLeft w:val="0"/>
                              <w:marRight w:val="0"/>
                              <w:marTop w:val="0"/>
                              <w:marBottom w:val="0"/>
                              <w:divBdr>
                                <w:top w:val="none" w:sz="0" w:space="0" w:color="auto"/>
                                <w:left w:val="none" w:sz="0" w:space="0" w:color="auto"/>
                                <w:bottom w:val="none" w:sz="0" w:space="0" w:color="auto"/>
                                <w:right w:val="none" w:sz="0" w:space="0" w:color="auto"/>
                              </w:divBdr>
                            </w:div>
                            <w:div w:id="1082722963">
                              <w:marLeft w:val="0"/>
                              <w:marRight w:val="0"/>
                              <w:marTop w:val="0"/>
                              <w:marBottom w:val="0"/>
                              <w:divBdr>
                                <w:top w:val="none" w:sz="0" w:space="0" w:color="auto"/>
                                <w:left w:val="none" w:sz="0" w:space="0" w:color="auto"/>
                                <w:bottom w:val="none" w:sz="0" w:space="0" w:color="auto"/>
                                <w:right w:val="none" w:sz="0" w:space="0" w:color="auto"/>
                              </w:divBdr>
                              <w:divsChild>
                                <w:div w:id="17437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985">
                          <w:marLeft w:val="0"/>
                          <w:marRight w:val="0"/>
                          <w:marTop w:val="0"/>
                          <w:marBottom w:val="0"/>
                          <w:divBdr>
                            <w:top w:val="none" w:sz="0" w:space="0" w:color="auto"/>
                            <w:left w:val="none" w:sz="0" w:space="0" w:color="auto"/>
                            <w:bottom w:val="none" w:sz="0" w:space="0" w:color="auto"/>
                            <w:right w:val="none" w:sz="0" w:space="0" w:color="auto"/>
                          </w:divBdr>
                          <w:divsChild>
                            <w:div w:id="2077163694">
                              <w:marLeft w:val="0"/>
                              <w:marRight w:val="0"/>
                              <w:marTop w:val="0"/>
                              <w:marBottom w:val="0"/>
                              <w:divBdr>
                                <w:top w:val="none" w:sz="0" w:space="0" w:color="auto"/>
                                <w:left w:val="none" w:sz="0" w:space="0" w:color="auto"/>
                                <w:bottom w:val="none" w:sz="0" w:space="0" w:color="auto"/>
                                <w:right w:val="none" w:sz="0" w:space="0" w:color="auto"/>
                              </w:divBdr>
                            </w:div>
                            <w:div w:id="1633945889">
                              <w:marLeft w:val="0"/>
                              <w:marRight w:val="0"/>
                              <w:marTop w:val="0"/>
                              <w:marBottom w:val="0"/>
                              <w:divBdr>
                                <w:top w:val="none" w:sz="0" w:space="0" w:color="auto"/>
                                <w:left w:val="none" w:sz="0" w:space="0" w:color="auto"/>
                                <w:bottom w:val="none" w:sz="0" w:space="0" w:color="auto"/>
                                <w:right w:val="none" w:sz="0" w:space="0" w:color="auto"/>
                              </w:divBdr>
                              <w:divsChild>
                                <w:div w:id="7555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0905">
                          <w:marLeft w:val="0"/>
                          <w:marRight w:val="0"/>
                          <w:marTop w:val="0"/>
                          <w:marBottom w:val="0"/>
                          <w:divBdr>
                            <w:top w:val="none" w:sz="0" w:space="0" w:color="auto"/>
                            <w:left w:val="none" w:sz="0" w:space="0" w:color="auto"/>
                            <w:bottom w:val="none" w:sz="0" w:space="0" w:color="auto"/>
                            <w:right w:val="none" w:sz="0" w:space="0" w:color="auto"/>
                          </w:divBdr>
                          <w:divsChild>
                            <w:div w:id="235213963">
                              <w:marLeft w:val="0"/>
                              <w:marRight w:val="0"/>
                              <w:marTop w:val="0"/>
                              <w:marBottom w:val="0"/>
                              <w:divBdr>
                                <w:top w:val="none" w:sz="0" w:space="0" w:color="auto"/>
                                <w:left w:val="none" w:sz="0" w:space="0" w:color="auto"/>
                                <w:bottom w:val="none" w:sz="0" w:space="0" w:color="auto"/>
                                <w:right w:val="none" w:sz="0" w:space="0" w:color="auto"/>
                              </w:divBdr>
                            </w:div>
                            <w:div w:id="233593560">
                              <w:marLeft w:val="0"/>
                              <w:marRight w:val="0"/>
                              <w:marTop w:val="0"/>
                              <w:marBottom w:val="0"/>
                              <w:divBdr>
                                <w:top w:val="none" w:sz="0" w:space="0" w:color="auto"/>
                                <w:left w:val="none" w:sz="0" w:space="0" w:color="auto"/>
                                <w:bottom w:val="none" w:sz="0" w:space="0" w:color="auto"/>
                                <w:right w:val="none" w:sz="0" w:space="0" w:color="auto"/>
                              </w:divBdr>
                              <w:divsChild>
                                <w:div w:id="9176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776">
                          <w:marLeft w:val="0"/>
                          <w:marRight w:val="0"/>
                          <w:marTop w:val="0"/>
                          <w:marBottom w:val="0"/>
                          <w:divBdr>
                            <w:top w:val="none" w:sz="0" w:space="0" w:color="auto"/>
                            <w:left w:val="none" w:sz="0" w:space="0" w:color="auto"/>
                            <w:bottom w:val="none" w:sz="0" w:space="0" w:color="auto"/>
                            <w:right w:val="none" w:sz="0" w:space="0" w:color="auto"/>
                          </w:divBdr>
                          <w:divsChild>
                            <w:div w:id="718432397">
                              <w:marLeft w:val="0"/>
                              <w:marRight w:val="0"/>
                              <w:marTop w:val="0"/>
                              <w:marBottom w:val="0"/>
                              <w:divBdr>
                                <w:top w:val="none" w:sz="0" w:space="0" w:color="auto"/>
                                <w:left w:val="none" w:sz="0" w:space="0" w:color="auto"/>
                                <w:bottom w:val="none" w:sz="0" w:space="0" w:color="auto"/>
                                <w:right w:val="none" w:sz="0" w:space="0" w:color="auto"/>
                              </w:divBdr>
                            </w:div>
                            <w:div w:id="965544501">
                              <w:marLeft w:val="0"/>
                              <w:marRight w:val="0"/>
                              <w:marTop w:val="0"/>
                              <w:marBottom w:val="0"/>
                              <w:divBdr>
                                <w:top w:val="none" w:sz="0" w:space="0" w:color="auto"/>
                                <w:left w:val="none" w:sz="0" w:space="0" w:color="auto"/>
                                <w:bottom w:val="none" w:sz="0" w:space="0" w:color="auto"/>
                                <w:right w:val="none" w:sz="0" w:space="0" w:color="auto"/>
                              </w:divBdr>
                              <w:divsChild>
                                <w:div w:id="4716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8288">
                          <w:marLeft w:val="0"/>
                          <w:marRight w:val="0"/>
                          <w:marTop w:val="0"/>
                          <w:marBottom w:val="0"/>
                          <w:divBdr>
                            <w:top w:val="none" w:sz="0" w:space="0" w:color="auto"/>
                            <w:left w:val="none" w:sz="0" w:space="0" w:color="auto"/>
                            <w:bottom w:val="none" w:sz="0" w:space="0" w:color="auto"/>
                            <w:right w:val="none" w:sz="0" w:space="0" w:color="auto"/>
                          </w:divBdr>
                          <w:divsChild>
                            <w:div w:id="458692710">
                              <w:marLeft w:val="0"/>
                              <w:marRight w:val="0"/>
                              <w:marTop w:val="0"/>
                              <w:marBottom w:val="0"/>
                              <w:divBdr>
                                <w:top w:val="none" w:sz="0" w:space="0" w:color="auto"/>
                                <w:left w:val="none" w:sz="0" w:space="0" w:color="auto"/>
                                <w:bottom w:val="none" w:sz="0" w:space="0" w:color="auto"/>
                                <w:right w:val="none" w:sz="0" w:space="0" w:color="auto"/>
                              </w:divBdr>
                            </w:div>
                            <w:div w:id="816848003">
                              <w:marLeft w:val="0"/>
                              <w:marRight w:val="0"/>
                              <w:marTop w:val="0"/>
                              <w:marBottom w:val="0"/>
                              <w:divBdr>
                                <w:top w:val="none" w:sz="0" w:space="0" w:color="auto"/>
                                <w:left w:val="none" w:sz="0" w:space="0" w:color="auto"/>
                                <w:bottom w:val="none" w:sz="0" w:space="0" w:color="auto"/>
                                <w:right w:val="none" w:sz="0" w:space="0" w:color="auto"/>
                              </w:divBdr>
                              <w:divsChild>
                                <w:div w:id="1544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2944">
                          <w:marLeft w:val="0"/>
                          <w:marRight w:val="0"/>
                          <w:marTop w:val="0"/>
                          <w:marBottom w:val="0"/>
                          <w:divBdr>
                            <w:top w:val="none" w:sz="0" w:space="0" w:color="auto"/>
                            <w:left w:val="none" w:sz="0" w:space="0" w:color="auto"/>
                            <w:bottom w:val="none" w:sz="0" w:space="0" w:color="auto"/>
                            <w:right w:val="none" w:sz="0" w:space="0" w:color="auto"/>
                          </w:divBdr>
                          <w:divsChild>
                            <w:div w:id="1283422213">
                              <w:marLeft w:val="0"/>
                              <w:marRight w:val="0"/>
                              <w:marTop w:val="0"/>
                              <w:marBottom w:val="0"/>
                              <w:divBdr>
                                <w:top w:val="none" w:sz="0" w:space="0" w:color="auto"/>
                                <w:left w:val="none" w:sz="0" w:space="0" w:color="auto"/>
                                <w:bottom w:val="none" w:sz="0" w:space="0" w:color="auto"/>
                                <w:right w:val="none" w:sz="0" w:space="0" w:color="auto"/>
                              </w:divBdr>
                            </w:div>
                            <w:div w:id="153884986">
                              <w:marLeft w:val="0"/>
                              <w:marRight w:val="0"/>
                              <w:marTop w:val="0"/>
                              <w:marBottom w:val="0"/>
                              <w:divBdr>
                                <w:top w:val="none" w:sz="0" w:space="0" w:color="auto"/>
                                <w:left w:val="none" w:sz="0" w:space="0" w:color="auto"/>
                                <w:bottom w:val="none" w:sz="0" w:space="0" w:color="auto"/>
                                <w:right w:val="none" w:sz="0" w:space="0" w:color="auto"/>
                              </w:divBdr>
                              <w:divsChild>
                                <w:div w:id="624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4050">
                          <w:marLeft w:val="0"/>
                          <w:marRight w:val="0"/>
                          <w:marTop w:val="0"/>
                          <w:marBottom w:val="0"/>
                          <w:divBdr>
                            <w:top w:val="none" w:sz="0" w:space="0" w:color="auto"/>
                            <w:left w:val="none" w:sz="0" w:space="0" w:color="auto"/>
                            <w:bottom w:val="none" w:sz="0" w:space="0" w:color="auto"/>
                            <w:right w:val="none" w:sz="0" w:space="0" w:color="auto"/>
                          </w:divBdr>
                          <w:divsChild>
                            <w:div w:id="1836339980">
                              <w:marLeft w:val="0"/>
                              <w:marRight w:val="0"/>
                              <w:marTop w:val="0"/>
                              <w:marBottom w:val="0"/>
                              <w:divBdr>
                                <w:top w:val="none" w:sz="0" w:space="0" w:color="auto"/>
                                <w:left w:val="none" w:sz="0" w:space="0" w:color="auto"/>
                                <w:bottom w:val="none" w:sz="0" w:space="0" w:color="auto"/>
                                <w:right w:val="none" w:sz="0" w:space="0" w:color="auto"/>
                              </w:divBdr>
                            </w:div>
                            <w:div w:id="1183132752">
                              <w:marLeft w:val="0"/>
                              <w:marRight w:val="0"/>
                              <w:marTop w:val="0"/>
                              <w:marBottom w:val="0"/>
                              <w:divBdr>
                                <w:top w:val="none" w:sz="0" w:space="0" w:color="auto"/>
                                <w:left w:val="none" w:sz="0" w:space="0" w:color="auto"/>
                                <w:bottom w:val="none" w:sz="0" w:space="0" w:color="auto"/>
                                <w:right w:val="none" w:sz="0" w:space="0" w:color="auto"/>
                              </w:divBdr>
                              <w:divsChild>
                                <w:div w:id="2187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6486">
                          <w:marLeft w:val="0"/>
                          <w:marRight w:val="0"/>
                          <w:marTop w:val="0"/>
                          <w:marBottom w:val="0"/>
                          <w:divBdr>
                            <w:top w:val="none" w:sz="0" w:space="0" w:color="auto"/>
                            <w:left w:val="none" w:sz="0" w:space="0" w:color="auto"/>
                            <w:bottom w:val="none" w:sz="0" w:space="0" w:color="auto"/>
                            <w:right w:val="none" w:sz="0" w:space="0" w:color="auto"/>
                          </w:divBdr>
                          <w:divsChild>
                            <w:div w:id="601913287">
                              <w:marLeft w:val="0"/>
                              <w:marRight w:val="0"/>
                              <w:marTop w:val="0"/>
                              <w:marBottom w:val="0"/>
                              <w:divBdr>
                                <w:top w:val="none" w:sz="0" w:space="0" w:color="auto"/>
                                <w:left w:val="none" w:sz="0" w:space="0" w:color="auto"/>
                                <w:bottom w:val="none" w:sz="0" w:space="0" w:color="auto"/>
                                <w:right w:val="none" w:sz="0" w:space="0" w:color="auto"/>
                              </w:divBdr>
                            </w:div>
                            <w:div w:id="22942944">
                              <w:marLeft w:val="0"/>
                              <w:marRight w:val="0"/>
                              <w:marTop w:val="0"/>
                              <w:marBottom w:val="0"/>
                              <w:divBdr>
                                <w:top w:val="none" w:sz="0" w:space="0" w:color="auto"/>
                                <w:left w:val="none" w:sz="0" w:space="0" w:color="auto"/>
                                <w:bottom w:val="none" w:sz="0" w:space="0" w:color="auto"/>
                                <w:right w:val="none" w:sz="0" w:space="0" w:color="auto"/>
                              </w:divBdr>
                              <w:divsChild>
                                <w:div w:id="11854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6825">
                          <w:marLeft w:val="0"/>
                          <w:marRight w:val="0"/>
                          <w:marTop w:val="0"/>
                          <w:marBottom w:val="0"/>
                          <w:divBdr>
                            <w:top w:val="none" w:sz="0" w:space="0" w:color="auto"/>
                            <w:left w:val="none" w:sz="0" w:space="0" w:color="auto"/>
                            <w:bottom w:val="none" w:sz="0" w:space="0" w:color="auto"/>
                            <w:right w:val="none" w:sz="0" w:space="0" w:color="auto"/>
                          </w:divBdr>
                          <w:divsChild>
                            <w:div w:id="1823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39097291">
      <w:bodyDiv w:val="1"/>
      <w:marLeft w:val="0"/>
      <w:marRight w:val="0"/>
      <w:marTop w:val="0"/>
      <w:marBottom w:val="0"/>
      <w:divBdr>
        <w:top w:val="none" w:sz="0" w:space="0" w:color="auto"/>
        <w:left w:val="none" w:sz="0" w:space="0" w:color="auto"/>
        <w:bottom w:val="none" w:sz="0" w:space="0" w:color="auto"/>
        <w:right w:val="none" w:sz="0" w:space="0" w:color="auto"/>
      </w:divBdr>
      <w:divsChild>
        <w:div w:id="375551376">
          <w:marLeft w:val="0"/>
          <w:marRight w:val="0"/>
          <w:marTop w:val="0"/>
          <w:marBottom w:val="0"/>
          <w:divBdr>
            <w:top w:val="none" w:sz="0" w:space="0" w:color="auto"/>
            <w:left w:val="none" w:sz="0" w:space="0" w:color="auto"/>
            <w:bottom w:val="none" w:sz="0" w:space="0" w:color="auto"/>
            <w:right w:val="none" w:sz="0" w:space="0" w:color="auto"/>
          </w:divBdr>
          <w:divsChild>
            <w:div w:id="1889952585">
              <w:marLeft w:val="0"/>
              <w:marRight w:val="0"/>
              <w:marTop w:val="0"/>
              <w:marBottom w:val="0"/>
              <w:divBdr>
                <w:top w:val="none" w:sz="0" w:space="0" w:color="auto"/>
                <w:left w:val="none" w:sz="0" w:space="0" w:color="auto"/>
                <w:bottom w:val="none" w:sz="0" w:space="0" w:color="auto"/>
                <w:right w:val="none" w:sz="0" w:space="0" w:color="auto"/>
              </w:divBdr>
              <w:divsChild>
                <w:div w:id="531189718">
                  <w:marLeft w:val="0"/>
                  <w:marRight w:val="0"/>
                  <w:marTop w:val="0"/>
                  <w:marBottom w:val="0"/>
                  <w:divBdr>
                    <w:top w:val="none" w:sz="0" w:space="0" w:color="auto"/>
                    <w:left w:val="none" w:sz="0" w:space="0" w:color="auto"/>
                    <w:bottom w:val="none" w:sz="0" w:space="0" w:color="auto"/>
                    <w:right w:val="none" w:sz="0" w:space="0" w:color="auto"/>
                  </w:divBdr>
                  <w:divsChild>
                    <w:div w:id="423306900">
                      <w:marLeft w:val="0"/>
                      <w:marRight w:val="0"/>
                      <w:marTop w:val="0"/>
                      <w:marBottom w:val="0"/>
                      <w:divBdr>
                        <w:top w:val="none" w:sz="0" w:space="0" w:color="auto"/>
                        <w:left w:val="none" w:sz="0" w:space="0" w:color="auto"/>
                        <w:bottom w:val="none" w:sz="0" w:space="0" w:color="auto"/>
                        <w:right w:val="none" w:sz="0" w:space="0" w:color="auto"/>
                      </w:divBdr>
                    </w:div>
                  </w:divsChild>
                </w:div>
                <w:div w:id="1699165086">
                  <w:marLeft w:val="0"/>
                  <w:marRight w:val="0"/>
                  <w:marTop w:val="0"/>
                  <w:marBottom w:val="0"/>
                  <w:divBdr>
                    <w:top w:val="none" w:sz="0" w:space="0" w:color="auto"/>
                    <w:left w:val="none" w:sz="0" w:space="0" w:color="auto"/>
                    <w:bottom w:val="none" w:sz="0" w:space="0" w:color="auto"/>
                    <w:right w:val="none" w:sz="0" w:space="0" w:color="auto"/>
                  </w:divBdr>
                  <w:divsChild>
                    <w:div w:id="816385057">
                      <w:marLeft w:val="0"/>
                      <w:marRight w:val="0"/>
                      <w:marTop w:val="0"/>
                      <w:marBottom w:val="0"/>
                      <w:divBdr>
                        <w:top w:val="none" w:sz="0" w:space="0" w:color="auto"/>
                        <w:left w:val="none" w:sz="0" w:space="0" w:color="auto"/>
                        <w:bottom w:val="none" w:sz="0" w:space="0" w:color="auto"/>
                        <w:right w:val="none" w:sz="0" w:space="0" w:color="auto"/>
                      </w:divBdr>
                      <w:divsChild>
                        <w:div w:id="984816740">
                          <w:marLeft w:val="0"/>
                          <w:marRight w:val="0"/>
                          <w:marTop w:val="0"/>
                          <w:marBottom w:val="0"/>
                          <w:divBdr>
                            <w:top w:val="none" w:sz="0" w:space="0" w:color="auto"/>
                            <w:left w:val="none" w:sz="0" w:space="0" w:color="auto"/>
                            <w:bottom w:val="none" w:sz="0" w:space="0" w:color="auto"/>
                            <w:right w:val="none" w:sz="0" w:space="0" w:color="auto"/>
                          </w:divBdr>
                          <w:divsChild>
                            <w:div w:id="142510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121389">
                  <w:marLeft w:val="0"/>
                  <w:marRight w:val="0"/>
                  <w:marTop w:val="0"/>
                  <w:marBottom w:val="0"/>
                  <w:divBdr>
                    <w:top w:val="none" w:sz="0" w:space="0" w:color="auto"/>
                    <w:left w:val="none" w:sz="0" w:space="0" w:color="auto"/>
                    <w:bottom w:val="none" w:sz="0" w:space="0" w:color="auto"/>
                    <w:right w:val="none" w:sz="0" w:space="0" w:color="auto"/>
                  </w:divBdr>
                  <w:divsChild>
                    <w:div w:id="330450094">
                      <w:marLeft w:val="0"/>
                      <w:marRight w:val="0"/>
                      <w:marTop w:val="0"/>
                      <w:marBottom w:val="0"/>
                      <w:divBdr>
                        <w:top w:val="none" w:sz="0" w:space="0" w:color="auto"/>
                        <w:left w:val="none" w:sz="0" w:space="0" w:color="auto"/>
                        <w:bottom w:val="none" w:sz="0" w:space="0" w:color="auto"/>
                        <w:right w:val="none" w:sz="0" w:space="0" w:color="auto"/>
                      </w:divBdr>
                      <w:divsChild>
                        <w:div w:id="1514029168">
                          <w:marLeft w:val="0"/>
                          <w:marRight w:val="0"/>
                          <w:marTop w:val="0"/>
                          <w:marBottom w:val="0"/>
                          <w:divBdr>
                            <w:top w:val="none" w:sz="0" w:space="0" w:color="auto"/>
                            <w:left w:val="none" w:sz="0" w:space="0" w:color="auto"/>
                            <w:bottom w:val="none" w:sz="0" w:space="0" w:color="auto"/>
                            <w:right w:val="none" w:sz="0" w:space="0" w:color="auto"/>
                          </w:divBdr>
                          <w:divsChild>
                            <w:div w:id="1976907922">
                              <w:marLeft w:val="0"/>
                              <w:marRight w:val="0"/>
                              <w:marTop w:val="0"/>
                              <w:marBottom w:val="0"/>
                              <w:divBdr>
                                <w:top w:val="none" w:sz="0" w:space="0" w:color="auto"/>
                                <w:left w:val="none" w:sz="0" w:space="0" w:color="auto"/>
                                <w:bottom w:val="none" w:sz="0" w:space="0" w:color="auto"/>
                                <w:right w:val="none" w:sz="0" w:space="0" w:color="auto"/>
                              </w:divBdr>
                              <w:divsChild>
                                <w:div w:id="121847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14483">
                      <w:marLeft w:val="0"/>
                      <w:marRight w:val="0"/>
                      <w:marTop w:val="0"/>
                      <w:marBottom w:val="0"/>
                      <w:divBdr>
                        <w:top w:val="none" w:sz="0" w:space="0" w:color="auto"/>
                        <w:left w:val="none" w:sz="0" w:space="0" w:color="auto"/>
                        <w:bottom w:val="none" w:sz="0" w:space="0" w:color="auto"/>
                        <w:right w:val="none" w:sz="0" w:space="0" w:color="auto"/>
                      </w:divBdr>
                      <w:divsChild>
                        <w:div w:id="1441603832">
                          <w:marLeft w:val="0"/>
                          <w:marRight w:val="0"/>
                          <w:marTop w:val="0"/>
                          <w:marBottom w:val="0"/>
                          <w:divBdr>
                            <w:top w:val="none" w:sz="0" w:space="0" w:color="auto"/>
                            <w:left w:val="none" w:sz="0" w:space="0" w:color="auto"/>
                            <w:bottom w:val="none" w:sz="0" w:space="0" w:color="auto"/>
                            <w:right w:val="none" w:sz="0" w:space="0" w:color="auto"/>
                          </w:divBdr>
                          <w:divsChild>
                            <w:div w:id="1995182323">
                              <w:marLeft w:val="0"/>
                              <w:marRight w:val="0"/>
                              <w:marTop w:val="0"/>
                              <w:marBottom w:val="0"/>
                              <w:divBdr>
                                <w:top w:val="none" w:sz="0" w:space="0" w:color="auto"/>
                                <w:left w:val="none" w:sz="0" w:space="0" w:color="auto"/>
                                <w:bottom w:val="none" w:sz="0" w:space="0" w:color="auto"/>
                                <w:right w:val="none" w:sz="0" w:space="0" w:color="auto"/>
                              </w:divBdr>
                              <w:divsChild>
                                <w:div w:id="1115488769">
                                  <w:marLeft w:val="0"/>
                                  <w:marRight w:val="0"/>
                                  <w:marTop w:val="0"/>
                                  <w:marBottom w:val="0"/>
                                  <w:divBdr>
                                    <w:top w:val="none" w:sz="0" w:space="0" w:color="auto"/>
                                    <w:left w:val="none" w:sz="0" w:space="0" w:color="auto"/>
                                    <w:bottom w:val="none" w:sz="0" w:space="0" w:color="auto"/>
                                    <w:right w:val="none" w:sz="0" w:space="0" w:color="auto"/>
                                  </w:divBdr>
                                  <w:divsChild>
                                    <w:div w:id="892305185">
                                      <w:marLeft w:val="0"/>
                                      <w:marRight w:val="0"/>
                                      <w:marTop w:val="0"/>
                                      <w:marBottom w:val="0"/>
                                      <w:divBdr>
                                        <w:top w:val="none" w:sz="0" w:space="0" w:color="auto"/>
                                        <w:left w:val="none" w:sz="0" w:space="0" w:color="auto"/>
                                        <w:bottom w:val="none" w:sz="0" w:space="0" w:color="auto"/>
                                        <w:right w:val="none" w:sz="0" w:space="0" w:color="auto"/>
                                      </w:divBdr>
                                      <w:divsChild>
                                        <w:div w:id="1751611922">
                                          <w:marLeft w:val="0"/>
                                          <w:marRight w:val="0"/>
                                          <w:marTop w:val="0"/>
                                          <w:marBottom w:val="0"/>
                                          <w:divBdr>
                                            <w:top w:val="none" w:sz="0" w:space="0" w:color="auto"/>
                                            <w:left w:val="none" w:sz="0" w:space="0" w:color="auto"/>
                                            <w:bottom w:val="none" w:sz="0" w:space="0" w:color="auto"/>
                                            <w:right w:val="none" w:sz="0" w:space="0" w:color="auto"/>
                                          </w:divBdr>
                                          <w:divsChild>
                                            <w:div w:id="2089302666">
                                              <w:marLeft w:val="0"/>
                                              <w:marRight w:val="0"/>
                                              <w:marTop w:val="0"/>
                                              <w:marBottom w:val="0"/>
                                              <w:divBdr>
                                                <w:top w:val="none" w:sz="0" w:space="0" w:color="auto"/>
                                                <w:left w:val="none" w:sz="0" w:space="0" w:color="auto"/>
                                                <w:bottom w:val="none" w:sz="0" w:space="0" w:color="auto"/>
                                                <w:right w:val="none" w:sz="0" w:space="0" w:color="auto"/>
                                              </w:divBdr>
                                              <w:divsChild>
                                                <w:div w:id="97062559">
                                                  <w:marLeft w:val="0"/>
                                                  <w:marRight w:val="0"/>
                                                  <w:marTop w:val="0"/>
                                                  <w:marBottom w:val="0"/>
                                                  <w:divBdr>
                                                    <w:top w:val="none" w:sz="0" w:space="0" w:color="auto"/>
                                                    <w:left w:val="none" w:sz="0" w:space="0" w:color="auto"/>
                                                    <w:bottom w:val="none" w:sz="0" w:space="0" w:color="auto"/>
                                                    <w:right w:val="none" w:sz="0" w:space="0" w:color="auto"/>
                                                  </w:divBdr>
                                                  <w:divsChild>
                                                    <w:div w:id="1171532499">
                                                      <w:marLeft w:val="0"/>
                                                      <w:marRight w:val="0"/>
                                                      <w:marTop w:val="0"/>
                                                      <w:marBottom w:val="0"/>
                                                      <w:divBdr>
                                                        <w:top w:val="none" w:sz="0" w:space="0" w:color="auto"/>
                                                        <w:left w:val="none" w:sz="0" w:space="0" w:color="auto"/>
                                                        <w:bottom w:val="none" w:sz="0" w:space="0" w:color="auto"/>
                                                        <w:right w:val="none" w:sz="0" w:space="0" w:color="auto"/>
                                                      </w:divBdr>
                                                      <w:divsChild>
                                                        <w:div w:id="734165289">
                                                          <w:marLeft w:val="0"/>
                                                          <w:marRight w:val="0"/>
                                                          <w:marTop w:val="0"/>
                                                          <w:marBottom w:val="0"/>
                                                          <w:divBdr>
                                                            <w:top w:val="none" w:sz="0" w:space="0" w:color="auto"/>
                                                            <w:left w:val="none" w:sz="0" w:space="0" w:color="auto"/>
                                                            <w:bottom w:val="none" w:sz="0" w:space="0" w:color="auto"/>
                                                            <w:right w:val="none" w:sz="0" w:space="0" w:color="auto"/>
                                                          </w:divBdr>
                                                          <w:divsChild>
                                                            <w:div w:id="1524857172">
                                                              <w:marLeft w:val="0"/>
                                                              <w:marRight w:val="0"/>
                                                              <w:marTop w:val="0"/>
                                                              <w:marBottom w:val="0"/>
                                                              <w:divBdr>
                                                                <w:top w:val="none" w:sz="0" w:space="0" w:color="auto"/>
                                                                <w:left w:val="none" w:sz="0" w:space="0" w:color="auto"/>
                                                                <w:bottom w:val="none" w:sz="0" w:space="0" w:color="auto"/>
                                                                <w:right w:val="none" w:sz="0" w:space="0" w:color="auto"/>
                                                              </w:divBdr>
                                                              <w:divsChild>
                                                                <w:div w:id="1546526261">
                                                                  <w:marLeft w:val="0"/>
                                                                  <w:marRight w:val="0"/>
                                                                  <w:marTop w:val="0"/>
                                                                  <w:marBottom w:val="0"/>
                                                                  <w:divBdr>
                                                                    <w:top w:val="none" w:sz="0" w:space="0" w:color="auto"/>
                                                                    <w:left w:val="none" w:sz="0" w:space="0" w:color="auto"/>
                                                                    <w:bottom w:val="none" w:sz="0" w:space="0" w:color="auto"/>
                                                                    <w:right w:val="none" w:sz="0" w:space="0" w:color="auto"/>
                                                                  </w:divBdr>
                                                                  <w:divsChild>
                                                                    <w:div w:id="29799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697120">
                                                              <w:marLeft w:val="0"/>
                                                              <w:marRight w:val="0"/>
                                                              <w:marTop w:val="0"/>
                                                              <w:marBottom w:val="0"/>
                                                              <w:divBdr>
                                                                <w:top w:val="none" w:sz="0" w:space="0" w:color="auto"/>
                                                                <w:left w:val="none" w:sz="0" w:space="0" w:color="auto"/>
                                                                <w:bottom w:val="none" w:sz="0" w:space="0" w:color="auto"/>
                                                                <w:right w:val="none" w:sz="0" w:space="0" w:color="auto"/>
                                                              </w:divBdr>
                                                              <w:divsChild>
                                                                <w:div w:id="2053379171">
                                                                  <w:marLeft w:val="0"/>
                                                                  <w:marRight w:val="0"/>
                                                                  <w:marTop w:val="0"/>
                                                                  <w:marBottom w:val="0"/>
                                                                  <w:divBdr>
                                                                    <w:top w:val="none" w:sz="0" w:space="0" w:color="auto"/>
                                                                    <w:left w:val="none" w:sz="0" w:space="0" w:color="auto"/>
                                                                    <w:bottom w:val="none" w:sz="0" w:space="0" w:color="auto"/>
                                                                    <w:right w:val="none" w:sz="0" w:space="0" w:color="auto"/>
                                                                  </w:divBdr>
                                                                  <w:divsChild>
                                                                    <w:div w:id="350186527">
                                                                      <w:marLeft w:val="0"/>
                                                                      <w:marRight w:val="0"/>
                                                                      <w:marTop w:val="0"/>
                                                                      <w:marBottom w:val="0"/>
                                                                      <w:divBdr>
                                                                        <w:top w:val="none" w:sz="0" w:space="0" w:color="auto"/>
                                                                        <w:left w:val="none" w:sz="0" w:space="0" w:color="auto"/>
                                                                        <w:bottom w:val="none" w:sz="0" w:space="0" w:color="auto"/>
                                                                        <w:right w:val="none" w:sz="0" w:space="0" w:color="auto"/>
                                                                      </w:divBdr>
                                                                      <w:divsChild>
                                                                        <w:div w:id="207306316">
                                                                          <w:marLeft w:val="0"/>
                                                                          <w:marRight w:val="0"/>
                                                                          <w:marTop w:val="0"/>
                                                                          <w:marBottom w:val="0"/>
                                                                          <w:divBdr>
                                                                            <w:top w:val="none" w:sz="0" w:space="0" w:color="auto"/>
                                                                            <w:left w:val="none" w:sz="0" w:space="0" w:color="auto"/>
                                                                            <w:bottom w:val="none" w:sz="0" w:space="0" w:color="auto"/>
                                                                            <w:right w:val="none" w:sz="0" w:space="0" w:color="auto"/>
                                                                          </w:divBdr>
                                                                          <w:divsChild>
                                                                            <w:div w:id="634019473">
                                                                              <w:marLeft w:val="0"/>
                                                                              <w:marRight w:val="0"/>
                                                                              <w:marTop w:val="0"/>
                                                                              <w:marBottom w:val="0"/>
                                                                              <w:divBdr>
                                                                                <w:top w:val="none" w:sz="0" w:space="0" w:color="auto"/>
                                                                                <w:left w:val="none" w:sz="0" w:space="0" w:color="auto"/>
                                                                                <w:bottom w:val="none" w:sz="0" w:space="0" w:color="auto"/>
                                                                                <w:right w:val="none" w:sz="0" w:space="0" w:color="auto"/>
                                                                              </w:divBdr>
                                                                              <w:divsChild>
                                                                                <w:div w:id="111634757">
                                                                                  <w:marLeft w:val="0"/>
                                                                                  <w:marRight w:val="0"/>
                                                                                  <w:marTop w:val="0"/>
                                                                                  <w:marBottom w:val="0"/>
                                                                                  <w:divBdr>
                                                                                    <w:top w:val="none" w:sz="0" w:space="0" w:color="auto"/>
                                                                                    <w:left w:val="none" w:sz="0" w:space="0" w:color="auto"/>
                                                                                    <w:bottom w:val="none" w:sz="0" w:space="0" w:color="auto"/>
                                                                                    <w:right w:val="none" w:sz="0" w:space="0" w:color="auto"/>
                                                                                  </w:divBdr>
                                                                                  <w:divsChild>
                                                                                    <w:div w:id="1898392095">
                                                                                      <w:marLeft w:val="0"/>
                                                                                      <w:marRight w:val="0"/>
                                                                                      <w:marTop w:val="0"/>
                                                                                      <w:marBottom w:val="0"/>
                                                                                      <w:divBdr>
                                                                                        <w:top w:val="none" w:sz="0" w:space="0" w:color="auto"/>
                                                                                        <w:left w:val="none" w:sz="0" w:space="0" w:color="auto"/>
                                                                                        <w:bottom w:val="none" w:sz="0" w:space="0" w:color="auto"/>
                                                                                        <w:right w:val="none" w:sz="0" w:space="0" w:color="auto"/>
                                                                                      </w:divBdr>
                                                                                      <w:divsChild>
                                                                                        <w:div w:id="75231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091410">
          <w:marLeft w:val="0"/>
          <w:marRight w:val="0"/>
          <w:marTop w:val="0"/>
          <w:marBottom w:val="0"/>
          <w:divBdr>
            <w:top w:val="none" w:sz="0" w:space="0" w:color="auto"/>
            <w:left w:val="none" w:sz="0" w:space="0" w:color="auto"/>
            <w:bottom w:val="none" w:sz="0" w:space="0" w:color="auto"/>
            <w:right w:val="none" w:sz="0" w:space="0" w:color="auto"/>
          </w:divBdr>
          <w:divsChild>
            <w:div w:id="1107238184">
              <w:marLeft w:val="0"/>
              <w:marRight w:val="0"/>
              <w:marTop w:val="0"/>
              <w:marBottom w:val="0"/>
              <w:divBdr>
                <w:top w:val="none" w:sz="0" w:space="0" w:color="auto"/>
                <w:left w:val="none" w:sz="0" w:space="0" w:color="auto"/>
                <w:bottom w:val="none" w:sz="0" w:space="0" w:color="auto"/>
                <w:right w:val="none" w:sz="0" w:space="0" w:color="auto"/>
              </w:divBdr>
              <w:divsChild>
                <w:div w:id="1405492528">
                  <w:marLeft w:val="0"/>
                  <w:marRight w:val="0"/>
                  <w:marTop w:val="0"/>
                  <w:marBottom w:val="0"/>
                  <w:divBdr>
                    <w:top w:val="none" w:sz="0" w:space="0" w:color="auto"/>
                    <w:left w:val="none" w:sz="0" w:space="0" w:color="auto"/>
                    <w:bottom w:val="none" w:sz="0" w:space="0" w:color="auto"/>
                    <w:right w:val="none" w:sz="0" w:space="0" w:color="auto"/>
                  </w:divBdr>
                  <w:divsChild>
                    <w:div w:id="2085370956">
                      <w:marLeft w:val="0"/>
                      <w:marRight w:val="0"/>
                      <w:marTop w:val="0"/>
                      <w:marBottom w:val="0"/>
                      <w:divBdr>
                        <w:top w:val="none" w:sz="0" w:space="0" w:color="auto"/>
                        <w:left w:val="none" w:sz="0" w:space="0" w:color="auto"/>
                        <w:bottom w:val="none" w:sz="0" w:space="0" w:color="auto"/>
                        <w:right w:val="none" w:sz="0" w:space="0" w:color="auto"/>
                      </w:divBdr>
                      <w:divsChild>
                        <w:div w:id="1909724885">
                          <w:marLeft w:val="0"/>
                          <w:marRight w:val="0"/>
                          <w:marTop w:val="0"/>
                          <w:marBottom w:val="0"/>
                          <w:divBdr>
                            <w:top w:val="none" w:sz="0" w:space="0" w:color="auto"/>
                            <w:left w:val="none" w:sz="0" w:space="0" w:color="auto"/>
                            <w:bottom w:val="none" w:sz="0" w:space="0" w:color="auto"/>
                            <w:right w:val="none" w:sz="0" w:space="0" w:color="auto"/>
                          </w:divBdr>
                          <w:divsChild>
                            <w:div w:id="836264208">
                              <w:marLeft w:val="0"/>
                              <w:marRight w:val="0"/>
                              <w:marTop w:val="0"/>
                              <w:marBottom w:val="0"/>
                              <w:divBdr>
                                <w:top w:val="none" w:sz="0" w:space="0" w:color="auto"/>
                                <w:left w:val="none" w:sz="0" w:space="0" w:color="auto"/>
                                <w:bottom w:val="none" w:sz="0" w:space="0" w:color="auto"/>
                                <w:right w:val="none" w:sz="0" w:space="0" w:color="auto"/>
                              </w:divBdr>
                            </w:div>
                            <w:div w:id="920912415">
                              <w:marLeft w:val="0"/>
                              <w:marRight w:val="0"/>
                              <w:marTop w:val="0"/>
                              <w:marBottom w:val="0"/>
                              <w:divBdr>
                                <w:top w:val="none" w:sz="0" w:space="0" w:color="auto"/>
                                <w:left w:val="none" w:sz="0" w:space="0" w:color="auto"/>
                                <w:bottom w:val="none" w:sz="0" w:space="0" w:color="auto"/>
                                <w:right w:val="none" w:sz="0" w:space="0" w:color="auto"/>
                              </w:divBdr>
                            </w:div>
                          </w:divsChild>
                        </w:div>
                        <w:div w:id="847258560">
                          <w:marLeft w:val="0"/>
                          <w:marRight w:val="0"/>
                          <w:marTop w:val="0"/>
                          <w:marBottom w:val="0"/>
                          <w:divBdr>
                            <w:top w:val="none" w:sz="0" w:space="0" w:color="auto"/>
                            <w:left w:val="none" w:sz="0" w:space="0" w:color="auto"/>
                            <w:bottom w:val="none" w:sz="0" w:space="0" w:color="auto"/>
                            <w:right w:val="none" w:sz="0" w:space="0" w:color="auto"/>
                          </w:divBdr>
                          <w:divsChild>
                            <w:div w:id="1108424415">
                              <w:marLeft w:val="0"/>
                              <w:marRight w:val="0"/>
                              <w:marTop w:val="0"/>
                              <w:marBottom w:val="0"/>
                              <w:divBdr>
                                <w:top w:val="none" w:sz="0" w:space="0" w:color="auto"/>
                                <w:left w:val="none" w:sz="0" w:space="0" w:color="auto"/>
                                <w:bottom w:val="none" w:sz="0" w:space="0" w:color="auto"/>
                                <w:right w:val="none" w:sz="0" w:space="0" w:color="auto"/>
                              </w:divBdr>
                              <w:divsChild>
                                <w:div w:id="55402237">
                                  <w:marLeft w:val="0"/>
                                  <w:marRight w:val="0"/>
                                  <w:marTop w:val="0"/>
                                  <w:marBottom w:val="0"/>
                                  <w:divBdr>
                                    <w:top w:val="none" w:sz="0" w:space="0" w:color="auto"/>
                                    <w:left w:val="none" w:sz="0" w:space="0" w:color="auto"/>
                                    <w:bottom w:val="none" w:sz="0" w:space="0" w:color="auto"/>
                                    <w:right w:val="none" w:sz="0" w:space="0" w:color="auto"/>
                                  </w:divBdr>
                                </w:div>
                              </w:divsChild>
                            </w:div>
                            <w:div w:id="854879865">
                              <w:marLeft w:val="0"/>
                              <w:marRight w:val="0"/>
                              <w:marTop w:val="0"/>
                              <w:marBottom w:val="0"/>
                              <w:divBdr>
                                <w:top w:val="none" w:sz="0" w:space="0" w:color="auto"/>
                                <w:left w:val="none" w:sz="0" w:space="0" w:color="auto"/>
                                <w:bottom w:val="none" w:sz="0" w:space="0" w:color="auto"/>
                                <w:right w:val="none" w:sz="0" w:space="0" w:color="auto"/>
                              </w:divBdr>
                              <w:divsChild>
                                <w:div w:id="583534543">
                                  <w:marLeft w:val="0"/>
                                  <w:marRight w:val="0"/>
                                  <w:marTop w:val="0"/>
                                  <w:marBottom w:val="0"/>
                                  <w:divBdr>
                                    <w:top w:val="none" w:sz="0" w:space="0" w:color="auto"/>
                                    <w:left w:val="none" w:sz="0" w:space="0" w:color="auto"/>
                                    <w:bottom w:val="none" w:sz="0" w:space="0" w:color="auto"/>
                                    <w:right w:val="none" w:sz="0" w:space="0" w:color="auto"/>
                                  </w:divBdr>
                                </w:div>
                                <w:div w:id="754744354">
                                  <w:marLeft w:val="0"/>
                                  <w:marRight w:val="0"/>
                                  <w:marTop w:val="0"/>
                                  <w:marBottom w:val="0"/>
                                  <w:divBdr>
                                    <w:top w:val="none" w:sz="0" w:space="0" w:color="auto"/>
                                    <w:left w:val="none" w:sz="0" w:space="0" w:color="auto"/>
                                    <w:bottom w:val="none" w:sz="0" w:space="0" w:color="auto"/>
                                    <w:right w:val="none" w:sz="0" w:space="0" w:color="auto"/>
                                  </w:divBdr>
                                  <w:divsChild>
                                    <w:div w:id="686952901">
                                      <w:marLeft w:val="0"/>
                                      <w:marRight w:val="0"/>
                                      <w:marTop w:val="0"/>
                                      <w:marBottom w:val="0"/>
                                      <w:divBdr>
                                        <w:top w:val="none" w:sz="0" w:space="0" w:color="auto"/>
                                        <w:left w:val="none" w:sz="0" w:space="0" w:color="auto"/>
                                        <w:bottom w:val="none" w:sz="0" w:space="0" w:color="auto"/>
                                        <w:right w:val="none" w:sz="0" w:space="0" w:color="auto"/>
                                      </w:divBdr>
                                    </w:div>
                                  </w:divsChild>
                                </w:div>
                                <w:div w:id="2008512316">
                                  <w:marLeft w:val="0"/>
                                  <w:marRight w:val="0"/>
                                  <w:marTop w:val="0"/>
                                  <w:marBottom w:val="0"/>
                                  <w:divBdr>
                                    <w:top w:val="none" w:sz="0" w:space="0" w:color="auto"/>
                                    <w:left w:val="none" w:sz="0" w:space="0" w:color="auto"/>
                                    <w:bottom w:val="none" w:sz="0" w:space="0" w:color="auto"/>
                                    <w:right w:val="none" w:sz="0" w:space="0" w:color="auto"/>
                                  </w:divBdr>
                                  <w:divsChild>
                                    <w:div w:id="1671134917">
                                      <w:marLeft w:val="0"/>
                                      <w:marRight w:val="0"/>
                                      <w:marTop w:val="0"/>
                                      <w:marBottom w:val="0"/>
                                      <w:divBdr>
                                        <w:top w:val="none" w:sz="0" w:space="0" w:color="auto"/>
                                        <w:left w:val="none" w:sz="0" w:space="0" w:color="auto"/>
                                        <w:bottom w:val="none" w:sz="0" w:space="0" w:color="auto"/>
                                        <w:right w:val="none" w:sz="0" w:space="0" w:color="auto"/>
                                      </w:divBdr>
                                    </w:div>
                                  </w:divsChild>
                                </w:div>
                                <w:div w:id="1844935336">
                                  <w:marLeft w:val="0"/>
                                  <w:marRight w:val="0"/>
                                  <w:marTop w:val="0"/>
                                  <w:marBottom w:val="0"/>
                                  <w:divBdr>
                                    <w:top w:val="none" w:sz="0" w:space="0" w:color="auto"/>
                                    <w:left w:val="none" w:sz="0" w:space="0" w:color="auto"/>
                                    <w:bottom w:val="none" w:sz="0" w:space="0" w:color="auto"/>
                                    <w:right w:val="none" w:sz="0" w:space="0" w:color="auto"/>
                                  </w:divBdr>
                                  <w:divsChild>
                                    <w:div w:id="1848014018">
                                      <w:marLeft w:val="0"/>
                                      <w:marRight w:val="0"/>
                                      <w:marTop w:val="0"/>
                                      <w:marBottom w:val="0"/>
                                      <w:divBdr>
                                        <w:top w:val="none" w:sz="0" w:space="0" w:color="auto"/>
                                        <w:left w:val="none" w:sz="0" w:space="0" w:color="auto"/>
                                        <w:bottom w:val="none" w:sz="0" w:space="0" w:color="auto"/>
                                        <w:right w:val="none" w:sz="0" w:space="0" w:color="auto"/>
                                      </w:divBdr>
                                    </w:div>
                                  </w:divsChild>
                                </w:div>
                                <w:div w:id="229468814">
                                  <w:marLeft w:val="0"/>
                                  <w:marRight w:val="0"/>
                                  <w:marTop w:val="0"/>
                                  <w:marBottom w:val="0"/>
                                  <w:divBdr>
                                    <w:top w:val="none" w:sz="0" w:space="0" w:color="auto"/>
                                    <w:left w:val="none" w:sz="0" w:space="0" w:color="auto"/>
                                    <w:bottom w:val="none" w:sz="0" w:space="0" w:color="auto"/>
                                    <w:right w:val="none" w:sz="0" w:space="0" w:color="auto"/>
                                  </w:divBdr>
                                  <w:divsChild>
                                    <w:div w:id="989986986">
                                      <w:marLeft w:val="0"/>
                                      <w:marRight w:val="0"/>
                                      <w:marTop w:val="0"/>
                                      <w:marBottom w:val="0"/>
                                      <w:divBdr>
                                        <w:top w:val="none" w:sz="0" w:space="0" w:color="auto"/>
                                        <w:left w:val="none" w:sz="0" w:space="0" w:color="auto"/>
                                        <w:bottom w:val="none" w:sz="0" w:space="0" w:color="auto"/>
                                        <w:right w:val="none" w:sz="0" w:space="0" w:color="auto"/>
                                      </w:divBdr>
                                    </w:div>
                                  </w:divsChild>
                                </w:div>
                                <w:div w:id="1612011115">
                                  <w:marLeft w:val="0"/>
                                  <w:marRight w:val="0"/>
                                  <w:marTop w:val="0"/>
                                  <w:marBottom w:val="0"/>
                                  <w:divBdr>
                                    <w:top w:val="none" w:sz="0" w:space="0" w:color="auto"/>
                                    <w:left w:val="none" w:sz="0" w:space="0" w:color="auto"/>
                                    <w:bottom w:val="none" w:sz="0" w:space="0" w:color="auto"/>
                                    <w:right w:val="none" w:sz="0" w:space="0" w:color="auto"/>
                                  </w:divBdr>
                                  <w:divsChild>
                                    <w:div w:id="1708409977">
                                      <w:marLeft w:val="0"/>
                                      <w:marRight w:val="0"/>
                                      <w:marTop w:val="0"/>
                                      <w:marBottom w:val="0"/>
                                      <w:divBdr>
                                        <w:top w:val="none" w:sz="0" w:space="0" w:color="auto"/>
                                        <w:left w:val="none" w:sz="0" w:space="0" w:color="auto"/>
                                        <w:bottom w:val="none" w:sz="0" w:space="0" w:color="auto"/>
                                        <w:right w:val="none" w:sz="0" w:space="0" w:color="auto"/>
                                      </w:divBdr>
                                    </w:div>
                                  </w:divsChild>
                                </w:div>
                                <w:div w:id="1403261047">
                                  <w:marLeft w:val="0"/>
                                  <w:marRight w:val="0"/>
                                  <w:marTop w:val="0"/>
                                  <w:marBottom w:val="0"/>
                                  <w:divBdr>
                                    <w:top w:val="none" w:sz="0" w:space="0" w:color="auto"/>
                                    <w:left w:val="none" w:sz="0" w:space="0" w:color="auto"/>
                                    <w:bottom w:val="none" w:sz="0" w:space="0" w:color="auto"/>
                                    <w:right w:val="none" w:sz="0" w:space="0" w:color="auto"/>
                                  </w:divBdr>
                                  <w:divsChild>
                                    <w:div w:id="17604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930804">
                              <w:marLeft w:val="0"/>
                              <w:marRight w:val="0"/>
                              <w:marTop w:val="0"/>
                              <w:marBottom w:val="0"/>
                              <w:divBdr>
                                <w:top w:val="none" w:sz="0" w:space="0" w:color="auto"/>
                                <w:left w:val="none" w:sz="0" w:space="0" w:color="auto"/>
                                <w:bottom w:val="none" w:sz="0" w:space="0" w:color="auto"/>
                                <w:right w:val="none" w:sz="0" w:space="0" w:color="auto"/>
                              </w:divBdr>
                              <w:divsChild>
                                <w:div w:id="916208325">
                                  <w:marLeft w:val="0"/>
                                  <w:marRight w:val="0"/>
                                  <w:marTop w:val="0"/>
                                  <w:marBottom w:val="0"/>
                                  <w:divBdr>
                                    <w:top w:val="none" w:sz="0" w:space="0" w:color="auto"/>
                                    <w:left w:val="none" w:sz="0" w:space="0" w:color="auto"/>
                                    <w:bottom w:val="none" w:sz="0" w:space="0" w:color="auto"/>
                                    <w:right w:val="none" w:sz="0" w:space="0" w:color="auto"/>
                                  </w:divBdr>
                                </w:div>
                                <w:div w:id="2048943288">
                                  <w:marLeft w:val="0"/>
                                  <w:marRight w:val="0"/>
                                  <w:marTop w:val="0"/>
                                  <w:marBottom w:val="0"/>
                                  <w:divBdr>
                                    <w:top w:val="none" w:sz="0" w:space="0" w:color="auto"/>
                                    <w:left w:val="none" w:sz="0" w:space="0" w:color="auto"/>
                                    <w:bottom w:val="none" w:sz="0" w:space="0" w:color="auto"/>
                                    <w:right w:val="none" w:sz="0" w:space="0" w:color="auto"/>
                                  </w:divBdr>
                                  <w:divsChild>
                                    <w:div w:id="854802363">
                                      <w:marLeft w:val="0"/>
                                      <w:marRight w:val="0"/>
                                      <w:marTop w:val="0"/>
                                      <w:marBottom w:val="0"/>
                                      <w:divBdr>
                                        <w:top w:val="none" w:sz="0" w:space="0" w:color="auto"/>
                                        <w:left w:val="none" w:sz="0" w:space="0" w:color="auto"/>
                                        <w:bottom w:val="none" w:sz="0" w:space="0" w:color="auto"/>
                                        <w:right w:val="none" w:sz="0" w:space="0" w:color="auto"/>
                                      </w:divBdr>
                                    </w:div>
                                    <w:div w:id="1918440212">
                                      <w:marLeft w:val="0"/>
                                      <w:marRight w:val="0"/>
                                      <w:marTop w:val="0"/>
                                      <w:marBottom w:val="0"/>
                                      <w:divBdr>
                                        <w:top w:val="none" w:sz="0" w:space="0" w:color="auto"/>
                                        <w:left w:val="none" w:sz="0" w:space="0" w:color="auto"/>
                                        <w:bottom w:val="none" w:sz="0" w:space="0" w:color="auto"/>
                                        <w:right w:val="none" w:sz="0" w:space="0" w:color="auto"/>
                                      </w:divBdr>
                                    </w:div>
                                    <w:div w:id="87043754">
                                      <w:marLeft w:val="0"/>
                                      <w:marRight w:val="0"/>
                                      <w:marTop w:val="0"/>
                                      <w:marBottom w:val="0"/>
                                      <w:divBdr>
                                        <w:top w:val="none" w:sz="0" w:space="0" w:color="auto"/>
                                        <w:left w:val="none" w:sz="0" w:space="0" w:color="auto"/>
                                        <w:bottom w:val="none" w:sz="0" w:space="0" w:color="auto"/>
                                        <w:right w:val="none" w:sz="0" w:space="0" w:color="auto"/>
                                      </w:divBdr>
                                    </w:div>
                                    <w:div w:id="1506281536">
                                      <w:marLeft w:val="0"/>
                                      <w:marRight w:val="0"/>
                                      <w:marTop w:val="0"/>
                                      <w:marBottom w:val="0"/>
                                      <w:divBdr>
                                        <w:top w:val="none" w:sz="0" w:space="0" w:color="auto"/>
                                        <w:left w:val="none" w:sz="0" w:space="0" w:color="auto"/>
                                        <w:bottom w:val="none" w:sz="0" w:space="0" w:color="auto"/>
                                        <w:right w:val="none" w:sz="0" w:space="0" w:color="auto"/>
                                      </w:divBdr>
                                      <w:divsChild>
                                        <w:div w:id="2025981235">
                                          <w:marLeft w:val="0"/>
                                          <w:marRight w:val="0"/>
                                          <w:marTop w:val="0"/>
                                          <w:marBottom w:val="0"/>
                                          <w:divBdr>
                                            <w:top w:val="none" w:sz="0" w:space="0" w:color="auto"/>
                                            <w:left w:val="none" w:sz="0" w:space="0" w:color="auto"/>
                                            <w:bottom w:val="none" w:sz="0" w:space="0" w:color="auto"/>
                                            <w:right w:val="none" w:sz="0" w:space="0" w:color="auto"/>
                                          </w:divBdr>
                                          <w:divsChild>
                                            <w:div w:id="1780487546">
                                              <w:marLeft w:val="0"/>
                                              <w:marRight w:val="0"/>
                                              <w:marTop w:val="0"/>
                                              <w:marBottom w:val="0"/>
                                              <w:divBdr>
                                                <w:top w:val="none" w:sz="0" w:space="0" w:color="auto"/>
                                                <w:left w:val="none" w:sz="0" w:space="0" w:color="auto"/>
                                                <w:bottom w:val="none" w:sz="0" w:space="0" w:color="auto"/>
                                                <w:right w:val="none" w:sz="0" w:space="0" w:color="auto"/>
                                              </w:divBdr>
                                            </w:div>
                                          </w:divsChild>
                                        </w:div>
                                        <w:div w:id="12199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49682">
                                  <w:marLeft w:val="0"/>
                                  <w:marRight w:val="0"/>
                                  <w:marTop w:val="0"/>
                                  <w:marBottom w:val="0"/>
                                  <w:divBdr>
                                    <w:top w:val="none" w:sz="0" w:space="0" w:color="auto"/>
                                    <w:left w:val="none" w:sz="0" w:space="0" w:color="auto"/>
                                    <w:bottom w:val="none" w:sz="0" w:space="0" w:color="auto"/>
                                    <w:right w:val="none" w:sz="0" w:space="0" w:color="auto"/>
                                  </w:divBdr>
                                  <w:divsChild>
                                    <w:div w:id="533543381">
                                      <w:marLeft w:val="0"/>
                                      <w:marRight w:val="0"/>
                                      <w:marTop w:val="0"/>
                                      <w:marBottom w:val="0"/>
                                      <w:divBdr>
                                        <w:top w:val="none" w:sz="0" w:space="0" w:color="auto"/>
                                        <w:left w:val="none" w:sz="0" w:space="0" w:color="auto"/>
                                        <w:bottom w:val="none" w:sz="0" w:space="0" w:color="auto"/>
                                        <w:right w:val="none" w:sz="0" w:space="0" w:color="auto"/>
                                      </w:divBdr>
                                    </w:div>
                                  </w:divsChild>
                                </w:div>
                                <w:div w:id="1090199634">
                                  <w:marLeft w:val="0"/>
                                  <w:marRight w:val="0"/>
                                  <w:marTop w:val="0"/>
                                  <w:marBottom w:val="0"/>
                                  <w:divBdr>
                                    <w:top w:val="none" w:sz="0" w:space="0" w:color="auto"/>
                                    <w:left w:val="none" w:sz="0" w:space="0" w:color="auto"/>
                                    <w:bottom w:val="none" w:sz="0" w:space="0" w:color="auto"/>
                                    <w:right w:val="none" w:sz="0" w:space="0" w:color="auto"/>
                                  </w:divBdr>
                                  <w:divsChild>
                                    <w:div w:id="990254887">
                                      <w:marLeft w:val="0"/>
                                      <w:marRight w:val="0"/>
                                      <w:marTop w:val="0"/>
                                      <w:marBottom w:val="0"/>
                                      <w:divBdr>
                                        <w:top w:val="none" w:sz="0" w:space="0" w:color="auto"/>
                                        <w:left w:val="none" w:sz="0" w:space="0" w:color="auto"/>
                                        <w:bottom w:val="none" w:sz="0" w:space="0" w:color="auto"/>
                                        <w:right w:val="none" w:sz="0" w:space="0" w:color="auto"/>
                                      </w:divBdr>
                                    </w:div>
                                    <w:div w:id="1440641342">
                                      <w:marLeft w:val="0"/>
                                      <w:marRight w:val="0"/>
                                      <w:marTop w:val="0"/>
                                      <w:marBottom w:val="0"/>
                                      <w:divBdr>
                                        <w:top w:val="none" w:sz="0" w:space="0" w:color="auto"/>
                                        <w:left w:val="none" w:sz="0" w:space="0" w:color="auto"/>
                                        <w:bottom w:val="none" w:sz="0" w:space="0" w:color="auto"/>
                                        <w:right w:val="none" w:sz="0" w:space="0" w:color="auto"/>
                                      </w:divBdr>
                                      <w:divsChild>
                                        <w:div w:id="2109811090">
                                          <w:marLeft w:val="0"/>
                                          <w:marRight w:val="0"/>
                                          <w:marTop w:val="0"/>
                                          <w:marBottom w:val="0"/>
                                          <w:divBdr>
                                            <w:top w:val="none" w:sz="0" w:space="0" w:color="auto"/>
                                            <w:left w:val="none" w:sz="0" w:space="0" w:color="auto"/>
                                            <w:bottom w:val="none" w:sz="0" w:space="0" w:color="auto"/>
                                            <w:right w:val="none" w:sz="0" w:space="0" w:color="auto"/>
                                          </w:divBdr>
                                          <w:divsChild>
                                            <w:div w:id="127566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857237">
                                      <w:marLeft w:val="0"/>
                                      <w:marRight w:val="0"/>
                                      <w:marTop w:val="0"/>
                                      <w:marBottom w:val="0"/>
                                      <w:divBdr>
                                        <w:top w:val="none" w:sz="0" w:space="0" w:color="auto"/>
                                        <w:left w:val="none" w:sz="0" w:space="0" w:color="auto"/>
                                        <w:bottom w:val="none" w:sz="0" w:space="0" w:color="auto"/>
                                        <w:right w:val="none" w:sz="0" w:space="0" w:color="auto"/>
                                      </w:divBdr>
                                    </w:div>
                                    <w:div w:id="1907914357">
                                      <w:marLeft w:val="0"/>
                                      <w:marRight w:val="0"/>
                                      <w:marTop w:val="0"/>
                                      <w:marBottom w:val="0"/>
                                      <w:divBdr>
                                        <w:top w:val="none" w:sz="0" w:space="0" w:color="auto"/>
                                        <w:left w:val="none" w:sz="0" w:space="0" w:color="auto"/>
                                        <w:bottom w:val="none" w:sz="0" w:space="0" w:color="auto"/>
                                        <w:right w:val="none" w:sz="0" w:space="0" w:color="auto"/>
                                      </w:divBdr>
                                    </w:div>
                                    <w:div w:id="96682070">
                                      <w:marLeft w:val="0"/>
                                      <w:marRight w:val="0"/>
                                      <w:marTop w:val="0"/>
                                      <w:marBottom w:val="0"/>
                                      <w:divBdr>
                                        <w:top w:val="none" w:sz="0" w:space="0" w:color="auto"/>
                                        <w:left w:val="none" w:sz="0" w:space="0" w:color="auto"/>
                                        <w:bottom w:val="none" w:sz="0" w:space="0" w:color="auto"/>
                                        <w:right w:val="none" w:sz="0" w:space="0" w:color="auto"/>
                                      </w:divBdr>
                                      <w:divsChild>
                                        <w:div w:id="296378975">
                                          <w:marLeft w:val="0"/>
                                          <w:marRight w:val="0"/>
                                          <w:marTop w:val="0"/>
                                          <w:marBottom w:val="0"/>
                                          <w:divBdr>
                                            <w:top w:val="none" w:sz="0" w:space="0" w:color="auto"/>
                                            <w:left w:val="none" w:sz="0" w:space="0" w:color="auto"/>
                                            <w:bottom w:val="none" w:sz="0" w:space="0" w:color="auto"/>
                                            <w:right w:val="none" w:sz="0" w:space="0" w:color="auto"/>
                                          </w:divBdr>
                                          <w:divsChild>
                                            <w:div w:id="622420622">
                                              <w:marLeft w:val="0"/>
                                              <w:marRight w:val="0"/>
                                              <w:marTop w:val="0"/>
                                              <w:marBottom w:val="0"/>
                                              <w:divBdr>
                                                <w:top w:val="none" w:sz="0" w:space="0" w:color="auto"/>
                                                <w:left w:val="none" w:sz="0" w:space="0" w:color="auto"/>
                                                <w:bottom w:val="none" w:sz="0" w:space="0" w:color="auto"/>
                                                <w:right w:val="none" w:sz="0" w:space="0" w:color="auto"/>
                                              </w:divBdr>
                                            </w:div>
                                          </w:divsChild>
                                        </w:div>
                                        <w:div w:id="1898784994">
                                          <w:marLeft w:val="0"/>
                                          <w:marRight w:val="0"/>
                                          <w:marTop w:val="0"/>
                                          <w:marBottom w:val="0"/>
                                          <w:divBdr>
                                            <w:top w:val="none" w:sz="0" w:space="0" w:color="auto"/>
                                            <w:left w:val="none" w:sz="0" w:space="0" w:color="auto"/>
                                            <w:bottom w:val="none" w:sz="0" w:space="0" w:color="auto"/>
                                            <w:right w:val="none" w:sz="0" w:space="0" w:color="auto"/>
                                          </w:divBdr>
                                        </w:div>
                                      </w:divsChild>
                                    </w:div>
                                    <w:div w:id="1015227507">
                                      <w:marLeft w:val="0"/>
                                      <w:marRight w:val="0"/>
                                      <w:marTop w:val="0"/>
                                      <w:marBottom w:val="0"/>
                                      <w:divBdr>
                                        <w:top w:val="none" w:sz="0" w:space="0" w:color="auto"/>
                                        <w:left w:val="none" w:sz="0" w:space="0" w:color="auto"/>
                                        <w:bottom w:val="none" w:sz="0" w:space="0" w:color="auto"/>
                                        <w:right w:val="none" w:sz="0" w:space="0" w:color="auto"/>
                                      </w:divBdr>
                                    </w:div>
                                    <w:div w:id="1416199468">
                                      <w:marLeft w:val="0"/>
                                      <w:marRight w:val="0"/>
                                      <w:marTop w:val="0"/>
                                      <w:marBottom w:val="0"/>
                                      <w:divBdr>
                                        <w:top w:val="none" w:sz="0" w:space="0" w:color="auto"/>
                                        <w:left w:val="none" w:sz="0" w:space="0" w:color="auto"/>
                                        <w:bottom w:val="none" w:sz="0" w:space="0" w:color="auto"/>
                                        <w:right w:val="none" w:sz="0" w:space="0" w:color="auto"/>
                                      </w:divBdr>
                                    </w:div>
                                    <w:div w:id="20329661">
                                      <w:marLeft w:val="0"/>
                                      <w:marRight w:val="0"/>
                                      <w:marTop w:val="0"/>
                                      <w:marBottom w:val="0"/>
                                      <w:divBdr>
                                        <w:top w:val="none" w:sz="0" w:space="0" w:color="auto"/>
                                        <w:left w:val="none" w:sz="0" w:space="0" w:color="auto"/>
                                        <w:bottom w:val="none" w:sz="0" w:space="0" w:color="auto"/>
                                        <w:right w:val="none" w:sz="0" w:space="0" w:color="auto"/>
                                      </w:divBdr>
                                      <w:divsChild>
                                        <w:div w:id="404881737">
                                          <w:marLeft w:val="0"/>
                                          <w:marRight w:val="0"/>
                                          <w:marTop w:val="0"/>
                                          <w:marBottom w:val="0"/>
                                          <w:divBdr>
                                            <w:top w:val="none" w:sz="0" w:space="0" w:color="auto"/>
                                            <w:left w:val="none" w:sz="0" w:space="0" w:color="auto"/>
                                            <w:bottom w:val="none" w:sz="0" w:space="0" w:color="auto"/>
                                            <w:right w:val="none" w:sz="0" w:space="0" w:color="auto"/>
                                          </w:divBdr>
                                          <w:divsChild>
                                            <w:div w:id="7221442">
                                              <w:marLeft w:val="0"/>
                                              <w:marRight w:val="0"/>
                                              <w:marTop w:val="0"/>
                                              <w:marBottom w:val="0"/>
                                              <w:divBdr>
                                                <w:top w:val="none" w:sz="0" w:space="0" w:color="auto"/>
                                                <w:left w:val="none" w:sz="0" w:space="0" w:color="auto"/>
                                                <w:bottom w:val="none" w:sz="0" w:space="0" w:color="auto"/>
                                                <w:right w:val="none" w:sz="0" w:space="0" w:color="auto"/>
                                              </w:divBdr>
                                            </w:div>
                                          </w:divsChild>
                                        </w:div>
                                        <w:div w:id="152771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625744">
                              <w:marLeft w:val="0"/>
                              <w:marRight w:val="0"/>
                              <w:marTop w:val="0"/>
                              <w:marBottom w:val="0"/>
                              <w:divBdr>
                                <w:top w:val="none" w:sz="0" w:space="0" w:color="auto"/>
                                <w:left w:val="none" w:sz="0" w:space="0" w:color="auto"/>
                                <w:bottom w:val="none" w:sz="0" w:space="0" w:color="auto"/>
                                <w:right w:val="none" w:sz="0" w:space="0" w:color="auto"/>
                              </w:divBdr>
                              <w:divsChild>
                                <w:div w:id="1339889830">
                                  <w:marLeft w:val="0"/>
                                  <w:marRight w:val="0"/>
                                  <w:marTop w:val="0"/>
                                  <w:marBottom w:val="0"/>
                                  <w:divBdr>
                                    <w:top w:val="none" w:sz="0" w:space="0" w:color="auto"/>
                                    <w:left w:val="none" w:sz="0" w:space="0" w:color="auto"/>
                                    <w:bottom w:val="none" w:sz="0" w:space="0" w:color="auto"/>
                                    <w:right w:val="none" w:sz="0" w:space="0" w:color="auto"/>
                                  </w:divBdr>
                                </w:div>
                                <w:div w:id="814880746">
                                  <w:marLeft w:val="0"/>
                                  <w:marRight w:val="0"/>
                                  <w:marTop w:val="0"/>
                                  <w:marBottom w:val="0"/>
                                  <w:divBdr>
                                    <w:top w:val="none" w:sz="0" w:space="0" w:color="auto"/>
                                    <w:left w:val="none" w:sz="0" w:space="0" w:color="auto"/>
                                    <w:bottom w:val="none" w:sz="0" w:space="0" w:color="auto"/>
                                    <w:right w:val="none" w:sz="0" w:space="0" w:color="auto"/>
                                  </w:divBdr>
                                  <w:divsChild>
                                    <w:div w:id="657998116">
                                      <w:marLeft w:val="0"/>
                                      <w:marRight w:val="0"/>
                                      <w:marTop w:val="0"/>
                                      <w:marBottom w:val="0"/>
                                      <w:divBdr>
                                        <w:top w:val="none" w:sz="0" w:space="0" w:color="auto"/>
                                        <w:left w:val="none" w:sz="0" w:space="0" w:color="auto"/>
                                        <w:bottom w:val="none" w:sz="0" w:space="0" w:color="auto"/>
                                        <w:right w:val="none" w:sz="0" w:space="0" w:color="auto"/>
                                      </w:divBdr>
                                    </w:div>
                                  </w:divsChild>
                                </w:div>
                                <w:div w:id="1036545251">
                                  <w:marLeft w:val="0"/>
                                  <w:marRight w:val="0"/>
                                  <w:marTop w:val="0"/>
                                  <w:marBottom w:val="0"/>
                                  <w:divBdr>
                                    <w:top w:val="none" w:sz="0" w:space="0" w:color="auto"/>
                                    <w:left w:val="none" w:sz="0" w:space="0" w:color="auto"/>
                                    <w:bottom w:val="none" w:sz="0" w:space="0" w:color="auto"/>
                                    <w:right w:val="none" w:sz="0" w:space="0" w:color="auto"/>
                                  </w:divBdr>
                                  <w:divsChild>
                                    <w:div w:id="185560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0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81291268">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9%2F002436312804827064"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0" Type="http://schemas.openxmlformats.org/officeDocument/2006/relationships/hyperlink" Target="https://journals.sagepub.com/doi/full/10.1179/00243631280482706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EA6A13-A486-4410-B005-27274E87956C}">
  <ds:schemaRefs>
    <ds:schemaRef ds:uri="http://schemas.microsoft.com/sharepoint/v3/contenttype/forms"/>
  </ds:schemaRefs>
</ds:datastoreItem>
</file>

<file path=customXml/itemProps2.xml><?xml version="1.0" encoding="utf-8"?>
<ds:datastoreItem xmlns:ds="http://schemas.openxmlformats.org/officeDocument/2006/customXml" ds:itemID="{A8247EEB-EF17-4533-9DB4-1FD39D7EB5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4A1EDD-3E75-4DA8-BC4E-C14C7C483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5305</Words>
  <Characters>30242</Characters>
  <Application>Microsoft Office Word</Application>
  <DocSecurity>8</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2020-07-23T16:26:00Z</dcterms:created>
  <dcterms:modified xsi:type="dcterms:W3CDTF">2020-07-31T13:17:00Z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